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36621" w:rsidRDefault="00BD0784" w:rsidP="00E36621">
      <w:pPr>
        <w:pStyle w:val="ab"/>
      </w:pPr>
      <w:r>
        <w:rPr>
          <w:noProof/>
          <w:lang w:eastAsia="ru-RU"/>
        </w:rPr>
        <mc:AlternateContent>
          <mc:Choice Requires="wps">
            <w:drawing>
              <wp:anchor distT="0" distB="0" distL="114300" distR="114300" simplePos="0" relativeHeight="251658240" behindDoc="1" locked="0" layoutInCell="1" allowOverlap="1" wp14:anchorId="39A74D2F">
                <wp:simplePos x="0" y="0"/>
                <wp:positionH relativeFrom="column">
                  <wp:posOffset>-737235</wp:posOffset>
                </wp:positionH>
                <wp:positionV relativeFrom="paragraph">
                  <wp:posOffset>-386715</wp:posOffset>
                </wp:positionV>
                <wp:extent cx="6886575" cy="10020300"/>
                <wp:effectExtent l="0" t="0" r="0" b="0"/>
                <wp:wrapNone/>
                <wp:docPr id="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002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6CF8" w:rsidRDefault="00086CF8" w:rsidP="00E36621"/>
                          <w:p w:rsidR="00086CF8" w:rsidRDefault="00086CF8" w:rsidP="00E36621"/>
                          <w:p w:rsidR="00086CF8" w:rsidRPr="009B79B9" w:rsidRDefault="00086CF8" w:rsidP="00E3662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A74D2F" id="Прямоугольник 16" o:spid="_x0000_s1026" style="position:absolute;margin-left:-58.05pt;margin-top:-30.45pt;width:542.2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" stroked="f">
                <v:path arrowok="t"/>
                <v:textbox>
                  <w:txbxContent>
                    <w:p w14:paraId="20D45F31" w14:textId="77777777" w:rsidR="00086CF8" w:rsidRDefault="00086CF8" w:rsidP="00E36621"/>
                    <w:p w14:paraId="0E549720" w14:textId="77777777" w:rsidR="00086CF8" w:rsidRDefault="00086CF8" w:rsidP="00E36621"/>
                    <w:p w14:paraId="5E365335" w14:textId="77777777" w:rsidR="00086CF8" w:rsidRPr="009B79B9" w:rsidRDefault="00086CF8" w:rsidP="00E36621"/>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60921020">
                <wp:simplePos x="0" y="0"/>
                <wp:positionH relativeFrom="page">
                  <wp:posOffset>-35560</wp:posOffset>
                </wp:positionH>
                <wp:positionV relativeFrom="paragraph">
                  <wp:posOffset>-962660</wp:posOffset>
                </wp:positionV>
                <wp:extent cx="7601585" cy="1102106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CF4C99" id="Прямоугольник 15" o:spid="_x0000_s1026" style="position:absolute;margin-left:-2.8pt;margin-top:-75.8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" fillcolor="#0b595d" stroked="f">
                <v:fill opacity="6682f"/>
                <w10:wrap anchorx="page"/>
              </v:rect>
            </w:pict>
          </mc:Fallback>
        </mc:AlternateContent>
      </w:r>
    </w:p>
    <w:p w:rsidR="00E36621" w:rsidRDefault="00E36621" w:rsidP="00E36621">
      <w:pPr>
        <w:pStyle w:val="ab"/>
      </w:pPr>
    </w:p>
    <w:p w:rsidR="00E36621" w:rsidRDefault="00E36621" w:rsidP="00E36621"/>
    <w:tbl>
      <w:tblPr>
        <w:tblpPr w:leftFromText="180" w:rightFromText="180" w:vertAnchor="page" w:horzAnchor="margin" w:tblpY="2575"/>
        <w:tblW w:w="9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531"/>
        <w:gridCol w:w="4994"/>
      </w:tblGrid>
      <w:tr w:rsidR="00397360" w:rsidRPr="00DC5C3F" w:rsidTr="003B0273">
        <w:trPr>
          <w:trHeight w:val="2690"/>
        </w:trPr>
        <w:tc>
          <w:tcPr>
            <w:tcW w:w="9525" w:type="dxa"/>
            <w:gridSpan w:val="2"/>
          </w:tcPr>
          <w:p w:rsidR="00397360" w:rsidRDefault="00397360" w:rsidP="00B57859">
            <w:pPr>
              <w:tabs>
                <w:tab w:val="left" w:pos="6135"/>
              </w:tabs>
              <w:jc w:val="center"/>
              <w:rPr>
                <w:b/>
                <w:bCs/>
                <w:color w:val="808080"/>
              </w:rPr>
            </w:pPr>
          </w:p>
          <w:p w:rsidR="00397360" w:rsidRDefault="00397360" w:rsidP="00397360">
            <w:pPr>
              <w:tabs>
                <w:tab w:val="left" w:pos="6135"/>
              </w:tabs>
              <w:jc w:val="center"/>
              <w:rPr>
                <w:b/>
                <w:bCs/>
                <w:noProof/>
                <w:color w:val="767171"/>
                <w:lang w:eastAsia="ru-RU"/>
              </w:rPr>
            </w:pPr>
            <w:r w:rsidRPr="009B79B9">
              <w:rPr>
                <w:b/>
                <w:bCs/>
                <w:color w:val="808080"/>
              </w:rPr>
              <w:t xml:space="preserve">Клинические </w:t>
            </w:r>
            <w:r w:rsidRPr="009B79B9">
              <w:rPr>
                <w:b/>
                <w:bCs/>
                <w:noProof/>
                <w:color w:val="767171"/>
                <w:lang w:eastAsia="ru-RU"/>
              </w:rPr>
              <w:t>рекомендации</w:t>
            </w:r>
          </w:p>
          <w:p w:rsidR="00397360" w:rsidRDefault="00397360" w:rsidP="00397360">
            <w:pPr>
              <w:tabs>
                <w:tab w:val="left" w:pos="6135"/>
              </w:tabs>
              <w:jc w:val="center"/>
              <w:rPr>
                <w:b/>
                <w:color w:val="000000"/>
                <w:sz w:val="44"/>
                <w:szCs w:val="44"/>
              </w:rPr>
            </w:pPr>
            <w:r>
              <w:rPr>
                <w:b/>
                <w:bCs/>
                <w:noProof/>
                <w:color w:val="767171"/>
                <w:lang w:eastAsia="ru-RU"/>
              </w:rPr>
              <w:br/>
            </w:r>
            <w:r w:rsidRPr="00A032F4">
              <w:rPr>
                <w:b/>
                <w:color w:val="000000"/>
                <w:sz w:val="44"/>
                <w:szCs w:val="44"/>
              </w:rPr>
              <w:t>Хронический лимфо</w:t>
            </w:r>
            <w:r>
              <w:rPr>
                <w:b/>
                <w:color w:val="000000"/>
                <w:sz w:val="44"/>
                <w:szCs w:val="44"/>
              </w:rPr>
              <w:t xml:space="preserve">цитарный </w:t>
            </w:r>
            <w:r w:rsidRPr="00A032F4">
              <w:rPr>
                <w:b/>
                <w:color w:val="000000"/>
                <w:sz w:val="44"/>
                <w:szCs w:val="44"/>
              </w:rPr>
              <w:t xml:space="preserve">лейкоз / </w:t>
            </w:r>
            <w:r w:rsidRPr="00A032F4">
              <w:rPr>
                <w:b/>
                <w:color w:val="000000"/>
                <w:sz w:val="44"/>
                <w:szCs w:val="44"/>
              </w:rPr>
              <w:br/>
              <w:t>лимфома из малых лимфоцитов</w:t>
            </w:r>
          </w:p>
          <w:p w:rsidR="00DB46A1" w:rsidRPr="009B79B9" w:rsidRDefault="00DB46A1" w:rsidP="00397360">
            <w:pPr>
              <w:tabs>
                <w:tab w:val="left" w:pos="6135"/>
              </w:tabs>
              <w:jc w:val="center"/>
              <w:rPr>
                <w:b/>
                <w:bCs/>
                <w:sz w:val="28"/>
                <w:szCs w:val="28"/>
              </w:rPr>
            </w:pPr>
          </w:p>
        </w:tc>
      </w:tr>
      <w:tr w:rsidR="00E36621" w:rsidRPr="00DC5C3F" w:rsidTr="003B0273">
        <w:trPr>
          <w:trHeight w:val="815"/>
        </w:trPr>
        <w:tc>
          <w:tcPr>
            <w:tcW w:w="4531" w:type="dxa"/>
          </w:tcPr>
          <w:p w:rsidR="00E36621" w:rsidRPr="00DC5C3F" w:rsidRDefault="00E36621" w:rsidP="00B57859">
            <w:pPr>
              <w:tabs>
                <w:tab w:val="left" w:pos="6135"/>
              </w:tabs>
              <w:spacing w:line="276" w:lineRule="auto"/>
              <w:jc w:val="right"/>
              <w:rPr>
                <w:szCs w:val="28"/>
              </w:rPr>
            </w:pPr>
            <w:r w:rsidRPr="00DC5C3F">
              <w:rPr>
                <w:color w:val="808080"/>
                <w:szCs w:val="28"/>
              </w:rPr>
              <w:t xml:space="preserve">Кодирование по Международной статистической классификации болезней и проблем, связанных со здоровьем: </w:t>
            </w:r>
          </w:p>
          <w:p w:rsidR="00E36621" w:rsidRPr="00DC5C3F" w:rsidRDefault="00E36621" w:rsidP="00B57859">
            <w:pPr>
              <w:pStyle w:val="af2"/>
              <w:spacing w:line="276" w:lineRule="auto"/>
              <w:jc w:val="right"/>
              <w:rPr>
                <w:sz w:val="24"/>
                <w:szCs w:val="28"/>
              </w:rPr>
            </w:pPr>
          </w:p>
        </w:tc>
        <w:tc>
          <w:tcPr>
            <w:tcW w:w="4994" w:type="dxa"/>
          </w:tcPr>
          <w:p w:rsidR="00E36621" w:rsidRPr="00397360" w:rsidRDefault="00E36621" w:rsidP="00397360">
            <w:pPr>
              <w:tabs>
                <w:tab w:val="left" w:pos="6135"/>
              </w:tabs>
              <w:spacing w:line="276" w:lineRule="auto"/>
              <w:jc w:val="left"/>
              <w:rPr>
                <w:bCs/>
                <w:szCs w:val="24"/>
              </w:rPr>
            </w:pPr>
            <w:r w:rsidRPr="00397360">
              <w:rPr>
                <w:rStyle w:val="pop-slug-vol"/>
                <w:bCs/>
                <w:szCs w:val="24"/>
              </w:rPr>
              <w:t>C91.1</w:t>
            </w:r>
          </w:p>
        </w:tc>
      </w:tr>
      <w:tr w:rsidR="00E36621" w:rsidRPr="00DC5C3F" w:rsidTr="003B0273">
        <w:trPr>
          <w:trHeight w:val="583"/>
        </w:trPr>
        <w:tc>
          <w:tcPr>
            <w:tcW w:w="4531" w:type="dxa"/>
          </w:tcPr>
          <w:p w:rsidR="00E36621" w:rsidRPr="00DC5C3F" w:rsidRDefault="00E36621" w:rsidP="00B57859">
            <w:pPr>
              <w:tabs>
                <w:tab w:val="left" w:pos="6135"/>
              </w:tabs>
              <w:spacing w:line="276" w:lineRule="auto"/>
              <w:jc w:val="right"/>
              <w:rPr>
                <w:color w:val="808080"/>
                <w:szCs w:val="28"/>
              </w:rPr>
            </w:pPr>
            <w:r w:rsidRPr="00DC5C3F">
              <w:rPr>
                <w:rStyle w:val="pop-slug-vol"/>
                <w:color w:val="767171"/>
                <w:szCs w:val="28"/>
              </w:rPr>
              <w:t>Возрастная группа:</w:t>
            </w:r>
            <w:r w:rsidR="00DD3D1E">
              <w:rPr>
                <w:rStyle w:val="pop-slug-vol"/>
                <w:b/>
                <w:color w:val="767171"/>
                <w:szCs w:val="28"/>
              </w:rPr>
              <w:t xml:space="preserve"> </w:t>
            </w:r>
          </w:p>
        </w:tc>
        <w:tc>
          <w:tcPr>
            <w:tcW w:w="4994" w:type="dxa"/>
          </w:tcPr>
          <w:p w:rsidR="00E36621" w:rsidRPr="00397360" w:rsidRDefault="00E36621" w:rsidP="00397360">
            <w:pPr>
              <w:tabs>
                <w:tab w:val="left" w:pos="6135"/>
              </w:tabs>
              <w:spacing w:line="276" w:lineRule="auto"/>
              <w:jc w:val="left"/>
              <w:rPr>
                <w:color w:val="808080"/>
                <w:szCs w:val="28"/>
              </w:rPr>
            </w:pPr>
            <w:r w:rsidRPr="00397360">
              <w:t>взрослые</w:t>
            </w:r>
          </w:p>
        </w:tc>
      </w:tr>
      <w:tr w:rsidR="00E36621" w:rsidRPr="00DC5C3F" w:rsidTr="003B0273">
        <w:trPr>
          <w:trHeight w:val="608"/>
        </w:trPr>
        <w:tc>
          <w:tcPr>
            <w:tcW w:w="4531" w:type="dxa"/>
          </w:tcPr>
          <w:p w:rsidR="00E36621" w:rsidRPr="00DC5C3F" w:rsidRDefault="00E36621" w:rsidP="00B57859">
            <w:pPr>
              <w:tabs>
                <w:tab w:val="left" w:pos="6135"/>
              </w:tabs>
              <w:spacing w:line="276" w:lineRule="auto"/>
              <w:jc w:val="right"/>
              <w:rPr>
                <w:color w:val="808080"/>
                <w:szCs w:val="28"/>
              </w:rPr>
            </w:pPr>
            <w:r w:rsidRPr="00DC5C3F">
              <w:rPr>
                <w:color w:val="808080"/>
              </w:rPr>
              <w:t>Год утверждения:</w:t>
            </w:r>
          </w:p>
        </w:tc>
        <w:tc>
          <w:tcPr>
            <w:tcW w:w="4994" w:type="dxa"/>
          </w:tcPr>
          <w:p w:rsidR="00E36621" w:rsidRPr="00397360" w:rsidRDefault="00E36621" w:rsidP="00397360">
            <w:pPr>
              <w:tabs>
                <w:tab w:val="left" w:pos="6135"/>
              </w:tabs>
              <w:spacing w:line="276" w:lineRule="auto"/>
              <w:jc w:val="left"/>
            </w:pPr>
          </w:p>
        </w:tc>
      </w:tr>
      <w:tr w:rsidR="00E36621" w:rsidRPr="00DC5C3F" w:rsidTr="003B0273">
        <w:trPr>
          <w:trHeight w:val="501"/>
        </w:trPr>
        <w:tc>
          <w:tcPr>
            <w:tcW w:w="9525" w:type="dxa"/>
            <w:gridSpan w:val="2"/>
          </w:tcPr>
          <w:p w:rsidR="00E36621" w:rsidRPr="00DC5C3F" w:rsidRDefault="00E36621" w:rsidP="00B57859">
            <w:pPr>
              <w:tabs>
                <w:tab w:val="left" w:pos="6135"/>
              </w:tabs>
              <w:rPr>
                <w:color w:val="FF0000"/>
                <w:sz w:val="20"/>
                <w:szCs w:val="20"/>
              </w:rPr>
            </w:pPr>
            <w:r w:rsidRPr="00DC5C3F">
              <w:rPr>
                <w:color w:val="808080"/>
              </w:rPr>
              <w:t>Разработчик</w:t>
            </w:r>
            <w:r>
              <w:rPr>
                <w:color w:val="808080"/>
              </w:rPr>
              <w:t>и</w:t>
            </w:r>
            <w:r w:rsidRPr="00DC5C3F">
              <w:rPr>
                <w:color w:val="808080"/>
              </w:rPr>
              <w:t xml:space="preserve"> клинической рекомендации:</w:t>
            </w:r>
            <w:r w:rsidRPr="00DC5C3F">
              <w:rPr>
                <w:color w:val="FF0000"/>
                <w:sz w:val="20"/>
                <w:szCs w:val="20"/>
              </w:rPr>
              <w:t xml:space="preserve"> </w:t>
            </w:r>
          </w:p>
        </w:tc>
      </w:tr>
      <w:tr w:rsidR="00E36621" w:rsidRPr="00DC5C3F" w:rsidTr="003B0273">
        <w:trPr>
          <w:trHeight w:val="4170"/>
        </w:trPr>
        <w:tc>
          <w:tcPr>
            <w:tcW w:w="9525" w:type="dxa"/>
            <w:gridSpan w:val="2"/>
          </w:tcPr>
          <w:p w:rsidR="00E36621" w:rsidRDefault="00E36621" w:rsidP="00BE7488">
            <w:pPr>
              <w:pStyle w:val="a"/>
              <w:numPr>
                <w:ilvl w:val="0"/>
                <w:numId w:val="19"/>
              </w:numPr>
              <w:spacing w:before="0"/>
            </w:pPr>
            <w:r w:rsidRPr="004F4212">
              <w:t>Ассоциация онкологов России</w:t>
            </w:r>
          </w:p>
          <w:p w:rsidR="00E36621" w:rsidRPr="00E36621" w:rsidRDefault="00E36621" w:rsidP="00BE7488">
            <w:pPr>
              <w:pStyle w:val="a"/>
              <w:numPr>
                <w:ilvl w:val="0"/>
                <w:numId w:val="19"/>
              </w:numPr>
              <w:spacing w:before="0"/>
            </w:pPr>
            <w:r w:rsidRPr="004F4212">
              <w:t>Национальное гематологическое общество</w:t>
            </w:r>
          </w:p>
          <w:p w:rsidR="00E36621" w:rsidRPr="004F4212" w:rsidRDefault="00E36621" w:rsidP="00BE7488">
            <w:pPr>
              <w:pStyle w:val="a"/>
              <w:numPr>
                <w:ilvl w:val="0"/>
                <w:numId w:val="19"/>
              </w:numPr>
              <w:spacing w:before="0"/>
            </w:pPr>
            <w:r w:rsidRPr="004F4212">
              <w:t>Российское общество онкогематологов</w:t>
            </w:r>
          </w:p>
          <w:p w:rsidR="00E36621" w:rsidRPr="00DC5C3F" w:rsidRDefault="00E36621" w:rsidP="00B57859">
            <w:pPr>
              <w:pStyle w:val="ab"/>
              <w:rPr>
                <w:b/>
                <w:sz w:val="28"/>
              </w:rPr>
            </w:pPr>
          </w:p>
        </w:tc>
      </w:tr>
    </w:tbl>
    <w:p w:rsidR="00217639" w:rsidRPr="0030568B" w:rsidRDefault="00E36621" w:rsidP="0030568B">
      <w:pPr>
        <w:pStyle w:val="1"/>
        <w:rPr>
          <w:bCs/>
          <w:sz w:val="24"/>
          <w:szCs w:val="24"/>
        </w:rPr>
      </w:pPr>
      <w:r>
        <w:br w:type="page"/>
      </w:r>
      <w:bookmarkStart w:id="1" w:name="_Toc24546422"/>
      <w:bookmarkStart w:id="2" w:name="_Toc23601709"/>
      <w:r w:rsidR="00217639" w:rsidRPr="0030568B">
        <w:rPr>
          <w:bCs/>
          <w:sz w:val="24"/>
          <w:szCs w:val="24"/>
        </w:rPr>
        <w:lastRenderedPageBreak/>
        <w:t>Оглавление</w:t>
      </w:r>
      <w:bookmarkEnd w:id="1"/>
      <w:bookmarkEnd w:id="2"/>
    </w:p>
    <w:p w:rsidR="00397360" w:rsidRPr="00397360" w:rsidRDefault="00397360" w:rsidP="00397360">
      <w:pPr>
        <w:jc w:val="center"/>
        <w:rPr>
          <w:b/>
        </w:rPr>
      </w:pPr>
    </w:p>
    <w:p w:rsidR="00C0589B" w:rsidRDefault="000B0AC3">
      <w:pPr>
        <w:pStyle w:val="12"/>
        <w:tabs>
          <w:tab w:val="right" w:leader="dot" w:pos="9345"/>
        </w:tabs>
        <w:rPr>
          <w:rFonts w:asciiTheme="minorHAnsi" w:eastAsiaTheme="minorEastAsia" w:hAnsiTheme="minorHAnsi" w:cstheme="minorBidi"/>
          <w:noProof/>
          <w:szCs w:val="24"/>
          <w:lang w:eastAsia="ru-RU"/>
        </w:rPr>
      </w:pPr>
      <w:r>
        <w:rPr>
          <w:b/>
          <w:bCs/>
        </w:rPr>
        <w:fldChar w:fldCharType="begin"/>
      </w:r>
      <w:r w:rsidR="00437AD9">
        <w:rPr>
          <w:b/>
          <w:bCs/>
        </w:rPr>
        <w:instrText xml:space="preserve"> TOC \o "1-2" \h \z \u </w:instrText>
      </w:r>
      <w:r>
        <w:rPr>
          <w:b/>
          <w:bCs/>
        </w:rPr>
        <w:fldChar w:fldCharType="separate"/>
      </w:r>
      <w:hyperlink w:anchor="_Toc24546422" w:history="1">
        <w:r w:rsidR="00C0589B" w:rsidRPr="00D23F55">
          <w:rPr>
            <w:rStyle w:val="af0"/>
            <w:bCs/>
            <w:noProof/>
          </w:rPr>
          <w:t>Оглавление</w:t>
        </w:r>
        <w:r w:rsidR="00C0589B">
          <w:rPr>
            <w:noProof/>
            <w:webHidden/>
          </w:rPr>
          <w:tab/>
        </w:r>
        <w:r>
          <w:rPr>
            <w:noProof/>
            <w:webHidden/>
          </w:rPr>
          <w:fldChar w:fldCharType="begin"/>
        </w:r>
        <w:r w:rsidR="00C0589B">
          <w:rPr>
            <w:noProof/>
            <w:webHidden/>
          </w:rPr>
          <w:instrText xml:space="preserve"> PAGEREF _Toc24546422 \h </w:instrText>
        </w:r>
        <w:r>
          <w:rPr>
            <w:noProof/>
            <w:webHidden/>
          </w:rPr>
        </w:r>
        <w:r>
          <w:rPr>
            <w:noProof/>
            <w:webHidden/>
          </w:rPr>
          <w:fldChar w:fldCharType="separate"/>
        </w:r>
        <w:r w:rsidR="00C0589B">
          <w:rPr>
            <w:noProof/>
            <w:webHidden/>
          </w:rPr>
          <w:t>2</w:t>
        </w:r>
        <w:r>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23" w:history="1">
        <w:r w:rsidR="00C0589B" w:rsidRPr="00D23F55">
          <w:rPr>
            <w:rStyle w:val="af0"/>
            <w:noProof/>
          </w:rPr>
          <w:t>Список сокращений</w:t>
        </w:r>
        <w:r w:rsidR="00C0589B">
          <w:rPr>
            <w:noProof/>
            <w:webHidden/>
          </w:rPr>
          <w:tab/>
        </w:r>
        <w:r w:rsidR="000B0AC3">
          <w:rPr>
            <w:noProof/>
            <w:webHidden/>
          </w:rPr>
          <w:fldChar w:fldCharType="begin"/>
        </w:r>
        <w:r w:rsidR="00C0589B">
          <w:rPr>
            <w:noProof/>
            <w:webHidden/>
          </w:rPr>
          <w:instrText xml:space="preserve"> PAGEREF _Toc24546423 \h </w:instrText>
        </w:r>
        <w:r w:rsidR="000B0AC3">
          <w:rPr>
            <w:noProof/>
            <w:webHidden/>
          </w:rPr>
        </w:r>
        <w:r w:rsidR="000B0AC3">
          <w:rPr>
            <w:noProof/>
            <w:webHidden/>
          </w:rPr>
          <w:fldChar w:fldCharType="separate"/>
        </w:r>
        <w:r w:rsidR="00C0589B">
          <w:rPr>
            <w:noProof/>
            <w:webHidden/>
          </w:rPr>
          <w:t>5</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24" w:history="1">
        <w:r w:rsidR="00C0589B" w:rsidRPr="00D23F55">
          <w:rPr>
            <w:rStyle w:val="af0"/>
            <w:noProof/>
          </w:rPr>
          <w:t>Термины и определения</w:t>
        </w:r>
        <w:r w:rsidR="00C0589B">
          <w:rPr>
            <w:noProof/>
            <w:webHidden/>
          </w:rPr>
          <w:tab/>
        </w:r>
        <w:r w:rsidR="000B0AC3">
          <w:rPr>
            <w:noProof/>
            <w:webHidden/>
          </w:rPr>
          <w:fldChar w:fldCharType="begin"/>
        </w:r>
        <w:r w:rsidR="00C0589B">
          <w:rPr>
            <w:noProof/>
            <w:webHidden/>
          </w:rPr>
          <w:instrText xml:space="preserve"> PAGEREF _Toc24546424 \h </w:instrText>
        </w:r>
        <w:r w:rsidR="000B0AC3">
          <w:rPr>
            <w:noProof/>
            <w:webHidden/>
          </w:rPr>
        </w:r>
        <w:r w:rsidR="000B0AC3">
          <w:rPr>
            <w:noProof/>
            <w:webHidden/>
          </w:rPr>
          <w:fldChar w:fldCharType="separate"/>
        </w:r>
        <w:r w:rsidR="00C0589B">
          <w:rPr>
            <w:noProof/>
            <w:webHidden/>
          </w:rPr>
          <w:t>7</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25" w:history="1">
        <w:r w:rsidR="00C0589B" w:rsidRPr="00D23F55">
          <w:rPr>
            <w:rStyle w:val="af0"/>
            <w:noProof/>
          </w:rPr>
          <w:t>1. Краткая информация по заболеванию или состоянию  (группе заболеваний или состояний)</w:t>
        </w:r>
        <w:r w:rsidR="00C0589B">
          <w:rPr>
            <w:noProof/>
            <w:webHidden/>
          </w:rPr>
          <w:tab/>
        </w:r>
        <w:r w:rsidR="000B0AC3">
          <w:rPr>
            <w:noProof/>
            <w:webHidden/>
          </w:rPr>
          <w:fldChar w:fldCharType="begin"/>
        </w:r>
        <w:r w:rsidR="00C0589B">
          <w:rPr>
            <w:noProof/>
            <w:webHidden/>
          </w:rPr>
          <w:instrText xml:space="preserve"> PAGEREF _Toc24546425 \h </w:instrText>
        </w:r>
        <w:r w:rsidR="000B0AC3">
          <w:rPr>
            <w:noProof/>
            <w:webHidden/>
          </w:rPr>
        </w:r>
        <w:r w:rsidR="000B0AC3">
          <w:rPr>
            <w:noProof/>
            <w:webHidden/>
          </w:rPr>
          <w:fldChar w:fldCharType="separate"/>
        </w:r>
        <w:r w:rsidR="00C0589B">
          <w:rPr>
            <w:noProof/>
            <w:webHidden/>
          </w:rPr>
          <w:t>8</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26" w:history="1">
        <w:r w:rsidR="00C0589B" w:rsidRPr="00D23F55">
          <w:rPr>
            <w:rStyle w:val="af0"/>
            <w:noProof/>
          </w:rPr>
          <w:t>1.1. Определени</w:t>
        </w:r>
        <w:r w:rsidR="00C0589B" w:rsidRPr="00D23F55">
          <w:rPr>
            <w:rStyle w:val="af0"/>
            <w:noProof/>
            <w:shd w:val="clear" w:color="auto" w:fill="FFFFFF"/>
          </w:rPr>
          <w:t>е заболевания или состояния (группы заболеваний или состояний)</w:t>
        </w:r>
        <w:r w:rsidR="00C0589B">
          <w:rPr>
            <w:noProof/>
            <w:webHidden/>
          </w:rPr>
          <w:tab/>
        </w:r>
        <w:r w:rsidR="000B0AC3">
          <w:rPr>
            <w:noProof/>
            <w:webHidden/>
          </w:rPr>
          <w:fldChar w:fldCharType="begin"/>
        </w:r>
        <w:r w:rsidR="00C0589B">
          <w:rPr>
            <w:noProof/>
            <w:webHidden/>
          </w:rPr>
          <w:instrText xml:space="preserve"> PAGEREF _Toc24546426 \h </w:instrText>
        </w:r>
        <w:r w:rsidR="000B0AC3">
          <w:rPr>
            <w:noProof/>
            <w:webHidden/>
          </w:rPr>
        </w:r>
        <w:r w:rsidR="000B0AC3">
          <w:rPr>
            <w:noProof/>
            <w:webHidden/>
          </w:rPr>
          <w:fldChar w:fldCharType="separate"/>
        </w:r>
        <w:r w:rsidR="00C0589B">
          <w:rPr>
            <w:noProof/>
            <w:webHidden/>
          </w:rPr>
          <w:t>8</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27" w:history="1">
        <w:r w:rsidR="00C0589B" w:rsidRPr="00D23F55">
          <w:rPr>
            <w:rStyle w:val="af0"/>
            <w:noProof/>
          </w:rPr>
          <w:t>1.2. Этиология и патогенез заболевания или состояния (группы заболеваний или состояний)</w:t>
        </w:r>
        <w:r w:rsidR="00C0589B">
          <w:rPr>
            <w:noProof/>
            <w:webHidden/>
          </w:rPr>
          <w:tab/>
        </w:r>
        <w:r w:rsidR="000B0AC3">
          <w:rPr>
            <w:noProof/>
            <w:webHidden/>
          </w:rPr>
          <w:fldChar w:fldCharType="begin"/>
        </w:r>
        <w:r w:rsidR="00C0589B">
          <w:rPr>
            <w:noProof/>
            <w:webHidden/>
          </w:rPr>
          <w:instrText xml:space="preserve"> PAGEREF _Toc24546427 \h </w:instrText>
        </w:r>
        <w:r w:rsidR="000B0AC3">
          <w:rPr>
            <w:noProof/>
            <w:webHidden/>
          </w:rPr>
        </w:r>
        <w:r w:rsidR="000B0AC3">
          <w:rPr>
            <w:noProof/>
            <w:webHidden/>
          </w:rPr>
          <w:fldChar w:fldCharType="separate"/>
        </w:r>
        <w:r w:rsidR="00C0589B">
          <w:rPr>
            <w:noProof/>
            <w:webHidden/>
          </w:rPr>
          <w:t>8</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28" w:history="1">
        <w:r w:rsidR="00C0589B" w:rsidRPr="00D23F55">
          <w:rPr>
            <w:rStyle w:val="af0"/>
            <w:noProof/>
          </w:rPr>
          <w:t>1.3. Эпидемиология заболевания или состояния (группы заболеваний или состояний)</w:t>
        </w:r>
        <w:r w:rsidR="00C0589B">
          <w:rPr>
            <w:noProof/>
            <w:webHidden/>
          </w:rPr>
          <w:tab/>
        </w:r>
        <w:r w:rsidR="000B0AC3">
          <w:rPr>
            <w:noProof/>
            <w:webHidden/>
          </w:rPr>
          <w:fldChar w:fldCharType="begin"/>
        </w:r>
        <w:r w:rsidR="00C0589B">
          <w:rPr>
            <w:noProof/>
            <w:webHidden/>
          </w:rPr>
          <w:instrText xml:space="preserve"> PAGEREF _Toc24546428 \h </w:instrText>
        </w:r>
        <w:r w:rsidR="000B0AC3">
          <w:rPr>
            <w:noProof/>
            <w:webHidden/>
          </w:rPr>
        </w:r>
        <w:r w:rsidR="000B0AC3">
          <w:rPr>
            <w:noProof/>
            <w:webHidden/>
          </w:rPr>
          <w:fldChar w:fldCharType="separate"/>
        </w:r>
        <w:r w:rsidR="00C0589B">
          <w:rPr>
            <w:noProof/>
            <w:webHidden/>
          </w:rPr>
          <w:t>9</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29" w:history="1">
        <w:r w:rsidR="00C0589B" w:rsidRPr="00D23F55">
          <w:rPr>
            <w:rStyle w:val="af0"/>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C0589B">
          <w:rPr>
            <w:noProof/>
            <w:webHidden/>
          </w:rPr>
          <w:tab/>
        </w:r>
        <w:r w:rsidR="000B0AC3">
          <w:rPr>
            <w:noProof/>
            <w:webHidden/>
          </w:rPr>
          <w:fldChar w:fldCharType="begin"/>
        </w:r>
        <w:r w:rsidR="00C0589B">
          <w:rPr>
            <w:noProof/>
            <w:webHidden/>
          </w:rPr>
          <w:instrText xml:space="preserve"> PAGEREF _Toc24546429 \h </w:instrText>
        </w:r>
        <w:r w:rsidR="000B0AC3">
          <w:rPr>
            <w:noProof/>
            <w:webHidden/>
          </w:rPr>
        </w:r>
        <w:r w:rsidR="000B0AC3">
          <w:rPr>
            <w:noProof/>
            <w:webHidden/>
          </w:rPr>
          <w:fldChar w:fldCharType="separate"/>
        </w:r>
        <w:r w:rsidR="00C0589B">
          <w:rPr>
            <w:noProof/>
            <w:webHidden/>
          </w:rPr>
          <w:t>9</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0" w:history="1">
        <w:r w:rsidR="00C0589B" w:rsidRPr="00D23F55">
          <w:rPr>
            <w:rStyle w:val="af0"/>
            <w:noProof/>
          </w:rPr>
          <w:t>1.5. Классификация заболевания или состояния (группы заболеваний или состояний)</w:t>
        </w:r>
        <w:r w:rsidR="00C0589B">
          <w:rPr>
            <w:noProof/>
            <w:webHidden/>
          </w:rPr>
          <w:tab/>
        </w:r>
        <w:r w:rsidR="000B0AC3">
          <w:rPr>
            <w:noProof/>
            <w:webHidden/>
          </w:rPr>
          <w:fldChar w:fldCharType="begin"/>
        </w:r>
        <w:r w:rsidR="00C0589B">
          <w:rPr>
            <w:noProof/>
            <w:webHidden/>
          </w:rPr>
          <w:instrText xml:space="preserve"> PAGEREF _Toc24546430 \h </w:instrText>
        </w:r>
        <w:r w:rsidR="000B0AC3">
          <w:rPr>
            <w:noProof/>
            <w:webHidden/>
          </w:rPr>
        </w:r>
        <w:r w:rsidR="000B0AC3">
          <w:rPr>
            <w:noProof/>
            <w:webHidden/>
          </w:rPr>
          <w:fldChar w:fldCharType="separate"/>
        </w:r>
        <w:r w:rsidR="00C0589B">
          <w:rPr>
            <w:noProof/>
            <w:webHidden/>
          </w:rPr>
          <w:t>9</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1" w:history="1">
        <w:r w:rsidR="00C0589B" w:rsidRPr="00D23F55">
          <w:rPr>
            <w:rStyle w:val="af0"/>
            <w:bCs/>
            <w:noProof/>
          </w:rPr>
          <w:t>1.6. Клиническая картина заболевания или состояния (группы заболеваний или состояний)</w:t>
        </w:r>
        <w:r w:rsidR="00C0589B">
          <w:rPr>
            <w:noProof/>
            <w:webHidden/>
          </w:rPr>
          <w:tab/>
        </w:r>
        <w:r w:rsidR="000B0AC3">
          <w:rPr>
            <w:noProof/>
            <w:webHidden/>
          </w:rPr>
          <w:fldChar w:fldCharType="begin"/>
        </w:r>
        <w:r w:rsidR="00C0589B">
          <w:rPr>
            <w:noProof/>
            <w:webHidden/>
          </w:rPr>
          <w:instrText xml:space="preserve"> PAGEREF _Toc24546431 \h </w:instrText>
        </w:r>
        <w:r w:rsidR="000B0AC3">
          <w:rPr>
            <w:noProof/>
            <w:webHidden/>
          </w:rPr>
        </w:r>
        <w:r w:rsidR="000B0AC3">
          <w:rPr>
            <w:noProof/>
            <w:webHidden/>
          </w:rPr>
          <w:fldChar w:fldCharType="separate"/>
        </w:r>
        <w:r w:rsidR="00C0589B">
          <w:rPr>
            <w:noProof/>
            <w:webHidden/>
          </w:rPr>
          <w:t>11</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32" w:history="1">
        <w:r w:rsidR="00C0589B" w:rsidRPr="00D23F55">
          <w:rPr>
            <w:rStyle w:val="af0"/>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C0589B">
          <w:rPr>
            <w:noProof/>
            <w:webHidden/>
          </w:rPr>
          <w:tab/>
        </w:r>
        <w:r w:rsidR="000B0AC3">
          <w:rPr>
            <w:noProof/>
            <w:webHidden/>
          </w:rPr>
          <w:fldChar w:fldCharType="begin"/>
        </w:r>
        <w:r w:rsidR="00C0589B">
          <w:rPr>
            <w:noProof/>
            <w:webHidden/>
          </w:rPr>
          <w:instrText xml:space="preserve"> PAGEREF _Toc24546432 \h </w:instrText>
        </w:r>
        <w:r w:rsidR="000B0AC3">
          <w:rPr>
            <w:noProof/>
            <w:webHidden/>
          </w:rPr>
        </w:r>
        <w:r w:rsidR="000B0AC3">
          <w:rPr>
            <w:noProof/>
            <w:webHidden/>
          </w:rPr>
          <w:fldChar w:fldCharType="separate"/>
        </w:r>
        <w:r w:rsidR="00C0589B">
          <w:rPr>
            <w:noProof/>
            <w:webHidden/>
          </w:rPr>
          <w:t>11</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3" w:history="1">
        <w:r w:rsidR="00C0589B" w:rsidRPr="00D23F55">
          <w:rPr>
            <w:rStyle w:val="af0"/>
            <w:noProof/>
          </w:rPr>
          <w:t>2.1. Жалобы и анамнез</w:t>
        </w:r>
        <w:r w:rsidR="00C0589B">
          <w:rPr>
            <w:noProof/>
            <w:webHidden/>
          </w:rPr>
          <w:tab/>
        </w:r>
        <w:r w:rsidR="000B0AC3">
          <w:rPr>
            <w:noProof/>
            <w:webHidden/>
          </w:rPr>
          <w:fldChar w:fldCharType="begin"/>
        </w:r>
        <w:r w:rsidR="00C0589B">
          <w:rPr>
            <w:noProof/>
            <w:webHidden/>
          </w:rPr>
          <w:instrText xml:space="preserve"> PAGEREF _Toc24546433 \h </w:instrText>
        </w:r>
        <w:r w:rsidR="000B0AC3">
          <w:rPr>
            <w:noProof/>
            <w:webHidden/>
          </w:rPr>
        </w:r>
        <w:r w:rsidR="000B0AC3">
          <w:rPr>
            <w:noProof/>
            <w:webHidden/>
          </w:rPr>
          <w:fldChar w:fldCharType="separate"/>
        </w:r>
        <w:r w:rsidR="00C0589B">
          <w:rPr>
            <w:noProof/>
            <w:webHidden/>
          </w:rPr>
          <w:t>12</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4" w:history="1">
        <w:r w:rsidR="00C0589B" w:rsidRPr="00D23F55">
          <w:rPr>
            <w:rStyle w:val="af0"/>
            <w:noProof/>
          </w:rPr>
          <w:t>2.2. Физикальное обследование</w:t>
        </w:r>
        <w:r w:rsidR="00C0589B">
          <w:rPr>
            <w:noProof/>
            <w:webHidden/>
          </w:rPr>
          <w:tab/>
        </w:r>
        <w:r w:rsidR="000B0AC3">
          <w:rPr>
            <w:noProof/>
            <w:webHidden/>
          </w:rPr>
          <w:fldChar w:fldCharType="begin"/>
        </w:r>
        <w:r w:rsidR="00C0589B">
          <w:rPr>
            <w:noProof/>
            <w:webHidden/>
          </w:rPr>
          <w:instrText xml:space="preserve"> PAGEREF _Toc24546434 \h </w:instrText>
        </w:r>
        <w:r w:rsidR="000B0AC3">
          <w:rPr>
            <w:noProof/>
            <w:webHidden/>
          </w:rPr>
        </w:r>
        <w:r w:rsidR="000B0AC3">
          <w:rPr>
            <w:noProof/>
            <w:webHidden/>
          </w:rPr>
          <w:fldChar w:fldCharType="separate"/>
        </w:r>
        <w:r w:rsidR="00C0589B">
          <w:rPr>
            <w:noProof/>
            <w:webHidden/>
          </w:rPr>
          <w:t>12</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5" w:history="1">
        <w:r w:rsidR="00C0589B" w:rsidRPr="00D23F55">
          <w:rPr>
            <w:rStyle w:val="af0"/>
            <w:noProof/>
          </w:rPr>
          <w:t>2.3. Лабораторные диагностические исследования</w:t>
        </w:r>
        <w:r w:rsidR="00C0589B">
          <w:rPr>
            <w:noProof/>
            <w:webHidden/>
          </w:rPr>
          <w:tab/>
        </w:r>
        <w:r w:rsidR="000B0AC3">
          <w:rPr>
            <w:noProof/>
            <w:webHidden/>
          </w:rPr>
          <w:fldChar w:fldCharType="begin"/>
        </w:r>
        <w:r w:rsidR="00C0589B">
          <w:rPr>
            <w:noProof/>
            <w:webHidden/>
          </w:rPr>
          <w:instrText xml:space="preserve"> PAGEREF _Toc24546435 \h </w:instrText>
        </w:r>
        <w:r w:rsidR="000B0AC3">
          <w:rPr>
            <w:noProof/>
            <w:webHidden/>
          </w:rPr>
        </w:r>
        <w:r w:rsidR="000B0AC3">
          <w:rPr>
            <w:noProof/>
            <w:webHidden/>
          </w:rPr>
          <w:fldChar w:fldCharType="separate"/>
        </w:r>
        <w:r w:rsidR="00C0589B">
          <w:rPr>
            <w:noProof/>
            <w:webHidden/>
          </w:rPr>
          <w:t>13</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6" w:history="1">
        <w:r w:rsidR="00C0589B" w:rsidRPr="00D23F55">
          <w:rPr>
            <w:rStyle w:val="af0"/>
            <w:noProof/>
          </w:rPr>
          <w:t>2.4. Инструментальные диагностические исследования</w:t>
        </w:r>
        <w:r w:rsidR="00C0589B">
          <w:rPr>
            <w:noProof/>
            <w:webHidden/>
          </w:rPr>
          <w:tab/>
        </w:r>
        <w:r w:rsidR="000B0AC3">
          <w:rPr>
            <w:noProof/>
            <w:webHidden/>
          </w:rPr>
          <w:fldChar w:fldCharType="begin"/>
        </w:r>
        <w:r w:rsidR="00C0589B">
          <w:rPr>
            <w:noProof/>
            <w:webHidden/>
          </w:rPr>
          <w:instrText xml:space="preserve"> PAGEREF _Toc24546436 \h </w:instrText>
        </w:r>
        <w:r w:rsidR="000B0AC3">
          <w:rPr>
            <w:noProof/>
            <w:webHidden/>
          </w:rPr>
        </w:r>
        <w:r w:rsidR="000B0AC3">
          <w:rPr>
            <w:noProof/>
            <w:webHidden/>
          </w:rPr>
          <w:fldChar w:fldCharType="separate"/>
        </w:r>
        <w:r w:rsidR="00C0589B">
          <w:rPr>
            <w:noProof/>
            <w:webHidden/>
          </w:rPr>
          <w:t>19</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7" w:history="1">
        <w:r w:rsidR="00C0589B" w:rsidRPr="00D23F55">
          <w:rPr>
            <w:rStyle w:val="af0"/>
            <w:noProof/>
          </w:rPr>
          <w:t>2.5. Иные диагностические исследования</w:t>
        </w:r>
        <w:r w:rsidR="00C0589B">
          <w:rPr>
            <w:noProof/>
            <w:webHidden/>
          </w:rPr>
          <w:tab/>
        </w:r>
        <w:r w:rsidR="000B0AC3">
          <w:rPr>
            <w:noProof/>
            <w:webHidden/>
          </w:rPr>
          <w:fldChar w:fldCharType="begin"/>
        </w:r>
        <w:r w:rsidR="00C0589B">
          <w:rPr>
            <w:noProof/>
            <w:webHidden/>
          </w:rPr>
          <w:instrText xml:space="preserve"> PAGEREF _Toc24546437 \h </w:instrText>
        </w:r>
        <w:r w:rsidR="000B0AC3">
          <w:rPr>
            <w:noProof/>
            <w:webHidden/>
          </w:rPr>
        </w:r>
        <w:r w:rsidR="000B0AC3">
          <w:rPr>
            <w:noProof/>
            <w:webHidden/>
          </w:rPr>
          <w:fldChar w:fldCharType="separate"/>
        </w:r>
        <w:r w:rsidR="00C0589B">
          <w:rPr>
            <w:noProof/>
            <w:webHidden/>
          </w:rPr>
          <w:t>20</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38" w:history="1">
        <w:r w:rsidR="00C0589B" w:rsidRPr="00D23F55">
          <w:rPr>
            <w:rStyle w:val="af0"/>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C0589B">
          <w:rPr>
            <w:noProof/>
            <w:webHidden/>
          </w:rPr>
          <w:tab/>
        </w:r>
        <w:r w:rsidR="000B0AC3">
          <w:rPr>
            <w:noProof/>
            <w:webHidden/>
          </w:rPr>
          <w:fldChar w:fldCharType="begin"/>
        </w:r>
        <w:r w:rsidR="00C0589B">
          <w:rPr>
            <w:noProof/>
            <w:webHidden/>
          </w:rPr>
          <w:instrText xml:space="preserve"> PAGEREF _Toc24546438 \h </w:instrText>
        </w:r>
        <w:r w:rsidR="000B0AC3">
          <w:rPr>
            <w:noProof/>
            <w:webHidden/>
          </w:rPr>
        </w:r>
        <w:r w:rsidR="000B0AC3">
          <w:rPr>
            <w:noProof/>
            <w:webHidden/>
          </w:rPr>
          <w:fldChar w:fldCharType="separate"/>
        </w:r>
        <w:r w:rsidR="00C0589B">
          <w:rPr>
            <w:noProof/>
            <w:webHidden/>
          </w:rPr>
          <w:t>21</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39" w:history="1">
        <w:r w:rsidR="00C0589B" w:rsidRPr="00D23F55">
          <w:rPr>
            <w:rStyle w:val="af0"/>
            <w:noProof/>
          </w:rPr>
          <w:t>3.1. Показания к началу терапии В-клеточного ХЛЛ</w:t>
        </w:r>
        <w:r w:rsidR="00C0589B">
          <w:rPr>
            <w:noProof/>
            <w:webHidden/>
          </w:rPr>
          <w:tab/>
        </w:r>
        <w:r w:rsidR="000B0AC3">
          <w:rPr>
            <w:noProof/>
            <w:webHidden/>
          </w:rPr>
          <w:fldChar w:fldCharType="begin"/>
        </w:r>
        <w:r w:rsidR="00C0589B">
          <w:rPr>
            <w:noProof/>
            <w:webHidden/>
          </w:rPr>
          <w:instrText xml:space="preserve"> PAGEREF _Toc24546439 \h </w:instrText>
        </w:r>
        <w:r w:rsidR="000B0AC3">
          <w:rPr>
            <w:noProof/>
            <w:webHidden/>
          </w:rPr>
        </w:r>
        <w:r w:rsidR="000B0AC3">
          <w:rPr>
            <w:noProof/>
            <w:webHidden/>
          </w:rPr>
          <w:fldChar w:fldCharType="separate"/>
        </w:r>
        <w:r w:rsidR="00C0589B">
          <w:rPr>
            <w:noProof/>
            <w:webHidden/>
          </w:rPr>
          <w:t>21</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40" w:history="1">
        <w:r w:rsidR="00C0589B" w:rsidRPr="00D23F55">
          <w:rPr>
            <w:rStyle w:val="af0"/>
            <w:noProof/>
          </w:rPr>
          <w:t>3.2. Первая линия лечения ХЛЛ</w:t>
        </w:r>
        <w:r w:rsidR="00C0589B">
          <w:rPr>
            <w:noProof/>
            <w:webHidden/>
          </w:rPr>
          <w:tab/>
        </w:r>
        <w:r w:rsidR="000B0AC3">
          <w:rPr>
            <w:noProof/>
            <w:webHidden/>
          </w:rPr>
          <w:fldChar w:fldCharType="begin"/>
        </w:r>
        <w:r w:rsidR="00C0589B">
          <w:rPr>
            <w:noProof/>
            <w:webHidden/>
          </w:rPr>
          <w:instrText xml:space="preserve"> PAGEREF _Toc24546440 \h </w:instrText>
        </w:r>
        <w:r w:rsidR="000B0AC3">
          <w:rPr>
            <w:noProof/>
            <w:webHidden/>
          </w:rPr>
        </w:r>
        <w:r w:rsidR="000B0AC3">
          <w:rPr>
            <w:noProof/>
            <w:webHidden/>
          </w:rPr>
          <w:fldChar w:fldCharType="separate"/>
        </w:r>
        <w:r w:rsidR="00C0589B">
          <w:rPr>
            <w:noProof/>
            <w:webHidden/>
          </w:rPr>
          <w:t>21</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41" w:history="1">
        <w:r w:rsidR="00C0589B" w:rsidRPr="00D23F55">
          <w:rPr>
            <w:rStyle w:val="af0"/>
            <w:noProof/>
          </w:rPr>
          <w:t>3.3. Выбор терапии ХЛЛ 2-й и последующих линий</w:t>
        </w:r>
        <w:r w:rsidR="00C0589B">
          <w:rPr>
            <w:noProof/>
            <w:webHidden/>
          </w:rPr>
          <w:tab/>
        </w:r>
        <w:r w:rsidR="000B0AC3">
          <w:rPr>
            <w:noProof/>
            <w:webHidden/>
          </w:rPr>
          <w:fldChar w:fldCharType="begin"/>
        </w:r>
        <w:r w:rsidR="00C0589B">
          <w:rPr>
            <w:noProof/>
            <w:webHidden/>
          </w:rPr>
          <w:instrText xml:space="preserve"> PAGEREF _Toc24546441 \h </w:instrText>
        </w:r>
        <w:r w:rsidR="000B0AC3">
          <w:rPr>
            <w:noProof/>
            <w:webHidden/>
          </w:rPr>
        </w:r>
        <w:r w:rsidR="000B0AC3">
          <w:rPr>
            <w:noProof/>
            <w:webHidden/>
          </w:rPr>
          <w:fldChar w:fldCharType="separate"/>
        </w:r>
        <w:r w:rsidR="00C0589B">
          <w:rPr>
            <w:noProof/>
            <w:webHidden/>
          </w:rPr>
          <w:t>29</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42" w:history="1">
        <w:r w:rsidR="00C0589B" w:rsidRPr="00D23F55">
          <w:rPr>
            <w:rStyle w:val="af0"/>
            <w:noProof/>
          </w:rPr>
          <w:t>3.4. Сопутствующая и сопроводительная терапия</w:t>
        </w:r>
        <w:r w:rsidR="00C0589B">
          <w:rPr>
            <w:noProof/>
            <w:webHidden/>
          </w:rPr>
          <w:tab/>
        </w:r>
        <w:r w:rsidR="000B0AC3">
          <w:rPr>
            <w:noProof/>
            <w:webHidden/>
          </w:rPr>
          <w:fldChar w:fldCharType="begin"/>
        </w:r>
        <w:r w:rsidR="00C0589B">
          <w:rPr>
            <w:noProof/>
            <w:webHidden/>
          </w:rPr>
          <w:instrText xml:space="preserve"> PAGEREF _Toc24546442 \h </w:instrText>
        </w:r>
        <w:r w:rsidR="000B0AC3">
          <w:rPr>
            <w:noProof/>
            <w:webHidden/>
          </w:rPr>
        </w:r>
        <w:r w:rsidR="000B0AC3">
          <w:rPr>
            <w:noProof/>
            <w:webHidden/>
          </w:rPr>
          <w:fldChar w:fldCharType="separate"/>
        </w:r>
        <w:r w:rsidR="00C0589B">
          <w:rPr>
            <w:noProof/>
            <w:webHidden/>
          </w:rPr>
          <w:t>32</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43" w:history="1">
        <w:r w:rsidR="00C0589B" w:rsidRPr="00D23F55">
          <w:rPr>
            <w:rStyle w:val="af0"/>
            <w:noProof/>
          </w:rPr>
          <w:t>3.5. Оценка ответа на лечение</w:t>
        </w:r>
        <w:r w:rsidR="00C0589B">
          <w:rPr>
            <w:noProof/>
            <w:webHidden/>
          </w:rPr>
          <w:tab/>
        </w:r>
        <w:r w:rsidR="000B0AC3">
          <w:rPr>
            <w:noProof/>
            <w:webHidden/>
          </w:rPr>
          <w:fldChar w:fldCharType="begin"/>
        </w:r>
        <w:r w:rsidR="00C0589B">
          <w:rPr>
            <w:noProof/>
            <w:webHidden/>
          </w:rPr>
          <w:instrText xml:space="preserve"> PAGEREF _Toc24546443 \h </w:instrText>
        </w:r>
        <w:r w:rsidR="000B0AC3">
          <w:rPr>
            <w:noProof/>
            <w:webHidden/>
          </w:rPr>
        </w:r>
        <w:r w:rsidR="000B0AC3">
          <w:rPr>
            <w:noProof/>
            <w:webHidden/>
          </w:rPr>
          <w:fldChar w:fldCharType="separate"/>
        </w:r>
        <w:r w:rsidR="00C0589B">
          <w:rPr>
            <w:noProof/>
            <w:webHidden/>
          </w:rPr>
          <w:t>33</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44" w:history="1">
        <w:r w:rsidR="00C0589B" w:rsidRPr="00D23F55">
          <w:rPr>
            <w:rStyle w:val="af0"/>
            <w:noProof/>
          </w:rPr>
          <w:t>3.6 Обезболивание</w:t>
        </w:r>
        <w:r w:rsidR="00C0589B">
          <w:rPr>
            <w:noProof/>
            <w:webHidden/>
          </w:rPr>
          <w:tab/>
        </w:r>
        <w:r w:rsidR="000B0AC3">
          <w:rPr>
            <w:noProof/>
            <w:webHidden/>
          </w:rPr>
          <w:fldChar w:fldCharType="begin"/>
        </w:r>
        <w:r w:rsidR="00C0589B">
          <w:rPr>
            <w:noProof/>
            <w:webHidden/>
          </w:rPr>
          <w:instrText xml:space="preserve"> PAGEREF _Toc24546444 \h </w:instrText>
        </w:r>
        <w:r w:rsidR="000B0AC3">
          <w:rPr>
            <w:noProof/>
            <w:webHidden/>
          </w:rPr>
        </w:r>
        <w:r w:rsidR="000B0AC3">
          <w:rPr>
            <w:noProof/>
            <w:webHidden/>
          </w:rPr>
          <w:fldChar w:fldCharType="separate"/>
        </w:r>
        <w:r w:rsidR="00C0589B">
          <w:rPr>
            <w:noProof/>
            <w:webHidden/>
          </w:rPr>
          <w:t>34</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45" w:history="1">
        <w:r w:rsidR="00C0589B" w:rsidRPr="00D23F55">
          <w:rPr>
            <w:rStyle w:val="af0"/>
            <w:noProof/>
          </w:rPr>
          <w:t>4. Медицинская реабилитация, медицинские показания  и противопоказания к применению методов реабилитации</w:t>
        </w:r>
        <w:r w:rsidR="00C0589B">
          <w:rPr>
            <w:noProof/>
            <w:webHidden/>
          </w:rPr>
          <w:tab/>
        </w:r>
        <w:r w:rsidR="000B0AC3">
          <w:rPr>
            <w:noProof/>
            <w:webHidden/>
          </w:rPr>
          <w:fldChar w:fldCharType="begin"/>
        </w:r>
        <w:r w:rsidR="00C0589B">
          <w:rPr>
            <w:noProof/>
            <w:webHidden/>
          </w:rPr>
          <w:instrText xml:space="preserve"> PAGEREF _Toc24546445 \h </w:instrText>
        </w:r>
        <w:r w:rsidR="000B0AC3">
          <w:rPr>
            <w:noProof/>
            <w:webHidden/>
          </w:rPr>
        </w:r>
        <w:r w:rsidR="000B0AC3">
          <w:rPr>
            <w:noProof/>
            <w:webHidden/>
          </w:rPr>
          <w:fldChar w:fldCharType="separate"/>
        </w:r>
        <w:r w:rsidR="00C0589B">
          <w:rPr>
            <w:noProof/>
            <w:webHidden/>
          </w:rPr>
          <w:t>34</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46" w:history="1">
        <w:r w:rsidR="00C0589B" w:rsidRPr="00D23F55">
          <w:rPr>
            <w:rStyle w:val="af0"/>
            <w:noProof/>
          </w:rPr>
          <w:t>5. Профилактика и диспансерное наблюдение,  медицинские показания и противопоказания  к применению методов профилактики</w:t>
        </w:r>
        <w:r w:rsidR="00C0589B">
          <w:rPr>
            <w:noProof/>
            <w:webHidden/>
          </w:rPr>
          <w:tab/>
        </w:r>
        <w:r w:rsidR="000B0AC3">
          <w:rPr>
            <w:noProof/>
            <w:webHidden/>
          </w:rPr>
          <w:fldChar w:fldCharType="begin"/>
        </w:r>
        <w:r w:rsidR="00C0589B">
          <w:rPr>
            <w:noProof/>
            <w:webHidden/>
          </w:rPr>
          <w:instrText xml:space="preserve"> PAGEREF _Toc24546446 \h </w:instrText>
        </w:r>
        <w:r w:rsidR="000B0AC3">
          <w:rPr>
            <w:noProof/>
            <w:webHidden/>
          </w:rPr>
        </w:r>
        <w:r w:rsidR="000B0AC3">
          <w:rPr>
            <w:noProof/>
            <w:webHidden/>
          </w:rPr>
          <w:fldChar w:fldCharType="separate"/>
        </w:r>
        <w:r w:rsidR="00C0589B">
          <w:rPr>
            <w:noProof/>
            <w:webHidden/>
          </w:rPr>
          <w:t>35</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47" w:history="1">
        <w:r w:rsidR="00C0589B" w:rsidRPr="00D23F55">
          <w:rPr>
            <w:rStyle w:val="af0"/>
            <w:noProof/>
          </w:rPr>
          <w:t>6. Организация оказания медицинской помощи</w:t>
        </w:r>
        <w:r w:rsidR="00C0589B">
          <w:rPr>
            <w:noProof/>
            <w:webHidden/>
          </w:rPr>
          <w:tab/>
        </w:r>
        <w:r w:rsidR="000B0AC3">
          <w:rPr>
            <w:noProof/>
            <w:webHidden/>
          </w:rPr>
          <w:fldChar w:fldCharType="begin"/>
        </w:r>
        <w:r w:rsidR="00C0589B">
          <w:rPr>
            <w:noProof/>
            <w:webHidden/>
          </w:rPr>
          <w:instrText xml:space="preserve"> PAGEREF _Toc24546447 \h </w:instrText>
        </w:r>
        <w:r w:rsidR="000B0AC3">
          <w:rPr>
            <w:noProof/>
            <w:webHidden/>
          </w:rPr>
        </w:r>
        <w:r w:rsidR="000B0AC3">
          <w:rPr>
            <w:noProof/>
            <w:webHidden/>
          </w:rPr>
          <w:fldChar w:fldCharType="separate"/>
        </w:r>
        <w:r w:rsidR="00C0589B">
          <w:rPr>
            <w:noProof/>
            <w:webHidden/>
          </w:rPr>
          <w:t>35</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48" w:history="1">
        <w:r w:rsidR="00C0589B" w:rsidRPr="00D23F55">
          <w:rPr>
            <w:rStyle w:val="af0"/>
            <w:rFonts w:eastAsia="GalsLightC"/>
            <w:noProof/>
          </w:rPr>
          <w:t>7. Дополнительная информация (в том числе факторы, влияющие на исход заболевания или состояния)</w:t>
        </w:r>
        <w:r w:rsidR="00C0589B">
          <w:rPr>
            <w:noProof/>
            <w:webHidden/>
          </w:rPr>
          <w:tab/>
        </w:r>
        <w:r w:rsidR="000B0AC3">
          <w:rPr>
            <w:noProof/>
            <w:webHidden/>
          </w:rPr>
          <w:fldChar w:fldCharType="begin"/>
        </w:r>
        <w:r w:rsidR="00C0589B">
          <w:rPr>
            <w:noProof/>
            <w:webHidden/>
          </w:rPr>
          <w:instrText xml:space="preserve"> PAGEREF _Toc24546448 \h </w:instrText>
        </w:r>
        <w:r w:rsidR="000B0AC3">
          <w:rPr>
            <w:noProof/>
            <w:webHidden/>
          </w:rPr>
        </w:r>
        <w:r w:rsidR="000B0AC3">
          <w:rPr>
            <w:noProof/>
            <w:webHidden/>
          </w:rPr>
          <w:fldChar w:fldCharType="separate"/>
        </w:r>
        <w:r w:rsidR="00C0589B">
          <w:rPr>
            <w:noProof/>
            <w:webHidden/>
          </w:rPr>
          <w:t>38</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49" w:history="1">
        <w:r w:rsidR="00C0589B" w:rsidRPr="00D23F55">
          <w:rPr>
            <w:rStyle w:val="af0"/>
            <w:noProof/>
          </w:rPr>
          <w:t>7.1. Стадирование лимфомы из малых лимфоцитов</w:t>
        </w:r>
        <w:r w:rsidR="00C0589B">
          <w:rPr>
            <w:noProof/>
            <w:webHidden/>
          </w:rPr>
          <w:tab/>
        </w:r>
        <w:r w:rsidR="000B0AC3">
          <w:rPr>
            <w:noProof/>
            <w:webHidden/>
          </w:rPr>
          <w:fldChar w:fldCharType="begin"/>
        </w:r>
        <w:r w:rsidR="00C0589B">
          <w:rPr>
            <w:noProof/>
            <w:webHidden/>
          </w:rPr>
          <w:instrText xml:space="preserve"> PAGEREF _Toc24546449 \h </w:instrText>
        </w:r>
        <w:r w:rsidR="000B0AC3">
          <w:rPr>
            <w:noProof/>
            <w:webHidden/>
          </w:rPr>
        </w:r>
        <w:r w:rsidR="000B0AC3">
          <w:rPr>
            <w:noProof/>
            <w:webHidden/>
          </w:rPr>
          <w:fldChar w:fldCharType="separate"/>
        </w:r>
        <w:r w:rsidR="00C0589B">
          <w:rPr>
            <w:noProof/>
            <w:webHidden/>
          </w:rPr>
          <w:t>38</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50" w:history="1">
        <w:r w:rsidR="00C0589B" w:rsidRPr="00D23F55">
          <w:rPr>
            <w:rStyle w:val="af0"/>
            <w:noProof/>
          </w:rPr>
          <w:t>7.2. Общая выживаемость пациентов в группах по МПИ</w:t>
        </w:r>
        <w:r w:rsidR="00C0589B">
          <w:rPr>
            <w:noProof/>
            <w:webHidden/>
          </w:rPr>
          <w:tab/>
        </w:r>
        <w:r w:rsidR="000B0AC3">
          <w:rPr>
            <w:noProof/>
            <w:webHidden/>
          </w:rPr>
          <w:fldChar w:fldCharType="begin"/>
        </w:r>
        <w:r w:rsidR="00C0589B">
          <w:rPr>
            <w:noProof/>
            <w:webHidden/>
          </w:rPr>
          <w:instrText xml:space="preserve"> PAGEREF _Toc24546450 \h </w:instrText>
        </w:r>
        <w:r w:rsidR="000B0AC3">
          <w:rPr>
            <w:noProof/>
            <w:webHidden/>
          </w:rPr>
        </w:r>
        <w:r w:rsidR="000B0AC3">
          <w:rPr>
            <w:noProof/>
            <w:webHidden/>
          </w:rPr>
          <w:fldChar w:fldCharType="separate"/>
        </w:r>
        <w:r w:rsidR="00C0589B">
          <w:rPr>
            <w:noProof/>
            <w:webHidden/>
          </w:rPr>
          <w:t>40</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51" w:history="1">
        <w:r w:rsidR="00C0589B" w:rsidRPr="00D23F55">
          <w:rPr>
            <w:rStyle w:val="af0"/>
            <w:noProof/>
          </w:rPr>
          <w:t>7.3. Оценка ответа на лечение при ХЛЛ</w:t>
        </w:r>
        <w:r w:rsidR="00C0589B">
          <w:rPr>
            <w:noProof/>
            <w:webHidden/>
          </w:rPr>
          <w:tab/>
        </w:r>
        <w:r w:rsidR="000B0AC3">
          <w:rPr>
            <w:noProof/>
            <w:webHidden/>
          </w:rPr>
          <w:fldChar w:fldCharType="begin"/>
        </w:r>
        <w:r w:rsidR="00C0589B">
          <w:rPr>
            <w:noProof/>
            <w:webHidden/>
          </w:rPr>
          <w:instrText xml:space="preserve"> PAGEREF _Toc24546451 \h </w:instrText>
        </w:r>
        <w:r w:rsidR="000B0AC3">
          <w:rPr>
            <w:noProof/>
            <w:webHidden/>
          </w:rPr>
        </w:r>
        <w:r w:rsidR="000B0AC3">
          <w:rPr>
            <w:noProof/>
            <w:webHidden/>
          </w:rPr>
          <w:fldChar w:fldCharType="separate"/>
        </w:r>
        <w:r w:rsidR="00C0589B">
          <w:rPr>
            <w:noProof/>
            <w:webHidden/>
          </w:rPr>
          <w:t>40</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52" w:history="1">
        <w:r w:rsidR="00C0589B" w:rsidRPr="00D23F55">
          <w:rPr>
            <w:rStyle w:val="af0"/>
            <w:noProof/>
          </w:rPr>
          <w:t>Критерии оценки качества медицинской помощи</w:t>
        </w:r>
        <w:r w:rsidR="00C0589B">
          <w:rPr>
            <w:noProof/>
            <w:webHidden/>
          </w:rPr>
          <w:tab/>
        </w:r>
        <w:r w:rsidR="000B0AC3">
          <w:rPr>
            <w:noProof/>
            <w:webHidden/>
          </w:rPr>
          <w:fldChar w:fldCharType="begin"/>
        </w:r>
        <w:r w:rsidR="00C0589B">
          <w:rPr>
            <w:noProof/>
            <w:webHidden/>
          </w:rPr>
          <w:instrText xml:space="preserve"> PAGEREF _Toc24546452 \h </w:instrText>
        </w:r>
        <w:r w:rsidR="000B0AC3">
          <w:rPr>
            <w:noProof/>
            <w:webHidden/>
          </w:rPr>
        </w:r>
        <w:r w:rsidR="000B0AC3">
          <w:rPr>
            <w:noProof/>
            <w:webHidden/>
          </w:rPr>
          <w:fldChar w:fldCharType="separate"/>
        </w:r>
        <w:r w:rsidR="00C0589B">
          <w:rPr>
            <w:noProof/>
            <w:webHidden/>
          </w:rPr>
          <w:t>41</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53" w:history="1">
        <w:r w:rsidR="00C0589B" w:rsidRPr="00D23F55">
          <w:rPr>
            <w:rStyle w:val="af0"/>
            <w:noProof/>
          </w:rPr>
          <w:t>Список литературы</w:t>
        </w:r>
        <w:r w:rsidR="00C0589B">
          <w:rPr>
            <w:noProof/>
            <w:webHidden/>
          </w:rPr>
          <w:tab/>
        </w:r>
        <w:r w:rsidR="000B0AC3">
          <w:rPr>
            <w:noProof/>
            <w:webHidden/>
          </w:rPr>
          <w:fldChar w:fldCharType="begin"/>
        </w:r>
        <w:r w:rsidR="00C0589B">
          <w:rPr>
            <w:noProof/>
            <w:webHidden/>
          </w:rPr>
          <w:instrText xml:space="preserve"> PAGEREF _Toc24546453 \h </w:instrText>
        </w:r>
        <w:r w:rsidR="000B0AC3">
          <w:rPr>
            <w:noProof/>
            <w:webHidden/>
          </w:rPr>
        </w:r>
        <w:r w:rsidR="000B0AC3">
          <w:rPr>
            <w:noProof/>
            <w:webHidden/>
          </w:rPr>
          <w:fldChar w:fldCharType="separate"/>
        </w:r>
        <w:r w:rsidR="00C0589B">
          <w:rPr>
            <w:noProof/>
            <w:webHidden/>
          </w:rPr>
          <w:t>42</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54" w:history="1">
        <w:r w:rsidR="00C0589B" w:rsidRPr="00D23F55">
          <w:rPr>
            <w:rStyle w:val="af0"/>
            <w:noProof/>
          </w:rPr>
          <w:t>Приложение А1. Состав рабочей группы по разработке  и пересмотру клинических рекомендаций</w:t>
        </w:r>
        <w:r w:rsidR="00C0589B">
          <w:rPr>
            <w:noProof/>
            <w:webHidden/>
          </w:rPr>
          <w:tab/>
        </w:r>
        <w:r w:rsidR="000B0AC3">
          <w:rPr>
            <w:noProof/>
            <w:webHidden/>
          </w:rPr>
          <w:fldChar w:fldCharType="begin"/>
        </w:r>
        <w:r w:rsidR="00C0589B">
          <w:rPr>
            <w:noProof/>
            <w:webHidden/>
          </w:rPr>
          <w:instrText xml:space="preserve"> PAGEREF _Toc24546454 \h </w:instrText>
        </w:r>
        <w:r w:rsidR="000B0AC3">
          <w:rPr>
            <w:noProof/>
            <w:webHidden/>
          </w:rPr>
        </w:r>
        <w:r w:rsidR="000B0AC3">
          <w:rPr>
            <w:noProof/>
            <w:webHidden/>
          </w:rPr>
          <w:fldChar w:fldCharType="separate"/>
        </w:r>
        <w:r w:rsidR="00C0589B">
          <w:rPr>
            <w:noProof/>
            <w:webHidden/>
          </w:rPr>
          <w:t>47</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55" w:history="1">
        <w:r w:rsidR="00C0589B" w:rsidRPr="00D23F55">
          <w:rPr>
            <w:rStyle w:val="af0"/>
            <w:noProof/>
          </w:rPr>
          <w:t>Приложение А2. Методология разработки клинических рекомендаций</w:t>
        </w:r>
        <w:r w:rsidR="00C0589B">
          <w:rPr>
            <w:noProof/>
            <w:webHidden/>
          </w:rPr>
          <w:tab/>
        </w:r>
        <w:r w:rsidR="000B0AC3">
          <w:rPr>
            <w:noProof/>
            <w:webHidden/>
          </w:rPr>
          <w:fldChar w:fldCharType="begin"/>
        </w:r>
        <w:r w:rsidR="00C0589B">
          <w:rPr>
            <w:noProof/>
            <w:webHidden/>
          </w:rPr>
          <w:instrText xml:space="preserve"> PAGEREF _Toc24546455 \h </w:instrText>
        </w:r>
        <w:r w:rsidR="000B0AC3">
          <w:rPr>
            <w:noProof/>
            <w:webHidden/>
          </w:rPr>
        </w:r>
        <w:r w:rsidR="000B0AC3">
          <w:rPr>
            <w:noProof/>
            <w:webHidden/>
          </w:rPr>
          <w:fldChar w:fldCharType="separate"/>
        </w:r>
        <w:r w:rsidR="00C0589B">
          <w:rPr>
            <w:noProof/>
            <w:webHidden/>
          </w:rPr>
          <w:t>49</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56" w:history="1">
        <w:r w:rsidR="00C0589B" w:rsidRPr="00D23F55">
          <w:rPr>
            <w:rStyle w:val="af0"/>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C0589B">
          <w:rPr>
            <w:noProof/>
            <w:webHidden/>
          </w:rPr>
          <w:tab/>
        </w:r>
        <w:r w:rsidR="000B0AC3">
          <w:rPr>
            <w:noProof/>
            <w:webHidden/>
          </w:rPr>
          <w:fldChar w:fldCharType="begin"/>
        </w:r>
        <w:r w:rsidR="00C0589B">
          <w:rPr>
            <w:noProof/>
            <w:webHidden/>
          </w:rPr>
          <w:instrText xml:space="preserve"> PAGEREF _Toc24546456 \h </w:instrText>
        </w:r>
        <w:r w:rsidR="000B0AC3">
          <w:rPr>
            <w:noProof/>
            <w:webHidden/>
          </w:rPr>
        </w:r>
        <w:r w:rsidR="000B0AC3">
          <w:rPr>
            <w:noProof/>
            <w:webHidden/>
          </w:rPr>
          <w:fldChar w:fldCharType="separate"/>
        </w:r>
        <w:r w:rsidR="00C0589B">
          <w:rPr>
            <w:noProof/>
            <w:webHidden/>
          </w:rPr>
          <w:t>52</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57" w:history="1">
        <w:r w:rsidR="00C0589B" w:rsidRPr="00D23F55">
          <w:rPr>
            <w:rStyle w:val="af0"/>
            <w:noProof/>
          </w:rPr>
          <w:t>Приложение А3.1. Значение маркеров вируса гепатита В при ХЛЛ</w:t>
        </w:r>
        <w:r w:rsidR="00C0589B">
          <w:rPr>
            <w:noProof/>
            <w:webHidden/>
          </w:rPr>
          <w:tab/>
        </w:r>
        <w:r w:rsidR="000B0AC3">
          <w:rPr>
            <w:noProof/>
            <w:webHidden/>
          </w:rPr>
          <w:fldChar w:fldCharType="begin"/>
        </w:r>
        <w:r w:rsidR="00C0589B">
          <w:rPr>
            <w:noProof/>
            <w:webHidden/>
          </w:rPr>
          <w:instrText xml:space="preserve"> PAGEREF _Toc24546457 \h </w:instrText>
        </w:r>
        <w:r w:rsidR="000B0AC3">
          <w:rPr>
            <w:noProof/>
            <w:webHidden/>
          </w:rPr>
        </w:r>
        <w:r w:rsidR="000B0AC3">
          <w:rPr>
            <w:noProof/>
            <w:webHidden/>
          </w:rPr>
          <w:fldChar w:fldCharType="separate"/>
        </w:r>
        <w:r w:rsidR="00C0589B">
          <w:rPr>
            <w:noProof/>
            <w:webHidden/>
          </w:rPr>
          <w:t>52</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58" w:history="1">
        <w:r w:rsidR="00C0589B" w:rsidRPr="00D23F55">
          <w:rPr>
            <w:rStyle w:val="af0"/>
            <w:bCs/>
            <w:noProof/>
          </w:rPr>
          <w:t xml:space="preserve">Приложение А3.2. </w:t>
        </w:r>
        <w:r w:rsidR="00C0589B" w:rsidRPr="00D23F55">
          <w:rPr>
            <w:rStyle w:val="af0"/>
            <w:noProof/>
          </w:rPr>
          <w:t>Показания к началу лечения ХЛЛ/ЛМЛ</w:t>
        </w:r>
        <w:r w:rsidR="00C0589B">
          <w:rPr>
            <w:noProof/>
            <w:webHidden/>
          </w:rPr>
          <w:tab/>
        </w:r>
        <w:r w:rsidR="000B0AC3">
          <w:rPr>
            <w:noProof/>
            <w:webHidden/>
          </w:rPr>
          <w:fldChar w:fldCharType="begin"/>
        </w:r>
        <w:r w:rsidR="00C0589B">
          <w:rPr>
            <w:noProof/>
            <w:webHidden/>
          </w:rPr>
          <w:instrText xml:space="preserve"> PAGEREF _Toc24546458 \h </w:instrText>
        </w:r>
        <w:r w:rsidR="000B0AC3">
          <w:rPr>
            <w:noProof/>
            <w:webHidden/>
          </w:rPr>
        </w:r>
        <w:r w:rsidR="000B0AC3">
          <w:rPr>
            <w:noProof/>
            <w:webHidden/>
          </w:rPr>
          <w:fldChar w:fldCharType="separate"/>
        </w:r>
        <w:r w:rsidR="00C0589B">
          <w:rPr>
            <w:noProof/>
            <w:webHidden/>
          </w:rPr>
          <w:t>53</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59" w:history="1">
        <w:r w:rsidR="00C0589B" w:rsidRPr="00D23F55">
          <w:rPr>
            <w:rStyle w:val="af0"/>
            <w:noProof/>
          </w:rPr>
          <w:t>Приложение А3.3. Режимы лекарственного лечения ХЛЛ</w:t>
        </w:r>
        <w:r w:rsidR="00C0589B">
          <w:rPr>
            <w:noProof/>
            <w:webHidden/>
          </w:rPr>
          <w:tab/>
        </w:r>
        <w:r w:rsidR="000B0AC3">
          <w:rPr>
            <w:noProof/>
            <w:webHidden/>
          </w:rPr>
          <w:fldChar w:fldCharType="begin"/>
        </w:r>
        <w:r w:rsidR="00C0589B">
          <w:rPr>
            <w:noProof/>
            <w:webHidden/>
          </w:rPr>
          <w:instrText xml:space="preserve"> PAGEREF _Toc24546459 \h </w:instrText>
        </w:r>
        <w:r w:rsidR="000B0AC3">
          <w:rPr>
            <w:noProof/>
            <w:webHidden/>
          </w:rPr>
        </w:r>
        <w:r w:rsidR="000B0AC3">
          <w:rPr>
            <w:noProof/>
            <w:webHidden/>
          </w:rPr>
          <w:fldChar w:fldCharType="separate"/>
        </w:r>
        <w:r w:rsidR="00C0589B">
          <w:rPr>
            <w:noProof/>
            <w:webHidden/>
          </w:rPr>
          <w:t>53</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60" w:history="1">
        <w:r w:rsidR="00C0589B" w:rsidRPr="00D23F55">
          <w:rPr>
            <w:rStyle w:val="af0"/>
            <w:noProof/>
          </w:rPr>
          <w:t>Приложение Б. Алгоритмы действий врача</w:t>
        </w:r>
        <w:r w:rsidR="00C0589B">
          <w:rPr>
            <w:noProof/>
            <w:webHidden/>
          </w:rPr>
          <w:tab/>
        </w:r>
        <w:r w:rsidR="000B0AC3">
          <w:rPr>
            <w:noProof/>
            <w:webHidden/>
          </w:rPr>
          <w:fldChar w:fldCharType="begin"/>
        </w:r>
        <w:r w:rsidR="00C0589B">
          <w:rPr>
            <w:noProof/>
            <w:webHidden/>
          </w:rPr>
          <w:instrText xml:space="preserve"> PAGEREF _Toc24546460 \h </w:instrText>
        </w:r>
        <w:r w:rsidR="000B0AC3">
          <w:rPr>
            <w:noProof/>
            <w:webHidden/>
          </w:rPr>
        </w:r>
        <w:r w:rsidR="000B0AC3">
          <w:rPr>
            <w:noProof/>
            <w:webHidden/>
          </w:rPr>
          <w:fldChar w:fldCharType="separate"/>
        </w:r>
        <w:r w:rsidR="00C0589B">
          <w:rPr>
            <w:noProof/>
            <w:webHidden/>
          </w:rPr>
          <w:t>56</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61" w:history="1">
        <w:r w:rsidR="00C0589B" w:rsidRPr="00D23F55">
          <w:rPr>
            <w:rStyle w:val="af0"/>
            <w:noProof/>
          </w:rPr>
          <w:t>Приложение Б1. Алгоритм выбора первой линии терапии пациента с ХЛЛ/ЛМЛ</w:t>
        </w:r>
        <w:r w:rsidR="00C0589B">
          <w:rPr>
            <w:noProof/>
            <w:webHidden/>
          </w:rPr>
          <w:tab/>
        </w:r>
        <w:r w:rsidR="000B0AC3">
          <w:rPr>
            <w:noProof/>
            <w:webHidden/>
          </w:rPr>
          <w:fldChar w:fldCharType="begin"/>
        </w:r>
        <w:r w:rsidR="00C0589B">
          <w:rPr>
            <w:noProof/>
            <w:webHidden/>
          </w:rPr>
          <w:instrText xml:space="preserve"> PAGEREF _Toc24546461 \h </w:instrText>
        </w:r>
        <w:r w:rsidR="000B0AC3">
          <w:rPr>
            <w:noProof/>
            <w:webHidden/>
          </w:rPr>
        </w:r>
        <w:r w:rsidR="000B0AC3">
          <w:rPr>
            <w:noProof/>
            <w:webHidden/>
          </w:rPr>
          <w:fldChar w:fldCharType="separate"/>
        </w:r>
        <w:r w:rsidR="00C0589B">
          <w:rPr>
            <w:noProof/>
            <w:webHidden/>
          </w:rPr>
          <w:t>56</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62" w:history="1">
        <w:r w:rsidR="00C0589B" w:rsidRPr="00D23F55">
          <w:rPr>
            <w:rStyle w:val="af0"/>
            <w:noProof/>
          </w:rPr>
          <w:t>Приложение Б2. Алгоритм выбора терапии рецидива ХЛЛ/ЛМЛ</w:t>
        </w:r>
        <w:r w:rsidR="00C0589B">
          <w:rPr>
            <w:noProof/>
            <w:webHidden/>
          </w:rPr>
          <w:tab/>
        </w:r>
        <w:r w:rsidR="000B0AC3">
          <w:rPr>
            <w:noProof/>
            <w:webHidden/>
          </w:rPr>
          <w:fldChar w:fldCharType="begin"/>
        </w:r>
        <w:r w:rsidR="00C0589B">
          <w:rPr>
            <w:noProof/>
            <w:webHidden/>
          </w:rPr>
          <w:instrText xml:space="preserve"> PAGEREF _Toc24546462 \h </w:instrText>
        </w:r>
        <w:r w:rsidR="000B0AC3">
          <w:rPr>
            <w:noProof/>
            <w:webHidden/>
          </w:rPr>
        </w:r>
        <w:r w:rsidR="000B0AC3">
          <w:rPr>
            <w:noProof/>
            <w:webHidden/>
          </w:rPr>
          <w:fldChar w:fldCharType="separate"/>
        </w:r>
        <w:r w:rsidR="00C0589B">
          <w:rPr>
            <w:noProof/>
            <w:webHidden/>
          </w:rPr>
          <w:t>57</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63" w:history="1">
        <w:r w:rsidR="00C0589B" w:rsidRPr="00D23F55">
          <w:rPr>
            <w:rStyle w:val="af0"/>
            <w:noProof/>
          </w:rPr>
          <w:t>Приложение В. Информация для пациентов</w:t>
        </w:r>
        <w:r w:rsidR="00C0589B">
          <w:rPr>
            <w:noProof/>
            <w:webHidden/>
          </w:rPr>
          <w:tab/>
        </w:r>
        <w:r w:rsidR="000B0AC3">
          <w:rPr>
            <w:noProof/>
            <w:webHidden/>
          </w:rPr>
          <w:fldChar w:fldCharType="begin"/>
        </w:r>
        <w:r w:rsidR="00C0589B">
          <w:rPr>
            <w:noProof/>
            <w:webHidden/>
          </w:rPr>
          <w:instrText xml:space="preserve"> PAGEREF _Toc24546463 \h </w:instrText>
        </w:r>
        <w:r w:rsidR="000B0AC3">
          <w:rPr>
            <w:noProof/>
            <w:webHidden/>
          </w:rPr>
        </w:r>
        <w:r w:rsidR="000B0AC3">
          <w:rPr>
            <w:noProof/>
            <w:webHidden/>
          </w:rPr>
          <w:fldChar w:fldCharType="separate"/>
        </w:r>
        <w:r w:rsidR="00C0589B">
          <w:rPr>
            <w:noProof/>
            <w:webHidden/>
          </w:rPr>
          <w:t>58</w:t>
        </w:r>
        <w:r w:rsidR="000B0AC3">
          <w:rPr>
            <w:noProof/>
            <w:webHidden/>
          </w:rPr>
          <w:fldChar w:fldCharType="end"/>
        </w:r>
      </w:hyperlink>
    </w:p>
    <w:p w:rsidR="00C0589B" w:rsidRDefault="00737A16">
      <w:pPr>
        <w:pStyle w:val="12"/>
        <w:tabs>
          <w:tab w:val="right" w:leader="dot" w:pos="9345"/>
        </w:tabs>
        <w:rPr>
          <w:rFonts w:asciiTheme="minorHAnsi" w:eastAsiaTheme="minorEastAsia" w:hAnsiTheme="minorHAnsi" w:cstheme="minorBidi"/>
          <w:noProof/>
          <w:szCs w:val="24"/>
          <w:lang w:eastAsia="ru-RU"/>
        </w:rPr>
      </w:pPr>
      <w:hyperlink w:anchor="_Toc24546464" w:history="1">
        <w:r w:rsidR="00C0589B" w:rsidRPr="00D23F55">
          <w:rPr>
            <w:rStyle w:val="af0"/>
            <w:noProof/>
          </w:rPr>
          <w:t>Приложение Г. Шкалы оценки, вопросники  и другие оценочные инструменты состояния пациента, приведенные в клинических рекомендациях</w:t>
        </w:r>
        <w:r w:rsidR="00C0589B">
          <w:rPr>
            <w:noProof/>
            <w:webHidden/>
          </w:rPr>
          <w:tab/>
        </w:r>
        <w:r w:rsidR="000B0AC3">
          <w:rPr>
            <w:noProof/>
            <w:webHidden/>
          </w:rPr>
          <w:fldChar w:fldCharType="begin"/>
        </w:r>
        <w:r w:rsidR="00C0589B">
          <w:rPr>
            <w:noProof/>
            <w:webHidden/>
          </w:rPr>
          <w:instrText xml:space="preserve"> PAGEREF _Toc24546464 \h </w:instrText>
        </w:r>
        <w:r w:rsidR="000B0AC3">
          <w:rPr>
            <w:noProof/>
            <w:webHidden/>
          </w:rPr>
        </w:r>
        <w:r w:rsidR="000B0AC3">
          <w:rPr>
            <w:noProof/>
            <w:webHidden/>
          </w:rPr>
          <w:fldChar w:fldCharType="separate"/>
        </w:r>
        <w:r w:rsidR="00C0589B">
          <w:rPr>
            <w:noProof/>
            <w:webHidden/>
          </w:rPr>
          <w:t>60</w:t>
        </w:r>
        <w:r w:rsidR="000B0AC3">
          <w:rPr>
            <w:noProof/>
            <w:webHidden/>
          </w:rPr>
          <w:fldChar w:fldCharType="end"/>
        </w:r>
      </w:hyperlink>
    </w:p>
    <w:p w:rsidR="00C0589B" w:rsidRDefault="00737A16">
      <w:pPr>
        <w:pStyle w:val="21"/>
        <w:tabs>
          <w:tab w:val="right" w:leader="dot" w:pos="9345"/>
        </w:tabs>
        <w:rPr>
          <w:rFonts w:asciiTheme="minorHAnsi" w:eastAsiaTheme="minorEastAsia" w:hAnsiTheme="minorHAnsi" w:cstheme="minorBidi"/>
          <w:noProof/>
          <w:szCs w:val="24"/>
          <w:lang w:eastAsia="ru-RU"/>
        </w:rPr>
      </w:pPr>
      <w:hyperlink w:anchor="_Toc24546465" w:history="1">
        <w:r w:rsidR="00C0589B" w:rsidRPr="00D23F55">
          <w:rPr>
            <w:rStyle w:val="af0"/>
            <w:noProof/>
          </w:rPr>
          <w:t xml:space="preserve">Приложение Г1. Шкала оценки общего состояния пациента </w:t>
        </w:r>
        <w:r w:rsidR="00C0589B" w:rsidRPr="00D23F55">
          <w:rPr>
            <w:rStyle w:val="af0"/>
            <w:noProof/>
            <w:lang w:val="en-US"/>
          </w:rPr>
          <w:t>ECOG</w:t>
        </w:r>
        <w:r w:rsidR="00C0589B">
          <w:rPr>
            <w:noProof/>
            <w:webHidden/>
          </w:rPr>
          <w:tab/>
        </w:r>
        <w:r w:rsidR="000B0AC3">
          <w:rPr>
            <w:noProof/>
            <w:webHidden/>
          </w:rPr>
          <w:fldChar w:fldCharType="begin"/>
        </w:r>
        <w:r w:rsidR="00C0589B">
          <w:rPr>
            <w:noProof/>
            <w:webHidden/>
          </w:rPr>
          <w:instrText xml:space="preserve"> PAGEREF _Toc24546465 \h </w:instrText>
        </w:r>
        <w:r w:rsidR="000B0AC3">
          <w:rPr>
            <w:noProof/>
            <w:webHidden/>
          </w:rPr>
        </w:r>
        <w:r w:rsidR="000B0AC3">
          <w:rPr>
            <w:noProof/>
            <w:webHidden/>
          </w:rPr>
          <w:fldChar w:fldCharType="separate"/>
        </w:r>
        <w:r w:rsidR="00C0589B">
          <w:rPr>
            <w:noProof/>
            <w:webHidden/>
          </w:rPr>
          <w:t>60</w:t>
        </w:r>
        <w:r w:rsidR="000B0AC3">
          <w:rPr>
            <w:noProof/>
            <w:webHidden/>
          </w:rPr>
          <w:fldChar w:fldCharType="end"/>
        </w:r>
      </w:hyperlink>
    </w:p>
    <w:p w:rsidR="00217639" w:rsidRDefault="000B0AC3" w:rsidP="000B2A21">
      <w:pPr>
        <w:jc w:val="left"/>
      </w:pPr>
      <w:r>
        <w:rPr>
          <w:b/>
          <w:bCs/>
        </w:rPr>
        <w:fldChar w:fldCharType="end"/>
      </w:r>
    </w:p>
    <w:p w:rsidR="004D7374" w:rsidRDefault="00E36621" w:rsidP="00BE6A1C">
      <w:pPr>
        <w:pStyle w:val="1"/>
      </w:pPr>
      <w:bookmarkStart w:id="3" w:name="_Toc520213121"/>
      <w:r>
        <w:br w:type="page"/>
      </w:r>
      <w:bookmarkStart w:id="4" w:name="_Toc24546423"/>
      <w:bookmarkStart w:id="5" w:name="_Toc23601710"/>
      <w:r w:rsidR="004D7374">
        <w:lastRenderedPageBreak/>
        <w:t>Список сокращений</w:t>
      </w:r>
      <w:bookmarkEnd w:id="3"/>
      <w:bookmarkEnd w:id="4"/>
      <w:bookmarkEnd w:id="5"/>
    </w:p>
    <w:p w:rsidR="007629D4" w:rsidRDefault="007629D4" w:rsidP="00927936">
      <w:pPr>
        <w:spacing w:line="336" w:lineRule="auto"/>
        <w:contextualSpacing/>
      </w:pPr>
      <w:r>
        <w:t>АЛТ – аланинаминотрансфераза</w:t>
      </w:r>
    </w:p>
    <w:p w:rsidR="007629D4" w:rsidRDefault="007629D4" w:rsidP="00927936">
      <w:pPr>
        <w:spacing w:line="336" w:lineRule="auto"/>
        <w:contextualSpacing/>
      </w:pPr>
      <w:r>
        <w:t>АСТ – аспартатаминотрансфераза</w:t>
      </w:r>
    </w:p>
    <w:p w:rsidR="00F46609" w:rsidRDefault="00F46609" w:rsidP="00927936">
      <w:pPr>
        <w:spacing w:line="336" w:lineRule="auto"/>
        <w:contextualSpacing/>
      </w:pPr>
      <w:r>
        <w:t>АЧТВ – активированное частичное тромбопластиновое время</w:t>
      </w:r>
    </w:p>
    <w:p w:rsidR="004D7374" w:rsidRDefault="004D7374" w:rsidP="00927936">
      <w:pPr>
        <w:spacing w:line="336" w:lineRule="auto"/>
        <w:contextualSpacing/>
      </w:pPr>
      <w:r>
        <w:t>ВБП – выживаемость без прогрессирования</w:t>
      </w:r>
    </w:p>
    <w:p w:rsidR="004D7374" w:rsidRDefault="004D7374" w:rsidP="00927936">
      <w:pPr>
        <w:spacing w:line="336" w:lineRule="auto"/>
        <w:contextualSpacing/>
      </w:pPr>
      <w:r>
        <w:t>ДИ – доверительный интервал</w:t>
      </w:r>
    </w:p>
    <w:p w:rsidR="005554E5" w:rsidRDefault="005554E5" w:rsidP="00927936">
      <w:pPr>
        <w:spacing w:line="336" w:lineRule="auto"/>
        <w:contextualSpacing/>
      </w:pPr>
      <w:r>
        <w:t>КТ – компьютерная томография</w:t>
      </w:r>
    </w:p>
    <w:p w:rsidR="004D7374" w:rsidRDefault="004D7374" w:rsidP="00927936">
      <w:pPr>
        <w:spacing w:line="336" w:lineRule="auto"/>
        <w:contextualSpacing/>
      </w:pPr>
      <w:r>
        <w:t>ЛМЛ – лимфома из малых лимфоцитов</w:t>
      </w:r>
    </w:p>
    <w:p w:rsidR="000C05AF" w:rsidRDefault="000C05AF" w:rsidP="00927936">
      <w:pPr>
        <w:spacing w:line="336" w:lineRule="auto"/>
        <w:contextualSpacing/>
      </w:pPr>
      <w:r>
        <w:t>МВКЛ – моноклональный В-клеточный лимфоцитоз</w:t>
      </w:r>
    </w:p>
    <w:p w:rsidR="00F46609" w:rsidRDefault="00F46609" w:rsidP="00927936">
      <w:pPr>
        <w:spacing w:line="336" w:lineRule="auto"/>
        <w:contextualSpacing/>
      </w:pPr>
      <w:r>
        <w:t>МНО – международное нормализованное отношение</w:t>
      </w:r>
    </w:p>
    <w:p w:rsidR="004D7374" w:rsidRDefault="004D7374" w:rsidP="00927936">
      <w:pPr>
        <w:spacing w:line="336" w:lineRule="auto"/>
        <w:contextualSpacing/>
      </w:pPr>
      <w:r>
        <w:t>МОБ – минимальная остаточная болезнь</w:t>
      </w:r>
    </w:p>
    <w:p w:rsidR="004D7374" w:rsidRDefault="004D7374" w:rsidP="00927936">
      <w:pPr>
        <w:spacing w:line="336" w:lineRule="auto"/>
        <w:contextualSpacing/>
      </w:pPr>
      <w:r>
        <w:t>МПИ – международный прогностический индекс</w:t>
      </w:r>
    </w:p>
    <w:p w:rsidR="004D7374" w:rsidRDefault="004D7374" w:rsidP="00927936">
      <w:pPr>
        <w:spacing w:line="336" w:lineRule="auto"/>
        <w:contextualSpacing/>
      </w:pPr>
      <w:r>
        <w:t>ОВ – общая выживаемость</w:t>
      </w:r>
    </w:p>
    <w:p w:rsidR="001F4A9B" w:rsidRDefault="001F4A9B" w:rsidP="00927936">
      <w:pPr>
        <w:spacing w:line="336" w:lineRule="auto"/>
        <w:contextualSpacing/>
      </w:pPr>
      <w:r>
        <w:t>ОР – отношение рисков</w:t>
      </w:r>
    </w:p>
    <w:p w:rsidR="000F2499" w:rsidRDefault="000F2499" w:rsidP="00927936">
      <w:pPr>
        <w:spacing w:line="336" w:lineRule="auto"/>
        <w:contextualSpacing/>
      </w:pPr>
      <w:r>
        <w:t>УЗИ – ультразвуковое исследование</w:t>
      </w:r>
    </w:p>
    <w:p w:rsidR="004D7374" w:rsidRDefault="004D7374" w:rsidP="00927936">
      <w:pPr>
        <w:spacing w:line="336" w:lineRule="auto"/>
        <w:contextualSpacing/>
      </w:pPr>
      <w:r w:rsidRPr="00D012C9">
        <w:t>ХЛЛ –</w:t>
      </w:r>
      <w:r w:rsidR="005208EC">
        <w:t xml:space="preserve">хронический </w:t>
      </w:r>
      <w:r w:rsidR="00A223BC" w:rsidRPr="00D012C9">
        <w:t>лимфоцитарный лейкоз</w:t>
      </w:r>
    </w:p>
    <w:p w:rsidR="00E36621" w:rsidRDefault="00E36621" w:rsidP="00E36621">
      <w:pPr>
        <w:spacing w:line="336" w:lineRule="auto"/>
        <w:contextualSpacing/>
      </w:pPr>
      <w:r>
        <w:t>Chl-G – режим иммунохимиотерапии, включающий обинутузумаб** и хлорамб</w:t>
      </w:r>
      <w:r w:rsidR="00AA4B03">
        <w:t xml:space="preserve">уцил** (схемы режимов лечения </w:t>
      </w:r>
      <w:r>
        <w:t xml:space="preserve">см. </w:t>
      </w:r>
      <w:r w:rsidR="00AA4B03">
        <w:t xml:space="preserve">в </w:t>
      </w:r>
      <w:r>
        <w:t>приложени</w:t>
      </w:r>
      <w:r w:rsidR="00AA4B03">
        <w:t>и</w:t>
      </w:r>
      <w:r>
        <w:t xml:space="preserve"> А3.3)</w:t>
      </w:r>
    </w:p>
    <w:p w:rsidR="00E36621" w:rsidRDefault="00E36621" w:rsidP="00E36621">
      <w:pPr>
        <w:spacing w:line="336" w:lineRule="auto"/>
        <w:contextualSpacing/>
      </w:pPr>
      <w:r>
        <w:t>Chl-R</w:t>
      </w:r>
      <w:r w:rsidRPr="00F842BB">
        <w:t xml:space="preserve"> – </w:t>
      </w:r>
      <w:r>
        <w:t xml:space="preserve">режим иммунохимиотерапии, включающий ритуксимаб** и хлорамбуцил** (схемы режимов лечения см. </w:t>
      </w:r>
      <w:r w:rsidR="00AA4B03">
        <w:t>в приложении</w:t>
      </w:r>
      <w:r>
        <w:t xml:space="preserve"> А3.3)</w:t>
      </w:r>
    </w:p>
    <w:p w:rsidR="00E36621" w:rsidRDefault="00E36621" w:rsidP="00E36621">
      <w:pPr>
        <w:spacing w:line="336" w:lineRule="auto"/>
        <w:contextualSpacing/>
      </w:pPr>
      <w:r>
        <w:t xml:space="preserve">CTC – общие критерии токсичности </w:t>
      </w:r>
    </w:p>
    <w:p w:rsidR="00E36621" w:rsidRDefault="00E36621" w:rsidP="00E36621">
      <w:pPr>
        <w:spacing w:line="336" w:lineRule="auto"/>
        <w:contextualSpacing/>
      </w:pPr>
      <w:r>
        <w:t>FCR – режим иммунохимиотерапии, включающий ритуксимаб**, флударабин** и циклофосфамид** (</w:t>
      </w:r>
      <w:r w:rsidR="00AA4B03">
        <w:t xml:space="preserve">схемы режимов лечения см. в приложении </w:t>
      </w:r>
      <w:r>
        <w:t xml:space="preserve">А3.3) </w:t>
      </w:r>
    </w:p>
    <w:p w:rsidR="00E36621" w:rsidRDefault="00E36621" w:rsidP="00E36621">
      <w:pPr>
        <w:spacing w:line="336" w:lineRule="auto"/>
        <w:contextualSpacing/>
      </w:pPr>
      <w:r>
        <w:t>FCR-Lite – режим иммунохимиотерапии, включающий ритуксимаб**, флударабин** и циклофосфамид** с редукцией доз цитостатических препаратов (</w:t>
      </w:r>
      <w:r w:rsidR="00AA4B03">
        <w:t xml:space="preserve">схемы режимов лечения см. в приложении </w:t>
      </w:r>
      <w:r>
        <w:t>А3.3)</w:t>
      </w:r>
    </w:p>
    <w:p w:rsidR="00830499" w:rsidRDefault="00830499" w:rsidP="00E36621">
      <w:pPr>
        <w:spacing w:line="336" w:lineRule="auto"/>
        <w:contextualSpacing/>
      </w:pPr>
      <w:r w:rsidRPr="00830499">
        <w:t xml:space="preserve">FISH </w:t>
      </w:r>
      <w:r>
        <w:t>– ф</w:t>
      </w:r>
      <w:r w:rsidRPr="00830499">
        <w:t>луоресц</w:t>
      </w:r>
      <w:r>
        <w:t>ентная гибридизаа</w:t>
      </w:r>
      <w:r w:rsidRPr="00830499">
        <w:t xml:space="preserve">ция </w:t>
      </w:r>
      <w:r w:rsidRPr="00830499">
        <w:rPr>
          <w:i/>
        </w:rPr>
        <w:t>in situ</w:t>
      </w:r>
      <w:r w:rsidRPr="00830499">
        <w:t xml:space="preserve"> </w:t>
      </w:r>
    </w:p>
    <w:p w:rsidR="00E36621" w:rsidRDefault="00E36621" w:rsidP="00E36621">
      <w:pPr>
        <w:spacing w:line="336" w:lineRule="auto"/>
        <w:contextualSpacing/>
      </w:pPr>
      <w:r>
        <w:t>IGHV – вариабельные участки тяжелых цепей иммуноглобулинов</w:t>
      </w:r>
    </w:p>
    <w:p w:rsidR="007F5246" w:rsidRDefault="007F5246" w:rsidP="007F5246">
      <w:pPr>
        <w:spacing w:line="336" w:lineRule="auto"/>
        <w:contextualSpacing/>
      </w:pPr>
      <w:r>
        <w:t>IWCLL</w:t>
      </w:r>
      <w:r w:rsidRPr="00397360">
        <w:t xml:space="preserve"> – Международн</w:t>
      </w:r>
      <w:r>
        <w:t>ая</w:t>
      </w:r>
      <w:r w:rsidRPr="00397360">
        <w:t xml:space="preserve"> рабоч</w:t>
      </w:r>
      <w:r>
        <w:t>ая</w:t>
      </w:r>
      <w:r w:rsidRPr="00397360">
        <w:t xml:space="preserve"> групп</w:t>
      </w:r>
      <w:r>
        <w:t>а по изучению хронического лимфоцитарного лейкоза</w:t>
      </w:r>
    </w:p>
    <w:p w:rsidR="00E36621" w:rsidRDefault="00E36621" w:rsidP="00E36621">
      <w:pPr>
        <w:spacing w:line="336" w:lineRule="auto"/>
        <w:contextualSpacing/>
      </w:pPr>
      <w:r>
        <w:t>RB – режим иммунохимиотерапии, включающий ритуксимаб** и бендамустин (</w:t>
      </w:r>
      <w:r w:rsidR="00AA4B03">
        <w:t xml:space="preserve">схемы режимов лечения см. в приложении </w:t>
      </w:r>
      <w:r>
        <w:t>А3.3)</w:t>
      </w:r>
    </w:p>
    <w:p w:rsidR="00E36621" w:rsidRDefault="00E36621" w:rsidP="00E36621">
      <w:pPr>
        <w:spacing w:line="336" w:lineRule="auto"/>
        <w:contextualSpacing/>
      </w:pPr>
      <w:r>
        <w:t>R-CD – режим иммунохимиотерапии, включающий ритуксимаб**, циклофосфамид** и дексаметазон** (</w:t>
      </w:r>
      <w:r w:rsidR="00AA4B03">
        <w:t xml:space="preserve">схемы режимов лечения см. в приложении </w:t>
      </w:r>
      <w:r>
        <w:t>А3.3)</w:t>
      </w:r>
    </w:p>
    <w:p w:rsidR="00E36621" w:rsidRDefault="00E36621" w:rsidP="00E36621">
      <w:pPr>
        <w:spacing w:line="336" w:lineRule="auto"/>
        <w:contextualSpacing/>
      </w:pPr>
      <w:r>
        <w:lastRenderedPageBreak/>
        <w:t>R-FCM – режим иммунохимиотерапии, включающий ритуксимаб**, флударабин**, циклофосфамид** и митоксантрон** (</w:t>
      </w:r>
      <w:r w:rsidR="00AA4B03">
        <w:t xml:space="preserve">схемы режимов лечения см. в приложении </w:t>
      </w:r>
      <w:r>
        <w:t>А3.3)</w:t>
      </w:r>
    </w:p>
    <w:p w:rsidR="0030568B" w:rsidRDefault="00E36621" w:rsidP="0030568B">
      <w:pPr>
        <w:spacing w:line="336" w:lineRule="auto"/>
        <w:contextualSpacing/>
        <w:jc w:val="left"/>
      </w:pPr>
      <w:r>
        <w:t>R-HDMP – режим иммунохимиотерапии, включающий ритуксимаб** и метил</w:t>
      </w:r>
      <w:r w:rsidR="007F5246">
        <w:softHyphen/>
      </w:r>
      <w:r>
        <w:t>преднизолон** (</w:t>
      </w:r>
      <w:r w:rsidR="00AA4B03">
        <w:t xml:space="preserve">схемы режимов лечения см. в приложении </w:t>
      </w:r>
      <w:r>
        <w:t>А3.3)</w:t>
      </w:r>
      <w:bookmarkStart w:id="6" w:name="_Toc520213122"/>
    </w:p>
    <w:p w:rsidR="004D7374" w:rsidRPr="00B91BC4" w:rsidRDefault="00E36621" w:rsidP="005A463A">
      <w:pPr>
        <w:pStyle w:val="1"/>
        <w:rPr>
          <w:rStyle w:val="10"/>
          <w:rFonts w:eastAsia="Calibri"/>
          <w:sz w:val="24"/>
          <w:szCs w:val="24"/>
        </w:rPr>
      </w:pPr>
      <w:r>
        <w:br w:type="page"/>
      </w:r>
      <w:bookmarkStart w:id="7" w:name="_Toc24546424"/>
      <w:bookmarkStart w:id="8" w:name="_Toc23601711"/>
      <w:r w:rsidR="004D7374" w:rsidRPr="00EF27D9">
        <w:rPr>
          <w:rStyle w:val="10"/>
          <w:rFonts w:eastAsia="Calibri"/>
          <w:b/>
          <w:sz w:val="24"/>
        </w:rPr>
        <w:lastRenderedPageBreak/>
        <w:t>Термины и определения</w:t>
      </w:r>
      <w:bookmarkEnd w:id="6"/>
      <w:bookmarkEnd w:id="7"/>
      <w:bookmarkEnd w:id="8"/>
    </w:p>
    <w:p w:rsidR="004D7374" w:rsidRDefault="004D7374" w:rsidP="00B93B9E">
      <w:pPr>
        <w:ind w:firstLine="709"/>
        <w:contextualSpacing/>
      </w:pPr>
      <w:r w:rsidRPr="004D7374">
        <w:rPr>
          <w:b/>
        </w:rPr>
        <w:t>ECOG</w:t>
      </w:r>
      <w:r>
        <w:t xml:space="preserve"> – оценка общего состояния пациента по шкале, разработанной Восточной объединенной онкологической группой (Eastern</w:t>
      </w:r>
      <w:r w:rsidR="008F42D8">
        <w:t xml:space="preserve"> </w:t>
      </w:r>
      <w:r>
        <w:t>Cooperative</w:t>
      </w:r>
      <w:r w:rsidR="008F42D8">
        <w:t xml:space="preserve"> </w:t>
      </w:r>
      <w:r>
        <w:t>Oncology</w:t>
      </w:r>
      <w:r w:rsidR="008F42D8">
        <w:t xml:space="preserve"> </w:t>
      </w:r>
      <w:r>
        <w:t xml:space="preserve">Group) </w:t>
      </w:r>
      <w:r w:rsidR="00F07AA9">
        <w:t>(</w:t>
      </w:r>
      <w:r>
        <w:t>см.</w:t>
      </w:r>
      <w:r w:rsidR="00F07AA9">
        <w:t> </w:t>
      </w:r>
      <w:r>
        <w:t>приложение Г1</w:t>
      </w:r>
      <w:r w:rsidR="00F07AA9">
        <w:t>)</w:t>
      </w:r>
      <w:r>
        <w:t>.</w:t>
      </w:r>
    </w:p>
    <w:p w:rsidR="00873DA3" w:rsidRPr="003147A2" w:rsidRDefault="00873DA3" w:rsidP="00B93B9E">
      <w:pPr>
        <w:ind w:firstLine="709"/>
        <w:contextualSpacing/>
      </w:pPr>
      <w:r>
        <w:rPr>
          <w:b/>
        </w:rPr>
        <w:t xml:space="preserve">В-симптомы </w:t>
      </w:r>
      <w:r w:rsidRPr="003147A2">
        <w:t xml:space="preserve">– </w:t>
      </w:r>
      <w:r w:rsidR="003B230C" w:rsidRPr="003147A2">
        <w:t>неспецифические</w:t>
      </w:r>
      <w:r w:rsidRPr="003147A2">
        <w:t xml:space="preserve"> симптомы опухолевой интоксикации, включающие лихорадку </w:t>
      </w:r>
      <w:r w:rsidR="00F07AA9">
        <w:t xml:space="preserve">(температуру тела </w:t>
      </w:r>
      <w:r w:rsidRPr="00602B3B">
        <w:t>выше 38°С</w:t>
      </w:r>
      <w:r w:rsidR="00F07AA9">
        <w:t>)</w:t>
      </w:r>
      <w:r w:rsidRPr="00602B3B">
        <w:t xml:space="preserve"> </w:t>
      </w:r>
      <w:r w:rsidR="004A1FA5">
        <w:t xml:space="preserve">более 2 </w:t>
      </w:r>
      <w:r w:rsidR="00F07AA9">
        <w:t>нед.</w:t>
      </w:r>
      <w:r w:rsidR="004A1FA5">
        <w:t xml:space="preserve"> подряд</w:t>
      </w:r>
      <w:r w:rsidR="00F07AA9">
        <w:t xml:space="preserve"> без признаков воспаления, ночные профузные поты,</w:t>
      </w:r>
      <w:r w:rsidRPr="003147A2">
        <w:t xml:space="preserve"> похудание на 10</w:t>
      </w:r>
      <w:r w:rsidR="00DD3D1E">
        <w:t xml:space="preserve"> %</w:t>
      </w:r>
      <w:r w:rsidRPr="003147A2">
        <w:t xml:space="preserve"> массы тела за последние 6 мес.</w:t>
      </w:r>
    </w:p>
    <w:p w:rsidR="004D7374" w:rsidRDefault="004D7374" w:rsidP="00B93B9E">
      <w:pPr>
        <w:ind w:firstLine="709"/>
        <w:contextualSpacing/>
      </w:pPr>
      <w:r w:rsidRPr="004D7374">
        <w:rPr>
          <w:b/>
        </w:rPr>
        <w:t>Лимфома из малых лимфоцитов</w:t>
      </w:r>
      <w:r>
        <w:t xml:space="preserve"> – это В-клеточная опухол</w:t>
      </w:r>
      <w:r w:rsidR="005208EC">
        <w:t>ь</w:t>
      </w:r>
      <w:r>
        <w:t xml:space="preserve"> из </w:t>
      </w:r>
      <w:r w:rsidR="005208EC">
        <w:t>малых В-лимфоцитов с иммунофенотипом хронического лимфоцитарного лейкоза</w:t>
      </w:r>
      <w:r w:rsidR="00032FC0">
        <w:t>, характери</w:t>
      </w:r>
      <w:r w:rsidR="00F07AA9">
        <w:softHyphen/>
      </w:r>
      <w:r w:rsidR="00032FC0">
        <w:t>зу</w:t>
      </w:r>
      <w:r w:rsidR="00CC2A3D">
        <w:t>ющаяся</w:t>
      </w:r>
      <w:r w:rsidR="00032FC0">
        <w:t xml:space="preserve"> </w:t>
      </w:r>
      <w:r w:rsidR="00032FC0" w:rsidRPr="00032FC0">
        <w:t>наличи</w:t>
      </w:r>
      <w:r w:rsidR="00032FC0">
        <w:t>ем</w:t>
      </w:r>
      <w:r w:rsidR="00032FC0" w:rsidRPr="00032FC0">
        <w:t xml:space="preserve"> лимфаденопатии и/или спленомегалии с содержанием В-лимфоцитов в периферической крови </w:t>
      </w:r>
      <w:r w:rsidR="00CC2A3D">
        <w:t>≤</w:t>
      </w:r>
      <w:r w:rsidR="00032FC0" w:rsidRPr="00032FC0">
        <w:t>5</w:t>
      </w:r>
      <w:r w:rsidR="003F71E8">
        <w:t xml:space="preserve"> </w:t>
      </w:r>
      <w:r w:rsidR="000648CB">
        <w:t>×</w:t>
      </w:r>
      <w:r w:rsidR="003F71E8">
        <w:t xml:space="preserve"> </w:t>
      </w:r>
      <w:r w:rsidR="00032FC0">
        <w:t>10</w:t>
      </w:r>
      <w:r w:rsidR="00032FC0" w:rsidRPr="00D449BB">
        <w:rPr>
          <w:vertAlign w:val="superscript"/>
        </w:rPr>
        <w:t>9</w:t>
      </w:r>
      <w:r w:rsidR="00032FC0">
        <w:t>/л</w:t>
      </w:r>
      <w:r w:rsidR="00032FC0" w:rsidRPr="00007106">
        <w:t xml:space="preserve"> </w:t>
      </w:r>
      <w:r w:rsidR="000137B7">
        <w:t>без морфологических признаков поражения костного мозга</w:t>
      </w:r>
      <w:r w:rsidR="00D449BB" w:rsidRPr="00D449BB">
        <w:t>.</w:t>
      </w:r>
    </w:p>
    <w:p w:rsidR="003F71E8" w:rsidRPr="003F71E8" w:rsidRDefault="003F71E8" w:rsidP="00B93B9E">
      <w:pPr>
        <w:ind w:firstLine="709"/>
        <w:contextualSpacing/>
        <w:rPr>
          <w:iCs/>
        </w:rPr>
      </w:pPr>
      <w:r w:rsidRPr="003F71E8">
        <w:rPr>
          <w:b/>
          <w:bCs/>
          <w:iCs/>
        </w:rPr>
        <w:t>Синдром Рихтера</w:t>
      </w:r>
      <w:r w:rsidRPr="003F71E8">
        <w:rPr>
          <w:iCs/>
        </w:rPr>
        <w:t xml:space="preserve"> </w:t>
      </w:r>
      <w:r>
        <w:rPr>
          <w:iCs/>
        </w:rPr>
        <w:t>–</w:t>
      </w:r>
      <w:r w:rsidRPr="003F71E8">
        <w:rPr>
          <w:iCs/>
        </w:rPr>
        <w:t xml:space="preserve"> появление крупноклеточной лимфомы на фоне </w:t>
      </w:r>
      <w:r w:rsidR="000648CB">
        <w:t>хронического лимфоцитарного лейкоза</w:t>
      </w:r>
      <w:r>
        <w:rPr>
          <w:iCs/>
        </w:rPr>
        <w:t>.</w:t>
      </w:r>
      <w:r w:rsidRPr="003F71E8">
        <w:rPr>
          <w:iCs/>
        </w:rPr>
        <w:t xml:space="preserve"> </w:t>
      </w:r>
    </w:p>
    <w:p w:rsidR="003F71E8" w:rsidRPr="003F71E8" w:rsidRDefault="003F71E8" w:rsidP="00B93B9E">
      <w:pPr>
        <w:ind w:firstLine="709"/>
        <w:contextualSpacing/>
        <w:rPr>
          <w:iCs/>
        </w:rPr>
      </w:pPr>
      <w:r w:rsidRPr="003F71E8">
        <w:rPr>
          <w:b/>
          <w:bCs/>
          <w:iCs/>
        </w:rPr>
        <w:t>Ходжкинская трансформация</w:t>
      </w:r>
      <w:r>
        <w:rPr>
          <w:iCs/>
        </w:rPr>
        <w:t xml:space="preserve"> – </w:t>
      </w:r>
      <w:r w:rsidRPr="003F71E8">
        <w:rPr>
          <w:iCs/>
        </w:rPr>
        <w:t xml:space="preserve">появление лимфомы Ходжкина на фоне </w:t>
      </w:r>
      <w:r w:rsidR="000648CB">
        <w:t>хронического лимфоцитарного лейкоза</w:t>
      </w:r>
      <w:r w:rsidRPr="003F71E8">
        <w:rPr>
          <w:iCs/>
        </w:rPr>
        <w:t>.</w:t>
      </w:r>
    </w:p>
    <w:p w:rsidR="004D7374" w:rsidRPr="00007106" w:rsidRDefault="004D7374" w:rsidP="00B93B9E">
      <w:pPr>
        <w:ind w:firstLine="709"/>
        <w:contextualSpacing/>
      </w:pPr>
      <w:r w:rsidRPr="004D7374">
        <w:rPr>
          <w:b/>
        </w:rPr>
        <w:t xml:space="preserve">Хронический </w:t>
      </w:r>
      <w:r w:rsidR="00A223BC" w:rsidRPr="00D449BB">
        <w:rPr>
          <w:b/>
        </w:rPr>
        <w:t>лимфоцитарный лейкоз</w:t>
      </w:r>
      <w:r w:rsidR="00A223BC">
        <w:t xml:space="preserve"> </w:t>
      </w:r>
      <w:r>
        <w:t xml:space="preserve">– это опухоль из </w:t>
      </w:r>
      <w:r w:rsidR="005208EC">
        <w:t>малых В-лимфоцитов</w:t>
      </w:r>
      <w:r>
        <w:t xml:space="preserve">, характеризующаяся </w:t>
      </w:r>
      <w:r w:rsidR="00CC2A3D">
        <w:t>пролиферацией и</w:t>
      </w:r>
      <w:r w:rsidR="00883FF1">
        <w:t xml:space="preserve"> накоплением </w:t>
      </w:r>
      <w:r w:rsidR="00CC2A3D">
        <w:t xml:space="preserve">аберрантных лимфоидных </w:t>
      </w:r>
      <w:r w:rsidR="00883FF1">
        <w:t xml:space="preserve">клеток в костном мозге, </w:t>
      </w:r>
      <w:r w:rsidR="00CC2A3D">
        <w:t>кр</w:t>
      </w:r>
      <w:r w:rsidR="00883FF1">
        <w:t>ови, лимфоидных тк</w:t>
      </w:r>
      <w:r w:rsidR="000648CB">
        <w:t>анях;</w:t>
      </w:r>
      <w:r w:rsidR="00883FF1">
        <w:t xml:space="preserve"> </w:t>
      </w:r>
      <w:r w:rsidR="00CC2A3D">
        <w:t xml:space="preserve">критерием </w:t>
      </w:r>
      <w:r w:rsidR="000648CB">
        <w:t>по</w:t>
      </w:r>
      <w:r w:rsidR="00CC2A3D">
        <w:t xml:space="preserve">становки диагноза является обнаружение </w:t>
      </w:r>
      <w:r w:rsidR="005208EC">
        <w:t>абсолютн</w:t>
      </w:r>
      <w:r w:rsidR="00CC2A3D">
        <w:t>ого</w:t>
      </w:r>
      <w:r w:rsidR="005208EC">
        <w:t xml:space="preserve"> В-клеточн</w:t>
      </w:r>
      <w:r w:rsidR="000648CB">
        <w:t>ого лимфоцитоза</w:t>
      </w:r>
      <w:r>
        <w:t xml:space="preserve"> в крови (&gt;</w:t>
      </w:r>
      <w:r w:rsidR="00032FC0" w:rsidRPr="00032FC0">
        <w:t>5</w:t>
      </w:r>
      <w:r w:rsidR="000648CB">
        <w:t xml:space="preserve"> × </w:t>
      </w:r>
      <w:r w:rsidR="00032FC0" w:rsidRPr="00032FC0">
        <w:t>10</w:t>
      </w:r>
      <w:r w:rsidR="00032FC0" w:rsidRPr="00BA5245">
        <w:rPr>
          <w:vertAlign w:val="superscript"/>
        </w:rPr>
        <w:t>9</w:t>
      </w:r>
      <w:r w:rsidR="00032FC0" w:rsidRPr="00032FC0">
        <w:t xml:space="preserve">/л </w:t>
      </w:r>
      <w:r>
        <w:t>моноклональных В-лимфоцитов)</w:t>
      </w:r>
      <w:r w:rsidR="00F63CEF">
        <w:t>.</w:t>
      </w:r>
      <w:r w:rsidR="005208EC">
        <w:t xml:space="preserve"> </w:t>
      </w:r>
      <w:r w:rsidR="000648CB" w:rsidRPr="000648CB">
        <w:t>Хронический лимфоцитарный лейкоз</w:t>
      </w:r>
      <w:r w:rsidR="00CC2A3D" w:rsidRPr="000648CB">
        <w:t xml:space="preserve"> </w:t>
      </w:r>
      <w:r w:rsidR="00CC2A3D" w:rsidRPr="00F63CEF">
        <w:t xml:space="preserve">и </w:t>
      </w:r>
      <w:r w:rsidR="000648CB">
        <w:t>л</w:t>
      </w:r>
      <w:r w:rsidR="000648CB" w:rsidRPr="000648CB">
        <w:t>имфома из малых лимфоцитов</w:t>
      </w:r>
      <w:r w:rsidR="00CC2A3D" w:rsidRPr="000648CB">
        <w:t xml:space="preserve"> </w:t>
      </w:r>
      <w:r w:rsidR="00CC2A3D" w:rsidRPr="00F63CEF">
        <w:t>представляют собой различные проявления одного и того же заболевания.</w:t>
      </w:r>
      <w:r w:rsidR="000648CB">
        <w:t xml:space="preserve"> </w:t>
      </w:r>
    </w:p>
    <w:p w:rsidR="008D44A6" w:rsidRPr="004753EB" w:rsidRDefault="003A1E47" w:rsidP="00B93B9E">
      <w:pPr>
        <w:ind w:firstLine="709"/>
        <w:contextualSpacing/>
      </w:pPr>
      <w:r w:rsidRPr="003147A2">
        <w:rPr>
          <w:b/>
        </w:rPr>
        <w:t>Трансформация</w:t>
      </w:r>
      <w:r w:rsidR="00DD3D1E">
        <w:rPr>
          <w:b/>
        </w:rPr>
        <w:t xml:space="preserve"> </w:t>
      </w:r>
      <w:r w:rsidR="004753EB">
        <w:t xml:space="preserve">– развитие диффузной В-клеточной крупноклеточной лимфомы или лимфомы Ходжкина на фоне </w:t>
      </w:r>
      <w:r w:rsidR="000648CB">
        <w:t>х</w:t>
      </w:r>
      <w:r w:rsidR="000648CB" w:rsidRPr="000648CB">
        <w:t>роническ</w:t>
      </w:r>
      <w:r w:rsidR="000648CB">
        <w:t>ого</w:t>
      </w:r>
      <w:r w:rsidR="000648CB" w:rsidRPr="000648CB">
        <w:t xml:space="preserve"> лимфоцитарн</w:t>
      </w:r>
      <w:r w:rsidR="000648CB">
        <w:t>ого</w:t>
      </w:r>
      <w:r w:rsidR="000648CB" w:rsidRPr="000648CB">
        <w:t xml:space="preserve"> лейкоз</w:t>
      </w:r>
      <w:r w:rsidR="000648CB">
        <w:t>а</w:t>
      </w:r>
      <w:r w:rsidR="000648CB" w:rsidRPr="000648CB">
        <w:t xml:space="preserve"> </w:t>
      </w:r>
      <w:r w:rsidR="000648CB" w:rsidRPr="00F63CEF">
        <w:t>и</w:t>
      </w:r>
      <w:r w:rsidR="000648CB">
        <w:t>ли</w:t>
      </w:r>
      <w:r w:rsidR="000648CB" w:rsidRPr="00F63CEF">
        <w:t xml:space="preserve"> </w:t>
      </w:r>
      <w:r w:rsidR="000648CB">
        <w:t>л</w:t>
      </w:r>
      <w:r w:rsidR="000648CB" w:rsidRPr="000648CB">
        <w:t>имфом</w:t>
      </w:r>
      <w:r w:rsidR="000648CB">
        <w:t>ы</w:t>
      </w:r>
      <w:r w:rsidR="000648CB" w:rsidRPr="000648CB">
        <w:t xml:space="preserve"> из малых лимфоцитов</w:t>
      </w:r>
      <w:r w:rsidR="004753EB">
        <w:t xml:space="preserve">. </w:t>
      </w:r>
    </w:p>
    <w:p w:rsidR="00032009" w:rsidRDefault="00032009" w:rsidP="00032009"/>
    <w:p w:rsidR="004D7374" w:rsidRDefault="004D7374" w:rsidP="004D7374">
      <w:pPr>
        <w:ind w:firstLine="709"/>
      </w:pPr>
    </w:p>
    <w:p w:rsidR="00B11FF3" w:rsidRDefault="00B11FF3" w:rsidP="004D7374">
      <w:pPr>
        <w:ind w:firstLine="709"/>
      </w:pPr>
    </w:p>
    <w:p w:rsidR="00B11FF3" w:rsidRDefault="00B11FF3" w:rsidP="004D7374">
      <w:pPr>
        <w:ind w:firstLine="709"/>
      </w:pPr>
    </w:p>
    <w:p w:rsidR="00B11FF3" w:rsidRDefault="00B11FF3" w:rsidP="004D7374">
      <w:pPr>
        <w:ind w:firstLine="709"/>
      </w:pPr>
    </w:p>
    <w:p w:rsidR="00B11FF3" w:rsidRDefault="00B11FF3" w:rsidP="004D7374">
      <w:pPr>
        <w:ind w:firstLine="709"/>
      </w:pPr>
    </w:p>
    <w:p w:rsidR="00B11FF3" w:rsidRDefault="00B11FF3" w:rsidP="004D7374">
      <w:pPr>
        <w:ind w:firstLine="709"/>
      </w:pPr>
    </w:p>
    <w:p w:rsidR="00DC3895" w:rsidRPr="00437AD9" w:rsidRDefault="001C2A64" w:rsidP="00BE6A1C">
      <w:pPr>
        <w:pStyle w:val="1"/>
      </w:pPr>
      <w:bookmarkStart w:id="9" w:name="_Toc24546425"/>
      <w:bookmarkStart w:id="10" w:name="_Toc23601712"/>
      <w:r>
        <w:lastRenderedPageBreak/>
        <w:t xml:space="preserve">1. </w:t>
      </w:r>
      <w:r w:rsidR="00DC3895" w:rsidRPr="00437AD9">
        <w:t xml:space="preserve">Краткая информация по заболеванию или состоянию </w:t>
      </w:r>
      <w:r w:rsidR="00BE6A1C">
        <w:br/>
      </w:r>
      <w:r w:rsidR="00DC3895" w:rsidRPr="00437AD9">
        <w:t>(группе заболеваний или состояний)</w:t>
      </w:r>
      <w:bookmarkEnd w:id="9"/>
      <w:bookmarkEnd w:id="10"/>
    </w:p>
    <w:p w:rsidR="004D7374" w:rsidRPr="0030568B" w:rsidRDefault="004D7374" w:rsidP="00594D35">
      <w:pPr>
        <w:pStyle w:val="2"/>
        <w:rPr>
          <w:szCs w:val="24"/>
        </w:rPr>
      </w:pPr>
      <w:bookmarkStart w:id="11" w:name="_Toc24546426"/>
      <w:bookmarkStart w:id="12" w:name="_Toc23601713"/>
      <w:r w:rsidRPr="0030568B">
        <w:rPr>
          <w:szCs w:val="24"/>
        </w:rPr>
        <w:t>1.1</w:t>
      </w:r>
      <w:r w:rsidR="00397360" w:rsidRPr="0030568B">
        <w:rPr>
          <w:szCs w:val="24"/>
        </w:rPr>
        <w:t>.</w:t>
      </w:r>
      <w:r w:rsidRPr="0030568B">
        <w:rPr>
          <w:szCs w:val="24"/>
        </w:rPr>
        <w:t xml:space="preserve"> Определени</w:t>
      </w:r>
      <w:r w:rsidR="00BE6A1C" w:rsidRPr="0030568B">
        <w:rPr>
          <w:shd w:val="clear" w:color="auto" w:fill="FFFFFF"/>
        </w:rPr>
        <w:t>е</w:t>
      </w:r>
      <w:r w:rsidR="0030568B" w:rsidRPr="0030568B">
        <w:rPr>
          <w:shd w:val="clear" w:color="auto" w:fill="FFFFFF"/>
        </w:rPr>
        <w:t xml:space="preserve"> заболевания или состояния (группы заболеваний или состояний)</w:t>
      </w:r>
      <w:bookmarkEnd w:id="11"/>
      <w:bookmarkEnd w:id="12"/>
    </w:p>
    <w:p w:rsidR="004D7374" w:rsidRDefault="007F15BE" w:rsidP="00B93B9E">
      <w:pPr>
        <w:ind w:firstLine="709"/>
        <w:contextualSpacing/>
      </w:pPr>
      <w:r>
        <w:t>Хронический лимфо</w:t>
      </w:r>
      <w:r w:rsidR="007D1103">
        <w:t xml:space="preserve">цитарный </w:t>
      </w:r>
      <w:r>
        <w:t>лейкоз (ХЛЛ)</w:t>
      </w:r>
      <w:r w:rsidR="000648CB">
        <w:t xml:space="preserve"> и </w:t>
      </w:r>
      <w:r w:rsidR="004D7374">
        <w:t>лимфома из малых лимфоцитов (ЛМЛ)</w:t>
      </w:r>
      <w:r w:rsidR="00DD3D1E">
        <w:t> </w:t>
      </w:r>
      <w:r w:rsidR="004D7374">
        <w:t xml:space="preserve">– это В-клеточные опухоли из </w:t>
      </w:r>
      <w:r w:rsidR="005208EC">
        <w:t>малых В-лимфоцитов</w:t>
      </w:r>
      <w:r w:rsidR="004D7374">
        <w:t xml:space="preserve">. </w:t>
      </w:r>
      <w:r w:rsidR="005208EC">
        <w:t>ХЛЛ</w:t>
      </w:r>
      <w:r w:rsidR="000648CB">
        <w:t xml:space="preserve"> и </w:t>
      </w:r>
      <w:r w:rsidR="005208EC">
        <w:t>ЛМЛ</w:t>
      </w:r>
      <w:r w:rsidR="004D7374">
        <w:t xml:space="preserve"> биологически </w:t>
      </w:r>
      <w:r w:rsidR="004D7374" w:rsidRPr="004A1FA5">
        <w:t xml:space="preserve">представляют собой </w:t>
      </w:r>
      <w:r w:rsidR="000137B7">
        <w:t>одну</w:t>
      </w:r>
      <w:r w:rsidR="00194677">
        <w:t xml:space="preserve"> нозологическую </w:t>
      </w:r>
      <w:r w:rsidR="000137B7">
        <w:t>форму.</w:t>
      </w:r>
      <w:r w:rsidR="00DD3D1E">
        <w:t xml:space="preserve"> </w:t>
      </w:r>
      <w:r w:rsidR="004D7374" w:rsidRPr="004A1FA5">
        <w:t xml:space="preserve">Отличие между ними </w:t>
      </w:r>
      <w:r w:rsidR="000648CB">
        <w:t xml:space="preserve">состоит </w:t>
      </w:r>
      <w:r w:rsidR="004D7374" w:rsidRPr="004A1FA5">
        <w:t xml:space="preserve">в том, что при ХЛЛ в крови </w:t>
      </w:r>
      <w:r w:rsidR="000648CB">
        <w:t>наблюдается</w:t>
      </w:r>
      <w:r w:rsidR="004D7374" w:rsidRPr="004A1FA5">
        <w:t xml:space="preserve"> значительный лимфоцитоз (</w:t>
      </w:r>
      <w:r w:rsidR="004A1FA5" w:rsidRPr="004A1FA5">
        <w:t>≥</w:t>
      </w:r>
      <w:r w:rsidR="004D7374" w:rsidRPr="004A1FA5">
        <w:t xml:space="preserve">5000 моноклональных </w:t>
      </w:r>
      <w:r w:rsidR="000648CB">
        <w:br/>
      </w:r>
      <w:r w:rsidR="004D7374" w:rsidRPr="004A1FA5">
        <w:t>В-лимфоцитов), тогда как при</w:t>
      </w:r>
      <w:r w:rsidR="004D7374">
        <w:t xml:space="preserve"> ЛМЛ </w:t>
      </w:r>
      <w:r w:rsidR="00194677">
        <w:t xml:space="preserve">выявляется поражение лимфатических узлов, селезенки, </w:t>
      </w:r>
      <w:r w:rsidR="000648CB">
        <w:t xml:space="preserve">но </w:t>
      </w:r>
      <w:r w:rsidR="000137B7">
        <w:t xml:space="preserve">содержание клональных В-клеток в крови </w:t>
      </w:r>
      <w:r w:rsidR="000137B7" w:rsidRPr="000137B7">
        <w:t>≤5</w:t>
      </w:r>
      <w:r w:rsidR="007D1103">
        <w:t> </w:t>
      </w:r>
      <w:r w:rsidR="00DD3D1E">
        <w:t>×</w:t>
      </w:r>
      <w:r w:rsidR="007D1103">
        <w:t> </w:t>
      </w:r>
      <w:r w:rsidR="000137B7" w:rsidRPr="000137B7">
        <w:t>10</w:t>
      </w:r>
      <w:r w:rsidR="000137B7" w:rsidRPr="000137B7">
        <w:rPr>
          <w:vertAlign w:val="superscript"/>
        </w:rPr>
        <w:t>9</w:t>
      </w:r>
      <w:r w:rsidR="000137B7" w:rsidRPr="000137B7">
        <w:t>/л</w:t>
      </w:r>
      <w:r w:rsidR="000137B7">
        <w:t>, отсутствуют морфологически</w:t>
      </w:r>
      <w:r w:rsidR="000648CB">
        <w:t>е</w:t>
      </w:r>
      <w:r w:rsidR="000137B7">
        <w:t xml:space="preserve"> признак</w:t>
      </w:r>
      <w:r w:rsidR="000648CB">
        <w:t>и</w:t>
      </w:r>
      <w:r w:rsidR="000137B7">
        <w:t xml:space="preserve"> поражения костного мозга.</w:t>
      </w:r>
    </w:p>
    <w:p w:rsidR="004D7374" w:rsidRPr="0030568B" w:rsidRDefault="004D7374" w:rsidP="00B93B9E">
      <w:pPr>
        <w:pStyle w:val="2"/>
        <w:contextualSpacing/>
        <w:rPr>
          <w:szCs w:val="24"/>
        </w:rPr>
      </w:pPr>
      <w:bookmarkStart w:id="13" w:name="_Toc24546427"/>
      <w:bookmarkStart w:id="14" w:name="_Toc23601714"/>
      <w:r w:rsidRPr="0030568B">
        <w:rPr>
          <w:szCs w:val="24"/>
        </w:rPr>
        <w:t>1.2</w:t>
      </w:r>
      <w:r w:rsidR="00397360" w:rsidRPr="0030568B">
        <w:rPr>
          <w:szCs w:val="24"/>
        </w:rPr>
        <w:t>.</w:t>
      </w:r>
      <w:r w:rsidRPr="0030568B">
        <w:rPr>
          <w:szCs w:val="24"/>
        </w:rPr>
        <w:t xml:space="preserve"> Этиология и патогенез</w:t>
      </w:r>
      <w:r w:rsidR="000F2A44" w:rsidRPr="0030568B">
        <w:rPr>
          <w:szCs w:val="24"/>
        </w:rPr>
        <w:t xml:space="preserve"> </w:t>
      </w:r>
      <w:r w:rsidR="0030568B" w:rsidRPr="0030568B">
        <w:rPr>
          <w:szCs w:val="24"/>
        </w:rPr>
        <w:t>заболевания или состояния (группы заболеваний или состояний)</w:t>
      </w:r>
      <w:bookmarkEnd w:id="13"/>
      <w:bookmarkEnd w:id="14"/>
    </w:p>
    <w:p w:rsidR="001A7FF4" w:rsidRPr="0016638B" w:rsidRDefault="000648CB" w:rsidP="001A7FF4">
      <w:pPr>
        <w:ind w:firstLine="709"/>
      </w:pPr>
      <w:r>
        <w:t>Молекулярный патогенез ХЛЛ –</w:t>
      </w:r>
      <w:r w:rsidR="00C75BCD" w:rsidRPr="0016638B">
        <w:t xml:space="preserve"> комплексный многоступенчатый процесс, который приводит к репликации клона В-лимфоцитов</w:t>
      </w:r>
      <w:r w:rsidR="008C3A74" w:rsidRPr="0016638B">
        <w:t xml:space="preserve"> </w:t>
      </w:r>
      <w:r w:rsidR="000B0AC3" w:rsidRPr="0016638B">
        <w:fldChar w:fldCharType="begin" w:fldLock="1"/>
      </w:r>
      <w:r w:rsidR="001A7FF4" w:rsidRPr="0016638B">
        <w:instrText>ADDIN CSL_CITATION {"citationItems":[{"id":"ITEM-1","itemData":{"DOI":"10.1016/j.semcancer.2010.08.004","ISSN":"1044579X","abstract":"The key molecule for normal B cells is the surface Ig (sIg) of the B-cell receptor, which influences cell behaviour, even after neoplastic transformation. During B-cell maturation, sIg accumulates somatic mutations in the Ig variable region (V) genes and tumours retain these patterns, thereby revealing the point of differentiation of the B cell of origin. The importance of origin is strikingly illustrated in CLL where the two major subsets with distinctive clinical behaviour express either unmutated (U) or mutated (M) V genes. Biased selection of VDJ genes also occurs in CLL, allowing further identification of the normal B-cell counterparts, with U-CLL apparently derived from circulating naïve B cells. Surface IgM of CLL is functional, with evidence for ongoing interaction with antigen in vivo. Signalling connects to cell survival, proliferation and migration, key determinants of tumour cell behaviour. Probing of B-cell receptor-mediated signalling pathways, either constitutively activated or open for activation, reveals dynamic, possibly repetitive, stimulatory events, likely to occur in tissue sites. Subtle differences in signal responsiveness between U-CLL or M-CLL subsets, together with microenvironmental factors, may explain clinical outcome. Knowledge of the critical signalling pathways should reveal the steps vulnerable to inhibition and allow development of a new range of therapeutic drugs, targeted particularly against the more aggressive subset, U-CLL. © 2010 Elsevier Ltd.","author":[{"dropping-particle":"","family":"Packham","given":"Graham","non-dropping-particle":"","parse-names":false,"suffix":""},{"dropping-particle":"","family":"Stevenson","given":"Freda","non-dropping-particle":"","parse-names":false,"suffix":""}],"container-title":"Seminars in Cancer Biology","id":"ITEM-1","issue":"6","issued":{"date-parts":[["2010","12"]]},"page":"391-399","title":"The role of the B-cell receptor in the pathogenesis of chronic lymphocytic leukaemia","type":"article","volume":"20"},"uris":["http://www.mendeley.com/documents/?uuid=830522e0-49cb-3380-a41f-4db8c7d9791e"]},{"id":"ITEM-2","itemData":{"DOI":"10.1158/0008-5472.CAN-14-0630","ISSN":"15387445","abstract":"Over the last decade, immunogenetic analysis of B-cell receptor immunoglobulins (BcR IG) has proved instrumental in dissecting chronic lymphocytic leukemia (CLL) pathogenesis. Initially, it was the finding that the level of somatic hypermutations in rearranged IG heavy-chain genes could define two CLL subtypes associated with a different clinical course that drew attention. As the years ensued, this not only continued to hold strong, but also revealed an unprecedented BcR restriction (aptly coined as \" stereotypy\"), thus cementing the idea that antigenic elements select the leukemic clones. With all this in mind, in the present review, we focus on the CLL BcR IG, a molecule that clearly lies at the heart of disease pathogenesis, and attempt to distil from past and emerging biologic knowledge the most relevant aspects in the context of the immunogenetics of CLL, while at the same time provoking questions that remain unanswered. We juxtapose CLL with mutated BcR IGs against CLL with unmutated BcR IGs due to their striking clinicobiologic differences; however, when considering ontogeny, common derivation of the two mutational subtypes cannot be excluded. The issue of stereotypy is intertwined throughout and we also raise the subject of isotype-switched CLL, which, despite its rarity, contributes intriguing ontogenetic hints. © 2014 AACR.","author":[{"dropping-particle":"","family":"Vardi","given":"Anna","non-dropping-particle":"","parse-names":false,"suffix":""},{"dropping-particle":"","family":"Agathangelidis","given":"Andreas","non-dropping-particle":"","parse-names":false,"suffix":""},{"dropping-particle":"","family":"Sutton","given":"Lesley Ann","non-dropping-particle":"","parse-names":false,"suffix":""},{"dropping-particle":"","family":"Ghia","given":"Paolo","non-dropping-particle":"","parse-names":false,"suffix":""},{"dropping-particle":"","family":"Rosenquist","given":"Richard","non-dropping-particle":"","parse-names":false,"suffix":""},{"dropping-particle":"","family":"Stamatopoulos","given":"Kostas","non-dropping-particle":"","parse-names":false,"suffix":""}],"container-title":"Cancer Research","id":"ITEM-2","issue":"16","issued":{"date-parts":[["2014","8","15"]]},"page":"4211-4216","publisher":"American Association for Cancer Research Inc.","title":"Immunogenetic studies of chronic lymphocytic leukemia: Revelations and speculations about ontogeny and clinical evolution","type":"article","volume":"74"},"uris":["http://www.mendeley.com/documents/?uuid=bbd755e8-35f4-3510-87ba-154469cdeb86"]},{"id":"ITEM-3","itemData":{"DOI":"10.1182/blood-2007-07-099564","ISSN":"00064971","abstract":"Somatic hypermutation (SHM) features in a series of 1967 immunoglobulin heavy chain gene (IGH) rearrangements obtained from patients with chronic lymphocytic leukemia (CLL) were examined and compared with IGH sequences from non-CLL B cells available in public databases. SHM analysis was performed for all 1290 CLL sequences in this cohort with less than 100% identity to germ line. At the cohort level, SHM patterns were typical of a canonical SHM process. However, important differences emerged from the analysis of certain subgroups of CLL sequences defined by: (1) IGHV gene usage, (2) presence of stereotyped heavy chain complementarity-determining region 3 (HCDR3) sequences, and (3) mutational load. Recurrent, \"stereotyped\" amino acid changes occurred across the entire IGHV region in CLL subsets carrying stereotyped HCDR3 sequences, especially those expressing the IGHV3-21 and IGHV4-34 genes. These mutations are underrepresented among non-CLL sequences and thus can be considered as CLL-biased. Furthermore, it was shown that even a low level of mutations may be functionally relevant, given that stereotyped amino acid changes can be found in subsets of minimally mutated cases. The precise targeting and distinctive features of somatic hypermutation (SHM) in selected subgroups of CLL patients provide further evidence for selection by specific antigenic element(s). © 2008 by The American Society of Hematology.","author":[{"dropping-particle":"","family":"Murray","given":"Fiona","non-dropping-particle":"","parse-names":false,"suffix":""},{"dropping-particle":"","family":"Darzentas","given":"Nikos","non-dropping-particle":"","parse-names":false,"suffix":""},{"dropping-particle":"","family":"Hadzidimitriou","given":"Anastasia","non-dropping-particle":"","parse-names":false,"suffix":""},{"dropping-particle":"","family":"Tobin","given":"Gerard","non-dropping-particle":"","parse-names":false,"suffix":""},{"dropping-particle":"","family":"Boudjogra","given":"Myriam","non-dropping-particle":"","parse-names":false,"suffix":""},{"dropping-particle":"","family":"Scielzo","given":"Cristina","non-dropping-particle":"","parse-names":false,"suffix":""},{"dropping-particle":"","family":"Laoutaris","given":"Nikolaos","non-dropping-particle":"","parse-names":false,"suffix":""},{"dropping-particle":"","family":"Karlsson","given":"Karin","non-dropping-particle":"","parse-names":false,"suffix":""},{"dropping-particle":"","family":"Baran-Marzsak","given":"Fanny","non-dropping-particle":"","parse-names":false,"suffix":""},{"dropping-particle":"","family":"Tsaftaris","given":"Athanasios","non-dropping-particle":"","parse-names":false,"suffix":""},{"dropping-particle":"","family":"Moreno","given":"Carol","non-dropping-particle":"","parse-names":false,"suffix":""},{"dropping-particle":"","family":"Anagnostopoulos","given":"Achilles","non-dropping-particle":"","parse-names":false,"suffix":""},{"dropping-particle":"","family":"Caligaris-Cappio","given":"Federico","non-dropping-particle":"","parse-names":false,"suffix":""},{"dropping-particle":"","family":"Vaur","given":"Dominique","non-dropping-particle":"","parse-names":false,"suffix":""},{"dropping-particle":"","family":"Ouzounis","given":"Christos","non-dropping-particle":"","parse-names":false,"suffix":""},{"dropping-particle":"","family":"Belessi","given":"Chrysoula","non-dropping-particle":"","parse-names":false,"suffix":""},{"dropping-particle":"","family":"Ghia","given":"Paolo","non-dropping-particle":"","parse-names":false,"suffix":""},{"dropping-particle":"","family":"Davi","given":"Fred","non-dropping-particle":"","parse-names":false,"suffix":""},{"dropping-particle":"","family":"Rosenquist","given":"Richard","non-dropping-particle":"","parse-names":false,"suffix":""},{"dropping-particle":"","family":"Stamatopoulos","given":"Kostas","non-dropping-particle":"","parse-names":false,"suffix":""}],"container-title":"Blood","id":"ITEM-3","issue":"3","issued":{"date-parts":[["2008"]]},"page":"1524-1533","title":"Stereotyped patterns of somatic hypermutation in subsets of patients with chronic lymphocytic leukemia: Implications for the role of antigen selection in leukemogenesis","type":"article-journal","volume":"111"},"uris":["http://www.mendeley.com/documents/?uuid=a3b1e906-374a-3e1e-a5fc-aca74df7bc47"]}],"mendeley":{"formattedCitation":"[1–3]","plainTextFormattedCitation":"[1–3]","previouslyFormattedCitation":"[1–3]"},"properties":{"noteIndex":0},"schema":"https://github.com/citation-style-language/schema/raw/master/csl-citation.json"}</w:instrText>
      </w:r>
      <w:r w:rsidR="000B0AC3" w:rsidRPr="0016638B">
        <w:fldChar w:fldCharType="separate"/>
      </w:r>
      <w:r w:rsidR="008C3A74" w:rsidRPr="0016638B">
        <w:rPr>
          <w:noProof/>
        </w:rPr>
        <w:t>[1–3]</w:t>
      </w:r>
      <w:r w:rsidR="000B0AC3" w:rsidRPr="0016638B">
        <w:fldChar w:fldCharType="end"/>
      </w:r>
      <w:r w:rsidR="00C75BCD" w:rsidRPr="0016638B">
        <w:t>. Почти во всех случаях хроническому лимфолейкозу предшествует моноклональный В-клеточный лимфоцитоз (МВКЛ), который обнаруживается высокоточными методами иммунофенотипирования у 5</w:t>
      </w:r>
      <w:r w:rsidR="007D1103" w:rsidRPr="0016638B">
        <w:t>–</w:t>
      </w:r>
      <w:r w:rsidR="00C75BCD" w:rsidRPr="0016638B">
        <w:t>15</w:t>
      </w:r>
      <w:r w:rsidR="00DD3D1E">
        <w:t xml:space="preserve"> %</w:t>
      </w:r>
      <w:r w:rsidR="00C75BCD" w:rsidRPr="0016638B">
        <w:t xml:space="preserve"> лиц старше </w:t>
      </w:r>
      <w:r w:rsidR="008C3A74" w:rsidRPr="0016638B">
        <w:t>4</w:t>
      </w:r>
      <w:r w:rsidR="00C75BCD" w:rsidRPr="0016638B">
        <w:t>0 лет</w:t>
      </w:r>
      <w:r w:rsidR="008C3A74" w:rsidRPr="0016638B">
        <w:t xml:space="preserve">, </w:t>
      </w:r>
      <w:r w:rsidR="001A7FF4" w:rsidRPr="0016638B">
        <w:t>риск развития</w:t>
      </w:r>
      <w:r w:rsidR="008C3A74" w:rsidRPr="0016638B">
        <w:t xml:space="preserve"> МВКЛ увеличивается с возрастом</w:t>
      </w:r>
      <w:r w:rsidR="001A7FF4" w:rsidRPr="0016638B">
        <w:t xml:space="preserve"> </w:t>
      </w:r>
      <w:r w:rsidR="000B0AC3" w:rsidRPr="0016638B">
        <w:fldChar w:fldCharType="begin" w:fldLock="1"/>
      </w:r>
      <w:r w:rsidR="00A33FC0" w:rsidRPr="0016638B">
        <w:instrText xml:space="preserve">ADDIN CSL_CITATION {"citationItems":[{"id":"ITEM-1","itemData":{"DOI":"10.1182/blood-2015-02-585059","ISSN":"15280020","abstract":"Monoclonal B lymphocytosis (MBL) is defined as the presence of a clonal B-cell population in the peripheral blood with fewer than 5 × 10(9)/L B-cells and no other signs of a lymphoproliferative disorder. The majority of cases of MBL have the immunophenotype of chronic lymphocytic leukemia (CLL). MBL can be categorized as either low count or high count based on whether the B-cell count is above or below 0.5 × 10(9)/L. Low-count MBL can be detected in </w:instrText>
      </w:r>
      <w:r w:rsidR="00A33FC0" w:rsidRPr="0016638B">
        <w:rPr>
          <w:rFonts w:ascii="Cambria Math" w:hAnsi="Cambria Math" w:cs="Cambria Math"/>
        </w:rPr>
        <w:instrText>∼</w:instrText>
      </w:r>
      <w:r w:rsidR="00A33FC0" w:rsidRPr="0016638B">
        <w:instrText>5% of adults over the age of 40 years when assessed using standard-sensitivity flow cytometry assays. A number of biological and genetic characteristics distinguish low-count from high-count MBL. Whereas low-count MBL rarely progresses to CLL, high-count MBL progresses to CLL requiring therapy at a rate of 1% to 2% per year. High-count MBL is distinguished from Rai 0 CLL based on whether the B-cell count is above or below 5 × 10(9)/L. Although individuals with both high-count MBL and CLL Rai stage 0 are at increased risk of infections and second cancers, the risk of progression requiring treatment and the potential to shorten life expectancy are greater for CLL. This review highlights challenging questions regarding the classification, risk stratification, management, and supportive care of patients with MBL and CLL.","author":[{"dropping-particle":"","family":"Strati","given":"Paolo","non-dropping-particle":"","parse-names":false,"suffix":""},{"dropping-particle":"","family":"Shanafelt","given":"Tait D.","non-dropping-particle":"","parse-names":false,"suffix":""}],"container-title":"Blood","id":"ITEM-1","issue":"4","issued":{"date-parts":[["2015","7","23"]]},"page":"454-462","publisher":"American Society of Hematology","title":"Monoclonal B-cell lymphocytosis and early-stage chronic lymphocytic leukemia: Diagnosis, natural history, and risk stratification","type":"article","volume":"126"},"uris":["http://www.mendeley.com/documents/?uuid=1aa8dff9-435e-3b9c-aa07-bacd9e18cc38"]}],"mendeley":{"formattedCitation":"[4]","plainTextFormattedCitation":"[4]","previouslyFormattedCitation":"[4]"},"properties":{"noteIndex":0},"schema":"https://github.com/citation-style-language/schema/raw/master/csl-citation.json"}</w:instrText>
      </w:r>
      <w:r w:rsidR="000B0AC3" w:rsidRPr="0016638B">
        <w:fldChar w:fldCharType="separate"/>
      </w:r>
      <w:r w:rsidR="001A7FF4" w:rsidRPr="0016638B">
        <w:rPr>
          <w:noProof/>
        </w:rPr>
        <w:t>[4]</w:t>
      </w:r>
      <w:r w:rsidR="000B0AC3" w:rsidRPr="0016638B">
        <w:fldChar w:fldCharType="end"/>
      </w:r>
      <w:r w:rsidR="00C75BCD" w:rsidRPr="0016638B">
        <w:t xml:space="preserve">. МВКЛ инициируется комплексом факторов, </w:t>
      </w:r>
      <w:r w:rsidR="00BA284D">
        <w:t xml:space="preserve">который </w:t>
      </w:r>
      <w:r w:rsidR="00C75BCD" w:rsidRPr="0016638B">
        <w:t>включа</w:t>
      </w:r>
      <w:r w:rsidR="00BA284D">
        <w:t>ет</w:t>
      </w:r>
      <w:r w:rsidR="00C75BCD" w:rsidRPr="0016638B">
        <w:t xml:space="preserve"> мутации ряда генов, антигенн</w:t>
      </w:r>
      <w:r w:rsidR="00BA284D">
        <w:t>ую</w:t>
      </w:r>
      <w:r w:rsidR="00C75BCD" w:rsidRPr="0016638B">
        <w:t xml:space="preserve"> стимуляци</w:t>
      </w:r>
      <w:r w:rsidR="00BA284D">
        <w:t>ю</w:t>
      </w:r>
      <w:r w:rsidR="00C75BCD" w:rsidRPr="0016638B">
        <w:t>, сигнал</w:t>
      </w:r>
      <w:r w:rsidR="00BA284D">
        <w:t>ы</w:t>
      </w:r>
      <w:r w:rsidR="00BA284D" w:rsidRPr="00BA284D">
        <w:t xml:space="preserve"> </w:t>
      </w:r>
      <w:r w:rsidR="00BA284D">
        <w:t xml:space="preserve">от </w:t>
      </w:r>
      <w:r w:rsidR="00BA284D" w:rsidRPr="0016638B">
        <w:t>микроокружен</w:t>
      </w:r>
      <w:r w:rsidR="00BA284D">
        <w:t>ия</w:t>
      </w:r>
      <w:r w:rsidR="00C75BCD" w:rsidRPr="0016638B">
        <w:t>, эпигенетически</w:t>
      </w:r>
      <w:r w:rsidR="00BA284D">
        <w:t>е</w:t>
      </w:r>
      <w:r w:rsidR="00C75BCD" w:rsidRPr="0016638B">
        <w:t xml:space="preserve"> модификации и, наконец, цитогенетически</w:t>
      </w:r>
      <w:r w:rsidR="00BA284D">
        <w:t>е</w:t>
      </w:r>
      <w:r w:rsidR="00C75BCD" w:rsidRPr="0016638B">
        <w:t xml:space="preserve"> нарушения. В результате появляется клон лимфоцитов с фенотипом клеток ХЛЛ. </w:t>
      </w:r>
      <w:r w:rsidR="00BA284D">
        <w:t>У</w:t>
      </w:r>
      <w:r w:rsidR="00C75BCD" w:rsidRPr="0016638B">
        <w:t>ч</w:t>
      </w:r>
      <w:r w:rsidR="00BA284D">
        <w:t>и</w:t>
      </w:r>
      <w:r w:rsidR="00C75BCD" w:rsidRPr="0016638B">
        <w:t>т</w:t>
      </w:r>
      <w:r w:rsidR="00BA284D">
        <w:t>ывая</w:t>
      </w:r>
      <w:r w:rsidR="00C75BCD" w:rsidRPr="0016638B">
        <w:t xml:space="preserve"> многократно преобладающ</w:t>
      </w:r>
      <w:r w:rsidR="00BA284D">
        <w:t>ую</w:t>
      </w:r>
      <w:r w:rsidR="00C75BCD" w:rsidRPr="0016638B">
        <w:t xml:space="preserve"> частот</w:t>
      </w:r>
      <w:r w:rsidR="00BA284D">
        <w:t>у</w:t>
      </w:r>
      <w:r w:rsidR="00C75BCD" w:rsidRPr="0016638B">
        <w:t xml:space="preserve"> МВКЛ, </w:t>
      </w:r>
      <w:r w:rsidR="00BA284D" w:rsidRPr="0016638B">
        <w:t>к развитию ХЛЛ</w:t>
      </w:r>
      <w:r w:rsidR="00BA284D" w:rsidRPr="00BA284D">
        <w:t xml:space="preserve"> </w:t>
      </w:r>
      <w:r w:rsidR="00BA284D" w:rsidRPr="0016638B">
        <w:t xml:space="preserve">приводят </w:t>
      </w:r>
      <w:r w:rsidR="00C75BCD" w:rsidRPr="0016638B">
        <w:t xml:space="preserve">дополнительные генетические нарушения </w:t>
      </w:r>
      <w:r w:rsidR="00BA284D" w:rsidRPr="0016638B">
        <w:t xml:space="preserve">в </w:t>
      </w:r>
      <w:r w:rsidR="00BA284D">
        <w:t>1</w:t>
      </w:r>
      <w:r w:rsidR="00BA284D" w:rsidRPr="0016638B">
        <w:t xml:space="preserve"> из </w:t>
      </w:r>
      <w:r w:rsidR="00BA284D">
        <w:t>100</w:t>
      </w:r>
      <w:r w:rsidR="00BA284D" w:rsidRPr="0016638B">
        <w:t xml:space="preserve"> случаев МВКЛ</w:t>
      </w:r>
      <w:r w:rsidR="00C75BCD" w:rsidRPr="0016638B">
        <w:t>.</w:t>
      </w:r>
      <w:r w:rsidR="00DD3D1E">
        <w:t xml:space="preserve"> </w:t>
      </w:r>
      <w:r w:rsidR="001F5994" w:rsidRPr="0016638B">
        <w:t xml:space="preserve">Клетки ХЛЛ существенно влияют на микроокружение, инициируя </w:t>
      </w:r>
      <w:r w:rsidR="00BA284D">
        <w:t>появление</w:t>
      </w:r>
      <w:r w:rsidR="001F5994" w:rsidRPr="0016638B">
        <w:t xml:space="preserve"> </w:t>
      </w:r>
      <w:r w:rsidR="001A7FF4" w:rsidRPr="0016638B">
        <w:t xml:space="preserve">особого микроокружения </w:t>
      </w:r>
      <w:r w:rsidR="001F5994" w:rsidRPr="0016638B">
        <w:t>и даже специали</w:t>
      </w:r>
      <w:r w:rsidR="00BA284D">
        <w:softHyphen/>
      </w:r>
      <w:r w:rsidR="001F5994" w:rsidRPr="0016638B">
        <w:t>зированных клеток (</w:t>
      </w:r>
      <w:r w:rsidR="001F5994" w:rsidRPr="0016638B">
        <w:rPr>
          <w:lang w:val="en-US"/>
        </w:rPr>
        <w:t>nurse</w:t>
      </w:r>
      <w:r w:rsidR="001F5994" w:rsidRPr="0016638B">
        <w:t>-</w:t>
      </w:r>
      <w:r w:rsidR="001F5994" w:rsidRPr="0016638B">
        <w:rPr>
          <w:lang w:val="en-US"/>
        </w:rPr>
        <w:t>like</w:t>
      </w:r>
      <w:r w:rsidR="001F5994" w:rsidRPr="0016638B">
        <w:t xml:space="preserve"> </w:t>
      </w:r>
      <w:r w:rsidR="001F5994" w:rsidRPr="0016638B">
        <w:rPr>
          <w:lang w:val="en-US"/>
        </w:rPr>
        <w:t>cells</w:t>
      </w:r>
      <w:r w:rsidR="001F5994" w:rsidRPr="0016638B">
        <w:t>), которые определяют их клональную экспансию и дают возможность переживать генотоксические стрессы</w:t>
      </w:r>
      <w:r w:rsidR="00C75BCD" w:rsidRPr="0016638B">
        <w:t>. Время и химиотерапия приводят к клональной эволюции с накоплением генетических нарушений, которые делают клетки ХЛЛ все более автономными, быстро</w:t>
      </w:r>
      <w:r w:rsidR="00BA284D">
        <w:t xml:space="preserve"> </w:t>
      </w:r>
      <w:r w:rsidR="00C75BCD" w:rsidRPr="0016638B">
        <w:t xml:space="preserve">делящимися и рефракторными к терапии. </w:t>
      </w:r>
    </w:p>
    <w:p w:rsidR="00C75BCD" w:rsidRPr="0016638B" w:rsidRDefault="00C75BCD" w:rsidP="001A7FF4">
      <w:pPr>
        <w:ind w:firstLine="709"/>
      </w:pPr>
      <w:r w:rsidRPr="0016638B">
        <w:t>Клетки ХЛЛ/ЛМЛ экспрессируют В-клеточные антигенные рецепторы с ограниченным репертуаром специфичности. Постоянная передача сигнала через эти рецепторы и характер этой передачи явля</w:t>
      </w:r>
      <w:r w:rsidR="00A33FC0" w:rsidRPr="0016638B">
        <w:t>ю</w:t>
      </w:r>
      <w:r w:rsidRPr="0016638B">
        <w:t xml:space="preserve">тся ключевым фактором, определяющим жизнеспособность клеток ХЛЛ и также характер </w:t>
      </w:r>
      <w:r w:rsidR="00BA284D">
        <w:t>развития</w:t>
      </w:r>
      <w:r w:rsidRPr="0016638B">
        <w:t xml:space="preserve"> </w:t>
      </w:r>
      <w:r w:rsidR="001F5994" w:rsidRPr="0016638B">
        <w:t>этой опухоли</w:t>
      </w:r>
      <w:r w:rsidRPr="0016638B">
        <w:t xml:space="preserve">. Предполагается, </w:t>
      </w:r>
      <w:r w:rsidR="001F5994" w:rsidRPr="0016638B">
        <w:lastRenderedPageBreak/>
        <w:t xml:space="preserve">что </w:t>
      </w:r>
      <w:r w:rsidRPr="0016638B">
        <w:t>сигнальный путь В-клеточного рецептора не зависит от антигенов, но осуществляется автономно, возможно при взаимодействии клеток ХЛЛ друг с другом</w:t>
      </w:r>
      <w:r w:rsidR="00A33FC0" w:rsidRPr="0016638B">
        <w:t xml:space="preserve"> </w:t>
      </w:r>
      <w:r w:rsidR="000B0AC3" w:rsidRPr="0016638B">
        <w:fldChar w:fldCharType="begin" w:fldLock="1"/>
      </w:r>
      <w:r w:rsidR="00015814">
        <w:instrText>ADDIN CSL_CITATION {"citationItems":[{"id":"ITEM-1","itemData":{"DOI":"10.1146/annurev-pathol-020712-163955","ISSN":"1553-4006","author":[{"dropping-particle":"","family":"Zhang","given":"Suping","non-dropping-particle":"","parse-names":false,"suffix":""},{"dropping-particle":"","family":"Kipps","given":"Thomas J.","non-dropping-particle":"","parse-names":false,"suffix":""}],"container-title":"Annual Review of Pathology: Mechanisms of Disease","id":"ITEM-1","issue":"1","issued":{"date-parts":[["2014","1","24"]]},"page":"103-118","title":"The Pathogenesis of Chronic Lymphocytic Leukemia","type":"article-journal","volume":"9"},"uris":["http://www.mendeley.com/documents/?uuid=c287baf8-912e-3bba-833c-73547f391e3f"]},{"id":"ITEM-2","itemData":{"DOI":"10.1016/j.it.2013.07.002","ISSN":"14714906","abstract":"B cell receptor (BCR) signaling plays an important pathogenic role in chronic lymphocytic leukemia (CLL) and B cell lymphomas, based on structural restrictions of the BCR, and BCR-dependent survival and growth of the malignant B cells. In CLL and lymphoma subtypes, ligand-independent ('tonic') and ligand-dependent BCR signaling have been characterized, which can involve mutations of BCR pathway components or be triggered by (auto)antigens present in the tissue microenvironment. In CLL, based on high response rates and durable remissions in early-stage clinical trials, there is rapid clinical development of inhibitors targeting BCR-associated kinases [Bruton's tyrosine kinase (BTK), phosphoinositide 3-kinase (PI3K)δ], which will change treatment paradigms in CLL and other B cell malignancies. Here, we discuss the evolution of this field, from BCR-related prognostic markers, to mechanisms of BCR activation, and targeting of BCR-associated kinases, the emerging Achilles' heel in CLL pathogenesis. © 2013 Elsevier Ltd.","author":[{"dropping-particle":"","family":"Burger","given":"Jan A.","non-dropping-particle":"","parse-names":false,"suffix":""},{"dropping-particle":"","family":"Chiorazzi","given":"Nicholas","non-dropping-particle":"","parse-names":false,"suffix":""}],"container-title":"Trends in Immunology","id":"ITEM-2","issue":"12","issued":{"date-parts":[["2013","12"]]},"page":"592-601","title":"B cell receptor signaling in chronic lymphocytic leukemia","type":"article","volume":"34"},"uris":["http://www.mendeley.com/documents/?uuid=d59ab3e3-a06f-38a9-b8d4-6417066cbe46"]}],"mendeley":{"formattedCitation":"[5,6]","plainTextFormattedCitation":"[5,6]","previouslyFormattedCitation":"[5,6]"},"properties":{"noteIndex":0},"schema":"https://github.com/citation-style-language/schema/raw/master/csl-citation.json"}</w:instrText>
      </w:r>
      <w:r w:rsidR="000B0AC3" w:rsidRPr="0016638B">
        <w:fldChar w:fldCharType="separate"/>
      </w:r>
      <w:r w:rsidR="00015814" w:rsidRPr="00015814">
        <w:rPr>
          <w:noProof/>
        </w:rPr>
        <w:t>[5,6]</w:t>
      </w:r>
      <w:r w:rsidR="000B0AC3" w:rsidRPr="0016638B">
        <w:fldChar w:fldCharType="end"/>
      </w:r>
      <w:r w:rsidRPr="0016638B">
        <w:t>.</w:t>
      </w:r>
    </w:p>
    <w:p w:rsidR="004D7374" w:rsidRPr="0030568B" w:rsidRDefault="004D7374" w:rsidP="00B93B9E">
      <w:pPr>
        <w:pStyle w:val="2"/>
        <w:contextualSpacing/>
        <w:rPr>
          <w:szCs w:val="24"/>
        </w:rPr>
      </w:pPr>
      <w:bookmarkStart w:id="15" w:name="_Toc24546428"/>
      <w:bookmarkStart w:id="16" w:name="_Toc23601715"/>
      <w:r w:rsidRPr="0030568B">
        <w:rPr>
          <w:szCs w:val="24"/>
        </w:rPr>
        <w:t>1.3</w:t>
      </w:r>
      <w:r w:rsidR="00397360" w:rsidRPr="0030568B">
        <w:rPr>
          <w:szCs w:val="24"/>
        </w:rPr>
        <w:t>.</w:t>
      </w:r>
      <w:r w:rsidRPr="0030568B">
        <w:rPr>
          <w:szCs w:val="24"/>
        </w:rPr>
        <w:t xml:space="preserve"> Эпидемиология</w:t>
      </w:r>
      <w:r w:rsidR="0030568B" w:rsidRPr="0030568B">
        <w:rPr>
          <w:szCs w:val="24"/>
        </w:rPr>
        <w:t xml:space="preserve"> заболевания или состояния (группы заболеваний или состояний)</w:t>
      </w:r>
      <w:bookmarkEnd w:id="15"/>
      <w:bookmarkEnd w:id="16"/>
    </w:p>
    <w:p w:rsidR="004D7374" w:rsidRDefault="004D7374" w:rsidP="00B93B9E">
      <w:pPr>
        <w:ind w:firstLine="709"/>
        <w:contextualSpacing/>
      </w:pPr>
      <w:r>
        <w:t>ХЛЛ – самый частый вид лейкоз</w:t>
      </w:r>
      <w:r w:rsidR="0015009B">
        <w:t>а</w:t>
      </w:r>
      <w:r>
        <w:t xml:space="preserve"> у взро</w:t>
      </w:r>
      <w:r w:rsidR="00DD3D1E">
        <w:t xml:space="preserve">слых. В европейских странах заболеваемость им </w:t>
      </w:r>
      <w:r>
        <w:t xml:space="preserve">составляет </w:t>
      </w:r>
      <w:r w:rsidR="0088552E" w:rsidRPr="0016638B">
        <w:t>5</w:t>
      </w:r>
      <w:r w:rsidR="00DD3D1E">
        <w:t xml:space="preserve"> случаев на </w:t>
      </w:r>
      <w:r>
        <w:t xml:space="preserve">100 </w:t>
      </w:r>
      <w:r w:rsidR="00DD3D1E">
        <w:t xml:space="preserve">тыс. человек </w:t>
      </w:r>
      <w:r>
        <w:t>в год</w:t>
      </w:r>
      <w:r w:rsidR="00025CCB">
        <w:t xml:space="preserve">. </w:t>
      </w:r>
      <w:r w:rsidR="00DD3D1E">
        <w:t>З</w:t>
      </w:r>
      <w:r w:rsidR="00025CCB">
        <w:t>аболеваемост</w:t>
      </w:r>
      <w:r w:rsidR="00DD3D1E">
        <w:t>ь</w:t>
      </w:r>
      <w:r w:rsidR="00025CCB">
        <w:t xml:space="preserve"> увеличивается с возрастом</w:t>
      </w:r>
      <w:r>
        <w:t xml:space="preserve">. У лиц старше </w:t>
      </w:r>
      <w:r w:rsidR="00025CCB">
        <w:t>7</w:t>
      </w:r>
      <w:r>
        <w:t xml:space="preserve">0 лет она составляет </w:t>
      </w:r>
      <w:r w:rsidR="00DD3D1E">
        <w:t xml:space="preserve">более </w:t>
      </w:r>
      <w:r w:rsidR="00025CCB">
        <w:t>2</w:t>
      </w:r>
      <w:r>
        <w:t>0</w:t>
      </w:r>
      <w:r w:rsidR="00DD3D1E">
        <w:t xml:space="preserve"> случаев на </w:t>
      </w:r>
      <w:r>
        <w:t xml:space="preserve">100 </w:t>
      </w:r>
      <w:r w:rsidR="00DD3D1E">
        <w:t xml:space="preserve">тыс. человек </w:t>
      </w:r>
      <w:r>
        <w:t xml:space="preserve">в год. Медиана возраста на момент установления диагноза в европейских странах – 69 лет </w:t>
      </w:r>
      <w:r w:rsidR="000B0AC3">
        <w:fldChar w:fldCharType="begin" w:fldLock="1"/>
      </w:r>
      <w:r w:rsidR="000F2A44">
        <w:instrText>ADDIN CSL_CITATION {"citationItems":[{"id":"ITEM-1","itemData":{"DOI":"10.1182/blood-2005-06-2508","ISSN":"00064971","abstract":"Because the causes of most lymphoid neoplasms remain unknown, comparison of incidence patterns by disease subtype may provide critical clues for future etiologic investigations. We therefore conducted a comprehensive assessment of 114,548 lymphoid neoplasms diagnosed during 1992-2001 in 12 Surveillance, Epidemiology, and End Results (SEER) registries according to the internationally recognized World Health Organization (WHO) lymphoma classification introduced in 2001. Cases coded in International Classification of Diseases for Oncology, Second Edition (ICD-O-2), were converted to ICD-O-3 for WHO subtype assignment. Age-specific and age-adjusted rates were compared by sex and race (white, black, Asian). Age-adjusted trends in incidence were estimated by sex and race using weighted least squares log-linear regression. Diverse incidence patterns and trends were observed by lymphoid neoplasm subtype and population. In the elderly (75 years or older), rates of diffuse large B-cell lymphoma (DLBCL) and follicular lymphoma increased 1.4% and 1.8% per year, respectively, whereas rates of chronic lymphocytic leukemia/small lymphocytic lymphoma (CLL/SLL) declined 2.1% per year. Although whites bear the highest incidence burden for most lymphoid neoplasm subtypes, most notably for hairy cell leukemia and follicular lymphoma, black predominance was observed for plasma cell and T-cell neoplasms. Asians have considerably lower rates than whites and blacks for CLL/SLL and Hodgkin lymphoma. We conclude that the striking differences in incidence patterns by histologic subtype strongly suggest that there is etiologic heterogeneity among lymphoid neoplasms and support the pursuit of epidemiologic analysis by subtype.","author":[{"dropping-particle":"","family":"Morton","given":"Lindsay M.","non-dropping-particle":"","parse-names":false,"suffix":""},{"dropping-particle":"","family":"Wang","given":"Sophia S.","non-dropping-particle":"","parse-names":false,"suffix":""},{"dropping-particle":"","family":"Devesa","given":"Susan S.","non-dropping-particle":"","parse-names":false,"suffix":""},{"dropping-particle":"","family":"Hartge","given":"Patricia","non-dropping-particle":"","parse-names":false,"suffix":""},{"dropping-particle":"","family":"Weisenburger","given":"Dennis D.","non-dropping-particle":"","parse-names":false,"suffix":""},{"dropping-particle":"","family":"Linet","given":"Martha S.","non-dropping-particle":"","parse-names":false,"suffix":""}],"container-title":"Blood","id":"ITEM-1","issue":"1","issued":{"date-parts":[["2006","1","1"]]},"page":"265-276","title":"Lymphoma incidence patterns by WHO subtype in the United States, 1992-2001","type":"article-journal","volume":"107"},"uris":["http://www.mendeley.com/documents/?uuid=15802976-4224-3b4f-ba66-28fa4b9804dd"]},{"id":"ITEM-2","itemData":{"DOI":"10.1111/j.1600-0609.2008.01114.x","ISSN":"09024441","abstract":"OBJECTIVE: Whilst Chronic lymphocytic leukaemia (CLL) is considered a rare disease, to our knowledge, the current prevalence of CLL within the European Union (EU) member states is not published. Understanding the number of individuals with CLL is vital to assess disease burden within the wider population. METHODS: Using 2002 data from the International Agency for Research on Cancer, we estimated the number of individuals with CLL (ICD-10 C91.1) from those reported for all leukaemias (C91-95) and extrapolated the figures by the population increase within the EU between 2002 and 2006, the last year with fully updated community population estimates. One- and 5-yr partial prevalence estimates are reported (i.e. the number of individuals still living 1-5 yr post-diagnosis). We then applied proportional estimates from the literature to assess those requiring immediate treatment, those under observation and their likely progression rates. RESULTS: We found that within the 27 EU states plus Iceland, Norway and Lichtenstein, 1- and 5-yr CLL partial prevalence estimates totalled approximately 13,952 and 46,633 individuals respectively in 2006. By applying Binet staging to the 1-yr estimate, 40% of patients will be stage B/C and require immediate treatment. Thus, 5581 individuals may be treated within the first year of diagnosis. Of the 60% (8371) under observation, by 5 yr up to 33% (2763) may have more advanced disease with increased risk of mortality. CONCLUSION: Whilst CLL is a rare disease, the number of individuals burdened by the disease within the EU is considerable and thousands of patients require treatment and physician care, which has cost implications for member states.","author":[{"dropping-particle":"","family":"Watson","given":"Louise","non-dropping-particle":"","parse-names":false,"suffix":""},{"dropping-particle":"","family":"Wyld","given":"Peter","non-dropping-particle":"","parse-names":false,"suffix":""},{"dropping-particle":"","family":"Catovsky","given":"Daniel","non-dropping-particle":"","parse-names":false,"suffix":""}],"container-title":"European Journal of Haematology","id":"ITEM-2","issue":"4","issued":{"date-parts":[["2008","10"]]},"page":"253-258","title":"Disease burden of chronic lymphocytic leukaemia within the European Union","type":"article-journal","volume":"81"},"uris":["http://www.mendeley.com/documents/?uuid=5d69840b-b298-33cd-b84e-f36114e4d3de"]},{"id":"ITEM-3","itemData":{"PMID":"17237035","author":[{"dropping-particle":"","family":"Jemal","given":"A.","non-dropping-particle":"","parse-names":false,"suffix":""},{"dropping-particle":"","family":"Siegel","given":"R.","non-dropping-particle":"","parse-names":false,"suffix":""},{"dropping-particle":"","family":"Ward","given":"E.","non-dropping-particle":"","parse-names":false,"suffix":""},{"dropping-particle":"","family":"Murray","given":"T.","non-dropping-particle":"","parse-names":false,"suffix":""},{"dropping-particle":"","family":"Xu","given":"J.","non-dropping-particle":"","parse-names":false,"suffix":""},{"dropping-particle":"","family":"Thun","given":"M.J.","non-dropping-particle":"","parse-names":false,"suffix":""}],"container-title":"CA: a cancer journal for clinicians","id":"ITEM-3","issue":"1","issued":{"date-parts":[["2007"]]},"page":"43-66","title":"Cancer statistics, 2007.","type":"article-journal","volume":"57"},"uris":["http://www.mendeley.com/documents/?uuid=e874d4ce-8762-484d-907a-6fc171df76ab"]},{"id":"ITEM-4","itemData":{"DOI":"10.1111/j.1365-2141.2007.06856.x","ISSN":"00071048","abstract":"The 2001 World Health Organization classification scheme considers B-cell chronic lymphocytic leukaemia (CLL) and small lymphocytic lymphoma (SLL) in an aggregate category (CLL/SLL) because of shared clinicopathological features. We have estimated age-adjusted incidence rates (IRs) of CLL and SLL in the population-based Surveillance, Epidemiology and End Results Program in the United States to analyse patterns of CLL and SLL separately and jointly. Age-standardized to the 2000 US population, overall IRs were 3.83 per 100 000 person-years for CLL (n = 15 676) and 1.31 for SLL (n = 5382) during 1993-2004. Incidence of the combined entity, CLL/SLL, was 90% higher among males compared to females, and the male:female IR ratio was significantly higher for CLL (1.98) than for SLL (1.67). CLL/SLL IRs were 25% and 77% lower among Blacks and Asian/Pacific Islanders, respectively, compared to Whites. A significant reporting delay was evident for CLL but not for SLL, so that CLL/SLL temporal trends must be interpreted cautiously. CLL and SLL IRs increased exponentially with age among all gender/race groups, with CLL IRs increasing more steeply with advancing age than SLL. Avenues of future research include assessment of delayed- and under-reporting to cancer registries and exploration of race, gender, and age effects in epidemiological studies.","author":[{"dropping-particle":"","family":"Dores","given":"Graça M.","non-dropping-particle":"","parse-names":false,"suffix":""},{"dropping-particle":"","family":"Anderson","given":"William F.","non-dropping-particle":"","parse-names":false,"suffix":""},{"dropping-particle":"","family":"Curtis","given":"Rochelle E.","non-dropping-particle":"","parse-names":false,"suffix":""},{"dropping-particle":"","family":"Landgren","given":"Ola","non-dropping-particle":"","parse-names":false,"suffix":""},{"dropping-particle":"","family":"Ostroumova","given":"Evgenia","non-dropping-particle":"","parse-names":false,"suffix":""},{"dropping-particle":"","family":"Bluhm","given":"Elizabeth C.","non-dropping-particle":"","parse-names":false,"suffix":""},{"dropping-particle":"","family":"Rabkin","given":"Charles S.","non-dropping-particle":"","parse-names":false,"suffix":""},{"dropping-particle":"","family":"Devesa","given":"Susan S.","non-dropping-particle":"","parse-names":false,"suffix":""},{"dropping-particle":"","family":"Linet","given":"Martha S.","non-dropping-particle":"","parse-names":false,"suffix":""}],"container-title":"British Journal of Haematology","id":"ITEM-4","issue":"5","issued":{"date-parts":[["2007","12"]]},"page":"809-819","title":"Chronic lymphocytic leukaemia and small lymphocytic lymphoma: Overview of the descriptive epidemiology","type":"article-journal","volume":"139"},"uris":["http://www.mendeley.com/documents/?uuid=c627013b-6902-38d0-b3c8-4a4075d2576c"]}],"mendeley":{"formattedCitation":"[7–10]","plainTextFormattedCitation":"[7–10]","previouslyFormattedCitation":"[7–10]"},"properties":{"noteIndex":0},"schema":"https://github.com/citation-style-language/schema/raw/master/csl-citation.json"}</w:instrText>
      </w:r>
      <w:r w:rsidR="000B0AC3">
        <w:fldChar w:fldCharType="separate"/>
      </w:r>
      <w:r w:rsidR="000F2A44" w:rsidRPr="000F2A44">
        <w:rPr>
          <w:noProof/>
        </w:rPr>
        <w:t>[7–10]</w:t>
      </w:r>
      <w:r w:rsidR="000B0AC3">
        <w:fldChar w:fldCharType="end"/>
      </w:r>
      <w:r>
        <w:t xml:space="preserve">. </w:t>
      </w:r>
      <w:r w:rsidRPr="00D012C9">
        <w:t>В Российской Федерации ХЛЛ выявляется реже: в 201</w:t>
      </w:r>
      <w:r w:rsidR="000F2A44">
        <w:t>7</w:t>
      </w:r>
      <w:r w:rsidRPr="00D012C9">
        <w:t xml:space="preserve"> г. заболеваемость составила 2,95</w:t>
      </w:r>
      <w:r w:rsidR="00DD3D1E">
        <w:t xml:space="preserve"> случая на </w:t>
      </w:r>
      <w:r w:rsidRPr="00D012C9">
        <w:t xml:space="preserve">100 </w:t>
      </w:r>
      <w:r w:rsidR="00DD3D1E">
        <w:t>тыс. человек</w:t>
      </w:r>
      <w:r w:rsidRPr="00D012C9">
        <w:t xml:space="preserve">, медиана возраста на момент установления диагноза </w:t>
      </w:r>
      <w:r w:rsidR="00BA284D">
        <w:t>–</w:t>
      </w:r>
      <w:r w:rsidRPr="00D012C9">
        <w:t xml:space="preserve"> 68 лет</w:t>
      </w:r>
      <w:r w:rsidR="000F2A44" w:rsidRPr="000F2A44">
        <w:t xml:space="preserve"> </w:t>
      </w:r>
      <w:r w:rsidR="000B0AC3">
        <w:fldChar w:fldCharType="begin" w:fldLock="1"/>
      </w:r>
      <w:r w:rsidR="00DE62FF">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[11]","plainTextFormattedCitation":"[11]","previouslyFormattedCitation":"[11]"},"properties":{"noteIndex":0},"schema":"https://github.com/citation-style-language/schema/raw/master/csl-citation.json"}</w:instrText>
      </w:r>
      <w:r w:rsidR="000B0AC3">
        <w:fldChar w:fldCharType="separate"/>
      </w:r>
      <w:r w:rsidR="000F2A44" w:rsidRPr="000F2A44">
        <w:rPr>
          <w:noProof/>
        </w:rPr>
        <w:t>[11]</w:t>
      </w:r>
      <w:r w:rsidR="000B0AC3">
        <w:fldChar w:fldCharType="end"/>
      </w:r>
      <w:r>
        <w:t>.</w:t>
      </w:r>
    </w:p>
    <w:p w:rsidR="004D7374" w:rsidRPr="0030568B" w:rsidRDefault="004D7374" w:rsidP="00B93B9E">
      <w:pPr>
        <w:pStyle w:val="2"/>
        <w:contextualSpacing/>
        <w:rPr>
          <w:szCs w:val="24"/>
        </w:rPr>
      </w:pPr>
      <w:bookmarkStart w:id="17" w:name="_Toc24546429"/>
      <w:bookmarkStart w:id="18" w:name="_Toc23601716"/>
      <w:r w:rsidRPr="0030568B">
        <w:rPr>
          <w:szCs w:val="24"/>
        </w:rPr>
        <w:t>1.4</w:t>
      </w:r>
      <w:r w:rsidR="00397360" w:rsidRPr="0030568B">
        <w:rPr>
          <w:szCs w:val="24"/>
        </w:rPr>
        <w:t>.</w:t>
      </w:r>
      <w:r w:rsidRPr="0030568B">
        <w:rPr>
          <w:szCs w:val="24"/>
        </w:rPr>
        <w:t xml:space="preserve"> </w:t>
      </w:r>
      <w:r w:rsidR="0030568B" w:rsidRPr="0030568B">
        <w:rPr>
          <w:szCs w:val="24"/>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7"/>
      <w:bookmarkEnd w:id="18"/>
    </w:p>
    <w:p w:rsidR="00A032F4" w:rsidRDefault="004D7374" w:rsidP="00BE6A1C">
      <w:r w:rsidRPr="00931A0F">
        <w:t>С91.1</w:t>
      </w:r>
      <w:r w:rsidR="006422C1" w:rsidRPr="006422C1">
        <w:t xml:space="preserve"> – </w:t>
      </w:r>
      <w:r w:rsidR="00BA284D">
        <w:t>Х</w:t>
      </w:r>
      <w:r w:rsidR="006422C1">
        <w:t>ронический лимфоцитарный лейкоз</w:t>
      </w:r>
    </w:p>
    <w:p w:rsidR="004D7374" w:rsidRPr="00211CEE" w:rsidRDefault="004D7374" w:rsidP="00211CEE">
      <w:pPr>
        <w:pStyle w:val="2"/>
        <w:contextualSpacing/>
        <w:rPr>
          <w:szCs w:val="24"/>
        </w:rPr>
      </w:pPr>
      <w:bookmarkStart w:id="19" w:name="_Toc24546430"/>
      <w:bookmarkStart w:id="20" w:name="_Toc23601717"/>
      <w:r w:rsidRPr="00211CEE">
        <w:rPr>
          <w:szCs w:val="24"/>
        </w:rPr>
        <w:t>1.5</w:t>
      </w:r>
      <w:r w:rsidR="00397360" w:rsidRPr="00907D07">
        <w:rPr>
          <w:szCs w:val="24"/>
        </w:rPr>
        <w:t>.</w:t>
      </w:r>
      <w:r w:rsidRPr="00211CEE">
        <w:rPr>
          <w:szCs w:val="24"/>
        </w:rPr>
        <w:t xml:space="preserve"> </w:t>
      </w:r>
      <w:r w:rsidR="00DE62FF" w:rsidRPr="00DE62FF">
        <w:rPr>
          <w:szCs w:val="24"/>
        </w:rPr>
        <w:t>Классификация</w:t>
      </w:r>
      <w:r w:rsidR="0030568B">
        <w:rPr>
          <w:szCs w:val="24"/>
        </w:rPr>
        <w:t xml:space="preserve"> </w:t>
      </w:r>
      <w:r w:rsidR="0030568B" w:rsidRPr="0030568B">
        <w:rPr>
          <w:szCs w:val="24"/>
        </w:rPr>
        <w:t>заболевания или состояния (группы заболеваний или состояний)</w:t>
      </w:r>
      <w:bookmarkEnd w:id="19"/>
      <w:bookmarkEnd w:id="20"/>
    </w:p>
    <w:p w:rsidR="004D7374" w:rsidRPr="00E0632F" w:rsidRDefault="004D7374" w:rsidP="00B93B9E">
      <w:pPr>
        <w:ind w:firstLine="709"/>
        <w:contextualSpacing/>
      </w:pPr>
      <w:r>
        <w:t>ХЛЛ может классифицироваться по стадиям</w:t>
      </w:r>
      <w:r w:rsidR="006422C1">
        <w:t xml:space="preserve"> (см. раздел 1.5.1 Стадирование)</w:t>
      </w:r>
      <w:r>
        <w:t>, а также по группам риска</w:t>
      </w:r>
      <w:r w:rsidR="006422C1">
        <w:t xml:space="preserve"> (см. раздел 1.5.2 Определение групп риска)</w:t>
      </w:r>
      <w:r w:rsidR="00DE62F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E62FF" w:rsidRPr="00DE62FF">
        <w:rPr>
          <w:noProof/>
        </w:rPr>
        <w:t>[12]</w:t>
      </w:r>
      <w:r w:rsidR="000B0AC3">
        <w:fldChar w:fldCharType="end"/>
      </w:r>
      <w:r w:rsidR="006422C1">
        <w:t>.</w:t>
      </w:r>
      <w:r w:rsidR="00DE62FF" w:rsidRPr="00E0632F">
        <w:t xml:space="preserve"> </w:t>
      </w:r>
    </w:p>
    <w:p w:rsidR="004D7374" w:rsidRPr="00397360" w:rsidRDefault="004D7374" w:rsidP="00371E34">
      <w:pPr>
        <w:pStyle w:val="3"/>
        <w:rPr>
          <w:u w:val="single"/>
        </w:rPr>
      </w:pPr>
      <w:r w:rsidRPr="00397360">
        <w:rPr>
          <w:u w:val="single"/>
        </w:rPr>
        <w:t>1.5.1</w:t>
      </w:r>
      <w:r w:rsidR="00397360" w:rsidRPr="00397360">
        <w:rPr>
          <w:u w:val="single"/>
        </w:rPr>
        <w:t>.</w:t>
      </w:r>
      <w:r w:rsidRPr="00397360">
        <w:rPr>
          <w:u w:val="single"/>
        </w:rPr>
        <w:t xml:space="preserve"> Стадирование</w:t>
      </w:r>
      <w:r w:rsidR="0030568B">
        <w:rPr>
          <w:u w:val="single"/>
        </w:rPr>
        <w:t xml:space="preserve"> </w:t>
      </w:r>
    </w:p>
    <w:p w:rsidR="004D7374" w:rsidRDefault="004D7374" w:rsidP="00B93B9E">
      <w:pPr>
        <w:ind w:firstLine="709"/>
        <w:contextualSpacing/>
      </w:pPr>
      <w:r>
        <w:t>Стадию ХЛЛ устанавливают на основании физикального исследования и анализа крови по критериям J.L. Binet (табл. 1)</w:t>
      </w:r>
      <w:r w:rsidR="006D166E" w:rsidRPr="00E0632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6D166E" w:rsidRPr="00DE62FF">
        <w:rPr>
          <w:noProof/>
        </w:rPr>
        <w:t>[12]</w:t>
      </w:r>
      <w:r w:rsidR="000B0AC3">
        <w:fldChar w:fldCharType="end"/>
      </w:r>
      <w:r>
        <w:t>. Компьютерная томография</w:t>
      </w:r>
      <w:r w:rsidR="00AA4B03">
        <w:t xml:space="preserve"> (КТ)</w:t>
      </w:r>
      <w:r>
        <w:t xml:space="preserve">, рентгеновское и </w:t>
      </w:r>
      <w:r w:rsidR="000F2499">
        <w:t>ультразвуковое исследование</w:t>
      </w:r>
      <w:r>
        <w:t xml:space="preserve"> </w:t>
      </w:r>
      <w:r w:rsidR="000C05AF">
        <w:t xml:space="preserve">(УЗИ) </w:t>
      </w:r>
      <w:r>
        <w:t xml:space="preserve">для установления стадии не требуется. Стадия констатируется на текущий момент, указывается в диагнозе и </w:t>
      </w:r>
      <w:r w:rsidR="000F2499">
        <w:t>служит ориентиром при определении</w:t>
      </w:r>
      <w:r>
        <w:t xml:space="preserve"> показани</w:t>
      </w:r>
      <w:r w:rsidR="000F2499">
        <w:t>й</w:t>
      </w:r>
      <w:r>
        <w:t xml:space="preserve"> к терапии. </w:t>
      </w:r>
    </w:p>
    <w:p w:rsidR="003B3C73" w:rsidRPr="003B3C73" w:rsidRDefault="003B3C73" w:rsidP="003B3C73">
      <w:pPr>
        <w:spacing w:after="240"/>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w:t>
      </w:r>
      <w:r>
        <w:rPr>
          <w:bCs/>
          <w:lang w:eastAsia="ru-RU"/>
        </w:rPr>
        <w:t>см.</w:t>
      </w:r>
      <w:r w:rsidR="00145A85">
        <w:rPr>
          <w:bCs/>
          <w:lang w:eastAsia="ru-RU"/>
        </w:rPr>
        <w:t xml:space="preserve"> раздел 7.1 данных рекомендаций</w:t>
      </w:r>
      <w:r w:rsidRPr="0083297F">
        <w:rPr>
          <w:bCs/>
          <w:lang w:eastAsia="ru-RU"/>
        </w:rPr>
        <w:t>)</w:t>
      </w:r>
      <w:r>
        <w:rPr>
          <w:bCs/>
          <w:lang w:eastAsia="ru-RU"/>
        </w:rPr>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rsidR="004D7374" w:rsidRPr="00371E34" w:rsidRDefault="004D7374" w:rsidP="00371E34">
      <w:pPr>
        <w:contextualSpacing/>
        <w:rPr>
          <w:b/>
        </w:rPr>
      </w:pPr>
      <w:r w:rsidRPr="00371E34">
        <w:rPr>
          <w:b/>
        </w:rPr>
        <w:t xml:space="preserve">Таблица 1. Стадии </w:t>
      </w:r>
      <w:r w:rsidR="00371E34">
        <w:rPr>
          <w:b/>
        </w:rPr>
        <w:t>хронического</w:t>
      </w:r>
      <w:r w:rsidR="00371E34" w:rsidRPr="00371E34">
        <w:rPr>
          <w:b/>
        </w:rPr>
        <w:t xml:space="preserve"> лимфоцитарн</w:t>
      </w:r>
      <w:r w:rsidR="00371E34">
        <w:rPr>
          <w:b/>
        </w:rPr>
        <w:t>ого</w:t>
      </w:r>
      <w:r w:rsidR="00371E34" w:rsidRPr="00371E34">
        <w:rPr>
          <w:b/>
        </w:rPr>
        <w:t xml:space="preserve"> лейкоз</w:t>
      </w:r>
      <w:r w:rsidR="00371E34">
        <w:rPr>
          <w:b/>
        </w:rPr>
        <w:t>а</w:t>
      </w:r>
      <w:r w:rsidRPr="00371E34">
        <w:rPr>
          <w:b/>
        </w:rPr>
        <w:t xml:space="preserve"> по Binet</w:t>
      </w:r>
    </w:p>
    <w:tbl>
      <w:tblPr>
        <w:tblW w:w="9329" w:type="dxa"/>
        <w:tblCellMar>
          <w:top w:w="15" w:type="dxa"/>
          <w:left w:w="15" w:type="dxa"/>
          <w:bottom w:w="15" w:type="dxa"/>
          <w:right w:w="15" w:type="dxa"/>
        </w:tblCellMar>
        <w:tblLook w:val="04A0" w:firstRow="1" w:lastRow="0" w:firstColumn="1" w:lastColumn="0" w:noHBand="0" w:noVBand="1"/>
      </w:tblPr>
      <w:tblGrid>
        <w:gridCol w:w="917"/>
        <w:gridCol w:w="4222"/>
        <w:gridCol w:w="2268"/>
        <w:gridCol w:w="1922"/>
      </w:tblGrid>
      <w:tr w:rsidR="00B11FF3" w:rsidRPr="00371E34"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371E34" w:rsidRDefault="00B11FF3" w:rsidP="003B3C73">
            <w:pPr>
              <w:pStyle w:val="11"/>
              <w:spacing w:before="40" w:beforeAutospacing="0" w:after="40" w:afterAutospacing="0" w:line="240" w:lineRule="auto"/>
              <w:jc w:val="center"/>
              <w:rPr>
                <w:b/>
              </w:rPr>
            </w:pPr>
            <w:r w:rsidRPr="00371E34">
              <w:rPr>
                <w:b/>
              </w:rPr>
              <w:t>Стадия</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371E34" w:rsidRDefault="00B11FF3" w:rsidP="003B3C73">
            <w:pPr>
              <w:pStyle w:val="11"/>
              <w:spacing w:before="40" w:beforeAutospacing="0" w:after="40" w:afterAutospacing="0" w:line="240" w:lineRule="auto"/>
              <w:jc w:val="center"/>
              <w:rPr>
                <w:b/>
              </w:rPr>
            </w:pPr>
            <w:r w:rsidRPr="00371E34">
              <w:rPr>
                <w:b/>
              </w:rPr>
              <w:t>Характеристика</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371E34" w:rsidRDefault="00B11FF3" w:rsidP="003B3C73">
            <w:pPr>
              <w:pStyle w:val="11"/>
              <w:spacing w:before="40" w:beforeAutospacing="0" w:after="40" w:afterAutospacing="0" w:line="240" w:lineRule="auto"/>
              <w:jc w:val="center"/>
              <w:rPr>
                <w:b/>
              </w:rPr>
            </w:pPr>
            <w:r w:rsidRPr="00371E34">
              <w:rPr>
                <w:b/>
              </w:rPr>
              <w:t>Медиана выживаемости, мес.</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371E34" w:rsidRDefault="00371E34" w:rsidP="003B3C73">
            <w:pPr>
              <w:pStyle w:val="11"/>
              <w:spacing w:before="40" w:beforeAutospacing="0" w:after="40" w:afterAutospacing="0" w:line="240" w:lineRule="auto"/>
              <w:jc w:val="center"/>
              <w:rPr>
                <w:b/>
              </w:rPr>
            </w:pPr>
            <w:r>
              <w:rPr>
                <w:b/>
              </w:rPr>
              <w:t>Доля</w:t>
            </w:r>
            <w:r w:rsidR="00B11FF3" w:rsidRPr="00371E34">
              <w:rPr>
                <w:b/>
              </w:rPr>
              <w:t xml:space="preserve"> </w:t>
            </w:r>
            <w:r w:rsidR="00573998">
              <w:rPr>
                <w:b/>
              </w:rPr>
              <w:t>пациентов</w:t>
            </w:r>
            <w:r w:rsidR="00573998" w:rsidRPr="00371E34">
              <w:rPr>
                <w:b/>
              </w:rPr>
              <w:t xml:space="preserve"> </w:t>
            </w:r>
            <w:r w:rsidR="000F2499">
              <w:rPr>
                <w:b/>
              </w:rPr>
              <w:br/>
            </w:r>
            <w:r w:rsidR="00B11FF3" w:rsidRPr="00371E34">
              <w:rPr>
                <w:b/>
              </w:rPr>
              <w:t>в дебюте</w:t>
            </w:r>
            <w:r>
              <w:rPr>
                <w:b/>
              </w:rPr>
              <w:t>, %</w:t>
            </w:r>
          </w:p>
        </w:tc>
      </w:tr>
      <w:tr w:rsidR="00B11FF3" w:rsidRPr="005B4606"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AB6521" w:rsidRDefault="00B11FF3" w:rsidP="003B3C73">
            <w:pPr>
              <w:pStyle w:val="11"/>
              <w:spacing w:before="40" w:beforeAutospacing="0" w:after="40" w:afterAutospacing="0" w:line="240" w:lineRule="auto"/>
            </w:pPr>
            <w:r w:rsidRPr="00AB6521">
              <w:t>A</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AB6521" w:rsidRDefault="00B11FF3" w:rsidP="003B3C73">
            <w:pPr>
              <w:pStyle w:val="11"/>
              <w:spacing w:before="40" w:beforeAutospacing="0" w:after="40" w:afterAutospacing="0" w:line="240" w:lineRule="auto"/>
            </w:pPr>
            <w:r>
              <w:t>Гемоглобин</w:t>
            </w:r>
            <w:r w:rsidR="00371E34">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371E34">
              <w:br/>
            </w:r>
            <w:r w:rsidRPr="00AB6521">
              <w:t>поражено &lt;3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D012C9" w:rsidRDefault="00B11FF3" w:rsidP="003B3C73">
            <w:pPr>
              <w:pStyle w:val="11"/>
              <w:spacing w:before="40" w:beforeAutospacing="0" w:after="40" w:afterAutospacing="0" w:line="240" w:lineRule="auto"/>
              <w:jc w:val="center"/>
            </w:pPr>
            <w:r w:rsidRPr="00D012C9">
              <w:t>&gt;120</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D012C9" w:rsidRDefault="00B11FF3" w:rsidP="003B3C73">
            <w:pPr>
              <w:pStyle w:val="11"/>
              <w:spacing w:before="40" w:beforeAutospacing="0" w:after="40" w:afterAutospacing="0" w:line="240" w:lineRule="auto"/>
              <w:jc w:val="center"/>
            </w:pPr>
            <w:r w:rsidRPr="00D012C9">
              <w:t>60</w:t>
            </w:r>
          </w:p>
        </w:tc>
      </w:tr>
      <w:tr w:rsidR="00B11FF3" w:rsidRPr="005B4606"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AB6521" w:rsidRDefault="00B11FF3" w:rsidP="003B3C73">
            <w:pPr>
              <w:pStyle w:val="11"/>
              <w:spacing w:before="40" w:beforeAutospacing="0" w:after="40" w:afterAutospacing="0" w:line="240" w:lineRule="auto"/>
            </w:pPr>
            <w:r w:rsidRPr="00AB6521">
              <w:t>B</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AB6521" w:rsidRDefault="00B11FF3" w:rsidP="003B3C73">
            <w:pPr>
              <w:pStyle w:val="11"/>
              <w:spacing w:before="40" w:beforeAutospacing="0" w:after="40" w:afterAutospacing="0" w:line="240" w:lineRule="auto"/>
            </w:pPr>
            <w:r>
              <w:t>Гемоглобин</w:t>
            </w:r>
            <w:r w:rsidR="000F2499">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0F2499">
              <w:br/>
            </w:r>
            <w:r w:rsidRPr="00AB6521">
              <w:lastRenderedPageBreak/>
              <w:t xml:space="preserve">поражено </w:t>
            </w:r>
            <w:r w:rsidRPr="00D012C9">
              <w:t>&gt;3</w:t>
            </w:r>
            <w:r w:rsidRPr="00AB6521">
              <w:t xml:space="preserve">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D012C9" w:rsidRDefault="00B11FF3" w:rsidP="003B3C73">
            <w:pPr>
              <w:pStyle w:val="11"/>
              <w:spacing w:before="40" w:beforeAutospacing="0" w:after="40" w:afterAutospacing="0" w:line="240" w:lineRule="auto"/>
              <w:jc w:val="center"/>
            </w:pPr>
            <w:r w:rsidRPr="00D012C9">
              <w:lastRenderedPageBreak/>
              <w:t>61</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D012C9" w:rsidRDefault="00B11FF3" w:rsidP="003B3C73">
            <w:pPr>
              <w:pStyle w:val="11"/>
              <w:spacing w:before="40" w:beforeAutospacing="0" w:after="40" w:afterAutospacing="0" w:line="240" w:lineRule="auto"/>
              <w:jc w:val="center"/>
            </w:pPr>
            <w:r w:rsidRPr="00D012C9">
              <w:t>30</w:t>
            </w:r>
          </w:p>
        </w:tc>
      </w:tr>
      <w:tr w:rsidR="00B11FF3" w:rsidRPr="005B4606"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AB6521" w:rsidRDefault="00B11FF3" w:rsidP="003B3C73">
            <w:pPr>
              <w:pStyle w:val="11"/>
              <w:spacing w:before="40" w:beforeAutospacing="0" w:after="40" w:afterAutospacing="0" w:line="240" w:lineRule="auto"/>
            </w:pPr>
            <w:r w:rsidRPr="00AB6521">
              <w:lastRenderedPageBreak/>
              <w:t>C</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AB6521" w:rsidRDefault="000F2499" w:rsidP="003B3C73">
            <w:pPr>
              <w:pStyle w:val="11"/>
              <w:spacing w:before="40" w:beforeAutospacing="0" w:after="40" w:afterAutospacing="0" w:line="240" w:lineRule="auto"/>
            </w:pPr>
            <w:r>
              <w:t>Гемоглобин &lt;</w:t>
            </w:r>
            <w:r w:rsidR="00B11FF3" w:rsidRPr="00AB6521">
              <w:t xml:space="preserve">100 г/л </w:t>
            </w:r>
            <w:r>
              <w:br/>
            </w:r>
            <w:r w:rsidR="00B11FF3" w:rsidRPr="00AB6521">
              <w:rPr>
                <w:rStyle w:val="a4"/>
              </w:rPr>
              <w:t xml:space="preserve">или </w:t>
            </w:r>
            <w:r>
              <w:rPr>
                <w:rStyle w:val="a4"/>
              </w:rPr>
              <w:br/>
            </w:r>
            <w:r>
              <w:t>уровень тромбоцитов &lt;</w:t>
            </w:r>
            <w:r w:rsidR="00B11FF3" w:rsidRPr="00AB6521">
              <w:t>100</w:t>
            </w:r>
            <w:r w:rsidR="000648CB">
              <w:t xml:space="preserve"> × </w:t>
            </w:r>
            <w:r w:rsidR="00B11FF3" w:rsidRPr="00AB6521">
              <w:t>10</w:t>
            </w:r>
            <w:r w:rsidR="00B11FF3" w:rsidRPr="00AB6521">
              <w:rPr>
                <w:vertAlign w:val="superscript"/>
              </w:rPr>
              <w:t>9</w:t>
            </w:r>
            <w:r w:rsidR="00B11FF3" w:rsidRPr="00AB6521">
              <w:t>/л</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D012C9" w:rsidRDefault="00B11FF3" w:rsidP="003B3C73">
            <w:pPr>
              <w:pStyle w:val="11"/>
              <w:spacing w:before="40" w:beforeAutospacing="0" w:after="40" w:afterAutospacing="0" w:line="240" w:lineRule="auto"/>
              <w:jc w:val="center"/>
            </w:pPr>
            <w:r w:rsidRPr="00D012C9">
              <w:t>32</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rsidR="00B11FF3" w:rsidRPr="00D012C9" w:rsidRDefault="00B11FF3" w:rsidP="003B3C73">
            <w:pPr>
              <w:pStyle w:val="11"/>
              <w:spacing w:before="40" w:beforeAutospacing="0" w:after="40" w:afterAutospacing="0" w:line="240" w:lineRule="auto"/>
              <w:jc w:val="center"/>
            </w:pPr>
            <w:r w:rsidRPr="00D012C9">
              <w:t>10</w:t>
            </w:r>
          </w:p>
        </w:tc>
      </w:tr>
    </w:tbl>
    <w:p w:rsidR="004D7374" w:rsidRDefault="004D7374" w:rsidP="000F2499">
      <w:pPr>
        <w:spacing w:before="120"/>
      </w:pPr>
      <w:r w:rsidRPr="000F2499">
        <w:rPr>
          <w:spacing w:val="-2"/>
        </w:rPr>
        <w:t>*Лимфатические области:</w:t>
      </w:r>
      <w:r w:rsidR="000F2499" w:rsidRPr="000F2499">
        <w:rPr>
          <w:spacing w:val="-2"/>
        </w:rPr>
        <w:t xml:space="preserve"> </w:t>
      </w:r>
      <w:r w:rsidR="00C20509">
        <w:rPr>
          <w:spacing w:val="-2"/>
        </w:rPr>
        <w:t xml:space="preserve">шейные лимфатические </w:t>
      </w:r>
      <w:r w:rsidRPr="000F2499">
        <w:rPr>
          <w:spacing w:val="-2"/>
        </w:rPr>
        <w:t>узлы</w:t>
      </w:r>
      <w:r w:rsidR="000F2499" w:rsidRPr="000F2499">
        <w:rPr>
          <w:spacing w:val="-2"/>
        </w:rPr>
        <w:t xml:space="preserve">, </w:t>
      </w:r>
      <w:r w:rsidRPr="000F2499">
        <w:rPr>
          <w:spacing w:val="-2"/>
        </w:rPr>
        <w:t xml:space="preserve">подмышечные </w:t>
      </w:r>
      <w:r w:rsidR="00C20509">
        <w:rPr>
          <w:spacing w:val="-2"/>
        </w:rPr>
        <w:t xml:space="preserve">лимфатические </w:t>
      </w:r>
      <w:r w:rsidR="00C20509" w:rsidRPr="000F2499">
        <w:rPr>
          <w:spacing w:val="-2"/>
        </w:rPr>
        <w:t xml:space="preserve">узлы </w:t>
      </w:r>
      <w:r w:rsidRPr="000F2499">
        <w:rPr>
          <w:spacing w:val="-2"/>
        </w:rPr>
        <w:t xml:space="preserve">(c </w:t>
      </w:r>
      <w:r w:rsidR="000F2499" w:rsidRPr="000F2499">
        <w:rPr>
          <w:spacing w:val="-2"/>
        </w:rPr>
        <w:t>1</w:t>
      </w:r>
      <w:r w:rsidRPr="000F2499">
        <w:rPr>
          <w:spacing w:val="-2"/>
        </w:rPr>
        <w:t xml:space="preserve"> или </w:t>
      </w:r>
      <w:r w:rsidR="00F07AA9" w:rsidRPr="000F2499">
        <w:rPr>
          <w:spacing w:val="-2"/>
        </w:rPr>
        <w:t>2</w:t>
      </w:r>
      <w:r w:rsidR="000F2499" w:rsidRPr="000F2499">
        <w:rPr>
          <w:spacing w:val="-2"/>
        </w:rPr>
        <w:t xml:space="preserve"> сторон),</w:t>
      </w:r>
      <w:r w:rsidR="000F2499">
        <w:t xml:space="preserve"> </w:t>
      </w:r>
      <w:r>
        <w:t xml:space="preserve">паховые </w:t>
      </w:r>
      <w:r w:rsidR="00C20509">
        <w:rPr>
          <w:spacing w:val="-2"/>
        </w:rPr>
        <w:t xml:space="preserve">лимфатические </w:t>
      </w:r>
      <w:r w:rsidR="00C20509" w:rsidRPr="000F2499">
        <w:rPr>
          <w:spacing w:val="-2"/>
        </w:rPr>
        <w:t>узлы</w:t>
      </w:r>
      <w:r w:rsidR="00C20509">
        <w:t xml:space="preserve"> </w:t>
      </w:r>
      <w:r>
        <w:t xml:space="preserve">(c </w:t>
      </w:r>
      <w:r w:rsidR="000F2499">
        <w:t>1</w:t>
      </w:r>
      <w:r>
        <w:t xml:space="preserve"> или </w:t>
      </w:r>
      <w:r w:rsidR="00F07AA9">
        <w:t>2</w:t>
      </w:r>
      <w:r w:rsidR="000F2499">
        <w:t xml:space="preserve"> сторон), печень, </w:t>
      </w:r>
      <w:r>
        <w:t>селезенка.</w:t>
      </w:r>
    </w:p>
    <w:p w:rsidR="004D7374" w:rsidRPr="00397360" w:rsidRDefault="004D7374" w:rsidP="00B93B9E">
      <w:pPr>
        <w:contextualSpacing/>
        <w:rPr>
          <w:b/>
          <w:u w:val="single"/>
        </w:rPr>
      </w:pPr>
      <w:r w:rsidRPr="00397360">
        <w:rPr>
          <w:b/>
          <w:u w:val="single"/>
        </w:rPr>
        <w:t>1.5.2</w:t>
      </w:r>
      <w:r w:rsidR="00397360" w:rsidRPr="00397360">
        <w:rPr>
          <w:b/>
          <w:u w:val="single"/>
        </w:rPr>
        <w:t>.</w:t>
      </w:r>
      <w:r w:rsidRPr="00397360">
        <w:rPr>
          <w:b/>
          <w:u w:val="single"/>
        </w:rPr>
        <w:t xml:space="preserve"> Определение групп риска</w:t>
      </w:r>
    </w:p>
    <w:p w:rsidR="004D7374" w:rsidRDefault="004D7374" w:rsidP="00B93B9E">
      <w:pPr>
        <w:ind w:firstLine="709"/>
        <w:contextualSpacing/>
      </w:pPr>
      <w:r>
        <w:t xml:space="preserve">Международный прогностический индекс (МПИ) для ХЛЛ разработан на основании анализа выживаемости 3472 пациентов, включенных в </w:t>
      </w:r>
      <w:r w:rsidR="00371E34">
        <w:t>8</w:t>
      </w:r>
      <w:r w:rsidR="003B3C73">
        <w:t xml:space="preserve"> исследований, которые проведены</w:t>
      </w:r>
      <w:r>
        <w:t xml:space="preserve"> в Европе и США</w:t>
      </w:r>
      <w:r w:rsidR="000E06DC" w:rsidRPr="000E06DC">
        <w:t xml:space="preserve"> </w:t>
      </w:r>
      <w:r w:rsidR="000B0AC3">
        <w:fldChar w:fldCharType="begin" w:fldLock="1"/>
      </w:r>
      <w:r w:rsidR="00B93BE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0E06DC" w:rsidRPr="000E06DC">
        <w:rPr>
          <w:noProof/>
        </w:rPr>
        <w:t>[14]</w:t>
      </w:r>
      <w:r w:rsidR="000B0AC3">
        <w:fldChar w:fldCharType="end"/>
      </w:r>
      <w:r>
        <w:t xml:space="preserve">. Индекс </w:t>
      </w:r>
      <w:r w:rsidR="003B3C73">
        <w:t>учитывает</w:t>
      </w:r>
      <w:r>
        <w:t xml:space="preserve"> </w:t>
      </w:r>
      <w:r w:rsidR="00371E34">
        <w:t>5</w:t>
      </w:r>
      <w:r>
        <w:t xml:space="preserve"> параметр</w:t>
      </w:r>
      <w:r w:rsidR="003B3C73">
        <w:t>ов</w:t>
      </w:r>
      <w:r>
        <w:t xml:space="preserve">: </w:t>
      </w:r>
    </w:p>
    <w:p w:rsidR="004D7374" w:rsidRDefault="004D7374" w:rsidP="00BE7488">
      <w:pPr>
        <w:pStyle w:val="a"/>
        <w:numPr>
          <w:ilvl w:val="0"/>
          <w:numId w:val="23"/>
        </w:numPr>
        <w:spacing w:before="0"/>
        <w:contextualSpacing/>
      </w:pPr>
      <w:r>
        <w:t xml:space="preserve">наличие del(17p) и/или мутаций </w:t>
      </w:r>
      <w:r w:rsidRPr="003B3C73">
        <w:rPr>
          <w:i/>
        </w:rPr>
        <w:t>TP53</w:t>
      </w:r>
      <w:r>
        <w:t>,</w:t>
      </w:r>
    </w:p>
    <w:p w:rsidR="004D7374" w:rsidRDefault="004D7374" w:rsidP="00BE7488">
      <w:pPr>
        <w:pStyle w:val="a"/>
        <w:numPr>
          <w:ilvl w:val="0"/>
          <w:numId w:val="23"/>
        </w:numPr>
        <w:spacing w:before="0"/>
        <w:contextualSpacing/>
      </w:pPr>
      <w:r>
        <w:t>мутационный статус генов вариабельного региона иммуноглобулинов</w:t>
      </w:r>
      <w:r w:rsidR="00CE6AE9" w:rsidRPr="00397360">
        <w:t xml:space="preserve"> (</w:t>
      </w:r>
      <w:r w:rsidR="00CE6AE9">
        <w:rPr>
          <w:lang w:val="en-US"/>
        </w:rPr>
        <w:t>IGHV</w:t>
      </w:r>
      <w:r w:rsidR="00CE6AE9" w:rsidRPr="00397360">
        <w:t>)</w:t>
      </w:r>
      <w:r>
        <w:t>,</w:t>
      </w:r>
    </w:p>
    <w:p w:rsidR="004D7374" w:rsidRDefault="004D7374" w:rsidP="00BE7488">
      <w:pPr>
        <w:pStyle w:val="a"/>
        <w:numPr>
          <w:ilvl w:val="0"/>
          <w:numId w:val="23"/>
        </w:numPr>
        <w:spacing w:before="0"/>
        <w:contextualSpacing/>
      </w:pPr>
      <w:r>
        <w:t xml:space="preserve">уровень </w:t>
      </w:r>
      <w:r w:rsidR="003B3C73">
        <w:t>β</w:t>
      </w:r>
      <w:r>
        <w:t>2-микроглобулина,</w:t>
      </w:r>
    </w:p>
    <w:p w:rsidR="004D7374" w:rsidRDefault="004D7374" w:rsidP="00BE7488">
      <w:pPr>
        <w:pStyle w:val="a"/>
        <w:numPr>
          <w:ilvl w:val="0"/>
          <w:numId w:val="23"/>
        </w:numPr>
        <w:spacing w:before="0"/>
        <w:contextualSpacing/>
      </w:pPr>
      <w:r>
        <w:t>стади</w:t>
      </w:r>
      <w:r w:rsidR="003B3C73">
        <w:t>ю</w:t>
      </w:r>
      <w:r>
        <w:t>,</w:t>
      </w:r>
    </w:p>
    <w:p w:rsidR="004D7374" w:rsidRDefault="004D7374" w:rsidP="00BE7488">
      <w:pPr>
        <w:pStyle w:val="a"/>
        <w:numPr>
          <w:ilvl w:val="0"/>
          <w:numId w:val="23"/>
        </w:numPr>
        <w:spacing w:before="0"/>
        <w:contextualSpacing/>
      </w:pPr>
      <w:r>
        <w:t xml:space="preserve">возраст пациентов. </w:t>
      </w:r>
    </w:p>
    <w:p w:rsidR="004D7374" w:rsidRDefault="004D7374" w:rsidP="00B93B9E">
      <w:pPr>
        <w:ind w:firstLine="709"/>
        <w:contextualSpacing/>
      </w:pPr>
      <w:r>
        <w:t xml:space="preserve">Каждому из этих </w:t>
      </w:r>
      <w:r w:rsidR="003B3C73">
        <w:t>параметров</w:t>
      </w:r>
      <w:r>
        <w:t xml:space="preserve"> присвоен балл, отражающий отношение рисков </w:t>
      </w:r>
      <w:r w:rsidR="001F4A9B">
        <w:t xml:space="preserve">(ОР) </w:t>
      </w:r>
      <w:r w:rsidR="00912FAC">
        <w:t>прогрессии или смерти (табл.</w:t>
      </w:r>
      <w:r w:rsidR="00AE2EE4">
        <w:t xml:space="preserve"> 2</w:t>
      </w:r>
      <w:r>
        <w:t>). МПИ для ХЛ</w:t>
      </w:r>
      <w:r w:rsidR="003B3C73">
        <w:t>Л позволяет распре</w:t>
      </w:r>
      <w:r>
        <w:t xml:space="preserve">делить пациентов </w:t>
      </w:r>
      <w:r w:rsidR="003B3C73">
        <w:t>по</w:t>
      </w:r>
      <w:r>
        <w:t xml:space="preserve"> </w:t>
      </w:r>
      <w:r w:rsidR="003B3C73">
        <w:t>4 группам</w:t>
      </w:r>
      <w:r>
        <w:t>: с низким риском прогресси</w:t>
      </w:r>
      <w:r w:rsidR="003B3C73">
        <w:t>рования</w:t>
      </w:r>
      <w:r>
        <w:t xml:space="preserve"> (0–1 балл), с промежуточным риском </w:t>
      </w:r>
      <w:r w:rsidR="003B3C73">
        <w:t xml:space="preserve">прогрессирования </w:t>
      </w:r>
      <w:r>
        <w:t xml:space="preserve">(2–3 балла), с высоким риском </w:t>
      </w:r>
      <w:r w:rsidR="003B3C73">
        <w:t xml:space="preserve">прогрессирования </w:t>
      </w:r>
      <w:r>
        <w:t xml:space="preserve">(4–6 баллов) и с очень высоким риском </w:t>
      </w:r>
      <w:r w:rsidR="003B3C73">
        <w:t xml:space="preserve">прогрессирования </w:t>
      </w:r>
      <w:r>
        <w:t>(7–10 баллов). Общая выживаемость (ОВ) в э</w:t>
      </w:r>
      <w:r w:rsidR="00912FAC">
        <w:t xml:space="preserve">тих группах </w:t>
      </w:r>
      <w:r w:rsidR="003B3C73">
        <w:t>приведена</w:t>
      </w:r>
      <w:r w:rsidR="00912FAC">
        <w:t xml:space="preserve"> в</w:t>
      </w:r>
      <w:r w:rsidR="00145A85">
        <w:t xml:space="preserve"> разделе 7.2 данных рекомендаций</w:t>
      </w:r>
      <w:r>
        <w:t xml:space="preserve">. </w:t>
      </w:r>
      <w:r w:rsidR="003B3C73">
        <w:t>Имеются</w:t>
      </w:r>
      <w:r>
        <w:t xml:space="preserve"> данные</w:t>
      </w:r>
      <w:r w:rsidR="003B3C73">
        <w:t xml:space="preserve"> о том</w:t>
      </w:r>
      <w:r>
        <w:t>, что МПИ позволяет стратифицировать пациентов в рецидиве ХЛЛ.</w:t>
      </w:r>
    </w:p>
    <w:p w:rsidR="003B3C73" w:rsidRDefault="003B3C73" w:rsidP="00B93B9E">
      <w:pPr>
        <w:ind w:firstLine="709"/>
        <w:contextualSpacing/>
      </w:pPr>
    </w:p>
    <w:p w:rsidR="004D7374" w:rsidRPr="00B93B9E" w:rsidRDefault="004D7374" w:rsidP="00371E34">
      <w:pPr>
        <w:contextualSpacing/>
        <w:rPr>
          <w:b/>
        </w:rPr>
      </w:pPr>
      <w:r w:rsidRPr="00B93B9E">
        <w:rPr>
          <w:b/>
        </w:rPr>
        <w:t>Таблица 2. Международный прогностический индекс</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98"/>
        <w:gridCol w:w="3321"/>
        <w:gridCol w:w="1519"/>
        <w:gridCol w:w="1140"/>
      </w:tblGrid>
      <w:tr w:rsidR="00B033C3" w:rsidRPr="00371E34" w:rsidTr="00B033C3">
        <w:trPr>
          <w:trHeight w:val="349"/>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rsidR="00AE2EE4" w:rsidRPr="00371E34" w:rsidRDefault="00AE2EE4" w:rsidP="003B3C73">
            <w:pPr>
              <w:spacing w:line="240" w:lineRule="auto"/>
              <w:contextualSpacing/>
              <w:jc w:val="center"/>
              <w:rPr>
                <w:b/>
              </w:rPr>
            </w:pPr>
            <w:r w:rsidRPr="00371E34">
              <w:rPr>
                <w:rFonts w:eastAsia="MS PGothic"/>
                <w:b/>
                <w:kern w:val="24"/>
              </w:rPr>
              <w:t>Параметр</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rsidR="00AE2EE4" w:rsidRPr="00371E34" w:rsidRDefault="003B3C73" w:rsidP="003B3C73">
            <w:pPr>
              <w:spacing w:line="240" w:lineRule="auto"/>
              <w:contextualSpacing/>
              <w:jc w:val="center"/>
              <w:rPr>
                <w:b/>
              </w:rPr>
            </w:pPr>
            <w:r>
              <w:rPr>
                <w:rFonts w:eastAsia="MS PGothic"/>
                <w:b/>
                <w:kern w:val="24"/>
              </w:rPr>
              <w:t>Отрицательное</w:t>
            </w:r>
            <w:r w:rsidR="00AE2EE4" w:rsidRPr="00371E34">
              <w:rPr>
                <w:rFonts w:eastAsia="MS PGothic"/>
                <w:b/>
                <w:kern w:val="24"/>
              </w:rPr>
              <w:t xml:space="preserve"> значение</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rsidR="00AE2EE4" w:rsidRPr="00371E34" w:rsidRDefault="00AE2EE4" w:rsidP="003B3C73">
            <w:pPr>
              <w:spacing w:line="240" w:lineRule="auto"/>
              <w:contextualSpacing/>
              <w:jc w:val="center"/>
              <w:rPr>
                <w:b/>
              </w:rPr>
            </w:pPr>
            <w:r w:rsidRPr="00371E34">
              <w:rPr>
                <w:rFonts w:eastAsia="MS PGothic"/>
                <w:b/>
                <w:kern w:val="24"/>
              </w:rPr>
              <w:t>О</w:t>
            </w:r>
            <w:r w:rsidR="003B3C73">
              <w:rPr>
                <w:rFonts w:eastAsia="MS PGothic"/>
                <w:b/>
                <w:kern w:val="24"/>
              </w:rPr>
              <w:t>тношение рисков</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rsidR="00AE2EE4" w:rsidRPr="00371E34" w:rsidRDefault="00AE2EE4" w:rsidP="003B3C73">
            <w:pPr>
              <w:spacing w:line="240" w:lineRule="auto"/>
              <w:contextualSpacing/>
              <w:jc w:val="center"/>
              <w:rPr>
                <w:b/>
              </w:rPr>
            </w:pPr>
            <w:r w:rsidRPr="00371E34">
              <w:rPr>
                <w:rFonts w:eastAsia="MS PGothic"/>
                <w:b/>
                <w:kern w:val="24"/>
              </w:rPr>
              <w:t>Баллы</w:t>
            </w:r>
          </w:p>
        </w:tc>
      </w:tr>
      <w:tr w:rsidR="00B033C3" w:rsidRPr="005B4606" w:rsidTr="00B033C3">
        <w:trPr>
          <w:trHeight w:val="288"/>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3B3C73">
              <w:rPr>
                <w:rFonts w:eastAsia="MS PGothic"/>
                <w:i/>
                <w:kern w:val="24"/>
              </w:rPr>
              <w:t>TP53</w:t>
            </w:r>
            <w:r w:rsidRPr="00AB6521">
              <w:rPr>
                <w:rFonts w:eastAsia="MS PGothic"/>
                <w:kern w:val="24"/>
              </w:rPr>
              <w:t xml:space="preserve"> (17p)</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Делеция/мутация</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4,2</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4</w:t>
            </w:r>
          </w:p>
        </w:tc>
      </w:tr>
      <w:tr w:rsidR="00B033C3" w:rsidRPr="005B4606" w:rsidTr="00B033C3">
        <w:trPr>
          <w:trHeight w:val="255"/>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 xml:space="preserve">Статус </w:t>
            </w:r>
            <w:r w:rsidRPr="00830499">
              <w:rPr>
                <w:rFonts w:eastAsia="MS PGothic"/>
                <w:i/>
                <w:kern w:val="24"/>
              </w:rPr>
              <w:t>IGHV</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Без мутаций</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2,6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2</w:t>
            </w:r>
          </w:p>
        </w:tc>
      </w:tr>
      <w:tr w:rsidR="00B033C3" w:rsidRPr="005B4606"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3B3C73" w:rsidP="003B3C73">
            <w:pPr>
              <w:spacing w:line="240" w:lineRule="auto"/>
              <w:contextualSpacing/>
            </w:pPr>
            <w:r>
              <w:rPr>
                <w:rFonts w:eastAsia="MS PGothic"/>
                <w:kern w:val="24"/>
              </w:rPr>
              <w:t xml:space="preserve">Уровень </w:t>
            </w:r>
            <w:r>
              <w:t>β2-микроглобулина</w:t>
            </w:r>
            <w:r w:rsidR="00AE2EE4" w:rsidRPr="00AB6521">
              <w:rPr>
                <w:rFonts w:eastAsia="MS PGothic"/>
                <w:kern w:val="24"/>
              </w:rPr>
              <w:t>, мг/л</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&gt;3,5</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2,0</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2</w:t>
            </w:r>
          </w:p>
        </w:tc>
      </w:tr>
      <w:tr w:rsidR="00B033C3" w:rsidRPr="005B4606"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Стадия</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3518E9" w:rsidRDefault="00AE2EE4" w:rsidP="00CE6AE9">
            <w:pPr>
              <w:spacing w:line="240" w:lineRule="auto"/>
              <w:contextualSpacing/>
            </w:pPr>
            <w:r w:rsidRPr="00AB6521">
              <w:rPr>
                <w:rFonts w:eastAsia="MS PGothic"/>
                <w:kern w:val="24"/>
              </w:rPr>
              <w:t>B/С</w:t>
            </w:r>
            <w:r w:rsidR="003518E9">
              <w:rPr>
                <w:rFonts w:eastAsia="MS PGothic"/>
                <w:kern w:val="24"/>
              </w:rPr>
              <w:t xml:space="preserve"> по </w:t>
            </w:r>
            <w:r w:rsidR="003518E9">
              <w:rPr>
                <w:rFonts w:eastAsia="MS PGothic"/>
                <w:kern w:val="24"/>
                <w:lang w:val="en-US"/>
              </w:rPr>
              <w:t>Binet</w:t>
            </w:r>
            <w:r w:rsidR="003518E9" w:rsidRPr="003518E9">
              <w:rPr>
                <w:rFonts w:eastAsia="MS PGothic"/>
                <w:kern w:val="24"/>
              </w:rPr>
              <w:t xml:space="preserve"> </w:t>
            </w:r>
            <w:r w:rsidRPr="00AB6521">
              <w:rPr>
                <w:rFonts w:eastAsia="MS PGothic"/>
                <w:kern w:val="24"/>
              </w:rPr>
              <w:t>и</w:t>
            </w:r>
            <w:r w:rsidR="004B53D6">
              <w:rPr>
                <w:rFonts w:eastAsia="MS PGothic"/>
                <w:kern w:val="24"/>
              </w:rPr>
              <w:t xml:space="preserve">ли </w:t>
            </w:r>
            <w:r w:rsidR="003518E9">
              <w:rPr>
                <w:rFonts w:eastAsia="MS PGothic"/>
                <w:kern w:val="24"/>
                <w:lang w:val="en-US"/>
              </w:rPr>
              <w:t>I</w:t>
            </w:r>
            <w:r w:rsidR="003518E9" w:rsidRPr="003518E9">
              <w:rPr>
                <w:rFonts w:eastAsia="MS PGothic"/>
                <w:kern w:val="24"/>
              </w:rPr>
              <w:t>–</w:t>
            </w:r>
            <w:r w:rsidR="003518E9">
              <w:rPr>
                <w:rFonts w:eastAsia="MS PGothic"/>
                <w:kern w:val="24"/>
                <w:lang w:val="en-US"/>
              </w:rPr>
              <w:t>IV</w:t>
            </w:r>
            <w:r w:rsidR="003518E9" w:rsidRPr="003518E9">
              <w:rPr>
                <w:rFonts w:eastAsia="MS PGothic"/>
                <w:kern w:val="24"/>
              </w:rPr>
              <w:t xml:space="preserve"> </w:t>
            </w:r>
            <w:r w:rsidR="003518E9">
              <w:rPr>
                <w:rFonts w:eastAsia="MS PGothic"/>
                <w:kern w:val="24"/>
              </w:rPr>
              <w:t xml:space="preserve">по </w:t>
            </w:r>
            <w:r w:rsidR="003518E9">
              <w:rPr>
                <w:rFonts w:eastAsia="MS PGothic"/>
                <w:kern w:val="24"/>
                <w:lang w:val="en-US"/>
              </w:rPr>
              <w:t>Rai</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1,6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1</w:t>
            </w:r>
          </w:p>
        </w:tc>
      </w:tr>
      <w:tr w:rsidR="00B033C3" w:rsidRPr="005B4606" w:rsidTr="00B033C3">
        <w:trPr>
          <w:trHeight w:val="27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Возраст</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kern w:val="24"/>
              </w:rPr>
              <w:t>&gt;65 лет</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1,7</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jc w:val="center"/>
            </w:pPr>
            <w:r w:rsidRPr="00AB6521">
              <w:rPr>
                <w:rFonts w:eastAsia="MS PGothic"/>
                <w:kern w:val="24"/>
              </w:rPr>
              <w:t>1</w:t>
            </w:r>
          </w:p>
        </w:tc>
      </w:tr>
      <w:tr w:rsidR="00B033C3" w:rsidRPr="005B4606" w:rsidTr="00B033C3">
        <w:trPr>
          <w:trHeight w:val="214"/>
        </w:trPr>
        <w:tc>
          <w:tcPr>
            <w:tcW w:w="4423"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rsidR="00AE2EE4" w:rsidRPr="00AB6521" w:rsidRDefault="00AE2EE4" w:rsidP="003B3C73">
            <w:pPr>
              <w:spacing w:line="240" w:lineRule="auto"/>
              <w:contextualSpacing/>
            </w:pPr>
            <w:r w:rsidRPr="00AB6521">
              <w:rPr>
                <w:rFonts w:eastAsia="MS PGothic"/>
                <w:b/>
                <w:bCs/>
                <w:kern w:val="24"/>
              </w:rPr>
              <w:t>Возможные значения шкалы</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rsidR="00AE2EE4" w:rsidRPr="00AB6521" w:rsidRDefault="00AE2EE4" w:rsidP="003B3C73">
            <w:pPr>
              <w:spacing w:line="240" w:lineRule="auto"/>
              <w:contextualSpacing/>
              <w:jc w:val="center"/>
            </w:pPr>
            <w:r w:rsidRPr="00AB6521">
              <w:rPr>
                <w:rFonts w:eastAsia="MS PGothic"/>
                <w:b/>
                <w:bCs/>
                <w:kern w:val="24"/>
              </w:rPr>
              <w:t>0–10</w:t>
            </w:r>
          </w:p>
        </w:tc>
      </w:tr>
    </w:tbl>
    <w:p w:rsidR="005438C8" w:rsidRDefault="005438C8" w:rsidP="00CE6AE9">
      <w:bookmarkStart w:id="21" w:name="_Toc531609325"/>
    </w:p>
    <w:p w:rsidR="00BE6F76" w:rsidRPr="0030568B" w:rsidRDefault="00BE6F76" w:rsidP="00B93B9E">
      <w:pPr>
        <w:pStyle w:val="2"/>
        <w:contextualSpacing/>
        <w:rPr>
          <w:bCs/>
          <w:szCs w:val="24"/>
        </w:rPr>
      </w:pPr>
      <w:bookmarkStart w:id="22" w:name="_Toc24546431"/>
      <w:bookmarkStart w:id="23" w:name="_Toc23601718"/>
      <w:r w:rsidRPr="0030568B">
        <w:rPr>
          <w:bCs/>
          <w:szCs w:val="24"/>
        </w:rPr>
        <w:lastRenderedPageBreak/>
        <w:t>1.6</w:t>
      </w:r>
      <w:r w:rsidR="00397360" w:rsidRPr="0030568B">
        <w:rPr>
          <w:bCs/>
          <w:szCs w:val="24"/>
        </w:rPr>
        <w:t>.</w:t>
      </w:r>
      <w:r w:rsidRPr="0030568B">
        <w:rPr>
          <w:bCs/>
          <w:szCs w:val="24"/>
        </w:rPr>
        <w:t xml:space="preserve"> Клиническая картина</w:t>
      </w:r>
      <w:bookmarkEnd w:id="21"/>
      <w:r w:rsidR="0030568B" w:rsidRPr="0030568B">
        <w:rPr>
          <w:bCs/>
          <w:szCs w:val="24"/>
        </w:rPr>
        <w:t xml:space="preserve"> заболевания или состояния (группы заболеваний или состояний)</w:t>
      </w:r>
      <w:bookmarkEnd w:id="22"/>
      <w:bookmarkEnd w:id="23"/>
    </w:p>
    <w:p w:rsidR="00020931" w:rsidRDefault="003322AC" w:rsidP="00504D96">
      <w:pPr>
        <w:ind w:firstLine="709"/>
        <w:contextualSpacing/>
      </w:pPr>
      <w:r w:rsidRPr="003322AC">
        <w:t xml:space="preserve">Заболевание может протекать бессимптомно или проявляться лимфаденопатией, </w:t>
      </w:r>
      <w:r w:rsidR="00E44215">
        <w:t xml:space="preserve">увеличением миндалин, </w:t>
      </w:r>
      <w:r w:rsidRPr="003322AC">
        <w:t>спленомегалией, гепатомегалией и неспецифическими симптомами, обусловленными анемией (утомляемость, недомогание)</w:t>
      </w:r>
      <w:r w:rsidR="00E44215">
        <w:t xml:space="preserve">, </w:t>
      </w:r>
      <w:r w:rsidRPr="003322AC">
        <w:t>иммуносупрессией (</w:t>
      </w:r>
      <w:r w:rsidR="0015009B">
        <w:t>присоединением инфекционных осложнений</w:t>
      </w:r>
      <w:r w:rsidRPr="003322AC">
        <w:t>)</w:t>
      </w:r>
      <w:r w:rsidR="00E44215">
        <w:t>, интоксикацией (В-симптом</w:t>
      </w:r>
      <w:r w:rsidR="00CE6AE9">
        <w:t>ами</w:t>
      </w:r>
      <w:r w:rsidR="00E44215">
        <w:t xml:space="preserve"> – </w:t>
      </w:r>
      <w:r w:rsidR="00CE6AE9">
        <w:t>температурой тела</w:t>
      </w:r>
      <w:r w:rsidR="00E44215" w:rsidRPr="00E44215">
        <w:t xml:space="preserve"> </w:t>
      </w:r>
      <w:r w:rsidR="00CE6AE9" w:rsidRPr="00397360">
        <w:t>&gt;</w:t>
      </w:r>
      <w:r w:rsidR="00E44215" w:rsidRPr="00964C0B">
        <w:t xml:space="preserve">38°С </w:t>
      </w:r>
      <w:r w:rsidR="004A1FA5">
        <w:t xml:space="preserve">более </w:t>
      </w:r>
      <w:r w:rsidR="00504D96">
        <w:t>2 нед.</w:t>
      </w:r>
      <w:r w:rsidR="004A1FA5">
        <w:t xml:space="preserve"> подряд</w:t>
      </w:r>
      <w:r w:rsidR="00E44215" w:rsidRPr="00E44215">
        <w:t xml:space="preserve"> без признаков воспаления</w:t>
      </w:r>
      <w:r w:rsidR="00242EB0">
        <w:t>,</w:t>
      </w:r>
      <w:r w:rsidR="00E44215" w:rsidRPr="00E44215">
        <w:t xml:space="preserve"> ночны</w:t>
      </w:r>
      <w:r w:rsidR="00242EB0">
        <w:t>ми</w:t>
      </w:r>
      <w:r w:rsidR="00E44215" w:rsidRPr="00E44215">
        <w:t xml:space="preserve"> профузны</w:t>
      </w:r>
      <w:r w:rsidR="00242EB0">
        <w:t>ми</w:t>
      </w:r>
      <w:r w:rsidR="00E44215" w:rsidRPr="00E44215">
        <w:t xml:space="preserve"> пот</w:t>
      </w:r>
      <w:r w:rsidR="00242EB0">
        <w:t>ами,</w:t>
      </w:r>
      <w:r w:rsidR="00E44215" w:rsidRPr="00E44215">
        <w:t xml:space="preserve"> похудание</w:t>
      </w:r>
      <w:r w:rsidR="00242EB0">
        <w:t>м</w:t>
      </w:r>
      <w:r w:rsidR="00E44215" w:rsidRPr="00E44215">
        <w:t xml:space="preserve"> на 10</w:t>
      </w:r>
      <w:r w:rsidR="00DD3D1E">
        <w:t xml:space="preserve"> %</w:t>
      </w:r>
      <w:r w:rsidR="00E44215" w:rsidRPr="00E44215">
        <w:t xml:space="preserve"> массы тела за последние 6 мес</w:t>
      </w:r>
      <w:r w:rsidR="00504D96">
        <w:t>.</w:t>
      </w:r>
      <w:r w:rsidR="00E44215" w:rsidRPr="00E44215">
        <w:t>)</w:t>
      </w:r>
      <w:r w:rsidR="00E44215">
        <w:t>.</w:t>
      </w:r>
    </w:p>
    <w:p w:rsidR="001A5F7C" w:rsidRPr="00397360" w:rsidRDefault="004D7374" w:rsidP="00BE6A1C">
      <w:pPr>
        <w:pStyle w:val="1"/>
        <w:rPr>
          <w:sz w:val="24"/>
          <w:szCs w:val="24"/>
        </w:rPr>
      </w:pPr>
      <w:bookmarkStart w:id="24" w:name="_Toc520213124"/>
      <w:bookmarkStart w:id="25" w:name="_Toc24546432"/>
      <w:bookmarkStart w:id="26" w:name="_Toc23601719"/>
      <w:r w:rsidRPr="00397360">
        <w:rPr>
          <w:sz w:val="24"/>
          <w:szCs w:val="24"/>
        </w:rPr>
        <w:t xml:space="preserve">2. </w:t>
      </w:r>
      <w:bookmarkEnd w:id="24"/>
      <w:r w:rsidR="001A5F7C" w:rsidRPr="00397360">
        <w:rPr>
          <w:sz w:val="24"/>
          <w:szCs w:val="24"/>
        </w:rPr>
        <w:t xml:space="preserve">Диагностика заболевания или состояния (группы заболеваний </w:t>
      </w:r>
      <w:r w:rsidR="00242EB0" w:rsidRPr="00397360">
        <w:rPr>
          <w:sz w:val="24"/>
          <w:szCs w:val="24"/>
        </w:rPr>
        <w:br/>
      </w:r>
      <w:r w:rsidR="001A5F7C" w:rsidRPr="00397360">
        <w:rPr>
          <w:sz w:val="24"/>
          <w:szCs w:val="24"/>
        </w:rPr>
        <w:t xml:space="preserve">или состояний), медицинские показания и противопоказания </w:t>
      </w:r>
      <w:r w:rsidR="00242EB0" w:rsidRPr="00397360">
        <w:rPr>
          <w:sz w:val="24"/>
          <w:szCs w:val="24"/>
        </w:rPr>
        <w:br/>
      </w:r>
      <w:r w:rsidR="001A5F7C" w:rsidRPr="00397360">
        <w:rPr>
          <w:sz w:val="24"/>
          <w:szCs w:val="24"/>
        </w:rPr>
        <w:t>к применению методов диагностики</w:t>
      </w:r>
      <w:bookmarkEnd w:id="25"/>
      <w:bookmarkEnd w:id="26"/>
    </w:p>
    <w:p w:rsidR="00B93BEE" w:rsidRPr="00242EB0" w:rsidRDefault="00B93BEE" w:rsidP="00B93BEE">
      <w:pPr>
        <w:rPr>
          <w:b/>
          <w:i/>
        </w:rPr>
      </w:pPr>
      <w:r w:rsidRPr="00242EB0">
        <w:rPr>
          <w:b/>
          <w:i/>
        </w:rPr>
        <w:t>Критерии установл</w:t>
      </w:r>
      <w:r w:rsidR="00242EB0">
        <w:rPr>
          <w:b/>
          <w:i/>
        </w:rPr>
        <w:t>ения диагноза/состояния</w:t>
      </w:r>
    </w:p>
    <w:p w:rsidR="00B93BEE" w:rsidRPr="00242EB0" w:rsidRDefault="00B93BEE" w:rsidP="00B93BEE">
      <w:pPr>
        <w:ind w:firstLine="709"/>
        <w:rPr>
          <w:i/>
        </w:rPr>
      </w:pPr>
      <w:r w:rsidRPr="00242EB0">
        <w:rPr>
          <w:i/>
        </w:rPr>
        <w:t xml:space="preserve">Для постановки диагноза </w:t>
      </w:r>
      <w:r w:rsidR="000648CB" w:rsidRPr="00242EB0">
        <w:rPr>
          <w:i/>
        </w:rPr>
        <w:t xml:space="preserve">ХЛЛ </w:t>
      </w:r>
      <w:r w:rsidRPr="00242EB0">
        <w:rPr>
          <w:i/>
        </w:rPr>
        <w:t xml:space="preserve">требуются общий анализ крови и иммунофенотипическое исследование с использованием многоцветной проточной цитометрии, которое предпочтительнее выполнять по крови. </w:t>
      </w:r>
    </w:p>
    <w:p w:rsidR="00B93BEE" w:rsidRPr="00242EB0" w:rsidRDefault="00B93BEE" w:rsidP="00B93BEE">
      <w:pPr>
        <w:ind w:firstLine="709"/>
        <w:rPr>
          <w:i/>
        </w:rPr>
      </w:pPr>
      <w:r w:rsidRPr="00242EB0">
        <w:rPr>
          <w:i/>
        </w:rPr>
        <w:t>Диагностические критерии ХЛЛ (ВОЗ, 2016)</w:t>
      </w:r>
      <w:r w:rsidRPr="00242EB0">
        <w:rPr>
          <w:i/>
          <w:lang w:val="en-US"/>
        </w:rPr>
        <w:t xml:space="preserve"> </w:t>
      </w:r>
      <w:r w:rsidR="000B0AC3" w:rsidRPr="00242EB0">
        <w:rPr>
          <w:i/>
          <w:lang w:val="en-US"/>
        </w:rPr>
        <w:fldChar w:fldCharType="begin" w:fldLock="1"/>
      </w:r>
      <w:r w:rsidRPr="00242EB0">
        <w:rPr>
          <w:i/>
          <w:lang w:val="en-US"/>
        </w:rPr>
        <w:instrText>ADDIN CSL_CITATION {"citationItems":[{"id":"ITEM-1","itemData":{"DOI":"10.1182/blood-2016-01-643569","ISSN":"15280020","abstract":"A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S.","non-dropping-particle":"","parse-names":false,"suffix":""}],"container-title":"Blood","id":"ITEM-1","issued":{"date-parts":[["2016"]]},"title":"The 2016 revision of the World Health Organization classification of lymphoid neoplasms","type":"article"},"uris":["http://www.mendeley.com/documents/?uuid=e8373d60-17a0-36c2-bc08-fd8e30d16159"]}],"mendeley":{"formattedCitation":"[15]","plainTextFormattedCitation":"[15]","previouslyFormattedCitation":"[15]"},"properties":{"noteIndex":0},"schema":"https://github.com/citation-style-language/schema/raw/master/csl-citation.json"}</w:instrText>
      </w:r>
      <w:r w:rsidR="000B0AC3" w:rsidRPr="00242EB0">
        <w:rPr>
          <w:i/>
          <w:lang w:val="en-US"/>
        </w:rPr>
        <w:fldChar w:fldCharType="separate"/>
      </w:r>
      <w:r w:rsidRPr="00242EB0">
        <w:rPr>
          <w:i/>
          <w:noProof/>
          <w:lang w:val="en-US"/>
        </w:rPr>
        <w:t>[15]</w:t>
      </w:r>
      <w:r w:rsidR="000B0AC3" w:rsidRPr="00242EB0">
        <w:rPr>
          <w:i/>
          <w:lang w:val="en-US"/>
        </w:rPr>
        <w:fldChar w:fldCharType="end"/>
      </w:r>
      <w:r w:rsidRPr="00242EB0">
        <w:rPr>
          <w:i/>
        </w:rPr>
        <w:t>:</w:t>
      </w:r>
    </w:p>
    <w:p w:rsidR="00B93BEE" w:rsidRPr="00242EB0" w:rsidRDefault="000648CB" w:rsidP="00BE7488">
      <w:pPr>
        <w:pStyle w:val="a"/>
        <w:numPr>
          <w:ilvl w:val="0"/>
          <w:numId w:val="17"/>
        </w:numPr>
        <w:spacing w:before="0"/>
        <w:rPr>
          <w:i/>
        </w:rPr>
      </w:pPr>
      <w:r w:rsidRPr="00242EB0">
        <w:rPr>
          <w:i/>
        </w:rPr>
        <w:t xml:space="preserve">МВКЛ </w:t>
      </w:r>
      <w:r w:rsidR="00B93BEE" w:rsidRPr="00242EB0">
        <w:rPr>
          <w:i/>
        </w:rPr>
        <w:t>&gt;5</w:t>
      </w:r>
      <w:r w:rsidR="00B93BEE" w:rsidRPr="00242EB0">
        <w:rPr>
          <w:i/>
          <w:lang w:val="en-US"/>
        </w:rPr>
        <w:t> </w:t>
      </w:r>
      <w:r w:rsidR="00B93BEE" w:rsidRPr="00242EB0">
        <w:rPr>
          <w:i/>
        </w:rPr>
        <w:t>000 в 1 мкл крови</w:t>
      </w:r>
      <w:r w:rsidR="00242EB0">
        <w:rPr>
          <w:i/>
        </w:rPr>
        <w:t>;</w:t>
      </w:r>
    </w:p>
    <w:p w:rsidR="00B93BEE" w:rsidRPr="00242EB0" w:rsidRDefault="00242EB0" w:rsidP="00BE7488">
      <w:pPr>
        <w:pStyle w:val="a"/>
        <w:numPr>
          <w:ilvl w:val="0"/>
          <w:numId w:val="17"/>
        </w:numPr>
        <w:spacing w:before="0"/>
        <w:rPr>
          <w:i/>
          <w:lang w:val="en-US"/>
        </w:rPr>
      </w:pPr>
      <w:r>
        <w:rPr>
          <w:i/>
        </w:rPr>
        <w:t>ф</w:t>
      </w:r>
      <w:r w:rsidR="00B93BEE" w:rsidRPr="00242EB0">
        <w:rPr>
          <w:i/>
        </w:rPr>
        <w:t>енотип</w:t>
      </w:r>
      <w:r w:rsidR="00B93BEE" w:rsidRPr="00242EB0">
        <w:rPr>
          <w:i/>
          <w:lang w:val="en-US"/>
        </w:rPr>
        <w:t xml:space="preserve"> </w:t>
      </w:r>
      <w:r w:rsidR="00B93BEE" w:rsidRPr="00242EB0">
        <w:rPr>
          <w:i/>
        </w:rPr>
        <w:t>С</w:t>
      </w:r>
      <w:r w:rsidR="00B93BEE" w:rsidRPr="00242EB0">
        <w:rPr>
          <w:i/>
          <w:lang w:val="en-US"/>
        </w:rPr>
        <w:t>D19+, CD5+, CD23+, CD79b+dim, CD20+dim, CD22+dim, sIg dim, CD81dim, CD160dim</w:t>
      </w:r>
      <w:r w:rsidRPr="00397360">
        <w:rPr>
          <w:i/>
          <w:lang w:val="en-US"/>
        </w:rPr>
        <w:t>;</w:t>
      </w:r>
    </w:p>
    <w:p w:rsidR="00B93BEE" w:rsidRPr="00242EB0" w:rsidRDefault="00242EB0" w:rsidP="00BE7488">
      <w:pPr>
        <w:pStyle w:val="a"/>
        <w:numPr>
          <w:ilvl w:val="0"/>
          <w:numId w:val="17"/>
        </w:numPr>
        <w:spacing w:before="0"/>
        <w:rPr>
          <w:i/>
        </w:rPr>
      </w:pPr>
      <w:r>
        <w:rPr>
          <w:i/>
        </w:rPr>
        <w:t>р</w:t>
      </w:r>
      <w:r w:rsidR="00B93BEE" w:rsidRPr="00242EB0">
        <w:rPr>
          <w:i/>
        </w:rPr>
        <w:t>естрикция легких цепей (каппа либо лямбда)</w:t>
      </w:r>
      <w:r>
        <w:rPr>
          <w:i/>
        </w:rPr>
        <w:t>;</w:t>
      </w:r>
    </w:p>
    <w:p w:rsidR="00B93BEE" w:rsidRPr="00242EB0" w:rsidRDefault="00242EB0" w:rsidP="00BE7488">
      <w:pPr>
        <w:pStyle w:val="a"/>
        <w:numPr>
          <w:ilvl w:val="0"/>
          <w:numId w:val="17"/>
        </w:numPr>
        <w:spacing w:before="0"/>
        <w:rPr>
          <w:i/>
        </w:rPr>
      </w:pPr>
      <w:r>
        <w:rPr>
          <w:i/>
          <w:lang w:val="en-US"/>
        </w:rPr>
        <w:t>&gt;</w:t>
      </w:r>
      <w:r w:rsidR="00B93BEE" w:rsidRPr="00242EB0">
        <w:rPr>
          <w:i/>
        </w:rPr>
        <w:t>30</w:t>
      </w:r>
      <w:r w:rsidR="00DD3D1E" w:rsidRPr="00242EB0">
        <w:rPr>
          <w:i/>
        </w:rPr>
        <w:t xml:space="preserve"> %</w:t>
      </w:r>
      <w:r w:rsidR="00B93BEE" w:rsidRPr="00242EB0">
        <w:rPr>
          <w:i/>
        </w:rPr>
        <w:t xml:space="preserve"> лимфоцитов в костном мозге</w:t>
      </w:r>
      <w:r>
        <w:rPr>
          <w:i/>
        </w:rPr>
        <w:t>;</w:t>
      </w:r>
    </w:p>
    <w:p w:rsidR="00B93BEE" w:rsidRPr="00242EB0" w:rsidRDefault="00242EB0" w:rsidP="00BE7488">
      <w:pPr>
        <w:pStyle w:val="a"/>
        <w:numPr>
          <w:ilvl w:val="0"/>
          <w:numId w:val="17"/>
        </w:numPr>
        <w:spacing w:before="0"/>
        <w:rPr>
          <w:i/>
        </w:rPr>
      </w:pPr>
      <w:r>
        <w:rPr>
          <w:i/>
        </w:rPr>
        <w:t>д</w:t>
      </w:r>
      <w:r w:rsidR="00B93BEE" w:rsidRPr="00242EB0">
        <w:rPr>
          <w:i/>
        </w:rPr>
        <w:t>иагноз ХЛЛ не устанавливается при наличии цитопении или связанных с заболеванием симптомов при</w:t>
      </w:r>
      <w:r>
        <w:rPr>
          <w:i/>
        </w:rPr>
        <w:t xml:space="preserve"> количестве</w:t>
      </w:r>
      <w:r w:rsidR="00B93BEE" w:rsidRPr="00242EB0">
        <w:rPr>
          <w:i/>
        </w:rPr>
        <w:t xml:space="preserve"> </w:t>
      </w:r>
      <w:r w:rsidRPr="00242EB0">
        <w:rPr>
          <w:i/>
        </w:rPr>
        <w:t xml:space="preserve">моноклональных В-лимфоцитов </w:t>
      </w:r>
      <w:r w:rsidR="00B93BEE" w:rsidRPr="00242EB0">
        <w:rPr>
          <w:i/>
        </w:rPr>
        <w:t>&lt;5</w:t>
      </w:r>
      <w:r w:rsidR="00B93BEE" w:rsidRPr="00242EB0">
        <w:rPr>
          <w:i/>
          <w:lang w:val="en-US"/>
        </w:rPr>
        <w:t> </w:t>
      </w:r>
      <w:r w:rsidR="00B93BEE" w:rsidRPr="00242EB0">
        <w:rPr>
          <w:i/>
        </w:rPr>
        <w:t>000/мкл</w:t>
      </w:r>
      <w:r>
        <w:rPr>
          <w:i/>
        </w:rPr>
        <w:t>.</w:t>
      </w:r>
    </w:p>
    <w:p w:rsidR="00B93BEE" w:rsidRPr="00242EB0" w:rsidRDefault="00B93BEE" w:rsidP="00B93BEE">
      <w:pPr>
        <w:ind w:firstLine="709"/>
        <w:rPr>
          <w:i/>
        </w:rPr>
      </w:pPr>
      <w:r w:rsidRPr="00242EB0">
        <w:rPr>
          <w:i/>
        </w:rPr>
        <w:t xml:space="preserve">Диагноз устанавливают при выявлении в крови </w:t>
      </w:r>
      <w:r w:rsidR="00242EB0" w:rsidRPr="00397360">
        <w:rPr>
          <w:i/>
        </w:rPr>
        <w:t>&gt;</w:t>
      </w:r>
      <w:r w:rsidRPr="00242EB0">
        <w:rPr>
          <w:i/>
        </w:rPr>
        <w:t>5</w:t>
      </w:r>
      <w:r w:rsidRPr="00242EB0">
        <w:rPr>
          <w:i/>
          <w:lang w:val="en-US"/>
        </w:rPr>
        <w:t> </w:t>
      </w:r>
      <w:r w:rsidRPr="00242EB0">
        <w:rPr>
          <w:i/>
        </w:rPr>
        <w:t>000 В-лимфоцит</w:t>
      </w:r>
      <w:r w:rsidR="00242EB0">
        <w:rPr>
          <w:i/>
        </w:rPr>
        <w:t>ов в 1 мкл периферической крови</w:t>
      </w:r>
      <w:r w:rsidRPr="00242EB0">
        <w:rPr>
          <w:i/>
        </w:rPr>
        <w:t xml:space="preserve"> при условии, что лимфоцитоз сохраняется более 3 мес. Клональность В-лимфоцитов должна быть подтверждена с помощью иммунофено</w:t>
      </w:r>
      <w:r w:rsidR="00242EB0">
        <w:rPr>
          <w:i/>
        </w:rPr>
        <w:softHyphen/>
      </w:r>
      <w:r w:rsidRPr="00242EB0">
        <w:rPr>
          <w:i/>
        </w:rPr>
        <w:t>типирования.</w:t>
      </w:r>
    </w:p>
    <w:p w:rsidR="00B93BEE" w:rsidRPr="00242EB0" w:rsidRDefault="00B93BEE" w:rsidP="00B93BEE">
      <w:pPr>
        <w:ind w:firstLine="709"/>
        <w:rPr>
          <w:i/>
          <w:iCs/>
        </w:rPr>
      </w:pPr>
      <w:r w:rsidRPr="00242EB0">
        <w:rPr>
          <w:i/>
          <w:iCs/>
        </w:rPr>
        <w:t>ЛМЛ диагностируется при наличии лимфаденопатии, и/или спленомегалии, и/или цитопении, вызванной поражением костного мозга, при условии, что абсолютное число моноклональных В-лимфоцитов в крови не превышает 5</w:t>
      </w:r>
      <w:r w:rsidRPr="00242EB0">
        <w:rPr>
          <w:i/>
          <w:iCs/>
          <w:lang w:val="en-US"/>
        </w:rPr>
        <w:t> </w:t>
      </w:r>
      <w:r w:rsidRPr="00242EB0">
        <w:rPr>
          <w:i/>
          <w:iCs/>
        </w:rPr>
        <w:t>000 в 1 мкл. Иммуно</w:t>
      </w:r>
      <w:r w:rsidR="00242EB0">
        <w:rPr>
          <w:i/>
          <w:iCs/>
        </w:rPr>
        <w:softHyphen/>
      </w:r>
      <w:r w:rsidRPr="00242EB0">
        <w:rPr>
          <w:i/>
          <w:iCs/>
        </w:rPr>
        <w:t xml:space="preserve">гистохимический фенотип опухолевых В-лимфоцитов соответствует ХЛЛ. Диагноз </w:t>
      </w:r>
      <w:r w:rsidRPr="00242EB0">
        <w:rPr>
          <w:i/>
          <w:iCs/>
        </w:rPr>
        <w:lastRenderedPageBreak/>
        <w:t>должен быть подтвержден биопсией лимфатического узла, костного мозга или пораженного органа.</w:t>
      </w:r>
    </w:p>
    <w:p w:rsidR="004D7374" w:rsidRPr="005C7FBA" w:rsidRDefault="00C606B8" w:rsidP="001C2A64">
      <w:pPr>
        <w:pStyle w:val="2"/>
      </w:pPr>
      <w:bookmarkStart w:id="27" w:name="_Toc24546433"/>
      <w:bookmarkStart w:id="28" w:name="_Toc23601720"/>
      <w:r w:rsidRPr="005C7FBA">
        <w:t>2.1. Жалобы и анамнез</w:t>
      </w:r>
      <w:bookmarkEnd w:id="27"/>
      <w:bookmarkEnd w:id="28"/>
    </w:p>
    <w:p w:rsidR="004D7374" w:rsidRPr="00B93BEE" w:rsidRDefault="004E6BF1" w:rsidP="00504D96">
      <w:pPr>
        <w:pStyle w:val="a"/>
      </w:pPr>
      <w:r w:rsidRPr="00504D96">
        <w:t>Всем</w:t>
      </w:r>
      <w:r w:rsidRPr="00B93BEE">
        <w:t xml:space="preserve"> </w:t>
      </w:r>
      <w:r w:rsidR="00B93BEE" w:rsidRPr="00B93BEE">
        <w:t xml:space="preserve">пациентам с подозрением на ХЛЛ, а также всем пациентам с верифицированным ХЛЛ при каждом приеме у гематолога </w:t>
      </w:r>
      <w:r w:rsidR="00B93BEE" w:rsidRPr="00C20509">
        <w:rPr>
          <w:b/>
        </w:rPr>
        <w:t>рекомендуется</w:t>
      </w:r>
      <w:r w:rsidR="00B93BEE" w:rsidRPr="00B93BEE">
        <w:t xml:space="preserve"> сбор анамнеза и жалоб при заболеваниях органов кроветворения и крови для оценки состояния пациента, а также для </w:t>
      </w:r>
      <w:r w:rsidR="00C20509">
        <w:t>выявления</w:t>
      </w:r>
      <w:r w:rsidR="00B93BEE" w:rsidRPr="00B93BEE">
        <w:t xml:space="preserve"> факторов, которые могут оказать влияние на </w:t>
      </w:r>
      <w:r w:rsidR="00C20509">
        <w:t>выбор</w:t>
      </w:r>
      <w:r w:rsidR="00B93BEE" w:rsidRPr="00B93BEE">
        <w:t xml:space="preserve"> лечебной тактики пациента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AE2EE4" w:rsidRPr="00B93BEE">
        <w:t>.</w:t>
      </w:r>
    </w:p>
    <w:p w:rsidR="004D7374" w:rsidRPr="00C20509" w:rsidRDefault="005C7FBA" w:rsidP="00504D96">
      <w:pPr>
        <w:contextualSpacing/>
        <w:rPr>
          <w:b/>
          <w:spacing w:val="-4"/>
        </w:rPr>
      </w:pPr>
      <w:r w:rsidRPr="00C20509">
        <w:rPr>
          <w:b/>
          <w:spacing w:val="-4"/>
        </w:rPr>
        <w:t xml:space="preserve">Уровень убедительности рекомендаций </w:t>
      </w:r>
      <w:r w:rsidR="00C20509" w:rsidRPr="00C20509">
        <w:rPr>
          <w:b/>
          <w:spacing w:val="-4"/>
        </w:rPr>
        <w:t xml:space="preserve">– </w:t>
      </w:r>
      <w:r w:rsidRPr="00C20509">
        <w:rPr>
          <w:b/>
          <w:spacing w:val="-4"/>
        </w:rPr>
        <w:t xml:space="preserve">С (уровень достоверности доказательств </w:t>
      </w:r>
      <w:r w:rsidR="00C20509" w:rsidRPr="00C20509">
        <w:rPr>
          <w:b/>
          <w:spacing w:val="-4"/>
        </w:rPr>
        <w:t xml:space="preserve">– </w:t>
      </w:r>
      <w:r w:rsidRPr="00C20509">
        <w:rPr>
          <w:b/>
          <w:spacing w:val="-4"/>
        </w:rPr>
        <w:t>5).</w:t>
      </w:r>
    </w:p>
    <w:p w:rsidR="004D7374" w:rsidRPr="00E01E1F" w:rsidRDefault="004D7374" w:rsidP="00504D96">
      <w:pPr>
        <w:contextualSpacing/>
        <w:rPr>
          <w:i/>
        </w:rPr>
      </w:pPr>
      <w:r w:rsidRPr="00AE2EE4">
        <w:rPr>
          <w:b/>
        </w:rPr>
        <w:t>Комментарии:</w:t>
      </w:r>
      <w:r w:rsidR="001565DE">
        <w:rPr>
          <w:b/>
        </w:rPr>
        <w:t xml:space="preserve"> </w:t>
      </w:r>
      <w:r w:rsidR="00B93BEE" w:rsidRPr="003147A2">
        <w:rPr>
          <w:i/>
        </w:rPr>
        <w:t xml:space="preserve">при </w:t>
      </w:r>
      <w:r w:rsidR="00E01E1F" w:rsidRPr="003147A2">
        <w:rPr>
          <w:i/>
        </w:rPr>
        <w:t>сборе анамнеза необходимо</w:t>
      </w:r>
      <w:r w:rsidR="001565DE">
        <w:rPr>
          <w:i/>
        </w:rPr>
        <w:t xml:space="preserve"> </w:t>
      </w:r>
      <w:r w:rsidR="009B309C">
        <w:rPr>
          <w:i/>
        </w:rPr>
        <w:t xml:space="preserve">уточнить </w:t>
      </w:r>
      <w:r w:rsidR="00CB2DF7">
        <w:rPr>
          <w:i/>
        </w:rPr>
        <w:t xml:space="preserve">наличие </w:t>
      </w:r>
      <w:r w:rsidR="001565DE">
        <w:rPr>
          <w:i/>
        </w:rPr>
        <w:t xml:space="preserve">в </w:t>
      </w:r>
      <w:r w:rsidR="001565DE" w:rsidRPr="003147A2">
        <w:rPr>
          <w:i/>
        </w:rPr>
        <w:t>семейном</w:t>
      </w:r>
      <w:r w:rsidR="009B309C">
        <w:rPr>
          <w:i/>
        </w:rPr>
        <w:t xml:space="preserve"> анамнезе заболеваний органов кроветворения и крови.</w:t>
      </w:r>
      <w:r w:rsidR="001565DE">
        <w:rPr>
          <w:i/>
        </w:rPr>
        <w:t xml:space="preserve"> </w:t>
      </w:r>
      <w:r w:rsidRPr="00E01E1F">
        <w:rPr>
          <w:i/>
        </w:rPr>
        <w:t>Жалобы могут отсутствовать, и тогда признаки заболевания выявляются при случайном о</w:t>
      </w:r>
      <w:r w:rsidR="00AE2EE4" w:rsidRPr="00E01E1F">
        <w:rPr>
          <w:i/>
        </w:rPr>
        <w:t xml:space="preserve">бследовании. Может </w:t>
      </w:r>
      <w:r w:rsidR="00C20509">
        <w:rPr>
          <w:i/>
        </w:rPr>
        <w:t>быть выявлено</w:t>
      </w:r>
      <w:r w:rsidR="00AE2EE4" w:rsidRPr="00E01E1F">
        <w:rPr>
          <w:i/>
        </w:rPr>
        <w:t xml:space="preserve"> </w:t>
      </w:r>
      <w:r w:rsidRPr="00E01E1F">
        <w:rPr>
          <w:i/>
        </w:rPr>
        <w:t>бессимптомное увеличение лимф</w:t>
      </w:r>
      <w:r w:rsidR="00C20509">
        <w:rPr>
          <w:i/>
        </w:rPr>
        <w:t xml:space="preserve">атических </w:t>
      </w:r>
      <w:r w:rsidR="00AE2EE4" w:rsidRPr="00141F87">
        <w:rPr>
          <w:i/>
        </w:rPr>
        <w:t xml:space="preserve">узлов любой локализации. </w:t>
      </w:r>
      <w:r w:rsidRPr="00155FD9">
        <w:rPr>
          <w:i/>
        </w:rPr>
        <w:t>Могут присутст</w:t>
      </w:r>
      <w:r w:rsidR="00C20509">
        <w:rPr>
          <w:i/>
        </w:rPr>
        <w:softHyphen/>
      </w:r>
      <w:r w:rsidRPr="00155FD9">
        <w:rPr>
          <w:i/>
        </w:rPr>
        <w:t xml:space="preserve">вовать любые жалобы, связанные с </w:t>
      </w:r>
      <w:r w:rsidRPr="00CD4CDC">
        <w:rPr>
          <w:i/>
        </w:rPr>
        <w:t>вовлечением органов и тканей.</w:t>
      </w:r>
      <w:r w:rsidR="00E01E1F" w:rsidRPr="00CD4CDC">
        <w:rPr>
          <w:i/>
        </w:rPr>
        <w:t xml:space="preserve"> При сборе жалоб о</w:t>
      </w:r>
      <w:r w:rsidR="00E01E1F" w:rsidRPr="003147A2">
        <w:rPr>
          <w:i/>
        </w:rPr>
        <w:t>соб</w:t>
      </w:r>
      <w:r w:rsidR="00C20509">
        <w:rPr>
          <w:i/>
        </w:rPr>
        <w:t>ое внимание необходимо</w:t>
      </w:r>
      <w:r w:rsidR="00E01E1F" w:rsidRPr="003147A2">
        <w:rPr>
          <w:i/>
        </w:rPr>
        <w:t xml:space="preserve"> </w:t>
      </w:r>
      <w:r w:rsidR="00C20509">
        <w:rPr>
          <w:i/>
        </w:rPr>
        <w:t xml:space="preserve">уделить выявлению </w:t>
      </w:r>
      <w:r w:rsidR="00E01E1F" w:rsidRPr="003147A2">
        <w:rPr>
          <w:i/>
        </w:rPr>
        <w:t>неспецифически</w:t>
      </w:r>
      <w:r w:rsidR="00C20509">
        <w:rPr>
          <w:i/>
        </w:rPr>
        <w:t>х</w:t>
      </w:r>
      <w:r w:rsidR="00E01E1F" w:rsidRPr="003147A2">
        <w:rPr>
          <w:i/>
        </w:rPr>
        <w:t xml:space="preserve"> симптом</w:t>
      </w:r>
      <w:r w:rsidR="00C20509">
        <w:rPr>
          <w:i/>
        </w:rPr>
        <w:t>ов</w:t>
      </w:r>
      <w:r w:rsidR="00E01E1F" w:rsidRPr="003147A2">
        <w:rPr>
          <w:i/>
        </w:rPr>
        <w:t xml:space="preserve"> интоксикации (</w:t>
      </w:r>
      <w:r w:rsidR="00C20509">
        <w:rPr>
          <w:i/>
        </w:rPr>
        <w:t>температуры тела</w:t>
      </w:r>
      <w:r w:rsidR="00E01E1F" w:rsidRPr="003147A2">
        <w:rPr>
          <w:i/>
        </w:rPr>
        <w:t xml:space="preserve"> </w:t>
      </w:r>
      <w:r w:rsidR="00C20509" w:rsidRPr="00397360">
        <w:rPr>
          <w:i/>
        </w:rPr>
        <w:t>&gt;</w:t>
      </w:r>
      <w:r w:rsidR="00E01E1F" w:rsidRPr="00CB1E71">
        <w:rPr>
          <w:i/>
        </w:rPr>
        <w:t xml:space="preserve">38°С </w:t>
      </w:r>
      <w:r w:rsidR="007F43CF">
        <w:rPr>
          <w:i/>
        </w:rPr>
        <w:t xml:space="preserve">более </w:t>
      </w:r>
      <w:r w:rsidR="00F07AA9">
        <w:rPr>
          <w:i/>
        </w:rPr>
        <w:t>2</w:t>
      </w:r>
      <w:r w:rsidR="007F43CF">
        <w:rPr>
          <w:i/>
        </w:rPr>
        <w:t xml:space="preserve"> </w:t>
      </w:r>
      <w:r w:rsidR="00F07AA9">
        <w:rPr>
          <w:i/>
        </w:rPr>
        <w:t>нед.</w:t>
      </w:r>
      <w:r w:rsidR="009B27D2">
        <w:rPr>
          <w:i/>
        </w:rPr>
        <w:t xml:space="preserve"> подряд</w:t>
      </w:r>
      <w:r w:rsidR="00E01E1F" w:rsidRPr="003147A2">
        <w:rPr>
          <w:i/>
        </w:rPr>
        <w:t xml:space="preserve"> без признаков воспаления</w:t>
      </w:r>
      <w:r w:rsidR="00C20509">
        <w:rPr>
          <w:i/>
        </w:rPr>
        <w:t>,</w:t>
      </w:r>
      <w:r w:rsidR="00E01E1F" w:rsidRPr="003147A2">
        <w:rPr>
          <w:i/>
        </w:rPr>
        <w:t xml:space="preserve"> ночны</w:t>
      </w:r>
      <w:r w:rsidR="00C20509">
        <w:rPr>
          <w:i/>
        </w:rPr>
        <w:t>х</w:t>
      </w:r>
      <w:r w:rsidR="00E01E1F" w:rsidRPr="003147A2">
        <w:rPr>
          <w:i/>
        </w:rPr>
        <w:t xml:space="preserve"> профузны</w:t>
      </w:r>
      <w:r w:rsidR="00C20509">
        <w:rPr>
          <w:i/>
        </w:rPr>
        <w:t>х потов</w:t>
      </w:r>
      <w:r w:rsidR="00E01E1F" w:rsidRPr="003147A2">
        <w:rPr>
          <w:i/>
        </w:rPr>
        <w:t>; похудани</w:t>
      </w:r>
      <w:r w:rsidR="00C20509">
        <w:rPr>
          <w:i/>
        </w:rPr>
        <w:t>я</w:t>
      </w:r>
      <w:r w:rsidR="00E01E1F" w:rsidRPr="003147A2">
        <w:rPr>
          <w:i/>
        </w:rPr>
        <w:t xml:space="preserve"> на 10</w:t>
      </w:r>
      <w:r w:rsidR="00DD3D1E">
        <w:rPr>
          <w:i/>
        </w:rPr>
        <w:t xml:space="preserve"> %</w:t>
      </w:r>
      <w:r w:rsidR="00F07AA9">
        <w:rPr>
          <w:i/>
        </w:rPr>
        <w:t xml:space="preserve"> массы тела за последние 6 мес.</w:t>
      </w:r>
      <w:r w:rsidR="00E01E1F" w:rsidRPr="00C20509">
        <w:rPr>
          <w:i/>
        </w:rPr>
        <w:t>)</w:t>
      </w:r>
      <w:r w:rsidR="00931A0F">
        <w:rPr>
          <w:i/>
        </w:rPr>
        <w:t>.</w:t>
      </w:r>
    </w:p>
    <w:p w:rsidR="004D7374" w:rsidRDefault="004D7374" w:rsidP="00B93B9E">
      <w:pPr>
        <w:pStyle w:val="2"/>
        <w:contextualSpacing/>
      </w:pPr>
      <w:bookmarkStart w:id="29" w:name="_Toc24546434"/>
      <w:bookmarkStart w:id="30" w:name="_Toc23601721"/>
      <w:r>
        <w:t>2.2. Физикальное обследование</w:t>
      </w:r>
      <w:bookmarkEnd w:id="29"/>
      <w:bookmarkEnd w:id="30"/>
    </w:p>
    <w:p w:rsidR="004D7374" w:rsidRDefault="00C20509" w:rsidP="00504D96">
      <w:pPr>
        <w:pStyle w:val="a"/>
      </w:pPr>
      <w:r>
        <w:t>В</w:t>
      </w:r>
      <w:r w:rsidR="004D7374">
        <w:t>се</w:t>
      </w:r>
      <w:r>
        <w:t>м</w:t>
      </w:r>
      <w:r w:rsidR="004D7374">
        <w:t xml:space="preserve"> пациент</w:t>
      </w:r>
      <w:r>
        <w:t>ам</w:t>
      </w:r>
      <w:r w:rsidR="004D7374">
        <w:t xml:space="preserve"> с подозрением на ХЛЛ/ЛМЛ или выявленным ХЛЛ/ЛМЛ при первичном или повторном приеме, при контрольных обследованиях и при подозрении на рецидив</w:t>
      </w:r>
      <w:r w:rsidR="000772E3">
        <w:t xml:space="preserve">/прогрессирование </w:t>
      </w:r>
      <w:r w:rsidR="004D7374">
        <w:t xml:space="preserve">заболевания </w:t>
      </w:r>
      <w:r w:rsidR="004D7374" w:rsidRPr="00C20509">
        <w:rPr>
          <w:b/>
        </w:rPr>
        <w:t>рекомендуется</w:t>
      </w:r>
      <w:r w:rsidR="004D7374">
        <w:t xml:space="preserve"> </w:t>
      </w:r>
      <w:bookmarkStart w:id="31" w:name="_Hlk532293045"/>
      <w:r w:rsidR="0089510D">
        <w:t>выполнение</w:t>
      </w:r>
      <w:r w:rsidR="00E14FC2">
        <w:t xml:space="preserve"> визуального </w:t>
      </w:r>
      <w:r>
        <w:t xml:space="preserve">терапевтического </w:t>
      </w:r>
      <w:r w:rsidR="00E14FC2">
        <w:t xml:space="preserve">осмотра, </w:t>
      </w:r>
      <w:r>
        <w:t xml:space="preserve">терапевтической </w:t>
      </w:r>
      <w:r w:rsidR="00E14FC2">
        <w:t xml:space="preserve">пальпации и </w:t>
      </w:r>
      <w:bookmarkEnd w:id="31"/>
      <w:r>
        <w:t xml:space="preserve">терапевтической </w:t>
      </w:r>
      <w:r w:rsidR="000772E3">
        <w:t xml:space="preserve">аускультации </w:t>
      </w:r>
      <w:r w:rsidR="000772E3" w:rsidRPr="00934BAD">
        <w:t>для уточнения распространенности заболевания</w:t>
      </w:r>
      <w:r w:rsidR="004D7374" w:rsidRPr="00934BAD">
        <w:t xml:space="preserve"> </w:t>
      </w:r>
      <w:r w:rsidR="000772E3" w:rsidRPr="00934BAD">
        <w:t>и оценки состояния пациента</w:t>
      </w:r>
      <w:r>
        <w:t>, в том числе отдельных</w:t>
      </w:r>
      <w:r w:rsidR="000772E3" w:rsidRPr="00934BAD">
        <w:t xml:space="preserve"> орган</w:t>
      </w:r>
      <w:r>
        <w:t>ов</w:t>
      </w:r>
      <w:r w:rsidR="000772E3" w:rsidRPr="00934BAD">
        <w:t xml:space="preserve"> и систем</w:t>
      </w:r>
      <w:r w:rsidR="00B93BEE">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0772E3" w:rsidRPr="00934BAD">
        <w:t>.</w:t>
      </w:r>
      <w:r w:rsidR="000772E3" w:rsidRPr="000772E3">
        <w:t xml:space="preserve"> </w:t>
      </w:r>
    </w:p>
    <w:p w:rsidR="005C7FBA" w:rsidRPr="008C576B" w:rsidRDefault="005C7FBA" w:rsidP="00504D96">
      <w:pPr>
        <w:contextualSpacing/>
        <w:rPr>
          <w:b/>
          <w:spacing w:val="-4"/>
        </w:rPr>
      </w:pPr>
      <w:r w:rsidRPr="008C576B">
        <w:rPr>
          <w:b/>
          <w:spacing w:val="-4"/>
        </w:rPr>
        <w:t xml:space="preserve">Уровень убедительности рекомендаций </w:t>
      </w:r>
      <w:r w:rsidR="00C20509" w:rsidRPr="008C576B">
        <w:rPr>
          <w:b/>
          <w:spacing w:val="-4"/>
        </w:rPr>
        <w:t xml:space="preserve">– </w:t>
      </w:r>
      <w:r w:rsidRPr="008C576B">
        <w:rPr>
          <w:b/>
          <w:spacing w:val="-4"/>
        </w:rPr>
        <w:t>С (уровень достоверности доказательств</w:t>
      </w:r>
      <w:r w:rsidR="00C20509" w:rsidRPr="008C576B">
        <w:rPr>
          <w:b/>
          <w:spacing w:val="-4"/>
        </w:rPr>
        <w:t xml:space="preserve"> –</w:t>
      </w:r>
      <w:r w:rsidRPr="008C576B">
        <w:rPr>
          <w:b/>
          <w:spacing w:val="-4"/>
        </w:rPr>
        <w:t xml:space="preserve"> 5).</w:t>
      </w:r>
    </w:p>
    <w:p w:rsidR="00E14FC2" w:rsidRPr="003147A2" w:rsidRDefault="00E14FC2" w:rsidP="00504D96">
      <w:pPr>
        <w:contextualSpacing/>
        <w:rPr>
          <w:i/>
        </w:rPr>
      </w:pPr>
      <w:r>
        <w:rPr>
          <w:b/>
        </w:rPr>
        <w:t xml:space="preserve">Комментарий: </w:t>
      </w:r>
      <w:bookmarkStart w:id="32" w:name="_Hlk532293146"/>
      <w:r w:rsidR="00B93BEE">
        <w:rPr>
          <w:i/>
        </w:rPr>
        <w:t xml:space="preserve">при </w:t>
      </w:r>
      <w:r>
        <w:rPr>
          <w:i/>
        </w:rPr>
        <w:t>осмотре необходимо оценить общее состояние пациента по ш</w:t>
      </w:r>
      <w:r w:rsidR="00141F87">
        <w:rPr>
          <w:i/>
        </w:rPr>
        <w:t xml:space="preserve">кале </w:t>
      </w:r>
      <w:r w:rsidR="00141F87">
        <w:rPr>
          <w:i/>
          <w:lang w:val="en-US"/>
        </w:rPr>
        <w:t>ECOG</w:t>
      </w:r>
      <w:r w:rsidR="00141F87">
        <w:rPr>
          <w:i/>
        </w:rPr>
        <w:t xml:space="preserve"> (см. приложение Г</w:t>
      </w:r>
      <w:r w:rsidR="00145A85">
        <w:rPr>
          <w:i/>
        </w:rPr>
        <w:t>1</w:t>
      </w:r>
      <w:r w:rsidR="00141F87">
        <w:rPr>
          <w:i/>
        </w:rPr>
        <w:t>)</w:t>
      </w:r>
      <w:r w:rsidR="00141F87" w:rsidRPr="003147A2">
        <w:rPr>
          <w:i/>
        </w:rPr>
        <w:t xml:space="preserve">, </w:t>
      </w:r>
      <w:r w:rsidR="00141F87">
        <w:rPr>
          <w:i/>
        </w:rPr>
        <w:t>а также осмотреть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32"/>
    </w:p>
    <w:p w:rsidR="004D7374" w:rsidRPr="00AE2EE4" w:rsidRDefault="00BE6A1C" w:rsidP="00B93B9E">
      <w:pPr>
        <w:pStyle w:val="2"/>
        <w:contextualSpacing/>
      </w:pPr>
      <w:bookmarkStart w:id="33" w:name="_Toc24546435"/>
      <w:bookmarkStart w:id="34" w:name="_Toc23601722"/>
      <w:r>
        <w:lastRenderedPageBreak/>
        <w:t xml:space="preserve">2.3. </w:t>
      </w:r>
      <w:r w:rsidR="004D7374">
        <w:t>Лабораторн</w:t>
      </w:r>
      <w:r w:rsidR="00CF20D8">
        <w:t>ые диагностические исследования</w:t>
      </w:r>
      <w:bookmarkEnd w:id="33"/>
      <w:bookmarkEnd w:id="34"/>
    </w:p>
    <w:p w:rsidR="00132B9F" w:rsidRPr="00132B9F" w:rsidRDefault="00132B9F" w:rsidP="00C20509">
      <w:pPr>
        <w:pStyle w:val="3"/>
      </w:pPr>
      <w:r>
        <w:t>2.3.1. Лабораторные исследования для оценки общего состояния пациента</w:t>
      </w:r>
    </w:p>
    <w:p w:rsidR="00C3384D" w:rsidRDefault="00132B9F" w:rsidP="00504D96">
      <w:pPr>
        <w:pStyle w:val="a"/>
      </w:pPr>
      <w:r>
        <w:t xml:space="preserve">Всем </w:t>
      </w:r>
      <w:r w:rsidRPr="00504D96">
        <w:t>пациентам</w:t>
      </w:r>
      <w:r>
        <w:t xml:space="preserve"> с подозрением на ХЛЛ/ЛМЛ или выявленным ХЛЛ/ЛМЛ при первичном или повторном приеме, пр</w:t>
      </w:r>
      <w:r w:rsidR="00F07AA9">
        <w:t>и оценке ремиссии через 2 мес.</w:t>
      </w:r>
      <w:r>
        <w:t xml:space="preserve"> после завершения терапии, при контрольных обследованиях и при подозрении на рецидив заболевания </w:t>
      </w:r>
      <w:r w:rsidRPr="0099679A">
        <w:rPr>
          <w:b/>
        </w:rPr>
        <w:t>рекомендуется</w:t>
      </w:r>
      <w:r>
        <w:rPr>
          <w:b/>
        </w:rPr>
        <w:t xml:space="preserve"> </w:t>
      </w:r>
      <w:r w:rsidR="00C3384D">
        <w:t>выполнить развернутый клинический анализ крови с определением</w:t>
      </w:r>
      <w:r w:rsidR="008C576B">
        <w:t xml:space="preserve"> уровня</w:t>
      </w:r>
      <w:r w:rsidR="00C3384D">
        <w:t xml:space="preserve"> гемоглобина, </w:t>
      </w:r>
      <w:r w:rsidR="00D016A7">
        <w:t xml:space="preserve">количества </w:t>
      </w:r>
      <w:r w:rsidR="00C3384D">
        <w:t xml:space="preserve">эритроцитов, тромбоцитов, лейкоцитов, подсчетом лейкоцитарной формулы и количества ретикулоцитов для верификации диагноза, уточнения активности заболевания, </w:t>
      </w:r>
      <w:r w:rsidR="00D016A7">
        <w:t xml:space="preserve">определения </w:t>
      </w:r>
      <w:r w:rsidR="00C3384D">
        <w:t>возможности проведения терапии и/или (в сл</w:t>
      </w:r>
      <w:r w:rsidR="00D016A7">
        <w:t>учае ранее проведенной терапии) </w:t>
      </w:r>
      <w:r w:rsidR="00C3384D">
        <w:t xml:space="preserve">– развития нежелательных явлений лечения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C3384D">
        <w:t>.</w:t>
      </w:r>
    </w:p>
    <w:p w:rsidR="00C3384D" w:rsidRPr="00D016A7" w:rsidRDefault="00C3384D" w:rsidP="00504D96">
      <w:pPr>
        <w:contextualSpacing/>
        <w:rPr>
          <w:b/>
          <w:spacing w:val="-4"/>
        </w:rPr>
      </w:pPr>
      <w:r w:rsidRPr="00D016A7">
        <w:rPr>
          <w:b/>
          <w:spacing w:val="-4"/>
        </w:rPr>
        <w:t xml:space="preserve">Уровень убедительности </w:t>
      </w:r>
      <w:r w:rsidR="00C20509" w:rsidRPr="00D016A7">
        <w:rPr>
          <w:b/>
          <w:spacing w:val="-4"/>
        </w:rPr>
        <w:t xml:space="preserve">рекомендаций – </w:t>
      </w:r>
      <w:r w:rsidRPr="00D016A7">
        <w:rPr>
          <w:b/>
          <w:spacing w:val="-4"/>
        </w:rPr>
        <w:t xml:space="preserve">С (уровень достоверности доказательств </w:t>
      </w:r>
      <w:r w:rsidR="00D016A7" w:rsidRPr="00D016A7">
        <w:rPr>
          <w:b/>
          <w:spacing w:val="-4"/>
        </w:rPr>
        <w:t xml:space="preserve">– </w:t>
      </w:r>
      <w:r w:rsidRPr="00D016A7">
        <w:rPr>
          <w:b/>
          <w:spacing w:val="-4"/>
        </w:rPr>
        <w:t>5).</w:t>
      </w:r>
    </w:p>
    <w:p w:rsidR="00C3384D" w:rsidRDefault="00C3384D" w:rsidP="00504D96">
      <w:pPr>
        <w:contextualSpacing/>
        <w:rPr>
          <w:i/>
        </w:rPr>
      </w:pPr>
      <w:r w:rsidRPr="0099679A">
        <w:rPr>
          <w:b/>
        </w:rPr>
        <w:t>Комментарии:</w:t>
      </w:r>
      <w:r>
        <w:t xml:space="preserve"> </w:t>
      </w:r>
      <w:r w:rsidR="00D016A7">
        <w:rPr>
          <w:i/>
        </w:rPr>
        <w:t>в</w:t>
      </w:r>
      <w:r w:rsidRPr="0099679A">
        <w:rPr>
          <w:i/>
        </w:rPr>
        <w:t xml:space="preserve"> окрашенных препаратах периферической крови клетки ХЛЛ имеют морфологию малых лимфоцитов с узким ободком цитоплазмы, плотным ядром, глыбчатым хроматином, без отчетливого ядрышка. Реже встречается морфология активированных лимфоцитов – с более широким ободком цитоплазмы синего цвета или краевой базофилией. Среди лимфоцитов около 5</w:t>
      </w:r>
      <w:r w:rsidR="00DD3D1E">
        <w:rPr>
          <w:i/>
        </w:rPr>
        <w:t xml:space="preserve"> %</w:t>
      </w:r>
      <w:r w:rsidRPr="0099679A">
        <w:rPr>
          <w:i/>
        </w:rPr>
        <w:t xml:space="preserve"> могут составлять атипичные клетки (с расщепленными, складчатыми ядрами), а также пролимфоциты – более крупные клетки с неравномерно распределенным хроматином в ядре, 1</w:t>
      </w:r>
      <w:r w:rsidR="00D016A7">
        <w:rPr>
          <w:i/>
        </w:rPr>
        <w:t>–</w:t>
      </w:r>
      <w:r w:rsidRPr="0099679A">
        <w:rPr>
          <w:i/>
        </w:rPr>
        <w:t>2 нуклеолами, что не противоречит диагнозу ХЛЛ. Для ХЛЛ характерно выявление в крови разрушенных клеток – теней Гумпрехта. При выявлении более 55</w:t>
      </w:r>
      <w:r w:rsidR="00DD3D1E">
        <w:rPr>
          <w:i/>
        </w:rPr>
        <w:t xml:space="preserve"> %</w:t>
      </w:r>
      <w:r w:rsidRPr="0099679A">
        <w:rPr>
          <w:i/>
        </w:rPr>
        <w:t xml:space="preserve"> пролимфоцитов в крови диагностируют пролимфоцитарный лейкоз, вариант которого (В- или Т-клеточный) устанавливается при иммунофенотипировании</w:t>
      </w:r>
      <w:r>
        <w:rPr>
          <w:i/>
        </w:rPr>
        <w:t xml:space="preserve"> </w:t>
      </w:r>
      <w:r w:rsidR="000B0AC3" w:rsidRPr="00B93BEE">
        <w:fldChar w:fldCharType="begin" w:fldLock="1"/>
      </w:r>
      <w:r w:rsidR="00256713">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rsidRPr="00B93BEE">
        <w:fldChar w:fldCharType="separate"/>
      </w:r>
      <w:r w:rsidRPr="00C3384D">
        <w:rPr>
          <w:noProof/>
        </w:rPr>
        <w:t>[16]</w:t>
      </w:r>
      <w:r w:rsidR="000B0AC3" w:rsidRPr="00B93BEE">
        <w:fldChar w:fldCharType="end"/>
      </w:r>
      <w:r w:rsidRPr="0099679A">
        <w:rPr>
          <w:i/>
        </w:rPr>
        <w:t>.</w:t>
      </w:r>
    </w:p>
    <w:p w:rsidR="00132B9F" w:rsidRPr="00256713" w:rsidRDefault="00132B9F" w:rsidP="00504D96">
      <w:pPr>
        <w:pStyle w:val="a"/>
      </w:pPr>
      <w:r w:rsidRPr="00504D96">
        <w:t>Всем</w:t>
      </w:r>
      <w:r>
        <w:t xml:space="preserve"> пациентам с ХЛЛ/ЛМЛ перед проведением противоопухолевой терапии </w:t>
      </w:r>
      <w:r w:rsidR="00256713">
        <w:t xml:space="preserve">для </w:t>
      </w:r>
      <w:r w:rsidR="00D016A7">
        <w:t>оценки</w:t>
      </w:r>
      <w:r w:rsidR="00256713">
        <w:t xml:space="preserve"> общего состояния, определения необходимости проведения </w:t>
      </w:r>
      <w:r w:rsidR="004E6BF1">
        <w:t>сопутствующей</w:t>
      </w:r>
      <w:r w:rsidR="00256713">
        <w:t xml:space="preserve"> или сопроводительной терапии или редукции доз препаратов </w:t>
      </w:r>
      <w:r w:rsidR="00D016A7" w:rsidRPr="00741B6B">
        <w:rPr>
          <w:b/>
        </w:rPr>
        <w:t>рекомендуется</w:t>
      </w:r>
      <w:r w:rsidR="00D016A7">
        <w:rPr>
          <w:b/>
        </w:rPr>
        <w:t xml:space="preserve"> </w:t>
      </w:r>
      <w:r w:rsidR="00256713">
        <w:t>выполнение следующих лабораторных исследований:</w:t>
      </w:r>
    </w:p>
    <w:p w:rsidR="00256713" w:rsidRDefault="00D016A7" w:rsidP="00BE7488">
      <w:pPr>
        <w:pStyle w:val="a"/>
        <w:numPr>
          <w:ilvl w:val="0"/>
          <w:numId w:val="24"/>
        </w:numPr>
        <w:spacing w:before="0"/>
      </w:pPr>
      <w:r>
        <w:t xml:space="preserve">биохимического общетерапевтического </w:t>
      </w:r>
      <w:r w:rsidR="00256713">
        <w:t>анализа крови (</w:t>
      </w:r>
      <w:r>
        <w:t>определ</w:t>
      </w:r>
      <w:r w:rsidR="00C079D2">
        <w:t>яют</w:t>
      </w:r>
      <w:r>
        <w:t xml:space="preserve"> уров</w:t>
      </w:r>
      <w:r w:rsidR="00C079D2">
        <w:t>ень</w:t>
      </w:r>
      <w:r>
        <w:t xml:space="preserve"> </w:t>
      </w:r>
      <w:r w:rsidR="00C079D2">
        <w:t>лактатдегидрогеназы</w:t>
      </w:r>
      <w:r w:rsidR="00256713" w:rsidRPr="00256713">
        <w:t>, мочев</w:t>
      </w:r>
      <w:r w:rsidR="00C079D2">
        <w:t>ой</w:t>
      </w:r>
      <w:r w:rsidR="00256713" w:rsidRPr="00256713">
        <w:t xml:space="preserve"> кислот</w:t>
      </w:r>
      <w:r w:rsidR="00C079D2">
        <w:t>ы</w:t>
      </w:r>
      <w:r w:rsidR="00256713" w:rsidRPr="00256713">
        <w:t>, мочевин</w:t>
      </w:r>
      <w:r w:rsidR="00C079D2">
        <w:t>ы</w:t>
      </w:r>
      <w:r w:rsidR="00256713" w:rsidRPr="00256713">
        <w:t>, креатинин</w:t>
      </w:r>
      <w:r w:rsidR="00C079D2">
        <w:t>а</w:t>
      </w:r>
      <w:r w:rsidR="00256713" w:rsidRPr="00256713">
        <w:t>, общ</w:t>
      </w:r>
      <w:r w:rsidR="00C079D2">
        <w:t>его бел</w:t>
      </w:r>
      <w:r w:rsidR="00256713" w:rsidRPr="00256713">
        <w:t>к</w:t>
      </w:r>
      <w:r w:rsidR="00C079D2">
        <w:t>а</w:t>
      </w:r>
      <w:r w:rsidR="00256713" w:rsidRPr="00256713">
        <w:t>, альбумин</w:t>
      </w:r>
      <w:r w:rsidR="00C079D2">
        <w:t>а</w:t>
      </w:r>
      <w:r w:rsidR="00256713" w:rsidRPr="00256713">
        <w:t>, билирубин</w:t>
      </w:r>
      <w:r w:rsidR="00C079D2">
        <w:t>а</w:t>
      </w:r>
      <w:r w:rsidR="00256713" w:rsidRPr="00256713">
        <w:t xml:space="preserve">, </w:t>
      </w:r>
      <w:r w:rsidR="007629D4" w:rsidRPr="007629D4">
        <w:t>а</w:t>
      </w:r>
      <w:r w:rsidR="007629D4" w:rsidRPr="00475D61">
        <w:t>спартатаминотрансферазы</w:t>
      </w:r>
      <w:r w:rsidR="007629D4" w:rsidRPr="00256713">
        <w:t xml:space="preserve"> </w:t>
      </w:r>
      <w:r w:rsidR="007629D4">
        <w:t>(</w:t>
      </w:r>
      <w:r w:rsidR="00256713" w:rsidRPr="00256713">
        <w:t>АСТ</w:t>
      </w:r>
      <w:r w:rsidR="007629D4">
        <w:t>)</w:t>
      </w:r>
      <w:r w:rsidR="00256713" w:rsidRPr="00256713">
        <w:t xml:space="preserve">, </w:t>
      </w:r>
      <w:r w:rsidR="007629D4" w:rsidRPr="007629D4">
        <w:t>а</w:t>
      </w:r>
      <w:r w:rsidR="007629D4" w:rsidRPr="00475D61">
        <w:t>ланинаминотрансферазы</w:t>
      </w:r>
      <w:r w:rsidR="007629D4" w:rsidRPr="00256713">
        <w:t xml:space="preserve"> </w:t>
      </w:r>
      <w:r w:rsidR="007629D4">
        <w:t>(</w:t>
      </w:r>
      <w:r w:rsidR="00256713" w:rsidRPr="00256713">
        <w:t>АЛТ</w:t>
      </w:r>
      <w:r w:rsidR="007629D4">
        <w:t>)</w:t>
      </w:r>
      <w:r w:rsidR="00256713" w:rsidRPr="00256713">
        <w:t>, щелочн</w:t>
      </w:r>
      <w:r w:rsidR="00C079D2">
        <w:t>ой</w:t>
      </w:r>
      <w:r w:rsidR="00256713" w:rsidRPr="00256713">
        <w:t xml:space="preserve"> фосфатаз</w:t>
      </w:r>
      <w:r w:rsidR="00C079D2">
        <w:t>ы</w:t>
      </w:r>
      <w:r w:rsidR="00256713" w:rsidRPr="00256713">
        <w:t>, кали</w:t>
      </w:r>
      <w:r w:rsidR="00C079D2">
        <w:t>я</w:t>
      </w:r>
      <w:r w:rsidR="00256713" w:rsidRPr="00256713">
        <w:t>, натри</w:t>
      </w:r>
      <w:r w:rsidR="00C079D2">
        <w:t>я</w:t>
      </w:r>
      <w:r w:rsidR="00256713" w:rsidRPr="00256713">
        <w:t>, хлор</w:t>
      </w:r>
      <w:r w:rsidR="00C079D2">
        <w:t>а</w:t>
      </w:r>
      <w:r w:rsidR="00256713" w:rsidRPr="00256713">
        <w:t>, кальци</w:t>
      </w:r>
      <w:r w:rsidR="00C079D2">
        <w:t>я</w:t>
      </w:r>
      <w:r w:rsidR="00256713" w:rsidRPr="00256713">
        <w:t>, β2</w:t>
      </w:r>
      <w:r w:rsidR="00C079D2">
        <w:t>-</w:t>
      </w:r>
      <w:r w:rsidR="00256713" w:rsidRPr="00256713">
        <w:t>микроглобулин</w:t>
      </w:r>
      <w:r w:rsidR="00C079D2">
        <w:t>а</w:t>
      </w:r>
      <w:r w:rsid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256713">
        <w:t>;</w:t>
      </w:r>
    </w:p>
    <w:p w:rsidR="00256713" w:rsidRDefault="00256713" w:rsidP="00BE7488">
      <w:pPr>
        <w:pStyle w:val="a"/>
        <w:numPr>
          <w:ilvl w:val="0"/>
          <w:numId w:val="24"/>
        </w:numPr>
        <w:spacing w:before="0"/>
      </w:pPr>
      <w:r>
        <w:t>коагулограммы (</w:t>
      </w:r>
      <w:r w:rsidR="00C079D2">
        <w:t xml:space="preserve">определяют уровень </w:t>
      </w:r>
      <w:r w:rsidRPr="00256713">
        <w:t>протромбин</w:t>
      </w:r>
      <w:r w:rsidR="00C079D2">
        <w:t>а</w:t>
      </w:r>
      <w:r w:rsidRPr="00256713">
        <w:t xml:space="preserve">, </w:t>
      </w:r>
      <w:r w:rsidR="00C079D2" w:rsidRPr="00256713">
        <w:t>фибриноген</w:t>
      </w:r>
      <w:r w:rsidR="00C079D2">
        <w:t>а,</w:t>
      </w:r>
      <w:r w:rsidR="00C079D2" w:rsidRPr="00256713">
        <w:t xml:space="preserve"> антитромбин</w:t>
      </w:r>
      <w:r w:rsidR="00C079D2">
        <w:t>а</w:t>
      </w:r>
      <w:r w:rsidR="00C079D2" w:rsidRPr="00256713">
        <w:t xml:space="preserve"> III, плазминоген</w:t>
      </w:r>
      <w:r w:rsidR="00C079D2">
        <w:t>а</w:t>
      </w:r>
      <w:r w:rsidR="00C079D2" w:rsidRPr="00256713">
        <w:t>, D-димер</w:t>
      </w:r>
      <w:r w:rsidR="00C079D2">
        <w:t xml:space="preserve">а, </w:t>
      </w:r>
      <w:r w:rsidR="006864B8">
        <w:t xml:space="preserve">международное </w:t>
      </w:r>
      <w:r w:rsidR="006864B8">
        <w:lastRenderedPageBreak/>
        <w:t>нормализованное отношение (</w:t>
      </w:r>
      <w:r w:rsidR="00C079D2">
        <w:t>МНО</w:t>
      </w:r>
      <w:r w:rsidR="006864B8">
        <w:t>)</w:t>
      </w:r>
      <w:r w:rsidR="00C079D2">
        <w:t xml:space="preserve">, </w:t>
      </w:r>
      <w:r w:rsidR="005D6AC4">
        <w:t xml:space="preserve">активированное частичное тромбопластиновое время </w:t>
      </w:r>
      <w:r w:rsidR="006864B8">
        <w:t>(</w:t>
      </w:r>
      <w:r w:rsidR="00C079D2">
        <w:t>АЧТВ</w:t>
      </w:r>
      <w:r w:rsidR="006864B8">
        <w:t>)</w:t>
      </w:r>
      <w:r w:rsidRPr="00256713">
        <w:t>, тромбиновое время</w:t>
      </w:r>
      <w:r>
        <w:t>)</w:t>
      </w:r>
      <w:r w:rsidR="00C41A30">
        <w:t xml:space="preserve">, </w:t>
      </w:r>
      <w:r>
        <w:t>прямого антиглобулинового теста (прямой пробы Кумбса) для уточнения наличия гемолитических осложнений ХЛЛ</w:t>
      </w:r>
      <w:r w:rsidRP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rsidR="00256713" w:rsidRDefault="00256713" w:rsidP="00BE7488">
      <w:pPr>
        <w:pStyle w:val="a"/>
        <w:numPr>
          <w:ilvl w:val="0"/>
          <w:numId w:val="24"/>
        </w:numPr>
        <w:spacing w:before="0"/>
      </w:pPr>
      <w:r>
        <w:t>о</w:t>
      </w:r>
      <w:r w:rsidRPr="00B5142F">
        <w:t>бщ</w:t>
      </w:r>
      <w:r>
        <w:t>его</w:t>
      </w:r>
      <w:r w:rsidRPr="00B5142F">
        <w:t xml:space="preserve"> (клиническ</w:t>
      </w:r>
      <w:r>
        <w:t>ого</w:t>
      </w:r>
      <w:r w:rsidRPr="00B5142F">
        <w:t>) анализ</w:t>
      </w:r>
      <w:r>
        <w:t>а</w:t>
      </w:r>
      <w:r w:rsidRPr="00B5142F">
        <w:t xml:space="preserve"> мочи</w:t>
      </w:r>
      <w:r>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rsidR="00256713" w:rsidRPr="00C079D2" w:rsidRDefault="00256713" w:rsidP="00504D96">
      <w:pPr>
        <w:contextualSpacing/>
        <w:rPr>
          <w:b/>
          <w:spacing w:val="-4"/>
        </w:rPr>
      </w:pPr>
      <w:r w:rsidRPr="00C079D2">
        <w:rPr>
          <w:b/>
          <w:spacing w:val="-4"/>
        </w:rPr>
        <w:t xml:space="preserve">Уровень убедительности </w:t>
      </w:r>
      <w:r w:rsidR="00C20509" w:rsidRPr="00C079D2">
        <w:rPr>
          <w:b/>
          <w:spacing w:val="-4"/>
        </w:rPr>
        <w:t xml:space="preserve">рекомендаций – </w:t>
      </w:r>
      <w:r w:rsidRPr="00C079D2">
        <w:rPr>
          <w:b/>
          <w:spacing w:val="-4"/>
        </w:rPr>
        <w:t xml:space="preserve">С (уровень достоверности </w:t>
      </w:r>
      <w:r w:rsidR="00C20509" w:rsidRPr="00C079D2">
        <w:rPr>
          <w:b/>
          <w:spacing w:val="-4"/>
        </w:rPr>
        <w:t xml:space="preserve">доказательств – </w:t>
      </w:r>
      <w:r w:rsidRPr="00C079D2">
        <w:rPr>
          <w:b/>
          <w:spacing w:val="-4"/>
        </w:rPr>
        <w:t>5).</w:t>
      </w:r>
    </w:p>
    <w:p w:rsidR="00256713" w:rsidRPr="00132B9F" w:rsidRDefault="00256713" w:rsidP="00741BEA">
      <w:pPr>
        <w:pStyle w:val="3"/>
      </w:pPr>
      <w:r>
        <w:t xml:space="preserve">2.3.2. Лабораторные исследования </w:t>
      </w:r>
      <w:r w:rsidR="009F638D">
        <w:t>для верификации диагноза и оценки прогностических факторов</w:t>
      </w:r>
    </w:p>
    <w:p w:rsidR="00CD1592" w:rsidRPr="0095233F" w:rsidRDefault="00CD1592" w:rsidP="00504D96">
      <w:pPr>
        <w:pStyle w:val="a"/>
      </w:pPr>
      <w:r>
        <w:t xml:space="preserve">При подозрении на ХЛЛ у пациентов с </w:t>
      </w:r>
      <w:r w:rsidR="00741BEA">
        <w:t>числом В-лимфоцитов ≥</w:t>
      </w:r>
      <w:r>
        <w:t xml:space="preserve">5000 в </w:t>
      </w:r>
      <w:r w:rsidR="00741BEA">
        <w:t xml:space="preserve">1 </w:t>
      </w:r>
      <w:r>
        <w:t xml:space="preserve">мкл </w:t>
      </w:r>
      <w:r w:rsidRPr="0099679A">
        <w:rPr>
          <w:b/>
        </w:rPr>
        <w:t>рекомендуется</w:t>
      </w:r>
      <w:r>
        <w:t xml:space="preserve"> выполнить </w:t>
      </w:r>
      <w:r w:rsidRPr="0095233F">
        <w:t>иммунофенотипи</w:t>
      </w:r>
      <w:r w:rsidR="00B57859" w:rsidRPr="0095233F">
        <w:t>рование</w:t>
      </w:r>
      <w:r w:rsidRPr="0095233F">
        <w:t xml:space="preserve"> лимфоцитов крови методом проточной цитофлуо</w:t>
      </w:r>
      <w:r w:rsidR="00741BEA" w:rsidRPr="0095233F">
        <w:softHyphen/>
      </w:r>
      <w:r w:rsidRPr="0095233F">
        <w:t xml:space="preserve">риметрии с целью верификации диагноза </w:t>
      </w:r>
      <w:r w:rsidR="000B0AC3" w:rsidRPr="00BD0784">
        <w:fldChar w:fldCharType="begin" w:fldLock="1"/>
      </w:r>
      <w:r w:rsidR="000B0AC3" w:rsidRPr="00BD0784">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[17]","plainTextFormattedCitation":"[17]","previouslyFormattedCitation":"[17]"},"properties":{"noteIndex":0},"schema":"https://github.com/citation-style-language/schema/raw/master/csl-citation.json"}</w:instrText>
      </w:r>
      <w:r w:rsidR="000B0AC3" w:rsidRPr="00BD0784">
        <w:fldChar w:fldCharType="separate"/>
      </w:r>
      <w:r w:rsidR="000B0AC3" w:rsidRPr="00BD0784">
        <w:rPr>
          <w:noProof/>
        </w:rPr>
        <w:t>[17]</w:t>
      </w:r>
      <w:r w:rsidR="000B0AC3" w:rsidRPr="00BD0784">
        <w:fldChar w:fldCharType="end"/>
      </w:r>
      <w:r w:rsidR="000B0AC3" w:rsidRPr="00BD0784">
        <w:t>.</w:t>
      </w:r>
    </w:p>
    <w:p w:rsidR="00CD1592" w:rsidRPr="0095233F" w:rsidRDefault="00CD1592" w:rsidP="00504D96">
      <w:pPr>
        <w:rPr>
          <w:b/>
          <w:spacing w:val="-4"/>
        </w:rPr>
      </w:pPr>
      <w:r w:rsidRPr="0095233F">
        <w:rPr>
          <w:b/>
          <w:spacing w:val="-4"/>
        </w:rPr>
        <w:t xml:space="preserve">Уровень убедительности </w:t>
      </w:r>
      <w:r w:rsidR="00C20509" w:rsidRPr="0095233F">
        <w:rPr>
          <w:b/>
          <w:spacing w:val="-4"/>
        </w:rPr>
        <w:t xml:space="preserve">рекомендаций – </w:t>
      </w:r>
      <w:r w:rsidRPr="0095233F">
        <w:rPr>
          <w:b/>
          <w:spacing w:val="-4"/>
        </w:rPr>
        <w:t xml:space="preserve">В (уровень достоверности </w:t>
      </w:r>
      <w:r w:rsidR="00C20509" w:rsidRPr="0095233F">
        <w:rPr>
          <w:b/>
          <w:spacing w:val="-4"/>
        </w:rPr>
        <w:t xml:space="preserve">доказательств – </w:t>
      </w:r>
      <w:r w:rsidR="0031704D" w:rsidRPr="0095233F">
        <w:rPr>
          <w:b/>
          <w:spacing w:val="-4"/>
        </w:rPr>
        <w:t>2</w:t>
      </w:r>
      <w:r w:rsidRPr="0095233F">
        <w:rPr>
          <w:b/>
          <w:spacing w:val="-4"/>
        </w:rPr>
        <w:t>).</w:t>
      </w:r>
    </w:p>
    <w:p w:rsidR="00CD1592" w:rsidRPr="0099679A" w:rsidRDefault="00CD1592" w:rsidP="00504D96">
      <w:pPr>
        <w:contextualSpacing/>
        <w:rPr>
          <w:i/>
        </w:rPr>
      </w:pPr>
      <w:r w:rsidRPr="009D6AF4">
        <w:rPr>
          <w:b/>
        </w:rPr>
        <w:t>Комментарии:</w:t>
      </w:r>
      <w:r w:rsidRPr="00086CF8">
        <w:t xml:space="preserve"> </w:t>
      </w:r>
      <w:r w:rsidR="00741BEA" w:rsidRPr="00F242FD">
        <w:rPr>
          <w:i/>
        </w:rPr>
        <w:t>д</w:t>
      </w:r>
      <w:r w:rsidRPr="007C0380">
        <w:rPr>
          <w:i/>
        </w:rPr>
        <w:t>иагноз</w:t>
      </w:r>
      <w:r w:rsidR="00467947">
        <w:rPr>
          <w:i/>
        </w:rPr>
        <w:t xml:space="preserve"> ХЛЛ устанавливают</w:t>
      </w:r>
      <w:r w:rsidRPr="0099679A">
        <w:rPr>
          <w:i/>
        </w:rPr>
        <w:t xml:space="preserve"> при выявлении </w:t>
      </w:r>
      <w:r w:rsidRPr="009B27D2">
        <w:rPr>
          <w:i/>
        </w:rPr>
        <w:t xml:space="preserve">≥5000 </w:t>
      </w:r>
      <w:r w:rsidRPr="0099679A">
        <w:rPr>
          <w:i/>
        </w:rPr>
        <w:t xml:space="preserve">В-лимфоцитов в 1 мкл периферической крови при условии, что лимфоцитоз </w:t>
      </w:r>
      <w:r w:rsidR="00F07AA9">
        <w:rPr>
          <w:i/>
        </w:rPr>
        <w:t>сохраняется более 3 мес</w:t>
      </w:r>
      <w:r w:rsidRPr="00606068">
        <w:rPr>
          <w:i/>
        </w:rPr>
        <w:t>.</w:t>
      </w:r>
      <w:r w:rsidRPr="0099679A">
        <w:rPr>
          <w:i/>
        </w:rPr>
        <w:t xml:space="preserve"> Клональность В-лимфоцитов должна быть подтверждена с помощью иммуно</w:t>
      </w:r>
      <w:r w:rsidR="00741BEA">
        <w:rPr>
          <w:i/>
        </w:rPr>
        <w:softHyphen/>
      </w:r>
      <w:r w:rsidRPr="0099679A">
        <w:rPr>
          <w:i/>
        </w:rPr>
        <w:t>фенотипировани</w:t>
      </w:r>
      <w:r>
        <w:rPr>
          <w:i/>
        </w:rPr>
        <w:t xml:space="preserve">я. </w:t>
      </w:r>
      <w:r w:rsidRPr="0099679A">
        <w:rPr>
          <w:i/>
        </w:rPr>
        <w:t>Рекомендуемая для диагностики ХЛЛ минимальная диагностическая панель должна включать следующие маркеры: CD19, CD</w:t>
      </w:r>
      <w:r w:rsidR="00741BEA">
        <w:rPr>
          <w:i/>
        </w:rPr>
        <w:t>5, CD23, CD20, каппа, лямбда. В </w:t>
      </w:r>
      <w:r w:rsidRPr="0099679A">
        <w:rPr>
          <w:i/>
        </w:rPr>
        <w:t>качестве дополнительных диагностических маркеров рекомендуется использовать CD43, CD200, CD79b, CD81. Часто рекомендуемые, но необязательные для диагностики и мониторирования опухолевой популяции ХЛЛ</w:t>
      </w:r>
      <w:r w:rsidR="00741BEA">
        <w:rPr>
          <w:i/>
        </w:rPr>
        <w:t xml:space="preserve"> маркеры:</w:t>
      </w:r>
      <w:r w:rsidRPr="0099679A">
        <w:rPr>
          <w:i/>
        </w:rPr>
        <w:t xml:space="preserve"> CD22, FMC7, CD38.</w:t>
      </w:r>
      <w:r>
        <w:rPr>
          <w:i/>
        </w:rPr>
        <w:t xml:space="preserve"> </w:t>
      </w:r>
      <w:r w:rsidRPr="0099679A">
        <w:rPr>
          <w:i/>
        </w:rPr>
        <w:t>Классический фенотип клеток ХЛЛ характеризуется экспрессией В-клеточных антигенов CD19, CD20, CD22, CD79b в сочетании с «Т-клеточным» маркером CD5 и активационным</w:t>
      </w:r>
      <w:r w:rsidR="00741BEA">
        <w:rPr>
          <w:i/>
        </w:rPr>
        <w:t xml:space="preserve"> маркером</w:t>
      </w:r>
      <w:r w:rsidRPr="0099679A">
        <w:rPr>
          <w:i/>
        </w:rPr>
        <w:t xml:space="preserve"> CD23. Опухолевые клетки экспрессируют один тип легкой цепи иммуноглобулинов (каппа или лямбда). Интенсивность экспрессии В-клеточных антигенов (CD20, CD22, CD79b), а также поверхностных иммуноглобулинов на клетках ХЛЛ ниже, чем на нормальных </w:t>
      </w:r>
      <w:r w:rsidR="00741BEA">
        <w:rPr>
          <w:i/>
        </w:rPr>
        <w:t>В-лимфоцитах.</w:t>
      </w:r>
      <w:r w:rsidR="00EC7B91">
        <w:rPr>
          <w:i/>
        </w:rPr>
        <w:t xml:space="preserve"> </w:t>
      </w:r>
      <w:r w:rsidR="00741BEA">
        <w:rPr>
          <w:i/>
        </w:rPr>
        <w:t>Тем не менее</w:t>
      </w:r>
      <w:r w:rsidRPr="0099679A">
        <w:rPr>
          <w:i/>
        </w:rPr>
        <w:t xml:space="preserve"> можно встретить немало случаев, когда фенотип опухолевых клеток не вполне соответствует ХЛЛ.</w:t>
      </w:r>
      <w:r w:rsidR="00DD3D1E">
        <w:rPr>
          <w:i/>
        </w:rPr>
        <w:t xml:space="preserve"> </w:t>
      </w:r>
    </w:p>
    <w:p w:rsidR="00CD1592" w:rsidRDefault="00CD1592" w:rsidP="00504D96">
      <w:pPr>
        <w:pStyle w:val="a"/>
      </w:pPr>
      <w:r>
        <w:t xml:space="preserve">При подозрении на ЛМЛ у пациентов без клинического лимфоцитоза в крови, а также у пациентов с подозрением на трансформацию </w:t>
      </w:r>
      <w:r w:rsidRPr="0099679A">
        <w:rPr>
          <w:b/>
        </w:rPr>
        <w:t>рекомендуется</w:t>
      </w:r>
      <w:r>
        <w:t xml:space="preserve"> выполнить биопсию лимфатического узла (очага поражения)</w:t>
      </w:r>
      <w:r w:rsidR="004C0497">
        <w:t xml:space="preserve"> и патолого-анатомическое исследование биопсийного (операционного) материала </w:t>
      </w:r>
      <w:r w:rsidR="00C20509">
        <w:rPr>
          <w:spacing w:val="-2"/>
        </w:rPr>
        <w:t xml:space="preserve">лимфатического </w:t>
      </w:r>
      <w:r w:rsidR="00C20509" w:rsidRPr="000F2499">
        <w:rPr>
          <w:spacing w:val="-2"/>
        </w:rPr>
        <w:t>узл</w:t>
      </w:r>
      <w:r w:rsidR="00C20509">
        <w:rPr>
          <w:spacing w:val="-2"/>
        </w:rPr>
        <w:t>а</w:t>
      </w:r>
      <w:r w:rsidR="00C20509">
        <w:t xml:space="preserve"> </w:t>
      </w:r>
      <w:r w:rsidR="004C0497">
        <w:t xml:space="preserve">с применением иммуногистохимических методов </w:t>
      </w:r>
      <w:r>
        <w:t>для верификации диагноза</w:t>
      </w:r>
      <w:r w:rsidRPr="00CD1592">
        <w:t xml:space="preserve"> </w:t>
      </w:r>
      <w:r w:rsidR="000B0AC3">
        <w:fldChar w:fldCharType="begin" w:fldLock="1"/>
      </w:r>
      <w:r w:rsidR="00086CF8">
        <w:instrText>ADDIN CSL_CITATION {"citationItems":[{"id":"ITEM-1","itemData":{"DOI":"10.1056/NEJMoa075290","ISSN":"15334406","abstract":"BACKGROUND A diagnosis of chronic lymphocytic leukemia (CLL) requires a count of over 5000 circulating CLL-phenotype cells per cubic millimeter. Asymptomatic persons with fewer CLL-phenotype cells have monoclonal B-cell lymphocytosis (MBL). The goal of this study was to investigate the relation between MBL and CLL. METHODS We investigated 1520 subjects who were 62 to 80 years of age with a normal blood count and 2228 subjects with lymphocytosis (&gt;4000 lymphocytes per cubic millimeter) for the presence of MBL, using flow cytometry. Monoclonal B cells were further characterized by means of cytogenetic and molecular analyses. A representative cohort of 185 subjects with CLL-phenotype MBL and lymphocytosis were monitored for a median of 6.7 years (range, 0.2 to 11.8). RESULTS Monoclonal CLL-phenotype B cells were detected in 5.1% of subjects (78 of 1520) with a normal blood count and 13.9% (309 of 2228) with lymphocytosis. CLL-phenotype MBL had a frequency of 13q14 deletion and trisomy 12 similar to that of CLL and showed a skewed repertoire of the immunoglobulin heavy variable group (IGHV) genes. Among 185 subjects presenting with lymphocytosis, progressive lymphocytosis occurred in 51 (28%), progressive CLL developed in 28 (15%), and chemotherapy was required in 13 (7%). The absolute B-cell count was the only independent prognostic factor associated with progressive lymphocytosis. During follow-up over a median of 6.7 years, 34% of subjects (62 of 185) died, but only 4 of these deaths were due to CLL. Age above 68 years and hemoglobin level below 12.5 g per deciliter were the only independent prognostic factors for death. CONCLUSIONS The CLL-phenotype cells found in the general population and in subjects with lymphocytosis have features in common with CLL cells. CLL requiring treatment develops in subjects with CLL-phenotype MBL and with lymphocytosis at the rate of 1.1% per year.","author":[{"dropping-particle":"","family":"Rawstron","given":"Andy C.","non-dropping-particle":"","parse-names":false,"suffix":""},{"dropping-particle":"","family":"Bennett","given":"Fiona L.","non-dropping-particle":"","parse-names":false,"suffix":""},{"dropping-particle":"","family":"O'Connor","given":"Sheila J.M.","non-dropping-particle":"","parse-names":false,"suffix":""},{"dropping-particle":"","family":"Kwok","given":"Marwan","non-dropping-particle":"","parse-names":false,"suffix":""},{"dropping-particle":"","family":"Fenton","given":"James A.L.","non-dropping-particle":"","parse-names":false,"suffix":""},{"dropping-particle":"","family":"Plummer","given":"Marieth","non-dropping-particle":"","parse-names":false,"suffix":""},{"dropping-particle":"","family":"Tute","given":"Ruth","non-dropping-particle":"De","parse-names":false,"suffix":""},{"dropping-particle":"","family":"Owen","given":"Roger G.","non-dropping-particle":"","parse-names":false,"suffix":""},{"dropping-particle":"","family":"Richards","given":"Stephen J.","non-dropping-particle":"","parse-names":false,"suffix":""},{"dropping-particle":"","family":"Jack","given":"Andrew S.","non-dropping-particle":"","parse-names":false,"suffix":""},{"dropping-particle":"","family":"Hillmen","given":"Peter","non-dropping-particle":"","parse-names":false,"suffix":""}],"container-title":"New England Journal of Medicine","id":"ITEM-1","issue":"6","issued":{"date-parts":[["2008","8","7"]]},"page":"575-583","publisher":"Massachussetts Medical Society","title":"Monoclonal B-cell lymphocytosis and chronic lymphocytic leukemia","type":"article-journal","volume":"359"},"uris":["http://www.mendeley.com/documents/?uuid=671ee34d-ac78-378d-a7ea-ab1420e6af83"]},{"id":"ITEM-2","itemData":{"DOI":"10.1182/blood-2017-09-806398","ISSN":"15280020","abstract":"©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J.","non-dropping-particle":"","parse-names":false,"suffix":""}],"container-title":"Blood","id":"ITEM-2","issue":"25","issued":{"date-parts":[["2018","6","21"]]},"page":"2745-2760","publisher":"American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-3","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Савченко.","id":"ITEM-3","issued":{"date-parts":[["2018"]]},"page":"179-200","title":"Хронический лимфолейкоз.","type":"chapter"},"uris":["http://www.mendeley.com/documents/?uuid=eabb4618-5f05-4132-a8eb-9c136160a929"]}],"mendeley":{"formattedCitation":"[12,16,18]","plainTextFormattedCitation":"[12,16,18]","previouslyFormattedCitation":"[12,16,18]"},"properties":{"noteIndex":0},"schema":"https://github.com/citation-style-language/schema/raw/master/csl-citation.json"}</w:instrText>
      </w:r>
      <w:r w:rsidR="000B0AC3">
        <w:fldChar w:fldCharType="separate"/>
      </w:r>
      <w:r w:rsidR="0095233F" w:rsidRPr="0095233F">
        <w:rPr>
          <w:noProof/>
        </w:rPr>
        <w:t>[12,16,18]</w:t>
      </w:r>
      <w:r w:rsidR="000B0AC3">
        <w:fldChar w:fldCharType="end"/>
      </w:r>
      <w:r>
        <w:t>.</w:t>
      </w:r>
    </w:p>
    <w:p w:rsidR="00CD1592" w:rsidRPr="00741BEA" w:rsidRDefault="00CD1592" w:rsidP="00504D96">
      <w:pPr>
        <w:rPr>
          <w:b/>
          <w:spacing w:val="-4"/>
        </w:rPr>
      </w:pPr>
      <w:r w:rsidRPr="00741BEA">
        <w:rPr>
          <w:b/>
          <w:spacing w:val="-4"/>
        </w:rPr>
        <w:t xml:space="preserve">Уровень убедительности </w:t>
      </w:r>
      <w:r w:rsidR="00C20509" w:rsidRPr="00741BEA">
        <w:rPr>
          <w:b/>
          <w:spacing w:val="-4"/>
        </w:rPr>
        <w:t xml:space="preserve">рекомендаций – </w:t>
      </w:r>
      <w:r w:rsidR="00B91BC4">
        <w:rPr>
          <w:b/>
          <w:spacing w:val="-4"/>
        </w:rPr>
        <w:t>С</w:t>
      </w:r>
      <w:r w:rsidR="00B91BC4" w:rsidRPr="00741BEA">
        <w:rPr>
          <w:b/>
          <w:spacing w:val="-4"/>
        </w:rPr>
        <w:t xml:space="preserve"> </w:t>
      </w:r>
      <w:r w:rsidRPr="00741BEA">
        <w:rPr>
          <w:b/>
          <w:spacing w:val="-4"/>
        </w:rPr>
        <w:t xml:space="preserve">(уровень достоверности </w:t>
      </w:r>
      <w:r w:rsidR="00C20509" w:rsidRPr="00741BEA">
        <w:rPr>
          <w:b/>
          <w:spacing w:val="-4"/>
        </w:rPr>
        <w:t xml:space="preserve">доказательств – </w:t>
      </w:r>
      <w:r w:rsidR="00B91BC4">
        <w:rPr>
          <w:b/>
          <w:spacing w:val="-4"/>
        </w:rPr>
        <w:t>5</w:t>
      </w:r>
      <w:r w:rsidRPr="00741BEA">
        <w:rPr>
          <w:b/>
          <w:spacing w:val="-4"/>
        </w:rPr>
        <w:t>).</w:t>
      </w:r>
    </w:p>
    <w:p w:rsidR="00256713" w:rsidRDefault="00CD1592" w:rsidP="00504D96">
      <w:pPr>
        <w:tabs>
          <w:tab w:val="left" w:pos="1400"/>
        </w:tabs>
        <w:contextualSpacing/>
        <w:rPr>
          <w:i/>
        </w:rPr>
      </w:pPr>
      <w:r w:rsidRPr="0099679A">
        <w:rPr>
          <w:b/>
        </w:rPr>
        <w:lastRenderedPageBreak/>
        <w:t>Комментарии:</w:t>
      </w:r>
      <w:r>
        <w:t xml:space="preserve"> </w:t>
      </w:r>
      <w:r w:rsidR="00741BEA">
        <w:rPr>
          <w:i/>
        </w:rPr>
        <w:t>в</w:t>
      </w:r>
      <w:r w:rsidRPr="0099679A">
        <w:rPr>
          <w:i/>
        </w:rPr>
        <w:t xml:space="preserve"> гистологических препаратах морфологический субстрат представлен диффузным ростом небольших лимфоидных клеток с округлыми ядрами, комковатым хроматином, без отчетливых ядрышек. В срезах ткани лимфатического узла нередко присутствуют фолликулоподобные структуры – псевдофолликулы, так называемые зоны роста, представленные увеличенным количеством параиммунобластов, клеток с морфологией пролимфоцитов с различимыми ядрышками. Детальное описание</w:t>
      </w:r>
      <w:r w:rsidR="00ED5B4B">
        <w:rPr>
          <w:i/>
        </w:rPr>
        <w:t xml:space="preserve"> морфологической картиныв</w:t>
      </w:r>
      <w:r w:rsidRPr="0099679A">
        <w:rPr>
          <w:i/>
        </w:rPr>
        <w:t xml:space="preserve"> дается в соответствующих разделах рекомендаций. При прогрессии ХЛЛ размер этих псевдофолликулов увеличивается, они могут сливаться.</w:t>
      </w:r>
      <w:r>
        <w:rPr>
          <w:i/>
        </w:rPr>
        <w:t xml:space="preserve"> У 3–5</w:t>
      </w:r>
      <w:r w:rsidR="00DD3D1E">
        <w:rPr>
          <w:i/>
        </w:rPr>
        <w:t xml:space="preserve"> %</w:t>
      </w:r>
      <w:r w:rsidR="00741BEA">
        <w:rPr>
          <w:i/>
        </w:rPr>
        <w:t xml:space="preserve"> пациентов с ХЛЛ и </w:t>
      </w:r>
      <w:r>
        <w:rPr>
          <w:i/>
        </w:rPr>
        <w:t xml:space="preserve">ЛМЛ </w:t>
      </w:r>
      <w:r w:rsidRPr="0099679A">
        <w:rPr>
          <w:i/>
        </w:rPr>
        <w:t xml:space="preserve">развивается диффузная В-крупноклеточная лимфома или лимфома Ходжкина. Появление крупноклеточной лимфомы на фоне ХЛЛ называется синдромом Рихтера. Появление лимфомы Ходжкина на фоне ХЛЛ называется ходжкинской трансформацией. Во всех случаях локального быстрого увеличения </w:t>
      </w:r>
      <w:r w:rsidR="00C20509" w:rsidRPr="00C20509">
        <w:rPr>
          <w:i/>
          <w:spacing w:val="-2"/>
        </w:rPr>
        <w:t>лимфатически</w:t>
      </w:r>
      <w:r w:rsidR="00C20509">
        <w:rPr>
          <w:i/>
          <w:spacing w:val="-2"/>
        </w:rPr>
        <w:t>х</w:t>
      </w:r>
      <w:r w:rsidR="00C20509" w:rsidRPr="00C20509">
        <w:rPr>
          <w:i/>
          <w:spacing w:val="-2"/>
        </w:rPr>
        <w:t xml:space="preserve"> узл</w:t>
      </w:r>
      <w:r w:rsidR="00C20509">
        <w:rPr>
          <w:i/>
          <w:spacing w:val="-2"/>
        </w:rPr>
        <w:t>ов</w:t>
      </w:r>
      <w:r w:rsidR="00C20509" w:rsidRPr="0099679A">
        <w:rPr>
          <w:i/>
        </w:rPr>
        <w:t xml:space="preserve"> </w:t>
      </w:r>
      <w:r w:rsidRPr="0099679A">
        <w:rPr>
          <w:i/>
        </w:rPr>
        <w:t>или существенного изменения клинической картины болезни (появления В-симптомов – внезапной потери веса, ночной потливости) необходимо выполнить биопсию лимфатического узла, костного мозга или экстранодального очага. Синдром Рихтера констатируется только на основании гистологического исследования.</w:t>
      </w:r>
    </w:p>
    <w:p w:rsidR="00914D5A" w:rsidRPr="0095233F" w:rsidRDefault="00914D5A" w:rsidP="00504D96">
      <w:pPr>
        <w:pStyle w:val="a"/>
      </w:pPr>
      <w:r>
        <w:t>Пациентам с подозрением на ХЛЛ/ЛМЛ</w:t>
      </w:r>
      <w:r w:rsidR="00EA156E">
        <w:t xml:space="preserve"> </w:t>
      </w:r>
      <w:r w:rsidR="00EA156E" w:rsidRPr="00851664">
        <w:t>для оценки объема поражения костного мозга и состояния остальных ростков кроветворения, исключения поражения костного мозга другими опухолями и инфекциями, а также для получения исходного образца костного мозга, необходимого для сравнения с образцом, полученным после проведения терапии</w:t>
      </w:r>
      <w:r w:rsidR="00EA156E">
        <w:t xml:space="preserve"> </w:t>
      </w:r>
      <w:r w:rsidRPr="00DC7440">
        <w:rPr>
          <w:b/>
        </w:rPr>
        <w:t>рекомендуется</w:t>
      </w:r>
      <w:r w:rsidR="00741BEA">
        <w:rPr>
          <w:b/>
        </w:rPr>
        <w:t xml:space="preserve">: </w:t>
      </w:r>
      <w:r w:rsidR="00741BEA" w:rsidRPr="00741BEA">
        <w:t>1)</w:t>
      </w:r>
      <w:r w:rsidRPr="00DC7440">
        <w:t xml:space="preserve"> </w:t>
      </w:r>
      <w:r w:rsidR="00A16F3E" w:rsidRPr="003E42BD">
        <w:t xml:space="preserve">получение цитологического препарата </w:t>
      </w:r>
      <w:r w:rsidR="00741BEA">
        <w:t>костного мозга</w:t>
      </w:r>
      <w:r w:rsidR="00A16F3E">
        <w:t xml:space="preserve"> </w:t>
      </w:r>
      <w:r w:rsidR="00A16F3E" w:rsidRPr="003E42BD">
        <w:t>путем пункции</w:t>
      </w:r>
      <w:r w:rsidR="00A16F3E">
        <w:t xml:space="preserve"> (стернальн</w:t>
      </w:r>
      <w:r w:rsidR="00741BEA">
        <w:t>ой</w:t>
      </w:r>
      <w:r w:rsidR="00A16F3E">
        <w:t xml:space="preserve"> пункци</w:t>
      </w:r>
      <w:r w:rsidR="00741BEA">
        <w:t>и</w:t>
      </w:r>
      <w:r w:rsidR="00A16F3E">
        <w:t>),</w:t>
      </w:r>
      <w:r w:rsidR="00A16F3E" w:rsidRPr="00466B8C">
        <w:t xml:space="preserve"> </w:t>
      </w:r>
      <w:r w:rsidR="00A16F3E" w:rsidRPr="00D07EC1">
        <w:t>цитологическое</w:t>
      </w:r>
      <w:r w:rsidR="00A16F3E">
        <w:t xml:space="preserve"> (миелограмма) и иммунофенотипическое (методом проточной цитофлуориметрии) </w:t>
      </w:r>
      <w:r w:rsidR="00A16F3E" w:rsidRPr="00D07EC1">
        <w:t>исследовани</w:t>
      </w:r>
      <w:r w:rsidR="00A16F3E">
        <w:t>е мазка</w:t>
      </w:r>
      <w:r w:rsidR="00A16F3E" w:rsidRPr="00D07EC1">
        <w:t xml:space="preserve"> </w:t>
      </w:r>
      <w:r w:rsidR="00741BEA">
        <w:t>костного мозга</w:t>
      </w:r>
      <w:r w:rsidR="00A16F3E">
        <w:t xml:space="preserve"> либо </w:t>
      </w:r>
      <w:r w:rsidR="00741BEA">
        <w:t xml:space="preserve">2) </w:t>
      </w:r>
      <w:r w:rsidR="00A16F3E" w:rsidRPr="00A16F3E">
        <w:t xml:space="preserve">получение гистологического препарата </w:t>
      </w:r>
      <w:r w:rsidR="00741BEA">
        <w:t>костного мозга</w:t>
      </w:r>
      <w:r w:rsidR="00A16F3E" w:rsidRPr="00A16F3E">
        <w:t xml:space="preserve"> (</w:t>
      </w:r>
      <w:r w:rsidR="00A16F3E" w:rsidRPr="0095233F">
        <w:t>трепанобиопсия)</w:t>
      </w:r>
      <w:r w:rsidR="00741BEA" w:rsidRPr="0095233F">
        <w:t>,</w:t>
      </w:r>
      <w:r w:rsidR="00EA156E" w:rsidRPr="0095233F">
        <w:t xml:space="preserve"> патолого-анатомическое исследование биопсийного (операционного) материала костного мозга с применением иммуногистохимических методов</w:t>
      </w:r>
      <w:r w:rsidR="00A16F3E" w:rsidRPr="0095233F">
        <w:t xml:space="preserve"> </w:t>
      </w:r>
      <w:r w:rsidRPr="0095233F">
        <w:t xml:space="preserve"> в следующих случаях</w:t>
      </w:r>
      <w:r w:rsidR="00EA156E" w:rsidRPr="0095233F">
        <w:t xml:space="preserve"> </w:t>
      </w:r>
      <w:r w:rsidR="000B0AC3" w:rsidRPr="0095233F">
        <w:fldChar w:fldCharType="begin" w:fldLock="1"/>
      </w:r>
      <w:r w:rsidR="00015814" w:rsidRPr="0095233F">
        <w:rPr>
          <w:highlight w:val="yellow"/>
        </w:rPr>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[17]","plainTextFormattedCitation":"[17]","previouslyFormattedCitation":"[17]"},"properties":{"noteIndex":0},"schema":"https://github.com/citation-style-language/schema/raw/master/csl-citation.json"}</w:instrText>
      </w:r>
      <w:r w:rsidR="000B0AC3" w:rsidRPr="0095233F">
        <w:fldChar w:fldCharType="separate"/>
      </w:r>
      <w:r w:rsidR="00015814" w:rsidRPr="0095233F">
        <w:rPr>
          <w:noProof/>
        </w:rPr>
        <w:t>[17]</w:t>
      </w:r>
      <w:r w:rsidR="000B0AC3" w:rsidRPr="0095233F">
        <w:fldChar w:fldCharType="end"/>
      </w:r>
      <w:r w:rsidRPr="0095233F">
        <w:t>:</w:t>
      </w:r>
    </w:p>
    <w:p w:rsidR="00914D5A" w:rsidRPr="0095233F" w:rsidRDefault="00914D5A" w:rsidP="00BE7488">
      <w:pPr>
        <w:pStyle w:val="a"/>
        <w:numPr>
          <w:ilvl w:val="0"/>
          <w:numId w:val="25"/>
        </w:numPr>
        <w:spacing w:before="0"/>
        <w:ind w:hanging="562"/>
      </w:pPr>
      <w:r w:rsidRPr="009D6AF4">
        <w:t>перед начало</w:t>
      </w:r>
      <w:r w:rsidRPr="00086CF8">
        <w:t xml:space="preserve">м терапии </w:t>
      </w:r>
      <w:r w:rsidR="00741BEA" w:rsidRPr="00F242FD">
        <w:t xml:space="preserve">у пациентов, ранее не проходивших ее </w:t>
      </w:r>
      <w:r w:rsidR="00467947">
        <w:t>(необязательно, но желательно);</w:t>
      </w:r>
    </w:p>
    <w:p w:rsidR="00914D5A" w:rsidRPr="0095233F" w:rsidRDefault="00467947" w:rsidP="00BE7488">
      <w:pPr>
        <w:pStyle w:val="a"/>
        <w:numPr>
          <w:ilvl w:val="0"/>
          <w:numId w:val="25"/>
        </w:numPr>
        <w:spacing w:before="0"/>
        <w:ind w:hanging="562"/>
      </w:pPr>
      <w:r>
        <w:t>при подозрении на трансформацию.</w:t>
      </w:r>
    </w:p>
    <w:p w:rsidR="00914D5A" w:rsidRPr="00741BEA" w:rsidRDefault="00914D5A" w:rsidP="00504D96">
      <w:pPr>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Pr="00741BEA">
        <w:rPr>
          <w:b/>
          <w:spacing w:val="-4"/>
        </w:rPr>
        <w:t xml:space="preserve">В (уровень достоверности </w:t>
      </w:r>
      <w:r w:rsidR="00C20509" w:rsidRPr="00741BEA">
        <w:rPr>
          <w:b/>
          <w:spacing w:val="-4"/>
        </w:rPr>
        <w:t xml:space="preserve">доказательств – </w:t>
      </w:r>
      <w:r w:rsidRPr="00741BEA">
        <w:rPr>
          <w:b/>
          <w:spacing w:val="-4"/>
        </w:rPr>
        <w:t>3).</w:t>
      </w:r>
    </w:p>
    <w:p w:rsidR="00914D5A" w:rsidRDefault="00914D5A" w:rsidP="00504D96">
      <w:pPr>
        <w:contextualSpacing/>
        <w:rPr>
          <w:i/>
        </w:rPr>
      </w:pPr>
      <w:r w:rsidRPr="001838D7">
        <w:rPr>
          <w:b/>
        </w:rPr>
        <w:t>Комментарии:</w:t>
      </w:r>
      <w:r>
        <w:t xml:space="preserve"> </w:t>
      </w:r>
      <w:r w:rsidR="00240C64">
        <w:rPr>
          <w:i/>
        </w:rPr>
        <w:t>г</w:t>
      </w:r>
      <w:r w:rsidRPr="001838D7">
        <w:rPr>
          <w:i/>
        </w:rPr>
        <w:t>истологический диагноз ХЛЛ устанавливается при наличии в костном мозге диффузного лимфоидного пролиферата из мономорфных клеток небольшого размера с округлыми ядрами, комковатым хроматином, в зависимости от условий фиксации –</w:t>
      </w:r>
      <w:r w:rsidR="00240C64">
        <w:rPr>
          <w:i/>
        </w:rPr>
        <w:t xml:space="preserve"> с </w:t>
      </w:r>
      <w:r w:rsidRPr="001838D7">
        <w:rPr>
          <w:i/>
        </w:rPr>
        <w:t>неотчетливыми ядрышками</w:t>
      </w:r>
      <w:r w:rsidR="00240C64">
        <w:rPr>
          <w:i/>
        </w:rPr>
        <w:t xml:space="preserve"> или </w:t>
      </w:r>
      <w:r w:rsidR="00240C64" w:rsidRPr="001838D7">
        <w:rPr>
          <w:i/>
        </w:rPr>
        <w:t>без</w:t>
      </w:r>
      <w:r w:rsidR="00240C64">
        <w:rPr>
          <w:i/>
        </w:rPr>
        <w:t xml:space="preserve"> них</w:t>
      </w:r>
      <w:r w:rsidRPr="001838D7">
        <w:rPr>
          <w:i/>
        </w:rPr>
        <w:t xml:space="preserve">, с тонкостенными сосудами </w:t>
      </w:r>
      <w:r w:rsidRPr="001838D7">
        <w:rPr>
          <w:i/>
        </w:rPr>
        <w:lastRenderedPageBreak/>
        <w:t>капиллярного/венулярного типа; обычно разрозненно расположены крупные клетки с морфологией параиммунобластов, иногда присутствуют псевдофолликулы (пролифе</w:t>
      </w:r>
      <w:r w:rsidR="00240C64">
        <w:rPr>
          <w:i/>
        </w:rPr>
        <w:softHyphen/>
      </w:r>
      <w:r w:rsidRPr="001838D7">
        <w:rPr>
          <w:i/>
        </w:rPr>
        <w:t>ративные центры). При иммуногистохимическом исследовании лимфоидный пролиферат характеризуется экспрессией CD20 (гетерогенная по интенсивности, преимущественно слабая мембранная реакция), CD79a, IgM, ядерной экспрессией PAX 5, LEF1 (ядерная реакция), коэкспрессией CD5 (мембранная реакция) и CD23 (мембранная реакция), CD43 при отсутствии экспрессии CD10, BCL-6, Cyclin D1. Экспрессия LEF1 (ядерная экспрессия) более интенсивно выражена в клетках пролиферативных центров, в клетках с морфологией пролимфоцитов. Для клеток пролиферативных центров характерна более интенсивная экспрессия CD20, IgM, LEF1, иногда часть клеток псевдофолликулов (пролиферативных цен</w:t>
      </w:r>
      <w:r w:rsidR="00240C64">
        <w:rPr>
          <w:i/>
        </w:rPr>
        <w:t>тров) экспрессирует cyclin D1 (</w:t>
      </w:r>
      <w:r w:rsidRPr="001838D7">
        <w:rPr>
          <w:i/>
        </w:rPr>
        <w:t>слабая ядерная реакция</w:t>
      </w:r>
      <w:r w:rsidR="00240C64">
        <w:rPr>
          <w:i/>
        </w:rPr>
        <w:t>).</w:t>
      </w:r>
      <w:r w:rsidRPr="001838D7">
        <w:rPr>
          <w:i/>
        </w:rPr>
        <w:t xml:space="preserve"> Индекс пр</w:t>
      </w:r>
      <w:r w:rsidR="00240C64">
        <w:rPr>
          <w:i/>
        </w:rPr>
        <w:t>олиферативной активности Ki-67</w:t>
      </w:r>
      <w:r w:rsidRPr="001838D7">
        <w:rPr>
          <w:i/>
        </w:rPr>
        <w:t xml:space="preserve"> невысокий, обычно составляет 5</w:t>
      </w:r>
      <w:r w:rsidR="00240C64">
        <w:rPr>
          <w:i/>
        </w:rPr>
        <w:t>–</w:t>
      </w:r>
      <w:r w:rsidRPr="001838D7">
        <w:rPr>
          <w:i/>
        </w:rPr>
        <w:t>15</w:t>
      </w:r>
      <w:r w:rsidR="00DD3D1E">
        <w:rPr>
          <w:i/>
        </w:rPr>
        <w:t xml:space="preserve"> %</w:t>
      </w:r>
      <w:r w:rsidRPr="001838D7">
        <w:rPr>
          <w:i/>
        </w:rPr>
        <w:t xml:space="preserve"> позитивных клеток в зонах диффузного мелкоклеточного инфильтрата. При иммуногистохимическом исследовании на парафиновом материале может отсутствовать экспрессия CD5 </w:t>
      </w:r>
      <w:r w:rsidR="00240C64">
        <w:rPr>
          <w:i/>
        </w:rPr>
        <w:br/>
      </w:r>
      <w:r w:rsidRPr="001838D7">
        <w:rPr>
          <w:i/>
        </w:rPr>
        <w:t>(до 20</w:t>
      </w:r>
      <w:r w:rsidR="00240C64">
        <w:rPr>
          <w:i/>
        </w:rPr>
        <w:t>–</w:t>
      </w:r>
      <w:r w:rsidRPr="001838D7">
        <w:rPr>
          <w:i/>
        </w:rPr>
        <w:t>25</w:t>
      </w:r>
      <w:r w:rsidR="00DD3D1E">
        <w:rPr>
          <w:i/>
        </w:rPr>
        <w:t xml:space="preserve"> %</w:t>
      </w:r>
      <w:r w:rsidRPr="001838D7">
        <w:rPr>
          <w:i/>
        </w:rPr>
        <w:t xml:space="preserve"> случаев). Экспрессией BCL-2 характеризуются все варианты мелкоклеточных В-клеточных лимфом, коэкспрессия IgM и IgD характерна для лимфоцитарной лимфомы и лимфомы из клеток мантии. Экспрессия LEF1 характерна для лимфоцитарной лимфомы с трансформацией в диффузную В-клеточную крупноклеточную лимфому (синдром</w:t>
      </w:r>
      <w:r w:rsidR="00240C64">
        <w:rPr>
          <w:i/>
        </w:rPr>
        <w:t>а</w:t>
      </w:r>
      <w:r w:rsidRPr="001838D7">
        <w:rPr>
          <w:i/>
        </w:rPr>
        <w:t xml:space="preserve"> Рихтера) и позволяет провести дифференциальную диагностику с CD5+ диффузной </w:t>
      </w:r>
      <w:r w:rsidR="00240C64">
        <w:rPr>
          <w:i/>
        </w:rPr>
        <w:br/>
      </w:r>
      <w:r w:rsidRPr="001838D7">
        <w:rPr>
          <w:i/>
        </w:rPr>
        <w:t xml:space="preserve">В-клеточной крупноклеточной лимфомой. </w:t>
      </w:r>
    </w:p>
    <w:p w:rsidR="00914D5A" w:rsidRDefault="00914D5A" w:rsidP="00504D96">
      <w:pPr>
        <w:contextualSpacing/>
        <w:rPr>
          <w:i/>
        </w:rPr>
      </w:pPr>
      <w:r w:rsidRPr="00E45A5B">
        <w:rPr>
          <w:i/>
        </w:rPr>
        <w:t>Получение гистологического препарата костного мозга (трепанобиопсия костного мозга) не требуется для подтверждения и формулирования диагноза ХЛЛ/ЛМЛ.</w:t>
      </w:r>
    </w:p>
    <w:p w:rsidR="00914D5A" w:rsidRDefault="00914D5A" w:rsidP="00504D96">
      <w:pPr>
        <w:contextualSpacing/>
        <w:rPr>
          <w:i/>
        </w:rPr>
      </w:pPr>
      <w:r w:rsidRPr="00E45A5B">
        <w:rPr>
          <w:i/>
        </w:rPr>
        <w:t>Био</w:t>
      </w:r>
      <w:r w:rsidR="00240C64">
        <w:rPr>
          <w:i/>
        </w:rPr>
        <w:t>псия костного мозга является не</w:t>
      </w:r>
      <w:r w:rsidRPr="00E45A5B">
        <w:rPr>
          <w:i/>
        </w:rPr>
        <w:t xml:space="preserve">обязательной, но желательной процедурой перед началом терапии. </w:t>
      </w:r>
      <w:r w:rsidR="000648CB">
        <w:rPr>
          <w:i/>
        </w:rPr>
        <w:t xml:space="preserve">ХЛЛ </w:t>
      </w:r>
      <w:r w:rsidRPr="00E45A5B">
        <w:rPr>
          <w:i/>
        </w:rPr>
        <w:t>нередко сочетается с другими опухолями, которые могут метастазировать в костный мозг</w:t>
      </w:r>
      <w:r w:rsidR="00240C64">
        <w:rPr>
          <w:i/>
        </w:rPr>
        <w:t>,</w:t>
      </w:r>
      <w:r w:rsidRPr="00E45A5B">
        <w:rPr>
          <w:i/>
        </w:rPr>
        <w:t xml:space="preserve"> выявляться только п</w:t>
      </w:r>
      <w:r w:rsidR="00240C64">
        <w:rPr>
          <w:i/>
        </w:rPr>
        <w:t>ри</w:t>
      </w:r>
      <w:r w:rsidRPr="00E45A5B">
        <w:rPr>
          <w:i/>
        </w:rPr>
        <w:t xml:space="preserve"> биопсии и даже быть причиной цитопении. Иммунохимиотерапия </w:t>
      </w:r>
      <w:r w:rsidR="00240C64">
        <w:rPr>
          <w:i/>
        </w:rPr>
        <w:t>в флударабин-содержащем</w:t>
      </w:r>
      <w:r w:rsidRPr="00E45A5B">
        <w:rPr>
          <w:i/>
        </w:rPr>
        <w:t xml:space="preserve"> режим</w:t>
      </w:r>
      <w:r w:rsidR="00240C64">
        <w:rPr>
          <w:i/>
        </w:rPr>
        <w:t>е</w:t>
      </w:r>
      <w:r w:rsidRPr="00E45A5B">
        <w:rPr>
          <w:i/>
        </w:rPr>
        <w:t xml:space="preserve"> нередко осложняется цитопени</w:t>
      </w:r>
      <w:r w:rsidR="00240C64">
        <w:rPr>
          <w:i/>
        </w:rPr>
        <w:t>ей</w:t>
      </w:r>
      <w:r w:rsidRPr="00E45A5B">
        <w:rPr>
          <w:i/>
        </w:rPr>
        <w:t>. Наличие исходного образца костного мозга позволяет дифференцировать прогресси</w:t>
      </w:r>
      <w:r w:rsidR="00240C64">
        <w:rPr>
          <w:i/>
        </w:rPr>
        <w:t>рование</w:t>
      </w:r>
      <w:r w:rsidRPr="00E45A5B">
        <w:rPr>
          <w:i/>
        </w:rPr>
        <w:t>, аплазию, развитие миелодиспластического синдрома/</w:t>
      </w:r>
      <w:r w:rsidR="00240C64">
        <w:rPr>
          <w:i/>
        </w:rPr>
        <w:t>острого миелоидного лейкоза, аутоиммун</w:t>
      </w:r>
      <w:r w:rsidRPr="00E45A5B">
        <w:rPr>
          <w:i/>
        </w:rPr>
        <w:t>ные цитопении.</w:t>
      </w:r>
    </w:p>
    <w:p w:rsidR="00C61327" w:rsidRDefault="00C61327" w:rsidP="00504D96">
      <w:pPr>
        <w:pStyle w:val="a"/>
      </w:pPr>
      <w:r>
        <w:t>В</w:t>
      </w:r>
      <w:r w:rsidRPr="001A7456">
        <w:t xml:space="preserve">сем пациентам с ХЛЛ/ЛМЛ перед началом </w:t>
      </w:r>
      <w:r w:rsidR="00240C64">
        <w:t>1-</w:t>
      </w:r>
      <w:r w:rsidRPr="001A7456">
        <w:t xml:space="preserve">й и всех </w:t>
      </w:r>
      <w:r w:rsidRPr="00504D96">
        <w:t>последующих</w:t>
      </w:r>
      <w:r w:rsidRPr="001A7456">
        <w:t xml:space="preserve"> линий терапии </w:t>
      </w:r>
      <w:r w:rsidRPr="001A7456">
        <w:rPr>
          <w:b/>
        </w:rPr>
        <w:t>рекомендуется</w:t>
      </w:r>
      <w:r w:rsidRPr="001D75FE">
        <w:rPr>
          <w:b/>
        </w:rPr>
        <w:t xml:space="preserve"> </w:t>
      </w:r>
      <w:r w:rsidRPr="001A7456">
        <w:t xml:space="preserve">проведение </w:t>
      </w:r>
      <w:r w:rsidR="006F4703">
        <w:t>молекулярно-</w:t>
      </w:r>
      <w:r w:rsidRPr="001A7456">
        <w:t>цитогенетического исследов</w:t>
      </w:r>
      <w:r w:rsidR="00830499">
        <w:t xml:space="preserve">ания </w:t>
      </w:r>
      <w:r w:rsidR="000453B0">
        <w:t>с применением метода флуоресцентной гибри</w:t>
      </w:r>
      <w:r w:rsidR="006F4703">
        <w:t>дизации (</w:t>
      </w:r>
      <w:r w:rsidR="00830499">
        <w:t>FISH</w:t>
      </w:r>
      <w:r w:rsidR="006F4703">
        <w:t xml:space="preserve">) </w:t>
      </w:r>
      <w:r w:rsidR="00830499">
        <w:t>на делецию 17</w:t>
      </w:r>
      <w:r w:rsidRPr="001A7456">
        <w:t xml:space="preserve">p и определение мутаций гена </w:t>
      </w:r>
      <w:r w:rsidRPr="00240C64">
        <w:rPr>
          <w:i/>
        </w:rPr>
        <w:lastRenderedPageBreak/>
        <w:t>TP53</w:t>
      </w:r>
      <w:r w:rsidR="00B458D2">
        <w:t xml:space="preserve">, а также (при наличии возможности) на </w:t>
      </w:r>
      <w:r w:rsidR="00B458D2" w:rsidRPr="00B458D2">
        <w:t>+12; del(11q)</w:t>
      </w:r>
      <w:r w:rsidR="00830499">
        <w:t>,</w:t>
      </w:r>
      <w:r w:rsidR="00B458D2" w:rsidRPr="00B458D2">
        <w:t xml:space="preserve"> del(13q)</w:t>
      </w:r>
      <w:r w:rsidR="00830499">
        <w:t>,</w:t>
      </w:r>
      <w:r w:rsidR="00B458D2" w:rsidRPr="00B458D2">
        <w:t xml:space="preserve"> del(17p)</w:t>
      </w:r>
      <w:r w:rsidRPr="00C61327">
        <w:t xml:space="preserve"> </w:t>
      </w:r>
      <w:r>
        <w:t>для определения прогностической группы и выработки тактики лечения</w:t>
      </w:r>
      <w:r w:rsidRPr="00C61327">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Pr="00C61327">
        <w:rPr>
          <w:noProof/>
        </w:rPr>
        <w:t>[14]</w:t>
      </w:r>
      <w:r w:rsidR="000B0AC3">
        <w:fldChar w:fldCharType="end"/>
      </w:r>
      <w:r w:rsidRPr="001A7456">
        <w:t>.</w:t>
      </w:r>
    </w:p>
    <w:p w:rsidR="00C61327" w:rsidRPr="00240C64" w:rsidRDefault="00C61327" w:rsidP="00504D96">
      <w:pPr>
        <w:contextualSpacing/>
        <w:rPr>
          <w:b/>
          <w:spacing w:val="-4"/>
        </w:rPr>
      </w:pPr>
      <w:r w:rsidRPr="00240C64">
        <w:rPr>
          <w:b/>
          <w:spacing w:val="-4"/>
        </w:rPr>
        <w:t xml:space="preserve">Уровень убедительности </w:t>
      </w:r>
      <w:r w:rsidR="00C20509" w:rsidRPr="00240C64">
        <w:rPr>
          <w:b/>
          <w:spacing w:val="-4"/>
        </w:rPr>
        <w:t xml:space="preserve">рекомендаций – </w:t>
      </w:r>
      <w:r w:rsidRPr="00240C64">
        <w:rPr>
          <w:b/>
          <w:spacing w:val="-4"/>
        </w:rPr>
        <w:t xml:space="preserve">А (уровень достоверности </w:t>
      </w:r>
      <w:r w:rsidR="00C20509" w:rsidRPr="00240C64">
        <w:rPr>
          <w:b/>
          <w:spacing w:val="-4"/>
        </w:rPr>
        <w:t xml:space="preserve">доказательств – </w:t>
      </w:r>
      <w:r w:rsidR="00CF0415">
        <w:rPr>
          <w:b/>
          <w:spacing w:val="-4"/>
        </w:rPr>
        <w:t>2</w:t>
      </w:r>
      <w:r w:rsidRPr="00240C64">
        <w:rPr>
          <w:b/>
          <w:spacing w:val="-4"/>
        </w:rPr>
        <w:t>).</w:t>
      </w:r>
    </w:p>
    <w:p w:rsidR="00C61327" w:rsidRDefault="00C61327" w:rsidP="00504D96">
      <w:pPr>
        <w:contextualSpacing/>
        <w:rPr>
          <w:i/>
        </w:rPr>
      </w:pPr>
      <w:r>
        <w:rPr>
          <w:b/>
        </w:rPr>
        <w:t>Комментарии</w:t>
      </w:r>
      <w:r w:rsidRPr="001A7456">
        <w:rPr>
          <w:b/>
        </w:rPr>
        <w:t>:</w:t>
      </w:r>
      <w:r>
        <w:rPr>
          <w:b/>
        </w:rPr>
        <w:t xml:space="preserve"> </w:t>
      </w:r>
      <w:r w:rsidR="00240C64">
        <w:rPr>
          <w:i/>
        </w:rPr>
        <w:t>д</w:t>
      </w:r>
      <w:r w:rsidRPr="001A7456">
        <w:rPr>
          <w:i/>
        </w:rPr>
        <w:t xml:space="preserve">елеция </w:t>
      </w:r>
      <w:r w:rsidR="00240C64">
        <w:rPr>
          <w:i/>
        </w:rPr>
        <w:t>17p</w:t>
      </w:r>
      <w:r w:rsidRPr="001A7456">
        <w:rPr>
          <w:i/>
        </w:rPr>
        <w:t xml:space="preserve"> является главным цитогенетическим маркером, непосредственно влияющим на терапевтическую тактику. Рекомендуется проводить скрининг на делецию 17p у всех пациентов, имеющих показания к началу терапии</w:t>
      </w:r>
      <w:r w:rsidR="00830499">
        <w:rPr>
          <w:i/>
        </w:rPr>
        <w:t>,</w:t>
      </w:r>
      <w:r w:rsidRPr="001A7456">
        <w:rPr>
          <w:i/>
        </w:rPr>
        <w:t xml:space="preserve"> и/или при неэффективности стандартной терапии, особенно</w:t>
      </w:r>
      <w:r w:rsidR="00830499">
        <w:rPr>
          <w:i/>
        </w:rPr>
        <w:t xml:space="preserve"> у</w:t>
      </w:r>
      <w:r w:rsidRPr="001A7456">
        <w:rPr>
          <w:i/>
        </w:rPr>
        <w:t xml:space="preserve"> пациент</w:t>
      </w:r>
      <w:r w:rsidR="00830499">
        <w:rPr>
          <w:i/>
        </w:rPr>
        <w:t>ов</w:t>
      </w:r>
      <w:r w:rsidRPr="001A7456">
        <w:rPr>
          <w:i/>
        </w:rPr>
        <w:t xml:space="preserve"> моложе 55 лет, </w:t>
      </w:r>
      <w:r w:rsidR="00830499">
        <w:rPr>
          <w:i/>
        </w:rPr>
        <w:t xml:space="preserve">у </w:t>
      </w:r>
      <w:r w:rsidRPr="001A7456">
        <w:rPr>
          <w:i/>
        </w:rPr>
        <w:t>которы</w:t>
      </w:r>
      <w:r w:rsidR="00830499">
        <w:rPr>
          <w:i/>
        </w:rPr>
        <w:t>х</w:t>
      </w:r>
      <w:r w:rsidRPr="001A7456">
        <w:rPr>
          <w:i/>
        </w:rPr>
        <w:t xml:space="preserve"> может быть проведена аллогенная трансплантация.</w:t>
      </w:r>
    </w:p>
    <w:p w:rsidR="00E97E28" w:rsidRDefault="00E97E28" w:rsidP="00504D96">
      <w:pPr>
        <w:contextualSpacing/>
        <w:rPr>
          <w:i/>
        </w:rPr>
      </w:pPr>
      <w:r w:rsidRPr="003147A2">
        <w:rPr>
          <w:i/>
        </w:rPr>
        <w:t>В настоящее время благодаря методам глубокого секвенирования установлено, что большинство случаев рефрактерности обусловлено утратой TP53 либо за счет делеции в сочетании с мутациями, либо за счет мутаций гена. Поэтому сегодня выполнени</w:t>
      </w:r>
      <w:r w:rsidR="00830499">
        <w:rPr>
          <w:i/>
        </w:rPr>
        <w:t>е FISH на </w:t>
      </w:r>
      <w:r w:rsidRPr="003147A2">
        <w:rPr>
          <w:i/>
        </w:rPr>
        <w:t>делецию 17</w:t>
      </w:r>
      <w:r w:rsidRPr="003147A2">
        <w:rPr>
          <w:i/>
          <w:lang w:val="en-US"/>
        </w:rPr>
        <w:t>p</w:t>
      </w:r>
      <w:r w:rsidR="00830499">
        <w:rPr>
          <w:i/>
        </w:rPr>
        <w:t xml:space="preserve"> недостаточно. Для того</w:t>
      </w:r>
      <w:r w:rsidRPr="003147A2">
        <w:rPr>
          <w:i/>
        </w:rPr>
        <w:t xml:space="preserve"> чтобы идентифицировать наибольшее число </w:t>
      </w:r>
      <w:r>
        <w:rPr>
          <w:i/>
        </w:rPr>
        <w:t>пациентов</w:t>
      </w:r>
      <w:r w:rsidRPr="003147A2">
        <w:rPr>
          <w:i/>
        </w:rPr>
        <w:t xml:space="preserve"> с устойчивостью к иммунохимиотерапии, необходимо также исследовать мутации </w:t>
      </w:r>
      <w:r w:rsidRPr="003147A2">
        <w:rPr>
          <w:i/>
          <w:lang w:val="en-US"/>
        </w:rPr>
        <w:t>TP</w:t>
      </w:r>
      <w:r w:rsidRPr="003147A2">
        <w:rPr>
          <w:i/>
        </w:rPr>
        <w:t>53. Наличие мутации констатируется, если число клеток с мутацией превышает 10</w:t>
      </w:r>
      <w:r w:rsidR="00DD3D1E">
        <w:rPr>
          <w:i/>
        </w:rPr>
        <w:t xml:space="preserve"> %</w:t>
      </w:r>
      <w:r w:rsidRPr="003147A2">
        <w:rPr>
          <w:i/>
        </w:rPr>
        <w:t>.</w:t>
      </w:r>
    </w:p>
    <w:p w:rsidR="00C61327" w:rsidRDefault="00C61327" w:rsidP="00504D96">
      <w:pPr>
        <w:pStyle w:val="a"/>
      </w:pPr>
      <w:r>
        <w:t>В</w:t>
      </w:r>
      <w:r w:rsidRPr="00BB7621">
        <w:t xml:space="preserve">сем пациентам с ХЛЛ/ЛМЛ </w:t>
      </w:r>
      <w:r>
        <w:t xml:space="preserve">на момент установления диагноза </w:t>
      </w:r>
      <w:r w:rsidRPr="00BB7621">
        <w:rPr>
          <w:b/>
        </w:rPr>
        <w:t>рекомендуется</w:t>
      </w:r>
      <w:r w:rsidRPr="00BB7621">
        <w:t xml:space="preserve"> определение мутации </w:t>
      </w:r>
      <w:r w:rsidR="00830499">
        <w:t xml:space="preserve">генов </w:t>
      </w:r>
      <w:r w:rsidRPr="00830499">
        <w:rPr>
          <w:i/>
        </w:rPr>
        <w:t>IGHV</w:t>
      </w:r>
      <w:r w:rsidRPr="00BB7621">
        <w:t xml:space="preserve"> для уточнения прогноза заболевания</w:t>
      </w:r>
      <w:r w:rsidR="00B458D2">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B458D2" w:rsidRPr="00C61327">
        <w:rPr>
          <w:noProof/>
        </w:rPr>
        <w:t>[14]</w:t>
      </w:r>
      <w:r w:rsidR="000B0AC3">
        <w:fldChar w:fldCharType="end"/>
      </w:r>
      <w:r w:rsidRPr="00BB7621">
        <w:t>.</w:t>
      </w:r>
    </w:p>
    <w:p w:rsidR="00C61327" w:rsidRPr="00830499" w:rsidRDefault="00C61327" w:rsidP="00504D96">
      <w:pPr>
        <w:contextualSpacing/>
        <w:rPr>
          <w:b/>
          <w:spacing w:val="-4"/>
        </w:rPr>
      </w:pPr>
      <w:r w:rsidRPr="00830499">
        <w:rPr>
          <w:b/>
          <w:spacing w:val="-4"/>
        </w:rPr>
        <w:t xml:space="preserve">Уровень убедительности </w:t>
      </w:r>
      <w:r w:rsidR="00C20509" w:rsidRPr="00830499">
        <w:rPr>
          <w:b/>
          <w:spacing w:val="-4"/>
        </w:rPr>
        <w:t xml:space="preserve">рекомендаций – </w:t>
      </w:r>
      <w:r w:rsidRPr="00830499">
        <w:rPr>
          <w:b/>
          <w:spacing w:val="-4"/>
        </w:rPr>
        <w:t xml:space="preserve">А (уровень достоверности </w:t>
      </w:r>
      <w:r w:rsidR="00C20509" w:rsidRPr="00830499">
        <w:rPr>
          <w:b/>
          <w:spacing w:val="-4"/>
        </w:rPr>
        <w:t xml:space="preserve">доказательств – </w:t>
      </w:r>
      <w:r w:rsidR="00780F52">
        <w:rPr>
          <w:b/>
          <w:spacing w:val="-4"/>
        </w:rPr>
        <w:t>2</w:t>
      </w:r>
      <w:r w:rsidRPr="00830499">
        <w:rPr>
          <w:b/>
          <w:spacing w:val="-4"/>
        </w:rPr>
        <w:t>).</w:t>
      </w:r>
    </w:p>
    <w:p w:rsidR="00C61327" w:rsidRDefault="00C61327" w:rsidP="00504D96">
      <w:pPr>
        <w:contextualSpacing/>
        <w:rPr>
          <w:i/>
        </w:rPr>
      </w:pPr>
      <w:bookmarkStart w:id="35" w:name="_Hlk18851171"/>
      <w:r w:rsidRPr="00BB7621">
        <w:rPr>
          <w:b/>
        </w:rPr>
        <w:t>Комментарии:</w:t>
      </w:r>
      <w:r w:rsidRPr="001D75FE">
        <w:rPr>
          <w:b/>
        </w:rPr>
        <w:t xml:space="preserve"> </w:t>
      </w:r>
      <w:r w:rsidRPr="00BB7621">
        <w:rPr>
          <w:i/>
        </w:rPr>
        <w:t>мутации генов IGHV имеют</w:t>
      </w:r>
      <w:r w:rsidRPr="00383556">
        <w:rPr>
          <w:i/>
        </w:rPr>
        <w:t xml:space="preserve"> прогностическое значение. В настоящее время прогноз у пациентов с </w:t>
      </w:r>
      <w:bookmarkEnd w:id="35"/>
      <w:r w:rsidRPr="00383556">
        <w:rPr>
          <w:i/>
        </w:rPr>
        <w:t xml:space="preserve">ХЛЛ оценивают по международному прогностическому индексу для ХЛЛ (см. раздел 5.1). Индекс требует оценки </w:t>
      </w:r>
      <w:r w:rsidR="00830499">
        <w:rPr>
          <w:i/>
        </w:rPr>
        <w:t xml:space="preserve">уровня </w:t>
      </w:r>
      <w:r w:rsidRPr="00383556">
        <w:rPr>
          <w:i/>
        </w:rPr>
        <w:t xml:space="preserve">β2-микроглобулина, мутационного статуса IGHV, а также </w:t>
      </w:r>
      <w:r w:rsidRPr="00136052">
        <w:rPr>
          <w:i/>
        </w:rPr>
        <w:t xml:space="preserve">цитогенетического исследования. </w:t>
      </w:r>
      <w:r w:rsidR="00830499">
        <w:rPr>
          <w:i/>
        </w:rPr>
        <w:t>Определение</w:t>
      </w:r>
      <w:r w:rsidRPr="00136052">
        <w:rPr>
          <w:i/>
        </w:rPr>
        <w:t xml:space="preserve"> этих показателей</w:t>
      </w:r>
      <w:r w:rsidR="00830499">
        <w:rPr>
          <w:i/>
        </w:rPr>
        <w:t xml:space="preserve"> желательно</w:t>
      </w:r>
      <w:r w:rsidRPr="00136052">
        <w:rPr>
          <w:i/>
        </w:rPr>
        <w:t xml:space="preserve">. У пациентов с мутациями IGHV без факторов неблагоприятного прогноза, достигших МОБ-негативной ремиссии после 3 циклов, возможно сокращение доз препаратов или числа циклов FCR. При этом ремиссии у данной группы </w:t>
      </w:r>
      <w:r w:rsidR="00573998">
        <w:rPr>
          <w:i/>
        </w:rPr>
        <w:t>пациентов</w:t>
      </w:r>
      <w:r w:rsidR="00573998" w:rsidRPr="00136052">
        <w:rPr>
          <w:i/>
        </w:rPr>
        <w:t xml:space="preserve"> </w:t>
      </w:r>
      <w:r w:rsidRPr="00136052">
        <w:rPr>
          <w:i/>
        </w:rPr>
        <w:t>столь же длительны.</w:t>
      </w:r>
      <w:r w:rsidR="00830499">
        <w:rPr>
          <w:i/>
        </w:rPr>
        <w:t xml:space="preserve"> </w:t>
      </w:r>
      <w:r w:rsidRPr="00136052">
        <w:rPr>
          <w:i/>
        </w:rPr>
        <w:t>С учетом высокой информативной ценности в отношении</w:t>
      </w:r>
      <w:r w:rsidRPr="00383556">
        <w:rPr>
          <w:i/>
        </w:rPr>
        <w:t xml:space="preserve"> времени до терапии, эффективности иммунохимиотерапии, времени до рецидива мутационный статус генов</w:t>
      </w:r>
      <w:r w:rsidR="00830499">
        <w:rPr>
          <w:i/>
        </w:rPr>
        <w:t xml:space="preserve"> </w:t>
      </w:r>
      <w:r w:rsidR="00830499" w:rsidRPr="00BB7621">
        <w:rPr>
          <w:i/>
        </w:rPr>
        <w:t>IGHV</w:t>
      </w:r>
      <w:r w:rsidRPr="00383556">
        <w:rPr>
          <w:i/>
        </w:rPr>
        <w:t xml:space="preserve"> рекомендуется по возможности</w:t>
      </w:r>
      <w:r w:rsidR="00830499">
        <w:rPr>
          <w:i/>
        </w:rPr>
        <w:t xml:space="preserve"> </w:t>
      </w:r>
      <w:r w:rsidR="00830499" w:rsidRPr="00383556">
        <w:rPr>
          <w:i/>
        </w:rPr>
        <w:t>определять</w:t>
      </w:r>
      <w:r w:rsidRPr="00383556">
        <w:rPr>
          <w:i/>
        </w:rPr>
        <w:t>, однако данное исследование не является обязательным вне клинических исследований.</w:t>
      </w:r>
      <w:r w:rsidR="00830499">
        <w:rPr>
          <w:i/>
        </w:rPr>
        <w:t xml:space="preserve"> </w:t>
      </w:r>
    </w:p>
    <w:p w:rsidR="00855342" w:rsidRPr="0095233F" w:rsidRDefault="00855342" w:rsidP="00504D96">
      <w:pPr>
        <w:pStyle w:val="a"/>
      </w:pPr>
      <w:r>
        <w:t>В</w:t>
      </w:r>
      <w:r w:rsidRPr="00BB7621">
        <w:t>сем пациентам с ХЛЛ/ЛМЛ</w:t>
      </w:r>
      <w:r w:rsidR="00F07AA9">
        <w:t xml:space="preserve"> через 6 мес.</w:t>
      </w:r>
      <w:r>
        <w:t xml:space="preserve"> после завершения лечения</w:t>
      </w:r>
      <w:r w:rsidRPr="00BB7621">
        <w:t xml:space="preserve"> </w:t>
      </w:r>
      <w:r w:rsidRPr="00BB7621">
        <w:rPr>
          <w:b/>
        </w:rPr>
        <w:t>рекомендуется</w:t>
      </w:r>
      <w:r w:rsidRPr="00BB7621">
        <w:t xml:space="preserve"> </w:t>
      </w:r>
      <w:r w:rsidRPr="00855342">
        <w:t>иммунофенотипирование биологического материала</w:t>
      </w:r>
      <w:r w:rsidR="00492BAB">
        <w:t xml:space="preserve"> методом проточной </w:t>
      </w:r>
      <w:r w:rsidR="00492BAB">
        <w:lastRenderedPageBreak/>
        <w:t>цитофлуориметрии</w:t>
      </w:r>
      <w:r w:rsidRPr="00855342">
        <w:t xml:space="preserve"> для выявления маркеров </w:t>
      </w:r>
      <w:r w:rsidR="004306A3" w:rsidRPr="0095233F">
        <w:t>минимальной остаточной болезни (</w:t>
      </w:r>
      <w:r w:rsidR="00AA4B03" w:rsidRPr="0095233F">
        <w:t>МОБ</w:t>
      </w:r>
      <w:r w:rsidR="004306A3" w:rsidRPr="0095233F">
        <w:t>)</w:t>
      </w:r>
      <w:r w:rsidR="00AA4B03" w:rsidRPr="0095233F">
        <w:t xml:space="preserve"> </w:t>
      </w:r>
      <w:r w:rsidRPr="0095233F">
        <w:t>при гемобластозах</w:t>
      </w:r>
      <w:r w:rsidR="00FF043E" w:rsidRPr="0095233F">
        <w:t xml:space="preserve"> </w:t>
      </w:r>
      <w:r w:rsidR="000B0AC3" w:rsidRPr="0095233F">
        <w:fldChar w:fldCharType="begin" w:fldLock="1"/>
      </w:r>
      <w:r w:rsidR="00015814" w:rsidRPr="0095233F">
        <w:instrText>ADDIN CSL_CITATION {"citationItems":[{"id":"ITEM-1","itemData":{"DOI":"10.1016/j.clml.2019.03.014","ISSN":"2152-2669","PMID":"31027992","abstract":"BACKGROUND Patients with chronic lymphocytic leukemia (CLL) who achieve undetectable minimal residual disease (U-MRD) (ie, &lt; 10-4 detectable leukemic cells in peripheral blood or bone marrow) have better outcomes than those with detectable MRD. To assess the magnitude of improvement of progression-free survival (PFS) or overall survival (OS) in patients who achieved U-MRD after upfront chemotherapy (CT) or chemo-immunotherapy (CIT), we conducted a systematic review and meta-analysis. MATERIALS AND METHODS The screening process adhered to the Preferred Reporting Items for Systematic Reviews and Meta-Analyses Guidelines. The search strategy yielded 365 records, including 22 articles assessed for eligibility. RESULTS Eleven studies comprising 2457 patients with CLL treated in upfront with CT or CIT were considered suitable for inclusion in the quantitative meta-analysis. Nine studies (n = 2088) provided data on the impact of MRD on PFS and 6 (n = 1234) on OS. MRD was the main endpoint in only 2 of these studies (n = 213). Tests of heterogeneity revealed significant differences among studies for PFS and OS, which highlights differences across studies. U-MRD status was associated with significantly better PFS overall (P &lt; .001) and in patients who achieved conventional complete remission (P = .01). Regarding OS, U-MRD predicted longer OS globally (P &lt; .001) but not in patients having achieved complete remission (P = .82). CONCLUSIONS U-MRD status after treatment with CT or CIT in newly diagnosed CLL is associated with long-term survival. These findings provide quantitative evidence to support the integration of MRD assessment as an end point in clinical trials of CLL.","author":[{"dropping-particle":"","family":"Molica","given":"Stefano","non-dropping-particle":"","parse-names":false,"suffix":""},{"dropping-particle":"","family":"Giannarelli","given":"Diana","non-dropping-particle":"","parse-names":false,"suffix":""},{"dropping-particle":"","family":"Montserrat","given":"Emili","non-dropping-particle":"","parse-names":false,"suffix":""}],"container-title":"Clinical lymphoma, myeloma &amp; leukemia","id":"ITEM-1","issue":"7","issued":{"date-parts":[["2019","7"]]},"page":"423-430","title":"Minimal Residual Disease and Survival Outcomes in Patients With Chronic Lymphocytic Leukemia: A Systematic Review and Meta-analysis.","type":"article-journal","volume":"19"},"uris":["http://www.mendeley.com/documents/?uuid=ddd30cf9-3037-3038-b08a-d8cbc9e80204"]}],"mendeley":{"formattedCitation":"[19]","plainTextFormattedCitation":"[19]","previouslyFormattedCitation":"[19]"},"properties":{"noteIndex":0},"schema":"https://github.com/citation-style-language/schema/raw/master/csl-citation.json"}</w:instrText>
      </w:r>
      <w:r w:rsidR="000B0AC3" w:rsidRPr="0095233F">
        <w:fldChar w:fldCharType="separate"/>
      </w:r>
      <w:r w:rsidR="00015814" w:rsidRPr="0095233F">
        <w:rPr>
          <w:noProof/>
        </w:rPr>
        <w:t>[19]</w:t>
      </w:r>
      <w:r w:rsidR="000B0AC3" w:rsidRPr="0095233F">
        <w:fldChar w:fldCharType="end"/>
      </w:r>
      <w:r w:rsidR="00FF043E" w:rsidRPr="0095233F">
        <w:rPr>
          <w:lang w:val="en-US"/>
        </w:rPr>
        <w:t>.</w:t>
      </w:r>
    </w:p>
    <w:p w:rsidR="00855342" w:rsidRPr="00830499" w:rsidRDefault="00855342" w:rsidP="00504D96">
      <w:pPr>
        <w:contextualSpacing/>
        <w:rPr>
          <w:b/>
          <w:spacing w:val="-4"/>
        </w:rPr>
      </w:pPr>
      <w:r w:rsidRPr="00830499">
        <w:rPr>
          <w:b/>
          <w:spacing w:val="-4"/>
        </w:rPr>
        <w:t xml:space="preserve">Уровень убедительности </w:t>
      </w:r>
      <w:r w:rsidR="00C20509" w:rsidRPr="00830499">
        <w:rPr>
          <w:b/>
          <w:spacing w:val="-4"/>
        </w:rPr>
        <w:t xml:space="preserve">рекомендаций – </w:t>
      </w:r>
      <w:r w:rsidRPr="00830499">
        <w:rPr>
          <w:b/>
          <w:spacing w:val="-4"/>
        </w:rPr>
        <w:t xml:space="preserve">А (уровень достоверности </w:t>
      </w:r>
      <w:r w:rsidR="00C20509" w:rsidRPr="00830499">
        <w:rPr>
          <w:b/>
          <w:spacing w:val="-4"/>
        </w:rPr>
        <w:t xml:space="preserve">доказательств – </w:t>
      </w:r>
      <w:r w:rsidR="00780F52">
        <w:rPr>
          <w:b/>
          <w:spacing w:val="-4"/>
        </w:rPr>
        <w:t>2</w:t>
      </w:r>
      <w:r w:rsidRPr="00830499">
        <w:rPr>
          <w:b/>
          <w:spacing w:val="-4"/>
        </w:rPr>
        <w:t>).</w:t>
      </w:r>
    </w:p>
    <w:p w:rsidR="00FF043E" w:rsidRPr="00FF043E" w:rsidRDefault="00FF043E" w:rsidP="00504D96">
      <w:pPr>
        <w:contextualSpacing/>
        <w:rPr>
          <w:i/>
        </w:rPr>
      </w:pPr>
      <w:r w:rsidRPr="00BB7621">
        <w:rPr>
          <w:b/>
        </w:rPr>
        <w:t>Комментарии:</w:t>
      </w:r>
      <w:r w:rsidRPr="001D75FE">
        <w:rPr>
          <w:b/>
        </w:rPr>
        <w:t xml:space="preserve"> </w:t>
      </w:r>
      <w:r w:rsidRPr="00FF043E">
        <w:rPr>
          <w:i/>
        </w:rPr>
        <w:t xml:space="preserve">при финальной оценке эффекта после завершения иммунохимиотерапии МОБ позволяет прогнозировать время до рецидива и </w:t>
      </w:r>
      <w:r w:rsidR="00B57859">
        <w:rPr>
          <w:i/>
        </w:rPr>
        <w:t>ОВ</w:t>
      </w:r>
      <w:r w:rsidRPr="00FF043E">
        <w:rPr>
          <w:i/>
        </w:rPr>
        <w:t xml:space="preserve">. Большинство прогностических схем построено на оценке МОБ в крови, однако исследование костного мозга позволяет достоверно подтвердить МОБ-негативную полную ремиссию. </w:t>
      </w:r>
    </w:p>
    <w:p w:rsidR="00FF043E" w:rsidRPr="00FF043E" w:rsidRDefault="00FF043E" w:rsidP="00504D96">
      <w:pPr>
        <w:contextualSpacing/>
        <w:rPr>
          <w:i/>
        </w:rPr>
      </w:pPr>
      <w:r w:rsidRPr="00FF043E">
        <w:rPr>
          <w:i/>
        </w:rPr>
        <w:t>Неоднократно показано, что количественная характеристика МОБ в крови по завершении терапии коррелирует с выживаемостью и поэтому может использоваться как руководство к действию. Остаточная популяция клеток ХЛЛ в крови &gt;1</w:t>
      </w:r>
      <w:r w:rsidR="00DD3D1E">
        <w:rPr>
          <w:i/>
        </w:rPr>
        <w:t xml:space="preserve"> %</w:t>
      </w:r>
      <w:r w:rsidRPr="00FF043E">
        <w:rPr>
          <w:i/>
        </w:rPr>
        <w:t xml:space="preserve"> предвещает ранний рецидив и может служить основанием </w:t>
      </w:r>
      <w:r w:rsidR="00830499">
        <w:rPr>
          <w:i/>
        </w:rPr>
        <w:t>для</w:t>
      </w:r>
      <w:r w:rsidRPr="00FF043E">
        <w:rPr>
          <w:i/>
        </w:rPr>
        <w:t xml:space="preserve"> смен</w:t>
      </w:r>
      <w:r w:rsidR="00830499">
        <w:rPr>
          <w:i/>
        </w:rPr>
        <w:t>ы</w:t>
      </w:r>
      <w:r w:rsidRPr="00FF043E">
        <w:rPr>
          <w:i/>
        </w:rPr>
        <w:t xml:space="preserve"> терапии. </w:t>
      </w:r>
      <w:r w:rsidR="00830499" w:rsidRPr="00FF043E">
        <w:rPr>
          <w:i/>
        </w:rPr>
        <w:t xml:space="preserve">Остаточная популяция клеток ХЛЛ в крови </w:t>
      </w:r>
      <w:r w:rsidRPr="00FF043E">
        <w:rPr>
          <w:i/>
        </w:rPr>
        <w:t>0,9</w:t>
      </w:r>
      <w:r w:rsidR="00830499">
        <w:rPr>
          <w:i/>
        </w:rPr>
        <w:t>0</w:t>
      </w:r>
      <w:r w:rsidRPr="00FF043E">
        <w:rPr>
          <w:i/>
        </w:rPr>
        <w:t>–0,01</w:t>
      </w:r>
      <w:r w:rsidR="00830499">
        <w:rPr>
          <w:i/>
        </w:rPr>
        <w:t> </w:t>
      </w:r>
      <w:r w:rsidR="00DD3D1E">
        <w:rPr>
          <w:i/>
        </w:rPr>
        <w:t>%</w:t>
      </w:r>
      <w:r w:rsidRPr="00FF043E">
        <w:rPr>
          <w:i/>
        </w:rPr>
        <w:t xml:space="preserve"> характеризует группу </w:t>
      </w:r>
      <w:r w:rsidR="00573998">
        <w:rPr>
          <w:i/>
        </w:rPr>
        <w:t>пациентов</w:t>
      </w:r>
      <w:r w:rsidR="00573998" w:rsidRPr="00FF043E">
        <w:rPr>
          <w:i/>
        </w:rPr>
        <w:t xml:space="preserve"> </w:t>
      </w:r>
      <w:r w:rsidRPr="00FF043E">
        <w:rPr>
          <w:i/>
        </w:rPr>
        <w:t xml:space="preserve">с медианой выживаемости без прогрессирования (ВБП) около 3 лет; </w:t>
      </w:r>
      <w:r w:rsidR="00830499">
        <w:rPr>
          <w:i/>
        </w:rPr>
        <w:t>у</w:t>
      </w:r>
      <w:r w:rsidRPr="00FF043E">
        <w:rPr>
          <w:i/>
        </w:rPr>
        <w:t xml:space="preserve"> категории пациентов можно рассматривать </w:t>
      </w:r>
      <w:r w:rsidR="00830499">
        <w:rPr>
          <w:i/>
        </w:rPr>
        <w:t>возможность поддерживающей</w:t>
      </w:r>
      <w:r w:rsidRPr="00FF043E">
        <w:rPr>
          <w:i/>
        </w:rPr>
        <w:t xml:space="preserve"> терапи</w:t>
      </w:r>
      <w:r w:rsidR="00830499">
        <w:rPr>
          <w:i/>
        </w:rPr>
        <w:t>и</w:t>
      </w:r>
      <w:r w:rsidRPr="00FF043E">
        <w:rPr>
          <w:i/>
        </w:rPr>
        <w:t xml:space="preserve">. </w:t>
      </w:r>
      <w:r w:rsidR="00830499" w:rsidRPr="00FF043E">
        <w:rPr>
          <w:i/>
        </w:rPr>
        <w:t xml:space="preserve">Остаточная популяция клеток ХЛЛ в крови </w:t>
      </w:r>
      <w:r w:rsidRPr="00FF043E">
        <w:rPr>
          <w:i/>
        </w:rPr>
        <w:t>&lt;0,01</w:t>
      </w:r>
      <w:r w:rsidR="00DD3D1E">
        <w:rPr>
          <w:i/>
        </w:rPr>
        <w:t xml:space="preserve"> %</w:t>
      </w:r>
      <w:r w:rsidRPr="00FF043E">
        <w:rPr>
          <w:i/>
        </w:rPr>
        <w:t xml:space="preserve"> свидетельствует о высокой вероятности длительной ремиссии (</w:t>
      </w:r>
      <w:r w:rsidR="00830499" w:rsidRPr="00397360">
        <w:rPr>
          <w:i/>
        </w:rPr>
        <w:t>&gt;</w:t>
      </w:r>
      <w:r w:rsidRPr="00FF043E">
        <w:rPr>
          <w:i/>
        </w:rPr>
        <w:t xml:space="preserve">5 лет). </w:t>
      </w:r>
    </w:p>
    <w:p w:rsidR="00C61327" w:rsidRPr="001838D7" w:rsidRDefault="00FF043E" w:rsidP="00504D96">
      <w:pPr>
        <w:contextualSpacing/>
        <w:rPr>
          <w:b/>
        </w:rPr>
      </w:pPr>
      <w:r w:rsidRPr="00FF043E">
        <w:rPr>
          <w:i/>
        </w:rPr>
        <w:t xml:space="preserve">После трансплантации аллогенных гемопоэтических стволовых клеток </w:t>
      </w:r>
      <w:r w:rsidR="00F07AA9">
        <w:rPr>
          <w:i/>
        </w:rPr>
        <w:t>МОБ определяется каждые 3 мес.</w:t>
      </w:r>
      <w:r w:rsidRPr="00FF043E">
        <w:rPr>
          <w:i/>
        </w:rPr>
        <w:t xml:space="preserve"> в течение года или до наступления рецидива.</w:t>
      </w:r>
    </w:p>
    <w:p w:rsidR="00FF043E" w:rsidRPr="00132B9F" w:rsidRDefault="00FF043E" w:rsidP="00830499">
      <w:pPr>
        <w:pStyle w:val="3"/>
      </w:pPr>
      <w:r>
        <w:t>2.3.2. Другие обязательные лабораторные исследования</w:t>
      </w:r>
    </w:p>
    <w:p w:rsidR="00E44215" w:rsidRDefault="00E44215" w:rsidP="00504D96">
      <w:pPr>
        <w:pStyle w:val="a"/>
      </w:pPr>
      <w:r>
        <w:t xml:space="preserve">Всем пациентам с ХЛЛ/ЛМЛ перед проведением </w:t>
      </w:r>
      <w:r w:rsidR="00830499">
        <w:t>1-й</w:t>
      </w:r>
      <w:r>
        <w:t xml:space="preserve"> линии </w:t>
      </w:r>
      <w:r w:rsidRPr="00504D96">
        <w:t>противоопухолевой</w:t>
      </w:r>
      <w:r>
        <w:t xml:space="preserve"> терапии </w:t>
      </w:r>
      <w:r w:rsidRPr="00741B6B">
        <w:rPr>
          <w:b/>
        </w:rPr>
        <w:t>рекомендуется</w:t>
      </w:r>
      <w:r w:rsidR="00AA43CB">
        <w:rPr>
          <w:b/>
        </w:rPr>
        <w:t xml:space="preserve"> </w:t>
      </w:r>
      <w:r w:rsidR="00B5142F">
        <w:t>о</w:t>
      </w:r>
      <w:r w:rsidR="00B5142F" w:rsidRPr="00B5142F">
        <w:t>пределение основных групп крови по системе AB0, определение антигена</w:t>
      </w:r>
      <w:r w:rsidR="00830499">
        <w:t> </w:t>
      </w:r>
      <w:r w:rsidR="00B5142F" w:rsidRPr="00B5142F">
        <w:t xml:space="preserve">D системы </w:t>
      </w:r>
      <w:r w:rsidR="005A6B77">
        <w:t>р</w:t>
      </w:r>
      <w:r w:rsidR="00B5142F" w:rsidRPr="00B5142F">
        <w:t>езус (резус-фактор</w:t>
      </w:r>
      <w:r w:rsidR="00B5142F">
        <w:t>а</w:t>
      </w:r>
      <w:r w:rsidR="00B5142F" w:rsidRPr="00B5142F">
        <w:t>)</w:t>
      </w:r>
      <w:r w:rsidR="00AA43CB">
        <w:t xml:space="preserve">, </w:t>
      </w:r>
      <w:r w:rsidR="00AA43CB" w:rsidRPr="003F71E8">
        <w:t>опред</w:t>
      </w:r>
      <w:r w:rsidR="00CA605A" w:rsidRPr="003F71E8">
        <w:t>еление фенотипа антигенов эритроцитов</w:t>
      </w:r>
      <w:r w:rsidR="00AA43CB" w:rsidRPr="003F71E8">
        <w:t xml:space="preserve"> </w:t>
      </w:r>
      <w:r w:rsidR="00B5142F" w:rsidRPr="003F71E8">
        <w:t>дл</w:t>
      </w:r>
      <w:r w:rsidR="00B5142F">
        <w:t>я возможности выполн</w:t>
      </w:r>
      <w:r w:rsidR="00BB58D0">
        <w:t>ен</w:t>
      </w:r>
      <w:r w:rsidR="00B5142F">
        <w:t xml:space="preserve">ия гемотрансфузии при наличии показаний до, </w:t>
      </w:r>
      <w:r w:rsidR="00AA43CB">
        <w:t>во</w:t>
      </w:r>
      <w:r w:rsidR="005A6B77">
        <w:t xml:space="preserve"> </w:t>
      </w:r>
      <w:r w:rsidR="00AA43CB">
        <w:t>время</w:t>
      </w:r>
      <w:r w:rsidR="00B5142F">
        <w:t xml:space="preserve"> или после терапии</w:t>
      </w:r>
      <w:r w:rsidR="00FF043E">
        <w:t xml:space="preserve"> </w:t>
      </w:r>
      <w:r w:rsidR="000B0AC3">
        <w:fldChar w:fldCharType="begin" w:fldLock="1"/>
      </w:r>
      <w:r w:rsidR="00FF043E">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B5142F">
        <w:t xml:space="preserve">. </w:t>
      </w:r>
    </w:p>
    <w:p w:rsidR="00E44215" w:rsidRPr="005A6B77" w:rsidRDefault="00E44215" w:rsidP="00504D96">
      <w:pPr>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5</w:t>
      </w:r>
      <w:r w:rsidRPr="005A6B77">
        <w:rPr>
          <w:b/>
          <w:spacing w:val="-4"/>
        </w:rPr>
        <w:t>).</w:t>
      </w:r>
    </w:p>
    <w:p w:rsidR="001838D7" w:rsidRDefault="001838D7" w:rsidP="00504D96">
      <w:pPr>
        <w:pStyle w:val="a"/>
      </w:pPr>
      <w:r>
        <w:t xml:space="preserve">Всем пациентам </w:t>
      </w:r>
      <w:r w:rsidRPr="003147A2">
        <w:t>с ХЛЛ/</w:t>
      </w:r>
      <w:r w:rsidRPr="0095233F">
        <w:t xml:space="preserve">ЛМЛ перед проведением терапии антителами </w:t>
      </w:r>
      <w:r w:rsidR="005A6B77" w:rsidRPr="0095233F">
        <w:t xml:space="preserve">к </w:t>
      </w:r>
      <w:r w:rsidR="005A6B77" w:rsidRPr="0095233F">
        <w:rPr>
          <w:lang w:val="en-US"/>
        </w:rPr>
        <w:t>CD</w:t>
      </w:r>
      <w:r w:rsidR="005A6B77" w:rsidRPr="0095233F">
        <w:t xml:space="preserve">20 </w:t>
      </w:r>
      <w:r w:rsidRPr="0095233F">
        <w:t>ил</w:t>
      </w:r>
      <w:r w:rsidR="005A6B77" w:rsidRPr="0095233F">
        <w:t>и ибрутинибом**</w:t>
      </w:r>
      <w:r w:rsidRPr="0095233F">
        <w:t xml:space="preserve"> с целью уточнения риска и в случае необходимости профилактики реактивации вирусного гепатита</w:t>
      </w:r>
      <w:r w:rsidR="00FF043E" w:rsidRPr="0095233F">
        <w:t xml:space="preserve"> </w:t>
      </w:r>
      <w:r w:rsidR="000B0AC3" w:rsidRPr="0095233F">
        <w:fldChar w:fldCharType="begin" w:fldLock="1"/>
      </w:r>
      <w:r w:rsidR="00015814" w:rsidRPr="0095233F">
        <w:instrText>ADDIN CSL_CITATION {"citationItems":[{"id":"ITEM-1","itemData":{"DOI":"10.1080/10428190902777673","ISSN":"10428194","abstract":"Recent guidelines emphasise the risk of hepatitis B virus (HBV) reactivation among patients with hematologic malignancies of B lineage, in which HBV has been recently hypothesised to play a pathogenetic role. We aimed to determine the prevalence of occult HBV infection (OBI) of peripheral blood mononuclear cells, defined as detection of sequences from ≥2 HBV genes in subjects lacking hepatitis B surface antigen, among patients with treatment-naive chronic lymphocytic leukemia (CLL). HBV DNA sequences from four HBV genes (S, X, core and pol) were searched for in archival material obtained at diagnosis (N = 173), and from age and sex-matched controls. OBI was observed in 17/173 (10%) patients and 5/173 (3%) controls (OR = 3.6, 95% CI 1.37-9.79, p = 0.014). OBI was not associated with differences on 5-year survival and biological predictors, but patients with CLL with OBI had significantly lower peripheral blood lymphocyte count. After 8 years of observation without treatment, one OBI positive patient with CLL converted into positive HBsAg serology and developed active hepatitis. In conclusion, OBI is significantly more prevalent among patients with CLL than in age and sex-matched controls, and may contribute to the susceptibility of patients with CLL to HBV reactivation, whether exposed or not to biological agents.","author":[{"dropping-particle":"","family":"Rossi","given":"Davide","non-dropping-particle":"","parse-names":false,"suffix":""},{"dropping-particle":"","family":"Sala","given":"Lisa","non-dropping-particle":"","parse-names":false,"suffix":""},{"dropping-particle":"","family":"Minisini","given":"Rosalba","non-dropping-particle":"","parse-names":false,"suffix":""},{"dropping-particle":"","family":"Fabris","given":"Carlo","non-dropping-particle":"","parse-names":false,"suffix":""},{"dropping-particle":"","family":"Falleti","given":"Edmondo","non-dropping-particle":"","parse-names":false,"suffix":""},{"dropping-particle":"","family":"Cerri","given":"Michaela","non-dropping-particle":"","parse-names":false,"suffix":""},{"dropping-particle":"","family":"Burlone","given":"Michela Emma","non-dropping-particle":"","parse-names":false,"suffix":""},{"dropping-particle":"","family":"Toniutto","given":"Pierluigi","non-dropping-particle":"","parse-names":false,"suffix":""},{"dropping-particle":"","family":"Gaidano","given":"Gianluca","non-dropping-particle":"","parse-names":false,"suffix":""},{"dropping-particle":"","family":"Pirisi","given":"Mario","non-dropping-particle":"","parse-names":false,"suffix":""}],"container-title":"Leukemia and Lymphoma","id":"ITEM-1","issue":"4","issued":{"date-parts":[["2009"]]},"page":"604-611","title":"Occult hepatitis B virus infection of peripheral blood mononuclear cells among treatment-naïve patients with chronic lymphocytic leukemia","type":"article-journal","volume":"50"},"uris":["http://www.mendeley.com/documents/?uuid=5f9a6e48-f6f2-39bd-a04b-49455a0cb34d"]}],"mendeley":{"formattedCitation":"[20]","plainTextFormattedCitation":"[20]","previouslyFormattedCitation":"[20]"},"properties":{"noteIndex":0},"schema":"https://github.com/citation-style-language/schema/raw/master/csl-citation.json"}</w:instrText>
      </w:r>
      <w:r w:rsidR="000B0AC3" w:rsidRPr="0095233F">
        <w:fldChar w:fldCharType="separate"/>
      </w:r>
      <w:r w:rsidR="00015814" w:rsidRPr="0095233F">
        <w:rPr>
          <w:noProof/>
        </w:rPr>
        <w:t>[20]</w:t>
      </w:r>
      <w:r w:rsidR="000B0AC3" w:rsidRPr="0095233F">
        <w:fldChar w:fldCharType="end"/>
      </w:r>
      <w:r w:rsidR="005A6B77" w:rsidRPr="0095233F">
        <w:t xml:space="preserve"> </w:t>
      </w:r>
      <w:r w:rsidR="005A6B77" w:rsidRPr="0095233F">
        <w:rPr>
          <w:b/>
        </w:rPr>
        <w:t>рекомендуется</w:t>
      </w:r>
      <w:r w:rsidR="005A6B77">
        <w:t xml:space="preserve"> выполнение развернутого вирусологического исследования для выявления маркеров вируса гепатита B</w:t>
      </w:r>
      <w:r>
        <w:t>, которое должно включать</w:t>
      </w:r>
      <w:r w:rsidR="005A6B77">
        <w:t xml:space="preserve"> определение</w:t>
      </w:r>
      <w:r>
        <w:t>:</w:t>
      </w:r>
    </w:p>
    <w:p w:rsidR="001838D7" w:rsidRPr="00D012C9" w:rsidRDefault="001838D7" w:rsidP="00BE7488">
      <w:pPr>
        <w:pStyle w:val="a"/>
        <w:numPr>
          <w:ilvl w:val="0"/>
          <w:numId w:val="26"/>
        </w:numPr>
        <w:spacing w:before="0"/>
      </w:pPr>
      <w:r w:rsidRPr="001E4BB1">
        <w:t xml:space="preserve">антигена </w:t>
      </w:r>
      <w:r w:rsidR="005A6B77">
        <w:t xml:space="preserve">(HbsAg) вируса гепатита B </w:t>
      </w:r>
      <w:r w:rsidRPr="00D012C9">
        <w:t>в крови</w:t>
      </w:r>
      <w:r w:rsidR="005A6B77">
        <w:t>;</w:t>
      </w:r>
    </w:p>
    <w:p w:rsidR="001838D7" w:rsidRPr="00D012C9" w:rsidRDefault="001838D7" w:rsidP="00BE7488">
      <w:pPr>
        <w:pStyle w:val="a"/>
        <w:numPr>
          <w:ilvl w:val="0"/>
          <w:numId w:val="26"/>
        </w:numPr>
        <w:spacing w:before="0"/>
      </w:pPr>
      <w:r w:rsidRPr="00D012C9">
        <w:t>антител к поверхностному антигену (HBsAg) вируса гепатита B в крови</w:t>
      </w:r>
      <w:r w:rsidR="005A6B77">
        <w:t>;</w:t>
      </w:r>
    </w:p>
    <w:p w:rsidR="001838D7" w:rsidRPr="00D012C9" w:rsidRDefault="001838D7" w:rsidP="00BE7488">
      <w:pPr>
        <w:pStyle w:val="a"/>
        <w:numPr>
          <w:ilvl w:val="0"/>
          <w:numId w:val="26"/>
        </w:numPr>
        <w:spacing w:before="0"/>
      </w:pPr>
      <w:r w:rsidRPr="00D012C9">
        <w:t>антител к ядерному ант</w:t>
      </w:r>
      <w:r w:rsidR="005A6B77">
        <w:t>игену (HBcAg) вируса гепатита B</w:t>
      </w:r>
      <w:r w:rsidRPr="00D012C9">
        <w:t xml:space="preserve"> в крови</w:t>
      </w:r>
      <w:r w:rsidR="005A6B77">
        <w:t>;</w:t>
      </w:r>
    </w:p>
    <w:p w:rsidR="001838D7" w:rsidRPr="00D012C9" w:rsidRDefault="001838D7" w:rsidP="00BE7488">
      <w:pPr>
        <w:pStyle w:val="a"/>
        <w:numPr>
          <w:ilvl w:val="0"/>
          <w:numId w:val="26"/>
        </w:numPr>
        <w:spacing w:before="0"/>
      </w:pPr>
      <w:r w:rsidRPr="00D012C9">
        <w:lastRenderedPageBreak/>
        <w:t xml:space="preserve">ДНК вируса гепатита B в крови методом </w:t>
      </w:r>
      <w:r w:rsidR="005A6B77">
        <w:t>полимеразной цепной реакции</w:t>
      </w:r>
      <w:r w:rsidRPr="00D012C9">
        <w:t xml:space="preserve"> </w:t>
      </w:r>
      <w:r w:rsidR="005A6B77">
        <w:t>(</w:t>
      </w:r>
      <w:r w:rsidRPr="00D012C9">
        <w:t>качественное исследование</w:t>
      </w:r>
      <w:r w:rsidR="005A6B77">
        <w:t>)</w:t>
      </w:r>
      <w:r w:rsidRPr="00D012C9">
        <w:t>.</w:t>
      </w:r>
    </w:p>
    <w:p w:rsidR="001838D7" w:rsidRPr="005A6B77" w:rsidRDefault="001838D7" w:rsidP="00504D96">
      <w:pPr>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4</w:t>
      </w:r>
      <w:r w:rsidRPr="005A6B77">
        <w:rPr>
          <w:b/>
          <w:spacing w:val="-4"/>
        </w:rPr>
        <w:t>.</w:t>
      </w:r>
    </w:p>
    <w:p w:rsidR="001838D7" w:rsidRPr="00BB7621" w:rsidRDefault="00A81638" w:rsidP="00504D96">
      <w:pPr>
        <w:contextualSpacing/>
      </w:pPr>
      <w:r>
        <w:rPr>
          <w:b/>
        </w:rPr>
        <w:t>Комментарии</w:t>
      </w:r>
      <w:r w:rsidR="001838D7" w:rsidRPr="00383556">
        <w:rPr>
          <w:b/>
        </w:rPr>
        <w:t>:</w:t>
      </w:r>
      <w:r w:rsidR="00AA43CB">
        <w:rPr>
          <w:b/>
        </w:rPr>
        <w:t xml:space="preserve"> </w:t>
      </w:r>
      <w:r w:rsidR="005A6B77">
        <w:rPr>
          <w:i/>
        </w:rPr>
        <w:t>э</w:t>
      </w:r>
      <w:r w:rsidR="001838D7" w:rsidRPr="00383556">
        <w:rPr>
          <w:i/>
        </w:rPr>
        <w:t xml:space="preserve">тому </w:t>
      </w:r>
      <w:r w:rsidR="001838D7" w:rsidRPr="009B27D2">
        <w:rPr>
          <w:i/>
        </w:rPr>
        <w:t>вопросу при ХЛЛ уделяется особое внимание, поскольку клетки ХЛЛ являются дополнительным резервуаром для вируса гепатита B. Значени</w:t>
      </w:r>
      <w:r w:rsidR="005A6B77">
        <w:rPr>
          <w:i/>
        </w:rPr>
        <w:t>я</w:t>
      </w:r>
      <w:r w:rsidR="001838D7" w:rsidRPr="009B27D2">
        <w:rPr>
          <w:i/>
        </w:rPr>
        <w:t xml:space="preserve"> маркер</w:t>
      </w:r>
      <w:r w:rsidR="001838D7" w:rsidRPr="00BB7621">
        <w:rPr>
          <w:i/>
        </w:rPr>
        <w:t>ов вирусного гепатита В представлен</w:t>
      </w:r>
      <w:r w:rsidR="005A6B77">
        <w:rPr>
          <w:i/>
        </w:rPr>
        <w:t>ы</w:t>
      </w:r>
      <w:r w:rsidR="001838D7" w:rsidRPr="00BB7621">
        <w:rPr>
          <w:i/>
        </w:rPr>
        <w:t xml:space="preserve"> в </w:t>
      </w:r>
      <w:r w:rsidR="005A6B77">
        <w:rPr>
          <w:i/>
        </w:rPr>
        <w:t>п</w:t>
      </w:r>
      <w:r w:rsidR="001838D7" w:rsidRPr="00BB7621">
        <w:rPr>
          <w:i/>
        </w:rPr>
        <w:t xml:space="preserve">риложении </w:t>
      </w:r>
      <w:r w:rsidR="00437AD9">
        <w:rPr>
          <w:i/>
        </w:rPr>
        <w:t>А3.1</w:t>
      </w:r>
      <w:r w:rsidR="001838D7" w:rsidRPr="00BB7621">
        <w:rPr>
          <w:i/>
        </w:rPr>
        <w:t>.</w:t>
      </w:r>
    </w:p>
    <w:p w:rsidR="00E44215" w:rsidRDefault="00E44215" w:rsidP="00504D96">
      <w:pPr>
        <w:pStyle w:val="a"/>
      </w:pPr>
      <w:r>
        <w:t xml:space="preserve">Всем первичным </w:t>
      </w:r>
      <w:r w:rsidRPr="00492BAB">
        <w:rPr>
          <w:szCs w:val="24"/>
        </w:rPr>
        <w:t xml:space="preserve">пациентам с ХЛЛ/ЛМЛ перед проведением </w:t>
      </w:r>
      <w:r w:rsidR="005A6B77" w:rsidRPr="00492BAB">
        <w:rPr>
          <w:szCs w:val="24"/>
        </w:rPr>
        <w:t>1-й</w:t>
      </w:r>
      <w:r w:rsidRPr="00492BAB">
        <w:rPr>
          <w:szCs w:val="24"/>
        </w:rPr>
        <w:t xml:space="preserve"> линии противоопухолевой терапии </w:t>
      </w:r>
      <w:r w:rsidRPr="00492BAB">
        <w:rPr>
          <w:b/>
          <w:szCs w:val="24"/>
        </w:rPr>
        <w:t>рекомендуется</w:t>
      </w:r>
      <w:r w:rsidR="002E3794" w:rsidRPr="00492BAB">
        <w:rPr>
          <w:szCs w:val="24"/>
        </w:rPr>
        <w:t xml:space="preserve"> молекулярно-биологическое исследование крови </w:t>
      </w:r>
      <w:r w:rsidR="00492BAB" w:rsidRPr="00492BAB">
        <w:rPr>
          <w:szCs w:val="24"/>
        </w:rPr>
        <w:t xml:space="preserve">на наличие вируса иммунодефицита человека (Определение антител классов M, G (IgM, IgG) к вирусам иммунодефицита человека ВИЧ-1 и ВИЧ-2 (Human immunodeficiency virus HIV 1 и Human immunodeficiency virus HIV 2) в крови </w:t>
      </w:r>
      <w:r w:rsidRPr="00492BAB">
        <w:rPr>
          <w:szCs w:val="24"/>
        </w:rPr>
        <w:t>для</w:t>
      </w:r>
      <w:r w:rsidR="002E3794" w:rsidRPr="00492BAB">
        <w:rPr>
          <w:szCs w:val="24"/>
        </w:rPr>
        <w:t xml:space="preserve"> уточнения необходимости </w:t>
      </w:r>
      <w:r w:rsidR="00345B05" w:rsidRPr="00492BAB">
        <w:rPr>
          <w:szCs w:val="24"/>
        </w:rPr>
        <w:t>одновременного проведения противоопухолевой и антиретровирусной тера</w:t>
      </w:r>
      <w:r w:rsidR="00345B05">
        <w:t>пии</w:t>
      </w:r>
      <w:r w:rsidR="00FF043E" w:rsidRPr="00FF043E">
        <w:t xml:space="preserve"> </w:t>
      </w:r>
      <w:r w:rsidR="000B0AC3">
        <w:fldChar w:fldCharType="begin" w:fldLock="1"/>
      </w:r>
      <w:r w:rsidR="00B21719">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345B05">
        <w:t>.</w:t>
      </w:r>
    </w:p>
    <w:p w:rsidR="001E3D61" w:rsidRPr="005A6B77" w:rsidRDefault="001E3D61" w:rsidP="00504D96">
      <w:pPr>
        <w:rPr>
          <w:b/>
          <w:spacing w:val="-4"/>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rsidR="001838D7" w:rsidRPr="003147A2" w:rsidRDefault="004D6541" w:rsidP="00504D96">
      <w:pPr>
        <w:pStyle w:val="a"/>
      </w:pPr>
      <w:r w:rsidRPr="00504D96">
        <w:t>В</w:t>
      </w:r>
      <w:r w:rsidR="001838D7" w:rsidRPr="00504D96">
        <w:t>сем</w:t>
      </w:r>
      <w:r w:rsidR="001838D7" w:rsidRPr="006D0598">
        <w:t xml:space="preserve"> пациентам с ХЛЛ/ЛМЛ </w:t>
      </w:r>
      <w:r w:rsidR="00E45A5B" w:rsidRPr="006D0598">
        <w:t>на момент установления диагноза, после каждой иммуносупрессивной терапии и после каждой тяжелой бактериальной инфекции</w:t>
      </w:r>
      <w:r w:rsidR="00AA43CB" w:rsidRPr="006D0598">
        <w:t xml:space="preserve"> </w:t>
      </w:r>
      <w:r w:rsidR="001838D7" w:rsidRPr="00B21719">
        <w:rPr>
          <w:b/>
        </w:rPr>
        <w:t>рекомендуется</w:t>
      </w:r>
      <w:r w:rsidR="00AA43CB" w:rsidRPr="00B21719">
        <w:rPr>
          <w:b/>
        </w:rPr>
        <w:t xml:space="preserve"> </w:t>
      </w:r>
      <w:r w:rsidR="00B63BF6" w:rsidRPr="004B0584">
        <w:t>определение</w:t>
      </w:r>
      <w:r w:rsidR="004B0584">
        <w:t xml:space="preserve"> уро</w:t>
      </w:r>
      <w:r w:rsidR="003E3C13">
        <w:t>в</w:t>
      </w:r>
      <w:r w:rsidR="004B0584">
        <w:t>ня иммуноглобулинов</w:t>
      </w:r>
      <w:r w:rsidR="00B21719">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rsidR="001838D7" w:rsidRPr="00544312">
        <w:t>.</w:t>
      </w:r>
    </w:p>
    <w:p w:rsidR="00D72B88" w:rsidRPr="005A6B77" w:rsidRDefault="001E3D61" w:rsidP="00504D96">
      <w:pPr>
        <w:pStyle w:val="11"/>
        <w:spacing w:beforeAutospacing="0" w:afterAutospacing="0"/>
        <w:rPr>
          <w:b/>
          <w:spacing w:val="-4"/>
          <w:highlight w:val="yellow"/>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rsidR="004D7374" w:rsidRDefault="004D7374" w:rsidP="00B93B9E">
      <w:pPr>
        <w:pStyle w:val="2"/>
        <w:contextualSpacing/>
      </w:pPr>
      <w:bookmarkStart w:id="36" w:name="_Toc24546436"/>
      <w:bookmarkStart w:id="37" w:name="_Toc23601723"/>
      <w:r>
        <w:t>2.4. Инструментальн</w:t>
      </w:r>
      <w:r w:rsidR="00CF20D8">
        <w:t>ые диагностические исследования</w:t>
      </w:r>
      <w:bookmarkEnd w:id="36"/>
      <w:bookmarkEnd w:id="37"/>
    </w:p>
    <w:p w:rsidR="004D7374" w:rsidRPr="009B27D2" w:rsidRDefault="004D7374" w:rsidP="00504D96">
      <w:pPr>
        <w:pStyle w:val="a"/>
      </w:pPr>
      <w:r w:rsidRPr="009B27D2">
        <w:t xml:space="preserve">Всем пациентам </w:t>
      </w:r>
      <w:r w:rsidR="00E45A5B" w:rsidRPr="009B27D2">
        <w:t>перед началом терапии</w:t>
      </w:r>
      <w:r w:rsidRPr="009B27D2">
        <w:t xml:space="preserve"> ХЛЛ/ЛМЛ, при оценке ремиссии через 2 мес</w:t>
      </w:r>
      <w:r w:rsidR="00F07AA9">
        <w:t>.</w:t>
      </w:r>
      <w:r w:rsidRPr="009B27D2">
        <w:t xml:space="preserve"> после завершения терапии</w:t>
      </w:r>
      <w:r w:rsidR="00E45A5B" w:rsidRPr="009B27D2">
        <w:t xml:space="preserve"> </w:t>
      </w:r>
      <w:r w:rsidR="00E45A5B" w:rsidRPr="005554E5">
        <w:t xml:space="preserve">(если </w:t>
      </w:r>
      <w:r w:rsidR="004B0584" w:rsidRPr="005554E5">
        <w:t>имелось поражение лимфатических узлов области средостения и/или легочной ткани</w:t>
      </w:r>
      <w:r w:rsidR="006F547D" w:rsidRPr="005554E5">
        <w:t>)</w:t>
      </w:r>
      <w:r w:rsidRPr="009B27D2">
        <w:t>, а также при подозрении на рецидив</w:t>
      </w:r>
      <w:r w:rsidR="004B0584">
        <w:t xml:space="preserve">/прогрессирование </w:t>
      </w:r>
      <w:r w:rsidRPr="009B27D2">
        <w:t xml:space="preserve">заболевания </w:t>
      </w:r>
      <w:r w:rsidRPr="009B27D2">
        <w:rPr>
          <w:b/>
        </w:rPr>
        <w:t>рекомендуется</w:t>
      </w:r>
      <w:r w:rsidR="004B0584">
        <w:rPr>
          <w:b/>
        </w:rPr>
        <w:t xml:space="preserve"> </w:t>
      </w:r>
      <w:r w:rsidR="004B0584" w:rsidRPr="005554E5">
        <w:rPr>
          <w:bCs/>
        </w:rPr>
        <w:t>выполнение</w:t>
      </w:r>
      <w:r w:rsidR="004B0584">
        <w:rPr>
          <w:b/>
        </w:rPr>
        <w:t xml:space="preserve"> </w:t>
      </w:r>
      <w:r w:rsidRPr="009B27D2">
        <w:t>КТ грудной клетки, органов брюшной полости и малого таза (с контрастированием)</w:t>
      </w:r>
      <w:r w:rsidR="004B0584">
        <w:t xml:space="preserve"> </w:t>
      </w:r>
      <w:r w:rsidRPr="009B27D2">
        <w:t>для уточнения наличия и ра</w:t>
      </w:r>
      <w:r w:rsidR="008E45D6" w:rsidRPr="009B27D2">
        <w:t>спространенности лимфаденопатии</w:t>
      </w:r>
      <w:r w:rsidR="004B0584">
        <w:t xml:space="preserve"> или оценки противоопух</w:t>
      </w:r>
      <w:r w:rsidR="00F66BB8">
        <w:t>о</w:t>
      </w:r>
      <w:r w:rsidR="004B0584">
        <w:t>левого эффекта, если исследование выполнено в динамике</w:t>
      </w:r>
      <w:r w:rsidR="00B21719">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rsidR="00B21719">
        <w:t>.</w:t>
      </w:r>
    </w:p>
    <w:p w:rsidR="001E3D61" w:rsidRPr="00F66BB8" w:rsidRDefault="001E3D61" w:rsidP="00504D96">
      <w:pPr>
        <w:rPr>
          <w:b/>
          <w:spacing w:val="-4"/>
        </w:rPr>
      </w:pPr>
      <w:r w:rsidRPr="00F66BB8">
        <w:rPr>
          <w:b/>
          <w:spacing w:val="-4"/>
        </w:rPr>
        <w:t xml:space="preserve">Уровень убедительности </w:t>
      </w:r>
      <w:r w:rsidR="00C20509" w:rsidRPr="00F66BB8">
        <w:rPr>
          <w:b/>
          <w:spacing w:val="-4"/>
        </w:rPr>
        <w:t xml:space="preserve">рекомендаций – </w:t>
      </w:r>
      <w:r w:rsidRPr="00F66BB8">
        <w:rPr>
          <w:b/>
          <w:spacing w:val="-4"/>
        </w:rPr>
        <w:t xml:space="preserve">С (уровень достоверности </w:t>
      </w:r>
      <w:r w:rsidR="00C20509" w:rsidRPr="00F66BB8">
        <w:rPr>
          <w:b/>
          <w:spacing w:val="-4"/>
        </w:rPr>
        <w:t xml:space="preserve">доказательств – </w:t>
      </w:r>
      <w:r w:rsidRPr="00F66BB8">
        <w:rPr>
          <w:b/>
          <w:spacing w:val="-4"/>
        </w:rPr>
        <w:t>5).</w:t>
      </w:r>
    </w:p>
    <w:p w:rsidR="00B21719" w:rsidRDefault="001838D7" w:rsidP="00504D96">
      <w:pPr>
        <w:pStyle w:val="a"/>
        <w:rPr>
          <w:color w:val="000000"/>
        </w:rPr>
      </w:pPr>
      <w:r w:rsidRPr="00504D96">
        <w:t>Пациентам</w:t>
      </w:r>
      <w:r w:rsidR="005554E5">
        <w:rPr>
          <w:color w:val="000000"/>
        </w:rPr>
        <w:t xml:space="preserve"> </w:t>
      </w:r>
      <w:r w:rsidR="005554E5" w:rsidRPr="009B27D2">
        <w:t xml:space="preserve">перед началом терапии ХЛЛ/ЛМЛ, </w:t>
      </w:r>
      <w:r w:rsidR="00F66BB8">
        <w:t>если</w:t>
      </w:r>
      <w:r w:rsidR="00F66BB8" w:rsidRPr="003147A2">
        <w:rPr>
          <w:color w:val="000000"/>
        </w:rPr>
        <w:t xml:space="preserve"> </w:t>
      </w:r>
      <w:r w:rsidR="00F66BB8">
        <w:rPr>
          <w:color w:val="000000"/>
        </w:rPr>
        <w:t>выявлены</w:t>
      </w:r>
      <w:r w:rsidR="00F66BB8" w:rsidRPr="003147A2">
        <w:rPr>
          <w:color w:val="000000"/>
        </w:rPr>
        <w:t xml:space="preserve"> противопоказани</w:t>
      </w:r>
      <w:r w:rsidR="00F66BB8">
        <w:rPr>
          <w:color w:val="000000"/>
        </w:rPr>
        <w:t>я</w:t>
      </w:r>
      <w:r w:rsidR="00F66BB8" w:rsidRPr="003147A2">
        <w:rPr>
          <w:color w:val="000000"/>
        </w:rPr>
        <w:t xml:space="preserve"> к КТ</w:t>
      </w:r>
      <w:r w:rsidR="00F66BB8">
        <w:rPr>
          <w:color w:val="000000"/>
        </w:rPr>
        <w:t>,</w:t>
      </w:r>
      <w:r w:rsidR="00F66BB8" w:rsidRPr="003147A2">
        <w:rPr>
          <w:color w:val="000000"/>
        </w:rPr>
        <w:t xml:space="preserve"> </w:t>
      </w:r>
      <w:r w:rsidR="005554E5" w:rsidRPr="009B27D2">
        <w:t>при оценке ремиссии через 2 мес</w:t>
      </w:r>
      <w:r w:rsidR="00F07AA9">
        <w:t>.</w:t>
      </w:r>
      <w:r w:rsidR="005554E5" w:rsidRPr="009B27D2">
        <w:t xml:space="preserve"> после завершения терапии </w:t>
      </w:r>
      <w:r w:rsidR="005554E5" w:rsidRPr="005554E5">
        <w:t>(если имелось поражение лимфатических узлов области средостения и/или легочной ткани)</w:t>
      </w:r>
      <w:r w:rsidR="005554E5" w:rsidRPr="009B27D2">
        <w:t>, а также при подозрении на рецидив</w:t>
      </w:r>
      <w:r w:rsidR="005554E5">
        <w:t xml:space="preserve">/прогрессирование </w:t>
      </w:r>
      <w:r w:rsidR="005554E5" w:rsidRPr="009B27D2">
        <w:t>заболевания</w:t>
      </w:r>
      <w:r w:rsidR="00F66BB8">
        <w:t xml:space="preserve"> </w:t>
      </w:r>
      <w:r w:rsidRPr="003147A2">
        <w:rPr>
          <w:b/>
          <w:color w:val="000000"/>
        </w:rPr>
        <w:t>рекомендуется</w:t>
      </w:r>
      <w:r w:rsidRPr="003147A2">
        <w:rPr>
          <w:color w:val="000000"/>
        </w:rPr>
        <w:t xml:space="preserve"> </w:t>
      </w:r>
      <w:r w:rsidR="00B21719" w:rsidRPr="005554E5">
        <w:rPr>
          <w:color w:val="000000"/>
        </w:rPr>
        <w:t>для уточнения наличия и распространенности лимф</w:t>
      </w:r>
      <w:r w:rsidR="00B21719">
        <w:rPr>
          <w:color w:val="000000"/>
        </w:rPr>
        <w:t>аденопатии</w:t>
      </w:r>
      <w:r w:rsidR="00B21719" w:rsidRPr="003147A2">
        <w:rPr>
          <w:color w:val="000000"/>
        </w:rPr>
        <w:t xml:space="preserve"> </w:t>
      </w:r>
      <w:r w:rsidRPr="003147A2">
        <w:rPr>
          <w:color w:val="000000"/>
        </w:rPr>
        <w:t>выполнить</w:t>
      </w:r>
      <w:r w:rsidR="00B21719">
        <w:rPr>
          <w:color w:val="000000"/>
        </w:rPr>
        <w:t xml:space="preserve"> следующие исследования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rsidR="00B21719">
        <w:rPr>
          <w:color w:val="000000"/>
        </w:rPr>
        <w:t>:</w:t>
      </w:r>
    </w:p>
    <w:p w:rsidR="001838D7" w:rsidRDefault="001838D7" w:rsidP="00BE7488">
      <w:pPr>
        <w:pStyle w:val="a"/>
        <w:numPr>
          <w:ilvl w:val="0"/>
          <w:numId w:val="27"/>
        </w:numPr>
        <w:spacing w:before="0"/>
        <w:ind w:hanging="562"/>
      </w:pPr>
      <w:r w:rsidRPr="003147A2">
        <w:t xml:space="preserve">рентгенографию органов грудной клетки в </w:t>
      </w:r>
      <w:r w:rsidR="00F07AA9">
        <w:t>2</w:t>
      </w:r>
      <w:r w:rsidRPr="003147A2">
        <w:t xml:space="preserve"> проекциях</w:t>
      </w:r>
      <w:r w:rsidR="00B21719">
        <w:t>;</w:t>
      </w:r>
    </w:p>
    <w:p w:rsidR="00B21719" w:rsidRPr="003147A2" w:rsidRDefault="000F2499" w:rsidP="00BE7488">
      <w:pPr>
        <w:pStyle w:val="a"/>
        <w:numPr>
          <w:ilvl w:val="0"/>
          <w:numId w:val="27"/>
        </w:numPr>
        <w:spacing w:before="0"/>
        <w:ind w:hanging="562"/>
      </w:pPr>
      <w:r>
        <w:lastRenderedPageBreak/>
        <w:t xml:space="preserve">УЗИ </w:t>
      </w:r>
      <w:r w:rsidR="00B21719" w:rsidRPr="003147A2">
        <w:t>лимфатических узлов</w:t>
      </w:r>
      <w:r w:rsidR="00DD3D1E">
        <w:t xml:space="preserve"> </w:t>
      </w:r>
      <w:r w:rsidR="00B21719">
        <w:t>(</w:t>
      </w:r>
      <w:r w:rsidR="00B21719" w:rsidRPr="00B21719">
        <w:t>периферически</w:t>
      </w:r>
      <w:r w:rsidR="00B21719">
        <w:t>х</w:t>
      </w:r>
      <w:r w:rsidR="00B21719" w:rsidRPr="00B21719">
        <w:t>, внутрибрюшны</w:t>
      </w:r>
      <w:r w:rsidR="00B21719">
        <w:t xml:space="preserve">х и </w:t>
      </w:r>
      <w:r w:rsidR="00B21719" w:rsidRPr="00B21719">
        <w:t>забрюшинны</w:t>
      </w:r>
      <w:r w:rsidR="00B21719">
        <w:t>х)</w:t>
      </w:r>
      <w:r w:rsidR="00B21719" w:rsidRPr="00B21719">
        <w:t xml:space="preserve"> </w:t>
      </w:r>
      <w:r w:rsidR="00B21719" w:rsidRPr="003147A2">
        <w:t>и внутренних органов</w:t>
      </w:r>
      <w:r w:rsidR="00B21719">
        <w:t xml:space="preserve"> (органов брюшной полости и малого таза)</w:t>
      </w:r>
      <w:r w:rsidR="00F66BB8">
        <w:t>.</w:t>
      </w:r>
    </w:p>
    <w:p w:rsidR="001E3D61" w:rsidRPr="00F66BB8" w:rsidRDefault="001E3D61" w:rsidP="00504D96">
      <w:pPr>
        <w:rPr>
          <w:b/>
          <w:spacing w:val="-4"/>
        </w:rPr>
      </w:pPr>
      <w:r w:rsidRPr="00F66BB8">
        <w:rPr>
          <w:b/>
          <w:spacing w:val="-4"/>
        </w:rPr>
        <w:t xml:space="preserve">Уровень убедительности </w:t>
      </w:r>
      <w:r w:rsidR="00C20509" w:rsidRPr="00F66BB8">
        <w:rPr>
          <w:b/>
          <w:spacing w:val="-4"/>
        </w:rPr>
        <w:t xml:space="preserve">рекомендаций – </w:t>
      </w:r>
      <w:r w:rsidRPr="00F66BB8">
        <w:rPr>
          <w:b/>
          <w:spacing w:val="-4"/>
        </w:rPr>
        <w:t xml:space="preserve">С (уровень достоверности </w:t>
      </w:r>
      <w:r w:rsidR="00C20509" w:rsidRPr="00F66BB8">
        <w:rPr>
          <w:b/>
          <w:spacing w:val="-4"/>
        </w:rPr>
        <w:t xml:space="preserve">доказательств – </w:t>
      </w:r>
      <w:r w:rsidRPr="00F66BB8">
        <w:rPr>
          <w:b/>
          <w:spacing w:val="-4"/>
        </w:rPr>
        <w:t>5).</w:t>
      </w:r>
    </w:p>
    <w:p w:rsidR="000565F5" w:rsidRPr="0095233F" w:rsidRDefault="0014361E" w:rsidP="00504D96">
      <w:pPr>
        <w:pStyle w:val="a"/>
      </w:pPr>
      <w:r w:rsidRPr="003147A2">
        <w:t xml:space="preserve">Пациентам с подозрением на ХЛЛ/ЛМЛ либо с установленным </w:t>
      </w:r>
      <w:r w:rsidRPr="00504D96">
        <w:t>диагнозом</w:t>
      </w:r>
      <w:r w:rsidRPr="003147A2">
        <w:t xml:space="preserve"> ХЛЛ/ЛМЛ, </w:t>
      </w:r>
      <w:r w:rsidR="006F547D" w:rsidRPr="006F547D">
        <w:t>у которых имеются клинические признаки синдрома Рихтера</w:t>
      </w:r>
      <w:r w:rsidR="001D75FE">
        <w:t xml:space="preserve"> или </w:t>
      </w:r>
      <w:r w:rsidR="00F66BB8">
        <w:t>х</w:t>
      </w:r>
      <w:r w:rsidR="001D75FE">
        <w:t>оджкинской трансформации</w:t>
      </w:r>
      <w:r w:rsidR="006F547D" w:rsidRPr="006F547D">
        <w:t xml:space="preserve"> (прогрессирующий рост </w:t>
      </w:r>
      <w:r w:rsidR="00C20509">
        <w:rPr>
          <w:spacing w:val="-2"/>
        </w:rPr>
        <w:t xml:space="preserve">лимфатических </w:t>
      </w:r>
      <w:r w:rsidR="00C20509" w:rsidRPr="000F2499">
        <w:rPr>
          <w:spacing w:val="-2"/>
        </w:rPr>
        <w:t>узл</w:t>
      </w:r>
      <w:r w:rsidR="00C20509">
        <w:rPr>
          <w:spacing w:val="-2"/>
        </w:rPr>
        <w:t>ов</w:t>
      </w:r>
      <w:r w:rsidR="006F547D" w:rsidRPr="006F547D">
        <w:t>, потеря веса, персис</w:t>
      </w:r>
      <w:r w:rsidR="00F66BB8">
        <w:softHyphen/>
      </w:r>
      <w:r w:rsidR="006F547D" w:rsidRPr="006F547D">
        <w:t xml:space="preserve">тирующая лихорадка без признаков инфекции, высокий уровень </w:t>
      </w:r>
      <w:r w:rsidR="00C079D2">
        <w:t>лактатдегидрогеназы</w:t>
      </w:r>
      <w:r w:rsidR="006F547D" w:rsidRPr="006F547D">
        <w:t>, гиперкальциемия)</w:t>
      </w:r>
      <w:r w:rsidR="006F547D">
        <w:t>,</w:t>
      </w:r>
      <w:r w:rsidR="006322EB">
        <w:t xml:space="preserve"> </w:t>
      </w:r>
      <w:r w:rsidR="000565F5" w:rsidRPr="0095233F">
        <w:rPr>
          <w:b/>
        </w:rPr>
        <w:t>рекомендуется</w:t>
      </w:r>
      <w:r w:rsidR="000565F5" w:rsidRPr="0095233F">
        <w:t xml:space="preserve"> выполнить </w:t>
      </w:r>
      <w:r w:rsidR="001A7456" w:rsidRPr="0095233F">
        <w:t xml:space="preserve">позитронную эмиссионную томографию с </w:t>
      </w:r>
      <w:r w:rsidR="00F66BB8" w:rsidRPr="0095233F">
        <w:t xml:space="preserve">применением </w:t>
      </w:r>
      <w:r w:rsidR="001A7456" w:rsidRPr="0095233F">
        <w:t>туморотропны</w:t>
      </w:r>
      <w:r w:rsidR="00F66BB8" w:rsidRPr="0095233F">
        <w:t>х</w:t>
      </w:r>
      <w:r w:rsidR="001A7456" w:rsidRPr="0095233F">
        <w:t xml:space="preserve"> </w:t>
      </w:r>
      <w:r w:rsidR="00AA4B03" w:rsidRPr="0095233F">
        <w:t>радиофармпрепарат</w:t>
      </w:r>
      <w:r w:rsidR="00F66BB8" w:rsidRPr="0095233F">
        <w:t>ов</w:t>
      </w:r>
      <w:r w:rsidR="00AA4B03" w:rsidRPr="0095233F">
        <w:t xml:space="preserve"> </w:t>
      </w:r>
      <w:r w:rsidR="001A7456" w:rsidRPr="0095233F">
        <w:t>для исключения трансформации либо для выявления зон с вероятной трансформацией</w:t>
      </w:r>
      <w:r w:rsidR="0043716B" w:rsidRPr="0095233F">
        <w:t xml:space="preserve"> </w:t>
      </w:r>
      <w:r w:rsidR="000B0AC3" w:rsidRPr="0095233F">
        <w:fldChar w:fldCharType="begin" w:fldLock="1"/>
      </w:r>
      <w:r w:rsidR="0043716B" w:rsidRPr="0095233F">
        <w:instrText>ADDIN CSL_CITATION {"citationItems":[{"id":"ITEM-1","itemData":{"DOI":"10.3109/10428194.2013.869801","ISSN":"10292403","abstract":"Chronic lymphocytic leukemia/small lymphocytic lymphoma (CLL) cells typically have low 2-deoxy-2-[18F]fluoro-d-glucose (FDG) avidity, and patients with CLL have an increased risk of developing FDG-avid aggressive lymphomas, second malignancies and infections. We hypothesized that FDG positron emission tomography-computed tomography (PET-CT) of the trunk is a sensitive method of detecting these complications in patients with CLL. Of the of 2299 patients with CLL seen in the Division of Hematology at Mayo Clinic Rochester between 1 January 2006 and 31 December 2011, 272 (11.8%) had 526 PET-CT scans and 472 (89.7%) of these were reported as abnormal. Among the 293 (55.7%) PET-CT scans used for routine evaluation of CLL, the PET component was of clinical value in only one instance. In contrast, in 83 (30.5%) patients, PET-CT scans used to evaluate new clinical complications localized high FDG-avidity lesions for biopsies. This resulted in clinically relevant new diagnoses in 32 patients, including those with more aggressive lymphoma (n = 16), non-hematological malignancies (n = 8) and opportunistic infections (n = 3). Twenty-seven patients had high FDG-avidity CLL, which was associated with prominent lymph node proliferation centers, an increased frequency of poor prognostic factors (17p13 deletion, unmutated immunoglobulin heavy chain variable gene [IGHV], expression of ZAP-70 and CD38) and a shorter overall survival. We conclude that FDG PET scans should not be used for routine surveillance of patients with CLL. However PET-CT scans are sensitive, but not specific, for detection of aggressive lymphomas, other cancers and systemic infections in patients with CLL. © 2014 Informa UK, Ltd.","author":[{"dropping-particle":"","family":"Conte","given":"Michael J.","non-dropping-particle":"","parse-names":false,"suffix":""},{"dropping-particle":"","family":"Bowen","given":"Deborah A.","non-dropping-particle":"","parse-names":false,"suffix":""},{"dropping-particle":"","family":"Wiseman","given":"Gregory A.","non-dropping-particle":"","parse-names":false,"suffix":""},{"dropping-particle":"","family":"Rabe","given":"Kari G.","non-dropping-particle":"","parse-names":false,"suffix":""},{"dropping-particle":"","family":"Slager","given":"Susan L.","non-dropping-particle":"","parse-names":false,"suffix":""},{"dropping-particle":"","family":"Schwager","given":"Susan M.","non-dropping-particle":"","parse-names":false,"suffix":""},{"dropping-particle":"","family":"Call","given":"Timothy G.","non-dropping-particle":"","parse-names":false,"suffix":""},{"dropping-particle":"","family":"Viswanatha","given":"David S.","non-dropping-particle":"","parse-names":false,"suffix":""},{"dropping-particle":"","family":"Zent","given":"Clive S.","non-dropping-particle":"","parse-names":false,"suffix":""}],"container-title":"Leukemia and Lymphoma","id":"ITEM-1","issue":"9","issued":{"date-parts":[["2014"]]},"page":"2079-2084","publisher":"Informa Healthcare","title":"Use of positron emission tomography-computed tomography in the management of patients with chronic lymphocytic leukemia/small lymphocytic lymphoma","type":"article-journal","volume":"55"},"uris":["http://www.mendeley.com/documents/?uuid=d05c9517-2d98-3a93-a687-92cfe95ee578"]}],"mendeley":{"formattedCitation":"[21]","plainTextFormattedCitation":"[21]","previouslyFormattedCitation":"[21]"},"properties":{"noteIndex":0},"schema":"https://github.com/citation-style-language/schema/raw/master/csl-citation.json"}</w:instrText>
      </w:r>
      <w:r w:rsidR="000B0AC3" w:rsidRPr="0095233F">
        <w:fldChar w:fldCharType="separate"/>
      </w:r>
      <w:r w:rsidR="0043716B" w:rsidRPr="0095233F">
        <w:rPr>
          <w:noProof/>
        </w:rPr>
        <w:t>[21]</w:t>
      </w:r>
      <w:r w:rsidR="000B0AC3" w:rsidRPr="0095233F">
        <w:fldChar w:fldCharType="end"/>
      </w:r>
      <w:r w:rsidR="000565F5" w:rsidRPr="0095233F">
        <w:t>.</w:t>
      </w:r>
    </w:p>
    <w:p w:rsidR="000565F5" w:rsidRPr="0095233F" w:rsidRDefault="000565F5" w:rsidP="00504D96">
      <w:pPr>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В</w:t>
      </w:r>
      <w:r w:rsidRPr="0095233F">
        <w:rPr>
          <w:b/>
          <w:spacing w:val="-4"/>
        </w:rPr>
        <w:t xml:space="preserve"> (уровень достоверности </w:t>
      </w:r>
      <w:r w:rsidR="00C20509" w:rsidRPr="0095233F">
        <w:rPr>
          <w:b/>
          <w:spacing w:val="-4"/>
        </w:rPr>
        <w:t xml:space="preserve">доказательств – </w:t>
      </w:r>
      <w:r w:rsidR="001E3D61" w:rsidRPr="0095233F">
        <w:rPr>
          <w:b/>
          <w:spacing w:val="-4"/>
        </w:rPr>
        <w:t>3</w:t>
      </w:r>
      <w:r w:rsidRPr="0095233F">
        <w:rPr>
          <w:b/>
          <w:spacing w:val="-4"/>
        </w:rPr>
        <w:t>).</w:t>
      </w:r>
    </w:p>
    <w:p w:rsidR="000565F5" w:rsidRDefault="000565F5" w:rsidP="00504D96">
      <w:pPr>
        <w:contextualSpacing/>
        <w:rPr>
          <w:i/>
        </w:rPr>
      </w:pPr>
      <w:r w:rsidRPr="0095233F">
        <w:rPr>
          <w:b/>
        </w:rPr>
        <w:t>Комментарии:</w:t>
      </w:r>
      <w:r w:rsidR="006322EB" w:rsidRPr="0095233F">
        <w:rPr>
          <w:b/>
        </w:rPr>
        <w:t xml:space="preserve"> </w:t>
      </w:r>
      <w:r w:rsidR="00F66BB8" w:rsidRPr="0095233F">
        <w:rPr>
          <w:i/>
        </w:rPr>
        <w:t>при значениях SUV &lt;</w:t>
      </w:r>
      <w:r w:rsidR="002F2298" w:rsidRPr="0095233F">
        <w:rPr>
          <w:i/>
        </w:rPr>
        <w:t>5 вероятность синдрома Рихтера составляет около 3</w:t>
      </w:r>
      <w:r w:rsidR="00F66BB8" w:rsidRPr="0095233F">
        <w:rPr>
          <w:i/>
        </w:rPr>
        <w:t> </w:t>
      </w:r>
      <w:r w:rsidR="00DD3D1E" w:rsidRPr="0095233F">
        <w:rPr>
          <w:i/>
        </w:rPr>
        <w:t>%</w:t>
      </w:r>
      <w:r w:rsidR="00B21719" w:rsidRPr="0095233F">
        <w:rPr>
          <w:i/>
        </w:rPr>
        <w:t xml:space="preserve"> </w:t>
      </w:r>
      <w:r w:rsidR="000B0AC3" w:rsidRPr="0095233F">
        <w:rPr>
          <w:i/>
        </w:rPr>
        <w:fldChar w:fldCharType="begin" w:fldLock="1"/>
      </w:r>
      <w:r w:rsidR="00015814" w:rsidRPr="0095233F">
        <w:rPr>
          <w:i/>
        </w:rPr>
        <w:instrText>ADDIN CSL_CITATION {"citationItems":[{"id":"ITEM-1","itemData":{"DOI":"10.1182/blood-2013-11-516229","ISSN":"1528-0020","PMID":"24421328","abstract":"Richter syndrome (RS) is defined as the transformation of chronic lymphocytic leukemia (CLL) into an aggressive lymphoma, most commonly diffuse large B-cell lymphoma (DLBCL). RS occurs in approximately 2% to 10% of CLL patients during the course of their disease, with a transformation rate of 0.5% to 1% per year. A combination of germline genetic characteristics, clinical features (eg, advanced Rai stage), biologic (ζ-associated protein-70(+), CD38(+), CD49d(+)) and somatic genetic (del17p13.1 or del11q23.1) characteristics of CLL B cells, and certain CLL therapies are associated with higher risk of RS. Recent studies have also identified the crucial role of CDKN2A loss, TP53 disruption, C-MYC activation, and NOTCH1 mutations in the transformation from CLL to RS. An excisional lymph node biopsy is considered the gold standard for diagnosis of RS; a (18)F-fluorodeoxyglucose positron emission tomography scan can help inform the optimal site for biopsy. Approximately 80% of DLBCL cases in patients with CLL are clonally related to the underlying CLL, and the median survival for these patients is approximately 1 year. In contrast, the remaining 20% of patients have a clonally unrelated DLBCL and have a prognosis similar to that of de novo DLBCL. For patients with clonally related DLBCL, induction therapy with either an anthracycline- or platinum-based regimen is the standard approach. Postremission stem cell transplantation should be considered for appropriate patients. This article summarizes our approach to the clinical management of CLL patients who develop RS.","author":[{"dropping-particle":"","family":"Parikh","given":"Sameer A","non-dropping-particle":"","parse-names":false,"suffix":""},{"dropping-particle":"","family":"Kay","given":"Neil E","non-dropping-particle":"","parse-names":false,"suffix":""},{"dropping-particle":"","family":"Shanafelt","given":"Tait D","non-dropping-particle":"","parse-names":false,"suffix":""}],"container-title":"Blood","id":"ITEM-1","issue":"11","issued":{"date-parts":[["2014","3","13"]]},"page":"1647-57","title":"How we treat Richter syndrome.","type":"article-journal","volume":"123"},"uris":["http://www.mendeley.com/documents/?uuid=56ea1336-4bd5-324f-82d0-e12a770d4083"]}],"mendeley":{"formattedCitation":"[22]","plainTextFormattedCitation":"[22]","previouslyFormattedCitation":"[22]"},"properties":{"noteIndex":0},"schema":"https://github.com/citation-style-language/schema/raw/master/csl-citation.json"}</w:instrText>
      </w:r>
      <w:r w:rsidR="000B0AC3" w:rsidRPr="0095233F">
        <w:rPr>
          <w:i/>
        </w:rPr>
        <w:fldChar w:fldCharType="separate"/>
      </w:r>
      <w:r w:rsidR="00015814" w:rsidRPr="0095233F">
        <w:rPr>
          <w:noProof/>
        </w:rPr>
        <w:t>[22]</w:t>
      </w:r>
      <w:r w:rsidR="000B0AC3" w:rsidRPr="0095233F">
        <w:rPr>
          <w:i/>
        </w:rPr>
        <w:fldChar w:fldCharType="end"/>
      </w:r>
      <w:r w:rsidR="002F2298" w:rsidRPr="0095233F">
        <w:rPr>
          <w:i/>
        </w:rPr>
        <w:t xml:space="preserve">. </w:t>
      </w:r>
      <w:r w:rsidR="00F66BB8" w:rsidRPr="0095233F">
        <w:rPr>
          <w:i/>
        </w:rPr>
        <w:t>Д</w:t>
      </w:r>
      <w:r w:rsidR="002F2298" w:rsidRPr="0095233F">
        <w:rPr>
          <w:i/>
        </w:rPr>
        <w:t xml:space="preserve">ля синдрома Рихтера </w:t>
      </w:r>
      <w:r w:rsidR="00F66BB8" w:rsidRPr="0095233F">
        <w:rPr>
          <w:i/>
        </w:rPr>
        <w:t xml:space="preserve">типичны </w:t>
      </w:r>
      <w:r w:rsidR="002F2298" w:rsidRPr="0095233F">
        <w:rPr>
          <w:i/>
        </w:rPr>
        <w:t>значения SUV &gt;15</w:t>
      </w:r>
      <w:r w:rsidR="00F66BB8" w:rsidRPr="0095233F">
        <w:rPr>
          <w:i/>
        </w:rPr>
        <w:t> %</w:t>
      </w:r>
      <w:r w:rsidR="002F2298" w:rsidRPr="0095233F">
        <w:rPr>
          <w:i/>
        </w:rPr>
        <w:t>. Если интенсивность накопления препарата отчетливо различается</w:t>
      </w:r>
      <w:r w:rsidR="002F2298" w:rsidRPr="00741B6B">
        <w:rPr>
          <w:i/>
        </w:rPr>
        <w:t xml:space="preserve"> в разных зонах, необходимо выполнение биопсии наиболее активного </w:t>
      </w:r>
      <w:r w:rsidR="002F2298">
        <w:rPr>
          <w:i/>
        </w:rPr>
        <w:t xml:space="preserve">узла или </w:t>
      </w:r>
      <w:r w:rsidR="002F2298" w:rsidRPr="00741B6B">
        <w:rPr>
          <w:i/>
        </w:rPr>
        <w:t>очага</w:t>
      </w:r>
      <w:r w:rsidRPr="00741B6B">
        <w:rPr>
          <w:i/>
        </w:rPr>
        <w:t>.</w:t>
      </w:r>
    </w:p>
    <w:p w:rsidR="00B21719" w:rsidRDefault="00B21719" w:rsidP="00504D96">
      <w:pPr>
        <w:pStyle w:val="a"/>
      </w:pPr>
      <w:r>
        <w:t xml:space="preserve">Всем пациентам с верифицированным ХЛЛ/ЛМЛ перед началом </w:t>
      </w:r>
      <w:r w:rsidRPr="00504D96">
        <w:t>терапии</w:t>
      </w:r>
      <w:r>
        <w:t xml:space="preserve"> для своевременного выявления сопутствующей</w:t>
      </w:r>
      <w:r w:rsidRPr="008045CA">
        <w:t xml:space="preserve"> </w:t>
      </w:r>
      <w:r>
        <w:t>патологии со стороны сердечно-сосудистой, дыхательной и пищеварительной систем</w:t>
      </w:r>
      <w:r w:rsidR="00F66BB8">
        <w:t xml:space="preserve"> и для</w:t>
      </w:r>
      <w:r w:rsidRPr="005C444A">
        <w:t xml:space="preserve"> </w:t>
      </w:r>
      <w:r>
        <w:t xml:space="preserve">определения необходимости </w:t>
      </w:r>
      <w:r w:rsidR="00F66BB8">
        <w:t xml:space="preserve">их </w:t>
      </w:r>
      <w:r>
        <w:t xml:space="preserve">профилактики или лечения </w:t>
      </w:r>
      <w:r w:rsidR="00F66BB8">
        <w:rPr>
          <w:b/>
          <w:bCs/>
        </w:rPr>
        <w:t xml:space="preserve">рекомендуется </w:t>
      </w:r>
      <w:r>
        <w:t xml:space="preserve">выполнить следующие исследования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rsidR="00B21719" w:rsidRDefault="00B21719" w:rsidP="00BE7488">
      <w:pPr>
        <w:pStyle w:val="a"/>
        <w:numPr>
          <w:ilvl w:val="0"/>
          <w:numId w:val="28"/>
        </w:numPr>
        <w:spacing w:before="0"/>
      </w:pPr>
      <w:r w:rsidRPr="00617969">
        <w:t>электрокардиографи</w:t>
      </w:r>
      <w:r>
        <w:t>ю;</w:t>
      </w:r>
    </w:p>
    <w:p w:rsidR="00B21719" w:rsidRDefault="00B21719" w:rsidP="00BE7488">
      <w:pPr>
        <w:pStyle w:val="a"/>
        <w:numPr>
          <w:ilvl w:val="0"/>
          <w:numId w:val="28"/>
        </w:numPr>
        <w:spacing w:before="0"/>
      </w:pPr>
      <w:r>
        <w:t>эхокардиографию;</w:t>
      </w:r>
    </w:p>
    <w:p w:rsidR="00B21719" w:rsidRDefault="00B21719" w:rsidP="00BE7488">
      <w:pPr>
        <w:pStyle w:val="a"/>
        <w:numPr>
          <w:ilvl w:val="0"/>
          <w:numId w:val="28"/>
        </w:numPr>
        <w:spacing w:before="0"/>
      </w:pPr>
      <w:r w:rsidRPr="005C444A">
        <w:t>ультразвуков</w:t>
      </w:r>
      <w:r>
        <w:t>ую</w:t>
      </w:r>
      <w:r w:rsidRPr="005C444A">
        <w:t xml:space="preserve"> допплерографи</w:t>
      </w:r>
      <w:r>
        <w:t>ю</w:t>
      </w:r>
      <w:r w:rsidRPr="005C444A">
        <w:t xml:space="preserve"> сосудов (артерий и вен) </w:t>
      </w:r>
      <w:r>
        <w:t>нижних</w:t>
      </w:r>
      <w:r w:rsidRPr="005C444A">
        <w:t xml:space="preserve"> конечностей</w:t>
      </w:r>
      <w:r w:rsidR="00F66BB8">
        <w:t>.</w:t>
      </w:r>
    </w:p>
    <w:p w:rsidR="00B21719" w:rsidRPr="00C403C8" w:rsidRDefault="00B21719" w:rsidP="00504D96">
      <w:pPr>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Pr="00C403C8">
        <w:rPr>
          <w:b/>
          <w:spacing w:val="-4"/>
        </w:rPr>
        <w:t>5).</w:t>
      </w:r>
    </w:p>
    <w:p w:rsidR="004D7374" w:rsidRPr="00C47BAB" w:rsidRDefault="00AE6C08" w:rsidP="00B93B9E">
      <w:pPr>
        <w:pStyle w:val="2"/>
        <w:contextualSpacing/>
        <w:rPr>
          <w:lang w:val="en-US"/>
        </w:rPr>
      </w:pPr>
      <w:bookmarkStart w:id="38" w:name="_Toc23601724"/>
      <w:bookmarkStart w:id="39" w:name="_Toc24546437"/>
      <w:r>
        <w:t xml:space="preserve">2.5. </w:t>
      </w:r>
      <w:bookmarkEnd w:id="38"/>
      <w:r w:rsidR="00CF20D8">
        <w:t>Иные диагностические исследования</w:t>
      </w:r>
      <w:bookmarkEnd w:id="39"/>
    </w:p>
    <w:p w:rsidR="00B21719" w:rsidRPr="00213F0A" w:rsidRDefault="00B21719" w:rsidP="00504D96">
      <w:pPr>
        <w:pStyle w:val="a"/>
        <w:rPr>
          <w:b/>
        </w:rPr>
      </w:pPr>
      <w:r w:rsidRPr="00504D96">
        <w:t>Всем</w:t>
      </w:r>
      <w:r>
        <w:t xml:space="preserve"> пациентам с ХЛЛ/ЛМЛ с коморбидностью, которая может повлиять на выбор программы противоопухолевого лечения, перед началом терапии </w:t>
      </w:r>
      <w:r w:rsidRPr="00213F0A">
        <w:rPr>
          <w:b/>
          <w:bCs/>
        </w:rPr>
        <w:t>рекомендуется</w:t>
      </w:r>
      <w:r>
        <w:rPr>
          <w:b/>
          <w:bCs/>
        </w:rPr>
        <w:t xml:space="preserve"> </w:t>
      </w:r>
      <w:r>
        <w:t>консультация соответствующего врача-специалиста (</w:t>
      </w:r>
      <w:r w:rsidR="004E6BF1">
        <w:t>врача-</w:t>
      </w:r>
      <w:r>
        <w:t xml:space="preserve">кардиолога, </w:t>
      </w:r>
      <w:r w:rsidR="004E6BF1">
        <w:t>врача-</w:t>
      </w:r>
      <w:r w:rsidRPr="002538FD">
        <w:t>невролога,</w:t>
      </w:r>
      <w:r>
        <w:t xml:space="preserve"> </w:t>
      </w:r>
      <w:r w:rsidR="004E6BF1">
        <w:t>врача-</w:t>
      </w:r>
      <w:r>
        <w:t>оториноларинолога</w:t>
      </w:r>
      <w:r w:rsidRPr="002538FD">
        <w:t xml:space="preserve"> и др</w:t>
      </w:r>
      <w:r>
        <w:t xml:space="preserve">.)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rsidR="006322EB" w:rsidRPr="00C403C8" w:rsidRDefault="00B21719" w:rsidP="00C403C8">
      <w:pPr>
        <w:pStyle w:val="11"/>
        <w:spacing w:beforeAutospacing="0" w:afterAutospacing="0"/>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00C403C8">
        <w:rPr>
          <w:b/>
          <w:spacing w:val="-4"/>
        </w:rPr>
        <w:t>5).</w:t>
      </w:r>
    </w:p>
    <w:p w:rsidR="00F94109" w:rsidRPr="00397360" w:rsidRDefault="004D7374" w:rsidP="00C403C8">
      <w:pPr>
        <w:pStyle w:val="1"/>
        <w:spacing w:before="480"/>
        <w:rPr>
          <w:sz w:val="24"/>
          <w:szCs w:val="24"/>
        </w:rPr>
      </w:pPr>
      <w:bookmarkStart w:id="40" w:name="_Toc520213125"/>
      <w:bookmarkStart w:id="41" w:name="_Toc24546438"/>
      <w:bookmarkStart w:id="42" w:name="_Toc23601725"/>
      <w:r w:rsidRPr="00397360">
        <w:rPr>
          <w:sz w:val="24"/>
          <w:szCs w:val="24"/>
        </w:rPr>
        <w:lastRenderedPageBreak/>
        <w:t xml:space="preserve">3. </w:t>
      </w:r>
      <w:bookmarkEnd w:id="40"/>
      <w:r w:rsidR="00F94109" w:rsidRPr="00397360">
        <w:rPr>
          <w:sz w:val="24"/>
          <w:szCs w:val="24"/>
        </w:rPr>
        <w:t xml:space="preserve">Лечение, включая медикаментозную и немедикаментозную терапии, диетотерапию, обезболивание, медицинские показания </w:t>
      </w:r>
      <w:r w:rsidR="00C403C8" w:rsidRPr="00397360">
        <w:rPr>
          <w:sz w:val="24"/>
          <w:szCs w:val="24"/>
        </w:rPr>
        <w:br/>
      </w:r>
      <w:r w:rsidR="00F94109" w:rsidRPr="00397360">
        <w:rPr>
          <w:sz w:val="24"/>
          <w:szCs w:val="24"/>
        </w:rPr>
        <w:t>и противопоказания к применению методов лечения</w:t>
      </w:r>
      <w:bookmarkEnd w:id="41"/>
      <w:bookmarkEnd w:id="42"/>
    </w:p>
    <w:p w:rsidR="004D7374" w:rsidRDefault="004D7374" w:rsidP="00B93B9E">
      <w:pPr>
        <w:pStyle w:val="2"/>
        <w:contextualSpacing/>
      </w:pPr>
      <w:bookmarkStart w:id="43" w:name="_Toc24546439"/>
      <w:bookmarkStart w:id="44" w:name="_Toc23601726"/>
      <w:r>
        <w:t>3.1</w:t>
      </w:r>
      <w:r w:rsidR="00397360" w:rsidRPr="00397360">
        <w:t>.</w:t>
      </w:r>
      <w:r>
        <w:t xml:space="preserve"> Показания к началу терапии В-клеточного </w:t>
      </w:r>
      <w:r w:rsidR="00BE6A1C">
        <w:t>ХЛЛ</w:t>
      </w:r>
      <w:bookmarkEnd w:id="43"/>
      <w:bookmarkEnd w:id="44"/>
    </w:p>
    <w:p w:rsidR="004D7374" w:rsidRDefault="004D7374" w:rsidP="00504D96">
      <w:pPr>
        <w:pStyle w:val="a"/>
      </w:pPr>
      <w:r w:rsidRPr="00504D96">
        <w:t>Всем</w:t>
      </w:r>
      <w:r>
        <w:t xml:space="preserve"> пациентам с верифицированным ХЛЛ/ЛМЛ </w:t>
      </w:r>
      <w:r w:rsidRPr="00D25605">
        <w:rPr>
          <w:b/>
        </w:rPr>
        <w:t>рекоменд</w:t>
      </w:r>
      <w:r w:rsidR="008E45D6">
        <w:rPr>
          <w:b/>
        </w:rPr>
        <w:t>уется</w:t>
      </w:r>
      <w:r>
        <w:t xml:space="preserve"> начало специфической терапии только при наличии показаний в соответствии с крит</w:t>
      </w:r>
      <w:r w:rsidR="00383556">
        <w:t xml:space="preserve">ериями </w:t>
      </w:r>
      <w:r w:rsidR="008502F5">
        <w:t>IWCLL</w:t>
      </w:r>
      <w:r w:rsidR="00383556">
        <w:t xml:space="preserve"> 2018 (</w:t>
      </w:r>
      <w:r w:rsidR="00C403C8">
        <w:t>см. </w:t>
      </w:r>
      <w:r w:rsidR="00383556">
        <w:t xml:space="preserve">приложение </w:t>
      </w:r>
      <w:r w:rsidR="00437AD9">
        <w:t>А3.2</w:t>
      </w:r>
      <w:r>
        <w:t>)</w:t>
      </w:r>
      <w:r w:rsidR="00E97E28">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w:t>
      </w:r>
    </w:p>
    <w:p w:rsidR="004D7374" w:rsidRPr="00C403C8" w:rsidRDefault="004D7374" w:rsidP="00504D96">
      <w:pPr>
        <w:contextualSpacing/>
        <w:rPr>
          <w:b/>
          <w:spacing w:val="-4"/>
        </w:rPr>
      </w:pPr>
      <w:r w:rsidRPr="00C403C8">
        <w:rPr>
          <w:b/>
          <w:spacing w:val="-4"/>
        </w:rPr>
        <w:t xml:space="preserve">Уровень убедительности </w:t>
      </w:r>
      <w:r w:rsidR="00C20509" w:rsidRPr="00C403C8">
        <w:rPr>
          <w:b/>
          <w:spacing w:val="-4"/>
        </w:rPr>
        <w:t xml:space="preserve">рекомендаций – </w:t>
      </w:r>
      <w:r w:rsidR="005C6207" w:rsidRPr="00C403C8">
        <w:rPr>
          <w:b/>
          <w:spacing w:val="-4"/>
        </w:rPr>
        <w:t>С</w:t>
      </w:r>
      <w:r w:rsidR="000E3DE6" w:rsidRPr="00C403C8">
        <w:rPr>
          <w:b/>
          <w:spacing w:val="-4"/>
        </w:rPr>
        <w:t xml:space="preserve"> </w:t>
      </w:r>
      <w:r w:rsidRPr="00C403C8">
        <w:rPr>
          <w:b/>
          <w:spacing w:val="-4"/>
        </w:rPr>
        <w:t>(урове</w:t>
      </w:r>
      <w:r w:rsidR="001E3D61" w:rsidRPr="00C403C8">
        <w:rPr>
          <w:b/>
          <w:spacing w:val="-4"/>
        </w:rPr>
        <w:t xml:space="preserve">нь достоверности </w:t>
      </w:r>
      <w:r w:rsidR="00C20509" w:rsidRPr="00C403C8">
        <w:rPr>
          <w:b/>
          <w:spacing w:val="-4"/>
        </w:rPr>
        <w:t xml:space="preserve">доказательств – </w:t>
      </w:r>
      <w:r w:rsidR="005C6207" w:rsidRPr="00C403C8">
        <w:rPr>
          <w:b/>
          <w:spacing w:val="-4"/>
        </w:rPr>
        <w:t>5</w:t>
      </w:r>
      <w:r w:rsidRPr="00C403C8">
        <w:rPr>
          <w:b/>
          <w:spacing w:val="-4"/>
        </w:rPr>
        <w:t>)</w:t>
      </w:r>
      <w:r w:rsidR="00383556" w:rsidRPr="00C403C8">
        <w:rPr>
          <w:b/>
          <w:spacing w:val="-4"/>
        </w:rPr>
        <w:t>.</w:t>
      </w:r>
    </w:p>
    <w:p w:rsidR="004D7374" w:rsidRPr="00383556" w:rsidRDefault="00A81638" w:rsidP="00504D96">
      <w:pPr>
        <w:contextualSpacing/>
        <w:rPr>
          <w:i/>
        </w:rPr>
      </w:pPr>
      <w:r>
        <w:rPr>
          <w:b/>
        </w:rPr>
        <w:t>Комментарии</w:t>
      </w:r>
      <w:r w:rsidR="004D7374" w:rsidRPr="00383556">
        <w:rPr>
          <w:b/>
        </w:rPr>
        <w:t>:</w:t>
      </w:r>
      <w:r w:rsidR="00572E8D">
        <w:rPr>
          <w:b/>
        </w:rPr>
        <w:t xml:space="preserve"> </w:t>
      </w:r>
      <w:r w:rsidR="00E97E28" w:rsidRPr="00383556">
        <w:rPr>
          <w:i/>
        </w:rPr>
        <w:t xml:space="preserve">около </w:t>
      </w:r>
      <w:r w:rsidR="004D7374" w:rsidRPr="00383556">
        <w:rPr>
          <w:i/>
        </w:rPr>
        <w:t>30</w:t>
      </w:r>
      <w:r w:rsidR="00DD3D1E">
        <w:rPr>
          <w:i/>
        </w:rPr>
        <w:t xml:space="preserve"> %</w:t>
      </w:r>
      <w:r w:rsidR="004D7374" w:rsidRPr="00383556">
        <w:rPr>
          <w:i/>
        </w:rPr>
        <w:t xml:space="preserve"> пациентов имеют медленно прогрессирующее течение ХЛЛ, причем продолжительность их жизни близка к общепопуляционной. Наличие такой группы </w:t>
      </w:r>
      <w:r w:rsidR="008E45D6">
        <w:rPr>
          <w:i/>
        </w:rPr>
        <w:t>пациентов</w:t>
      </w:r>
      <w:r w:rsidR="004D7374" w:rsidRPr="00383556">
        <w:rPr>
          <w:i/>
        </w:rPr>
        <w:t xml:space="preserve"> делает обоснованной тактику выжидательного наблюдения до появления показаний к терапии. </w:t>
      </w:r>
      <w:r w:rsidR="00E97E28" w:rsidRPr="00E97E28">
        <w:rPr>
          <w:i/>
        </w:rPr>
        <w:t>Т</w:t>
      </w:r>
      <w:r w:rsidR="004D7374" w:rsidRPr="00383556">
        <w:rPr>
          <w:i/>
        </w:rPr>
        <w:t xml:space="preserve">ерапия ХЛЛ должна начинаться при наличии показаний по критериям </w:t>
      </w:r>
      <w:r w:rsidR="008502F5" w:rsidRPr="00383556">
        <w:rPr>
          <w:i/>
        </w:rPr>
        <w:t xml:space="preserve">IWCLL </w:t>
      </w:r>
      <w:r w:rsidR="004D7374" w:rsidRPr="00383556">
        <w:rPr>
          <w:i/>
        </w:rPr>
        <w:t>2018.</w:t>
      </w:r>
      <w:r w:rsidR="00C52C85">
        <w:rPr>
          <w:i/>
        </w:rPr>
        <w:t xml:space="preserve"> </w:t>
      </w:r>
      <w:r w:rsidR="004D7374" w:rsidRPr="00383556">
        <w:rPr>
          <w:i/>
        </w:rPr>
        <w:t xml:space="preserve">Пациенты в стадии А с </w:t>
      </w:r>
      <w:r w:rsidR="00AA4B03" w:rsidRPr="00AA4B03">
        <w:rPr>
          <w:i/>
        </w:rPr>
        <w:t>аутоиммунн</w:t>
      </w:r>
      <w:r w:rsidR="00C403C8">
        <w:rPr>
          <w:i/>
        </w:rPr>
        <w:t>ой гемолитической</w:t>
      </w:r>
      <w:r w:rsidR="00AA4B03" w:rsidRPr="00AA4B03">
        <w:rPr>
          <w:i/>
        </w:rPr>
        <w:t xml:space="preserve"> анеми</w:t>
      </w:r>
      <w:r w:rsidR="00C403C8">
        <w:rPr>
          <w:i/>
        </w:rPr>
        <w:t>ей</w:t>
      </w:r>
      <w:r w:rsidR="004D7374" w:rsidRPr="00383556">
        <w:rPr>
          <w:i/>
        </w:rPr>
        <w:t xml:space="preserve"> или </w:t>
      </w:r>
      <w:r w:rsidR="00AA4B03" w:rsidRPr="00AA4B03">
        <w:rPr>
          <w:i/>
        </w:rPr>
        <w:t>идиопатическ</w:t>
      </w:r>
      <w:r w:rsidR="00C403C8">
        <w:rPr>
          <w:i/>
        </w:rPr>
        <w:t>ой</w:t>
      </w:r>
      <w:r w:rsidR="00AA4B03" w:rsidRPr="00AA4B03">
        <w:rPr>
          <w:i/>
        </w:rPr>
        <w:t xml:space="preserve"> тромбоцитопеническ</w:t>
      </w:r>
      <w:r w:rsidR="00C403C8">
        <w:rPr>
          <w:i/>
        </w:rPr>
        <w:t>ой пурпурой</w:t>
      </w:r>
      <w:r w:rsidR="004D7374" w:rsidRPr="00383556">
        <w:rPr>
          <w:i/>
        </w:rPr>
        <w:t xml:space="preserve"> должны получать лечение по поводу этих</w:t>
      </w:r>
      <w:r w:rsidR="00C52C85">
        <w:rPr>
          <w:i/>
        </w:rPr>
        <w:t xml:space="preserve"> осложнений.</w:t>
      </w:r>
      <w:r w:rsidR="004D7374" w:rsidRPr="00383556">
        <w:rPr>
          <w:i/>
        </w:rPr>
        <w:t xml:space="preserve"> Если аутоиммунное осложнение плохо отвечает на терапию </w:t>
      </w:r>
      <w:r w:rsidR="00804814" w:rsidRPr="00804814">
        <w:rPr>
          <w:bCs/>
          <w:i/>
          <w:szCs w:val="24"/>
          <w:shd w:val="clear" w:color="auto" w:fill="FFFFFF"/>
        </w:rPr>
        <w:t>кортикостероидами для системного использования</w:t>
      </w:r>
      <w:r w:rsidR="004D7374" w:rsidRPr="00383556">
        <w:rPr>
          <w:i/>
        </w:rPr>
        <w:t>, возможно применение направленной на ХЛЛ иммунохимиотерапии. Бессимптомная гипогаммаглобулинемия и наличие моноклональной секреции сами по себе не являются показаниями к лечению.</w:t>
      </w:r>
      <w:r w:rsidR="00572E8D">
        <w:rPr>
          <w:i/>
        </w:rPr>
        <w:t xml:space="preserve"> </w:t>
      </w:r>
      <w:r w:rsidR="004D7374" w:rsidRPr="00383556">
        <w:rPr>
          <w:i/>
        </w:rPr>
        <w:t xml:space="preserve">Выявление маркеров отрицательного прогноза, в том числе делеции 17p </w:t>
      </w:r>
      <w:r w:rsidR="00C403C8">
        <w:rPr>
          <w:i/>
        </w:rPr>
        <w:t>не</w:t>
      </w:r>
      <w:r w:rsidR="004D7374" w:rsidRPr="00383556">
        <w:rPr>
          <w:i/>
        </w:rPr>
        <w:t xml:space="preserve"> является показанием к началу терапии. </w:t>
      </w:r>
    </w:p>
    <w:p w:rsidR="004D7374" w:rsidRDefault="004D7374" w:rsidP="00B93B9E">
      <w:pPr>
        <w:pStyle w:val="2"/>
        <w:contextualSpacing/>
      </w:pPr>
      <w:bookmarkStart w:id="45" w:name="_Toc24546440"/>
      <w:bookmarkStart w:id="46" w:name="_Toc23601727"/>
      <w:r>
        <w:t>3.2</w:t>
      </w:r>
      <w:r w:rsidR="00397360" w:rsidRPr="00907D07">
        <w:t>.</w:t>
      </w:r>
      <w:r>
        <w:t xml:space="preserve"> Первая линия лечения ХЛЛ</w:t>
      </w:r>
      <w:bookmarkEnd w:id="45"/>
      <w:bookmarkEnd w:id="46"/>
    </w:p>
    <w:p w:rsidR="007B5AE5" w:rsidRDefault="007B5AE5" w:rsidP="00351D7B">
      <w:pPr>
        <w:ind w:firstLine="709"/>
        <w:contextualSpacing/>
        <w:rPr>
          <w:i/>
        </w:rPr>
      </w:pPr>
      <w:r w:rsidRPr="003147A2">
        <w:rPr>
          <w:i/>
        </w:rPr>
        <w:t xml:space="preserve">Цели лечения в первую очередь определяются возрастом, а также числом и тяжестью сопутствующих заболеваний (табл. </w:t>
      </w:r>
      <w:r w:rsidR="00C403C8">
        <w:rPr>
          <w:i/>
        </w:rPr>
        <w:t>3</w:t>
      </w:r>
      <w:r w:rsidRPr="003147A2">
        <w:rPr>
          <w:i/>
        </w:rPr>
        <w:t>).</w:t>
      </w:r>
    </w:p>
    <w:p w:rsidR="00C403C8" w:rsidRPr="003147A2" w:rsidRDefault="00C403C8" w:rsidP="00351D7B">
      <w:pPr>
        <w:ind w:firstLine="709"/>
        <w:contextualSpacing/>
        <w:rPr>
          <w:i/>
        </w:rPr>
      </w:pPr>
    </w:p>
    <w:p w:rsidR="00C403C8" w:rsidRPr="00504D96" w:rsidRDefault="007B5AE5" w:rsidP="00504D96">
      <w:pPr>
        <w:contextualSpacing/>
        <w:jc w:val="left"/>
        <w:rPr>
          <w:b/>
          <w:i/>
        </w:rPr>
      </w:pPr>
      <w:r w:rsidRPr="00504D96">
        <w:rPr>
          <w:b/>
          <w:i/>
        </w:rPr>
        <w:t xml:space="preserve">Таблица </w:t>
      </w:r>
      <w:r w:rsidR="00C403C8">
        <w:rPr>
          <w:b/>
          <w:i/>
        </w:rPr>
        <w:t>3</w:t>
      </w:r>
      <w:r w:rsidR="00504D96">
        <w:rPr>
          <w:b/>
          <w:i/>
        </w:rPr>
        <w:t xml:space="preserve">. </w:t>
      </w:r>
      <w:r w:rsidRPr="00504D96">
        <w:rPr>
          <w:b/>
          <w:i/>
        </w:rPr>
        <w:t xml:space="preserve">Подразделение на группы пациентов с </w:t>
      </w:r>
      <w:r w:rsidR="00C403C8" w:rsidRPr="00C403C8">
        <w:rPr>
          <w:b/>
          <w:i/>
        </w:rPr>
        <w:t>хроническ</w:t>
      </w:r>
      <w:r w:rsidR="00C403C8">
        <w:rPr>
          <w:b/>
          <w:i/>
        </w:rPr>
        <w:t>им</w:t>
      </w:r>
      <w:r w:rsidR="00C403C8" w:rsidRPr="00C403C8">
        <w:rPr>
          <w:b/>
          <w:i/>
        </w:rPr>
        <w:t xml:space="preserve"> лимфоцитарн</w:t>
      </w:r>
      <w:r w:rsidR="00C403C8">
        <w:rPr>
          <w:b/>
          <w:i/>
        </w:rPr>
        <w:t>ым лейкозом</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2402"/>
        <w:gridCol w:w="2510"/>
        <w:gridCol w:w="2410"/>
      </w:tblGrid>
      <w:tr w:rsidR="007B5AE5" w:rsidRPr="005B4606" w:rsidTr="00C403C8">
        <w:trPr>
          <w:trHeight w:hRule="exact" w:val="937"/>
        </w:trPr>
        <w:tc>
          <w:tcPr>
            <w:tcW w:w="2029" w:type="dxa"/>
            <w:tcMar>
              <w:left w:w="57" w:type="dxa"/>
            </w:tcMar>
            <w:vAlign w:val="center"/>
          </w:tcPr>
          <w:p w:rsidR="007B5AE5" w:rsidRPr="003147A2" w:rsidRDefault="007B5AE5" w:rsidP="00C403C8">
            <w:pPr>
              <w:pStyle w:val="TableParagraph"/>
              <w:spacing w:before="60" w:after="60"/>
              <w:ind w:left="0" w:firstLine="6"/>
              <w:rPr>
                <w:rFonts w:ascii="Times New Roman" w:hAnsi="Times New Roman" w:cs="Times New Roman"/>
                <w:b/>
                <w:i/>
                <w:lang w:val="ru-RU"/>
              </w:rPr>
            </w:pPr>
            <w:r w:rsidRPr="003147A2">
              <w:rPr>
                <w:rFonts w:ascii="Times New Roman" w:hAnsi="Times New Roman" w:cs="Times New Roman"/>
                <w:b/>
                <w:i/>
                <w:lang w:val="ru-RU"/>
              </w:rPr>
              <w:t>Коморбидность, возраст</w:t>
            </w:r>
          </w:p>
        </w:tc>
        <w:tc>
          <w:tcPr>
            <w:tcW w:w="2402" w:type="dxa"/>
            <w:tcMar>
              <w:left w:w="57" w:type="dxa"/>
            </w:tcMar>
            <w:vAlign w:val="center"/>
          </w:tcPr>
          <w:p w:rsidR="007B5AE5" w:rsidRPr="003147A2" w:rsidRDefault="007B5AE5" w:rsidP="00C403C8">
            <w:pPr>
              <w:pStyle w:val="TableParagraph"/>
              <w:spacing w:before="60" w:after="60"/>
              <w:ind w:left="0" w:firstLine="6"/>
              <w:jc w:val="center"/>
              <w:rPr>
                <w:rFonts w:ascii="Times New Roman" w:hAnsi="Times New Roman" w:cs="Times New Roman"/>
                <w:i/>
                <w:lang w:val="ru-RU"/>
              </w:rPr>
            </w:pPr>
            <w:r w:rsidRPr="003147A2">
              <w:rPr>
                <w:rFonts w:ascii="Times New Roman" w:hAnsi="Times New Roman" w:cs="Times New Roman"/>
                <w:i/>
                <w:lang w:val="ru-RU"/>
              </w:rPr>
              <w:t>Нет значимой</w:t>
            </w:r>
            <w:r w:rsidRPr="003147A2">
              <w:rPr>
                <w:rFonts w:ascii="Times New Roman" w:hAnsi="Times New Roman" w:cs="Times New Roman"/>
                <w:i/>
              </w:rPr>
              <w:t xml:space="preserve"> коморбидности</w:t>
            </w:r>
          </w:p>
        </w:tc>
        <w:tc>
          <w:tcPr>
            <w:tcW w:w="2510" w:type="dxa"/>
            <w:tcMar>
              <w:left w:w="57" w:type="dxa"/>
            </w:tcMar>
            <w:vAlign w:val="center"/>
          </w:tcPr>
          <w:p w:rsidR="007B5AE5" w:rsidRPr="003147A2" w:rsidRDefault="007B5AE5" w:rsidP="00C403C8">
            <w:pPr>
              <w:pStyle w:val="TableParagraph"/>
              <w:spacing w:before="60" w:after="60"/>
              <w:ind w:left="0" w:firstLine="6"/>
              <w:jc w:val="center"/>
              <w:rPr>
                <w:rFonts w:ascii="Times New Roman" w:hAnsi="Times New Roman" w:cs="Times New Roman"/>
                <w:i/>
                <w:lang w:val="ru-RU"/>
              </w:rPr>
            </w:pPr>
            <w:r w:rsidRPr="003147A2">
              <w:rPr>
                <w:rFonts w:ascii="Times New Roman" w:hAnsi="Times New Roman" w:cs="Times New Roman"/>
                <w:i/>
                <w:lang w:val="ru-RU"/>
              </w:rPr>
              <w:t>Значимая</w:t>
            </w:r>
            <w:r w:rsidR="00E97E28">
              <w:rPr>
                <w:rFonts w:ascii="Times New Roman" w:hAnsi="Times New Roman" w:cs="Times New Roman"/>
                <w:i/>
                <w:lang w:val="ru-RU"/>
              </w:rPr>
              <w:t xml:space="preserve"> </w:t>
            </w:r>
            <w:r w:rsidRPr="003147A2">
              <w:rPr>
                <w:rFonts w:ascii="Times New Roman" w:hAnsi="Times New Roman" w:cs="Times New Roman"/>
                <w:i/>
              </w:rPr>
              <w:t>коморбидность</w:t>
            </w:r>
          </w:p>
        </w:tc>
        <w:tc>
          <w:tcPr>
            <w:tcW w:w="2410" w:type="dxa"/>
            <w:tcMar>
              <w:left w:w="57" w:type="dxa"/>
            </w:tcMar>
            <w:vAlign w:val="center"/>
          </w:tcPr>
          <w:p w:rsidR="007B5AE5" w:rsidRPr="003147A2" w:rsidRDefault="007B5AE5" w:rsidP="00C403C8">
            <w:pPr>
              <w:pStyle w:val="TableParagraph"/>
              <w:spacing w:before="60" w:after="60"/>
              <w:ind w:left="0" w:firstLine="6"/>
              <w:jc w:val="center"/>
              <w:rPr>
                <w:rFonts w:ascii="Times New Roman" w:hAnsi="Times New Roman" w:cs="Times New Roman"/>
                <w:i/>
                <w:lang w:val="ru-RU"/>
              </w:rPr>
            </w:pPr>
            <w:r w:rsidRPr="003147A2">
              <w:rPr>
                <w:rFonts w:ascii="Times New Roman" w:hAnsi="Times New Roman" w:cs="Times New Roman"/>
                <w:i/>
                <w:lang w:val="ru-RU"/>
              </w:rPr>
              <w:t>Старческий возраст</w:t>
            </w:r>
            <w:r w:rsidRPr="003147A2">
              <w:rPr>
                <w:rFonts w:ascii="Times New Roman" w:hAnsi="Times New Roman" w:cs="Times New Roman"/>
                <w:i/>
              </w:rPr>
              <w:t>,</w:t>
            </w:r>
            <w:r w:rsidR="00E97E28">
              <w:rPr>
                <w:rFonts w:ascii="Times New Roman" w:hAnsi="Times New Roman" w:cs="Times New Roman"/>
                <w:i/>
                <w:lang w:val="ru-RU"/>
              </w:rPr>
              <w:t xml:space="preserve"> </w:t>
            </w:r>
            <w:r w:rsidRPr="00D012C9">
              <w:rPr>
                <w:rFonts w:ascii="Times New Roman" w:hAnsi="Times New Roman" w:cs="Times New Roman"/>
                <w:i/>
                <w:lang w:val="ru-RU"/>
              </w:rPr>
              <w:t>органные</w:t>
            </w:r>
            <w:r w:rsidR="00E97E28">
              <w:rPr>
                <w:rFonts w:ascii="Times New Roman" w:hAnsi="Times New Roman" w:cs="Times New Roman"/>
                <w:i/>
                <w:lang w:val="ru-RU"/>
              </w:rPr>
              <w:t xml:space="preserve"> </w:t>
            </w:r>
            <w:r w:rsidRPr="00D012C9">
              <w:rPr>
                <w:rFonts w:ascii="Times New Roman" w:hAnsi="Times New Roman" w:cs="Times New Roman"/>
                <w:i/>
                <w:lang w:val="ru-RU"/>
              </w:rPr>
              <w:t>патологии</w:t>
            </w:r>
          </w:p>
        </w:tc>
      </w:tr>
      <w:tr w:rsidR="007B5AE5" w:rsidRPr="005B4606" w:rsidTr="00C403C8">
        <w:trPr>
          <w:trHeight w:hRule="exact" w:val="922"/>
        </w:trPr>
        <w:tc>
          <w:tcPr>
            <w:tcW w:w="2029" w:type="dxa"/>
            <w:tcMar>
              <w:left w:w="57" w:type="dxa"/>
            </w:tcMar>
            <w:vAlign w:val="center"/>
          </w:tcPr>
          <w:p w:rsidR="007B5AE5" w:rsidRPr="003147A2" w:rsidRDefault="007B5AE5" w:rsidP="00C403C8">
            <w:pPr>
              <w:pStyle w:val="TableParagraph"/>
              <w:spacing w:before="60" w:after="60"/>
              <w:ind w:left="0" w:firstLine="6"/>
              <w:rPr>
                <w:rFonts w:ascii="Times New Roman" w:hAnsi="Times New Roman" w:cs="Times New Roman"/>
                <w:b/>
                <w:i/>
              </w:rPr>
            </w:pPr>
            <w:r w:rsidRPr="003147A2">
              <w:rPr>
                <w:rFonts w:ascii="Times New Roman" w:hAnsi="Times New Roman" w:cs="Times New Roman"/>
                <w:b/>
                <w:i/>
                <w:lang w:val="ru-RU"/>
              </w:rPr>
              <w:t>Цель терапии</w:t>
            </w:r>
          </w:p>
        </w:tc>
        <w:tc>
          <w:tcPr>
            <w:tcW w:w="2402" w:type="dxa"/>
            <w:tcMar>
              <w:left w:w="57" w:type="dxa"/>
            </w:tcMar>
            <w:vAlign w:val="center"/>
          </w:tcPr>
          <w:p w:rsidR="007B5AE5" w:rsidRPr="003147A2" w:rsidRDefault="007B5AE5" w:rsidP="00C403C8">
            <w:pPr>
              <w:pStyle w:val="TableParagraph"/>
              <w:spacing w:before="60" w:after="60"/>
              <w:ind w:left="0" w:firstLine="6"/>
              <w:jc w:val="center"/>
              <w:rPr>
                <w:rFonts w:ascii="Times New Roman" w:hAnsi="Times New Roman" w:cs="Times New Roman"/>
                <w:i/>
                <w:lang w:val="ru-RU"/>
              </w:rPr>
            </w:pPr>
            <w:r w:rsidRPr="003147A2">
              <w:rPr>
                <w:rFonts w:ascii="Times New Roman" w:hAnsi="Times New Roman" w:cs="Times New Roman"/>
                <w:i/>
                <w:lang w:val="ru-RU"/>
              </w:rPr>
              <w:t>Долгосрочная ремиссия</w:t>
            </w:r>
            <w:r w:rsidRPr="003147A2">
              <w:rPr>
                <w:rFonts w:ascii="Times New Roman" w:hAnsi="Times New Roman" w:cs="Times New Roman"/>
                <w:i/>
              </w:rPr>
              <w:t xml:space="preserve">, </w:t>
            </w:r>
            <w:r w:rsidRPr="003147A2">
              <w:rPr>
                <w:rFonts w:ascii="Times New Roman" w:hAnsi="Times New Roman" w:cs="Times New Roman"/>
                <w:i/>
                <w:lang w:val="ru-RU"/>
              </w:rPr>
              <w:t>эрадикация МОБ</w:t>
            </w:r>
          </w:p>
        </w:tc>
        <w:tc>
          <w:tcPr>
            <w:tcW w:w="2510" w:type="dxa"/>
            <w:tcMar>
              <w:left w:w="57" w:type="dxa"/>
            </w:tcMar>
            <w:vAlign w:val="center"/>
          </w:tcPr>
          <w:p w:rsidR="007B5AE5" w:rsidRPr="003147A2" w:rsidRDefault="007B5AE5" w:rsidP="00C403C8">
            <w:pPr>
              <w:pStyle w:val="TableParagraph"/>
              <w:spacing w:before="60" w:after="60"/>
              <w:ind w:left="0" w:firstLine="6"/>
              <w:jc w:val="center"/>
              <w:rPr>
                <w:rFonts w:ascii="Times New Roman" w:hAnsi="Times New Roman" w:cs="Times New Roman"/>
                <w:i/>
                <w:lang w:val="ru-RU"/>
              </w:rPr>
            </w:pPr>
            <w:r w:rsidRPr="003147A2">
              <w:rPr>
                <w:rFonts w:ascii="Times New Roman" w:hAnsi="Times New Roman" w:cs="Times New Roman"/>
                <w:i/>
                <w:lang w:val="ru-RU"/>
              </w:rPr>
              <w:t xml:space="preserve">Контроль над болезнью, </w:t>
            </w:r>
            <w:r w:rsidR="00C403C8">
              <w:rPr>
                <w:rFonts w:ascii="Times New Roman" w:hAnsi="Times New Roman" w:cs="Times New Roman"/>
                <w:i/>
                <w:lang w:val="ru-RU"/>
              </w:rPr>
              <w:br/>
            </w:r>
            <w:r w:rsidRPr="003147A2">
              <w:rPr>
                <w:rFonts w:ascii="Times New Roman" w:hAnsi="Times New Roman" w:cs="Times New Roman"/>
                <w:i/>
                <w:lang w:val="ru-RU"/>
              </w:rPr>
              <w:t>низкая токсичность</w:t>
            </w:r>
          </w:p>
        </w:tc>
        <w:tc>
          <w:tcPr>
            <w:tcW w:w="2410" w:type="dxa"/>
            <w:tcMar>
              <w:left w:w="57" w:type="dxa"/>
            </w:tcMar>
            <w:vAlign w:val="center"/>
          </w:tcPr>
          <w:p w:rsidR="007B5AE5" w:rsidRPr="003147A2" w:rsidRDefault="007B5AE5" w:rsidP="00C403C8">
            <w:pPr>
              <w:pStyle w:val="TableParagraph"/>
              <w:spacing w:before="60" w:after="60"/>
              <w:ind w:left="0" w:firstLine="6"/>
              <w:jc w:val="center"/>
              <w:rPr>
                <w:rFonts w:ascii="Times New Roman" w:hAnsi="Times New Roman" w:cs="Times New Roman"/>
                <w:i/>
                <w:lang w:val="ru-RU"/>
              </w:rPr>
            </w:pPr>
            <w:r w:rsidRPr="003147A2">
              <w:rPr>
                <w:rFonts w:ascii="Times New Roman" w:hAnsi="Times New Roman" w:cs="Times New Roman"/>
                <w:i/>
                <w:lang w:val="ru-RU"/>
              </w:rPr>
              <w:t>Паллиативная</w:t>
            </w:r>
          </w:p>
        </w:tc>
      </w:tr>
    </w:tbl>
    <w:p w:rsidR="00C403C8" w:rsidRDefault="00C403C8" w:rsidP="00351D7B">
      <w:pPr>
        <w:ind w:firstLine="709"/>
        <w:contextualSpacing/>
        <w:rPr>
          <w:i/>
        </w:rPr>
      </w:pPr>
    </w:p>
    <w:p w:rsidR="007B5AE5" w:rsidRPr="004C0968" w:rsidRDefault="007B5AE5" w:rsidP="00351D7B">
      <w:pPr>
        <w:ind w:firstLine="709"/>
        <w:contextualSpacing/>
        <w:rPr>
          <w:i/>
        </w:rPr>
      </w:pPr>
      <w:r w:rsidRPr="004C0968">
        <w:rPr>
          <w:i/>
        </w:rPr>
        <w:lastRenderedPageBreak/>
        <w:t>Существует объективная шкала оценки числа и тяжести сопутствующих заболеваний (коморбидн</w:t>
      </w:r>
      <w:r w:rsidR="005163D3">
        <w:rPr>
          <w:i/>
        </w:rPr>
        <w:t>о</w:t>
      </w:r>
      <w:r w:rsidRPr="004C0968">
        <w:rPr>
          <w:i/>
        </w:rPr>
        <w:t>сти) – CIRS (</w:t>
      </w:r>
      <w:r w:rsidRPr="004C0968">
        <w:rPr>
          <w:i/>
          <w:lang w:val="en-US"/>
        </w:rPr>
        <w:t>Cumulative</w:t>
      </w:r>
      <w:r w:rsidR="00F0422A">
        <w:rPr>
          <w:i/>
        </w:rPr>
        <w:t xml:space="preserve"> </w:t>
      </w:r>
      <w:r w:rsidRPr="004C0968">
        <w:rPr>
          <w:i/>
          <w:lang w:val="en-US"/>
        </w:rPr>
        <w:t>Illness</w:t>
      </w:r>
      <w:r w:rsidR="00F0422A">
        <w:rPr>
          <w:i/>
        </w:rPr>
        <w:t xml:space="preserve"> </w:t>
      </w:r>
      <w:r w:rsidRPr="004C0968">
        <w:rPr>
          <w:i/>
          <w:lang w:val="en-US"/>
        </w:rPr>
        <w:t>Rating</w:t>
      </w:r>
      <w:r w:rsidR="00F0422A">
        <w:rPr>
          <w:i/>
        </w:rPr>
        <w:t xml:space="preserve"> </w:t>
      </w:r>
      <w:r w:rsidRPr="004C0968">
        <w:rPr>
          <w:i/>
          <w:lang w:val="en-US"/>
        </w:rPr>
        <w:t>Score</w:t>
      </w:r>
      <w:r w:rsidRPr="004C0968">
        <w:rPr>
          <w:i/>
        </w:rPr>
        <w:t>)</w:t>
      </w:r>
      <w:r w:rsidR="000B0AC3" w:rsidRPr="0008146B">
        <w:rPr>
          <w:i/>
        </w:rPr>
        <w:t xml:space="preserve"> (</w:t>
      </w:r>
      <w:r w:rsidR="007C0380">
        <w:rPr>
          <w:i/>
        </w:rPr>
        <w:t>см. приложение Г2)</w:t>
      </w:r>
      <w:r w:rsidRPr="004C0968">
        <w:rPr>
          <w:i/>
        </w:rPr>
        <w:t xml:space="preserve">. В реальной клинической практике оценка кумулятивного индекса коморбидности не требуется. В настоящее время понятие «значимая коморбидность» не может быть объективно и воспроизводимо определено. В связи с этим распределение пациентов на терапевтические группы </w:t>
      </w:r>
      <w:r w:rsidR="00C403C8">
        <w:rPr>
          <w:i/>
        </w:rPr>
        <w:t>проводится по решению</w:t>
      </w:r>
      <w:r w:rsidRPr="004C0968">
        <w:rPr>
          <w:i/>
        </w:rPr>
        <w:t xml:space="preserve"> врача. </w:t>
      </w:r>
    </w:p>
    <w:p w:rsidR="007B5AE5" w:rsidRPr="003147A2" w:rsidRDefault="007B5AE5" w:rsidP="00351D7B">
      <w:pPr>
        <w:ind w:firstLine="709"/>
        <w:contextualSpacing/>
        <w:rPr>
          <w:i/>
        </w:rPr>
      </w:pPr>
      <w:r w:rsidRPr="003147A2">
        <w:rPr>
          <w:i/>
        </w:rPr>
        <w:t>Результаты крупных клинических исследований 2000</w:t>
      </w:r>
      <w:r w:rsidR="00C403C8">
        <w:rPr>
          <w:i/>
        </w:rPr>
        <w:t>-х</w:t>
      </w:r>
      <w:r w:rsidRPr="003147A2">
        <w:rPr>
          <w:i/>
        </w:rPr>
        <w:t xml:space="preserve"> </w:t>
      </w:r>
      <w:r w:rsidR="00C403C8">
        <w:rPr>
          <w:i/>
        </w:rPr>
        <w:t>гг.</w:t>
      </w:r>
      <w:r w:rsidRPr="003147A2">
        <w:rPr>
          <w:i/>
        </w:rPr>
        <w:t xml:space="preserve"> убедительно свидетельствуют о низкой эффективности иммунохимиотерапии у пациентов с делецией 17</w:t>
      </w:r>
      <w:r w:rsidRPr="003147A2">
        <w:rPr>
          <w:i/>
          <w:lang w:val="en-US"/>
        </w:rPr>
        <w:t>p</w:t>
      </w:r>
      <w:r w:rsidRPr="003147A2">
        <w:rPr>
          <w:i/>
        </w:rPr>
        <w:t xml:space="preserve">. Однако это цитогенетическое нарушение выявляется до </w:t>
      </w:r>
      <w:r w:rsidR="00C403C8">
        <w:rPr>
          <w:i/>
        </w:rPr>
        <w:t xml:space="preserve">начала </w:t>
      </w:r>
      <w:r w:rsidRPr="003147A2">
        <w:rPr>
          <w:i/>
        </w:rPr>
        <w:t xml:space="preserve">терапии </w:t>
      </w:r>
      <w:r w:rsidR="00C403C8">
        <w:rPr>
          <w:i/>
        </w:rPr>
        <w:t>1-й линии только у</w:t>
      </w:r>
      <w:r w:rsidR="007C0380">
        <w:rPr>
          <w:i/>
        </w:rPr>
        <w:t xml:space="preserve"> </w:t>
      </w:r>
      <w:r w:rsidRPr="003147A2">
        <w:rPr>
          <w:i/>
        </w:rPr>
        <w:t>7</w:t>
      </w:r>
      <w:r w:rsidR="007C0380">
        <w:rPr>
          <w:i/>
        </w:rPr>
        <w:t xml:space="preserve"> </w:t>
      </w:r>
      <w:r w:rsidR="00DD3D1E">
        <w:rPr>
          <w:i/>
        </w:rPr>
        <w:t>%</w:t>
      </w:r>
      <w:r w:rsidR="00DD5F69">
        <w:rPr>
          <w:i/>
        </w:rPr>
        <w:t xml:space="preserve"> пациентов</w:t>
      </w:r>
      <w:r w:rsidRPr="003147A2">
        <w:rPr>
          <w:i/>
        </w:rPr>
        <w:t>. Число пациентов с клинической рефрактерностью (прогресси</w:t>
      </w:r>
      <w:r w:rsidR="00C403C8">
        <w:rPr>
          <w:i/>
        </w:rPr>
        <w:t>рованием</w:t>
      </w:r>
      <w:r w:rsidRPr="003147A2">
        <w:rPr>
          <w:i/>
        </w:rPr>
        <w:t xml:space="preserve"> на фоне лечения или быстры</w:t>
      </w:r>
      <w:r w:rsidR="00C403C8">
        <w:rPr>
          <w:i/>
        </w:rPr>
        <w:t>м</w:t>
      </w:r>
      <w:r w:rsidRPr="003147A2">
        <w:rPr>
          <w:i/>
        </w:rPr>
        <w:t xml:space="preserve"> рецидив</w:t>
      </w:r>
      <w:r w:rsidR="00C403C8">
        <w:rPr>
          <w:i/>
        </w:rPr>
        <w:t>ом</w:t>
      </w:r>
      <w:r w:rsidRPr="003147A2">
        <w:rPr>
          <w:i/>
        </w:rPr>
        <w:t xml:space="preserve">) приблизительно </w:t>
      </w:r>
      <w:r w:rsidR="00C403C8">
        <w:rPr>
          <w:i/>
        </w:rPr>
        <w:t>в 2 раза</w:t>
      </w:r>
      <w:r w:rsidRPr="003147A2">
        <w:rPr>
          <w:i/>
        </w:rPr>
        <w:t xml:space="preserve"> больше. Эти наблюдения легли в основу понятия </w:t>
      </w:r>
      <w:r w:rsidR="00C403C8">
        <w:rPr>
          <w:i/>
        </w:rPr>
        <w:t xml:space="preserve">ХЛЛ </w:t>
      </w:r>
      <w:r w:rsidRPr="003147A2">
        <w:rPr>
          <w:i/>
        </w:rPr>
        <w:t xml:space="preserve">высокого риска. </w:t>
      </w:r>
    </w:p>
    <w:p w:rsidR="007B5AE5" w:rsidRPr="003147A2" w:rsidRDefault="007B5AE5" w:rsidP="00351D7B">
      <w:pPr>
        <w:ind w:firstLine="709"/>
        <w:contextualSpacing/>
        <w:rPr>
          <w:i/>
        </w:rPr>
      </w:pPr>
      <w:r w:rsidRPr="003147A2">
        <w:rPr>
          <w:i/>
        </w:rPr>
        <w:t xml:space="preserve">Таким образом, при проведении терапии </w:t>
      </w:r>
      <w:r w:rsidR="00C403C8">
        <w:rPr>
          <w:i/>
        </w:rPr>
        <w:t>1-й</w:t>
      </w:r>
      <w:r w:rsidRPr="003147A2">
        <w:rPr>
          <w:i/>
        </w:rPr>
        <w:t xml:space="preserve"> линии пациенты могут быть распределены на </w:t>
      </w:r>
      <w:r w:rsidR="00504D96">
        <w:rPr>
          <w:i/>
        </w:rPr>
        <w:t>3</w:t>
      </w:r>
      <w:r w:rsidRPr="003147A2">
        <w:rPr>
          <w:i/>
        </w:rPr>
        <w:t xml:space="preserve"> группы. </w:t>
      </w:r>
    </w:p>
    <w:p w:rsidR="007B5AE5" w:rsidRPr="00C403C8" w:rsidRDefault="007B5AE5" w:rsidP="00BE7488">
      <w:pPr>
        <w:pStyle w:val="a"/>
        <w:numPr>
          <w:ilvl w:val="0"/>
          <w:numId w:val="20"/>
        </w:numPr>
        <w:spacing w:before="0"/>
        <w:rPr>
          <w:i/>
        </w:rPr>
      </w:pPr>
      <w:r w:rsidRPr="00C403C8">
        <w:rPr>
          <w:i/>
        </w:rPr>
        <w:t xml:space="preserve">К </w:t>
      </w:r>
      <w:r w:rsidR="00C403C8">
        <w:rPr>
          <w:i/>
        </w:rPr>
        <w:t>1-й</w:t>
      </w:r>
      <w:r w:rsidRPr="00C403C8">
        <w:rPr>
          <w:i/>
        </w:rPr>
        <w:t xml:space="preserve"> группе относятся </w:t>
      </w:r>
      <w:r w:rsidR="00B3535C" w:rsidRPr="00C403C8">
        <w:rPr>
          <w:i/>
        </w:rPr>
        <w:t xml:space="preserve">молодые </w:t>
      </w:r>
      <w:r w:rsidRPr="00C403C8">
        <w:rPr>
          <w:i/>
        </w:rPr>
        <w:t xml:space="preserve">пациенты </w:t>
      </w:r>
      <w:r w:rsidR="00B3535C" w:rsidRPr="00C403C8">
        <w:rPr>
          <w:i/>
        </w:rPr>
        <w:t xml:space="preserve">(менее 65 лет) </w:t>
      </w:r>
      <w:r w:rsidRPr="00C403C8">
        <w:rPr>
          <w:i/>
        </w:rPr>
        <w:t xml:space="preserve">без делеции 17p и/или мутации TP53 с хорошим соматическим статусом без сопутствующих заболеваний. В этой группе необходимо стремиться к достижению полной ремиссии, по возможности с эрадикацией МОБ, поскольку только такая тактика может привести к реальному увеличению продолжительности жизни. </w:t>
      </w:r>
      <w:r w:rsidR="006F547D" w:rsidRPr="00C403C8">
        <w:rPr>
          <w:i/>
        </w:rPr>
        <w:t>Основ</w:t>
      </w:r>
      <w:r w:rsidR="00C403C8">
        <w:rPr>
          <w:i/>
        </w:rPr>
        <w:t>а</w:t>
      </w:r>
      <w:r w:rsidR="006F547D" w:rsidRPr="00C403C8">
        <w:rPr>
          <w:i/>
        </w:rPr>
        <w:t xml:space="preserve"> лечения пациентов этой группы </w:t>
      </w:r>
      <w:r w:rsidR="00C403C8">
        <w:rPr>
          <w:i/>
        </w:rPr>
        <w:t>–</w:t>
      </w:r>
      <w:r w:rsidR="006F547D" w:rsidRPr="00C403C8">
        <w:rPr>
          <w:i/>
        </w:rPr>
        <w:t xml:space="preserve"> курсовая иммунохимиотерапия. В подгруппе пациентов без мутаций генов </w:t>
      </w:r>
      <w:r w:rsidR="00C403C8">
        <w:rPr>
          <w:i/>
          <w:lang w:val="en-US"/>
        </w:rPr>
        <w:t>IGHV</w:t>
      </w:r>
      <w:r w:rsidR="00C403C8" w:rsidRPr="00397360">
        <w:rPr>
          <w:i/>
        </w:rPr>
        <w:t xml:space="preserve"> </w:t>
      </w:r>
      <w:r w:rsidR="006F547D" w:rsidRPr="00C403C8">
        <w:rPr>
          <w:i/>
        </w:rPr>
        <w:t>комбинация ибрутиниба</w:t>
      </w:r>
      <w:r w:rsidR="001F4A9B" w:rsidRPr="00397360">
        <w:rPr>
          <w:i/>
        </w:rPr>
        <w:t>**</w:t>
      </w:r>
      <w:r w:rsidR="006F547D" w:rsidRPr="00C403C8">
        <w:rPr>
          <w:i/>
        </w:rPr>
        <w:t xml:space="preserve"> и ритуксимаба</w:t>
      </w:r>
      <w:r w:rsidR="001F4A9B" w:rsidRPr="00397360">
        <w:rPr>
          <w:i/>
        </w:rPr>
        <w:t>**</w:t>
      </w:r>
      <w:r w:rsidR="006F547D" w:rsidRPr="00C403C8">
        <w:rPr>
          <w:i/>
        </w:rPr>
        <w:t xml:space="preserve"> оказалась значительно более эффективной и менее токсичной по сравнению с режимом FCR. У пациентов без мутаций генов</w:t>
      </w:r>
      <w:r w:rsidR="001F4A9B" w:rsidRPr="001F4A9B">
        <w:rPr>
          <w:i/>
        </w:rPr>
        <w:t xml:space="preserve"> </w:t>
      </w:r>
      <w:r w:rsidR="001F4A9B">
        <w:rPr>
          <w:i/>
          <w:lang w:val="en-US"/>
        </w:rPr>
        <w:t>IG</w:t>
      </w:r>
      <w:r w:rsidR="001F4A9B">
        <w:rPr>
          <w:i/>
        </w:rPr>
        <w:t>H</w:t>
      </w:r>
      <w:r w:rsidR="001F4A9B">
        <w:rPr>
          <w:i/>
          <w:lang w:val="en-US"/>
        </w:rPr>
        <w:t>V</w:t>
      </w:r>
      <w:r w:rsidR="006F547D" w:rsidRPr="00C403C8">
        <w:rPr>
          <w:i/>
        </w:rPr>
        <w:t xml:space="preserve"> может рассматриваться </w:t>
      </w:r>
      <w:r w:rsidR="001F4A9B">
        <w:rPr>
          <w:i/>
        </w:rPr>
        <w:t xml:space="preserve">возможность </w:t>
      </w:r>
      <w:r w:rsidR="006F547D" w:rsidRPr="00C403C8">
        <w:rPr>
          <w:i/>
        </w:rPr>
        <w:t>терапи</w:t>
      </w:r>
      <w:r w:rsidR="001F4A9B">
        <w:rPr>
          <w:i/>
        </w:rPr>
        <w:t>и</w:t>
      </w:r>
      <w:r w:rsidR="006F547D" w:rsidRPr="00C403C8">
        <w:rPr>
          <w:i/>
        </w:rPr>
        <w:t xml:space="preserve"> ибру</w:t>
      </w:r>
      <w:r w:rsidR="001F4A9B">
        <w:rPr>
          <w:i/>
        </w:rPr>
        <w:softHyphen/>
      </w:r>
      <w:r w:rsidR="006F547D" w:rsidRPr="00C403C8">
        <w:rPr>
          <w:i/>
        </w:rPr>
        <w:t>тинибом</w:t>
      </w:r>
      <w:r w:rsidR="001F4A9B" w:rsidRPr="00397360">
        <w:rPr>
          <w:i/>
        </w:rPr>
        <w:t>**</w:t>
      </w:r>
      <w:r w:rsidR="006F547D" w:rsidRPr="00C403C8">
        <w:rPr>
          <w:i/>
        </w:rPr>
        <w:t xml:space="preserve">. </w:t>
      </w:r>
    </w:p>
    <w:p w:rsidR="007B5AE5" w:rsidRPr="00C403C8" w:rsidRDefault="007B5AE5" w:rsidP="00BE7488">
      <w:pPr>
        <w:pStyle w:val="a"/>
        <w:numPr>
          <w:ilvl w:val="0"/>
          <w:numId w:val="20"/>
        </w:numPr>
        <w:spacing w:before="0"/>
        <w:rPr>
          <w:i/>
        </w:rPr>
      </w:pPr>
      <w:r w:rsidRPr="00C403C8">
        <w:rPr>
          <w:i/>
        </w:rPr>
        <w:t xml:space="preserve">Ко </w:t>
      </w:r>
      <w:r w:rsidR="001F4A9B">
        <w:rPr>
          <w:i/>
        </w:rPr>
        <w:t>2-й</w:t>
      </w:r>
      <w:r w:rsidRPr="00C403C8">
        <w:rPr>
          <w:i/>
        </w:rPr>
        <w:t xml:space="preserve"> группе относятся пациенты преклонного возраста</w:t>
      </w:r>
      <w:r w:rsidR="005C6207" w:rsidRPr="00C403C8">
        <w:rPr>
          <w:i/>
        </w:rPr>
        <w:t xml:space="preserve"> (старше 65 лет)</w:t>
      </w:r>
      <w:r w:rsidR="00B3535C" w:rsidRPr="00C403C8">
        <w:rPr>
          <w:i/>
        </w:rPr>
        <w:t xml:space="preserve">, а также молодые </w:t>
      </w:r>
      <w:r w:rsidR="00573998">
        <w:rPr>
          <w:i/>
        </w:rPr>
        <w:t>пациенты</w:t>
      </w:r>
      <w:r w:rsidR="00573998" w:rsidRPr="00C403C8">
        <w:rPr>
          <w:i/>
        </w:rPr>
        <w:t xml:space="preserve"> </w:t>
      </w:r>
      <w:r w:rsidRPr="00C403C8">
        <w:rPr>
          <w:i/>
        </w:rPr>
        <w:t>со множеством сопутствующих заболеваний. В этой группе нужно стремиться к достижению эффективного контроля над опухолью, избегая неоправданной токсичности. Аналоги пуринов в этой группе лучше не использовать или применять в редуцированном виде.</w:t>
      </w:r>
    </w:p>
    <w:p w:rsidR="007B5AE5" w:rsidRPr="00C403C8" w:rsidRDefault="007B5AE5" w:rsidP="00BE7488">
      <w:pPr>
        <w:pStyle w:val="a"/>
        <w:numPr>
          <w:ilvl w:val="0"/>
          <w:numId w:val="20"/>
        </w:numPr>
        <w:spacing w:before="0"/>
        <w:rPr>
          <w:i/>
        </w:rPr>
      </w:pPr>
      <w:r w:rsidRPr="00C403C8">
        <w:rPr>
          <w:i/>
        </w:rPr>
        <w:t xml:space="preserve">К </w:t>
      </w:r>
      <w:r w:rsidR="001F4A9B">
        <w:rPr>
          <w:i/>
        </w:rPr>
        <w:t>3-й</w:t>
      </w:r>
      <w:r w:rsidRPr="00C403C8">
        <w:rPr>
          <w:i/>
        </w:rPr>
        <w:t xml:space="preserve"> группе относятся </w:t>
      </w:r>
      <w:r w:rsidR="008E45D6" w:rsidRPr="00C403C8">
        <w:rPr>
          <w:i/>
        </w:rPr>
        <w:t>пациенты</w:t>
      </w:r>
      <w:r w:rsidRPr="00C403C8">
        <w:rPr>
          <w:i/>
        </w:rPr>
        <w:t xml:space="preserve"> с делецией 17p и/или мутацией TP53 независимо от возраста и коморбидности. </w:t>
      </w:r>
      <w:r w:rsidR="001F4A9B">
        <w:rPr>
          <w:i/>
        </w:rPr>
        <w:t>Т</w:t>
      </w:r>
      <w:r w:rsidRPr="00C403C8">
        <w:rPr>
          <w:i/>
        </w:rPr>
        <w:t>ерапи</w:t>
      </w:r>
      <w:r w:rsidR="001F4A9B">
        <w:rPr>
          <w:i/>
        </w:rPr>
        <w:t>ей выбора</w:t>
      </w:r>
      <w:r w:rsidRPr="00C403C8">
        <w:rPr>
          <w:i/>
        </w:rPr>
        <w:t xml:space="preserve"> у этих пациентов является </w:t>
      </w:r>
      <w:r w:rsidR="001F4A9B">
        <w:rPr>
          <w:i/>
        </w:rPr>
        <w:t xml:space="preserve">применение </w:t>
      </w:r>
      <w:r w:rsidRPr="00C403C8">
        <w:rPr>
          <w:i/>
        </w:rPr>
        <w:t>ибрутиниб</w:t>
      </w:r>
      <w:r w:rsidR="001F4A9B">
        <w:rPr>
          <w:i/>
        </w:rPr>
        <w:t>а</w:t>
      </w:r>
      <w:r w:rsidR="00953066" w:rsidRPr="00C403C8">
        <w:rPr>
          <w:i/>
        </w:rPr>
        <w:t>**</w:t>
      </w:r>
      <w:r w:rsidRPr="00C403C8">
        <w:rPr>
          <w:i/>
        </w:rPr>
        <w:t xml:space="preserve"> в монорежиме. У молодых пациентов при возможности терапия ибрутинибом</w:t>
      </w:r>
      <w:r w:rsidR="00953066" w:rsidRPr="00C403C8">
        <w:rPr>
          <w:i/>
        </w:rPr>
        <w:t>**</w:t>
      </w:r>
      <w:r w:rsidRPr="00C403C8">
        <w:rPr>
          <w:i/>
        </w:rPr>
        <w:t xml:space="preserve"> должна служить подготовкой к трансплантации аллогенных стволовых клеток.</w:t>
      </w:r>
    </w:p>
    <w:p w:rsidR="007B5AE5" w:rsidRPr="00E47D53" w:rsidRDefault="007B5AE5" w:rsidP="006F547D">
      <w:pPr>
        <w:ind w:firstLine="709"/>
        <w:contextualSpacing/>
      </w:pPr>
      <w:r w:rsidRPr="00136052">
        <w:rPr>
          <w:i/>
        </w:rPr>
        <w:lastRenderedPageBreak/>
        <w:t>У пациентов старческого возраста с органн</w:t>
      </w:r>
      <w:r w:rsidR="001F4A9B">
        <w:rPr>
          <w:i/>
        </w:rPr>
        <w:t>ой</w:t>
      </w:r>
      <w:r w:rsidRPr="00136052">
        <w:rPr>
          <w:i/>
        </w:rPr>
        <w:t xml:space="preserve"> недостаточност</w:t>
      </w:r>
      <w:r w:rsidR="001F4A9B">
        <w:rPr>
          <w:i/>
        </w:rPr>
        <w:t>ью</w:t>
      </w:r>
      <w:r w:rsidRPr="00136052">
        <w:rPr>
          <w:i/>
        </w:rPr>
        <w:t xml:space="preserve"> цель лечения</w:t>
      </w:r>
      <w:r w:rsidRPr="003147A2">
        <w:rPr>
          <w:i/>
        </w:rPr>
        <w:t xml:space="preserve"> паллиативная.</w:t>
      </w:r>
    </w:p>
    <w:p w:rsidR="004D7374" w:rsidRPr="00A04E7F" w:rsidRDefault="004D7374" w:rsidP="00397360">
      <w:pPr>
        <w:pStyle w:val="3"/>
        <w:jc w:val="both"/>
      </w:pPr>
      <w:r w:rsidRPr="00A04E7F">
        <w:t>3.2.1</w:t>
      </w:r>
      <w:r w:rsidR="00397360" w:rsidRPr="00397360">
        <w:t>.</w:t>
      </w:r>
      <w:r w:rsidRPr="00A04E7F">
        <w:t xml:space="preserve"> Первая линия лечения ХЛЛ</w:t>
      </w:r>
      <w:r w:rsidR="00704341" w:rsidRPr="00A04E7F">
        <w:t>/ЛМЛ</w:t>
      </w:r>
      <w:r w:rsidRPr="00A04E7F">
        <w:t xml:space="preserve"> у пациентов</w:t>
      </w:r>
      <w:r w:rsidR="001838D7">
        <w:t xml:space="preserve"> моложе 65 лет</w:t>
      </w:r>
      <w:r w:rsidR="00397360" w:rsidRPr="00397360">
        <w:t xml:space="preserve"> </w:t>
      </w:r>
      <w:r w:rsidRPr="00A04E7F">
        <w:t xml:space="preserve">с хорошим соматическим статусом без выявленной делеции 17p или мутации </w:t>
      </w:r>
      <w:r w:rsidRPr="001F4A9B">
        <w:rPr>
          <w:i/>
        </w:rPr>
        <w:t>TP53</w:t>
      </w:r>
    </w:p>
    <w:p w:rsidR="004D7374" w:rsidRPr="0095233F" w:rsidRDefault="00704341" w:rsidP="0043716B">
      <w:pPr>
        <w:pStyle w:val="a"/>
      </w:pPr>
      <w:r>
        <w:t>Пациентам с верифицированным ХЛЛ/ЛМЛ моложе 65 лет</w:t>
      </w:r>
      <w:r w:rsidR="004D7374">
        <w:t xml:space="preserve"> без значимой коморбидности</w:t>
      </w:r>
      <w:r w:rsidR="00D961CE">
        <w:t xml:space="preserve"> (физически активны</w:t>
      </w:r>
      <w:r w:rsidR="001F4A9B">
        <w:t>м</w:t>
      </w:r>
      <w:r w:rsidR="00D961CE">
        <w:t xml:space="preserve">, </w:t>
      </w:r>
      <w:r w:rsidR="001F4A9B">
        <w:t>без</w:t>
      </w:r>
      <w:r w:rsidR="00D961CE">
        <w:t xml:space="preserve"> тяжелых сопутствующих заболеваний, </w:t>
      </w:r>
      <w:r w:rsidR="001F4A9B">
        <w:t xml:space="preserve">с </w:t>
      </w:r>
      <w:r w:rsidR="00D961CE">
        <w:t>нормальн</w:t>
      </w:r>
      <w:r w:rsidR="001F4A9B">
        <w:t>ой</w:t>
      </w:r>
      <w:r w:rsidR="00D961CE">
        <w:t xml:space="preserve"> функци</w:t>
      </w:r>
      <w:r w:rsidR="001F4A9B">
        <w:t>ей</w:t>
      </w:r>
      <w:r w:rsidR="00D961CE">
        <w:t xml:space="preserve"> почек)</w:t>
      </w:r>
      <w:r w:rsidR="004D7374">
        <w:t xml:space="preserve"> без делеции 17p или мутации </w:t>
      </w:r>
      <w:r w:rsidR="004D7374" w:rsidRPr="000A2B89">
        <w:rPr>
          <w:i/>
        </w:rPr>
        <w:t>TP53</w:t>
      </w:r>
      <w:r w:rsidR="005C6207">
        <w:t xml:space="preserve"> в качестве </w:t>
      </w:r>
      <w:r w:rsidR="001F4A9B">
        <w:t>1-й</w:t>
      </w:r>
      <w:r w:rsidR="005C6207">
        <w:t xml:space="preserve"> линии лечения</w:t>
      </w:r>
      <w:r w:rsidR="00B3535C">
        <w:t xml:space="preserve"> </w:t>
      </w:r>
      <w:r w:rsidR="004D7374" w:rsidRPr="000A2B89">
        <w:rPr>
          <w:b/>
        </w:rPr>
        <w:t>рекоменд</w:t>
      </w:r>
      <w:r w:rsidR="008E45D6" w:rsidRPr="000A2B89">
        <w:rPr>
          <w:b/>
        </w:rPr>
        <w:t>уется</w:t>
      </w:r>
      <w:r w:rsidR="004D7374">
        <w:t xml:space="preserve"> </w:t>
      </w:r>
      <w:r w:rsidR="00451C55">
        <w:t xml:space="preserve">для достижения ремиссии </w:t>
      </w:r>
      <w:r w:rsidR="004D7374">
        <w:t>проведение иммунохимиотерапии по схеме FCR</w:t>
      </w:r>
      <w:r w:rsidR="000A2B89">
        <w:t>: (</w:t>
      </w:r>
      <w:r w:rsidR="000A2B89" w:rsidRPr="000A2B89">
        <w:rPr>
          <w:rFonts w:eastAsia="Times New Roman"/>
          <w:lang w:eastAsia="ru-RU"/>
        </w:rPr>
        <w:t>Ритуксимаб** – 1 цикл: 375 мг/м</w:t>
      </w:r>
      <w:r w:rsidR="000A2B89" w:rsidRPr="000A2B89">
        <w:rPr>
          <w:rFonts w:eastAsia="Times New Roman"/>
          <w:vertAlign w:val="superscript"/>
          <w:lang w:eastAsia="ru-RU"/>
        </w:rPr>
        <w:t>2</w:t>
      </w:r>
      <w:r w:rsidR="000A2B89" w:rsidRPr="000A2B89">
        <w:rPr>
          <w:rFonts w:eastAsia="Times New Roman"/>
          <w:lang w:eastAsia="ru-RU"/>
        </w:rPr>
        <w:t xml:space="preserve"> в/в кап., день 1, последующие циклы: 500 мг/м</w:t>
      </w:r>
      <w:r w:rsidR="000A2B89" w:rsidRPr="000A2B89">
        <w:rPr>
          <w:rFonts w:eastAsia="Times New Roman"/>
          <w:vertAlign w:val="superscript"/>
          <w:lang w:eastAsia="ru-RU"/>
        </w:rPr>
        <w:t>2</w:t>
      </w:r>
      <w:r w:rsidR="000A2B89" w:rsidRPr="000A2B89">
        <w:rPr>
          <w:rFonts w:eastAsia="Times New Roman"/>
          <w:lang w:eastAsia="ru-RU"/>
        </w:rPr>
        <w:t xml:space="preserve"> в/в кап.</w:t>
      </w:r>
      <w:r w:rsidR="000A2B89" w:rsidRPr="00CE0696">
        <w:rPr>
          <w:rFonts w:eastAsia="Times New Roman"/>
          <w:lang w:eastAsia="ru-RU"/>
        </w:rPr>
        <w:t xml:space="preserve"> или </w:t>
      </w:r>
      <w:r w:rsidR="00EA3851">
        <w:rPr>
          <w:rFonts w:eastAsia="Times New Roman"/>
          <w:lang w:eastAsia="ru-RU"/>
        </w:rPr>
        <w:t>1400 мг п/к</w:t>
      </w:r>
      <w:r w:rsidR="000A2B89" w:rsidRPr="00CE0696">
        <w:rPr>
          <w:rFonts w:eastAsia="Times New Roman"/>
          <w:lang w:eastAsia="ru-RU"/>
        </w:rPr>
        <w:t xml:space="preserve">, день 1; </w:t>
      </w:r>
      <w:r w:rsidR="005A463A" w:rsidRPr="005A463A">
        <w:rPr>
          <w:rFonts w:eastAsia="Times New Roman"/>
          <w:lang w:eastAsia="ru-RU"/>
        </w:rPr>
        <w:t>#</w:t>
      </w:r>
      <w:r w:rsidR="000A2B89" w:rsidRPr="00CE0696">
        <w:rPr>
          <w:rFonts w:eastAsia="Times New Roman"/>
          <w:lang w:eastAsia="ru-RU"/>
        </w:rPr>
        <w:t>Флударабин</w:t>
      </w:r>
      <w:r w:rsidR="000A2B89" w:rsidRPr="00E005AA">
        <w:rPr>
          <w:rFonts w:eastAsia="Times New Roman"/>
          <w:lang w:eastAsia="ru-RU"/>
        </w:rPr>
        <w:t>** – 25 мг/м</w:t>
      </w:r>
      <w:r w:rsidR="000A2B89" w:rsidRPr="00E005AA">
        <w:rPr>
          <w:rFonts w:eastAsia="Times New Roman"/>
          <w:vertAlign w:val="superscript"/>
          <w:lang w:eastAsia="ru-RU"/>
        </w:rPr>
        <w:t>2</w:t>
      </w:r>
      <w:r w:rsidR="000A2B89" w:rsidRPr="00E005AA">
        <w:rPr>
          <w:rFonts w:eastAsia="Times New Roman"/>
          <w:lang w:eastAsia="ru-RU"/>
        </w:rPr>
        <w:t xml:space="preserve"> в/в кап., дни 1–3; </w:t>
      </w:r>
      <w:r w:rsidR="005A463A" w:rsidRPr="005A463A">
        <w:rPr>
          <w:rFonts w:eastAsia="Times New Roman"/>
          <w:lang w:eastAsia="ru-RU"/>
        </w:rPr>
        <w:t>#</w:t>
      </w:r>
      <w:r w:rsidR="000A2B89" w:rsidRPr="00E005AA">
        <w:rPr>
          <w:rFonts w:eastAsia="Times New Roman"/>
          <w:lang w:eastAsia="ru-RU"/>
        </w:rPr>
        <w:t>Циклофосфамид** – 250 мг/м</w:t>
      </w:r>
      <w:r w:rsidR="000A2B89" w:rsidRPr="00E005AA">
        <w:rPr>
          <w:rFonts w:eastAsia="Times New Roman"/>
          <w:vertAlign w:val="superscript"/>
          <w:lang w:eastAsia="ru-RU"/>
        </w:rPr>
        <w:t>2</w:t>
      </w:r>
      <w:r w:rsidR="000A2B89" w:rsidRPr="00E005AA">
        <w:rPr>
          <w:rFonts w:eastAsia="Times New Roman"/>
          <w:lang w:eastAsia="ru-RU"/>
        </w:rPr>
        <w:t xml:space="preserve"> в/в кап., дни 1–3</w:t>
      </w:r>
      <w:r w:rsidR="000A2B89" w:rsidRPr="00451C55">
        <w:rPr>
          <w:rFonts w:eastAsia="Times New Roman"/>
          <w:lang w:eastAsia="ru-RU"/>
        </w:rPr>
        <w:t xml:space="preserve">). </w:t>
      </w:r>
      <w:r w:rsidR="00BC258D">
        <w:t>(</w:t>
      </w:r>
      <w:r w:rsidR="00AA4B03">
        <w:t xml:space="preserve">схемы режимов лечения см. в приложении </w:t>
      </w:r>
      <w:r w:rsidR="00437AD9" w:rsidRPr="0095233F">
        <w:t>А3.3)</w:t>
      </w:r>
      <w:r w:rsidR="00E97E28" w:rsidRPr="0095233F">
        <w:t xml:space="preserve"> </w:t>
      </w:r>
      <w:r w:rsidR="000B0AC3" w:rsidRPr="0095233F">
        <w:fldChar w:fldCharType="begin" w:fldLock="1"/>
      </w:r>
      <w:r w:rsidR="00467947">
        <w:instrText>ADDIN CSL_CITATION {"citationItems":[{"id":"ITEM-1","itemData":{"DOI":"10.1016/S0140-6736(10)61381-5","ISSN":"01406736","abstract":"Background On the basis of promising results that were reported in several phase 2 trials, we investigated whether the addition of the monoclonal antibody rituximab to first-line chemotherapy with fludarabine and cyclophosphamide would improve the outcome of patients with chronic lymphocytic leukaemia. Methods Treatment-naive, physically fit patients (aged 30-81 years) with CD20-positive chronic lymphocytic leukaemia were randomly assigned in a one-to-one ratio to receive six courses of intravenous fludarabine (25 mg/m&lt;sup&gt;2&lt;/sup&gt; per day) and cyclophosphamide (250 mg/m&lt;sup&gt;2&lt;/sup&gt; per day) for the first 3 days of each 28-day treatment course with or without rituximab (375 mg/m&lt;sup&gt;2&lt;/sup&gt; on day 0 of first course, and 500 mg/m&lt;sup&gt;2&lt;/sup&gt; on day 1 of second to sixth courses) in 190 centres in 11 countries. Investigators and patients were not masked to the computer-generated treatment assignment. The primary endpoint was progression-free survival (PFS). Analysis was by intention to treat. This study is registered with ClinicalTrials.gov, number NCT00281918. Findings 408 patients were assigned to fludarabine, cyclophosphamide, and rituximab (chemoimmunotherapy group) and 409 to fludarabine and cyclophosphamide (chemotherapy group); all patients were analysed. At 3 years after randomisation, 65 of patients in the chemoimmunotherapy group were free of progression compared with 45 in the chemotherapy group (hazard ratio 0·56 [95 CI 0·46-0·69], p&lt;0·0001); 87 were alive versus 83, respectively (0·67 [0·48-0·92]; p=0·01). Chemoimmunotherapy was more frequently associated with grade 3 and 4 neutropenia (136 [34] of 404 vs 83 [21] of 396; p&lt;0·0001) and leucocytopenia (97 [24] vs 48 [12]; p&lt;0·0001). Other side-effects, including severe infections, were not increased. There were eight (2) treatment-related deaths in the chemoimmunotherapy group compared with ten (3) in the chemotherapy group. Interpretation Chemoimmunotherapy with fludarabine, cyclophosphamide, and rituximab improves progression-free survival and overall survival in patients with chronic lymphocytic leukaemia. Moreover, the results suggest that the choice of a specific first-line treatment changes the natural course of chronic lymphocytic leukaemia. Funding F Hoffmann-La Roche. © 2010 Elsevier Ltd.","author":[{"dropping-particle":"","family":"Hallek","given":"M.","non-dropping-particle":"","parse-names":false,"suffix":""},{"dropping-particle":"","family":"Fischer","given":"K.","non-dropping-particle":"","parse-names":false,"suffix":""},{"dropping-particle":"","family":"Fingerle-Rowson","given":"G.","non-dropping-particle":"","parse-names":false,"suffix":""},{"dropping-particle":"","family":"Fink","given":"A. M.","non-dropping-particle":"","parse-names":false,"suffix":""},{"dropping-particle":"","family":"Busch","given":"R.","non-dropping-particle":"","parse-names":false,"suffix":""},{"dropping-particle":"","family":"Mayer","given":"J.","non-dropping-particle":"","parse-names":false,"suffix":""},{"dropping-particle":"","family":"Hensel","given":"M.","non-dropping-particle":"","parse-names":false,"suffix":""},{"dropping-particle":"","family":"Hopfinger","given":"G.","non-dropping-particle":"","parse-names":false,"suffix":""},{"dropping-particle":"","family":"Hess","given":"G.","non-dropping-particle":"","parse-names":false,"suffix":""},{"dropping-particle":"","family":"Grünhagen","given":"U.","non-dropping-particle":"Von","parse-names":false,"suffix":""},{"dropping-particle":"","family":"Bergmann","given":"M.","non-dropping-particle":"","parse-names":false,"suffix":""},{"dropping-particle":"","family":"Catalano","given":"J.","non-dropping-particle":"","parse-names":false,"suffix":""},{"dropping-particle":"","family":"Zinzani","given":"P. L.","non-dropping-particle":"","parse-names":false,"suffix":""},{"dropping-particle":"","family":"Caligaris-Cappio","given":"F.","non-dropping-particle":"","parse-names":false,"suffix":""},{"dropping-particle":"","family":"Seymour","given":"J. F.","non-dropping-particle":"","parse-names":false,"suffix":""},{"dropping-particle":"","family":"Berrebi","given":"A.","non-dropping-particle":"","parse-names":false,"suffix":""},{"dropping-particle":"","family":"Jäger","given":"U.","non-dropping-particle":"","parse-names":false,"suffix":""},{"dropping-particle":"","family":"Cazin","given":"B.","non-dropping-particle":"","parse-names":false,"suffix":""},{"dropping-particle":"","family":"Trneny","given":"M.","non-dropping-particle":"","parse-names":false,"suffix":""},{"dropping-particle":"","family":"Westermann","given":"A.","non-dropping-particle":"","parse-names":false,"suffix":""},{"dropping-particle":"","family":"Wendtner","given":"C. M.","non-dropping-particle":"","parse-names":false,"suffix":""},{"dropping-particle":"","family":"Eichhorst","given":"B. F.","non-dropping-particle":"","parse-names":false,"suffix":""},{"dropping-particle":"","family":"Staib","given":"P.","non-dropping-particle":"","parse-names":false,"suffix":""},{"dropping-particle":"","family":"Bühler","given":"A.","non-dropping-particle":"","parse-names":false,"suffix":""},{"dropping-particle":"","family":"Winkler","given":"D.","non-dropping-particle":"","parse-names":false,"suffix":""},{"dropping-particle":"","family":"Zenz","given":"T.","non-dropping-particle":"","parse-names":false,"suffix":""},{"dropping-particle":"","family":"Böttcher","given":"S.","non-dropping-particle":"","parse-names":false,"suffix":""},{"dropping-particle":"","family":"Ritgen","given":"M.","non-dropping-particle":"","parse-names":false,"suffix":""},{"dropping-particle":"","family":"Mendila","given":"M.","non-dropping-particle":"","parse-names":false,"suffix":""},{"dropping-particle":"","family":"Kneba","given":"M.","non-dropping-particle":"","parse-names":false,"suffix":""},{"dropping-particle":"","family":"Döhner","given":"H.","non-dropping-particle":"","parse-names":false,"suffix":""},{"dropping-particle":"","family":"Stilgenbauer","given":"S.","non-dropping-particle":"","parse-names":false,"suffix":""}],"container-title":"The Lancet","id":"ITEM-1","issue":"9747","issued":{"date-parts":[["2010","10","2"]]},"page":"1164-1174","publisher":"Lancet Publishing Group","title":"Addition of rituximab to fludarabine and cyclophosphamide in patients with chronic lymphocytic leukaemia: A randomised, open-label, phase 3 trial","type":"article-journal","volume":"376"},"uris":["http://www.mendeley.com/documents/?uuid=ed0e68e1-18a3-3844-97e2-66b47634f6c0"]},{"id":"ITEM-2","itemData":{"DOI":"10.1182/blood-2015-06-651125","ISSN":"15280020","abstract":"Despite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-2","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[23,24]","plainTextFormattedCitation":"[23,24]","previouslyFormattedCitation":"[23,24]"},"properties":{"noteIndex":0},"schema":"https://github.com/citation-style-language/schema/raw/master/csl-citation.json"}</w:instrText>
      </w:r>
      <w:r w:rsidR="000B0AC3" w:rsidRPr="0095233F">
        <w:fldChar w:fldCharType="separate"/>
      </w:r>
      <w:r w:rsidR="00015814" w:rsidRPr="0095233F">
        <w:rPr>
          <w:noProof/>
        </w:rPr>
        <w:t>[</w:t>
      </w:r>
      <w:r w:rsidR="000B0AC3" w:rsidRPr="0008146B">
        <w:rPr>
          <w:noProof/>
        </w:rPr>
        <w:t>23,24]</w:t>
      </w:r>
      <w:r w:rsidR="000B0AC3" w:rsidRPr="0095233F">
        <w:fldChar w:fldCharType="end"/>
      </w:r>
      <w:r w:rsidR="004D6541" w:rsidRPr="0095233F">
        <w:t>.</w:t>
      </w:r>
    </w:p>
    <w:p w:rsidR="004D7374" w:rsidRPr="001F4A9B" w:rsidRDefault="004D7374" w:rsidP="00BE6A1C">
      <w:pPr>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А</w:t>
      </w:r>
      <w:r w:rsidRPr="0095233F">
        <w:rPr>
          <w:b/>
          <w:spacing w:val="-4"/>
        </w:rPr>
        <w:t xml:space="preserve"> (урове</w:t>
      </w:r>
      <w:r w:rsidR="001E3D61" w:rsidRPr="0095233F">
        <w:rPr>
          <w:b/>
          <w:spacing w:val="-4"/>
        </w:rPr>
        <w:t xml:space="preserve">нь достоверности </w:t>
      </w:r>
      <w:r w:rsidR="00C20509" w:rsidRPr="0095233F">
        <w:rPr>
          <w:b/>
          <w:spacing w:val="-4"/>
        </w:rPr>
        <w:t>доказательств</w:t>
      </w:r>
      <w:r w:rsidR="00C20509" w:rsidRPr="001F4A9B">
        <w:rPr>
          <w:b/>
          <w:spacing w:val="-4"/>
        </w:rPr>
        <w:t xml:space="preserve"> – </w:t>
      </w:r>
      <w:r w:rsidR="001E3D61" w:rsidRPr="001F4A9B">
        <w:rPr>
          <w:b/>
          <w:spacing w:val="-4"/>
        </w:rPr>
        <w:t>2</w:t>
      </w:r>
      <w:r w:rsidRPr="001F4A9B">
        <w:rPr>
          <w:b/>
          <w:spacing w:val="-4"/>
        </w:rPr>
        <w:t>)</w:t>
      </w:r>
      <w:r w:rsidR="00D25605" w:rsidRPr="001F4A9B">
        <w:rPr>
          <w:b/>
          <w:spacing w:val="-4"/>
        </w:rPr>
        <w:t>.</w:t>
      </w:r>
    </w:p>
    <w:p w:rsidR="004D7374" w:rsidRDefault="00A81638" w:rsidP="00BE6A1C">
      <w:pPr>
        <w:contextualSpacing/>
      </w:pPr>
      <w:r>
        <w:rPr>
          <w:b/>
        </w:rPr>
        <w:t>Комментарии</w:t>
      </w:r>
      <w:r w:rsidR="004D7374" w:rsidRPr="00D25605">
        <w:rPr>
          <w:b/>
        </w:rPr>
        <w:t xml:space="preserve">: </w:t>
      </w:r>
      <w:r w:rsidR="00E97E28" w:rsidRPr="00D25605">
        <w:rPr>
          <w:i/>
        </w:rPr>
        <w:t xml:space="preserve">стандартом </w:t>
      </w:r>
      <w:r w:rsidR="004D7374" w:rsidRPr="00D25605">
        <w:rPr>
          <w:i/>
        </w:rPr>
        <w:t xml:space="preserve">терапии </w:t>
      </w:r>
      <w:r w:rsidR="001F4A9B">
        <w:rPr>
          <w:i/>
        </w:rPr>
        <w:t>1-й</w:t>
      </w:r>
      <w:r w:rsidR="004D7374" w:rsidRPr="00D25605">
        <w:rPr>
          <w:i/>
        </w:rPr>
        <w:t xml:space="preserve"> линии у молодых пациентов c хорошим соматическим статусом (кроме пациентов с del(17p) и/или мутацией TP53) является режим FCR (флударабин</w:t>
      </w:r>
      <w:r w:rsidR="00122E4B">
        <w:rPr>
          <w:i/>
        </w:rPr>
        <w:t>**</w:t>
      </w:r>
      <w:r w:rsidR="004D7374" w:rsidRPr="00D25605">
        <w:rPr>
          <w:i/>
        </w:rPr>
        <w:t>, циклофосфамид</w:t>
      </w:r>
      <w:r w:rsidR="00122E4B">
        <w:rPr>
          <w:i/>
        </w:rPr>
        <w:t>**</w:t>
      </w:r>
      <w:r w:rsidR="004D7374" w:rsidRPr="00D25605">
        <w:rPr>
          <w:i/>
        </w:rPr>
        <w:t>, ритуксимаб</w:t>
      </w:r>
      <w:r w:rsidR="00122E4B">
        <w:rPr>
          <w:i/>
        </w:rPr>
        <w:t>**</w:t>
      </w:r>
      <w:r w:rsidR="004D7374" w:rsidRPr="00D25605">
        <w:rPr>
          <w:i/>
        </w:rPr>
        <w:t>). Обновленные в 2016 г</w:t>
      </w:r>
      <w:r w:rsidR="001F4A9B">
        <w:rPr>
          <w:i/>
        </w:rPr>
        <w:t>.</w:t>
      </w:r>
      <w:r w:rsidR="004D7374" w:rsidRPr="00D25605">
        <w:rPr>
          <w:i/>
        </w:rPr>
        <w:t xml:space="preserve"> результаты исследования CLL8 показали</w:t>
      </w:r>
      <w:r w:rsidR="001F4A9B">
        <w:rPr>
          <w:i/>
        </w:rPr>
        <w:t>,</w:t>
      </w:r>
      <w:r w:rsidR="00E97E28" w:rsidRPr="00E97E28">
        <w:rPr>
          <w:i/>
        </w:rPr>
        <w:t xml:space="preserve"> </w:t>
      </w:r>
      <w:r w:rsidR="004D7374" w:rsidRPr="00D25605">
        <w:rPr>
          <w:i/>
        </w:rPr>
        <w:t xml:space="preserve">что в группе FCR число выживших при медиане наблюдения, равной </w:t>
      </w:r>
      <w:r w:rsidR="005C6207">
        <w:rPr>
          <w:i/>
        </w:rPr>
        <w:t>5</w:t>
      </w:r>
      <w:r w:rsidR="004D7374" w:rsidRPr="00D25605">
        <w:rPr>
          <w:i/>
        </w:rPr>
        <w:t xml:space="preserve">,9 </w:t>
      </w:r>
      <w:r w:rsidR="001F4A9B">
        <w:rPr>
          <w:i/>
        </w:rPr>
        <w:t>года</w:t>
      </w:r>
      <w:r w:rsidR="004D7374" w:rsidRPr="00D25605">
        <w:rPr>
          <w:i/>
        </w:rPr>
        <w:t xml:space="preserve">, составило </w:t>
      </w:r>
      <w:r w:rsidR="005C6207">
        <w:rPr>
          <w:i/>
        </w:rPr>
        <w:t>78</w:t>
      </w:r>
      <w:r w:rsidR="004D7374" w:rsidRPr="00D25605">
        <w:rPr>
          <w:i/>
        </w:rPr>
        <w:t>,</w:t>
      </w:r>
      <w:r w:rsidR="005C6207">
        <w:rPr>
          <w:i/>
        </w:rPr>
        <w:t>7</w:t>
      </w:r>
      <w:r w:rsidR="00DD3D1E">
        <w:rPr>
          <w:i/>
        </w:rPr>
        <w:t xml:space="preserve"> %</w:t>
      </w:r>
      <w:r w:rsidR="004D7374" w:rsidRPr="00D25605">
        <w:rPr>
          <w:i/>
        </w:rPr>
        <w:t xml:space="preserve"> по сравнению с </w:t>
      </w:r>
      <w:r w:rsidR="005C6207">
        <w:rPr>
          <w:i/>
        </w:rPr>
        <w:t>66,9</w:t>
      </w:r>
      <w:r w:rsidR="00DD3D1E">
        <w:rPr>
          <w:i/>
        </w:rPr>
        <w:t xml:space="preserve"> %</w:t>
      </w:r>
      <w:r w:rsidR="004D7374" w:rsidRPr="00D25605">
        <w:rPr>
          <w:i/>
        </w:rPr>
        <w:t xml:space="preserve"> в группе FC (</w:t>
      </w:r>
      <w:r w:rsidR="001F4A9B">
        <w:rPr>
          <w:i/>
        </w:rPr>
        <w:t xml:space="preserve">ОР </w:t>
      </w:r>
      <w:r w:rsidR="004D7374" w:rsidRPr="00D25605">
        <w:rPr>
          <w:i/>
        </w:rPr>
        <w:t>0,68, 95</w:t>
      </w:r>
      <w:r w:rsidR="00DD3D1E">
        <w:rPr>
          <w:i/>
        </w:rPr>
        <w:t xml:space="preserve"> %</w:t>
      </w:r>
      <w:r w:rsidR="004D7374" w:rsidRPr="00D25605">
        <w:rPr>
          <w:i/>
        </w:rPr>
        <w:t xml:space="preserve"> доверительный интервал (ДИ) 0,535−0,858, p = 0,001). Медиана ВБП у </w:t>
      </w:r>
      <w:r w:rsidR="00DD5F69">
        <w:rPr>
          <w:i/>
        </w:rPr>
        <w:t>пациентов</w:t>
      </w:r>
      <w:r w:rsidR="004D7374" w:rsidRPr="00D25605">
        <w:rPr>
          <w:i/>
        </w:rPr>
        <w:t xml:space="preserve"> с мутациями</w:t>
      </w:r>
      <w:r w:rsidR="001F4A9B">
        <w:rPr>
          <w:i/>
        </w:rPr>
        <w:t xml:space="preserve"> генов</w:t>
      </w:r>
      <w:r w:rsidR="004D7374" w:rsidRPr="00D25605">
        <w:rPr>
          <w:i/>
        </w:rPr>
        <w:t xml:space="preserve"> IGHV, получавших лечение по схеме FCR, не достигнута</w:t>
      </w:r>
      <w:r w:rsidR="001F4A9B">
        <w:rPr>
          <w:i/>
        </w:rPr>
        <w:t xml:space="preserve"> </w:t>
      </w:r>
      <w:r w:rsidR="000B0AC3">
        <w:fldChar w:fldCharType="begin" w:fldLock="1"/>
      </w:r>
      <w:r w:rsidR="00015814">
        <w:instrText>ADDIN CSL_CITATION {"citationItems":[{"id":"ITEM-1","itemData":{"DOI":"10.1182/blood-2015-06-651125","ISSN":"15280020","abstract":"Despite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-1","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[24]","plainTextFormattedCitation":"[24]","previouslyFormattedCitation":"[24]"},"properties":{"noteIndex":0},"schema":"https://github.com/citation-style-language/schema/raw/master/csl-citation.json"}</w:instrText>
      </w:r>
      <w:r w:rsidR="000B0AC3">
        <w:fldChar w:fldCharType="separate"/>
      </w:r>
      <w:r w:rsidR="00015814" w:rsidRPr="00015814">
        <w:rPr>
          <w:noProof/>
        </w:rPr>
        <w:t>[24]</w:t>
      </w:r>
      <w:r w:rsidR="000B0AC3">
        <w:fldChar w:fldCharType="end"/>
      </w:r>
      <w:r w:rsidR="004D7374" w:rsidRPr="00D25605">
        <w:rPr>
          <w:i/>
        </w:rPr>
        <w:t xml:space="preserve">. </w:t>
      </w:r>
      <w:r w:rsidR="005C6207">
        <w:rPr>
          <w:i/>
        </w:rPr>
        <w:t>П</w:t>
      </w:r>
      <w:r w:rsidR="004D7374" w:rsidRPr="00D25605">
        <w:rPr>
          <w:i/>
        </w:rPr>
        <w:t xml:space="preserve">ри этом режим FCR ассоциируется с высокой частотой развития нежелательных явлений, особенно цитопении и инфекционных осложнений. </w:t>
      </w:r>
      <w:r w:rsidR="005802F3">
        <w:rPr>
          <w:i/>
        </w:rPr>
        <w:t>Л</w:t>
      </w:r>
      <w:r w:rsidR="004D7374" w:rsidRPr="00D25605">
        <w:rPr>
          <w:i/>
        </w:rPr>
        <w:t>ейкопения и нейтропения 3–4</w:t>
      </w:r>
      <w:r w:rsidR="00416F68">
        <w:rPr>
          <w:i/>
        </w:rPr>
        <w:t>-й</w:t>
      </w:r>
      <w:r w:rsidR="004D7374" w:rsidRPr="00D25605">
        <w:rPr>
          <w:i/>
        </w:rPr>
        <w:t xml:space="preserve"> </w:t>
      </w:r>
      <w:r w:rsidR="004D7374" w:rsidRPr="001F4A9B">
        <w:rPr>
          <w:i/>
          <w:spacing w:val="-4"/>
        </w:rPr>
        <w:t>степени тяжести согласно общим критериям токсичности (СТС) наблюдались у 24</w:t>
      </w:r>
      <w:r w:rsidR="00DD3D1E" w:rsidRPr="001F4A9B">
        <w:rPr>
          <w:i/>
          <w:spacing w:val="-4"/>
        </w:rPr>
        <w:t xml:space="preserve"> </w:t>
      </w:r>
      <w:r w:rsidR="004D7374" w:rsidRPr="001F4A9B">
        <w:rPr>
          <w:i/>
          <w:spacing w:val="-4"/>
        </w:rPr>
        <w:t>и 34</w:t>
      </w:r>
      <w:r w:rsidR="00DD3D1E" w:rsidRPr="001F4A9B">
        <w:rPr>
          <w:i/>
          <w:spacing w:val="-4"/>
        </w:rPr>
        <w:t xml:space="preserve"> %</w:t>
      </w:r>
      <w:r w:rsidR="004D7374" w:rsidRPr="00D25605">
        <w:rPr>
          <w:i/>
        </w:rPr>
        <w:t xml:space="preserve"> пациентов, получавших FCR, у 25</w:t>
      </w:r>
      <w:r w:rsidR="00DD3D1E">
        <w:rPr>
          <w:i/>
        </w:rPr>
        <w:t xml:space="preserve"> %</w:t>
      </w:r>
      <w:r w:rsidR="004D7374" w:rsidRPr="00D25605">
        <w:rPr>
          <w:i/>
        </w:rPr>
        <w:t xml:space="preserve"> зафиксировано развитие инфекций 3–4</w:t>
      </w:r>
      <w:r w:rsidR="00416F68">
        <w:rPr>
          <w:i/>
        </w:rPr>
        <w:t>-й</w:t>
      </w:r>
      <w:r w:rsidR="004D7374" w:rsidRPr="00D25605">
        <w:rPr>
          <w:i/>
        </w:rPr>
        <w:t xml:space="preserve"> степени тяжести.</w:t>
      </w:r>
    </w:p>
    <w:p w:rsidR="004D7374" w:rsidRPr="0095233F" w:rsidRDefault="00D961CE" w:rsidP="0043716B">
      <w:pPr>
        <w:pStyle w:val="a"/>
      </w:pPr>
      <w:r>
        <w:t>Пациентам с вер</w:t>
      </w:r>
      <w:r w:rsidR="00416F68">
        <w:t>ифицированным ХЛЛ/ЛМЛ моложе 65–</w:t>
      </w:r>
      <w:r>
        <w:t>70 лет без значимой коморбидности (физически активны</w:t>
      </w:r>
      <w:r w:rsidR="00416F68">
        <w:t>м</w:t>
      </w:r>
      <w:r>
        <w:t xml:space="preserve">, </w:t>
      </w:r>
      <w:r w:rsidR="00416F68">
        <w:t>без</w:t>
      </w:r>
      <w:r>
        <w:t xml:space="preserve"> тяжелых сопутствующих заболеваний, </w:t>
      </w:r>
      <w:r w:rsidR="00416F68">
        <w:t xml:space="preserve">с </w:t>
      </w:r>
      <w:r>
        <w:t>нормальн</w:t>
      </w:r>
      <w:r w:rsidR="00416F68">
        <w:t>ой</w:t>
      </w:r>
      <w:r>
        <w:t xml:space="preserve"> функци</w:t>
      </w:r>
      <w:r w:rsidR="00416F68">
        <w:t>ей</w:t>
      </w:r>
      <w:r>
        <w:t xml:space="preserve"> почек) без делеции 17p или мутации </w:t>
      </w:r>
      <w:r w:rsidRPr="000A2B89">
        <w:rPr>
          <w:i/>
        </w:rPr>
        <w:t>TP53</w:t>
      </w:r>
      <w:r w:rsidR="004D7374">
        <w:t xml:space="preserve">, </w:t>
      </w:r>
      <w:r w:rsidR="00416F68">
        <w:t xml:space="preserve">у </w:t>
      </w:r>
      <w:r w:rsidR="004D7374">
        <w:t>которы</w:t>
      </w:r>
      <w:r w:rsidR="00416F68">
        <w:t>х</w:t>
      </w:r>
      <w:r w:rsidR="004D7374">
        <w:t xml:space="preserve"> не может быть проведен режим FCR</w:t>
      </w:r>
      <w:r w:rsidR="00B3535C">
        <w:t xml:space="preserve"> </w:t>
      </w:r>
      <w:r w:rsidR="00BC258D">
        <w:t>(</w:t>
      </w:r>
      <w:r w:rsidR="00AA4B03">
        <w:t xml:space="preserve">схемы режимов лечения см. в приложении </w:t>
      </w:r>
      <w:r w:rsidR="00437AD9">
        <w:t>А3.3</w:t>
      </w:r>
      <w:r w:rsidR="00BC258D">
        <w:t>)</w:t>
      </w:r>
      <w:r w:rsidR="004D7374">
        <w:t xml:space="preserve">, </w:t>
      </w:r>
      <w:r w:rsidR="005C6207">
        <w:t xml:space="preserve">в качестве </w:t>
      </w:r>
      <w:r w:rsidR="00416F68">
        <w:t>1-й</w:t>
      </w:r>
      <w:r w:rsidR="005C6207">
        <w:t xml:space="preserve"> линии </w:t>
      </w:r>
      <w:r w:rsidR="004D7374" w:rsidRPr="000A2B89">
        <w:rPr>
          <w:b/>
        </w:rPr>
        <w:t>рекоменд</w:t>
      </w:r>
      <w:r w:rsidR="009666FC" w:rsidRPr="000A2B89">
        <w:rPr>
          <w:b/>
        </w:rPr>
        <w:t>уется</w:t>
      </w:r>
      <w:r w:rsidR="004D7374">
        <w:t xml:space="preserve"> проведение иммунохимиотерапии </w:t>
      </w:r>
      <w:r w:rsidR="004D7374" w:rsidRPr="0095233F">
        <w:t>по схеме R</w:t>
      </w:r>
      <w:r w:rsidR="00CA6A6D" w:rsidRPr="0095233F">
        <w:t>B</w:t>
      </w:r>
      <w:r w:rsidR="00B3535C" w:rsidRPr="0095233F">
        <w:t xml:space="preserve"> </w:t>
      </w:r>
      <w:r w:rsidR="000A2B89" w:rsidRPr="0095233F">
        <w:t>(</w:t>
      </w:r>
      <w:r w:rsidR="00900404" w:rsidRPr="0095233F">
        <w:rPr>
          <w:rFonts w:eastAsia="Times New Roman"/>
          <w:lang w:eastAsia="ru-RU"/>
        </w:rPr>
        <w:t>ритуксимаб</w:t>
      </w:r>
      <w:r w:rsidR="000A2B89" w:rsidRPr="0095233F">
        <w:rPr>
          <w:rFonts w:eastAsia="Times New Roman"/>
          <w:lang w:eastAsia="ru-RU"/>
        </w:rPr>
        <w:t>** – 1 цикл: 375 мг/м</w:t>
      </w:r>
      <w:r w:rsidR="000A2B89" w:rsidRPr="0095233F">
        <w:rPr>
          <w:rFonts w:eastAsia="Times New Roman"/>
          <w:vertAlign w:val="superscript"/>
          <w:lang w:eastAsia="ru-RU"/>
        </w:rPr>
        <w:t>2</w:t>
      </w:r>
      <w:r w:rsidR="000A2B89" w:rsidRPr="0095233F">
        <w:rPr>
          <w:rFonts w:eastAsia="Times New Roman"/>
          <w:lang w:eastAsia="ru-RU"/>
        </w:rPr>
        <w:t xml:space="preserve"> в/в кап., день 1, последующие циклы: 500 мг/м</w:t>
      </w:r>
      <w:r w:rsidR="000A2B89" w:rsidRPr="0095233F">
        <w:rPr>
          <w:rFonts w:eastAsia="Times New Roman"/>
          <w:vertAlign w:val="superscript"/>
          <w:lang w:eastAsia="ru-RU"/>
        </w:rPr>
        <w:t>2</w:t>
      </w:r>
      <w:r w:rsidR="000A2B89" w:rsidRPr="0095233F">
        <w:rPr>
          <w:rFonts w:eastAsia="Times New Roman"/>
          <w:lang w:eastAsia="ru-RU"/>
        </w:rPr>
        <w:t xml:space="preserve"> в/в кап. или </w:t>
      </w:r>
      <w:r w:rsidR="00EA3851">
        <w:rPr>
          <w:rFonts w:eastAsia="Times New Roman"/>
          <w:lang w:eastAsia="ru-RU"/>
        </w:rPr>
        <w:t>1400 мг п/к</w:t>
      </w:r>
      <w:r w:rsidR="000A2B89" w:rsidRPr="0095233F">
        <w:rPr>
          <w:rFonts w:eastAsia="Times New Roman"/>
          <w:lang w:eastAsia="ru-RU"/>
        </w:rPr>
        <w:t xml:space="preserve">, день 1; </w:t>
      </w:r>
      <w:r w:rsidR="00900404" w:rsidRPr="0095233F">
        <w:rPr>
          <w:rFonts w:eastAsia="Times New Roman"/>
          <w:lang w:eastAsia="ru-RU"/>
        </w:rPr>
        <w:t>#бендамустин</w:t>
      </w:r>
      <w:r w:rsidR="000A2B89" w:rsidRPr="0095233F">
        <w:rPr>
          <w:rFonts w:eastAsia="Times New Roman"/>
          <w:lang w:eastAsia="ru-RU"/>
        </w:rPr>
        <w:t>** – 90 мг/м</w:t>
      </w:r>
      <w:r w:rsidR="000A2B89" w:rsidRPr="0095233F">
        <w:rPr>
          <w:rFonts w:eastAsia="Times New Roman"/>
          <w:vertAlign w:val="superscript"/>
          <w:lang w:eastAsia="ru-RU"/>
        </w:rPr>
        <w:t>2</w:t>
      </w:r>
      <w:r w:rsidR="000A2B89" w:rsidRPr="0095233F">
        <w:rPr>
          <w:rFonts w:eastAsia="Times New Roman"/>
          <w:lang w:eastAsia="ru-RU"/>
        </w:rPr>
        <w:t xml:space="preserve"> в/в кап., дни 1, 2) </w:t>
      </w:r>
      <w:r w:rsidR="00451C55" w:rsidRPr="0095233F">
        <w:rPr>
          <w:rFonts w:eastAsia="Times New Roman"/>
          <w:lang w:eastAsia="ru-RU"/>
        </w:rPr>
        <w:t xml:space="preserve">для достижения ремиссии </w:t>
      </w:r>
      <w:r w:rsidR="00BC258D" w:rsidRPr="0095233F">
        <w:t>(</w:t>
      </w:r>
      <w:r w:rsidR="00AA4B03" w:rsidRPr="0095233F">
        <w:t xml:space="preserve">схемы режимов лечения см. в приложении </w:t>
      </w:r>
      <w:r w:rsidR="00437AD9" w:rsidRPr="0095233F">
        <w:t>А3.3</w:t>
      </w:r>
      <w:r w:rsidR="00BC258D" w:rsidRPr="0095233F">
        <w:t>)</w:t>
      </w:r>
      <w:r w:rsidR="00E97E28" w:rsidRPr="0095233F">
        <w:t xml:space="preserve"> </w:t>
      </w:r>
      <w:r w:rsidR="000B0AC3" w:rsidRPr="0095233F">
        <w:fldChar w:fldCharType="begin" w:fldLock="1"/>
      </w:r>
      <w:r w:rsidR="0095233F" w:rsidRPr="0095233F">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[25,26]","plainTextFormattedCitation":"[25,26]","previouslyFormattedCitation":"[25,26]"},"properties":{"noteIndex":0},"schema":"https://github.com/citation-style-language/schema/raw/master/csl-citation.json"}</w:instrText>
      </w:r>
      <w:r w:rsidR="000B0AC3" w:rsidRPr="0095233F">
        <w:fldChar w:fldCharType="separate"/>
      </w:r>
      <w:r w:rsidR="00015814" w:rsidRPr="0095233F">
        <w:rPr>
          <w:noProof/>
        </w:rPr>
        <w:t>[25,26]</w:t>
      </w:r>
      <w:r w:rsidR="000B0AC3" w:rsidRPr="0095233F">
        <w:fldChar w:fldCharType="end"/>
      </w:r>
      <w:r w:rsidR="00D25605" w:rsidRPr="0095233F">
        <w:t>.</w:t>
      </w:r>
    </w:p>
    <w:p w:rsidR="004D7374" w:rsidRPr="00416F68" w:rsidRDefault="004D7374" w:rsidP="00BE6A1C">
      <w:pPr>
        <w:contextualSpacing/>
        <w:rPr>
          <w:b/>
          <w:spacing w:val="-4"/>
        </w:rPr>
      </w:pPr>
      <w:r w:rsidRPr="00416F68">
        <w:rPr>
          <w:b/>
          <w:spacing w:val="-4"/>
        </w:rPr>
        <w:t xml:space="preserve">Уровень убедительности </w:t>
      </w:r>
      <w:r w:rsidR="00C20509" w:rsidRPr="00416F68">
        <w:rPr>
          <w:b/>
          <w:spacing w:val="-4"/>
        </w:rPr>
        <w:t xml:space="preserve">рекомендаций – </w:t>
      </w:r>
      <w:r w:rsidR="001E3D61" w:rsidRPr="00416F68">
        <w:rPr>
          <w:b/>
          <w:spacing w:val="-4"/>
        </w:rPr>
        <w:t>А</w:t>
      </w:r>
      <w:r w:rsidRPr="00416F68">
        <w:rPr>
          <w:b/>
          <w:spacing w:val="-4"/>
        </w:rPr>
        <w:t xml:space="preserve"> (урове</w:t>
      </w:r>
      <w:r w:rsidR="001E3D61" w:rsidRPr="00416F68">
        <w:rPr>
          <w:b/>
          <w:spacing w:val="-4"/>
        </w:rPr>
        <w:t xml:space="preserve">нь достоверности </w:t>
      </w:r>
      <w:r w:rsidR="00C20509" w:rsidRPr="00416F68">
        <w:rPr>
          <w:b/>
          <w:spacing w:val="-4"/>
        </w:rPr>
        <w:t xml:space="preserve">доказательств – </w:t>
      </w:r>
      <w:r w:rsidR="001E3D61" w:rsidRPr="00416F68">
        <w:rPr>
          <w:b/>
          <w:spacing w:val="-4"/>
        </w:rPr>
        <w:t>2</w:t>
      </w:r>
      <w:r w:rsidRPr="00416F68">
        <w:rPr>
          <w:b/>
          <w:spacing w:val="-4"/>
        </w:rPr>
        <w:t>)</w:t>
      </w:r>
      <w:r w:rsidR="00D25605" w:rsidRPr="00416F68">
        <w:rPr>
          <w:b/>
          <w:spacing w:val="-4"/>
        </w:rPr>
        <w:t>.</w:t>
      </w:r>
    </w:p>
    <w:p w:rsidR="004D7374" w:rsidRDefault="00D25605" w:rsidP="00BE6A1C">
      <w:pPr>
        <w:contextualSpacing/>
        <w:rPr>
          <w:i/>
        </w:rPr>
      </w:pPr>
      <w:r w:rsidRPr="00D25605">
        <w:rPr>
          <w:b/>
        </w:rPr>
        <w:lastRenderedPageBreak/>
        <w:t>Коммен</w:t>
      </w:r>
      <w:r w:rsidR="00A81638">
        <w:rPr>
          <w:b/>
        </w:rPr>
        <w:t>тарии</w:t>
      </w:r>
      <w:r w:rsidRPr="00D25605">
        <w:rPr>
          <w:b/>
        </w:rPr>
        <w:t>:</w:t>
      </w:r>
      <w:r w:rsidR="00E97E28" w:rsidRPr="00E97E28">
        <w:rPr>
          <w:b/>
        </w:rPr>
        <w:t xml:space="preserve"> </w:t>
      </w:r>
      <w:r w:rsidR="00E97E28" w:rsidRPr="00D25605">
        <w:rPr>
          <w:i/>
        </w:rPr>
        <w:t xml:space="preserve">при </w:t>
      </w:r>
      <w:r w:rsidR="004D7374" w:rsidRPr="00D25605">
        <w:rPr>
          <w:i/>
        </w:rPr>
        <w:t xml:space="preserve">невозможности проведения режима FCR альтернативным вариантом </w:t>
      </w:r>
      <w:r w:rsidR="00416F68">
        <w:rPr>
          <w:i/>
        </w:rPr>
        <w:t>1-й</w:t>
      </w:r>
      <w:r w:rsidR="004D7374" w:rsidRPr="00D25605">
        <w:rPr>
          <w:i/>
        </w:rPr>
        <w:t xml:space="preserve"> линии терапии может быть комбинация бендамустина</w:t>
      </w:r>
      <w:r w:rsidR="00122E4B">
        <w:rPr>
          <w:i/>
        </w:rPr>
        <w:t>**</w:t>
      </w:r>
      <w:r w:rsidR="004D7374" w:rsidRPr="00D25605">
        <w:rPr>
          <w:i/>
        </w:rPr>
        <w:t xml:space="preserve"> и ритуксимаба</w:t>
      </w:r>
      <w:r w:rsidR="00122E4B">
        <w:rPr>
          <w:i/>
        </w:rPr>
        <w:t>**</w:t>
      </w:r>
      <w:r w:rsidR="004D7374" w:rsidRPr="00D25605">
        <w:rPr>
          <w:i/>
        </w:rPr>
        <w:t xml:space="preserve"> (BR). В</w:t>
      </w:r>
      <w:r w:rsidR="00416F68">
        <w:rPr>
          <w:i/>
        </w:rPr>
        <w:t> </w:t>
      </w:r>
      <w:r w:rsidR="004D7374" w:rsidRPr="00D25605">
        <w:rPr>
          <w:i/>
        </w:rPr>
        <w:t>исследовании CLL10</w:t>
      </w:r>
      <w:r w:rsidR="00E97E28" w:rsidRPr="00E97E28">
        <w:rPr>
          <w:i/>
        </w:rPr>
        <w:t xml:space="preserve"> </w:t>
      </w:r>
      <w:r w:rsidR="004D7374" w:rsidRPr="00D25605">
        <w:rPr>
          <w:i/>
        </w:rPr>
        <w:t xml:space="preserve">показано, что режим BR менее токсичен по сравнению с режимом FCR, хотя и менее эффективен. Частота общего ответа в обеих группах составила </w:t>
      </w:r>
      <w:r w:rsidR="00416F68">
        <w:rPr>
          <w:i/>
        </w:rPr>
        <w:br/>
      </w:r>
      <w:r w:rsidR="005802F3">
        <w:rPr>
          <w:i/>
        </w:rPr>
        <w:t>95</w:t>
      </w:r>
      <w:r w:rsidR="00416F68">
        <w:rPr>
          <w:i/>
        </w:rPr>
        <w:t>–</w:t>
      </w:r>
      <w:r w:rsidR="005802F3">
        <w:rPr>
          <w:i/>
        </w:rPr>
        <w:t>96</w:t>
      </w:r>
      <w:r w:rsidR="00DD3D1E">
        <w:rPr>
          <w:i/>
        </w:rPr>
        <w:t xml:space="preserve"> %</w:t>
      </w:r>
      <w:r w:rsidR="004D7374" w:rsidRPr="00D25605">
        <w:rPr>
          <w:i/>
        </w:rPr>
        <w:t>. Медиана ВБП также оказалась больше в группе FCR (</w:t>
      </w:r>
      <w:r w:rsidR="005802F3" w:rsidRPr="00D25605">
        <w:rPr>
          <w:i/>
        </w:rPr>
        <w:t>5</w:t>
      </w:r>
      <w:r w:rsidR="005802F3">
        <w:rPr>
          <w:i/>
        </w:rPr>
        <w:t>5</w:t>
      </w:r>
      <w:r w:rsidR="004D7374" w:rsidRPr="00D25605">
        <w:rPr>
          <w:i/>
        </w:rPr>
        <w:t>,</w:t>
      </w:r>
      <w:r w:rsidR="005802F3">
        <w:rPr>
          <w:i/>
        </w:rPr>
        <w:t>2</w:t>
      </w:r>
      <w:r w:rsidR="00E97E28" w:rsidRPr="00E97E28">
        <w:rPr>
          <w:i/>
        </w:rPr>
        <w:t xml:space="preserve"> </w:t>
      </w:r>
      <w:r w:rsidR="004D7374" w:rsidRPr="00D25605">
        <w:rPr>
          <w:i/>
        </w:rPr>
        <w:t>мес</w:t>
      </w:r>
      <w:r w:rsidR="00F07AA9">
        <w:rPr>
          <w:i/>
        </w:rPr>
        <w:t>.</w:t>
      </w:r>
      <w:r w:rsidR="004D7374" w:rsidRPr="00D25605">
        <w:rPr>
          <w:i/>
        </w:rPr>
        <w:t xml:space="preserve"> против </w:t>
      </w:r>
      <w:r w:rsidR="005802F3" w:rsidRPr="00D25605">
        <w:rPr>
          <w:i/>
        </w:rPr>
        <w:t>4</w:t>
      </w:r>
      <w:r w:rsidR="005802F3">
        <w:rPr>
          <w:i/>
        </w:rPr>
        <w:t>1</w:t>
      </w:r>
      <w:r w:rsidR="004D7374" w:rsidRPr="00D25605">
        <w:rPr>
          <w:i/>
        </w:rPr>
        <w:t>,</w:t>
      </w:r>
      <w:r w:rsidR="005802F3">
        <w:rPr>
          <w:i/>
        </w:rPr>
        <w:t>7</w:t>
      </w:r>
      <w:r w:rsidR="00416F68">
        <w:rPr>
          <w:i/>
        </w:rPr>
        <w:t xml:space="preserve"> мес.</w:t>
      </w:r>
      <w:r w:rsidR="004D7374" w:rsidRPr="00D25605">
        <w:rPr>
          <w:i/>
        </w:rPr>
        <w:t xml:space="preserve">, </w:t>
      </w:r>
      <w:r w:rsidR="001F4A9B">
        <w:rPr>
          <w:i/>
        </w:rPr>
        <w:t>ОР</w:t>
      </w:r>
      <w:r w:rsidR="004D7374" w:rsidRPr="00D25605">
        <w:rPr>
          <w:i/>
        </w:rPr>
        <w:t xml:space="preserve"> 1,</w:t>
      </w:r>
      <w:r w:rsidR="005802F3">
        <w:rPr>
          <w:i/>
        </w:rPr>
        <w:t>643</w:t>
      </w:r>
      <w:r w:rsidR="004D7374" w:rsidRPr="00D25605">
        <w:rPr>
          <w:i/>
        </w:rPr>
        <w:t>, 95</w:t>
      </w:r>
      <w:r w:rsidR="00DD3D1E">
        <w:rPr>
          <w:i/>
        </w:rPr>
        <w:t xml:space="preserve"> %</w:t>
      </w:r>
      <w:r w:rsidR="004D7374" w:rsidRPr="00D25605">
        <w:rPr>
          <w:i/>
        </w:rPr>
        <w:t xml:space="preserve"> ДИ 1,</w:t>
      </w:r>
      <w:r w:rsidR="005802F3">
        <w:rPr>
          <w:i/>
        </w:rPr>
        <w:t>308</w:t>
      </w:r>
      <w:r w:rsidR="004D7374" w:rsidRPr="00D25605">
        <w:rPr>
          <w:i/>
        </w:rPr>
        <w:t>–2,</w:t>
      </w:r>
      <w:r w:rsidR="005802F3" w:rsidRPr="00D25605">
        <w:rPr>
          <w:i/>
        </w:rPr>
        <w:t>0</w:t>
      </w:r>
      <w:r w:rsidR="005802F3">
        <w:rPr>
          <w:i/>
        </w:rPr>
        <w:t>64</w:t>
      </w:r>
      <w:r w:rsidR="004D7374" w:rsidRPr="00D25605">
        <w:rPr>
          <w:i/>
        </w:rPr>
        <w:t>, p = 0,00</w:t>
      </w:r>
      <w:r w:rsidR="005802F3">
        <w:rPr>
          <w:i/>
        </w:rPr>
        <w:t>03</w:t>
      </w:r>
      <w:r w:rsidR="004D7374" w:rsidRPr="00D25605">
        <w:rPr>
          <w:i/>
        </w:rPr>
        <w:t xml:space="preserve">). Нейтропения и инфекционные осложнения </w:t>
      </w:r>
      <w:r w:rsidR="00416F68">
        <w:rPr>
          <w:i/>
        </w:rPr>
        <w:br/>
      </w:r>
      <w:r w:rsidR="004D7374" w:rsidRPr="00D25605">
        <w:rPr>
          <w:i/>
        </w:rPr>
        <w:t xml:space="preserve">3–4-й степени тяжести по СТС значительно чаще регистрировались в группе FCR </w:t>
      </w:r>
      <w:r w:rsidR="00416F68">
        <w:rPr>
          <w:i/>
        </w:rPr>
        <w:br/>
      </w:r>
      <w:r w:rsidR="004D7374" w:rsidRPr="00D25605">
        <w:rPr>
          <w:i/>
        </w:rPr>
        <w:t>(87,7</w:t>
      </w:r>
      <w:r w:rsidR="00DD3D1E">
        <w:rPr>
          <w:i/>
        </w:rPr>
        <w:t xml:space="preserve"> %</w:t>
      </w:r>
      <w:r w:rsidR="004D7374" w:rsidRPr="00D25605">
        <w:rPr>
          <w:i/>
        </w:rPr>
        <w:t xml:space="preserve"> против 67,8</w:t>
      </w:r>
      <w:r w:rsidR="00DD3D1E">
        <w:rPr>
          <w:i/>
        </w:rPr>
        <w:t xml:space="preserve"> %</w:t>
      </w:r>
      <w:r w:rsidR="004D7374" w:rsidRPr="00D25605">
        <w:rPr>
          <w:i/>
        </w:rPr>
        <w:t>, р &lt;</w:t>
      </w:r>
      <w:r w:rsidR="00416F68">
        <w:rPr>
          <w:i/>
        </w:rPr>
        <w:t xml:space="preserve"> 0,001</w:t>
      </w:r>
      <w:r w:rsidR="004D7374" w:rsidRPr="00D25605">
        <w:rPr>
          <w:i/>
        </w:rPr>
        <w:t xml:space="preserve"> и 39,8</w:t>
      </w:r>
      <w:r w:rsidR="00DD3D1E">
        <w:rPr>
          <w:i/>
        </w:rPr>
        <w:t xml:space="preserve"> %</w:t>
      </w:r>
      <w:r w:rsidR="004D7374" w:rsidRPr="00D25605">
        <w:rPr>
          <w:i/>
        </w:rPr>
        <w:t xml:space="preserve"> против 25,4</w:t>
      </w:r>
      <w:r w:rsidR="00DD3D1E">
        <w:rPr>
          <w:i/>
        </w:rPr>
        <w:t xml:space="preserve"> %</w:t>
      </w:r>
      <w:r w:rsidR="004D7374" w:rsidRPr="00D25605">
        <w:rPr>
          <w:i/>
        </w:rPr>
        <w:t>, р = 0,001), особенно у пациентов старше 65 лет (48,4</w:t>
      </w:r>
      <w:r w:rsidR="00DD3D1E">
        <w:rPr>
          <w:i/>
        </w:rPr>
        <w:t xml:space="preserve"> %</w:t>
      </w:r>
      <w:r w:rsidR="004D7374" w:rsidRPr="00D25605">
        <w:rPr>
          <w:i/>
        </w:rPr>
        <w:t xml:space="preserve"> против 26,8</w:t>
      </w:r>
      <w:r w:rsidR="00DD3D1E">
        <w:rPr>
          <w:i/>
        </w:rPr>
        <w:t xml:space="preserve"> %</w:t>
      </w:r>
      <w:r w:rsidR="004D7374" w:rsidRPr="00D25605">
        <w:rPr>
          <w:i/>
        </w:rPr>
        <w:t xml:space="preserve">, p = 0,001). </w:t>
      </w:r>
      <w:r w:rsidR="00416F68">
        <w:rPr>
          <w:i/>
        </w:rPr>
        <w:t>По частоте</w:t>
      </w:r>
      <w:r w:rsidR="004D7374" w:rsidRPr="00D25605">
        <w:rPr>
          <w:i/>
        </w:rPr>
        <w:t xml:space="preserve"> развития анемии и тромбоцитопении, а также случаев смерти, связанной с лечением, групп</w:t>
      </w:r>
      <w:r w:rsidR="00416F68">
        <w:rPr>
          <w:i/>
        </w:rPr>
        <w:t>ы</w:t>
      </w:r>
      <w:r w:rsidR="004D7374" w:rsidRPr="00D25605">
        <w:rPr>
          <w:i/>
        </w:rPr>
        <w:t xml:space="preserve"> статистически </w:t>
      </w:r>
      <w:r w:rsidR="00416F68">
        <w:rPr>
          <w:i/>
        </w:rPr>
        <w:t>значимо</w:t>
      </w:r>
      <w:r w:rsidR="004D7374" w:rsidRPr="00D25605">
        <w:rPr>
          <w:i/>
        </w:rPr>
        <w:t xml:space="preserve"> не </w:t>
      </w:r>
      <w:r w:rsidR="00416F68">
        <w:rPr>
          <w:i/>
        </w:rPr>
        <w:t>раз</w:t>
      </w:r>
      <w:r w:rsidR="004D7374" w:rsidRPr="00D25605">
        <w:rPr>
          <w:i/>
        </w:rPr>
        <w:t>личал</w:t>
      </w:r>
      <w:r w:rsidR="00416F68">
        <w:rPr>
          <w:i/>
        </w:rPr>
        <w:t>и</w:t>
      </w:r>
      <w:r w:rsidR="004D7374" w:rsidRPr="00D25605">
        <w:rPr>
          <w:i/>
        </w:rPr>
        <w:t>сь (3,9</w:t>
      </w:r>
      <w:r w:rsidR="00DD3D1E">
        <w:rPr>
          <w:i/>
        </w:rPr>
        <w:t xml:space="preserve"> %</w:t>
      </w:r>
      <w:r w:rsidR="004D7374" w:rsidRPr="00D25605">
        <w:rPr>
          <w:i/>
        </w:rPr>
        <w:t xml:space="preserve"> против 2,1</w:t>
      </w:r>
      <w:r w:rsidR="00DD3D1E">
        <w:rPr>
          <w:i/>
        </w:rPr>
        <w:t xml:space="preserve"> %</w:t>
      </w:r>
      <w:r w:rsidR="004D7374" w:rsidRPr="00D25605">
        <w:rPr>
          <w:i/>
        </w:rPr>
        <w:t xml:space="preserve">). </w:t>
      </w:r>
      <w:r w:rsidR="006B35E5">
        <w:rPr>
          <w:i/>
        </w:rPr>
        <w:t>В</w:t>
      </w:r>
      <w:r w:rsidR="004D7374" w:rsidRPr="00D25605">
        <w:rPr>
          <w:i/>
        </w:rPr>
        <w:t xml:space="preserve"> исследовании CLL10 показано, что эффективность режимов BR и FCR у пациентов старше 65 лет </w:t>
      </w:r>
      <w:r w:rsidR="004D7374" w:rsidRPr="00CD5B95">
        <w:rPr>
          <w:i/>
        </w:rPr>
        <w:t>сопоставима</w:t>
      </w:r>
      <w:r w:rsidR="00416F68" w:rsidRPr="00CD5B95">
        <w:rPr>
          <w:i/>
        </w:rPr>
        <w:t xml:space="preserve"> </w:t>
      </w:r>
      <w:r w:rsidR="000B0AC3" w:rsidRPr="00CD5B95">
        <w:rPr>
          <w:i/>
        </w:rPr>
        <w:fldChar w:fldCharType="begin" w:fldLock="1"/>
      </w:r>
      <w:r w:rsidR="00015814">
        <w:rPr>
          <w:i/>
        </w:rPr>
        <w:instrText>ADDIN CSL_CITATION {"citationItems":[{"id":"ITEM-1","itemData":{"DOI":"10.1016/S1470-2045(16)30051-1","ISSN":"14745488","abstract":"Background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Oncology","id":"ITEM-1","issue":"7","issued":{"date-parts":[["2016","7","1"]]},"page":"928-942","publisher":"Lancet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[26]","plainTextFormattedCitation":"[26]","previouslyFormattedCitation":"[26]"},"properties":{"noteIndex":0},"schema":"https://github.com/citation-style-language/schema/raw/master/csl-citation.json"}</w:instrText>
      </w:r>
      <w:r w:rsidR="000B0AC3" w:rsidRPr="00CD5B95">
        <w:rPr>
          <w:i/>
        </w:rPr>
        <w:fldChar w:fldCharType="separate"/>
      </w:r>
      <w:r w:rsidR="00015814" w:rsidRPr="00015814">
        <w:rPr>
          <w:noProof/>
        </w:rPr>
        <w:t>[26]</w:t>
      </w:r>
      <w:r w:rsidR="000B0AC3" w:rsidRPr="00CD5B95">
        <w:rPr>
          <w:i/>
        </w:rPr>
        <w:fldChar w:fldCharType="end"/>
      </w:r>
      <w:r w:rsidR="00416F68" w:rsidRPr="00CD5B95">
        <w:rPr>
          <w:i/>
        </w:rPr>
        <w:t>.</w:t>
      </w:r>
      <w:r w:rsidR="00416F68">
        <w:rPr>
          <w:i/>
        </w:rPr>
        <w:t xml:space="preserve"> В </w:t>
      </w:r>
      <w:r w:rsidR="004D7374" w:rsidRPr="00D25605">
        <w:rPr>
          <w:i/>
        </w:rPr>
        <w:t xml:space="preserve">многоцентровом российском исследовании показано, что режим BR разумно безопасен и высокоэффективен в терапии </w:t>
      </w:r>
      <w:r w:rsidR="00416F68">
        <w:rPr>
          <w:i/>
        </w:rPr>
        <w:t>1-й</w:t>
      </w:r>
      <w:r w:rsidR="004D7374" w:rsidRPr="00D25605">
        <w:rPr>
          <w:i/>
        </w:rPr>
        <w:t xml:space="preserve"> линии у пациентов с ХЛЛ при назначении </w:t>
      </w:r>
      <w:r w:rsidR="00900404" w:rsidRPr="00900404">
        <w:rPr>
          <w:i/>
        </w:rPr>
        <w:t>#</w:t>
      </w:r>
      <w:r w:rsidR="004D7374" w:rsidRPr="00D25605">
        <w:rPr>
          <w:i/>
        </w:rPr>
        <w:t>бендамустина</w:t>
      </w:r>
      <w:r w:rsidR="005163D3">
        <w:rPr>
          <w:i/>
        </w:rPr>
        <w:t>**</w:t>
      </w:r>
      <w:r w:rsidR="004D7374" w:rsidRPr="00D25605">
        <w:rPr>
          <w:i/>
        </w:rPr>
        <w:t xml:space="preserve"> </w:t>
      </w:r>
      <w:r w:rsidR="004D7374" w:rsidRPr="00C7670B">
        <w:rPr>
          <w:i/>
        </w:rPr>
        <w:t>в дозе 90 мг/м</w:t>
      </w:r>
      <w:r w:rsidR="004D7374" w:rsidRPr="00C7670B">
        <w:rPr>
          <w:i/>
          <w:vertAlign w:val="superscript"/>
        </w:rPr>
        <w:t>2</w:t>
      </w:r>
      <w:r w:rsidR="004D7374" w:rsidRPr="00D25605">
        <w:rPr>
          <w:i/>
        </w:rPr>
        <w:t xml:space="preserve"> </w:t>
      </w:r>
      <w:r w:rsidR="00416F68">
        <w:rPr>
          <w:i/>
        </w:rPr>
        <w:t>в</w:t>
      </w:r>
      <w:r w:rsidR="004D7374" w:rsidRPr="00D25605">
        <w:rPr>
          <w:i/>
        </w:rPr>
        <w:t xml:space="preserve"> комбинации</w:t>
      </w:r>
      <w:r w:rsidR="00416F68">
        <w:rPr>
          <w:i/>
        </w:rPr>
        <w:t xml:space="preserve"> с</w:t>
      </w:r>
      <w:r w:rsidR="004D7374" w:rsidRPr="00D25605">
        <w:rPr>
          <w:i/>
        </w:rPr>
        <w:t xml:space="preserve"> ритуксимабом</w:t>
      </w:r>
      <w:r w:rsidR="005163D3">
        <w:rPr>
          <w:i/>
        </w:rPr>
        <w:t>**</w:t>
      </w:r>
      <w:r w:rsidR="004D7374" w:rsidRPr="00D25605">
        <w:rPr>
          <w:i/>
        </w:rPr>
        <w:t xml:space="preserve"> в дозе 375 мг/м</w:t>
      </w:r>
      <w:r w:rsidR="004D7374" w:rsidRPr="00D25605">
        <w:rPr>
          <w:i/>
          <w:vertAlign w:val="superscript"/>
        </w:rPr>
        <w:t>2</w:t>
      </w:r>
      <w:r w:rsidR="004D7374" w:rsidRPr="00D25605">
        <w:rPr>
          <w:i/>
        </w:rPr>
        <w:t xml:space="preserve"> в 1</w:t>
      </w:r>
      <w:r w:rsidR="00416F68">
        <w:rPr>
          <w:i/>
        </w:rPr>
        <w:t>-м</w:t>
      </w:r>
      <w:r w:rsidR="004D7374" w:rsidRPr="00D25605">
        <w:rPr>
          <w:i/>
        </w:rPr>
        <w:t xml:space="preserve"> цикле и 500 мг/м</w:t>
      </w:r>
      <w:r w:rsidR="004D7374" w:rsidRPr="00D25605">
        <w:rPr>
          <w:i/>
          <w:vertAlign w:val="superscript"/>
        </w:rPr>
        <w:t>2</w:t>
      </w:r>
      <w:r w:rsidR="004D7374" w:rsidRPr="00D25605">
        <w:rPr>
          <w:i/>
        </w:rPr>
        <w:t xml:space="preserve"> в</w:t>
      </w:r>
      <w:r w:rsidR="00416F68">
        <w:rPr>
          <w:i/>
        </w:rPr>
        <w:t>о 2–6-м циклах</w:t>
      </w:r>
      <w:r w:rsidR="004D7374" w:rsidRPr="00D25605">
        <w:rPr>
          <w:i/>
        </w:rPr>
        <w:t>.</w:t>
      </w:r>
    </w:p>
    <w:p w:rsidR="003010EA" w:rsidRPr="009D6AF4" w:rsidRDefault="003010EA" w:rsidP="005A463A">
      <w:pPr>
        <w:pStyle w:val="a"/>
      </w:pPr>
      <w:r w:rsidRPr="006B609E">
        <w:t>Пациентам с верифицированным ХЛЛ/ЛМЛ моложе 65</w:t>
      </w:r>
      <w:r w:rsidR="00416F68">
        <w:t>–</w:t>
      </w:r>
      <w:r w:rsidRPr="006B609E">
        <w:t xml:space="preserve">70 лет без значимой </w:t>
      </w:r>
      <w:r w:rsidRPr="005A463A">
        <w:t>коморбидности</w:t>
      </w:r>
      <w:r w:rsidRPr="006B609E">
        <w:t xml:space="preserve"> </w:t>
      </w:r>
      <w:r w:rsidR="00FB441E" w:rsidRPr="006B609E">
        <w:t>без мутаций генов</w:t>
      </w:r>
      <w:r w:rsidR="00416F68" w:rsidRPr="00397360">
        <w:t xml:space="preserve"> </w:t>
      </w:r>
      <w:r w:rsidR="00416F68" w:rsidRPr="00237E10">
        <w:rPr>
          <w:i/>
          <w:lang w:val="en-US"/>
        </w:rPr>
        <w:t>IGHV</w:t>
      </w:r>
      <w:r w:rsidRPr="006B609E">
        <w:t xml:space="preserve"> </w:t>
      </w:r>
      <w:r w:rsidR="00FB441E" w:rsidRPr="006B609E">
        <w:t xml:space="preserve">при наличии возможности </w:t>
      </w:r>
      <w:r w:rsidRPr="006B609E">
        <w:t>в качестве</w:t>
      </w:r>
      <w:r w:rsidR="00FB441E" w:rsidRPr="006B609E">
        <w:t xml:space="preserve"> одной из опций</w:t>
      </w:r>
      <w:r w:rsidRPr="006B609E">
        <w:t xml:space="preserve"> </w:t>
      </w:r>
      <w:r w:rsidR="00416F68">
        <w:t>1-й</w:t>
      </w:r>
      <w:r w:rsidRPr="006B609E">
        <w:t xml:space="preserve"> линии</w:t>
      </w:r>
      <w:r w:rsidR="00FB441E" w:rsidRPr="006B609E">
        <w:t xml:space="preserve"> терапии </w:t>
      </w:r>
      <w:r w:rsidR="00FB441E" w:rsidRPr="00136052">
        <w:t>может быть</w:t>
      </w:r>
      <w:r w:rsidR="00B3535C">
        <w:t xml:space="preserve"> </w:t>
      </w:r>
      <w:r w:rsidRPr="00237E10">
        <w:rPr>
          <w:b/>
        </w:rPr>
        <w:t>рекоменд</w:t>
      </w:r>
      <w:r w:rsidR="00FB441E" w:rsidRPr="00237E10">
        <w:rPr>
          <w:b/>
        </w:rPr>
        <w:t>ована</w:t>
      </w:r>
      <w:r w:rsidR="00B3535C" w:rsidRPr="00237E10">
        <w:rPr>
          <w:b/>
        </w:rPr>
        <w:t xml:space="preserve"> </w:t>
      </w:r>
      <w:r w:rsidR="00451C55" w:rsidRPr="00B33976">
        <w:t xml:space="preserve">для достижения ремиссии </w:t>
      </w:r>
      <w:r w:rsidR="00FB441E" w:rsidRPr="006B609E">
        <w:t>терапия ибрутинибом</w:t>
      </w:r>
      <w:r w:rsidR="00213502" w:rsidRPr="006B609E">
        <w:t>**</w:t>
      </w:r>
      <w:r w:rsidR="004B19FE" w:rsidRPr="006B609E">
        <w:t xml:space="preserve"> в монорежиме </w:t>
      </w:r>
      <w:r w:rsidR="00CE0696">
        <w:t xml:space="preserve">в дозе </w:t>
      </w:r>
      <w:r w:rsidR="00CE0696" w:rsidRPr="009600FA">
        <w:rPr>
          <w:lang w:eastAsia="ru-RU"/>
        </w:rPr>
        <w:t>420 мг/сут (</w:t>
      </w:r>
      <w:r w:rsidR="00CE0696">
        <w:rPr>
          <w:lang w:eastAsia="ru-RU"/>
        </w:rPr>
        <w:t>3</w:t>
      </w:r>
      <w:r w:rsidR="00CE0696" w:rsidRPr="009600FA">
        <w:rPr>
          <w:lang w:eastAsia="ru-RU"/>
        </w:rPr>
        <w:t xml:space="preserve"> капсулы) внутрь 1 раз в день до прогрессирования или </w:t>
      </w:r>
      <w:r w:rsidR="00CE0696">
        <w:rPr>
          <w:lang w:eastAsia="ru-RU"/>
        </w:rPr>
        <w:t xml:space="preserve">развития </w:t>
      </w:r>
      <w:r w:rsidR="00CE0696" w:rsidRPr="009600FA">
        <w:rPr>
          <w:lang w:eastAsia="ru-RU"/>
        </w:rPr>
        <w:t>непереносимой токсичности</w:t>
      </w:r>
      <w:r w:rsidR="00CE0696" w:rsidRPr="006B609E">
        <w:t xml:space="preserve"> </w:t>
      </w:r>
      <w:r w:rsidR="004B19FE" w:rsidRPr="006B609E">
        <w:t>или в комбинации с ритуксимабом</w:t>
      </w:r>
      <w:r w:rsidR="00213502" w:rsidRPr="006B609E">
        <w:t>**</w:t>
      </w:r>
      <w:r w:rsidR="00CE0696">
        <w:t xml:space="preserve"> (</w:t>
      </w:r>
      <w:r w:rsidR="00900404" w:rsidRPr="009D6AF4">
        <w:rPr>
          <w:lang w:eastAsia="ru-RU"/>
        </w:rPr>
        <w:t>ибрутиниб</w:t>
      </w:r>
      <w:r w:rsidR="00CE0696" w:rsidRPr="009D6AF4">
        <w:rPr>
          <w:lang w:eastAsia="ru-RU"/>
        </w:rPr>
        <w:t xml:space="preserve">** – 420 мг/сут (3 капсулы) внутрь 1 раз в день, ежедневно; </w:t>
      </w:r>
      <w:r w:rsidR="00900404" w:rsidRPr="009D6AF4">
        <w:rPr>
          <w:lang w:eastAsia="ru-RU"/>
        </w:rPr>
        <w:t>#</w:t>
      </w:r>
      <w:r w:rsidR="00900404" w:rsidRPr="009D6AF4">
        <w:rPr>
          <w:rFonts w:eastAsia="Times New Roman"/>
          <w:lang w:eastAsia="ru-RU"/>
        </w:rPr>
        <w:t>ритуксимаб</w:t>
      </w:r>
      <w:r w:rsidR="00CE0696" w:rsidRPr="009D6AF4">
        <w:rPr>
          <w:rFonts w:eastAsia="Times New Roman"/>
          <w:lang w:eastAsia="ru-RU"/>
        </w:rPr>
        <w:t>** – 50</w:t>
      </w:r>
      <w:r w:rsidR="00CE0696" w:rsidRPr="00237E10">
        <w:rPr>
          <w:rFonts w:eastAsia="Times New Roman"/>
          <w:lang w:eastAsia="ru-RU"/>
        </w:rPr>
        <w:t xml:space="preserve"> мг/м</w:t>
      </w:r>
      <w:r w:rsidR="00CE0696" w:rsidRPr="00237E10">
        <w:rPr>
          <w:rFonts w:eastAsia="Times New Roman"/>
          <w:vertAlign w:val="superscript"/>
          <w:lang w:eastAsia="ru-RU"/>
        </w:rPr>
        <w:t>2</w:t>
      </w:r>
      <w:r w:rsidR="00CE0696" w:rsidRPr="00237E10">
        <w:rPr>
          <w:rFonts w:eastAsia="Times New Roman"/>
          <w:lang w:eastAsia="ru-RU"/>
        </w:rPr>
        <w:t xml:space="preserve"> в/в кап., день 1 цикла 2; 375 мг/м</w:t>
      </w:r>
      <w:r w:rsidR="00CE0696" w:rsidRPr="00237E10">
        <w:rPr>
          <w:rFonts w:eastAsia="Times New Roman"/>
          <w:vertAlign w:val="superscript"/>
          <w:lang w:eastAsia="ru-RU"/>
        </w:rPr>
        <w:t>2</w:t>
      </w:r>
      <w:r w:rsidR="00CE0696" w:rsidRPr="00237E10">
        <w:rPr>
          <w:rFonts w:eastAsia="Times New Roman"/>
          <w:lang w:eastAsia="ru-RU"/>
        </w:rPr>
        <w:t xml:space="preserve"> в/в кап</w:t>
      </w:r>
      <w:r w:rsidR="00CE0696" w:rsidRPr="009D6AF4">
        <w:rPr>
          <w:rFonts w:eastAsia="Times New Roman"/>
          <w:lang w:eastAsia="ru-RU"/>
        </w:rPr>
        <w:t>., день 2 цикла 2; 500 мг/м</w:t>
      </w:r>
      <w:r w:rsidR="00CE0696" w:rsidRPr="009D6AF4">
        <w:rPr>
          <w:rFonts w:eastAsia="Times New Roman"/>
          <w:vertAlign w:val="superscript"/>
          <w:lang w:eastAsia="ru-RU"/>
        </w:rPr>
        <w:t>2</w:t>
      </w:r>
      <w:r w:rsidR="00CE0696" w:rsidRPr="009D6AF4">
        <w:rPr>
          <w:rFonts w:eastAsia="Times New Roman"/>
          <w:lang w:eastAsia="ru-RU"/>
        </w:rPr>
        <w:t xml:space="preserve"> в/в кап. или </w:t>
      </w:r>
      <w:r w:rsidR="00EA3851">
        <w:rPr>
          <w:rFonts w:eastAsia="Times New Roman"/>
          <w:lang w:eastAsia="ru-RU"/>
        </w:rPr>
        <w:t>1400 мг п/к</w:t>
      </w:r>
      <w:r w:rsidR="00CE0696" w:rsidRPr="009D6AF4">
        <w:rPr>
          <w:rFonts w:eastAsia="Times New Roman"/>
          <w:lang w:eastAsia="ru-RU"/>
        </w:rPr>
        <w:t>, день 1 циклов 3–7</w:t>
      </w:r>
      <w:r w:rsidR="00237E10" w:rsidRPr="009D6AF4">
        <w:rPr>
          <w:rFonts w:eastAsia="Times New Roman"/>
          <w:lang w:eastAsia="ru-RU"/>
        </w:rPr>
        <w:t>, л</w:t>
      </w:r>
      <w:r w:rsidR="00CE0696" w:rsidRPr="009D6AF4">
        <w:rPr>
          <w:rFonts w:eastAsia="Times New Roman"/>
          <w:lang w:eastAsia="ru-RU"/>
        </w:rPr>
        <w:t>ечение возобновляется на 29-й день, всего 7 циклов</w:t>
      </w:r>
      <w:r w:rsidR="00237E10" w:rsidRPr="009D6AF4">
        <w:rPr>
          <w:rFonts w:eastAsia="Times New Roman"/>
          <w:lang w:eastAsia="ru-RU"/>
        </w:rPr>
        <w:t>)</w:t>
      </w:r>
      <w:r w:rsidR="00416F68" w:rsidRPr="009D6AF4">
        <w:t xml:space="preserve"> </w:t>
      </w:r>
      <w:r w:rsidRPr="009D6AF4">
        <w:t>(</w:t>
      </w:r>
      <w:r w:rsidR="00AA4B03" w:rsidRPr="009D6AF4">
        <w:t xml:space="preserve">схемы режимов лечения см. в приложении </w:t>
      </w:r>
      <w:r w:rsidR="00437AD9" w:rsidRPr="009D6AF4">
        <w:t>А3.3</w:t>
      </w:r>
      <w:r w:rsidRPr="009D6AF4">
        <w:t>)</w:t>
      </w:r>
      <w:r w:rsidR="00E97E28" w:rsidRPr="009D6AF4">
        <w:t xml:space="preserve"> </w:t>
      </w:r>
      <w:r w:rsidR="000B0AC3" w:rsidRPr="009D6AF4">
        <w:fldChar w:fldCharType="begin" w:fldLock="1"/>
      </w:r>
      <w:r w:rsidR="00015814" w:rsidRPr="009D6AF4">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mendeley":{"formattedCitation":"[27,28]","plainTextFormattedCitation":"[27,28]","previouslyFormattedCitation":"[27,28]"},"properties":{"noteIndex":0},"schema":"https://github.com/citation-style-language/schema/raw/master/csl-citation.json"}</w:instrText>
      </w:r>
      <w:r w:rsidR="000B0AC3" w:rsidRPr="009D6AF4">
        <w:fldChar w:fldCharType="separate"/>
      </w:r>
      <w:r w:rsidR="00015814" w:rsidRPr="009D6AF4">
        <w:rPr>
          <w:noProof/>
        </w:rPr>
        <w:t>[27,28]</w:t>
      </w:r>
      <w:r w:rsidR="000B0AC3" w:rsidRPr="009D6AF4">
        <w:fldChar w:fldCharType="end"/>
      </w:r>
      <w:r w:rsidRPr="009D6AF4">
        <w:t>.</w:t>
      </w:r>
    </w:p>
    <w:p w:rsidR="003010EA" w:rsidRPr="00416F68" w:rsidRDefault="003010EA" w:rsidP="00BE6A1C">
      <w:pPr>
        <w:contextualSpacing/>
        <w:rPr>
          <w:b/>
          <w:spacing w:val="-4"/>
        </w:rPr>
      </w:pPr>
      <w:r w:rsidRPr="009D6AF4">
        <w:rPr>
          <w:b/>
          <w:spacing w:val="-4"/>
        </w:rPr>
        <w:t xml:space="preserve">Уровень убедительности </w:t>
      </w:r>
      <w:r w:rsidR="00C20509" w:rsidRPr="009D6AF4">
        <w:rPr>
          <w:b/>
          <w:spacing w:val="-4"/>
        </w:rPr>
        <w:t xml:space="preserve">рекомендаций – </w:t>
      </w:r>
      <w:r w:rsidR="0071737F" w:rsidRPr="009D6AF4">
        <w:rPr>
          <w:b/>
          <w:spacing w:val="-4"/>
          <w:lang w:val="en-US"/>
        </w:rPr>
        <w:t>A</w:t>
      </w:r>
      <w:r w:rsidRPr="009D6AF4">
        <w:rPr>
          <w:b/>
          <w:spacing w:val="-4"/>
        </w:rPr>
        <w:t xml:space="preserve"> (уровень достоверности </w:t>
      </w:r>
      <w:r w:rsidR="00C20509" w:rsidRPr="009D6AF4">
        <w:rPr>
          <w:b/>
          <w:spacing w:val="-4"/>
        </w:rPr>
        <w:t>доказательств</w:t>
      </w:r>
      <w:r w:rsidR="00C20509" w:rsidRPr="00416F68">
        <w:rPr>
          <w:b/>
          <w:spacing w:val="-4"/>
        </w:rPr>
        <w:t xml:space="preserve"> – </w:t>
      </w:r>
      <w:r w:rsidRPr="00416F68">
        <w:rPr>
          <w:b/>
          <w:spacing w:val="-4"/>
        </w:rPr>
        <w:t>2).</w:t>
      </w:r>
    </w:p>
    <w:p w:rsidR="003010EA" w:rsidRPr="009D6AF4" w:rsidRDefault="003010EA" w:rsidP="00BE6A1C">
      <w:pPr>
        <w:contextualSpacing/>
        <w:rPr>
          <w:i/>
        </w:rPr>
      </w:pPr>
      <w:r w:rsidRPr="006B609E">
        <w:rPr>
          <w:b/>
        </w:rPr>
        <w:t>Комментарии:</w:t>
      </w:r>
      <w:r w:rsidR="00646FFF">
        <w:rPr>
          <w:b/>
        </w:rPr>
        <w:t xml:space="preserve"> </w:t>
      </w:r>
      <w:r w:rsidR="00E97E28" w:rsidRPr="006B609E">
        <w:rPr>
          <w:i/>
        </w:rPr>
        <w:t xml:space="preserve">в </w:t>
      </w:r>
      <w:r w:rsidR="00FB441E" w:rsidRPr="006B609E">
        <w:rPr>
          <w:i/>
        </w:rPr>
        <w:t xml:space="preserve">исследовании E1912 пациенты моложе 70 лет без делеции 17p рандомизировались на 2 </w:t>
      </w:r>
      <w:r w:rsidR="00416F68">
        <w:rPr>
          <w:i/>
        </w:rPr>
        <w:t>группы</w:t>
      </w:r>
      <w:r w:rsidR="00FB441E" w:rsidRPr="006B609E">
        <w:rPr>
          <w:i/>
        </w:rPr>
        <w:t xml:space="preserve">: </w:t>
      </w:r>
      <w:r w:rsidR="00416F68">
        <w:rPr>
          <w:i/>
        </w:rPr>
        <w:t xml:space="preserve">получавшие </w:t>
      </w:r>
      <w:r w:rsidR="00FB441E" w:rsidRPr="006B609E">
        <w:rPr>
          <w:i/>
        </w:rPr>
        <w:t>ибрутиниб</w:t>
      </w:r>
      <w:r w:rsidR="00213502" w:rsidRPr="006B609E">
        <w:rPr>
          <w:i/>
        </w:rPr>
        <w:t>**</w:t>
      </w:r>
      <w:r w:rsidR="00FB441E" w:rsidRPr="006B609E">
        <w:rPr>
          <w:i/>
        </w:rPr>
        <w:t xml:space="preserve"> в комбинации с ритуксимабом</w:t>
      </w:r>
      <w:r w:rsidR="00213502" w:rsidRPr="006B609E">
        <w:rPr>
          <w:i/>
        </w:rPr>
        <w:t>**</w:t>
      </w:r>
      <w:r w:rsidR="00FB441E" w:rsidRPr="006B609E">
        <w:rPr>
          <w:i/>
        </w:rPr>
        <w:t xml:space="preserve"> и </w:t>
      </w:r>
      <w:r w:rsidR="00416F68">
        <w:rPr>
          <w:i/>
        </w:rPr>
        <w:t xml:space="preserve">проходившие терапию в </w:t>
      </w:r>
      <w:r w:rsidR="00FB441E" w:rsidRPr="006B609E">
        <w:rPr>
          <w:i/>
        </w:rPr>
        <w:t>режим</w:t>
      </w:r>
      <w:r w:rsidR="00416F68">
        <w:rPr>
          <w:i/>
        </w:rPr>
        <w:t>е</w:t>
      </w:r>
      <w:r w:rsidR="00FB441E" w:rsidRPr="006B609E">
        <w:rPr>
          <w:i/>
        </w:rPr>
        <w:t xml:space="preserve"> FCR.</w:t>
      </w:r>
      <w:r w:rsidR="00DD3D1E">
        <w:rPr>
          <w:i/>
        </w:rPr>
        <w:t xml:space="preserve"> </w:t>
      </w:r>
      <w:r w:rsidR="00FB441E" w:rsidRPr="006B609E">
        <w:rPr>
          <w:i/>
        </w:rPr>
        <w:t>В исследование</w:t>
      </w:r>
      <w:r w:rsidR="00416F68">
        <w:rPr>
          <w:i/>
        </w:rPr>
        <w:t xml:space="preserve"> было</w:t>
      </w:r>
      <w:r w:rsidR="00FB441E" w:rsidRPr="006B609E">
        <w:rPr>
          <w:i/>
        </w:rPr>
        <w:t xml:space="preserve"> включено 529 </w:t>
      </w:r>
      <w:r w:rsidR="00573998">
        <w:rPr>
          <w:i/>
        </w:rPr>
        <w:t>пациентов</w:t>
      </w:r>
      <w:r w:rsidR="00FB441E" w:rsidRPr="006B609E">
        <w:rPr>
          <w:i/>
        </w:rPr>
        <w:t>. Комбинация ибрутиниба</w:t>
      </w:r>
      <w:r w:rsidR="00213502" w:rsidRPr="006B609E">
        <w:rPr>
          <w:i/>
        </w:rPr>
        <w:t>**</w:t>
      </w:r>
      <w:r w:rsidR="00FB441E" w:rsidRPr="006B609E">
        <w:rPr>
          <w:i/>
        </w:rPr>
        <w:t xml:space="preserve"> и ритуксимаба</w:t>
      </w:r>
      <w:r w:rsidR="00213502" w:rsidRPr="006B609E">
        <w:rPr>
          <w:i/>
        </w:rPr>
        <w:t>**</w:t>
      </w:r>
      <w:r w:rsidR="00FB441E" w:rsidRPr="006B609E">
        <w:rPr>
          <w:i/>
        </w:rPr>
        <w:t xml:space="preserve"> значительно превзошла FCR по эффективности и безопасности. Наблюдалось значительное улучшение как </w:t>
      </w:r>
      <w:r w:rsidR="00416F68">
        <w:rPr>
          <w:i/>
        </w:rPr>
        <w:t>ВБП</w:t>
      </w:r>
      <w:r w:rsidR="00FB441E" w:rsidRPr="006B609E">
        <w:rPr>
          <w:i/>
        </w:rPr>
        <w:t xml:space="preserve"> (ОР 0,352; 95</w:t>
      </w:r>
      <w:r w:rsidR="00DD3D1E">
        <w:rPr>
          <w:i/>
        </w:rPr>
        <w:t xml:space="preserve"> %</w:t>
      </w:r>
      <w:r w:rsidR="00355F0B">
        <w:rPr>
          <w:i/>
        </w:rPr>
        <w:t xml:space="preserve"> ДИ</w:t>
      </w:r>
      <w:r w:rsidR="00FB441E" w:rsidRPr="006B609E">
        <w:rPr>
          <w:i/>
        </w:rPr>
        <w:t xml:space="preserve"> 0,223–0,558; p &lt; 0,0001), так и </w:t>
      </w:r>
      <w:r w:rsidR="00AA4B03">
        <w:rPr>
          <w:i/>
        </w:rPr>
        <w:t>ОВ</w:t>
      </w:r>
      <w:r w:rsidR="00FB441E" w:rsidRPr="006B609E">
        <w:rPr>
          <w:i/>
        </w:rPr>
        <w:t xml:space="preserve"> (ОР 0,168; 95</w:t>
      </w:r>
      <w:r w:rsidR="00DD3D1E">
        <w:rPr>
          <w:i/>
        </w:rPr>
        <w:t xml:space="preserve"> %</w:t>
      </w:r>
      <w:r w:rsidR="00FB441E" w:rsidRPr="006B609E">
        <w:rPr>
          <w:i/>
        </w:rPr>
        <w:t xml:space="preserve"> ДИ 0,053–0,538; </w:t>
      </w:r>
      <w:r w:rsidR="00504D96">
        <w:rPr>
          <w:i/>
        </w:rPr>
        <w:br/>
      </w:r>
      <w:r w:rsidR="00FB441E" w:rsidRPr="006B609E">
        <w:rPr>
          <w:i/>
        </w:rPr>
        <w:lastRenderedPageBreak/>
        <w:t>p = 0,0003). Режим FCR чаще вызывал нейтропению 3</w:t>
      </w:r>
      <w:r w:rsidR="00504D96">
        <w:rPr>
          <w:i/>
        </w:rPr>
        <w:t>–</w:t>
      </w:r>
      <w:r w:rsidR="00FB441E" w:rsidRPr="006B609E">
        <w:rPr>
          <w:i/>
        </w:rPr>
        <w:t>4</w:t>
      </w:r>
      <w:r w:rsidR="00416F68">
        <w:rPr>
          <w:i/>
        </w:rPr>
        <w:t>-й</w:t>
      </w:r>
      <w:r w:rsidR="00FB441E" w:rsidRPr="006B609E">
        <w:rPr>
          <w:i/>
        </w:rPr>
        <w:t xml:space="preserve"> степени (44</w:t>
      </w:r>
      <w:r w:rsidR="00DD3D1E">
        <w:rPr>
          <w:i/>
        </w:rPr>
        <w:t xml:space="preserve"> %</w:t>
      </w:r>
      <w:r w:rsidR="00FB441E" w:rsidRPr="006B609E">
        <w:rPr>
          <w:i/>
        </w:rPr>
        <w:t xml:space="preserve"> против 23</w:t>
      </w:r>
      <w:r w:rsidR="00DD3D1E">
        <w:rPr>
          <w:i/>
        </w:rPr>
        <w:t xml:space="preserve"> %</w:t>
      </w:r>
      <w:r w:rsidR="00FB441E" w:rsidRPr="006B609E">
        <w:rPr>
          <w:i/>
        </w:rPr>
        <w:t xml:space="preserve">; </w:t>
      </w:r>
      <w:r w:rsidR="00504D96">
        <w:rPr>
          <w:i/>
        </w:rPr>
        <w:br/>
      </w:r>
      <w:r w:rsidR="00FB441E" w:rsidRPr="006B609E">
        <w:rPr>
          <w:i/>
        </w:rPr>
        <w:t>p &lt; 0,0001), а также инфекционные осложнения (17,7</w:t>
      </w:r>
      <w:r w:rsidR="00DD3D1E">
        <w:rPr>
          <w:i/>
        </w:rPr>
        <w:t xml:space="preserve"> </w:t>
      </w:r>
      <w:r w:rsidR="00DD3D1E" w:rsidRPr="009D6AF4">
        <w:rPr>
          <w:i/>
        </w:rPr>
        <w:t>%</w:t>
      </w:r>
      <w:r w:rsidR="00FB441E" w:rsidRPr="009D6AF4">
        <w:rPr>
          <w:i/>
        </w:rPr>
        <w:t xml:space="preserve"> против 7,1</w:t>
      </w:r>
      <w:r w:rsidR="00DD3D1E" w:rsidRPr="009D6AF4">
        <w:rPr>
          <w:i/>
        </w:rPr>
        <w:t xml:space="preserve"> %</w:t>
      </w:r>
      <w:r w:rsidR="00FB441E" w:rsidRPr="009D6AF4">
        <w:rPr>
          <w:i/>
        </w:rPr>
        <w:t>; p &lt; 0,0001)</w:t>
      </w:r>
      <w:r w:rsidR="00E97E28" w:rsidRPr="009D6AF4">
        <w:rPr>
          <w:i/>
        </w:rPr>
        <w:t xml:space="preserve"> </w:t>
      </w:r>
      <w:r w:rsidR="000B0AC3" w:rsidRPr="009D6AF4">
        <w:rPr>
          <w:i/>
        </w:rPr>
        <w:fldChar w:fldCharType="begin" w:fldLock="1"/>
      </w:r>
      <w:r w:rsidR="00015814" w:rsidRPr="009D6AF4">
        <w:rPr>
          <w:i/>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mendeley":{"formattedCitation":"[27]","plainTextFormattedCitation":"[27]","previouslyFormattedCitation":"[27]"},"properties":{"noteIndex":0},"schema":"https://github.com/citation-style-language/schema/raw/master/csl-citation.json"}</w:instrText>
      </w:r>
      <w:r w:rsidR="000B0AC3" w:rsidRPr="009D6AF4">
        <w:rPr>
          <w:i/>
        </w:rPr>
        <w:fldChar w:fldCharType="separate"/>
      </w:r>
      <w:r w:rsidR="00015814" w:rsidRPr="009D6AF4">
        <w:rPr>
          <w:noProof/>
        </w:rPr>
        <w:t>[27]</w:t>
      </w:r>
      <w:r w:rsidR="000B0AC3" w:rsidRPr="009D6AF4">
        <w:rPr>
          <w:i/>
        </w:rPr>
        <w:fldChar w:fldCharType="end"/>
      </w:r>
      <w:r w:rsidR="00FB441E" w:rsidRPr="009D6AF4">
        <w:rPr>
          <w:i/>
        </w:rPr>
        <w:t>. Наибо</w:t>
      </w:r>
      <w:r w:rsidR="00355F0B" w:rsidRPr="009D6AF4">
        <w:rPr>
          <w:i/>
        </w:rPr>
        <w:t>лее существенное превосходство в уровне</w:t>
      </w:r>
      <w:r w:rsidR="00FB441E" w:rsidRPr="009D6AF4">
        <w:rPr>
          <w:i/>
        </w:rPr>
        <w:t xml:space="preserve"> </w:t>
      </w:r>
      <w:r w:rsidR="000F6931" w:rsidRPr="009D6AF4">
        <w:rPr>
          <w:i/>
        </w:rPr>
        <w:t>ВБП</w:t>
      </w:r>
      <w:r w:rsidR="00FB441E" w:rsidRPr="009D6AF4">
        <w:rPr>
          <w:i/>
        </w:rPr>
        <w:t xml:space="preserve"> и ОВ пол</w:t>
      </w:r>
      <w:r w:rsidR="00355F0B" w:rsidRPr="009D6AF4">
        <w:rPr>
          <w:i/>
        </w:rPr>
        <w:t xml:space="preserve">учено у пациентов без мутаций </w:t>
      </w:r>
      <w:r w:rsidR="00FB441E" w:rsidRPr="009D6AF4">
        <w:rPr>
          <w:i/>
        </w:rPr>
        <w:t xml:space="preserve">генов </w:t>
      </w:r>
      <w:r w:rsidR="00355F0B" w:rsidRPr="009D6AF4">
        <w:rPr>
          <w:i/>
          <w:lang w:val="en-US"/>
        </w:rPr>
        <w:t>IGHV</w:t>
      </w:r>
      <w:r w:rsidR="00355F0B" w:rsidRPr="009D6AF4">
        <w:rPr>
          <w:i/>
        </w:rPr>
        <w:t xml:space="preserve"> </w:t>
      </w:r>
      <w:r w:rsidR="00FB441E" w:rsidRPr="009D6AF4">
        <w:rPr>
          <w:i/>
        </w:rPr>
        <w:t>(ОР 0,262; 95</w:t>
      </w:r>
      <w:r w:rsidR="00DD3D1E" w:rsidRPr="009D6AF4">
        <w:rPr>
          <w:i/>
        </w:rPr>
        <w:t xml:space="preserve"> %</w:t>
      </w:r>
      <w:r w:rsidR="00FB441E" w:rsidRPr="009D6AF4">
        <w:rPr>
          <w:i/>
        </w:rPr>
        <w:t xml:space="preserve"> ДИ 0,137–0,498; p &lt; 0,0001). На основании полученных данных ибрутиниб</w:t>
      </w:r>
      <w:r w:rsidR="00213502" w:rsidRPr="009D6AF4">
        <w:rPr>
          <w:i/>
        </w:rPr>
        <w:t>**</w:t>
      </w:r>
      <w:r w:rsidR="00FB441E" w:rsidRPr="009D6AF4">
        <w:rPr>
          <w:i/>
        </w:rPr>
        <w:t xml:space="preserve"> в настоящее время рекомендуется </w:t>
      </w:r>
      <w:r w:rsidR="00355F0B" w:rsidRPr="009D6AF4">
        <w:rPr>
          <w:i/>
        </w:rPr>
        <w:t>National Comprehensive Cancer Network</w:t>
      </w:r>
      <w:r w:rsidR="00FB441E" w:rsidRPr="009D6AF4">
        <w:rPr>
          <w:i/>
        </w:rPr>
        <w:t xml:space="preserve"> как терапия </w:t>
      </w:r>
      <w:r w:rsidR="00355F0B" w:rsidRPr="009D6AF4">
        <w:rPr>
          <w:i/>
        </w:rPr>
        <w:t>1-й</w:t>
      </w:r>
      <w:r w:rsidR="00FB441E" w:rsidRPr="009D6AF4">
        <w:rPr>
          <w:i/>
        </w:rPr>
        <w:t xml:space="preserve"> линии у первичных </w:t>
      </w:r>
      <w:r w:rsidR="00573998" w:rsidRPr="009D6AF4">
        <w:rPr>
          <w:i/>
        </w:rPr>
        <w:t xml:space="preserve">пациентов </w:t>
      </w:r>
      <w:r w:rsidR="00FB441E" w:rsidRPr="009D6AF4">
        <w:rPr>
          <w:i/>
        </w:rPr>
        <w:t>ХЛЛ без мутаций генов</w:t>
      </w:r>
      <w:r w:rsidR="00355F0B" w:rsidRPr="009D6AF4">
        <w:rPr>
          <w:i/>
        </w:rPr>
        <w:t xml:space="preserve"> </w:t>
      </w:r>
      <w:r w:rsidR="00355F0B" w:rsidRPr="009D6AF4">
        <w:rPr>
          <w:i/>
          <w:lang w:val="en-US"/>
        </w:rPr>
        <w:t>IGHV</w:t>
      </w:r>
      <w:r w:rsidR="00B6655F" w:rsidRPr="009D6AF4">
        <w:rPr>
          <w:i/>
        </w:rPr>
        <w:t xml:space="preserve"> </w:t>
      </w:r>
      <w:r w:rsidR="000B0AC3" w:rsidRPr="009D6AF4">
        <w:rPr>
          <w:i/>
        </w:rPr>
        <w:fldChar w:fldCharType="begin" w:fldLock="1"/>
      </w:r>
      <w:r w:rsidR="00015814" w:rsidRPr="009D6AF4">
        <w:rPr>
          <w:i/>
        </w:rPr>
        <w:instrText>ADDIN CSL_CITATION {"citationItems":[{"id":"ITEM-1","itemData":{"id":"ITEM-1","issued":{"date-parts":[["2019"]]},"title":"National Comprehensive Cancer Network. NCCN Practice Guidelines in Oncology. Chronic Lymphocytic Leukemia/Small Lymphocytic Lymphoma","type":"article"},"uris":["http://www.mendeley.com/documents/?uuid=a70d8e98-908f-4c8c-be39-a397e9ab7a92"]}],"mendeley":{"formattedCitation":"[29]","plainTextFormattedCitation":"[29]","previouslyFormattedCitation":"[29]"},"properties":{"noteIndex":0},"schema":"https://github.com/citation-style-language/schema/raw/master/csl-citation.json"}</w:instrText>
      </w:r>
      <w:r w:rsidR="000B0AC3" w:rsidRPr="009D6AF4">
        <w:rPr>
          <w:i/>
        </w:rPr>
        <w:fldChar w:fldCharType="separate"/>
      </w:r>
      <w:r w:rsidR="00015814" w:rsidRPr="009D6AF4">
        <w:rPr>
          <w:noProof/>
        </w:rPr>
        <w:t>[29]</w:t>
      </w:r>
      <w:r w:rsidR="000B0AC3" w:rsidRPr="009D6AF4">
        <w:rPr>
          <w:i/>
        </w:rPr>
        <w:fldChar w:fldCharType="end"/>
      </w:r>
      <w:r w:rsidR="00355F0B" w:rsidRPr="009D6AF4">
        <w:rPr>
          <w:i/>
        </w:rPr>
        <w:t xml:space="preserve">. У пациентов с мутациями </w:t>
      </w:r>
      <w:r w:rsidR="00FB441E" w:rsidRPr="009D6AF4">
        <w:rPr>
          <w:i/>
        </w:rPr>
        <w:t>генов</w:t>
      </w:r>
      <w:r w:rsidR="00355F0B" w:rsidRPr="009D6AF4">
        <w:rPr>
          <w:i/>
        </w:rPr>
        <w:t xml:space="preserve"> </w:t>
      </w:r>
      <w:r w:rsidR="00355F0B" w:rsidRPr="009D6AF4">
        <w:rPr>
          <w:i/>
          <w:lang w:val="en-US"/>
        </w:rPr>
        <w:t>IGHV</w:t>
      </w:r>
      <w:r w:rsidR="00FB441E" w:rsidRPr="009D6AF4">
        <w:rPr>
          <w:i/>
        </w:rPr>
        <w:t xml:space="preserve"> FCR вызывает длительные ремиссии. В этой группе </w:t>
      </w:r>
      <w:r w:rsidR="00573998" w:rsidRPr="009D6AF4">
        <w:rPr>
          <w:i/>
        </w:rPr>
        <w:t xml:space="preserve">пациентов </w:t>
      </w:r>
      <w:r w:rsidR="00FB441E" w:rsidRPr="009D6AF4">
        <w:rPr>
          <w:i/>
        </w:rPr>
        <w:t>ибрутиниб</w:t>
      </w:r>
      <w:r w:rsidR="00667887" w:rsidRPr="009D6AF4">
        <w:rPr>
          <w:i/>
        </w:rPr>
        <w:t>**</w:t>
      </w:r>
      <w:r w:rsidR="00FB441E" w:rsidRPr="009D6AF4">
        <w:rPr>
          <w:i/>
        </w:rPr>
        <w:t xml:space="preserve"> не имеет значительного преимущества.</w:t>
      </w:r>
    </w:p>
    <w:p w:rsidR="006D1E7B" w:rsidRPr="009D6AF4" w:rsidRDefault="006D1E7B" w:rsidP="00BE6A1C">
      <w:pPr>
        <w:pStyle w:val="a"/>
      </w:pPr>
      <w:r w:rsidRPr="009D6AF4">
        <w:t>Пациентам</w:t>
      </w:r>
      <w:r w:rsidR="00E02ECB" w:rsidRPr="009D6AF4">
        <w:t>,</w:t>
      </w:r>
      <w:r w:rsidRPr="009D6AF4">
        <w:t xml:space="preserve"> </w:t>
      </w:r>
      <w:r w:rsidR="00355F0B" w:rsidRPr="009D6AF4">
        <w:t>получающим</w:t>
      </w:r>
      <w:r w:rsidR="00E02ECB" w:rsidRPr="009D6AF4">
        <w:t xml:space="preserve"> ритуксимаб**</w:t>
      </w:r>
      <w:r w:rsidR="00C848DD" w:rsidRPr="009D6AF4">
        <w:t xml:space="preserve"> </w:t>
      </w:r>
      <w:r w:rsidR="00355F0B" w:rsidRPr="009D6AF4">
        <w:t>в 1-</w:t>
      </w:r>
      <w:r w:rsidR="00C848DD" w:rsidRPr="009D6AF4">
        <w:t>й линии лечения</w:t>
      </w:r>
      <w:r w:rsidR="00E02ECB" w:rsidRPr="009D6AF4">
        <w:t xml:space="preserve"> </w:t>
      </w:r>
      <w:r w:rsidRPr="009D6AF4">
        <w:t xml:space="preserve">ХЛЛ/ЛМЛ, </w:t>
      </w:r>
      <w:r w:rsidR="00E02ECB" w:rsidRPr="009D6AF4">
        <w:t xml:space="preserve">при </w:t>
      </w:r>
      <w:r w:rsidR="00355F0B" w:rsidRPr="009D6AF4">
        <w:t>сложности осуществления</w:t>
      </w:r>
      <w:r w:rsidR="00E02ECB" w:rsidRPr="009D6AF4">
        <w:t xml:space="preserve"> венозного доступа начиная со </w:t>
      </w:r>
      <w:r w:rsidR="00355F0B" w:rsidRPr="009D6AF4">
        <w:t>2-й</w:t>
      </w:r>
      <w:r w:rsidR="00E02ECB" w:rsidRPr="009D6AF4">
        <w:t xml:space="preserve"> дозы </w:t>
      </w:r>
      <w:r w:rsidRPr="009D6AF4">
        <w:t xml:space="preserve">может быть </w:t>
      </w:r>
      <w:r w:rsidRPr="009D6AF4">
        <w:rPr>
          <w:b/>
        </w:rPr>
        <w:t>рекомендован</w:t>
      </w:r>
      <w:r w:rsidR="00D44A1A" w:rsidRPr="009D6AF4">
        <w:rPr>
          <w:b/>
        </w:rPr>
        <w:t>о</w:t>
      </w:r>
      <w:r w:rsidRPr="009D6AF4">
        <w:rPr>
          <w:b/>
        </w:rPr>
        <w:t xml:space="preserve"> </w:t>
      </w:r>
      <w:r w:rsidR="00D44A1A" w:rsidRPr="009D6AF4">
        <w:rPr>
          <w:bCs/>
        </w:rPr>
        <w:t xml:space="preserve">применение подкожной формы </w:t>
      </w:r>
      <w:r w:rsidR="00E02ECB" w:rsidRPr="009D6AF4">
        <w:t>ритуксимаб</w:t>
      </w:r>
      <w:r w:rsidR="00D44A1A" w:rsidRPr="009D6AF4">
        <w:t>а</w:t>
      </w:r>
      <w:r w:rsidRPr="009D6AF4">
        <w:t xml:space="preserve">** </w:t>
      </w:r>
      <w:r w:rsidR="00E02ECB" w:rsidRPr="009D6AF4">
        <w:t>в фиксированной дозе 1600</w:t>
      </w:r>
      <w:r w:rsidR="00504D96" w:rsidRPr="009D6AF4">
        <w:t> </w:t>
      </w:r>
      <w:r w:rsidR="00E02ECB" w:rsidRPr="009D6AF4">
        <w:t xml:space="preserve">мг </w:t>
      </w:r>
      <w:r w:rsidRPr="009D6AF4">
        <w:t>(</w:t>
      </w:r>
      <w:r w:rsidR="00AA4B03" w:rsidRPr="009D6AF4">
        <w:t xml:space="preserve">схемы режимов лечения см. в приложении </w:t>
      </w:r>
      <w:r w:rsidRPr="009D6AF4">
        <w:t xml:space="preserve">А3.3) </w:t>
      </w:r>
      <w:r w:rsidR="000B0AC3" w:rsidRPr="009D6AF4">
        <w:fldChar w:fldCharType="begin" w:fldLock="1"/>
      </w:r>
      <w:r w:rsidR="00015814" w:rsidRPr="009D6AF4">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[30]","plainTextFormattedCitation":"[30]","previouslyFormattedCitation":"[30]"},"properties":{"noteIndex":0},"schema":"https://github.com/citation-style-language/schema/raw/master/csl-citation.json"}</w:instrText>
      </w:r>
      <w:r w:rsidR="000B0AC3" w:rsidRPr="009D6AF4">
        <w:fldChar w:fldCharType="separate"/>
      </w:r>
      <w:r w:rsidR="00015814" w:rsidRPr="009D6AF4">
        <w:rPr>
          <w:noProof/>
        </w:rPr>
        <w:t>[30]</w:t>
      </w:r>
      <w:r w:rsidR="000B0AC3" w:rsidRPr="009D6AF4">
        <w:fldChar w:fldCharType="end"/>
      </w:r>
      <w:r w:rsidRPr="009D6AF4">
        <w:t>.</w:t>
      </w:r>
    </w:p>
    <w:p w:rsidR="006D1E7B" w:rsidRPr="00355F0B" w:rsidRDefault="006D1E7B" w:rsidP="00BE6A1C">
      <w:pPr>
        <w:contextualSpacing/>
        <w:rPr>
          <w:b/>
          <w:spacing w:val="-4"/>
        </w:rPr>
      </w:pPr>
      <w:r w:rsidRPr="00355F0B">
        <w:rPr>
          <w:b/>
          <w:spacing w:val="-4"/>
        </w:rPr>
        <w:t xml:space="preserve">Уровень убедительности </w:t>
      </w:r>
      <w:r w:rsidR="00C20509" w:rsidRPr="00355F0B">
        <w:rPr>
          <w:b/>
          <w:spacing w:val="-4"/>
        </w:rPr>
        <w:t xml:space="preserve">рекомендаций – </w:t>
      </w:r>
      <w:r w:rsidRPr="00355F0B">
        <w:rPr>
          <w:b/>
          <w:spacing w:val="-4"/>
          <w:lang w:val="en-US"/>
        </w:rPr>
        <w:t>A</w:t>
      </w:r>
      <w:r w:rsidRPr="00355F0B">
        <w:rPr>
          <w:b/>
          <w:spacing w:val="-4"/>
        </w:rPr>
        <w:t xml:space="preserve"> (уровень достоверности </w:t>
      </w:r>
      <w:r w:rsidR="00C20509" w:rsidRPr="00355F0B">
        <w:rPr>
          <w:b/>
          <w:spacing w:val="-4"/>
        </w:rPr>
        <w:t xml:space="preserve">доказательств – </w:t>
      </w:r>
      <w:r w:rsidRPr="00355F0B">
        <w:rPr>
          <w:b/>
          <w:spacing w:val="-4"/>
        </w:rPr>
        <w:t>2).</w:t>
      </w:r>
    </w:p>
    <w:p w:rsidR="004D7374" w:rsidRPr="006B609E" w:rsidRDefault="004D7374" w:rsidP="00397360">
      <w:pPr>
        <w:pStyle w:val="3"/>
        <w:jc w:val="both"/>
      </w:pPr>
      <w:r w:rsidRPr="006B609E">
        <w:t>3.2.2</w:t>
      </w:r>
      <w:r w:rsidR="00397360" w:rsidRPr="00397360">
        <w:t>.</w:t>
      </w:r>
      <w:r w:rsidRPr="006B609E">
        <w:t xml:space="preserve"> Первая линия лечения ХЛЛ у пожилых пациентов и пациентов </w:t>
      </w:r>
      <w:r w:rsidR="00504D96">
        <w:br/>
      </w:r>
      <w:r w:rsidRPr="006B609E">
        <w:t xml:space="preserve">с коморбидностью без выявленной делеции 17p или мутации </w:t>
      </w:r>
      <w:r w:rsidRPr="00CD5B95">
        <w:rPr>
          <w:i/>
        </w:rPr>
        <w:t>TP53</w:t>
      </w:r>
    </w:p>
    <w:p w:rsidR="0016133E" w:rsidRPr="009D6AF4" w:rsidRDefault="00B41E37" w:rsidP="00BE6A1C">
      <w:pPr>
        <w:pStyle w:val="a"/>
      </w:pPr>
      <w:r w:rsidRPr="006B609E">
        <w:t>Пациентам с вер</w:t>
      </w:r>
      <w:r w:rsidR="00CD5B95">
        <w:t>ифицированным ХЛЛ/ЛМЛ старше 65–</w:t>
      </w:r>
      <w:r w:rsidRPr="006B609E">
        <w:t xml:space="preserve">70 лет и </w:t>
      </w:r>
      <w:r w:rsidR="004D7374" w:rsidRPr="006B609E">
        <w:t>пациентам с</w:t>
      </w:r>
      <w:r w:rsidRPr="006B609E">
        <w:t xml:space="preserve"> тяжелыми соп</w:t>
      </w:r>
      <w:r w:rsidR="00CD5B95">
        <w:t xml:space="preserve">утствующими заболеваниями или </w:t>
      </w:r>
      <w:r w:rsidRPr="006B609E">
        <w:t xml:space="preserve">угнетением почечной функции </w:t>
      </w:r>
      <w:r w:rsidR="004D7374" w:rsidRPr="006B609E">
        <w:t xml:space="preserve">без делеции 17p или мутации </w:t>
      </w:r>
      <w:r w:rsidR="004D7374" w:rsidRPr="00CD5B95">
        <w:rPr>
          <w:i/>
        </w:rPr>
        <w:t>TP53</w:t>
      </w:r>
      <w:r w:rsidR="004D7374" w:rsidRPr="006B609E">
        <w:t xml:space="preserve"> </w:t>
      </w:r>
      <w:r w:rsidR="004D7374" w:rsidRPr="006B609E">
        <w:rPr>
          <w:b/>
        </w:rPr>
        <w:t>рекоменд</w:t>
      </w:r>
      <w:r w:rsidR="009666FC" w:rsidRPr="006B609E">
        <w:rPr>
          <w:b/>
        </w:rPr>
        <w:t xml:space="preserve">уется </w:t>
      </w:r>
      <w:r w:rsidR="00451C55" w:rsidRPr="00B33976">
        <w:t>для достижения ремиссии</w:t>
      </w:r>
      <w:r w:rsidR="00451C55">
        <w:rPr>
          <w:b/>
        </w:rPr>
        <w:t xml:space="preserve"> </w:t>
      </w:r>
      <w:r w:rsidR="004D7374" w:rsidRPr="006B609E">
        <w:t xml:space="preserve">проведение </w:t>
      </w:r>
      <w:r w:rsidR="00CD5B95">
        <w:t>1-й</w:t>
      </w:r>
      <w:r w:rsidR="004D7374" w:rsidRPr="006B609E">
        <w:t xml:space="preserve"> линии терапии по одной из следующих схем</w:t>
      </w:r>
      <w:r w:rsidR="00FD132B" w:rsidRPr="006B609E">
        <w:t xml:space="preserve"> </w:t>
      </w:r>
      <w:r w:rsidR="004D7374" w:rsidRPr="006B609E">
        <w:t xml:space="preserve">в зависимости от предпочтений и опыта </w:t>
      </w:r>
      <w:r w:rsidR="00CD5B95">
        <w:t xml:space="preserve">медицинского </w:t>
      </w:r>
      <w:r w:rsidR="004D7374" w:rsidRPr="006B609E">
        <w:t>центра и лечащего врача</w:t>
      </w:r>
      <w:r w:rsidR="00FD132B" w:rsidRPr="006B609E">
        <w:t xml:space="preserve"> (</w:t>
      </w:r>
      <w:r w:rsidR="00AA4B03">
        <w:t xml:space="preserve">схемы режимов </w:t>
      </w:r>
      <w:r w:rsidR="00AA4B03" w:rsidRPr="009D6AF4">
        <w:t xml:space="preserve">лечения см. в приложении </w:t>
      </w:r>
      <w:r w:rsidR="00437AD9" w:rsidRPr="009D6AF4">
        <w:t>А3.3</w:t>
      </w:r>
      <w:r w:rsidR="00FD132B" w:rsidRPr="009D6AF4">
        <w:t>)</w:t>
      </w:r>
      <w:r w:rsidR="004D7374" w:rsidRPr="009D6AF4">
        <w:t>:</w:t>
      </w:r>
    </w:p>
    <w:p w:rsidR="0016133E" w:rsidRPr="009D6AF4" w:rsidRDefault="005163D3" w:rsidP="00900404">
      <w:pPr>
        <w:pStyle w:val="a"/>
        <w:numPr>
          <w:ilvl w:val="0"/>
          <w:numId w:val="3"/>
        </w:numPr>
        <w:spacing w:before="0"/>
      </w:pPr>
      <w:r w:rsidRPr="009D6AF4">
        <w:t>Х</w:t>
      </w:r>
      <w:r w:rsidR="004D7374" w:rsidRPr="009D6AF4">
        <w:t>лорамбуцил</w:t>
      </w:r>
      <w:r w:rsidRPr="009D6AF4">
        <w:t>**</w:t>
      </w:r>
      <w:r w:rsidR="00E005AA" w:rsidRPr="009D6AF4">
        <w:t xml:space="preserve"> </w:t>
      </w:r>
      <w:r w:rsidR="00E005AA" w:rsidRPr="009D6AF4">
        <w:rPr>
          <w:lang w:eastAsia="ru-RU"/>
        </w:rPr>
        <w:t>0,5 мг/кг внутрь, дни 1, 15</w:t>
      </w:r>
      <w:r w:rsidR="004D7374" w:rsidRPr="009D6AF4">
        <w:t xml:space="preserve"> + обинутузумаб</w:t>
      </w:r>
      <w:r w:rsidR="00122E4B" w:rsidRPr="009D6AF4">
        <w:t>**</w:t>
      </w:r>
      <w:r w:rsidR="00E005AA" w:rsidRPr="009D6AF4">
        <w:t xml:space="preserve"> </w:t>
      </w:r>
      <w:r w:rsidR="00E005AA" w:rsidRPr="009D6AF4">
        <w:rPr>
          <w:lang w:eastAsia="ru-RU"/>
        </w:rPr>
        <w:t xml:space="preserve">1000 мг в/в, день 1 (100 мг в течение 4 часов), 2 (900 мг), 8, 15 (цикл 1), день 1 (циклы 2–6). </w:t>
      </w:r>
      <w:r w:rsidR="00E005AA" w:rsidRPr="009D6AF4">
        <w:rPr>
          <w:rFonts w:eastAsia="Times New Roman"/>
          <w:lang w:eastAsia="ru-RU"/>
        </w:rPr>
        <w:t xml:space="preserve">Лечение возобновляется на 29-й день </w:t>
      </w:r>
      <w:r w:rsidR="00B41E37" w:rsidRPr="009D6AF4">
        <w:t xml:space="preserve"> </w:t>
      </w:r>
      <w:r w:rsidR="000B0AC3" w:rsidRPr="009D6AF4">
        <w:rPr>
          <w:lang w:val="en-US"/>
        </w:rPr>
        <w:fldChar w:fldCharType="begin" w:fldLock="1"/>
      </w:r>
      <w:r w:rsidR="00015814" w:rsidRPr="009D6AF4">
        <w:rPr>
          <w:lang w:val="en-US"/>
        </w:rPr>
        <w:instrText>ADDIN</w:instrText>
      </w:r>
      <w:r w:rsidR="00015814" w:rsidRPr="009D6AF4">
        <w:instrText xml:space="preserve"> </w:instrText>
      </w:r>
      <w:r w:rsidR="00015814" w:rsidRPr="009D6AF4">
        <w:rPr>
          <w:lang w:val="en-US"/>
        </w:rPr>
        <w:instrText>CSL</w:instrText>
      </w:r>
      <w:r w:rsidR="00015814" w:rsidRPr="009D6AF4">
        <w:instrText>_</w:instrText>
      </w:r>
      <w:r w:rsidR="00015814" w:rsidRPr="009D6AF4">
        <w:rPr>
          <w:lang w:val="en-US"/>
        </w:rPr>
        <w:instrText>CITATION</w:instrText>
      </w:r>
      <w:r w:rsidR="00015814" w:rsidRPr="009D6AF4">
        <w:instrText xml:space="preserve"> {"</w:instrText>
      </w:r>
      <w:r w:rsidR="00015814" w:rsidRPr="009D6AF4">
        <w:rPr>
          <w:lang w:val="en-US"/>
        </w:rPr>
        <w:instrText>citationItems</w:instrText>
      </w:r>
      <w:r w:rsidR="00015814" w:rsidRPr="009D6AF4">
        <w:instrText>":[{"</w:instrText>
      </w:r>
      <w:r w:rsidR="00015814" w:rsidRPr="009D6AF4">
        <w:rPr>
          <w:lang w:val="en-US"/>
        </w:rPr>
        <w:instrText>id</w:instrText>
      </w:r>
      <w:r w:rsidR="00015814" w:rsidRPr="009D6AF4">
        <w:instrText>":"</w:instrText>
      </w:r>
      <w:r w:rsidR="00015814" w:rsidRPr="009D6AF4">
        <w:rPr>
          <w:lang w:val="en-US"/>
        </w:rPr>
        <w:instrText>ITEM</w:instrText>
      </w:r>
      <w:r w:rsidR="00015814" w:rsidRPr="009D6AF4">
        <w:instrText>-1","</w:instrText>
      </w:r>
      <w:r w:rsidR="00015814" w:rsidRPr="009D6AF4">
        <w:rPr>
          <w:lang w:val="en-US"/>
        </w:rPr>
        <w:instrText>itemData</w:instrText>
      </w:r>
      <w:r w:rsidR="00015814" w:rsidRPr="009D6AF4">
        <w:instrText>":{"</w:instrText>
      </w:r>
      <w:r w:rsidR="00015814" w:rsidRPr="009D6AF4">
        <w:rPr>
          <w:lang w:val="en-US"/>
        </w:rPr>
        <w:instrText>DOI</w:instrText>
      </w:r>
      <w:r w:rsidR="00015814" w:rsidRPr="009D6AF4">
        <w:instrText>":"10.1056/</w:instrText>
      </w:r>
      <w:r w:rsidR="00015814" w:rsidRPr="009D6AF4">
        <w:rPr>
          <w:lang w:val="en-US"/>
        </w:rPr>
        <w:instrText>NEJMoa</w:instrText>
      </w:r>
      <w:r w:rsidR="00015814" w:rsidRPr="009D6AF4">
        <w:instrText>1313984","</w:instrText>
      </w:r>
      <w:r w:rsidR="00015814" w:rsidRPr="009D6AF4">
        <w:rPr>
          <w:lang w:val="en-US"/>
        </w:rPr>
        <w:instrText>ISSN</w:instrText>
      </w:r>
      <w:r w:rsidR="00015814" w:rsidRPr="009D6AF4">
        <w:instrText>":"15334406","</w:instrText>
      </w:r>
      <w:r w:rsidR="00015814" w:rsidRPr="009D6AF4">
        <w:rPr>
          <w:lang w:val="en-US"/>
        </w:rPr>
        <w:instrText>abstract</w:instrText>
      </w:r>
      <w:r w:rsidR="00015814" w:rsidRPr="009D6AF4">
        <w:instrText>":"</w:instrText>
      </w:r>
      <w:r w:rsidR="00015814" w:rsidRPr="009D6AF4">
        <w:rPr>
          <w:lang w:val="en-US"/>
        </w:rPr>
        <w:instrText>BACKGROUND</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monoclonal</w:instrText>
      </w:r>
      <w:r w:rsidR="00015814" w:rsidRPr="009D6AF4">
        <w:instrText xml:space="preserve"> </w:instrText>
      </w:r>
      <w:r w:rsidR="00015814" w:rsidRPr="009D6AF4">
        <w:rPr>
          <w:lang w:val="en-US"/>
        </w:rPr>
        <w:instrText>anti</w:instrText>
      </w:r>
      <w:r w:rsidR="00015814" w:rsidRPr="009D6AF4">
        <w:instrText>-</w:instrText>
      </w:r>
      <w:r w:rsidR="00015814" w:rsidRPr="009D6AF4">
        <w:rPr>
          <w:lang w:val="en-US"/>
        </w:rPr>
        <w:instrText>CD</w:instrText>
      </w:r>
      <w:r w:rsidR="00015814" w:rsidRPr="009D6AF4">
        <w:instrText xml:space="preserve">20 </w:instrText>
      </w:r>
      <w:r w:rsidR="00015814" w:rsidRPr="009D6AF4">
        <w:rPr>
          <w:lang w:val="en-US"/>
        </w:rPr>
        <w:instrText>antibody</w:instrText>
      </w:r>
      <w:r w:rsidR="00015814" w:rsidRPr="009D6AF4">
        <w:instrText xml:space="preserve"> </w:instrText>
      </w:r>
      <w:r w:rsidR="00015814" w:rsidRPr="009D6AF4">
        <w:rPr>
          <w:lang w:val="en-US"/>
        </w:rPr>
        <w:instrText>rituximab</w:instrText>
      </w:r>
      <w:r w:rsidR="00015814" w:rsidRPr="009D6AF4">
        <w:instrText xml:space="preserve">, </w:instrText>
      </w:r>
      <w:r w:rsidR="00015814" w:rsidRPr="009D6AF4">
        <w:rPr>
          <w:lang w:val="en-US"/>
        </w:rPr>
        <w:instrText>combined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chemotherapeutic</w:instrText>
      </w:r>
      <w:r w:rsidR="00015814" w:rsidRPr="009D6AF4">
        <w:instrText xml:space="preserve"> </w:instrText>
      </w:r>
      <w:r w:rsidR="00015814" w:rsidRPr="009D6AF4">
        <w:rPr>
          <w:lang w:val="en-US"/>
        </w:rPr>
        <w:instrText>agents</w:instrText>
      </w:r>
      <w:r w:rsidR="00015814" w:rsidRPr="009D6AF4">
        <w:instrText xml:space="preserve">, </w:instrText>
      </w:r>
      <w:r w:rsidR="00015814" w:rsidRPr="009D6AF4">
        <w:rPr>
          <w:lang w:val="en-US"/>
        </w:rPr>
        <w:instrText>has</w:instrText>
      </w:r>
      <w:r w:rsidR="00015814" w:rsidRPr="009D6AF4">
        <w:instrText xml:space="preserve"> </w:instrText>
      </w:r>
      <w:r w:rsidR="00015814" w:rsidRPr="009D6AF4">
        <w:rPr>
          <w:lang w:val="en-US"/>
        </w:rPr>
        <w:instrText>been</w:instrText>
      </w:r>
      <w:r w:rsidR="00015814" w:rsidRPr="009D6AF4">
        <w:instrText xml:space="preserve"> </w:instrText>
      </w:r>
      <w:r w:rsidR="00015814" w:rsidRPr="009D6AF4">
        <w:rPr>
          <w:lang w:val="en-US"/>
        </w:rPr>
        <w:instrText>shown</w:instrText>
      </w:r>
      <w:r w:rsidR="00015814" w:rsidRPr="009D6AF4">
        <w:instrText xml:space="preserve"> </w:instrText>
      </w:r>
      <w:r w:rsidR="00015814" w:rsidRPr="009D6AF4">
        <w:rPr>
          <w:lang w:val="en-US"/>
        </w:rPr>
        <w:instrText>to</w:instrText>
      </w:r>
      <w:r w:rsidR="00015814" w:rsidRPr="009D6AF4">
        <w:instrText xml:space="preserve"> </w:instrText>
      </w:r>
      <w:r w:rsidR="00015814" w:rsidRPr="009D6AF4">
        <w:rPr>
          <w:lang w:val="en-US"/>
        </w:rPr>
        <w:instrText>prolong</w:instrText>
      </w:r>
      <w:r w:rsidR="00015814" w:rsidRPr="009D6AF4">
        <w:instrText xml:space="preserve"> </w:instrText>
      </w:r>
      <w:r w:rsidR="00015814" w:rsidRPr="009D6AF4">
        <w:rPr>
          <w:lang w:val="en-US"/>
        </w:rPr>
        <w:instrText>overall</w:instrText>
      </w:r>
      <w:r w:rsidR="00015814" w:rsidRPr="009D6AF4">
        <w:instrText xml:space="preserve"> </w:instrText>
      </w:r>
      <w:r w:rsidR="00015814" w:rsidRPr="009D6AF4">
        <w:rPr>
          <w:lang w:val="en-US"/>
        </w:rPr>
        <w:instrText>survival</w:instrText>
      </w:r>
      <w:r w:rsidR="00015814" w:rsidRPr="009D6AF4">
        <w:instrText xml:space="preserve"> </w:instrText>
      </w:r>
      <w:r w:rsidR="00015814" w:rsidRPr="009D6AF4">
        <w:rPr>
          <w:lang w:val="en-US"/>
        </w:rPr>
        <w:instrText>in</w:instrText>
      </w:r>
      <w:r w:rsidR="00015814" w:rsidRPr="009D6AF4">
        <w:instrText xml:space="preserve"> </w:instrText>
      </w:r>
      <w:r w:rsidR="00015814" w:rsidRPr="009D6AF4">
        <w:rPr>
          <w:lang w:val="en-US"/>
        </w:rPr>
        <w:instrText>physically</w:instrText>
      </w:r>
      <w:r w:rsidR="00015814" w:rsidRPr="009D6AF4">
        <w:instrText xml:space="preserve"> </w:instrText>
      </w:r>
      <w:r w:rsidR="00015814" w:rsidRPr="009D6AF4">
        <w:rPr>
          <w:lang w:val="en-US"/>
        </w:rPr>
        <w:instrText>fit</w:instrText>
      </w:r>
      <w:r w:rsidR="00015814" w:rsidRPr="009D6AF4">
        <w:instrText xml:space="preserve"> </w:instrText>
      </w:r>
      <w:r w:rsidR="00015814" w:rsidRPr="009D6AF4">
        <w:rPr>
          <w:lang w:val="en-US"/>
        </w:rPr>
        <w:instrText>patients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previously</w:instrText>
      </w:r>
      <w:r w:rsidR="00015814" w:rsidRPr="009D6AF4">
        <w:instrText xml:space="preserve"> </w:instrText>
      </w:r>
      <w:r w:rsidR="00015814" w:rsidRPr="009D6AF4">
        <w:rPr>
          <w:lang w:val="en-US"/>
        </w:rPr>
        <w:instrText>untreated</w:instrText>
      </w:r>
      <w:r w:rsidR="00015814" w:rsidRPr="009D6AF4">
        <w:instrText xml:space="preserve"> </w:instrText>
      </w:r>
      <w:r w:rsidR="00015814" w:rsidRPr="009D6AF4">
        <w:rPr>
          <w:lang w:val="en-US"/>
        </w:rPr>
        <w:instrText>chronic</w:instrText>
      </w:r>
      <w:r w:rsidR="00015814" w:rsidRPr="009D6AF4">
        <w:instrText xml:space="preserve"> </w:instrText>
      </w:r>
      <w:r w:rsidR="00015814" w:rsidRPr="009D6AF4">
        <w:rPr>
          <w:lang w:val="en-US"/>
        </w:rPr>
        <w:instrText>lymphocytic</w:instrText>
      </w:r>
      <w:r w:rsidR="00015814" w:rsidRPr="009D6AF4">
        <w:instrText xml:space="preserve"> </w:instrText>
      </w:r>
      <w:r w:rsidR="00015814" w:rsidRPr="009D6AF4">
        <w:rPr>
          <w:lang w:val="en-US"/>
        </w:rPr>
        <w:instrText>leukemia</w:instrText>
      </w:r>
      <w:r w:rsidR="00015814" w:rsidRPr="009D6AF4">
        <w:instrText xml:space="preserve"> (</w:instrText>
      </w:r>
      <w:r w:rsidR="00015814" w:rsidRPr="009D6AF4">
        <w:rPr>
          <w:lang w:val="en-US"/>
        </w:rPr>
        <w:instrText>CLL</w:instrText>
      </w:r>
      <w:r w:rsidR="00015814" w:rsidRPr="009D6AF4">
        <w:instrText xml:space="preserve">) </w:instrText>
      </w:r>
      <w:r w:rsidR="00015814" w:rsidRPr="009D6AF4">
        <w:rPr>
          <w:lang w:val="en-US"/>
        </w:rPr>
        <w:instrText>but</w:instrText>
      </w:r>
      <w:r w:rsidR="00015814" w:rsidRPr="009D6AF4">
        <w:instrText xml:space="preserve"> </w:instrText>
      </w:r>
      <w:r w:rsidR="00015814" w:rsidRPr="009D6AF4">
        <w:rPr>
          <w:lang w:val="en-US"/>
        </w:rPr>
        <w:instrText>not</w:instrText>
      </w:r>
      <w:r w:rsidR="00015814" w:rsidRPr="009D6AF4">
        <w:instrText xml:space="preserve"> </w:instrText>
      </w:r>
      <w:r w:rsidR="00015814" w:rsidRPr="009D6AF4">
        <w:rPr>
          <w:lang w:val="en-US"/>
        </w:rPr>
        <w:instrText>in</w:instrText>
      </w:r>
      <w:r w:rsidR="00015814" w:rsidRPr="009D6AF4">
        <w:instrText xml:space="preserve"> </w:instrText>
      </w:r>
      <w:r w:rsidR="00015814" w:rsidRPr="009D6AF4">
        <w:rPr>
          <w:lang w:val="en-US"/>
        </w:rPr>
        <w:instrText>those</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coexisting</w:instrText>
      </w:r>
      <w:r w:rsidR="00015814" w:rsidRPr="009D6AF4">
        <w:instrText xml:space="preserve"> </w:instrText>
      </w:r>
      <w:r w:rsidR="00015814" w:rsidRPr="009D6AF4">
        <w:rPr>
          <w:lang w:val="en-US"/>
        </w:rPr>
        <w:instrText>conditions</w:instrText>
      </w:r>
      <w:r w:rsidR="00015814" w:rsidRPr="009D6AF4">
        <w:instrText xml:space="preserve">. </w:instrText>
      </w:r>
      <w:r w:rsidR="00015814" w:rsidRPr="009D6AF4">
        <w:rPr>
          <w:lang w:val="en-US"/>
        </w:rPr>
        <w:instrText>We</w:instrText>
      </w:r>
      <w:r w:rsidR="00015814" w:rsidRPr="009D6AF4">
        <w:instrText xml:space="preserve"> </w:instrText>
      </w:r>
      <w:r w:rsidR="00015814" w:rsidRPr="009D6AF4">
        <w:rPr>
          <w:lang w:val="en-US"/>
        </w:rPr>
        <w:instrText>investigated</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benefit</w:instrText>
      </w:r>
      <w:r w:rsidR="00015814" w:rsidRPr="009D6AF4">
        <w:instrText xml:space="preserve"> </w:instrText>
      </w:r>
      <w:r w:rsidR="00015814" w:rsidRPr="009D6AF4">
        <w:rPr>
          <w:lang w:val="en-US"/>
        </w:rPr>
        <w:instrText>of</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type</w:instrText>
      </w:r>
      <w:r w:rsidR="00015814" w:rsidRPr="009D6AF4">
        <w:instrText xml:space="preserve"> 2, </w:instrText>
      </w:r>
      <w:r w:rsidR="00015814" w:rsidRPr="009D6AF4">
        <w:rPr>
          <w:lang w:val="en-US"/>
        </w:rPr>
        <w:instrText>glycoengineered</w:instrText>
      </w:r>
      <w:r w:rsidR="00015814" w:rsidRPr="009D6AF4">
        <w:instrText xml:space="preserve"> </w:instrText>
      </w:r>
      <w:r w:rsidR="00015814" w:rsidRPr="009D6AF4">
        <w:rPr>
          <w:lang w:val="en-US"/>
        </w:rPr>
        <w:instrText>antibody</w:instrText>
      </w:r>
      <w:r w:rsidR="00015814" w:rsidRPr="009D6AF4">
        <w:instrText xml:space="preserve"> </w:instrText>
      </w:r>
      <w:r w:rsidR="00015814" w:rsidRPr="009D6AF4">
        <w:rPr>
          <w:lang w:val="en-US"/>
        </w:rPr>
        <w:instrText>obinutuzumab</w:instrText>
      </w:r>
      <w:r w:rsidR="00015814" w:rsidRPr="009D6AF4">
        <w:instrText xml:space="preserve"> (</w:instrText>
      </w:r>
      <w:r w:rsidR="00015814" w:rsidRPr="009D6AF4">
        <w:rPr>
          <w:lang w:val="en-US"/>
        </w:rPr>
        <w:instrText>also</w:instrText>
      </w:r>
      <w:r w:rsidR="00015814" w:rsidRPr="009D6AF4">
        <w:instrText xml:space="preserve"> </w:instrText>
      </w:r>
      <w:r w:rsidR="00015814" w:rsidRPr="009D6AF4">
        <w:rPr>
          <w:lang w:val="en-US"/>
        </w:rPr>
        <w:instrText>known</w:instrText>
      </w:r>
      <w:r w:rsidR="00015814" w:rsidRPr="009D6AF4">
        <w:instrText xml:space="preserve"> </w:instrText>
      </w:r>
      <w:r w:rsidR="00015814" w:rsidRPr="009D6AF4">
        <w:rPr>
          <w:lang w:val="en-US"/>
        </w:rPr>
        <w:instrText>as</w:instrText>
      </w:r>
      <w:r w:rsidR="00015814" w:rsidRPr="009D6AF4">
        <w:instrText xml:space="preserve"> </w:instrText>
      </w:r>
      <w:r w:rsidR="00015814" w:rsidRPr="009D6AF4">
        <w:rPr>
          <w:lang w:val="en-US"/>
        </w:rPr>
        <w:instrText>GA</w:instrText>
      </w:r>
      <w:r w:rsidR="00015814" w:rsidRPr="009D6AF4">
        <w:instrText xml:space="preserve">101) </w:instrText>
      </w:r>
      <w:r w:rsidR="00015814" w:rsidRPr="009D6AF4">
        <w:rPr>
          <w:lang w:val="en-US"/>
        </w:rPr>
        <w:instrText>as</w:instrText>
      </w:r>
      <w:r w:rsidR="00015814" w:rsidRPr="009D6AF4">
        <w:instrText xml:space="preserve"> </w:instrText>
      </w:r>
      <w:r w:rsidR="00015814" w:rsidRPr="009D6AF4">
        <w:rPr>
          <w:lang w:val="en-US"/>
        </w:rPr>
        <w:instrText>compared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that</w:instrText>
      </w:r>
      <w:r w:rsidR="00015814" w:rsidRPr="009D6AF4">
        <w:instrText xml:space="preserve"> </w:instrText>
      </w:r>
      <w:r w:rsidR="00015814" w:rsidRPr="009D6AF4">
        <w:rPr>
          <w:lang w:val="en-US"/>
        </w:rPr>
        <w:instrText>of</w:instrText>
      </w:r>
      <w:r w:rsidR="00015814" w:rsidRPr="009D6AF4">
        <w:instrText xml:space="preserve"> </w:instrText>
      </w:r>
      <w:r w:rsidR="00015814" w:rsidRPr="009D6AF4">
        <w:rPr>
          <w:lang w:val="en-US"/>
        </w:rPr>
        <w:instrText>rituximab</w:instrText>
      </w:r>
      <w:r w:rsidR="00015814" w:rsidRPr="009D6AF4">
        <w:instrText xml:space="preserve">, </w:instrText>
      </w:r>
      <w:r w:rsidR="00015814" w:rsidRPr="009D6AF4">
        <w:rPr>
          <w:lang w:val="en-US"/>
        </w:rPr>
        <w:instrText>each</w:instrText>
      </w:r>
      <w:r w:rsidR="00015814" w:rsidRPr="009D6AF4">
        <w:instrText xml:space="preserve"> </w:instrText>
      </w:r>
      <w:r w:rsidR="00015814" w:rsidRPr="009D6AF4">
        <w:rPr>
          <w:lang w:val="en-US"/>
        </w:rPr>
        <w:instrText>combined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in</w:instrText>
      </w:r>
      <w:r w:rsidR="00015814" w:rsidRPr="009D6AF4">
        <w:instrText xml:space="preserve"> </w:instrText>
      </w:r>
      <w:r w:rsidR="00015814" w:rsidRPr="009D6AF4">
        <w:rPr>
          <w:lang w:val="en-US"/>
        </w:rPr>
        <w:instrText>patients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previously</w:instrText>
      </w:r>
      <w:r w:rsidR="00015814" w:rsidRPr="009D6AF4">
        <w:instrText xml:space="preserve"> </w:instrText>
      </w:r>
      <w:r w:rsidR="00015814" w:rsidRPr="009D6AF4">
        <w:rPr>
          <w:lang w:val="en-US"/>
        </w:rPr>
        <w:instrText>untreated</w:instrText>
      </w:r>
      <w:r w:rsidR="00015814" w:rsidRPr="009D6AF4">
        <w:instrText xml:space="preserve"> </w:instrText>
      </w:r>
      <w:r w:rsidR="00015814" w:rsidRPr="009D6AF4">
        <w:rPr>
          <w:lang w:val="en-US"/>
        </w:rPr>
        <w:instrText>CLL</w:instrText>
      </w:r>
      <w:r w:rsidR="00015814" w:rsidRPr="009D6AF4">
        <w:instrText xml:space="preserve"> </w:instrText>
      </w:r>
      <w:r w:rsidR="00015814" w:rsidRPr="009D6AF4">
        <w:rPr>
          <w:lang w:val="en-US"/>
        </w:rPr>
        <w:instrText>and</w:instrText>
      </w:r>
      <w:r w:rsidR="00015814" w:rsidRPr="009D6AF4">
        <w:instrText xml:space="preserve"> </w:instrText>
      </w:r>
      <w:r w:rsidR="00015814" w:rsidRPr="009D6AF4">
        <w:rPr>
          <w:lang w:val="en-US"/>
        </w:rPr>
        <w:instrText>coexisting</w:instrText>
      </w:r>
      <w:r w:rsidR="00015814" w:rsidRPr="009D6AF4">
        <w:instrText xml:space="preserve"> </w:instrText>
      </w:r>
      <w:r w:rsidR="00015814" w:rsidRPr="009D6AF4">
        <w:rPr>
          <w:lang w:val="en-US"/>
        </w:rPr>
        <w:instrText>conditions</w:instrText>
      </w:r>
      <w:r w:rsidR="00015814" w:rsidRPr="009D6AF4">
        <w:instrText xml:space="preserve">. </w:instrText>
      </w:r>
      <w:r w:rsidR="00015814" w:rsidRPr="009D6AF4">
        <w:rPr>
          <w:lang w:val="en-US"/>
        </w:rPr>
        <w:instrText>METHODS</w:instrText>
      </w:r>
      <w:r w:rsidR="00015814" w:rsidRPr="009D6AF4">
        <w:instrText xml:space="preserve"> </w:instrText>
      </w:r>
      <w:r w:rsidR="00015814" w:rsidRPr="009D6AF4">
        <w:rPr>
          <w:lang w:val="en-US"/>
        </w:rPr>
        <w:instrText>We</w:instrText>
      </w:r>
      <w:r w:rsidR="00015814" w:rsidRPr="009D6AF4">
        <w:instrText xml:space="preserve"> </w:instrText>
      </w:r>
      <w:r w:rsidR="00015814" w:rsidRPr="009D6AF4">
        <w:rPr>
          <w:lang w:val="en-US"/>
        </w:rPr>
        <w:instrText>randomly</w:instrText>
      </w:r>
      <w:r w:rsidR="00015814" w:rsidRPr="009D6AF4">
        <w:instrText xml:space="preserve"> </w:instrText>
      </w:r>
      <w:r w:rsidR="00015814" w:rsidRPr="009D6AF4">
        <w:rPr>
          <w:lang w:val="en-US"/>
        </w:rPr>
        <w:instrText>assigned</w:instrText>
      </w:r>
      <w:r w:rsidR="00015814" w:rsidRPr="009D6AF4">
        <w:instrText xml:space="preserve"> 781 </w:instrText>
      </w:r>
      <w:r w:rsidR="00015814" w:rsidRPr="009D6AF4">
        <w:rPr>
          <w:lang w:val="en-US"/>
        </w:rPr>
        <w:instrText>patients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previously</w:instrText>
      </w:r>
      <w:r w:rsidR="00015814" w:rsidRPr="009D6AF4">
        <w:instrText xml:space="preserve"> </w:instrText>
      </w:r>
      <w:r w:rsidR="00015814" w:rsidRPr="009D6AF4">
        <w:rPr>
          <w:lang w:val="en-US"/>
        </w:rPr>
        <w:instrText>untreated</w:instrText>
      </w:r>
      <w:r w:rsidR="00015814" w:rsidRPr="009D6AF4">
        <w:instrText xml:space="preserve"> </w:instrText>
      </w:r>
      <w:r w:rsidR="00015814" w:rsidRPr="009D6AF4">
        <w:rPr>
          <w:lang w:val="en-US"/>
        </w:rPr>
        <w:instrText>CLL</w:instrText>
      </w:r>
      <w:r w:rsidR="00015814" w:rsidRPr="009D6AF4">
        <w:instrText xml:space="preserve"> </w:instrText>
      </w:r>
      <w:r w:rsidR="00015814" w:rsidRPr="009D6AF4">
        <w:rPr>
          <w:lang w:val="en-US"/>
        </w:rPr>
        <w:instrText>and</w:instrText>
      </w:r>
      <w:r w:rsidR="00015814" w:rsidRPr="009D6AF4">
        <w:instrText xml:space="preserve"> </w:instrText>
      </w:r>
      <w:r w:rsidR="00015814" w:rsidRPr="009D6AF4">
        <w:rPr>
          <w:lang w:val="en-US"/>
        </w:rPr>
        <w:instrText>a</w:instrText>
      </w:r>
      <w:r w:rsidR="00015814" w:rsidRPr="009D6AF4">
        <w:instrText xml:space="preserve"> </w:instrText>
      </w:r>
      <w:r w:rsidR="00015814" w:rsidRPr="009D6AF4">
        <w:rPr>
          <w:lang w:val="en-US"/>
        </w:rPr>
        <w:instrText>score</w:instrText>
      </w:r>
      <w:r w:rsidR="00015814" w:rsidRPr="009D6AF4">
        <w:instrText xml:space="preserve"> </w:instrText>
      </w:r>
      <w:r w:rsidR="00015814" w:rsidRPr="009D6AF4">
        <w:rPr>
          <w:lang w:val="en-US"/>
        </w:rPr>
        <w:instrText>higher</w:instrText>
      </w:r>
      <w:r w:rsidR="00015814" w:rsidRPr="009D6AF4">
        <w:instrText xml:space="preserve"> </w:instrText>
      </w:r>
      <w:r w:rsidR="00015814" w:rsidRPr="009D6AF4">
        <w:rPr>
          <w:lang w:val="en-US"/>
        </w:rPr>
        <w:instrText>than</w:instrText>
      </w:r>
      <w:r w:rsidR="00015814" w:rsidRPr="009D6AF4">
        <w:instrText xml:space="preserve"> 6 </w:instrText>
      </w:r>
      <w:r w:rsidR="00015814" w:rsidRPr="009D6AF4">
        <w:rPr>
          <w:lang w:val="en-US"/>
        </w:rPr>
        <w:instrText>on</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Cumulative</w:instrText>
      </w:r>
      <w:r w:rsidR="00015814" w:rsidRPr="009D6AF4">
        <w:instrText xml:space="preserve"> </w:instrText>
      </w:r>
      <w:r w:rsidR="00015814" w:rsidRPr="009D6AF4">
        <w:rPr>
          <w:lang w:val="en-US"/>
        </w:rPr>
        <w:instrText>Illness</w:instrText>
      </w:r>
      <w:r w:rsidR="00015814" w:rsidRPr="009D6AF4">
        <w:instrText xml:space="preserve"> </w:instrText>
      </w:r>
      <w:r w:rsidR="00015814" w:rsidRPr="009D6AF4">
        <w:rPr>
          <w:lang w:val="en-US"/>
        </w:rPr>
        <w:instrText>Rating</w:instrText>
      </w:r>
      <w:r w:rsidR="00015814" w:rsidRPr="009D6AF4">
        <w:instrText xml:space="preserve"> </w:instrText>
      </w:r>
      <w:r w:rsidR="00015814" w:rsidRPr="009D6AF4">
        <w:rPr>
          <w:lang w:val="en-US"/>
        </w:rPr>
        <w:instrText>Scale</w:instrText>
      </w:r>
      <w:r w:rsidR="00015814" w:rsidRPr="009D6AF4">
        <w:instrText xml:space="preserve"> (</w:instrText>
      </w:r>
      <w:r w:rsidR="00015814" w:rsidRPr="009D6AF4">
        <w:rPr>
          <w:lang w:val="en-US"/>
        </w:rPr>
        <w:instrText>CIRS</w:instrText>
      </w:r>
      <w:r w:rsidR="00015814" w:rsidRPr="009D6AF4">
        <w:instrText>) (</w:instrText>
      </w:r>
      <w:r w:rsidR="00015814" w:rsidRPr="009D6AF4">
        <w:rPr>
          <w:lang w:val="en-US"/>
        </w:rPr>
        <w:instrText>range</w:instrText>
      </w:r>
      <w:r w:rsidR="00015814" w:rsidRPr="009D6AF4">
        <w:instrText xml:space="preserve">, 0 </w:instrText>
      </w:r>
      <w:r w:rsidR="00015814" w:rsidRPr="009D6AF4">
        <w:rPr>
          <w:lang w:val="en-US"/>
        </w:rPr>
        <w:instrText>to</w:instrText>
      </w:r>
      <w:r w:rsidR="00015814" w:rsidRPr="009D6AF4">
        <w:instrText xml:space="preserve"> 56, </w:instrText>
      </w:r>
      <w:r w:rsidR="00015814" w:rsidRPr="009D6AF4">
        <w:rPr>
          <w:lang w:val="en-US"/>
        </w:rPr>
        <w:instrText>with</w:instrText>
      </w:r>
      <w:r w:rsidR="00015814" w:rsidRPr="009D6AF4">
        <w:instrText xml:space="preserve"> </w:instrText>
      </w:r>
      <w:r w:rsidR="00015814" w:rsidRPr="009D6AF4">
        <w:rPr>
          <w:lang w:val="en-US"/>
        </w:rPr>
        <w:instrText>higher</w:instrText>
      </w:r>
      <w:r w:rsidR="00015814" w:rsidRPr="009D6AF4">
        <w:instrText xml:space="preserve"> </w:instrText>
      </w:r>
      <w:r w:rsidR="00015814" w:rsidRPr="009D6AF4">
        <w:rPr>
          <w:lang w:val="en-US"/>
        </w:rPr>
        <w:instrText>scores</w:instrText>
      </w:r>
      <w:r w:rsidR="00015814" w:rsidRPr="009D6AF4">
        <w:instrText xml:space="preserve"> </w:instrText>
      </w:r>
      <w:r w:rsidR="00015814" w:rsidRPr="009D6AF4">
        <w:rPr>
          <w:lang w:val="en-US"/>
        </w:rPr>
        <w:instrText>indicating</w:instrText>
      </w:r>
      <w:r w:rsidR="00015814" w:rsidRPr="009D6AF4">
        <w:instrText xml:space="preserve"> </w:instrText>
      </w:r>
      <w:r w:rsidR="00015814" w:rsidRPr="009D6AF4">
        <w:rPr>
          <w:lang w:val="en-US"/>
        </w:rPr>
        <w:instrText>worse</w:instrText>
      </w:r>
      <w:r w:rsidR="00015814" w:rsidRPr="009D6AF4">
        <w:instrText xml:space="preserve"> </w:instrText>
      </w:r>
      <w:r w:rsidR="00015814" w:rsidRPr="009D6AF4">
        <w:rPr>
          <w:lang w:val="en-US"/>
        </w:rPr>
        <w:instrText>health</w:instrText>
      </w:r>
      <w:r w:rsidR="00015814" w:rsidRPr="009D6AF4">
        <w:instrText xml:space="preserve"> </w:instrText>
      </w:r>
      <w:r w:rsidR="00015814" w:rsidRPr="009D6AF4">
        <w:rPr>
          <w:lang w:val="en-US"/>
        </w:rPr>
        <w:instrText>status</w:instrText>
      </w:r>
      <w:r w:rsidR="00015814" w:rsidRPr="009D6AF4">
        <w:instrText xml:space="preserve">) </w:instrText>
      </w:r>
      <w:r w:rsidR="00015814" w:rsidRPr="009D6AF4">
        <w:rPr>
          <w:lang w:val="en-US"/>
        </w:rPr>
        <w:instrText>or</w:instrText>
      </w:r>
      <w:r w:rsidR="00015814" w:rsidRPr="009D6AF4">
        <w:instrText xml:space="preserve"> </w:instrText>
      </w:r>
      <w:r w:rsidR="00015814" w:rsidRPr="009D6AF4">
        <w:rPr>
          <w:lang w:val="en-US"/>
        </w:rPr>
        <w:instrText>an</w:instrText>
      </w:r>
      <w:r w:rsidR="00015814" w:rsidRPr="009D6AF4">
        <w:instrText xml:space="preserve"> </w:instrText>
      </w:r>
      <w:r w:rsidR="00015814" w:rsidRPr="009D6AF4">
        <w:rPr>
          <w:lang w:val="en-US"/>
        </w:rPr>
        <w:instrText>estimated</w:instrText>
      </w:r>
      <w:r w:rsidR="00015814" w:rsidRPr="009D6AF4">
        <w:instrText xml:space="preserve"> </w:instrText>
      </w:r>
      <w:r w:rsidR="00015814" w:rsidRPr="009D6AF4">
        <w:rPr>
          <w:lang w:val="en-US"/>
        </w:rPr>
        <w:instrText>creatinine</w:instrText>
      </w:r>
      <w:r w:rsidR="00015814" w:rsidRPr="009D6AF4">
        <w:instrText xml:space="preserve"> </w:instrText>
      </w:r>
      <w:r w:rsidR="00015814" w:rsidRPr="009D6AF4">
        <w:rPr>
          <w:lang w:val="en-US"/>
        </w:rPr>
        <w:instrText>clearance</w:instrText>
      </w:r>
      <w:r w:rsidR="00015814" w:rsidRPr="009D6AF4">
        <w:instrText xml:space="preserve"> </w:instrText>
      </w:r>
      <w:r w:rsidR="00015814" w:rsidRPr="009D6AF4">
        <w:rPr>
          <w:lang w:val="en-US"/>
        </w:rPr>
        <w:instrText>of</w:instrText>
      </w:r>
      <w:r w:rsidR="00015814" w:rsidRPr="009D6AF4">
        <w:instrText xml:space="preserve"> 30 </w:instrText>
      </w:r>
      <w:r w:rsidR="00015814" w:rsidRPr="009D6AF4">
        <w:rPr>
          <w:lang w:val="en-US"/>
        </w:rPr>
        <w:instrText>to</w:instrText>
      </w:r>
      <w:r w:rsidR="00015814" w:rsidRPr="009D6AF4">
        <w:instrText xml:space="preserve"> 69 </w:instrText>
      </w:r>
      <w:r w:rsidR="00015814" w:rsidRPr="009D6AF4">
        <w:rPr>
          <w:lang w:val="en-US"/>
        </w:rPr>
        <w:instrText>ml</w:instrText>
      </w:r>
      <w:r w:rsidR="00015814" w:rsidRPr="009D6AF4">
        <w:instrText xml:space="preserve"> </w:instrText>
      </w:r>
      <w:r w:rsidR="00015814" w:rsidRPr="009D6AF4">
        <w:rPr>
          <w:lang w:val="en-US"/>
        </w:rPr>
        <w:instrText>per</w:instrText>
      </w:r>
      <w:r w:rsidR="00015814" w:rsidRPr="009D6AF4">
        <w:instrText xml:space="preserve"> </w:instrText>
      </w:r>
      <w:r w:rsidR="00015814" w:rsidRPr="009D6AF4">
        <w:rPr>
          <w:lang w:val="en-US"/>
        </w:rPr>
        <w:instrText>minute</w:instrText>
      </w:r>
      <w:r w:rsidR="00015814" w:rsidRPr="009D6AF4">
        <w:instrText xml:space="preserve"> </w:instrText>
      </w:r>
      <w:r w:rsidR="00015814" w:rsidRPr="009D6AF4">
        <w:rPr>
          <w:lang w:val="en-US"/>
        </w:rPr>
        <w:instrText>to</w:instrText>
      </w:r>
      <w:r w:rsidR="00015814" w:rsidRPr="009D6AF4">
        <w:instrText xml:space="preserve"> </w:instrText>
      </w:r>
      <w:r w:rsidR="00015814" w:rsidRPr="009D6AF4">
        <w:rPr>
          <w:lang w:val="en-US"/>
        </w:rPr>
        <w:instrText>receive</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obinutuzumab</w:instrText>
      </w:r>
      <w:r w:rsidR="00015814" w:rsidRPr="009D6AF4">
        <w:instrText xml:space="preserve"> </w:instrText>
      </w:r>
      <w:r w:rsidR="00015814" w:rsidRPr="009D6AF4">
        <w:rPr>
          <w:lang w:val="en-US"/>
        </w:rPr>
        <w:instrText>plus</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or</w:instrText>
      </w:r>
      <w:r w:rsidR="00015814" w:rsidRPr="009D6AF4">
        <w:instrText xml:space="preserve"> </w:instrText>
      </w:r>
      <w:r w:rsidR="00015814" w:rsidRPr="009D6AF4">
        <w:rPr>
          <w:lang w:val="en-US"/>
        </w:rPr>
        <w:instrText>rituximab</w:instrText>
      </w:r>
      <w:r w:rsidR="00015814" w:rsidRPr="009D6AF4">
        <w:instrText xml:space="preserve"> </w:instrText>
      </w:r>
      <w:r w:rsidR="00015814" w:rsidRPr="009D6AF4">
        <w:rPr>
          <w:lang w:val="en-US"/>
        </w:rPr>
        <w:instrText>plus</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primary</w:instrText>
      </w:r>
      <w:r w:rsidR="00015814" w:rsidRPr="009D6AF4">
        <w:instrText xml:space="preserve"> </w:instrText>
      </w:r>
      <w:r w:rsidR="00015814" w:rsidRPr="009D6AF4">
        <w:rPr>
          <w:lang w:val="en-US"/>
        </w:rPr>
        <w:instrText>end</w:instrText>
      </w:r>
      <w:r w:rsidR="00015814" w:rsidRPr="009D6AF4">
        <w:instrText xml:space="preserve"> </w:instrText>
      </w:r>
      <w:r w:rsidR="00015814" w:rsidRPr="009D6AF4">
        <w:rPr>
          <w:lang w:val="en-US"/>
        </w:rPr>
        <w:instrText>point</w:instrText>
      </w:r>
      <w:r w:rsidR="00015814" w:rsidRPr="009D6AF4">
        <w:instrText xml:space="preserve"> </w:instrText>
      </w:r>
      <w:r w:rsidR="00015814" w:rsidRPr="009D6AF4">
        <w:rPr>
          <w:lang w:val="en-US"/>
        </w:rPr>
        <w:instrText>was</w:instrText>
      </w:r>
      <w:r w:rsidR="00015814" w:rsidRPr="009D6AF4">
        <w:instrText xml:space="preserve"> </w:instrText>
      </w:r>
      <w:r w:rsidR="00015814" w:rsidRPr="009D6AF4">
        <w:rPr>
          <w:lang w:val="en-US"/>
        </w:rPr>
        <w:instrText>investigator</w:instrText>
      </w:r>
      <w:r w:rsidR="00015814" w:rsidRPr="009D6AF4">
        <w:instrText>-</w:instrText>
      </w:r>
      <w:r w:rsidR="00015814" w:rsidRPr="009D6AF4">
        <w:rPr>
          <w:lang w:val="en-US"/>
        </w:rPr>
        <w:instrText>assessed</w:instrText>
      </w:r>
      <w:r w:rsidR="00015814" w:rsidRPr="009D6AF4">
        <w:instrText xml:space="preserve"> </w:instrText>
      </w:r>
      <w:r w:rsidR="00015814" w:rsidRPr="009D6AF4">
        <w:rPr>
          <w:lang w:val="en-US"/>
        </w:rPr>
        <w:instrText>progression</w:instrText>
      </w:r>
      <w:r w:rsidR="00015814" w:rsidRPr="009D6AF4">
        <w:instrText>-</w:instrText>
      </w:r>
      <w:r w:rsidR="00015814" w:rsidRPr="009D6AF4">
        <w:rPr>
          <w:lang w:val="en-US"/>
        </w:rPr>
        <w:instrText>free</w:instrText>
      </w:r>
      <w:r w:rsidR="00015814" w:rsidRPr="009D6AF4">
        <w:instrText xml:space="preserve"> </w:instrText>
      </w:r>
      <w:r w:rsidR="00015814" w:rsidRPr="009D6AF4">
        <w:rPr>
          <w:lang w:val="en-US"/>
        </w:rPr>
        <w:instrText>survival</w:instrText>
      </w:r>
      <w:r w:rsidR="00015814" w:rsidRPr="009D6AF4">
        <w:instrText xml:space="preserve">. </w:instrText>
      </w:r>
      <w:r w:rsidR="00015814" w:rsidRPr="009D6AF4">
        <w:rPr>
          <w:lang w:val="en-US"/>
        </w:rPr>
        <w:instrText>RESULTS</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patients</w:instrText>
      </w:r>
      <w:r w:rsidR="00015814" w:rsidRPr="009D6AF4">
        <w:instrText xml:space="preserve"> </w:instrText>
      </w:r>
      <w:r w:rsidR="00015814" w:rsidRPr="009D6AF4">
        <w:rPr>
          <w:lang w:val="en-US"/>
        </w:rPr>
        <w:instrText>had</w:instrText>
      </w:r>
      <w:r w:rsidR="00015814" w:rsidRPr="009D6AF4">
        <w:instrText xml:space="preserve"> </w:instrText>
      </w:r>
      <w:r w:rsidR="00015814" w:rsidRPr="009D6AF4">
        <w:rPr>
          <w:lang w:val="en-US"/>
        </w:rPr>
        <w:instrText>a</w:instrText>
      </w:r>
      <w:r w:rsidR="00015814" w:rsidRPr="009D6AF4">
        <w:instrText xml:space="preserve"> </w:instrText>
      </w:r>
      <w:r w:rsidR="00015814" w:rsidRPr="009D6AF4">
        <w:rPr>
          <w:lang w:val="en-US"/>
        </w:rPr>
        <w:instrText>median</w:instrText>
      </w:r>
      <w:r w:rsidR="00015814" w:rsidRPr="009D6AF4">
        <w:instrText xml:space="preserve"> </w:instrText>
      </w:r>
      <w:r w:rsidR="00015814" w:rsidRPr="009D6AF4">
        <w:rPr>
          <w:lang w:val="en-US"/>
        </w:rPr>
        <w:instrText>age</w:instrText>
      </w:r>
      <w:r w:rsidR="00015814" w:rsidRPr="009D6AF4">
        <w:instrText xml:space="preserve"> </w:instrText>
      </w:r>
      <w:r w:rsidR="00015814" w:rsidRPr="009D6AF4">
        <w:rPr>
          <w:lang w:val="en-US"/>
        </w:rPr>
        <w:instrText>of</w:instrText>
      </w:r>
      <w:r w:rsidR="00015814" w:rsidRPr="009D6AF4">
        <w:instrText xml:space="preserve"> 73 </w:instrText>
      </w:r>
      <w:r w:rsidR="00015814" w:rsidRPr="009D6AF4">
        <w:rPr>
          <w:lang w:val="en-US"/>
        </w:rPr>
        <w:instrText>years</w:instrText>
      </w:r>
      <w:r w:rsidR="00015814" w:rsidRPr="009D6AF4">
        <w:instrText xml:space="preserve">, </w:instrText>
      </w:r>
      <w:r w:rsidR="00015814" w:rsidRPr="009D6AF4">
        <w:rPr>
          <w:lang w:val="en-US"/>
        </w:rPr>
        <w:instrText>creatinine</w:instrText>
      </w:r>
      <w:r w:rsidR="00015814" w:rsidRPr="009D6AF4">
        <w:instrText xml:space="preserve"> </w:instrText>
      </w:r>
      <w:r w:rsidR="00015814" w:rsidRPr="009D6AF4">
        <w:rPr>
          <w:lang w:val="en-US"/>
        </w:rPr>
        <w:instrText>clearance</w:instrText>
      </w:r>
      <w:r w:rsidR="00015814" w:rsidRPr="009D6AF4">
        <w:instrText xml:space="preserve"> </w:instrText>
      </w:r>
      <w:r w:rsidR="00015814" w:rsidRPr="009D6AF4">
        <w:rPr>
          <w:lang w:val="en-US"/>
        </w:rPr>
        <w:instrText>of</w:instrText>
      </w:r>
      <w:r w:rsidR="00015814" w:rsidRPr="009D6AF4">
        <w:instrText xml:space="preserve"> 62 </w:instrText>
      </w:r>
      <w:r w:rsidR="00015814" w:rsidRPr="009D6AF4">
        <w:rPr>
          <w:lang w:val="en-US"/>
        </w:rPr>
        <w:instrText>ml</w:instrText>
      </w:r>
      <w:r w:rsidR="00015814" w:rsidRPr="009D6AF4">
        <w:instrText xml:space="preserve"> </w:instrText>
      </w:r>
      <w:r w:rsidR="00015814" w:rsidRPr="009D6AF4">
        <w:rPr>
          <w:lang w:val="en-US"/>
        </w:rPr>
        <w:instrText>per</w:instrText>
      </w:r>
      <w:r w:rsidR="00015814" w:rsidRPr="009D6AF4">
        <w:instrText xml:space="preserve"> </w:instrText>
      </w:r>
      <w:r w:rsidR="00015814" w:rsidRPr="009D6AF4">
        <w:rPr>
          <w:lang w:val="en-US"/>
        </w:rPr>
        <w:instrText>minute</w:instrText>
      </w:r>
      <w:r w:rsidR="00015814" w:rsidRPr="009D6AF4">
        <w:instrText xml:space="preserve">, </w:instrText>
      </w:r>
      <w:r w:rsidR="00015814" w:rsidRPr="009D6AF4">
        <w:rPr>
          <w:lang w:val="en-US"/>
        </w:rPr>
        <w:instrText>and</w:instrText>
      </w:r>
      <w:r w:rsidR="00015814" w:rsidRPr="009D6AF4">
        <w:instrText xml:space="preserve"> </w:instrText>
      </w:r>
      <w:r w:rsidR="00015814" w:rsidRPr="009D6AF4">
        <w:rPr>
          <w:lang w:val="en-US"/>
        </w:rPr>
        <w:instrText>CIRS</w:instrText>
      </w:r>
      <w:r w:rsidR="00015814" w:rsidRPr="009D6AF4">
        <w:instrText xml:space="preserve"> </w:instrText>
      </w:r>
      <w:r w:rsidR="00015814" w:rsidRPr="009D6AF4">
        <w:rPr>
          <w:lang w:val="en-US"/>
        </w:rPr>
        <w:instrText>score</w:instrText>
      </w:r>
      <w:r w:rsidR="00015814" w:rsidRPr="009D6AF4">
        <w:instrText xml:space="preserve"> </w:instrText>
      </w:r>
      <w:r w:rsidR="00015814" w:rsidRPr="009D6AF4">
        <w:rPr>
          <w:lang w:val="en-US"/>
        </w:rPr>
        <w:instrText>of</w:instrText>
      </w:r>
      <w:r w:rsidR="00015814" w:rsidRPr="009D6AF4">
        <w:instrText xml:space="preserve"> 8 </w:instrText>
      </w:r>
      <w:r w:rsidR="00015814" w:rsidRPr="009D6AF4">
        <w:rPr>
          <w:lang w:val="en-US"/>
        </w:rPr>
        <w:instrText>at</w:instrText>
      </w:r>
      <w:r w:rsidR="00015814" w:rsidRPr="009D6AF4">
        <w:instrText xml:space="preserve"> </w:instrText>
      </w:r>
      <w:r w:rsidR="00015814" w:rsidRPr="009D6AF4">
        <w:rPr>
          <w:lang w:val="en-US"/>
        </w:rPr>
        <w:instrText>baseline</w:instrText>
      </w:r>
      <w:r w:rsidR="00015814" w:rsidRPr="009D6AF4">
        <w:instrText xml:space="preserve">. </w:instrText>
      </w:r>
      <w:r w:rsidR="00015814" w:rsidRPr="009D6AF4">
        <w:rPr>
          <w:lang w:val="en-US"/>
        </w:rPr>
        <w:instrText>Treatment</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obinutuzumab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or</w:instrText>
      </w:r>
      <w:r w:rsidR="00015814" w:rsidRPr="009D6AF4">
        <w:instrText xml:space="preserve"> </w:instrText>
      </w:r>
      <w:r w:rsidR="00015814" w:rsidRPr="009D6AF4">
        <w:rPr>
          <w:lang w:val="en-US"/>
        </w:rPr>
        <w:instrText>rituximab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as</w:instrText>
      </w:r>
      <w:r w:rsidR="00015814" w:rsidRPr="009D6AF4">
        <w:instrText xml:space="preserve"> </w:instrText>
      </w:r>
      <w:r w:rsidR="00015814" w:rsidRPr="009D6AF4">
        <w:rPr>
          <w:lang w:val="en-US"/>
        </w:rPr>
        <w:instrText>compared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monotherapy</w:instrText>
      </w:r>
      <w:r w:rsidR="00015814" w:rsidRPr="009D6AF4">
        <w:instrText xml:space="preserve">, </w:instrText>
      </w:r>
      <w:r w:rsidR="00015814" w:rsidRPr="009D6AF4">
        <w:rPr>
          <w:lang w:val="en-US"/>
        </w:rPr>
        <w:instrText>increased</w:instrText>
      </w:r>
      <w:r w:rsidR="00015814" w:rsidRPr="009D6AF4">
        <w:instrText xml:space="preserve"> </w:instrText>
      </w:r>
      <w:r w:rsidR="00015814" w:rsidRPr="009D6AF4">
        <w:rPr>
          <w:lang w:val="en-US"/>
        </w:rPr>
        <w:instrText>response</w:instrText>
      </w:r>
      <w:r w:rsidR="00015814" w:rsidRPr="009D6AF4">
        <w:instrText xml:space="preserve"> </w:instrText>
      </w:r>
      <w:r w:rsidR="00015814" w:rsidRPr="009D6AF4">
        <w:rPr>
          <w:lang w:val="en-US"/>
        </w:rPr>
        <w:instrText>rates</w:instrText>
      </w:r>
      <w:r w:rsidR="00015814" w:rsidRPr="009D6AF4">
        <w:instrText xml:space="preserve"> </w:instrText>
      </w:r>
      <w:r w:rsidR="00015814" w:rsidRPr="009D6AF4">
        <w:rPr>
          <w:lang w:val="en-US"/>
        </w:rPr>
        <w:instrText>and</w:instrText>
      </w:r>
      <w:r w:rsidR="00015814" w:rsidRPr="009D6AF4">
        <w:instrText xml:space="preserve"> </w:instrText>
      </w:r>
      <w:r w:rsidR="00015814" w:rsidRPr="009D6AF4">
        <w:rPr>
          <w:lang w:val="en-US"/>
        </w:rPr>
        <w:instrText>prolonged</w:instrText>
      </w:r>
      <w:r w:rsidR="00015814" w:rsidRPr="009D6AF4">
        <w:instrText xml:space="preserve"> </w:instrText>
      </w:r>
      <w:r w:rsidR="00015814" w:rsidRPr="009D6AF4">
        <w:rPr>
          <w:lang w:val="en-US"/>
        </w:rPr>
        <w:instrText>progression</w:instrText>
      </w:r>
      <w:r w:rsidR="00015814" w:rsidRPr="009D6AF4">
        <w:instrText>-</w:instrText>
      </w:r>
      <w:r w:rsidR="00015814" w:rsidRPr="009D6AF4">
        <w:rPr>
          <w:lang w:val="en-US"/>
        </w:rPr>
        <w:instrText>free</w:instrText>
      </w:r>
      <w:r w:rsidR="00015814" w:rsidRPr="009D6AF4">
        <w:instrText xml:space="preserve"> </w:instrText>
      </w:r>
      <w:r w:rsidR="00015814" w:rsidRPr="009D6AF4">
        <w:rPr>
          <w:lang w:val="en-US"/>
        </w:rPr>
        <w:instrText>survival</w:instrText>
      </w:r>
      <w:r w:rsidR="00015814" w:rsidRPr="009D6AF4">
        <w:instrText xml:space="preserve"> (</w:instrText>
      </w:r>
      <w:r w:rsidR="00015814" w:rsidRPr="009D6AF4">
        <w:rPr>
          <w:lang w:val="en-US"/>
        </w:rPr>
        <w:instrText>median</w:instrText>
      </w:r>
      <w:r w:rsidR="00015814" w:rsidRPr="009D6AF4">
        <w:instrText xml:space="preserve"> </w:instrText>
      </w:r>
      <w:r w:rsidR="00015814" w:rsidRPr="009D6AF4">
        <w:rPr>
          <w:lang w:val="en-US"/>
        </w:rPr>
        <w:instrText>progression</w:instrText>
      </w:r>
      <w:r w:rsidR="00015814" w:rsidRPr="009D6AF4">
        <w:instrText>-</w:instrText>
      </w:r>
      <w:r w:rsidR="00015814" w:rsidRPr="009D6AF4">
        <w:rPr>
          <w:lang w:val="en-US"/>
        </w:rPr>
        <w:instrText>free</w:instrText>
      </w:r>
      <w:r w:rsidR="00015814" w:rsidRPr="009D6AF4">
        <w:instrText xml:space="preserve"> </w:instrText>
      </w:r>
      <w:r w:rsidR="00015814" w:rsidRPr="009D6AF4">
        <w:rPr>
          <w:lang w:val="en-US"/>
        </w:rPr>
        <w:instrText>survival</w:instrText>
      </w:r>
      <w:r w:rsidR="00015814" w:rsidRPr="009D6AF4">
        <w:instrText xml:space="preserve">, 26.7 </w:instrText>
      </w:r>
      <w:r w:rsidR="00015814" w:rsidRPr="009D6AF4">
        <w:rPr>
          <w:lang w:val="en-US"/>
        </w:rPr>
        <w:instrText>months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obinutuzumab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vs</w:instrText>
      </w:r>
      <w:r w:rsidR="00015814" w:rsidRPr="009D6AF4">
        <w:instrText xml:space="preserve">. 11.1 </w:instrText>
      </w:r>
      <w:r w:rsidR="00015814" w:rsidRPr="009D6AF4">
        <w:rPr>
          <w:lang w:val="en-US"/>
        </w:rPr>
        <w:instrText>months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alone</w:instrText>
      </w:r>
      <w:r w:rsidR="00015814" w:rsidRPr="009D6AF4">
        <w:instrText xml:space="preserve">; </w:instrText>
      </w:r>
      <w:r w:rsidR="00015814" w:rsidRPr="009D6AF4">
        <w:rPr>
          <w:lang w:val="en-US"/>
        </w:rPr>
        <w:instrText>hazard</w:instrText>
      </w:r>
      <w:r w:rsidR="00015814" w:rsidRPr="009D6AF4">
        <w:instrText xml:space="preserve"> </w:instrText>
      </w:r>
      <w:r w:rsidR="00015814" w:rsidRPr="009D6AF4">
        <w:rPr>
          <w:lang w:val="en-US"/>
        </w:rPr>
        <w:instrText>ratio</w:instrText>
      </w:r>
      <w:r w:rsidR="00015814" w:rsidRPr="009D6AF4">
        <w:instrText xml:space="preserve"> </w:instrText>
      </w:r>
      <w:r w:rsidR="00015814" w:rsidRPr="009D6AF4">
        <w:rPr>
          <w:lang w:val="en-US"/>
        </w:rPr>
        <w:instrText>for</w:instrText>
      </w:r>
      <w:r w:rsidR="00015814" w:rsidRPr="009D6AF4">
        <w:instrText xml:space="preserve"> </w:instrText>
      </w:r>
      <w:r w:rsidR="00015814" w:rsidRPr="009D6AF4">
        <w:rPr>
          <w:lang w:val="en-US"/>
        </w:rPr>
        <w:instrText>progression</w:instrText>
      </w:r>
      <w:r w:rsidR="00015814" w:rsidRPr="009D6AF4">
        <w:instrText xml:space="preserve"> </w:instrText>
      </w:r>
      <w:r w:rsidR="00015814" w:rsidRPr="009D6AF4">
        <w:rPr>
          <w:lang w:val="en-US"/>
        </w:rPr>
        <w:instrText>or</w:instrText>
      </w:r>
      <w:r w:rsidR="00015814" w:rsidRPr="009D6AF4">
        <w:instrText xml:space="preserve"> </w:instrText>
      </w:r>
      <w:r w:rsidR="00015814" w:rsidRPr="009D6AF4">
        <w:rPr>
          <w:lang w:val="en-US"/>
        </w:rPr>
        <w:instrText>death</w:instrText>
      </w:r>
      <w:r w:rsidR="00015814" w:rsidRPr="009D6AF4">
        <w:instrText xml:space="preserve">, 0.18; 95% </w:instrText>
      </w:r>
      <w:r w:rsidR="00015814" w:rsidRPr="009D6AF4">
        <w:rPr>
          <w:lang w:val="en-US"/>
        </w:rPr>
        <w:instrText>confidence</w:instrText>
      </w:r>
      <w:r w:rsidR="00015814" w:rsidRPr="009D6AF4">
        <w:instrText xml:space="preserve"> </w:instrText>
      </w:r>
      <w:r w:rsidR="00015814" w:rsidRPr="009D6AF4">
        <w:rPr>
          <w:lang w:val="en-US"/>
        </w:rPr>
        <w:instrText>interval</w:instrText>
      </w:r>
      <w:r w:rsidR="00015814" w:rsidRPr="009D6AF4">
        <w:instrText xml:space="preserve"> [</w:instrText>
      </w:r>
      <w:r w:rsidR="00015814" w:rsidRPr="009D6AF4">
        <w:rPr>
          <w:lang w:val="en-US"/>
        </w:rPr>
        <w:instrText>CI</w:instrText>
      </w:r>
      <w:r w:rsidR="00015814" w:rsidRPr="009D6AF4">
        <w:instrText xml:space="preserve">], 0.13 </w:instrText>
      </w:r>
      <w:r w:rsidR="00015814" w:rsidRPr="009D6AF4">
        <w:rPr>
          <w:lang w:val="en-US"/>
        </w:rPr>
        <w:instrText>to</w:instrText>
      </w:r>
      <w:r w:rsidR="00015814" w:rsidRPr="009D6AF4">
        <w:instrText xml:space="preserve"> 0.24; </w:instrText>
      </w:r>
      <w:r w:rsidR="00015814" w:rsidRPr="009D6AF4">
        <w:rPr>
          <w:lang w:val="en-US"/>
        </w:rPr>
        <w:instrText>P</w:instrText>
      </w:r>
      <w:r w:rsidR="00015814" w:rsidRPr="009D6AF4">
        <w:instrText xml:space="preserve">&lt;0.001; </w:instrText>
      </w:r>
      <w:r w:rsidR="00015814" w:rsidRPr="009D6AF4">
        <w:rPr>
          <w:lang w:val="en-US"/>
        </w:rPr>
        <w:instrText>and</w:instrText>
      </w:r>
      <w:r w:rsidR="00015814" w:rsidRPr="009D6AF4">
        <w:instrText xml:space="preserve"> 16.3 </w:instrText>
      </w:r>
      <w:r w:rsidR="00015814" w:rsidRPr="009D6AF4">
        <w:rPr>
          <w:lang w:val="en-US"/>
        </w:rPr>
        <w:instrText>months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rituximab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vs</w:instrText>
      </w:r>
      <w:r w:rsidR="00015814" w:rsidRPr="009D6AF4">
        <w:instrText xml:space="preserve">. 11.1 </w:instrText>
      </w:r>
      <w:r w:rsidR="00015814" w:rsidRPr="009D6AF4">
        <w:rPr>
          <w:lang w:val="en-US"/>
        </w:rPr>
        <w:instrText>months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alone</w:instrText>
      </w:r>
      <w:r w:rsidR="00015814" w:rsidRPr="009D6AF4">
        <w:instrText xml:space="preserve">; </w:instrText>
      </w:r>
      <w:r w:rsidR="00015814" w:rsidRPr="009D6AF4">
        <w:rPr>
          <w:lang w:val="en-US"/>
        </w:rPr>
        <w:instrText>hazard</w:instrText>
      </w:r>
      <w:r w:rsidR="00015814" w:rsidRPr="009D6AF4">
        <w:instrText xml:space="preserve"> </w:instrText>
      </w:r>
      <w:r w:rsidR="00015814" w:rsidRPr="009D6AF4">
        <w:rPr>
          <w:lang w:val="en-US"/>
        </w:rPr>
        <w:instrText>ratio</w:instrText>
      </w:r>
      <w:r w:rsidR="00015814" w:rsidRPr="009D6AF4">
        <w:instrText xml:space="preserve">, 0.44; 95% </w:instrText>
      </w:r>
      <w:r w:rsidR="00015814" w:rsidRPr="009D6AF4">
        <w:rPr>
          <w:lang w:val="en-US"/>
        </w:rPr>
        <w:instrText>CI</w:instrText>
      </w:r>
      <w:r w:rsidR="00015814" w:rsidRPr="009D6AF4">
        <w:instrText xml:space="preserve">, 0.34 </w:instrText>
      </w:r>
      <w:r w:rsidR="00015814" w:rsidRPr="009D6AF4">
        <w:rPr>
          <w:lang w:val="en-US"/>
        </w:rPr>
        <w:instrText>to</w:instrText>
      </w:r>
      <w:r w:rsidR="00015814" w:rsidRPr="009D6AF4">
        <w:instrText xml:space="preserve"> 0.57; </w:instrText>
      </w:r>
      <w:r w:rsidR="00015814" w:rsidRPr="009D6AF4">
        <w:rPr>
          <w:lang w:val="en-US"/>
        </w:rPr>
        <w:instrText>P</w:instrText>
      </w:r>
      <w:r w:rsidR="00015814" w:rsidRPr="009D6AF4">
        <w:instrText xml:space="preserve">&lt;0.001). </w:instrText>
      </w:r>
      <w:r w:rsidR="00015814" w:rsidRPr="009D6AF4">
        <w:rPr>
          <w:lang w:val="en-US"/>
        </w:rPr>
        <w:instrText>Treatment</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obinutuzumab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as</w:instrText>
      </w:r>
      <w:r w:rsidR="00015814" w:rsidRPr="009D6AF4">
        <w:instrText xml:space="preserve"> </w:instrText>
      </w:r>
      <w:r w:rsidR="00015814" w:rsidRPr="009D6AF4">
        <w:rPr>
          <w:lang w:val="en-US"/>
        </w:rPr>
        <w:instrText>compared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chlorambucil</w:instrText>
      </w:r>
      <w:r w:rsidR="00015814" w:rsidRPr="009D6AF4">
        <w:instrText xml:space="preserve"> </w:instrText>
      </w:r>
      <w:r w:rsidR="00015814" w:rsidRPr="009D6AF4">
        <w:rPr>
          <w:lang w:val="en-US"/>
        </w:rPr>
        <w:instrText>alone</w:instrText>
      </w:r>
      <w:r w:rsidR="00015814" w:rsidRPr="009D6AF4">
        <w:instrText xml:space="preserve">, </w:instrText>
      </w:r>
      <w:r w:rsidR="00015814" w:rsidRPr="009D6AF4">
        <w:rPr>
          <w:lang w:val="en-US"/>
        </w:rPr>
        <w:instrText>prolonged</w:instrText>
      </w:r>
      <w:r w:rsidR="00015814" w:rsidRPr="009D6AF4">
        <w:instrText xml:space="preserve"> </w:instrText>
      </w:r>
      <w:r w:rsidR="00015814" w:rsidRPr="009D6AF4">
        <w:rPr>
          <w:lang w:val="en-US"/>
        </w:rPr>
        <w:instrText>overall</w:instrText>
      </w:r>
      <w:r w:rsidR="00015814" w:rsidRPr="009D6AF4">
        <w:instrText xml:space="preserve"> </w:instrText>
      </w:r>
      <w:r w:rsidR="00015814" w:rsidRPr="009D6AF4">
        <w:rPr>
          <w:lang w:val="en-US"/>
        </w:rPr>
        <w:instrText>survival</w:instrText>
      </w:r>
      <w:r w:rsidR="00015814" w:rsidRPr="009D6AF4">
        <w:instrText xml:space="preserve"> (</w:instrText>
      </w:r>
      <w:r w:rsidR="00015814" w:rsidRPr="009D6AF4">
        <w:rPr>
          <w:lang w:val="en-US"/>
        </w:rPr>
        <w:instrText>hazard</w:instrText>
      </w:r>
      <w:r w:rsidR="00015814" w:rsidRPr="009D6AF4">
        <w:instrText xml:space="preserve"> </w:instrText>
      </w:r>
      <w:r w:rsidR="00015814" w:rsidRPr="009D6AF4">
        <w:rPr>
          <w:lang w:val="en-US"/>
        </w:rPr>
        <w:instrText>ratio</w:instrText>
      </w:r>
      <w:r w:rsidR="00015814" w:rsidRPr="009D6AF4">
        <w:instrText xml:space="preserve"> </w:instrText>
      </w:r>
      <w:r w:rsidR="00015814" w:rsidRPr="009D6AF4">
        <w:rPr>
          <w:lang w:val="en-US"/>
        </w:rPr>
        <w:instrText>for</w:instrText>
      </w:r>
      <w:r w:rsidR="00015814" w:rsidRPr="009D6AF4">
        <w:instrText xml:space="preserve"> </w:instrText>
      </w:r>
      <w:r w:rsidR="00015814" w:rsidRPr="009D6AF4">
        <w:rPr>
          <w:lang w:val="en-US"/>
        </w:rPr>
        <w:instrText>death</w:instrText>
      </w:r>
      <w:r w:rsidR="00015814" w:rsidRPr="009D6AF4">
        <w:instrText xml:space="preserve">, 0.41; 95% </w:instrText>
      </w:r>
      <w:r w:rsidR="00015814" w:rsidRPr="009D6AF4">
        <w:rPr>
          <w:lang w:val="en-US"/>
        </w:rPr>
        <w:instrText>CI</w:instrText>
      </w:r>
      <w:r w:rsidR="00015814" w:rsidRPr="009D6AF4">
        <w:instrText xml:space="preserve">, 0.23 </w:instrText>
      </w:r>
      <w:r w:rsidR="00015814" w:rsidRPr="009D6AF4">
        <w:rPr>
          <w:lang w:val="en-US"/>
        </w:rPr>
        <w:instrText>to</w:instrText>
      </w:r>
      <w:r w:rsidR="00015814" w:rsidRPr="009D6AF4">
        <w:instrText xml:space="preserve"> 0.74; </w:instrText>
      </w:r>
      <w:r w:rsidR="00015814" w:rsidRPr="009D6AF4">
        <w:rPr>
          <w:lang w:val="en-US"/>
        </w:rPr>
        <w:instrText>P</w:instrText>
      </w:r>
      <w:r w:rsidR="00015814" w:rsidRPr="009D6AF4">
        <w:instrText xml:space="preserve">=0.002). </w:instrText>
      </w:r>
      <w:r w:rsidR="00015814" w:rsidRPr="009D6AF4">
        <w:rPr>
          <w:lang w:val="en-US"/>
        </w:rPr>
        <w:instrText>Treatment</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obinutuzumab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as</w:instrText>
      </w:r>
      <w:r w:rsidR="00015814" w:rsidRPr="009D6AF4">
        <w:instrText xml:space="preserve"> </w:instrText>
      </w:r>
      <w:r w:rsidR="00015814" w:rsidRPr="009D6AF4">
        <w:rPr>
          <w:lang w:val="en-US"/>
        </w:rPr>
        <w:instrText>compared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rituximab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resulted</w:instrText>
      </w:r>
      <w:r w:rsidR="00015814" w:rsidRPr="009D6AF4">
        <w:instrText xml:space="preserve"> </w:instrText>
      </w:r>
      <w:r w:rsidR="00015814" w:rsidRPr="009D6AF4">
        <w:rPr>
          <w:lang w:val="en-US"/>
        </w:rPr>
        <w:instrText>in</w:instrText>
      </w:r>
      <w:r w:rsidR="00015814" w:rsidRPr="009D6AF4">
        <w:instrText xml:space="preserve"> </w:instrText>
      </w:r>
      <w:r w:rsidR="00015814" w:rsidRPr="009D6AF4">
        <w:rPr>
          <w:lang w:val="en-US"/>
        </w:rPr>
        <w:instrText>prolongation</w:instrText>
      </w:r>
      <w:r w:rsidR="00015814" w:rsidRPr="009D6AF4">
        <w:instrText xml:space="preserve"> </w:instrText>
      </w:r>
      <w:r w:rsidR="00015814" w:rsidRPr="009D6AF4">
        <w:rPr>
          <w:lang w:val="en-US"/>
        </w:rPr>
        <w:instrText>of</w:instrText>
      </w:r>
      <w:r w:rsidR="00015814" w:rsidRPr="009D6AF4">
        <w:instrText xml:space="preserve"> </w:instrText>
      </w:r>
      <w:r w:rsidR="00015814" w:rsidRPr="009D6AF4">
        <w:rPr>
          <w:lang w:val="en-US"/>
        </w:rPr>
        <w:instrText>progression</w:instrText>
      </w:r>
      <w:r w:rsidR="00015814" w:rsidRPr="009D6AF4">
        <w:instrText>-</w:instrText>
      </w:r>
      <w:r w:rsidR="00015814" w:rsidRPr="009D6AF4">
        <w:rPr>
          <w:lang w:val="en-US"/>
        </w:rPr>
        <w:instrText>free</w:instrText>
      </w:r>
      <w:r w:rsidR="00015814" w:rsidRPr="009D6AF4">
        <w:instrText xml:space="preserve"> </w:instrText>
      </w:r>
      <w:r w:rsidR="00015814" w:rsidRPr="009D6AF4">
        <w:rPr>
          <w:lang w:val="en-US"/>
        </w:rPr>
        <w:instrText>survival</w:instrText>
      </w:r>
      <w:r w:rsidR="00015814" w:rsidRPr="009D6AF4">
        <w:instrText xml:space="preserve"> (</w:instrText>
      </w:r>
      <w:r w:rsidR="00015814" w:rsidRPr="009D6AF4">
        <w:rPr>
          <w:lang w:val="en-US"/>
        </w:rPr>
        <w:instrText>hazard</w:instrText>
      </w:r>
      <w:r w:rsidR="00015814" w:rsidRPr="009D6AF4">
        <w:instrText xml:space="preserve"> </w:instrText>
      </w:r>
      <w:r w:rsidR="00015814" w:rsidRPr="009D6AF4">
        <w:rPr>
          <w:lang w:val="en-US"/>
        </w:rPr>
        <w:instrText>ratio</w:instrText>
      </w:r>
      <w:r w:rsidR="00015814" w:rsidRPr="009D6AF4">
        <w:instrText xml:space="preserve">, 0.39; 95% </w:instrText>
      </w:r>
      <w:r w:rsidR="00015814" w:rsidRPr="009D6AF4">
        <w:rPr>
          <w:lang w:val="en-US"/>
        </w:rPr>
        <w:instrText>CI</w:instrText>
      </w:r>
      <w:r w:rsidR="00015814" w:rsidRPr="009D6AF4">
        <w:instrText xml:space="preserve">, 0.31 </w:instrText>
      </w:r>
      <w:r w:rsidR="00015814" w:rsidRPr="009D6AF4">
        <w:rPr>
          <w:lang w:val="en-US"/>
        </w:rPr>
        <w:instrText>to</w:instrText>
      </w:r>
      <w:r w:rsidR="00015814" w:rsidRPr="009D6AF4">
        <w:instrText xml:space="preserve"> 0.49; </w:instrText>
      </w:r>
      <w:r w:rsidR="00015814" w:rsidRPr="009D6AF4">
        <w:rPr>
          <w:lang w:val="en-US"/>
        </w:rPr>
        <w:instrText>P</w:instrText>
      </w:r>
      <w:r w:rsidR="00015814" w:rsidRPr="009D6AF4">
        <w:instrText xml:space="preserve">&lt;0.001) </w:instrText>
      </w:r>
      <w:r w:rsidR="00015814" w:rsidRPr="009D6AF4">
        <w:rPr>
          <w:lang w:val="en-US"/>
        </w:rPr>
        <w:instrText>and</w:instrText>
      </w:r>
      <w:r w:rsidR="00015814" w:rsidRPr="009D6AF4">
        <w:instrText xml:space="preserve"> </w:instrText>
      </w:r>
      <w:r w:rsidR="00015814" w:rsidRPr="009D6AF4">
        <w:rPr>
          <w:lang w:val="en-US"/>
        </w:rPr>
        <w:instrText>higher</w:instrText>
      </w:r>
      <w:r w:rsidR="00015814" w:rsidRPr="009D6AF4">
        <w:instrText xml:space="preserve"> </w:instrText>
      </w:r>
      <w:r w:rsidR="00015814" w:rsidRPr="009D6AF4">
        <w:rPr>
          <w:lang w:val="en-US"/>
        </w:rPr>
        <w:instrText>rates</w:instrText>
      </w:r>
      <w:r w:rsidR="00015814" w:rsidRPr="009D6AF4">
        <w:instrText xml:space="preserve"> </w:instrText>
      </w:r>
      <w:r w:rsidR="00015814" w:rsidRPr="009D6AF4">
        <w:rPr>
          <w:lang w:val="en-US"/>
        </w:rPr>
        <w:instrText>of</w:instrText>
      </w:r>
      <w:r w:rsidR="00015814" w:rsidRPr="009D6AF4">
        <w:instrText xml:space="preserve"> </w:instrText>
      </w:r>
      <w:r w:rsidR="00015814" w:rsidRPr="009D6AF4">
        <w:rPr>
          <w:lang w:val="en-US"/>
        </w:rPr>
        <w:instrText>complete</w:instrText>
      </w:r>
      <w:r w:rsidR="00015814" w:rsidRPr="009D6AF4">
        <w:instrText xml:space="preserve"> </w:instrText>
      </w:r>
      <w:r w:rsidR="00015814" w:rsidRPr="009D6AF4">
        <w:rPr>
          <w:lang w:val="en-US"/>
        </w:rPr>
        <w:instrText>response</w:instrText>
      </w:r>
      <w:r w:rsidR="00015814" w:rsidRPr="009D6AF4">
        <w:instrText xml:space="preserve"> (20.7% </w:instrText>
      </w:r>
      <w:r w:rsidR="00015814" w:rsidRPr="009D6AF4">
        <w:rPr>
          <w:lang w:val="en-US"/>
        </w:rPr>
        <w:instrText>vs</w:instrText>
      </w:r>
      <w:r w:rsidR="00015814" w:rsidRPr="009D6AF4">
        <w:instrText xml:space="preserve">. 7.0%) </w:instrText>
      </w:r>
      <w:r w:rsidR="00015814" w:rsidRPr="009D6AF4">
        <w:rPr>
          <w:lang w:val="en-US"/>
        </w:rPr>
        <w:instrText>and</w:instrText>
      </w:r>
      <w:r w:rsidR="00015814" w:rsidRPr="009D6AF4">
        <w:instrText xml:space="preserve"> </w:instrText>
      </w:r>
      <w:r w:rsidR="00015814" w:rsidRPr="009D6AF4">
        <w:rPr>
          <w:lang w:val="en-US"/>
        </w:rPr>
        <w:instrText>molecular</w:instrText>
      </w:r>
      <w:r w:rsidR="00015814" w:rsidRPr="009D6AF4">
        <w:instrText xml:space="preserve"> </w:instrText>
      </w:r>
      <w:r w:rsidR="00015814" w:rsidRPr="009D6AF4">
        <w:rPr>
          <w:lang w:val="en-US"/>
        </w:rPr>
        <w:instrText>response</w:instrText>
      </w:r>
      <w:r w:rsidR="00015814" w:rsidRPr="009D6AF4">
        <w:instrText xml:space="preserve">. </w:instrText>
      </w:r>
      <w:r w:rsidR="00015814" w:rsidRPr="009D6AF4">
        <w:rPr>
          <w:lang w:val="en-US"/>
        </w:rPr>
        <w:instrText>Infusion</w:instrText>
      </w:r>
      <w:r w:rsidR="00015814" w:rsidRPr="009D6AF4">
        <w:instrText>-</w:instrText>
      </w:r>
      <w:r w:rsidR="00015814" w:rsidRPr="009D6AF4">
        <w:rPr>
          <w:lang w:val="en-US"/>
        </w:rPr>
        <w:instrText>related</w:instrText>
      </w:r>
      <w:r w:rsidR="00015814" w:rsidRPr="009D6AF4">
        <w:instrText xml:space="preserve"> </w:instrText>
      </w:r>
      <w:r w:rsidR="00015814" w:rsidRPr="009D6AF4">
        <w:rPr>
          <w:lang w:val="en-US"/>
        </w:rPr>
        <w:instrText>reactions</w:instrText>
      </w:r>
      <w:r w:rsidR="00015814" w:rsidRPr="009D6AF4">
        <w:instrText xml:space="preserve"> </w:instrText>
      </w:r>
      <w:r w:rsidR="00015814" w:rsidRPr="009D6AF4">
        <w:rPr>
          <w:lang w:val="en-US"/>
        </w:rPr>
        <w:instrText>and</w:instrText>
      </w:r>
      <w:r w:rsidR="00015814" w:rsidRPr="009D6AF4">
        <w:instrText xml:space="preserve"> </w:instrText>
      </w:r>
      <w:r w:rsidR="00015814" w:rsidRPr="009D6AF4">
        <w:rPr>
          <w:lang w:val="en-US"/>
        </w:rPr>
        <w:instrText>neutropenia</w:instrText>
      </w:r>
      <w:r w:rsidR="00015814" w:rsidRPr="009D6AF4">
        <w:instrText xml:space="preserve"> </w:instrText>
      </w:r>
      <w:r w:rsidR="00015814" w:rsidRPr="009D6AF4">
        <w:rPr>
          <w:lang w:val="en-US"/>
        </w:rPr>
        <w:instrText>were</w:instrText>
      </w:r>
      <w:r w:rsidR="00015814" w:rsidRPr="009D6AF4">
        <w:instrText xml:space="preserve"> </w:instrText>
      </w:r>
      <w:r w:rsidR="00015814" w:rsidRPr="009D6AF4">
        <w:rPr>
          <w:lang w:val="en-US"/>
        </w:rPr>
        <w:instrText>more</w:instrText>
      </w:r>
      <w:r w:rsidR="00015814" w:rsidRPr="009D6AF4">
        <w:instrText xml:space="preserve"> </w:instrText>
      </w:r>
      <w:r w:rsidR="00015814" w:rsidRPr="009D6AF4">
        <w:rPr>
          <w:lang w:val="en-US"/>
        </w:rPr>
        <w:instrText>common</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obinutuzumab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than</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rituximab</w:instrText>
      </w:r>
      <w:r w:rsidR="00015814" w:rsidRPr="009D6AF4">
        <w:instrText>-</w:instrText>
      </w:r>
      <w:r w:rsidR="00015814" w:rsidRPr="009D6AF4">
        <w:rPr>
          <w:lang w:val="en-US"/>
        </w:rPr>
        <w:instrText>chlorambucil</w:instrText>
      </w:r>
      <w:r w:rsidR="00015814" w:rsidRPr="009D6AF4">
        <w:instrText xml:space="preserve">, </w:instrText>
      </w:r>
      <w:r w:rsidR="00015814" w:rsidRPr="009D6AF4">
        <w:rPr>
          <w:lang w:val="en-US"/>
        </w:rPr>
        <w:instrText>but</w:instrText>
      </w:r>
      <w:r w:rsidR="00015814" w:rsidRPr="009D6AF4">
        <w:instrText xml:space="preserve"> </w:instrText>
      </w:r>
      <w:r w:rsidR="00015814" w:rsidRPr="009D6AF4">
        <w:rPr>
          <w:lang w:val="en-US"/>
        </w:rPr>
        <w:instrText>the</w:instrText>
      </w:r>
      <w:r w:rsidR="00015814" w:rsidRPr="009D6AF4">
        <w:instrText xml:space="preserve"> </w:instrText>
      </w:r>
      <w:r w:rsidR="00015814" w:rsidRPr="009D6AF4">
        <w:rPr>
          <w:lang w:val="en-US"/>
        </w:rPr>
        <w:instrText>risk</w:instrText>
      </w:r>
      <w:r w:rsidR="00015814" w:rsidRPr="009D6AF4">
        <w:instrText xml:space="preserve"> </w:instrText>
      </w:r>
      <w:r w:rsidR="00015814" w:rsidRPr="009D6AF4">
        <w:rPr>
          <w:lang w:val="en-US"/>
        </w:rPr>
        <w:instrText>of</w:instrText>
      </w:r>
      <w:r w:rsidR="00015814" w:rsidRPr="009D6AF4">
        <w:instrText xml:space="preserve"> </w:instrText>
      </w:r>
      <w:r w:rsidR="00015814" w:rsidRPr="009D6AF4">
        <w:rPr>
          <w:lang w:val="en-US"/>
        </w:rPr>
        <w:instrText>infection</w:instrText>
      </w:r>
      <w:r w:rsidR="00015814" w:rsidRPr="009D6AF4">
        <w:instrText xml:space="preserve"> </w:instrText>
      </w:r>
      <w:r w:rsidR="00015814" w:rsidRPr="009D6AF4">
        <w:rPr>
          <w:lang w:val="en-US"/>
        </w:rPr>
        <w:instrText>was</w:instrText>
      </w:r>
      <w:r w:rsidR="00015814" w:rsidRPr="009D6AF4">
        <w:instrText xml:space="preserve"> </w:instrText>
      </w:r>
      <w:r w:rsidR="00015814" w:rsidRPr="009D6AF4">
        <w:rPr>
          <w:lang w:val="en-US"/>
        </w:rPr>
        <w:instrText>not</w:instrText>
      </w:r>
      <w:r w:rsidR="00015814" w:rsidRPr="009D6AF4">
        <w:instrText xml:space="preserve"> </w:instrText>
      </w:r>
      <w:r w:rsidR="00015814" w:rsidRPr="009D6AF4">
        <w:rPr>
          <w:lang w:val="en-US"/>
        </w:rPr>
        <w:instrText>increased</w:instrText>
      </w:r>
      <w:r w:rsidR="00015814" w:rsidRPr="009D6AF4">
        <w:instrText xml:space="preserve">. </w:instrText>
      </w:r>
      <w:r w:rsidR="00015814" w:rsidRPr="009D6AF4">
        <w:rPr>
          <w:lang w:val="en-US"/>
        </w:rPr>
        <w:instrText>CONCLUSIONS</w:instrText>
      </w:r>
      <w:r w:rsidR="00015814" w:rsidRPr="009D6AF4">
        <w:instrText xml:space="preserve"> </w:instrText>
      </w:r>
      <w:r w:rsidR="00015814" w:rsidRPr="009D6AF4">
        <w:rPr>
          <w:lang w:val="en-US"/>
        </w:rPr>
        <w:instrText>Combining</w:instrText>
      </w:r>
      <w:r w:rsidR="00015814" w:rsidRPr="009D6AF4">
        <w:instrText xml:space="preserve"> </w:instrText>
      </w:r>
      <w:r w:rsidR="00015814" w:rsidRPr="009D6AF4">
        <w:rPr>
          <w:lang w:val="en-US"/>
        </w:rPr>
        <w:instrText>an</w:instrText>
      </w:r>
      <w:r w:rsidR="00015814" w:rsidRPr="009D6AF4">
        <w:instrText xml:space="preserve"> </w:instrText>
      </w:r>
      <w:r w:rsidR="00015814" w:rsidRPr="009D6AF4">
        <w:rPr>
          <w:lang w:val="en-US"/>
        </w:rPr>
        <w:instrText>anti</w:instrText>
      </w:r>
      <w:r w:rsidR="00015814" w:rsidRPr="009D6AF4">
        <w:instrText>-</w:instrText>
      </w:r>
      <w:r w:rsidR="00015814" w:rsidRPr="009D6AF4">
        <w:rPr>
          <w:lang w:val="en-US"/>
        </w:rPr>
        <w:instrText>CD</w:instrText>
      </w:r>
      <w:r w:rsidR="00015814" w:rsidRPr="009D6AF4">
        <w:instrText xml:space="preserve">20 </w:instrText>
      </w:r>
      <w:r w:rsidR="00015814" w:rsidRPr="009D6AF4">
        <w:rPr>
          <w:lang w:val="en-US"/>
        </w:rPr>
        <w:instrText>antibody</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chemotherapy</w:instrText>
      </w:r>
      <w:r w:rsidR="00015814" w:rsidRPr="009D6AF4">
        <w:instrText xml:space="preserve"> </w:instrText>
      </w:r>
      <w:r w:rsidR="00015814" w:rsidRPr="009D6AF4">
        <w:rPr>
          <w:lang w:val="en-US"/>
        </w:rPr>
        <w:instrText>improved</w:instrText>
      </w:r>
      <w:r w:rsidR="00015814" w:rsidRPr="009D6AF4">
        <w:instrText xml:space="preserve"> </w:instrText>
      </w:r>
      <w:r w:rsidR="00015814" w:rsidRPr="009D6AF4">
        <w:rPr>
          <w:lang w:val="en-US"/>
        </w:rPr>
        <w:instrText>outcomes</w:instrText>
      </w:r>
      <w:r w:rsidR="00015814" w:rsidRPr="009D6AF4">
        <w:instrText xml:space="preserve"> </w:instrText>
      </w:r>
      <w:r w:rsidR="00015814" w:rsidRPr="009D6AF4">
        <w:rPr>
          <w:lang w:val="en-US"/>
        </w:rPr>
        <w:instrText>in</w:instrText>
      </w:r>
      <w:r w:rsidR="00015814" w:rsidRPr="009D6AF4">
        <w:instrText xml:space="preserve"> </w:instrText>
      </w:r>
      <w:r w:rsidR="00015814" w:rsidRPr="009D6AF4">
        <w:rPr>
          <w:lang w:val="en-US"/>
        </w:rPr>
        <w:instrText>patients</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CLL</w:instrText>
      </w:r>
      <w:r w:rsidR="00015814" w:rsidRPr="009D6AF4">
        <w:instrText xml:space="preserve"> </w:instrText>
      </w:r>
      <w:r w:rsidR="00015814" w:rsidRPr="009D6AF4">
        <w:rPr>
          <w:lang w:val="en-US"/>
        </w:rPr>
        <w:instrText>and</w:instrText>
      </w:r>
      <w:r w:rsidR="00015814" w:rsidRPr="009D6AF4">
        <w:instrText xml:space="preserve"> </w:instrText>
      </w:r>
      <w:r w:rsidR="00015814" w:rsidRPr="009D6AF4">
        <w:rPr>
          <w:lang w:val="en-US"/>
        </w:rPr>
        <w:instrText>coexisting</w:instrText>
      </w:r>
      <w:r w:rsidR="00015814" w:rsidRPr="009D6AF4">
        <w:instrText xml:space="preserve"> </w:instrText>
      </w:r>
      <w:r w:rsidR="00015814" w:rsidRPr="009D6AF4">
        <w:rPr>
          <w:lang w:val="en-US"/>
        </w:rPr>
        <w:instrText>conditions</w:instrText>
      </w:r>
      <w:r w:rsidR="00015814" w:rsidRPr="009D6AF4">
        <w:instrText xml:space="preserve">. </w:instrText>
      </w:r>
      <w:r w:rsidR="00015814" w:rsidRPr="009D6AF4">
        <w:rPr>
          <w:lang w:val="en-US"/>
        </w:rPr>
        <w:instrText>In</w:instrText>
      </w:r>
      <w:r w:rsidR="00015814" w:rsidRPr="009D6AF4">
        <w:instrText xml:space="preserve"> </w:instrText>
      </w:r>
      <w:r w:rsidR="00015814" w:rsidRPr="009D6AF4">
        <w:rPr>
          <w:lang w:val="en-US"/>
        </w:rPr>
        <w:instrText>this</w:instrText>
      </w:r>
      <w:r w:rsidR="00015814" w:rsidRPr="009D6AF4">
        <w:instrText xml:space="preserve"> </w:instrText>
      </w:r>
      <w:r w:rsidR="00015814" w:rsidRPr="009D6AF4">
        <w:rPr>
          <w:lang w:val="en-US"/>
        </w:rPr>
        <w:instrText>patient</w:instrText>
      </w:r>
      <w:r w:rsidR="00015814" w:rsidRPr="009D6AF4">
        <w:instrText xml:space="preserve"> </w:instrText>
      </w:r>
      <w:r w:rsidR="00015814" w:rsidRPr="009D6AF4">
        <w:rPr>
          <w:lang w:val="en-US"/>
        </w:rPr>
        <w:instrText>population</w:instrText>
      </w:r>
      <w:r w:rsidR="00015814" w:rsidRPr="009D6AF4">
        <w:instrText xml:space="preserve">, </w:instrText>
      </w:r>
      <w:r w:rsidR="00015814" w:rsidRPr="009D6AF4">
        <w:rPr>
          <w:lang w:val="en-US"/>
        </w:rPr>
        <w:instrText>obinutuzumab</w:instrText>
      </w:r>
      <w:r w:rsidR="00015814" w:rsidRPr="009D6AF4">
        <w:instrText xml:space="preserve"> </w:instrText>
      </w:r>
      <w:r w:rsidR="00015814" w:rsidRPr="009D6AF4">
        <w:rPr>
          <w:lang w:val="en-US"/>
        </w:rPr>
        <w:instrText>was</w:instrText>
      </w:r>
      <w:r w:rsidR="00015814" w:rsidRPr="009D6AF4">
        <w:instrText xml:space="preserve"> </w:instrText>
      </w:r>
      <w:r w:rsidR="00015814" w:rsidRPr="009D6AF4">
        <w:rPr>
          <w:lang w:val="en-US"/>
        </w:rPr>
        <w:instrText>superior</w:instrText>
      </w:r>
      <w:r w:rsidR="00015814" w:rsidRPr="009D6AF4">
        <w:instrText xml:space="preserve"> </w:instrText>
      </w:r>
      <w:r w:rsidR="00015814" w:rsidRPr="009D6AF4">
        <w:rPr>
          <w:lang w:val="en-US"/>
        </w:rPr>
        <w:instrText>to</w:instrText>
      </w:r>
      <w:r w:rsidR="00015814" w:rsidRPr="009D6AF4">
        <w:instrText xml:space="preserve"> </w:instrText>
      </w:r>
      <w:r w:rsidR="00015814" w:rsidRPr="009D6AF4">
        <w:rPr>
          <w:lang w:val="en-US"/>
        </w:rPr>
        <w:instrText>rituximab</w:instrText>
      </w:r>
      <w:r w:rsidR="00015814" w:rsidRPr="009D6AF4">
        <w:instrText xml:space="preserve"> </w:instrText>
      </w:r>
      <w:r w:rsidR="00015814" w:rsidRPr="009D6AF4">
        <w:rPr>
          <w:lang w:val="en-US"/>
        </w:rPr>
        <w:instrText>when</w:instrText>
      </w:r>
      <w:r w:rsidR="00015814" w:rsidRPr="009D6AF4">
        <w:instrText xml:space="preserve"> </w:instrText>
      </w:r>
      <w:r w:rsidR="00015814" w:rsidRPr="009D6AF4">
        <w:rPr>
          <w:lang w:val="en-US"/>
        </w:rPr>
        <w:instrText>each</w:instrText>
      </w:r>
      <w:r w:rsidR="00015814" w:rsidRPr="009D6AF4">
        <w:instrText xml:space="preserve"> </w:instrText>
      </w:r>
      <w:r w:rsidR="00015814" w:rsidRPr="009D6AF4">
        <w:rPr>
          <w:lang w:val="en-US"/>
        </w:rPr>
        <w:instrText>was</w:instrText>
      </w:r>
      <w:r w:rsidR="00015814" w:rsidRPr="009D6AF4">
        <w:instrText xml:space="preserve"> </w:instrText>
      </w:r>
      <w:r w:rsidR="00015814" w:rsidRPr="009D6AF4">
        <w:rPr>
          <w:lang w:val="en-US"/>
        </w:rPr>
        <w:instrText>combined</w:instrText>
      </w:r>
      <w:r w:rsidR="00015814" w:rsidRPr="009D6AF4">
        <w:instrText xml:space="preserve"> </w:instrText>
      </w:r>
      <w:r w:rsidR="00015814" w:rsidRPr="009D6AF4">
        <w:rPr>
          <w:lang w:val="en-US"/>
        </w:rPr>
        <w:instrText>with</w:instrText>
      </w:r>
      <w:r w:rsidR="00015814" w:rsidRPr="009D6AF4">
        <w:instrText xml:space="preserve"> </w:instrText>
      </w:r>
      <w:r w:rsidR="00015814" w:rsidRPr="009D6AF4">
        <w:rPr>
          <w:lang w:val="en-US"/>
        </w:rPr>
        <w:instrText>chlorambucil</w:instrText>
      </w:r>
      <w:r w:rsidR="00015814" w:rsidRPr="009D6AF4">
        <w:instrText>. (</w:instrText>
      </w:r>
      <w:r w:rsidR="00015814" w:rsidRPr="009D6AF4">
        <w:rPr>
          <w:lang w:val="en-US"/>
        </w:rPr>
        <w:instrText>Funded</w:instrText>
      </w:r>
      <w:r w:rsidR="00015814" w:rsidRPr="009D6AF4">
        <w:instrText xml:space="preserve"> </w:instrText>
      </w:r>
      <w:r w:rsidR="00015814" w:rsidRPr="009D6AF4">
        <w:rPr>
          <w:lang w:val="en-US"/>
        </w:rPr>
        <w:instrText>by</w:instrText>
      </w:r>
      <w:r w:rsidR="00015814" w:rsidRPr="009D6AF4">
        <w:instrText xml:space="preserve"> </w:instrText>
      </w:r>
      <w:r w:rsidR="00015814" w:rsidRPr="009D6AF4">
        <w:rPr>
          <w:lang w:val="en-US"/>
        </w:rPr>
        <w:instrText>F</w:instrText>
      </w:r>
      <w:r w:rsidR="00015814" w:rsidRPr="009D6AF4">
        <w:instrText xml:space="preserve">. </w:instrText>
      </w:r>
      <w:r w:rsidR="00015814" w:rsidRPr="009D6AF4">
        <w:rPr>
          <w:lang w:val="en-US"/>
        </w:rPr>
        <w:instrText>Hoffmann</w:instrText>
      </w:r>
      <w:r w:rsidR="00015814" w:rsidRPr="009D6AF4">
        <w:instrText>-</w:instrText>
      </w:r>
      <w:r w:rsidR="00015814" w:rsidRPr="009D6AF4">
        <w:rPr>
          <w:lang w:val="en-US"/>
        </w:rPr>
        <w:instrText>La</w:instrText>
      </w:r>
      <w:r w:rsidR="00015814" w:rsidRPr="009D6AF4">
        <w:instrText xml:space="preserve"> </w:instrText>
      </w:r>
      <w:r w:rsidR="00015814" w:rsidRPr="009D6AF4">
        <w:rPr>
          <w:lang w:val="en-US"/>
        </w:rPr>
        <w:instrText>Roche</w:instrText>
      </w:r>
      <w:r w:rsidR="00015814" w:rsidRPr="009D6AF4">
        <w:instrText xml:space="preserve">; </w:instrText>
      </w:r>
      <w:r w:rsidR="00015814" w:rsidRPr="009D6AF4">
        <w:rPr>
          <w:lang w:val="en-US"/>
        </w:rPr>
        <w:instrText>ClinicalTrial</w:instrText>
      </w:r>
      <w:r w:rsidR="00015814" w:rsidRPr="009D6AF4">
        <w:instrText>…","</w:instrText>
      </w:r>
      <w:r w:rsidR="00015814" w:rsidRPr="009D6AF4">
        <w:rPr>
          <w:lang w:val="en-US"/>
        </w:rPr>
        <w:instrText>author</w:instrText>
      </w:r>
      <w:r w:rsidR="00015814" w:rsidRPr="009D6AF4">
        <w:instrText>":[{"</w:instrText>
      </w:r>
      <w:r w:rsidR="00015814" w:rsidRPr="009D6AF4">
        <w:rPr>
          <w:lang w:val="en-US"/>
        </w:rPr>
        <w:instrText>dropping</w:instrText>
      </w:r>
      <w:r w:rsidR="00015814" w:rsidRPr="009D6AF4">
        <w:instrText>-</w:instrText>
      </w:r>
      <w:r w:rsidR="00015814" w:rsidRPr="009D6AF4">
        <w:rPr>
          <w:lang w:val="en-US"/>
        </w:rPr>
        <w:instrText>particle</w:instrText>
      </w:r>
      <w:r w:rsidR="00015814" w:rsidRPr="009D6AF4">
        <w:instrText>":"","</w:instrText>
      </w:r>
      <w:r w:rsidR="00015814" w:rsidRPr="009D6AF4">
        <w:rPr>
          <w:lang w:val="en-US"/>
        </w:rPr>
        <w:instrText>family</w:instrText>
      </w:r>
      <w:r w:rsidR="00015814" w:rsidRPr="009D6AF4">
        <w:instrText>":"</w:instrText>
      </w:r>
      <w:r w:rsidR="00015814" w:rsidRPr="009D6AF4">
        <w:rPr>
          <w:lang w:val="en-US"/>
        </w:rPr>
        <w:instrText>Goede</w:instrText>
      </w:r>
      <w:r w:rsidR="00015814" w:rsidRPr="009D6AF4">
        <w:instrText>","</w:instrText>
      </w:r>
      <w:r w:rsidR="00015814" w:rsidRPr="009D6AF4">
        <w:rPr>
          <w:lang w:val="en-US"/>
        </w:rPr>
        <w:instrText>given</w:instrText>
      </w:r>
      <w:r w:rsidR="00015814" w:rsidRPr="009D6AF4">
        <w:instrText>":"</w:instrText>
      </w:r>
      <w:r w:rsidR="00015814" w:rsidRPr="009D6AF4">
        <w:rPr>
          <w:lang w:val="en-US"/>
        </w:rPr>
        <w:instrText>Valentin</w:instrText>
      </w:r>
      <w:r w:rsidR="00015814" w:rsidRPr="009D6AF4">
        <w:instrText>","</w:instrText>
      </w:r>
      <w:r w:rsidR="00015814" w:rsidRPr="009D6AF4">
        <w:rPr>
          <w:lang w:val="en-US"/>
        </w:rPr>
        <w:instrText>non</w:instrText>
      </w:r>
      <w:r w:rsidR="00015814" w:rsidRPr="009D6AF4">
        <w:instrText>-</w:instrText>
      </w:r>
      <w:r w:rsidR="00015814" w:rsidRPr="009D6AF4">
        <w:rPr>
          <w:lang w:val="en-US"/>
        </w:rPr>
        <w:instrText>dropping</w:instrText>
      </w:r>
      <w:r w:rsidR="00015814" w:rsidRPr="009D6AF4">
        <w:instrText>-</w:instrText>
      </w:r>
      <w:r w:rsidR="00015814" w:rsidRPr="009D6AF4">
        <w:rPr>
          <w:lang w:val="en-US"/>
        </w:rPr>
        <w:instrText>particle</w:instrText>
      </w:r>
      <w:r w:rsidR="00015814" w:rsidRPr="009D6AF4">
        <w:instrText>":"","</w:instrText>
      </w:r>
      <w:r w:rsidR="00015814" w:rsidRPr="009D6AF4">
        <w:rPr>
          <w:lang w:val="en-US"/>
        </w:rPr>
        <w:instrText>parse</w:instrText>
      </w:r>
      <w:r w:rsidR="00015814" w:rsidRPr="009D6AF4">
        <w:instrText>-</w:instrText>
      </w:r>
      <w:r w:rsidR="00015814" w:rsidRPr="009D6AF4">
        <w:rPr>
          <w:lang w:val="en-US"/>
        </w:rPr>
        <w:instrText>names</w:instrText>
      </w:r>
      <w:r w:rsidR="00015814" w:rsidRPr="009D6AF4">
        <w:instrText>":</w:instrText>
      </w:r>
      <w:r w:rsidR="00015814" w:rsidRPr="009D6AF4">
        <w:rPr>
          <w:lang w:val="en-US"/>
        </w:rPr>
        <w:instrText>false</w:instrText>
      </w:r>
      <w:r w:rsidR="00015814" w:rsidRPr="009D6AF4">
        <w:instrText>,"</w:instrText>
      </w:r>
      <w:r w:rsidR="00015814" w:rsidRPr="009D6AF4">
        <w:rPr>
          <w:lang w:val="en-US"/>
        </w:rPr>
        <w:instrText>suffix</w:instrText>
      </w:r>
      <w:r w:rsidR="00015814" w:rsidRPr="009D6AF4">
        <w:instrText>":""},{"</w:instrText>
      </w:r>
      <w:r w:rsidR="00015814" w:rsidRPr="009D6AF4">
        <w:rPr>
          <w:lang w:val="en-US"/>
        </w:rPr>
        <w:instrText>dropping</w:instrText>
      </w:r>
      <w:r w:rsidR="00015814" w:rsidRPr="009D6AF4">
        <w:instrText>-</w:instrText>
      </w:r>
      <w:r w:rsidR="00015814" w:rsidRPr="009D6AF4">
        <w:rPr>
          <w:lang w:val="en-US"/>
        </w:rPr>
        <w:instrText>particle</w:instrText>
      </w:r>
      <w:r w:rsidR="00015814" w:rsidRPr="009D6AF4">
        <w:instrText>":"","</w:instrText>
      </w:r>
      <w:r w:rsidR="00015814" w:rsidRPr="009D6AF4">
        <w:rPr>
          <w:lang w:val="en-US"/>
        </w:rPr>
        <w:instrText>family</w:instrText>
      </w:r>
      <w:r w:rsidR="00015814" w:rsidRPr="009D6AF4">
        <w:instrText>":"</w:instrText>
      </w:r>
      <w:r w:rsidR="00015814" w:rsidRPr="009D6AF4">
        <w:rPr>
          <w:lang w:val="en-US"/>
        </w:rPr>
        <w:instrText>Fischer</w:instrText>
      </w:r>
      <w:r w:rsidR="00015814" w:rsidRPr="009D6AF4">
        <w:instrText>","</w:instrText>
      </w:r>
      <w:r w:rsidR="00015814" w:rsidRPr="009D6AF4">
        <w:rPr>
          <w:lang w:val="en-US"/>
        </w:rPr>
        <w:instrText>given</w:instrText>
      </w:r>
      <w:r w:rsidR="00015814" w:rsidRPr="009D6AF4">
        <w:instrText>":"</w:instrText>
      </w:r>
      <w:r w:rsidR="00015814" w:rsidRPr="009D6AF4">
        <w:rPr>
          <w:lang w:val="en-US"/>
        </w:rPr>
        <w:instrText>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[31]","plainTextFormattedCitation":"[31]","previouslyFormattedCitation":"[31]"},"properties":{"noteIndex":0},"schema":"https://github.com/citation-style-language/schema/raw/master/csl-citation.json"}</w:instrText>
      </w:r>
      <w:r w:rsidR="000B0AC3" w:rsidRPr="009D6AF4">
        <w:rPr>
          <w:lang w:val="en-US"/>
        </w:rPr>
        <w:fldChar w:fldCharType="separate"/>
      </w:r>
      <w:r w:rsidR="00015814" w:rsidRPr="009D6AF4">
        <w:rPr>
          <w:noProof/>
        </w:rPr>
        <w:t>[31]</w:t>
      </w:r>
      <w:r w:rsidR="000B0AC3" w:rsidRPr="009D6AF4">
        <w:rPr>
          <w:lang w:val="en-US"/>
        </w:rPr>
        <w:fldChar w:fldCharType="end"/>
      </w:r>
      <w:r w:rsidR="00CD5B95" w:rsidRPr="009D6AF4">
        <w:t>.</w:t>
      </w:r>
    </w:p>
    <w:p w:rsidR="00FD0C0E" w:rsidRPr="009D6AF4" w:rsidRDefault="00900404" w:rsidP="00BE7488">
      <w:pPr>
        <w:pStyle w:val="a"/>
        <w:numPr>
          <w:ilvl w:val="0"/>
          <w:numId w:val="3"/>
        </w:numPr>
        <w:spacing w:before="0"/>
      </w:pPr>
      <w:r w:rsidRPr="009D6AF4">
        <w:t>#</w:t>
      </w:r>
      <w:r w:rsidR="004D7283" w:rsidRPr="009D6AF4">
        <w:t>Б</w:t>
      </w:r>
      <w:r w:rsidR="004D7374" w:rsidRPr="009D6AF4">
        <w:t>ендамустин</w:t>
      </w:r>
      <w:r w:rsidR="00122E4B" w:rsidRPr="009D6AF4">
        <w:t>**</w:t>
      </w:r>
      <w:r w:rsidR="00E005AA" w:rsidRPr="009D6AF4">
        <w:t xml:space="preserve"> </w:t>
      </w:r>
      <w:r w:rsidR="00E005AA" w:rsidRPr="009D6AF4">
        <w:rPr>
          <w:rFonts w:eastAsia="Times New Roman"/>
          <w:lang w:eastAsia="ru-RU"/>
        </w:rPr>
        <w:t>90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дни 1, 2</w:t>
      </w:r>
      <w:r w:rsidR="004D7374" w:rsidRPr="009D6AF4">
        <w:t xml:space="preserve"> </w:t>
      </w:r>
      <w:r w:rsidR="00CD5B95" w:rsidRPr="009D6AF4">
        <w:t>±</w:t>
      </w:r>
      <w:r w:rsidR="004D7374" w:rsidRPr="009D6AF4">
        <w:t xml:space="preserve"> ритуксимаб</w:t>
      </w:r>
      <w:r w:rsidR="00122E4B" w:rsidRPr="009D6AF4">
        <w:t>**</w:t>
      </w:r>
      <w:r w:rsidR="00E005AA" w:rsidRPr="009D6AF4">
        <w:t xml:space="preserve"> </w:t>
      </w:r>
      <w:r w:rsidR="00E005AA" w:rsidRPr="009D6AF4">
        <w:rPr>
          <w:rFonts w:eastAsia="Times New Roman"/>
          <w:lang w:eastAsia="ru-RU"/>
        </w:rPr>
        <w:t>1 цикл: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последующие циклы: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EA3851">
        <w:rPr>
          <w:rFonts w:eastAsia="Times New Roman"/>
          <w:lang w:eastAsia="ru-RU"/>
        </w:rPr>
        <w:t>1400 мг п/к</w:t>
      </w:r>
      <w:r w:rsidR="00E005AA" w:rsidRPr="009D6AF4">
        <w:rPr>
          <w:rFonts w:eastAsia="Times New Roman"/>
          <w:lang w:eastAsia="ru-RU"/>
        </w:rPr>
        <w:t>, день 1. Лечение возобновляется на 29-й день</w:t>
      </w:r>
      <w:r w:rsidR="00B41E37" w:rsidRPr="009D6AF4">
        <w:t xml:space="preserve"> </w:t>
      </w:r>
      <w:r w:rsidR="000B0AC3" w:rsidRPr="009D6AF4">
        <w:fldChar w:fldCharType="begin" w:fldLock="1"/>
      </w:r>
      <w:r w:rsidR="00015814" w:rsidRPr="009D6AF4">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trial","type":"article-journal","volume":"17"},"uris":["http://www.mendeley.com/documents/?uuid=fc0ae7be-9495-395f-85b3-71003e5d4ed2"]},{"id":"ITEM-3","itemData":{"DOI":"10.3324/haematol.2017.170480","ISSN":"15928721","abstract":"©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-3","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[25,26,32]","plainTextFormattedCitation":"[25,26,32]","previouslyFormattedCitation":"[25,26,32]"},"properties":{"noteIndex":0},"schema":"https://github.com/citation-style-language/schema/raw/master/csl-citation.json"}</w:instrText>
      </w:r>
      <w:r w:rsidR="000B0AC3" w:rsidRPr="009D6AF4">
        <w:fldChar w:fldCharType="separate"/>
      </w:r>
      <w:r w:rsidR="00015814" w:rsidRPr="009D6AF4">
        <w:rPr>
          <w:noProof/>
        </w:rPr>
        <w:t>[25,26,32]</w:t>
      </w:r>
      <w:r w:rsidR="000B0AC3" w:rsidRPr="009D6AF4">
        <w:fldChar w:fldCharType="end"/>
      </w:r>
      <w:r w:rsidR="00CD5B95" w:rsidRPr="009D6AF4">
        <w:t>.</w:t>
      </w:r>
    </w:p>
    <w:p w:rsidR="0016133E" w:rsidRPr="009D6AF4" w:rsidRDefault="00924BCE" w:rsidP="00BE7488">
      <w:pPr>
        <w:pStyle w:val="a"/>
        <w:numPr>
          <w:ilvl w:val="0"/>
          <w:numId w:val="3"/>
        </w:numPr>
        <w:spacing w:before="0"/>
      </w:pPr>
      <w:r w:rsidRPr="009D6AF4">
        <w:t>И</w:t>
      </w:r>
      <w:r w:rsidR="004D7374" w:rsidRPr="009D6AF4">
        <w:t>брутиниб</w:t>
      </w:r>
      <w:r w:rsidR="00667887" w:rsidRPr="009D6AF4">
        <w:t>**</w:t>
      </w:r>
      <w:r w:rsidR="00E005AA" w:rsidRPr="009D6AF4">
        <w:t xml:space="preserve"> </w:t>
      </w:r>
      <w:r w:rsidR="00E005AA" w:rsidRPr="009D6AF4">
        <w:rPr>
          <w:lang w:eastAsia="ru-RU"/>
        </w:rPr>
        <w:t>420 мг/сут (3 капсулы) внутрь 1 раз в день, ежедневно</w:t>
      </w:r>
      <w:r w:rsidRPr="009D6AF4">
        <w:t xml:space="preserve"> </w:t>
      </w:r>
      <w:r w:rsidR="00CD5B95" w:rsidRPr="009D6AF4">
        <w:t>±</w:t>
      </w:r>
      <w:r w:rsidRPr="009D6AF4">
        <w:t xml:space="preserve"> ритуксимаб**</w:t>
      </w:r>
      <w:r w:rsidR="00E005AA" w:rsidRPr="009D6AF4">
        <w:t xml:space="preserve"> </w:t>
      </w:r>
      <w:r w:rsidR="00E005AA" w:rsidRPr="009D6AF4">
        <w:rPr>
          <w:rFonts w:eastAsia="Times New Roman"/>
          <w:lang w:eastAsia="ru-RU"/>
        </w:rPr>
        <w:t>50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цикла 2;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2 цикла 2;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w:t>
      </w:r>
      <w:r w:rsidR="00EA3851">
        <w:rPr>
          <w:rFonts w:eastAsia="Times New Roman"/>
          <w:lang w:eastAsia="ru-RU"/>
        </w:rPr>
        <w:t>1400 мг п/к</w:t>
      </w:r>
      <w:r w:rsidR="00E005AA" w:rsidRPr="009D6AF4">
        <w:rPr>
          <w:rFonts w:eastAsia="Times New Roman"/>
          <w:lang w:eastAsia="ru-RU"/>
        </w:rPr>
        <w:t>, день 1 циклов 3–7, лечение возобновляется на 29-й день</w:t>
      </w:r>
      <w:r w:rsidR="00E005AA" w:rsidRPr="009D6AF4">
        <w:t xml:space="preserve"> </w:t>
      </w:r>
      <w:r w:rsidR="000B0AC3" w:rsidRPr="009D6AF4">
        <w:fldChar w:fldCharType="begin" w:fldLock="1"/>
      </w:r>
      <w:r w:rsidR="00015814" w:rsidRPr="009D6AF4">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Study","type":"paper-conference"},"uris":["http://www.mendeley.com/documents/?uuid=389d0e9a-2ec2-4a92-bba9-2ecfa09ba91e"]},{"id":"ITEM-3","itemData":{"DOI":"10.1056/NEJMoa1812836","ISSN":"1533-4406","PMID":"30501481","abstract":"BACKGROUND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medicine","id":"ITEM-3","issue":"26","issued":{"date-parts":[["2018"]]},"page":"2517-2528","title":"Ibrutinib Regimens versus Chemoimmunotherapy in Older Patients with Untreated CLL.","type":"article-journal","volume":"379"},"uris":["http://www.mendeley.com/documents/?uuid=2dad136c-8d53-3f5e-8a11-7445e6ee5cdf"]}],"mendeley":{"formattedCitation":"[33–35]","plainTextFormattedCitation":"[33–35]","previouslyFormattedCitation":"[33–35]"},"properties":{"noteIndex":0},"schema":"https://github.com/citation-style-language/schema/raw/master/csl-citation.json"}</w:instrText>
      </w:r>
      <w:r w:rsidR="000B0AC3" w:rsidRPr="009D6AF4">
        <w:fldChar w:fldCharType="separate"/>
      </w:r>
      <w:r w:rsidR="00015814" w:rsidRPr="009D6AF4">
        <w:rPr>
          <w:noProof/>
        </w:rPr>
        <w:t>[33–35]</w:t>
      </w:r>
      <w:r w:rsidR="000B0AC3" w:rsidRPr="009D6AF4">
        <w:fldChar w:fldCharType="end"/>
      </w:r>
      <w:r w:rsidR="00CD5B95" w:rsidRPr="009D6AF4">
        <w:t>.</w:t>
      </w:r>
    </w:p>
    <w:p w:rsidR="00924BCE" w:rsidRPr="00055701" w:rsidRDefault="004D7283" w:rsidP="00AC39FB">
      <w:pPr>
        <w:numPr>
          <w:ilvl w:val="0"/>
          <w:numId w:val="3"/>
        </w:numPr>
        <w:contextualSpacing/>
      </w:pPr>
      <w:r w:rsidRPr="009D6AF4">
        <w:t>Р</w:t>
      </w:r>
      <w:r w:rsidR="004D7374" w:rsidRPr="009D6AF4">
        <w:t>ежим FCR-Lite</w:t>
      </w:r>
      <w:r w:rsidR="00E005AA" w:rsidRPr="009D6AF4">
        <w:t xml:space="preserve"> (</w:t>
      </w:r>
      <w:r w:rsidR="00AC39FB" w:rsidRPr="009D6AF4">
        <w:rPr>
          <w:rFonts w:eastAsia="Times New Roman"/>
          <w:lang w:eastAsia="ru-RU"/>
        </w:rPr>
        <w:t>ритуксимаб</w:t>
      </w:r>
      <w:r w:rsidR="00E005AA" w:rsidRPr="009D6AF4">
        <w:rPr>
          <w:rFonts w:eastAsia="Times New Roman"/>
          <w:lang w:eastAsia="ru-RU"/>
        </w:rPr>
        <w:t>** – 1 цикл: 375 мг/м</w:t>
      </w:r>
      <w:r w:rsidR="00E005AA" w:rsidRPr="009D6AF4">
        <w:rPr>
          <w:rFonts w:eastAsia="Times New Roman"/>
          <w:vertAlign w:val="superscript"/>
          <w:lang w:eastAsia="ru-RU"/>
        </w:rPr>
        <w:t>2</w:t>
      </w:r>
      <w:r w:rsidR="00E005AA" w:rsidRPr="009D6AF4">
        <w:rPr>
          <w:rFonts w:eastAsia="Times New Roman"/>
          <w:lang w:eastAsia="ru-RU"/>
        </w:rPr>
        <w:t xml:space="preserve"> в/в кап., день 1, последующие циклы: 500 мг/м</w:t>
      </w:r>
      <w:r w:rsidR="00E005AA" w:rsidRPr="009D6AF4">
        <w:rPr>
          <w:rFonts w:eastAsia="Times New Roman"/>
          <w:vertAlign w:val="superscript"/>
          <w:lang w:eastAsia="ru-RU"/>
        </w:rPr>
        <w:t>2</w:t>
      </w:r>
      <w:r w:rsidR="00E005AA" w:rsidRPr="009D6AF4">
        <w:rPr>
          <w:rFonts w:eastAsia="Times New Roman"/>
          <w:lang w:eastAsia="ru-RU"/>
        </w:rPr>
        <w:t xml:space="preserve"> в/в кап. или 1</w:t>
      </w:r>
      <w:r w:rsidR="005B4044">
        <w:rPr>
          <w:rFonts w:eastAsia="Times New Roman"/>
          <w:lang w:eastAsia="ru-RU"/>
        </w:rPr>
        <w:t>4</w:t>
      </w:r>
      <w:r w:rsidR="00E005AA" w:rsidRPr="009D6AF4">
        <w:rPr>
          <w:rFonts w:eastAsia="Times New Roman"/>
          <w:lang w:eastAsia="ru-RU"/>
        </w:rPr>
        <w:t xml:space="preserve">00 мг п/к, </w:t>
      </w:r>
      <w:r w:rsidR="009D6AF4" w:rsidRPr="009D6AF4">
        <w:rPr>
          <w:rFonts w:eastAsia="Times New Roman"/>
          <w:lang w:eastAsia="ru-RU"/>
        </w:rPr>
        <w:t>день 1</w:t>
      </w:r>
      <w:r w:rsidR="00E005AA" w:rsidRPr="009D6AF4">
        <w:rPr>
          <w:rFonts w:eastAsia="Times New Roman"/>
          <w:lang w:eastAsia="ru-RU"/>
        </w:rPr>
        <w:t xml:space="preserve">; </w:t>
      </w:r>
      <w:r w:rsidR="00AC39FB" w:rsidRPr="009D6AF4">
        <w:rPr>
          <w:rFonts w:eastAsia="Times New Roman"/>
          <w:lang w:eastAsia="ru-RU"/>
        </w:rPr>
        <w:t>флударабин</w:t>
      </w:r>
      <w:r w:rsidR="00E005AA" w:rsidRPr="009D6AF4">
        <w:rPr>
          <w:rFonts w:eastAsia="Times New Roman"/>
          <w:lang w:eastAsia="ru-RU"/>
        </w:rPr>
        <w:t>** – 20 мг/м</w:t>
      </w:r>
      <w:r w:rsidR="00E005AA" w:rsidRPr="009D6AF4">
        <w:rPr>
          <w:rFonts w:eastAsia="Times New Roman"/>
          <w:vertAlign w:val="superscript"/>
          <w:lang w:eastAsia="ru-RU"/>
        </w:rPr>
        <w:t>2</w:t>
      </w:r>
      <w:r w:rsidR="00E005AA" w:rsidRPr="009D6AF4">
        <w:rPr>
          <w:rFonts w:eastAsia="Times New Roman"/>
          <w:lang w:eastAsia="ru-RU"/>
        </w:rPr>
        <w:t xml:space="preserve"> внутрь, </w:t>
      </w:r>
      <w:r w:rsidR="00E005AA" w:rsidRPr="009D6AF4">
        <w:rPr>
          <w:rFonts w:eastAsia="Times New Roman"/>
          <w:lang w:eastAsia="ru-RU"/>
        </w:rPr>
        <w:lastRenderedPageBreak/>
        <w:t xml:space="preserve">дни 1–3; </w:t>
      </w:r>
      <w:r w:rsidR="00AC39FB" w:rsidRPr="00055701">
        <w:rPr>
          <w:rFonts w:eastAsia="Times New Roman"/>
          <w:lang w:eastAsia="ru-RU"/>
        </w:rPr>
        <w:t>циклофосфамид</w:t>
      </w:r>
      <w:r w:rsidR="00E005AA" w:rsidRPr="00055701">
        <w:rPr>
          <w:rFonts w:eastAsia="Times New Roman"/>
          <w:lang w:eastAsia="ru-RU"/>
        </w:rPr>
        <w:t>** – 150 мг/м</w:t>
      </w:r>
      <w:r w:rsidR="00E005AA" w:rsidRPr="00055701">
        <w:rPr>
          <w:rFonts w:eastAsia="Times New Roman"/>
          <w:vertAlign w:val="superscript"/>
          <w:lang w:eastAsia="ru-RU"/>
        </w:rPr>
        <w:t>2</w:t>
      </w:r>
      <w:r w:rsidR="00E005AA" w:rsidRPr="00055701">
        <w:rPr>
          <w:rFonts w:eastAsia="Times New Roman"/>
          <w:lang w:eastAsia="ru-RU"/>
        </w:rPr>
        <w:t xml:space="preserve"> внутрь, дни 1–3. Лечение возобновляется на 29-й день) </w:t>
      </w:r>
      <w:r w:rsidR="004D7374" w:rsidRPr="00055701">
        <w:t xml:space="preserve"> </w:t>
      </w:r>
      <w:r w:rsidR="000B0AC3" w:rsidRPr="00055701">
        <w:fldChar w:fldCharType="begin" w:fldLock="1"/>
      </w:r>
      <w:r w:rsidR="00015814" w:rsidRPr="00055701">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[36]","plainTextFormattedCitation":"[36]","previouslyFormattedCitation":"[36]"},"properties":{"noteIndex":0},"schema":"https://github.com/citation-style-language/schema/raw/master/csl-citation.json"}</w:instrText>
      </w:r>
      <w:r w:rsidR="000B0AC3" w:rsidRPr="00055701">
        <w:fldChar w:fldCharType="separate"/>
      </w:r>
      <w:r w:rsidR="00015814" w:rsidRPr="00055701">
        <w:rPr>
          <w:noProof/>
        </w:rPr>
        <w:t>[36]</w:t>
      </w:r>
      <w:r w:rsidR="000B0AC3" w:rsidRPr="00055701">
        <w:fldChar w:fldCharType="end"/>
      </w:r>
      <w:r w:rsidR="00CD5B95" w:rsidRPr="00055701">
        <w:t>.</w:t>
      </w:r>
    </w:p>
    <w:p w:rsidR="004D7374" w:rsidRPr="00C348F4" w:rsidRDefault="0058595A" w:rsidP="00BE7488">
      <w:pPr>
        <w:pStyle w:val="a"/>
        <w:numPr>
          <w:ilvl w:val="0"/>
          <w:numId w:val="3"/>
        </w:numPr>
        <w:spacing w:before="0"/>
      </w:pPr>
      <w:r w:rsidRPr="00055701">
        <w:t>Хлорамбуцил**</w:t>
      </w:r>
      <w:r w:rsidR="00451C55" w:rsidRPr="00055701">
        <w:t xml:space="preserve"> </w:t>
      </w:r>
      <w:r w:rsidR="00451C55" w:rsidRPr="009600FA">
        <w:rPr>
          <w:rFonts w:eastAsia="Times New Roman"/>
          <w:lang w:eastAsia="ru-RU"/>
        </w:rPr>
        <w:t>10 мг/м</w:t>
      </w:r>
      <w:r w:rsidR="00451C55" w:rsidRPr="009600FA">
        <w:rPr>
          <w:rFonts w:eastAsia="Times New Roman"/>
          <w:vertAlign w:val="superscript"/>
          <w:lang w:eastAsia="ru-RU"/>
        </w:rPr>
        <w:t>2</w:t>
      </w:r>
      <w:r w:rsidR="00451C55">
        <w:rPr>
          <w:rFonts w:eastAsia="Times New Roman"/>
          <w:lang w:eastAsia="ru-RU"/>
        </w:rPr>
        <w:t xml:space="preserve"> внутрь, дни 1–</w:t>
      </w:r>
      <w:r w:rsidR="00451C55" w:rsidRPr="009600FA">
        <w:rPr>
          <w:rFonts w:eastAsia="Times New Roman"/>
          <w:lang w:eastAsia="ru-RU"/>
        </w:rPr>
        <w:t>7</w:t>
      </w:r>
      <w:r w:rsidRPr="005C7FBA">
        <w:t xml:space="preserve"> + ритуксимаб**</w:t>
      </w:r>
      <w:r w:rsidR="00451C55">
        <w:t xml:space="preserve"> </w:t>
      </w:r>
      <w:r w:rsidR="00451C55" w:rsidRPr="009600FA">
        <w:rPr>
          <w:rFonts w:eastAsia="Times New Roman"/>
          <w:lang w:eastAsia="ru-RU"/>
        </w:rPr>
        <w:t>1 цикл</w:t>
      </w:r>
      <w:r w:rsidR="00451C55">
        <w:rPr>
          <w:rFonts w:eastAsia="Times New Roman"/>
          <w:lang w:eastAsia="ru-RU"/>
        </w:rPr>
        <w:t>:</w:t>
      </w:r>
      <w:r w:rsidR="00451C55" w:rsidRPr="009600FA">
        <w:rPr>
          <w:rFonts w:eastAsia="Times New Roman"/>
          <w:lang w:eastAsia="ru-RU"/>
        </w:rPr>
        <w:t xml:space="preserve"> 375 мг/м</w:t>
      </w:r>
      <w:r w:rsidR="00451C55" w:rsidRPr="009600FA">
        <w:rPr>
          <w:rFonts w:eastAsia="Times New Roman"/>
          <w:vertAlign w:val="superscript"/>
          <w:lang w:eastAsia="ru-RU"/>
        </w:rPr>
        <w:t>2</w:t>
      </w:r>
      <w:r w:rsidR="00451C55" w:rsidRPr="009600FA">
        <w:rPr>
          <w:rFonts w:eastAsia="Times New Roman"/>
          <w:lang w:eastAsia="ru-RU"/>
        </w:rPr>
        <w:t xml:space="preserve"> в/в кап., день 1, последующие циклы</w:t>
      </w:r>
      <w:r w:rsidR="00451C55">
        <w:rPr>
          <w:rFonts w:eastAsia="Times New Roman"/>
          <w:lang w:eastAsia="ru-RU"/>
        </w:rPr>
        <w:t>:</w:t>
      </w:r>
      <w:r w:rsidR="00451C55" w:rsidRPr="009600FA">
        <w:rPr>
          <w:rFonts w:eastAsia="Times New Roman"/>
          <w:lang w:eastAsia="ru-RU"/>
        </w:rPr>
        <w:t xml:space="preserve"> 500 мг/м</w:t>
      </w:r>
      <w:r w:rsidR="00451C55" w:rsidRPr="009600FA">
        <w:rPr>
          <w:rFonts w:eastAsia="Times New Roman"/>
          <w:vertAlign w:val="superscript"/>
          <w:lang w:eastAsia="ru-RU"/>
        </w:rPr>
        <w:t>2</w:t>
      </w:r>
      <w:r w:rsidR="00451C55" w:rsidRPr="009600FA">
        <w:rPr>
          <w:rFonts w:eastAsia="Times New Roman"/>
          <w:lang w:eastAsia="ru-RU"/>
        </w:rPr>
        <w:t xml:space="preserve"> в/в </w:t>
      </w:r>
      <w:r w:rsidR="00451C55" w:rsidRPr="00C348F4">
        <w:rPr>
          <w:rFonts w:eastAsia="Times New Roman"/>
          <w:lang w:eastAsia="ru-RU"/>
        </w:rPr>
        <w:t xml:space="preserve">кап. или </w:t>
      </w:r>
      <w:r w:rsidR="00EA3851">
        <w:rPr>
          <w:rFonts w:eastAsia="Times New Roman"/>
          <w:lang w:eastAsia="ru-RU"/>
        </w:rPr>
        <w:t>1400 мг п/к</w:t>
      </w:r>
      <w:r w:rsidR="00451C55" w:rsidRPr="00C348F4">
        <w:rPr>
          <w:rFonts w:eastAsia="Times New Roman"/>
          <w:lang w:eastAsia="ru-RU"/>
        </w:rPr>
        <w:t>, день 1. Лечение возобновляется на 29-й день</w:t>
      </w:r>
      <w:r w:rsidRPr="00C348F4">
        <w:t xml:space="preserve"> </w:t>
      </w:r>
      <w:r w:rsidR="000B0AC3" w:rsidRPr="00C348F4">
        <w:fldChar w:fldCharType="begin" w:fldLock="1"/>
      </w:r>
      <w:r w:rsidR="00015814" w:rsidRPr="00C348F4">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[37,38]","plainTextFormattedCitation":"[37,38]","previouslyFormattedCitation":"[37,38]"},"properties":{"noteIndex":0},"schema":"https://github.com/citation-style-language/schema/raw/master/csl-citation.json"}</w:instrText>
      </w:r>
      <w:r w:rsidR="000B0AC3" w:rsidRPr="00C348F4">
        <w:fldChar w:fldCharType="separate"/>
      </w:r>
      <w:r w:rsidR="00015814" w:rsidRPr="00C348F4">
        <w:rPr>
          <w:noProof/>
        </w:rPr>
        <w:t>[37,38]</w:t>
      </w:r>
      <w:r w:rsidR="000B0AC3" w:rsidRPr="00C348F4">
        <w:fldChar w:fldCharType="end"/>
      </w:r>
      <w:r w:rsidR="00CD5B95" w:rsidRPr="00C348F4">
        <w:t>.</w:t>
      </w:r>
    </w:p>
    <w:p w:rsidR="00B549A0" w:rsidRPr="00C348F4" w:rsidRDefault="00AC39FB" w:rsidP="00BE7488">
      <w:pPr>
        <w:pStyle w:val="a"/>
        <w:numPr>
          <w:ilvl w:val="0"/>
          <w:numId w:val="3"/>
        </w:numPr>
        <w:spacing w:before="0"/>
      </w:pPr>
      <w:bookmarkStart w:id="47" w:name="_Hlk16594357"/>
      <w:r w:rsidRPr="00C348F4">
        <w:t>#В</w:t>
      </w:r>
      <w:r w:rsidR="00B549A0" w:rsidRPr="00C348F4">
        <w:t xml:space="preserve">енетоклакс </w:t>
      </w:r>
      <w:r w:rsidR="00451C55" w:rsidRPr="00C348F4">
        <w:rPr>
          <w:lang w:eastAsia="ru-RU"/>
        </w:rPr>
        <w:t xml:space="preserve">20 мг/сут, дни 22–28 цикла 1; 50 мг/сут дни 1–7 цикла 2; 100 мг/сут дни 8–14 цикла 2; 200 мг/сут дни 15–21 цикла 2; 400 мг/сут дни 22–28 цикла 2, далее 400 мг/сут в течение 12 </w:t>
      </w:r>
      <w:r w:rsidR="00451C55" w:rsidRPr="00C348F4">
        <w:rPr>
          <w:szCs w:val="24"/>
        </w:rPr>
        <w:t>мес</w:t>
      </w:r>
      <w:r w:rsidR="00451C55" w:rsidRPr="00C348F4">
        <w:t xml:space="preserve"> </w:t>
      </w:r>
      <w:r w:rsidR="00B549A0" w:rsidRPr="00C348F4">
        <w:t>+ обинутузумаб</w:t>
      </w:r>
      <w:r w:rsidR="005C7FBA" w:rsidRPr="00C348F4">
        <w:t>**</w:t>
      </w:r>
      <w:bookmarkEnd w:id="47"/>
      <w:r w:rsidR="00451C55" w:rsidRPr="00C348F4">
        <w:t xml:space="preserve"> </w:t>
      </w:r>
      <w:r w:rsidR="00451C55" w:rsidRPr="00C348F4">
        <w:rPr>
          <w:lang w:eastAsia="ru-RU"/>
        </w:rPr>
        <w:t xml:space="preserve">100 мг, день 1 цикла 1; 900 мг день 2 цикла 1; 1000 мг день 8 цикла 1; 1000 мг день 15 цикла 1; 1000 мг день 1 цикла 2; 1000 мг день 1 циклов 3–6 </w:t>
      </w:r>
      <w:r w:rsidR="000B0AC3" w:rsidRPr="00C348F4">
        <w:fldChar w:fldCharType="begin" w:fldLock="1"/>
      </w:r>
      <w:r w:rsidR="00015814" w:rsidRPr="00C348F4">
        <w:instrText>ADDIN CSL_CITATION {"citationItems":[{"id":"ITEM-1","itemData":{"DOI":"10.1056/NEJMoa1815281","ISSN":"1533-4406","PMID":"31166681","abstract":"BACKGROUND The BCL2 inhibitor venetoclax has shown activity in patients with chronic lymphocytic leukemia (CLL), but its efficacy in combination with other agents in patients with CLL and coexisting conditions is not known. METHODS In this open-label, phase 3 trial, we investigated fixed-duration treatment with venetoclax and obinutuzumab in patients with previously untreated CLL and coexisting conditions. Patients with a score of greater than 6 on the Cumulative Illness Rating Scale (scores range from 0 to 56, with higher scores indicating more impaired function of organ systems) or a calculated creatinine clearance of less than 70 ml per minute were randomly assigned to receive venetoclax-obinutuzumab or chlorambucil-obinutuzumab. The primary end point was investigator-assessed progression-free survival. The safety of each regimen was also evaluated. RESULTS In total, 432 patients (median age, 72 years; median Cumulative Illness Rating Scale score, 8; median creatinine clearance, 66.4 ml per minute) underwent randomization, with 216 assigned to each group. After a median follow-up of 28.1 months, 30 primary end-point events (disease progression or death) had occurred in the venetoclax-obinutuzumab group and 77 had occurred in the chlorambucil-obinutuzumab group (hazard ratio, 0.35; 95% confidence interval [CI], 0.23 to 0.53; P&lt;0.001). The Kaplan-Meier estimate of the percentage of patients with progression-free survival at 24 months was significantly higher in the venetoclax-obinutuzumab group than in the chlorambucil-obinutuzumab group: 88.2% (95% CI, 83.7 to 92.6) as compared with 64.1% (95% CI, 57.4 to 70.8). This benefit was also observed in patients with TP53 deletion, mutation, or both and in patients with unmutated immunoglobulin heavy-chain genes. Grade 3 or 4 neutropenia occurred in 52.8% of patients in the venetoclax-obinutuzumab group and in 48.1% of patients in the chlorambucil-obinutuzumab group, and grade 3 or 4 infections occurred in 17.5% and 15.0%, respectively. All-cause mortality was 9.3% in the venetoclax-obinutuzumab group and 7.9% in the chlorambucil-obinutuzumab group. These differences were not significant. CONCLUSIONS Among patients with untreated CLL and coexisting conditions, venetoclax-obinutuzumab was associated with longer progression-free survival than chlorambucil-obinutuzumab. (Funded by F. Hoffmann-La Roche and AbbVie; ClinicalTrials.gov number, NCT02242942.).","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medicine","id":"ITEM-1","issue":"23","issued":{"date-parts":[["2019"]]},"page":"2225-2236","title":"Venetoclax and Obinutuzumab in Patients with CLL and Coexisting Conditions.","type":"article-journal","volume":"380"},"uris":["http://www.mendeley.com/documents/?uuid=a0affb4b-6980-32ef-bb14-19803b6f2624"]}],"mendeley":{"formattedCitation":"[39]","plainTextFormattedCitation":"[39]","previouslyFormattedCitation":"[39]"},"properties":{"noteIndex":0},"schema":"https://github.com/citation-style-language/schema/raw/master/csl-citation.json"}</w:instrText>
      </w:r>
      <w:r w:rsidR="000B0AC3" w:rsidRPr="00C348F4">
        <w:fldChar w:fldCharType="separate"/>
      </w:r>
      <w:r w:rsidR="00015814" w:rsidRPr="00C348F4">
        <w:rPr>
          <w:noProof/>
        </w:rPr>
        <w:t>[39]</w:t>
      </w:r>
      <w:r w:rsidR="000B0AC3" w:rsidRPr="00C348F4">
        <w:fldChar w:fldCharType="end"/>
      </w:r>
      <w:r w:rsidR="00CD5B95" w:rsidRPr="00C348F4">
        <w:t>.</w:t>
      </w:r>
    </w:p>
    <w:p w:rsidR="00EC5A18" w:rsidRPr="00C348F4" w:rsidRDefault="00AC39FB" w:rsidP="00BE7488">
      <w:pPr>
        <w:pStyle w:val="a"/>
        <w:numPr>
          <w:ilvl w:val="0"/>
          <w:numId w:val="3"/>
        </w:numPr>
        <w:spacing w:before="0"/>
      </w:pPr>
      <w:r w:rsidRPr="00C348F4">
        <w:t>В</w:t>
      </w:r>
      <w:r w:rsidR="00EC5A18" w:rsidRPr="00C348F4">
        <w:t>енетоклакс</w:t>
      </w:r>
      <w:r w:rsidR="00F0422A" w:rsidRPr="00C348F4">
        <w:t xml:space="preserve"> </w:t>
      </w:r>
      <w:r w:rsidR="00CD5B95" w:rsidRPr="00C348F4">
        <w:t xml:space="preserve">в режиме </w:t>
      </w:r>
      <w:r w:rsidR="0048027B" w:rsidRPr="00C348F4">
        <w:t>монотерапи</w:t>
      </w:r>
      <w:r w:rsidR="00CD5B95" w:rsidRPr="00C348F4">
        <w:t xml:space="preserve">и </w:t>
      </w:r>
      <w:r w:rsidR="00451C55" w:rsidRPr="00C348F4">
        <w:rPr>
          <w:lang w:eastAsia="ru-RU"/>
        </w:rPr>
        <w:t>20 мг/сут (нед. 1), 50 мг/сут (нед. 2), 100 мг/сут (нед. 3), 200 мг/сут (нед. 4), 400 мг/сут (нед. 5 и далее), до прогрессирования или развития непереносимой токсичности</w:t>
      </w:r>
      <w:r w:rsidR="00451C55" w:rsidRPr="00C348F4">
        <w:t xml:space="preserve"> </w:t>
      </w:r>
      <w:r w:rsidR="00577F69" w:rsidRPr="00C348F4">
        <w:t>–</w:t>
      </w:r>
      <w:r w:rsidR="00BC77DD" w:rsidRPr="00C348F4">
        <w:t xml:space="preserve"> пациентам,</w:t>
      </w:r>
      <w:r w:rsidR="00646FFF" w:rsidRPr="00C348F4">
        <w:t xml:space="preserve"> </w:t>
      </w:r>
      <w:r w:rsidR="00BC77DD" w:rsidRPr="00C348F4">
        <w:t xml:space="preserve">которым лечение ибрутинибом** не может быть назначено </w:t>
      </w:r>
      <w:r w:rsidR="000B0AC3" w:rsidRPr="00C348F4">
        <w:fldChar w:fldCharType="begin" w:fldLock="1"/>
      </w:r>
      <w:r w:rsidR="00015814" w:rsidRPr="00C348F4">
        <w:instrText>ADDIN CSL_CITATION {"citationItems":[{"id":"ITEM-1","itemData":{"DOI":"10.1016/S1470-2045(17)30909-9","ISSN":"1474-5488","PMID":"29246803","abstract":"BACKGROUND Therapy targeting Bruton's tyrosine kinase (BTK) with ibrutinib has transformed the treatment of chronic lymphocytic leukaemia. However, patients who are refractory to or relapse after ibrutinib therapy have poor outcomes. Venetoclax is a selective, orally bioavailable inhibitor of BCL-2 active in previously treated patients with relapsed or refractory chronic lymphocytic leukaemia. In this study, we assessed the activity and safety of venetoclax in patients with chronic lymphocytic leukaemia who are refractory to or relapse during or after ibrutinib therapy. METHODS In this interim analysis of a multicentre, open-label, non-randomised, phase 2 trial, we enrolled patients aged 18 years or older with a documented diagnosis of chronic lymphocytic leukaemia according to the 2008 International Workshop on Chronic Lymphocytic Leukemia (IWCLL) criteria and an Eastern Cooperative Oncology Group performance score of 2 or lower. All patients had relapsed or refractory disease after previous treatment with a BCR signalling pathway inhibitor. All patients were screened for Richter's transformation and cases confirmed by biopsy were excluded. Eligible patients received oral venetoclax, starting at 20 mg per day with stepwise dose ramp-up over 5 weeks to 400 mg per day. Patients with rapidly progressing disease received an accelerated dosing schedule (to 400 mg per day by week 3). The primary endpoint was overall response, defined as the proportion of patients with an overall response per investigator's assessment according to IWCLL criteria. All patients who received at least one dose of venetoclax were included in the activity and safety analyses. This study is ongoing; data for this interim analysis were collected per regulatory agencies' request as of June 30, 2017. This trial is registered with ClinicalTrials.gov, number NCT02141282. FINDINGS Between September, 2014, and November, 2016, 127 previously treated patients with relapsed or refractory chronic lymphocytic leukaemia were enrolled from 15 sites across the USA. 91 patients had received ibrutinib as the last BCR inhibitor therapy before enrolment, 43 of whom were enrolled in the main cohort and 48 in the expansion cohort recruited later after a protocol amendment. At the time of analysis, the median follow-up was 14 months (IQR 8-18) for all 91 patients, 19 months (9-27) for the main cohort, and 12 months (8-15) for the expansion cohort. 59 (65%, 95% CI 53-74) of 91 patients had an overall resp…","author":[{"dropping-particle":"","family":"Jones","given":"Jeffrey A","non-dropping-particle":"","parse-names":false,"suffix":""},{"dropping-particle":"","family":"Mato","given":"Anthony R","non-dropping-particle":"","parse-names":false,"suffix":""},{"dropping-particle":"","family":"Wierda","given":"William G","non-dropping-particle":"","parse-names":false,"suffix":""},{"dropping-particle":"","family":"Davids","given":"Matthew S","non-dropping-particle":"","parse-names":false,"suffix":""},{"dropping-particle":"","family":"Choi","given":"Michael","non-dropping-particle":"","parse-names":false,"suffix":""},{"dropping-particle":"","family":"Cheson","given":"Bruce D","non-dropping-particle":"","parse-names":false,"suffix":""},{"dropping-particle":"","family":"Furman","given":"Richard R","non-dropping-particle":"","parse-names":false,"suffix":""},{"dropping-particle":"","family":"Lamanna","given":"Nicole","non-dropping-particle":"","parse-names":false,"suffix":""},{"dropping-particle":"","family":"Barr","given":"Paul M","non-dropping-particle":"","parse-names":false,"suffix":""},{"dropping-particle":"","family":"Zhou","given":"Lang","non-dropping-particle":"","parse-names":false,"suffix":""},{"dropping-particle":"","family":"Chyla","given":"Brenda","non-dropping-particle":"","parse-names":false,"suffix":""},{"dropping-particle":"","family":"Salem","given":"Ahmed Hamed","non-dropping-particle":"","parse-names":false,"suffix":""},{"dropping-particle":"","family":"Verdugo","given":"Maria","non-dropping-particle":"","parse-names":false,"suffix":""},{"dropping-particle":"","family":"Humerickhouse","given":"Rod A","non-dropping-particle":"","parse-names":false,"suffix":""},{"dropping-particle":"","family":"Potluri","given":"Jalaja","non-dropping-particle":"","parse-names":false,"suffix":""},{"dropping-particle":"","family":"Coutre","given":"Steven","non-dropping-particle":"","parse-names":false,"suffix":""},{"dropping-particle":"","family":"Woyach","given":"Jennifer","non-dropping-particle":"","parse-names":false,"suffix":""},{"dropping-particle":"","family":"Byrd","given":"John C","non-dropping-particle":"","parse-names":false,"suffix":""}],"container-title":"The Lancet. Oncology","id":"ITEM-1","issue":"1","issued":{"date-parts":[["2018"]]},"page":"65-75","title":"Venetoclax for chronic lymphocytic leukaemia progressing after ibrutinib: an interim analysis of a multicentre, open-label, phase 2 trial.","type":"article-journal","volume":"19"},"uris":["http://www.mendeley.com/documents/?uuid=3dd806e5-0269-3ea1-9f80-c440def264be"]}],"mendeley":{"formattedCitation":"[40]","plainTextFormattedCitation":"[40]","previouslyFormattedCitation":"[40]"},"properties":{"noteIndex":0},"schema":"https://github.com/citation-style-language/schema/raw/master/csl-citation.json"}</w:instrText>
      </w:r>
      <w:r w:rsidR="000B0AC3" w:rsidRPr="00C348F4">
        <w:fldChar w:fldCharType="separate"/>
      </w:r>
      <w:r w:rsidR="00015814" w:rsidRPr="00C348F4">
        <w:rPr>
          <w:noProof/>
        </w:rPr>
        <w:t>[40]</w:t>
      </w:r>
      <w:r w:rsidR="000B0AC3" w:rsidRPr="00C348F4">
        <w:fldChar w:fldCharType="end"/>
      </w:r>
      <w:r w:rsidR="006D1E7B" w:rsidRPr="00C348F4">
        <w:rPr>
          <w:lang w:val="en-US"/>
        </w:rPr>
        <w:t>.</w:t>
      </w:r>
    </w:p>
    <w:p w:rsidR="004D7374" w:rsidRPr="00CD5B95" w:rsidRDefault="004D7374" w:rsidP="00504D96">
      <w:pPr>
        <w:contextualSpacing/>
        <w:rPr>
          <w:b/>
          <w:spacing w:val="-4"/>
        </w:rPr>
      </w:pPr>
      <w:r w:rsidRPr="00CD5B95">
        <w:rPr>
          <w:b/>
          <w:spacing w:val="-4"/>
        </w:rPr>
        <w:t xml:space="preserve">Уровень убедительности </w:t>
      </w:r>
      <w:r w:rsidR="00C20509" w:rsidRPr="00CD5B95">
        <w:rPr>
          <w:b/>
          <w:spacing w:val="-4"/>
        </w:rPr>
        <w:t xml:space="preserve">рекомендаций – </w:t>
      </w:r>
      <w:r w:rsidR="00451C55">
        <w:rPr>
          <w:b/>
          <w:spacing w:val="-4"/>
        </w:rPr>
        <w:t>В</w:t>
      </w:r>
      <w:r w:rsidR="00451C55" w:rsidRPr="00CD5B95">
        <w:rPr>
          <w:b/>
          <w:spacing w:val="-4"/>
        </w:rPr>
        <w:t xml:space="preserve"> </w:t>
      </w:r>
      <w:r w:rsidRPr="00CD5B95">
        <w:rPr>
          <w:b/>
          <w:spacing w:val="-4"/>
        </w:rPr>
        <w:t>(урове</w:t>
      </w:r>
      <w:r w:rsidR="001E3D61" w:rsidRPr="00CD5B95">
        <w:rPr>
          <w:b/>
          <w:spacing w:val="-4"/>
        </w:rPr>
        <w:t xml:space="preserve">нь достоверности </w:t>
      </w:r>
      <w:r w:rsidR="00C20509" w:rsidRPr="00CD5B95">
        <w:rPr>
          <w:b/>
          <w:spacing w:val="-4"/>
        </w:rPr>
        <w:t xml:space="preserve">доказательств – </w:t>
      </w:r>
      <w:r w:rsidR="00451C55">
        <w:rPr>
          <w:b/>
          <w:spacing w:val="-4"/>
        </w:rPr>
        <w:t>3</w:t>
      </w:r>
      <w:r w:rsidRPr="00CD5B95">
        <w:rPr>
          <w:b/>
          <w:spacing w:val="-4"/>
        </w:rPr>
        <w:t>)</w:t>
      </w:r>
      <w:r w:rsidR="00912FAC" w:rsidRPr="00CD5B95">
        <w:rPr>
          <w:b/>
          <w:spacing w:val="-4"/>
        </w:rPr>
        <w:t>.</w:t>
      </w:r>
    </w:p>
    <w:p w:rsidR="00FD132B" w:rsidRDefault="00A81638" w:rsidP="00504D96">
      <w:pPr>
        <w:contextualSpacing/>
        <w:rPr>
          <w:i/>
        </w:rPr>
      </w:pPr>
      <w:r>
        <w:rPr>
          <w:b/>
        </w:rPr>
        <w:t>Комментарии</w:t>
      </w:r>
      <w:r w:rsidR="004D7374" w:rsidRPr="00912FAC">
        <w:rPr>
          <w:b/>
        </w:rPr>
        <w:t xml:space="preserve">: </w:t>
      </w:r>
      <w:r w:rsidR="00B6655F" w:rsidRPr="00FD132B">
        <w:rPr>
          <w:i/>
        </w:rPr>
        <w:t>у</w:t>
      </w:r>
      <w:r w:rsidR="00B6655F">
        <w:rPr>
          <w:i/>
        </w:rPr>
        <w:t xml:space="preserve"> </w:t>
      </w:r>
      <w:r w:rsidR="00FD132B">
        <w:rPr>
          <w:i/>
        </w:rPr>
        <w:t>пожилых пациентов могут применяться менее интенсивные режимы</w:t>
      </w:r>
      <w:r w:rsidR="00CD5B95" w:rsidRPr="00CD5B95">
        <w:rPr>
          <w:i/>
        </w:rPr>
        <w:t xml:space="preserve"> </w:t>
      </w:r>
      <w:r w:rsidR="00CD5B95">
        <w:rPr>
          <w:i/>
        </w:rPr>
        <w:t>иммунохимиотерапии</w:t>
      </w:r>
      <w:r w:rsidR="00FD132B">
        <w:rPr>
          <w:i/>
        </w:rPr>
        <w:t xml:space="preserve">, терапия таргетными препаратами. </w:t>
      </w:r>
    </w:p>
    <w:p w:rsidR="00FD132B" w:rsidRPr="00C348F4" w:rsidRDefault="00FD132B" w:rsidP="00504D96">
      <w:pPr>
        <w:contextualSpacing/>
        <w:rPr>
          <w:i/>
        </w:rPr>
      </w:pPr>
      <w:r w:rsidRPr="00912FAC">
        <w:rPr>
          <w:i/>
        </w:rPr>
        <w:t xml:space="preserve">В исследовании MABLE </w:t>
      </w:r>
      <w:r w:rsidR="00CD5B95">
        <w:rPr>
          <w:i/>
        </w:rPr>
        <w:t>сопоставлены</w:t>
      </w:r>
      <w:r w:rsidRPr="00912FAC">
        <w:rPr>
          <w:i/>
        </w:rPr>
        <w:t xml:space="preserve"> режимы BR и Clb-R у пожилых пациентов</w:t>
      </w:r>
      <w:r>
        <w:rPr>
          <w:i/>
        </w:rPr>
        <w:t xml:space="preserve"> и </w:t>
      </w:r>
      <w:r w:rsidRPr="00912FAC">
        <w:rPr>
          <w:i/>
        </w:rPr>
        <w:t xml:space="preserve">показана более высокая частота полных ремиссий в группе BR, а также увеличение ВБП (39,6 </w:t>
      </w:r>
      <w:r w:rsidR="00F07AA9">
        <w:rPr>
          <w:i/>
        </w:rPr>
        <w:t>мес.</w:t>
      </w:r>
      <w:r w:rsidRPr="00912FAC">
        <w:rPr>
          <w:i/>
        </w:rPr>
        <w:t xml:space="preserve"> против 29,9</w:t>
      </w:r>
      <w:r w:rsidR="000F6931">
        <w:rPr>
          <w:i/>
        </w:rPr>
        <w:t xml:space="preserve"> мес.</w:t>
      </w:r>
      <w:r w:rsidRPr="00912FAC">
        <w:rPr>
          <w:i/>
        </w:rPr>
        <w:t xml:space="preserve"> соответственно, p = 0,003)</w:t>
      </w:r>
      <w:r w:rsidR="00CD5B95">
        <w:rPr>
          <w:i/>
        </w:rPr>
        <w:t xml:space="preserve"> </w:t>
      </w:r>
      <w:r w:rsidR="000B0AC3" w:rsidRPr="00CD5B95">
        <w:rPr>
          <w:i/>
        </w:rPr>
        <w:fldChar w:fldCharType="begin" w:fldLock="1"/>
      </w:r>
      <w:r w:rsidR="00015814">
        <w:rPr>
          <w:i/>
        </w:rPr>
        <w:instrText>ADDIN CSL_CITATION {"citationItems":[{"id":"ITEM-1","itemData":{"DOI":"10.3324/haematol.2017.170480","ISSN":"15928721","abstract":"©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-1","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[32]","plainTextFormattedCitation":"[32]","previouslyFormattedCitation":"[32]"},"properties":{"noteIndex":0},"schema":"https://github.com/citation-style-language/schema/raw/master/csl-citation.json"}</w:instrText>
      </w:r>
      <w:r w:rsidR="000B0AC3" w:rsidRPr="00CD5B95">
        <w:rPr>
          <w:i/>
        </w:rPr>
        <w:fldChar w:fldCharType="separate"/>
      </w:r>
      <w:r w:rsidR="00015814" w:rsidRPr="00015814">
        <w:rPr>
          <w:noProof/>
        </w:rPr>
        <w:t>[32]</w:t>
      </w:r>
      <w:r w:rsidR="000B0AC3" w:rsidRPr="00CD5B95">
        <w:rPr>
          <w:i/>
        </w:rPr>
        <w:fldChar w:fldCharType="end"/>
      </w:r>
      <w:r w:rsidRPr="00CD5B95">
        <w:rPr>
          <w:i/>
        </w:rPr>
        <w:t>.</w:t>
      </w:r>
      <w:r>
        <w:rPr>
          <w:i/>
        </w:rPr>
        <w:t xml:space="preserve"> </w:t>
      </w:r>
      <w:r w:rsidRPr="00912FAC">
        <w:rPr>
          <w:i/>
        </w:rPr>
        <w:t xml:space="preserve">По данным российского рандомизированного исследования, </w:t>
      </w:r>
      <w:r w:rsidRPr="00C348F4">
        <w:rPr>
          <w:i/>
        </w:rPr>
        <w:t>применение режима FCR-Lite позволило увеличить медиану ВБП пожилых пациентов</w:t>
      </w:r>
      <w:r w:rsidR="000F6931" w:rsidRPr="00C348F4">
        <w:rPr>
          <w:i/>
        </w:rPr>
        <w:t xml:space="preserve"> с</w:t>
      </w:r>
      <w:r w:rsidRPr="00C348F4">
        <w:rPr>
          <w:i/>
        </w:rPr>
        <w:t xml:space="preserve"> ХЛЛ до 37,1 </w:t>
      </w:r>
      <w:r w:rsidR="00F07AA9" w:rsidRPr="00C348F4">
        <w:rPr>
          <w:i/>
        </w:rPr>
        <w:t>мес.</w:t>
      </w:r>
      <w:r w:rsidRPr="00C348F4">
        <w:rPr>
          <w:i/>
        </w:rPr>
        <w:t xml:space="preserve"> (по сравнению с 26 мес</w:t>
      </w:r>
      <w:r w:rsidR="00F07AA9" w:rsidRPr="00C348F4">
        <w:rPr>
          <w:i/>
        </w:rPr>
        <w:t>.</w:t>
      </w:r>
      <w:r w:rsidRPr="00C348F4">
        <w:rPr>
          <w:i/>
        </w:rPr>
        <w:t xml:space="preserve"> при применении режима Clb-R)</w:t>
      </w:r>
      <w:r w:rsidR="00AB3D75" w:rsidRPr="00C348F4">
        <w:rPr>
          <w:i/>
        </w:rPr>
        <w:t xml:space="preserve"> </w:t>
      </w:r>
      <w:r w:rsidR="000B0AC3" w:rsidRPr="00C348F4">
        <w:rPr>
          <w:i/>
        </w:rPr>
        <w:fldChar w:fldCharType="begin" w:fldLock="1"/>
      </w:r>
      <w:r w:rsidR="00015814" w:rsidRPr="00C348F4">
        <w:rPr>
          <w:i/>
        </w:rPr>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[36]","plainTextFormattedCitation":"[36]","previouslyFormattedCitation":"[36]"},"properties":{"noteIndex":0},"schema":"https://github.com/citation-style-language/schema/raw/master/csl-citation.json"}</w:instrText>
      </w:r>
      <w:r w:rsidR="000B0AC3" w:rsidRPr="00C348F4">
        <w:rPr>
          <w:i/>
        </w:rPr>
        <w:fldChar w:fldCharType="separate"/>
      </w:r>
      <w:r w:rsidR="00015814" w:rsidRPr="00C348F4">
        <w:rPr>
          <w:noProof/>
        </w:rPr>
        <w:t>[36]</w:t>
      </w:r>
      <w:r w:rsidR="000B0AC3" w:rsidRPr="00C348F4">
        <w:rPr>
          <w:i/>
        </w:rPr>
        <w:fldChar w:fldCharType="end"/>
      </w:r>
      <w:r w:rsidRPr="00C348F4">
        <w:rPr>
          <w:i/>
        </w:rPr>
        <w:t>.</w:t>
      </w:r>
    </w:p>
    <w:p w:rsidR="00FD132B" w:rsidRPr="00912FAC" w:rsidRDefault="00FD132B" w:rsidP="00504D96">
      <w:pPr>
        <w:contextualSpacing/>
        <w:rPr>
          <w:i/>
        </w:rPr>
      </w:pPr>
      <w:r w:rsidRPr="00C348F4">
        <w:rPr>
          <w:i/>
        </w:rPr>
        <w:t>В исследовании немецкой группы по изучению ХЛЛ CLL11 сравнивал</w:t>
      </w:r>
      <w:r w:rsidR="000F6931" w:rsidRPr="00C348F4">
        <w:rPr>
          <w:i/>
        </w:rPr>
        <w:t>и</w:t>
      </w:r>
      <w:r w:rsidRPr="00C348F4">
        <w:rPr>
          <w:i/>
        </w:rPr>
        <w:t>сь монотерапия</w:t>
      </w:r>
      <w:r w:rsidR="000F6931" w:rsidRPr="00C348F4">
        <w:rPr>
          <w:i/>
        </w:rPr>
        <w:t xml:space="preserve"> </w:t>
      </w:r>
      <w:r w:rsidRPr="00C348F4">
        <w:rPr>
          <w:i/>
        </w:rPr>
        <w:t xml:space="preserve">хлорамбуцилом** (Clb), </w:t>
      </w:r>
      <w:r w:rsidR="000F6931" w:rsidRPr="00C348F4">
        <w:rPr>
          <w:i/>
        </w:rPr>
        <w:t xml:space="preserve">терапия </w:t>
      </w:r>
      <w:r w:rsidRPr="00C348F4">
        <w:rPr>
          <w:i/>
        </w:rPr>
        <w:t>комбинаци</w:t>
      </w:r>
      <w:r w:rsidR="000F6931" w:rsidRPr="00C348F4">
        <w:rPr>
          <w:i/>
        </w:rPr>
        <w:t>ей</w:t>
      </w:r>
      <w:r w:rsidRPr="00C348F4">
        <w:rPr>
          <w:i/>
        </w:rPr>
        <w:t xml:space="preserve"> хлорамбуцила** с ритуксимабом** (R-Clb) и комбинаци</w:t>
      </w:r>
      <w:r w:rsidR="000F6931" w:rsidRPr="00C348F4">
        <w:rPr>
          <w:i/>
        </w:rPr>
        <w:t>ей</w:t>
      </w:r>
      <w:r w:rsidRPr="00C348F4">
        <w:rPr>
          <w:i/>
        </w:rPr>
        <w:t xml:space="preserve"> хлорамбуцила** с обинутузумабом** (G-Clb)</w:t>
      </w:r>
      <w:r w:rsidR="000F6931" w:rsidRPr="00C348F4">
        <w:rPr>
          <w:i/>
        </w:rPr>
        <w:t xml:space="preserve"> </w:t>
      </w:r>
      <w:r w:rsidR="000B0AC3" w:rsidRPr="00C348F4">
        <w:rPr>
          <w:i/>
        </w:rPr>
        <w:fldChar w:fldCharType="begin" w:fldLock="1"/>
      </w:r>
      <w:r w:rsidR="00015814" w:rsidRPr="00C348F4">
        <w:rPr>
          <w:i/>
        </w:rPr>
        <w:instrText>ADDIN CSL_CITATION {"citationItems":[{"id":"ITEM-1","itemData":{"DOI":"10.1056/NEJMoa1313984","ISSN":"15334406","abstract":"BACKGROUND The monoclonal anti-CD20 antibody rituximab, combined with chemotherapeutic agents, has been shown to prolong overall survival in physically fit patients with previously untreated chronic lymphocytic leukemia (CLL) but not in those with coexisting conditions. We investigated the benefit of the type 2, glycoengineered antibody obinutuzumab (also known as GA101) as compared with that of rituximab, each combined with chlorambucil, in patients with previously untreated CLL and coexisting conditions. METHODS We randomly assigned 781 patients with previously untreated CLL and a score higher than 6 on the Cumulative Illness Rating Scale (CIRS) (range, 0 to 56, with higher scores indicating worse health status) or an estimated creatinine clearance of 30 to 69 ml per minute to receive chlorambucil, obinutuzumab plus chlorambucil, or rituximab plus chlorambucil. The primary end point was investigator-assessed progression-free survival. RESULTS The patients had a median age of 73 years, creatinine clearance of 62 ml per minute, and CIRS score of 8 at baseline. Treatment with obinutuzumab-chlorambucil or rituximab-chlorambucil, as compared with chlorambucil monotherapy, increased response rates and prolonged progression-free survival (median progression-free survival, 26.7 months with obinutuzumab-chlorambucil vs. 11.1 months with chlorambucil alone; hazard ratio for progression or death, 0.18; 95% confidence interval [CI], 0.13 to 0.24; P&lt;0.001; and 16.3 months with rituximab-chlorambucil vs. 11.1 months with chlorambucil alone; hazard ratio, 0.44; 95% CI, 0.34 to 0.57; P&lt;0.001). Treatment with obinutuzumab-chlorambucil, as compared with chlorambucil alone, prolonged overall survival (hazard ratio for death, 0.41; 95% CI, 0.23 to 0.74; P=0.002). Treatment with obinutuzumab-chlorambucil, as compared with rituximab-chlorambucil, resulted in prolongation of progression-free survival (hazard ratio, 0.39; 95% CI, 0.31 to 0.49; P&lt;0.001) and higher rates of complete response (20.7% vs. 7.0%) and molecular response. Infusion-related reactions and neutropenia were more common with obinutuzumab-chlorambucil than with rituximab-chlorambucil, but the risk of infection was not increased. CONCLUSIONS Combining an anti-CD20 antibody with chemotherapy improved outcomes in patients with CLL and coexisting conditions. In this patient population, obinutuzumab was superior to rituximab when each was combined with chlorambucil. (Funded by F. Hoffmann-La Roche; ClinicalTrial…","author":[{"dropping-particle":"","family":"Goede","given":"Valentin","non-dropping-particle":"","parse-names":false,"suffix":""},{"dropping-particle":"","family":"Fischer","given":"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[31]","plainTextFormattedCitation":"[31]","previouslyFormattedCitation":"[31]"},"properties":{"noteIndex":0},"schema":"https://github.com/citation-style-language/schema/raw/master/csl-citation.json"}</w:instrText>
      </w:r>
      <w:r w:rsidR="000B0AC3" w:rsidRPr="00C348F4">
        <w:rPr>
          <w:i/>
        </w:rPr>
        <w:fldChar w:fldCharType="separate"/>
      </w:r>
      <w:r w:rsidR="00015814" w:rsidRPr="00C348F4">
        <w:rPr>
          <w:noProof/>
        </w:rPr>
        <w:t>[31]</w:t>
      </w:r>
      <w:r w:rsidR="000B0AC3" w:rsidRPr="00C348F4">
        <w:rPr>
          <w:i/>
        </w:rPr>
        <w:fldChar w:fldCharType="end"/>
      </w:r>
      <w:r w:rsidRPr="00C348F4">
        <w:rPr>
          <w:i/>
        </w:rPr>
        <w:t xml:space="preserve">. Наибольшая частота </w:t>
      </w:r>
      <w:r w:rsidR="00416F68" w:rsidRPr="00C348F4">
        <w:rPr>
          <w:i/>
        </w:rPr>
        <w:t xml:space="preserve">общего </w:t>
      </w:r>
      <w:r w:rsidRPr="00C348F4">
        <w:rPr>
          <w:i/>
        </w:rPr>
        <w:t xml:space="preserve">ответа </w:t>
      </w:r>
      <w:r w:rsidR="00416F68" w:rsidRPr="00C348F4">
        <w:rPr>
          <w:i/>
        </w:rPr>
        <w:t xml:space="preserve">(77,3 %) </w:t>
      </w:r>
      <w:r w:rsidRPr="00C348F4">
        <w:rPr>
          <w:i/>
        </w:rPr>
        <w:t>и полных ремиссий (22,3</w:t>
      </w:r>
      <w:r w:rsidR="00DD3D1E" w:rsidRPr="00C348F4">
        <w:rPr>
          <w:i/>
        </w:rPr>
        <w:t xml:space="preserve"> %</w:t>
      </w:r>
      <w:r w:rsidRPr="00C348F4">
        <w:rPr>
          <w:i/>
        </w:rPr>
        <w:t>)</w:t>
      </w:r>
      <w:r w:rsidR="00416F68" w:rsidRPr="00C348F4">
        <w:rPr>
          <w:i/>
        </w:rPr>
        <w:t xml:space="preserve"> </w:t>
      </w:r>
      <w:r w:rsidR="000F6931" w:rsidRPr="00C348F4">
        <w:rPr>
          <w:i/>
        </w:rPr>
        <w:t>наблюдалась</w:t>
      </w:r>
      <w:r w:rsidR="00416F68" w:rsidRPr="00C348F4">
        <w:rPr>
          <w:i/>
        </w:rPr>
        <w:t xml:space="preserve"> в группе</w:t>
      </w:r>
      <w:r w:rsidR="00416F68" w:rsidRPr="00912FAC">
        <w:rPr>
          <w:i/>
        </w:rPr>
        <w:t xml:space="preserve"> G-Clb</w:t>
      </w:r>
      <w:r w:rsidRPr="00912FAC">
        <w:rPr>
          <w:i/>
        </w:rPr>
        <w:t>. Режим G-Clb позволяет добиться эрадикации МОБ в периферической крови и костном мозге у 37,6 и 19,5</w:t>
      </w:r>
      <w:r w:rsidR="00DD3D1E">
        <w:rPr>
          <w:i/>
        </w:rPr>
        <w:t xml:space="preserve"> %</w:t>
      </w:r>
      <w:r w:rsidRPr="00912FAC">
        <w:rPr>
          <w:i/>
        </w:rPr>
        <w:t xml:space="preserve"> пациентов соответственно. Обинутузумаб в сочетании с хлорамбуцилом</w:t>
      </w:r>
      <w:r>
        <w:rPr>
          <w:i/>
        </w:rPr>
        <w:t>**</w:t>
      </w:r>
      <w:r w:rsidRPr="00912FAC">
        <w:rPr>
          <w:i/>
        </w:rPr>
        <w:t xml:space="preserve"> позволяет увеличить ВБП до 2</w:t>
      </w:r>
      <w:r>
        <w:rPr>
          <w:i/>
        </w:rPr>
        <w:t>6</w:t>
      </w:r>
      <w:r w:rsidRPr="00912FAC">
        <w:rPr>
          <w:i/>
        </w:rPr>
        <w:t xml:space="preserve">,7 </w:t>
      </w:r>
      <w:r w:rsidR="00F07AA9">
        <w:rPr>
          <w:i/>
        </w:rPr>
        <w:t>мес.</w:t>
      </w:r>
      <w:r w:rsidRPr="00912FAC">
        <w:rPr>
          <w:i/>
        </w:rPr>
        <w:t xml:space="preserve"> (р &lt;</w:t>
      </w:r>
      <w:r w:rsidR="000F6931">
        <w:rPr>
          <w:i/>
        </w:rPr>
        <w:t xml:space="preserve"> </w:t>
      </w:r>
      <w:r w:rsidRPr="00912FAC">
        <w:rPr>
          <w:i/>
        </w:rPr>
        <w:t xml:space="preserve">0,0001 в сравнении с </w:t>
      </w:r>
      <w:r w:rsidR="000F6931">
        <w:rPr>
          <w:i/>
        </w:rPr>
        <w:t xml:space="preserve">терапией </w:t>
      </w:r>
      <w:r w:rsidRPr="00912FAC">
        <w:rPr>
          <w:i/>
        </w:rPr>
        <w:t>R-Clb и хлорамбуцилом</w:t>
      </w:r>
      <w:r>
        <w:rPr>
          <w:i/>
        </w:rPr>
        <w:t xml:space="preserve">**). </w:t>
      </w:r>
      <w:r w:rsidRPr="00912FAC">
        <w:rPr>
          <w:i/>
        </w:rPr>
        <w:t xml:space="preserve">Инфузии </w:t>
      </w:r>
      <w:r>
        <w:rPr>
          <w:i/>
        </w:rPr>
        <w:t xml:space="preserve">обинутузумаба** </w:t>
      </w:r>
      <w:r w:rsidRPr="00912FAC">
        <w:rPr>
          <w:i/>
        </w:rPr>
        <w:t>следует проводить при наличии доступа к средствам экстренной медицинской помощи с адекватным мониторингом. У пациентов с большой массой опухоли оправдан</w:t>
      </w:r>
      <w:r w:rsidR="000F6931">
        <w:rPr>
          <w:i/>
        </w:rPr>
        <w:t>н</w:t>
      </w:r>
      <w:r w:rsidRPr="00912FAC">
        <w:rPr>
          <w:i/>
        </w:rPr>
        <w:t>а предфаза в виде 1</w:t>
      </w:r>
      <w:r w:rsidR="000F6931">
        <w:rPr>
          <w:i/>
        </w:rPr>
        <w:t>–</w:t>
      </w:r>
      <w:r w:rsidRPr="00912FAC">
        <w:rPr>
          <w:i/>
        </w:rPr>
        <w:t>2 курсов монотерапии</w:t>
      </w:r>
      <w:r w:rsidR="00F0422A">
        <w:rPr>
          <w:i/>
        </w:rPr>
        <w:t xml:space="preserve"> </w:t>
      </w:r>
      <w:r w:rsidRPr="00912FAC">
        <w:rPr>
          <w:i/>
        </w:rPr>
        <w:t>хлорамбуцилом</w:t>
      </w:r>
      <w:r>
        <w:rPr>
          <w:i/>
        </w:rPr>
        <w:t>**</w:t>
      </w:r>
      <w:r w:rsidRPr="00912FAC">
        <w:rPr>
          <w:i/>
        </w:rPr>
        <w:t xml:space="preserve">, направленной на уменьшение массы опухоли. Адекватная профилактика инфузионных реакций (премедикация антигистаминными препаратами и </w:t>
      </w:r>
      <w:r w:rsidR="000F6931" w:rsidRPr="00912FAC">
        <w:rPr>
          <w:i/>
        </w:rPr>
        <w:lastRenderedPageBreak/>
        <w:t>в/в</w:t>
      </w:r>
      <w:r w:rsidR="000F6931">
        <w:rPr>
          <w:i/>
        </w:rPr>
        <w:t xml:space="preserve"> введением</w:t>
      </w:r>
      <w:r w:rsidR="000F6931" w:rsidRPr="00912FAC">
        <w:rPr>
          <w:i/>
        </w:rPr>
        <w:t xml:space="preserve"> </w:t>
      </w:r>
      <w:r w:rsidRPr="00912FAC">
        <w:rPr>
          <w:i/>
        </w:rPr>
        <w:t>дексаметазон</w:t>
      </w:r>
      <w:r w:rsidR="000F6931">
        <w:rPr>
          <w:i/>
        </w:rPr>
        <w:t>а</w:t>
      </w:r>
      <w:r>
        <w:rPr>
          <w:i/>
        </w:rPr>
        <w:t>**</w:t>
      </w:r>
      <w:r w:rsidRPr="00912FAC">
        <w:rPr>
          <w:i/>
        </w:rPr>
        <w:t xml:space="preserve">, введение </w:t>
      </w:r>
      <w:r w:rsidR="000F6931">
        <w:rPr>
          <w:i/>
        </w:rPr>
        <w:t>1-й</w:t>
      </w:r>
      <w:r w:rsidRPr="00912FAC">
        <w:rPr>
          <w:i/>
        </w:rPr>
        <w:t xml:space="preserve"> дозы в </w:t>
      </w:r>
      <w:r w:rsidR="000F6931">
        <w:rPr>
          <w:i/>
        </w:rPr>
        <w:t>2</w:t>
      </w:r>
      <w:r w:rsidRPr="00912FAC">
        <w:rPr>
          <w:i/>
        </w:rPr>
        <w:t xml:space="preserve"> этапа, профилактический отказ от анти</w:t>
      </w:r>
      <w:r w:rsidR="000F6931">
        <w:rPr>
          <w:i/>
        </w:rPr>
        <w:softHyphen/>
      </w:r>
      <w:r w:rsidRPr="00912FAC">
        <w:rPr>
          <w:i/>
        </w:rPr>
        <w:t xml:space="preserve">гипертензивных препаратов) позволяет справляться с инфузионными реакциями. В большинстве случаев они возникают только при </w:t>
      </w:r>
      <w:r w:rsidR="000F6931">
        <w:rPr>
          <w:i/>
        </w:rPr>
        <w:t>1-й</w:t>
      </w:r>
      <w:r w:rsidRPr="00912FAC">
        <w:rPr>
          <w:i/>
        </w:rPr>
        <w:t xml:space="preserve"> инфузии обинутузумаба</w:t>
      </w:r>
      <w:r>
        <w:rPr>
          <w:i/>
        </w:rPr>
        <w:t>**</w:t>
      </w:r>
      <w:r w:rsidRPr="00912FAC">
        <w:rPr>
          <w:i/>
        </w:rPr>
        <w:t xml:space="preserve">, так как гиперлимфоцитоз обычно полностью разрешается за </w:t>
      </w:r>
      <w:r w:rsidR="00F07AA9">
        <w:rPr>
          <w:i/>
        </w:rPr>
        <w:t>1 нед</w:t>
      </w:r>
      <w:r w:rsidRPr="00912FAC">
        <w:rPr>
          <w:i/>
        </w:rPr>
        <w:t>.</w:t>
      </w:r>
    </w:p>
    <w:p w:rsidR="004D7374" w:rsidRPr="00C348F4" w:rsidRDefault="004D7374" w:rsidP="00504D96">
      <w:pPr>
        <w:contextualSpacing/>
        <w:rPr>
          <w:i/>
        </w:rPr>
      </w:pPr>
      <w:r w:rsidRPr="00912FAC">
        <w:rPr>
          <w:i/>
        </w:rPr>
        <w:t xml:space="preserve">В 2018 г. были </w:t>
      </w:r>
      <w:r w:rsidRPr="00C348F4">
        <w:rPr>
          <w:i/>
        </w:rPr>
        <w:t>представлены результаты 4-летнего наблюдения</w:t>
      </w:r>
      <w:r w:rsidR="000F6931" w:rsidRPr="00C348F4">
        <w:rPr>
          <w:i/>
        </w:rPr>
        <w:t xml:space="preserve"> в рамках</w:t>
      </w:r>
      <w:r w:rsidR="0009076E" w:rsidRPr="00C348F4">
        <w:rPr>
          <w:i/>
        </w:rPr>
        <w:t xml:space="preserve"> исследования Resonate-2, в котором сравнивались монотерапия</w:t>
      </w:r>
      <w:r w:rsidR="00646FFF" w:rsidRPr="00C348F4">
        <w:rPr>
          <w:i/>
        </w:rPr>
        <w:t xml:space="preserve"> </w:t>
      </w:r>
      <w:r w:rsidR="0009076E" w:rsidRPr="00C348F4">
        <w:rPr>
          <w:i/>
        </w:rPr>
        <w:t>ибрутинибом</w:t>
      </w:r>
      <w:r w:rsidR="005163D3" w:rsidRPr="00C348F4">
        <w:rPr>
          <w:i/>
        </w:rPr>
        <w:t>**</w:t>
      </w:r>
      <w:r w:rsidR="0009076E" w:rsidRPr="00C348F4">
        <w:rPr>
          <w:i/>
        </w:rPr>
        <w:t xml:space="preserve"> и хлорамбуцилом</w:t>
      </w:r>
      <w:r w:rsidR="005163D3" w:rsidRPr="00C348F4">
        <w:rPr>
          <w:i/>
        </w:rPr>
        <w:t>**</w:t>
      </w:r>
      <w:r w:rsidR="0009076E" w:rsidRPr="00C348F4">
        <w:rPr>
          <w:i/>
        </w:rPr>
        <w:t xml:space="preserve"> </w:t>
      </w:r>
      <w:r w:rsidR="000F6931" w:rsidRPr="00C348F4">
        <w:rPr>
          <w:i/>
        </w:rPr>
        <w:br/>
      </w:r>
      <w:r w:rsidR="0009076E" w:rsidRPr="00C348F4">
        <w:rPr>
          <w:i/>
        </w:rPr>
        <w:t xml:space="preserve">в </w:t>
      </w:r>
      <w:r w:rsidR="000F6931" w:rsidRPr="00C348F4">
        <w:rPr>
          <w:i/>
        </w:rPr>
        <w:t>1-й</w:t>
      </w:r>
      <w:r w:rsidR="0009076E" w:rsidRPr="00C348F4">
        <w:rPr>
          <w:i/>
        </w:rPr>
        <w:t xml:space="preserve"> линии терапии ХЛЛ у пожилых пациентов</w:t>
      </w:r>
      <w:r w:rsidR="00B6655F" w:rsidRPr="00C348F4">
        <w:rPr>
          <w:i/>
        </w:rPr>
        <w:t xml:space="preserve"> </w:t>
      </w:r>
      <w:r w:rsidR="000B0AC3" w:rsidRPr="00C348F4">
        <w:rPr>
          <w:i/>
        </w:rPr>
        <w:fldChar w:fldCharType="begin" w:fldLock="1"/>
      </w:r>
      <w:r w:rsidR="00015814" w:rsidRPr="00C348F4">
        <w:rPr>
          <w:i/>
        </w:rPr>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mendeley":{"formattedCitation":"[33,34]","plainTextFormattedCitation":"[33,34]","previouslyFormattedCitation":"[33,34]"},"properties":{"noteIndex":0},"schema":"https://github.com/citation-style-language/schema/raw/master/csl-citation.json"}</w:instrText>
      </w:r>
      <w:r w:rsidR="000B0AC3" w:rsidRPr="00C348F4">
        <w:rPr>
          <w:i/>
        </w:rPr>
        <w:fldChar w:fldCharType="separate"/>
      </w:r>
      <w:r w:rsidR="00015814" w:rsidRPr="00C348F4">
        <w:rPr>
          <w:noProof/>
        </w:rPr>
        <w:t>[33,34]</w:t>
      </w:r>
      <w:r w:rsidR="000B0AC3" w:rsidRPr="00C348F4">
        <w:rPr>
          <w:i/>
        </w:rPr>
        <w:fldChar w:fldCharType="end"/>
      </w:r>
      <w:r w:rsidRPr="00C348F4">
        <w:rPr>
          <w:i/>
        </w:rPr>
        <w:t>. В исследовании продемонстрировано значительное превосходство ибрутиниба</w:t>
      </w:r>
      <w:r w:rsidR="005163D3" w:rsidRPr="00C348F4">
        <w:rPr>
          <w:i/>
        </w:rPr>
        <w:t>**</w:t>
      </w:r>
      <w:r w:rsidRPr="00C348F4">
        <w:rPr>
          <w:i/>
        </w:rPr>
        <w:t xml:space="preserve"> </w:t>
      </w:r>
      <w:r w:rsidR="000F6931" w:rsidRPr="00C348F4">
        <w:rPr>
          <w:i/>
        </w:rPr>
        <w:t>над</w:t>
      </w:r>
      <w:r w:rsidRPr="00C348F4">
        <w:rPr>
          <w:i/>
        </w:rPr>
        <w:t xml:space="preserve"> хлорамбуцилом</w:t>
      </w:r>
      <w:r w:rsidR="005163D3" w:rsidRPr="00C348F4">
        <w:rPr>
          <w:i/>
        </w:rPr>
        <w:t>**</w:t>
      </w:r>
      <w:r w:rsidRPr="00C348F4">
        <w:rPr>
          <w:i/>
        </w:rPr>
        <w:t xml:space="preserve">, </w:t>
      </w:r>
      <w:r w:rsidR="000F6931" w:rsidRPr="00C348F4">
        <w:rPr>
          <w:i/>
        </w:rPr>
        <w:br/>
      </w:r>
      <w:r w:rsidRPr="00C348F4">
        <w:rPr>
          <w:i/>
        </w:rPr>
        <w:t xml:space="preserve">в том числе по </w:t>
      </w:r>
      <w:r w:rsidR="000F6931" w:rsidRPr="00C348F4">
        <w:rPr>
          <w:i/>
        </w:rPr>
        <w:t>уровню ОВ. Медиана ВБ</w:t>
      </w:r>
      <w:r w:rsidRPr="00C348F4">
        <w:rPr>
          <w:i/>
        </w:rPr>
        <w:t>П в группе ибрутиниба</w:t>
      </w:r>
      <w:r w:rsidR="005163D3" w:rsidRPr="00C348F4">
        <w:rPr>
          <w:i/>
        </w:rPr>
        <w:t>**</w:t>
      </w:r>
      <w:r w:rsidRPr="00C348F4">
        <w:rPr>
          <w:i/>
        </w:rPr>
        <w:t xml:space="preserve"> не достигнута при медиане продолжительности наблюдения в 48 мес. </w:t>
      </w:r>
      <w:r w:rsidR="000F6931" w:rsidRPr="00C348F4">
        <w:rPr>
          <w:i/>
        </w:rPr>
        <w:t>ВБП</w:t>
      </w:r>
      <w:r w:rsidRPr="00C348F4">
        <w:rPr>
          <w:i/>
        </w:rPr>
        <w:t xml:space="preserve"> была значительно выше при применении ибрутиниба</w:t>
      </w:r>
      <w:r w:rsidR="005163D3" w:rsidRPr="00C348F4">
        <w:rPr>
          <w:i/>
        </w:rPr>
        <w:t>**</w:t>
      </w:r>
      <w:r w:rsidRPr="00C348F4">
        <w:rPr>
          <w:i/>
        </w:rPr>
        <w:t xml:space="preserve"> во всех </w:t>
      </w:r>
      <w:r w:rsidR="000F6931" w:rsidRPr="00C348F4">
        <w:rPr>
          <w:i/>
        </w:rPr>
        <w:t>г</w:t>
      </w:r>
      <w:r w:rsidRPr="00C348F4">
        <w:rPr>
          <w:i/>
        </w:rPr>
        <w:t xml:space="preserve">руппах пациентов, в том числе у пациентов с неблагоприятными генетическими факторами. </w:t>
      </w:r>
      <w:r w:rsidR="00AA4B03" w:rsidRPr="00C348F4">
        <w:rPr>
          <w:i/>
        </w:rPr>
        <w:t xml:space="preserve">ОВ </w:t>
      </w:r>
      <w:r w:rsidRPr="00C348F4">
        <w:rPr>
          <w:i/>
        </w:rPr>
        <w:t>была значительно выше в группе ибрутиниба</w:t>
      </w:r>
      <w:r w:rsidR="005163D3" w:rsidRPr="00C348F4">
        <w:rPr>
          <w:i/>
        </w:rPr>
        <w:t>**</w:t>
      </w:r>
      <w:r w:rsidR="000F6931" w:rsidRPr="00C348F4">
        <w:rPr>
          <w:i/>
        </w:rPr>
        <w:t>,</w:t>
      </w:r>
      <w:r w:rsidRPr="00C348F4">
        <w:rPr>
          <w:i/>
        </w:rPr>
        <w:t xml:space="preserve"> </w:t>
      </w:r>
      <w:r w:rsidR="000F6931" w:rsidRPr="00C348F4">
        <w:rPr>
          <w:i/>
        </w:rPr>
        <w:t xml:space="preserve">чем в группе </w:t>
      </w:r>
      <w:r w:rsidRPr="00C348F4">
        <w:rPr>
          <w:i/>
        </w:rPr>
        <w:t>хлорамбуцил</w:t>
      </w:r>
      <w:r w:rsidR="000F6931" w:rsidRPr="00C348F4">
        <w:rPr>
          <w:i/>
        </w:rPr>
        <w:t>а</w:t>
      </w:r>
      <w:r w:rsidR="005163D3" w:rsidRPr="00C348F4">
        <w:rPr>
          <w:i/>
        </w:rPr>
        <w:t>**</w:t>
      </w:r>
      <w:r w:rsidRPr="00C348F4">
        <w:rPr>
          <w:i/>
        </w:rPr>
        <w:t xml:space="preserve">. Общий ответ составил </w:t>
      </w:r>
      <w:r w:rsidR="005802F3" w:rsidRPr="00C348F4">
        <w:rPr>
          <w:i/>
        </w:rPr>
        <w:t>86</w:t>
      </w:r>
      <w:r w:rsidR="00DD3D1E" w:rsidRPr="00C348F4">
        <w:rPr>
          <w:i/>
        </w:rPr>
        <w:t xml:space="preserve"> %</w:t>
      </w:r>
      <w:r w:rsidRPr="00C348F4">
        <w:rPr>
          <w:i/>
        </w:rPr>
        <w:t xml:space="preserve"> в группе пациентов, получавших ибрутиниб</w:t>
      </w:r>
      <w:r w:rsidR="001F4A9B" w:rsidRPr="00C348F4">
        <w:rPr>
          <w:i/>
        </w:rPr>
        <w:t>**</w:t>
      </w:r>
      <w:r w:rsidRPr="00C348F4">
        <w:rPr>
          <w:i/>
        </w:rPr>
        <w:t xml:space="preserve">, и </w:t>
      </w:r>
      <w:r w:rsidR="005802F3" w:rsidRPr="00C348F4">
        <w:rPr>
          <w:i/>
        </w:rPr>
        <w:t>35</w:t>
      </w:r>
      <w:r w:rsidR="00DD3D1E" w:rsidRPr="00C348F4">
        <w:rPr>
          <w:i/>
        </w:rPr>
        <w:t xml:space="preserve"> %</w:t>
      </w:r>
      <w:r w:rsidR="004E268D" w:rsidRPr="00C348F4">
        <w:rPr>
          <w:i/>
        </w:rPr>
        <w:t xml:space="preserve"> –</w:t>
      </w:r>
      <w:r w:rsidRPr="00C348F4">
        <w:rPr>
          <w:i/>
        </w:rPr>
        <w:t xml:space="preserve"> в группе пациентов, получавших хлорамбуцил</w:t>
      </w:r>
      <w:r w:rsidR="005163D3" w:rsidRPr="00C348F4">
        <w:rPr>
          <w:i/>
        </w:rPr>
        <w:t>**</w:t>
      </w:r>
      <w:r w:rsidRPr="00C348F4">
        <w:rPr>
          <w:i/>
        </w:rPr>
        <w:t>, с</w:t>
      </w:r>
      <w:r w:rsidR="004E268D" w:rsidRPr="00C348F4">
        <w:rPr>
          <w:i/>
        </w:rPr>
        <w:t>о статистически</w:t>
      </w:r>
      <w:r w:rsidRPr="00C348F4">
        <w:rPr>
          <w:i/>
        </w:rPr>
        <w:t xml:space="preserve"> </w:t>
      </w:r>
      <w:r w:rsidR="004E268D" w:rsidRPr="00C348F4">
        <w:rPr>
          <w:i/>
        </w:rPr>
        <w:t xml:space="preserve">значимой </w:t>
      </w:r>
      <w:r w:rsidRPr="00C348F4">
        <w:rPr>
          <w:i/>
        </w:rPr>
        <w:t>разницей (p&lt;</w:t>
      </w:r>
      <w:r w:rsidR="00504D96" w:rsidRPr="00C348F4">
        <w:rPr>
          <w:i/>
        </w:rPr>
        <w:t xml:space="preserve"> </w:t>
      </w:r>
      <w:r w:rsidRPr="00C348F4">
        <w:rPr>
          <w:i/>
        </w:rPr>
        <w:t>0,0001). Терапия ибрутинибом</w:t>
      </w:r>
      <w:r w:rsidR="005163D3" w:rsidRPr="00C348F4">
        <w:rPr>
          <w:i/>
        </w:rPr>
        <w:t>**</w:t>
      </w:r>
      <w:r w:rsidRPr="00C348F4">
        <w:rPr>
          <w:i/>
        </w:rPr>
        <w:t xml:space="preserve"> в </w:t>
      </w:r>
      <w:r w:rsidR="004E268D" w:rsidRPr="00C348F4">
        <w:rPr>
          <w:i/>
        </w:rPr>
        <w:t>1-й</w:t>
      </w:r>
      <w:r w:rsidRPr="00C348F4">
        <w:rPr>
          <w:i/>
        </w:rPr>
        <w:t xml:space="preserve"> линии не сопровождалась значительным повышением </w:t>
      </w:r>
      <w:r w:rsidR="004E268D" w:rsidRPr="00C348F4">
        <w:rPr>
          <w:i/>
        </w:rPr>
        <w:t xml:space="preserve">частоты </w:t>
      </w:r>
      <w:r w:rsidRPr="00C348F4">
        <w:rPr>
          <w:i/>
        </w:rPr>
        <w:t xml:space="preserve">нежелательных явлений и не требовала пребывания пациентов в стационаре. </w:t>
      </w:r>
    </w:p>
    <w:p w:rsidR="00EF739D" w:rsidRDefault="00EF739D" w:rsidP="00BE7488">
      <w:pPr>
        <w:spacing w:line="343" w:lineRule="auto"/>
        <w:contextualSpacing/>
        <w:rPr>
          <w:i/>
        </w:rPr>
      </w:pPr>
      <w:r w:rsidRPr="00C348F4">
        <w:rPr>
          <w:i/>
        </w:rPr>
        <w:t xml:space="preserve">В исследовании Alliance первичные пациенты старше 65 лет рандомизировались на </w:t>
      </w:r>
      <w:r w:rsidR="004E268D" w:rsidRPr="00C348F4">
        <w:rPr>
          <w:i/>
        </w:rPr>
        <w:br/>
      </w:r>
      <w:r w:rsidRPr="00C348F4">
        <w:rPr>
          <w:i/>
        </w:rPr>
        <w:t xml:space="preserve">3 </w:t>
      </w:r>
      <w:r w:rsidR="004E268D" w:rsidRPr="00C348F4">
        <w:rPr>
          <w:i/>
        </w:rPr>
        <w:t>группы</w:t>
      </w:r>
      <w:r w:rsidRPr="00C348F4">
        <w:rPr>
          <w:i/>
        </w:rPr>
        <w:t xml:space="preserve">: </w:t>
      </w:r>
      <w:r w:rsidR="004E268D" w:rsidRPr="00C348F4">
        <w:rPr>
          <w:i/>
        </w:rPr>
        <w:t xml:space="preserve">получавшие терапию в </w:t>
      </w:r>
      <w:r w:rsidRPr="00C348F4">
        <w:rPr>
          <w:i/>
        </w:rPr>
        <w:t>режим</w:t>
      </w:r>
      <w:r w:rsidR="004E268D" w:rsidRPr="00C348F4">
        <w:rPr>
          <w:i/>
        </w:rPr>
        <w:t>е</w:t>
      </w:r>
      <w:r w:rsidRPr="00C348F4">
        <w:rPr>
          <w:i/>
        </w:rPr>
        <w:t xml:space="preserve"> BR, комбинацию ибрутиниба</w:t>
      </w:r>
      <w:r w:rsidR="000E4A49" w:rsidRPr="00C348F4">
        <w:rPr>
          <w:i/>
        </w:rPr>
        <w:t>**</w:t>
      </w:r>
      <w:r w:rsidRPr="00C348F4">
        <w:rPr>
          <w:i/>
        </w:rPr>
        <w:t xml:space="preserve"> и ритуксимаба</w:t>
      </w:r>
      <w:r w:rsidR="000E4A49" w:rsidRPr="00C348F4">
        <w:rPr>
          <w:i/>
        </w:rPr>
        <w:t>**</w:t>
      </w:r>
      <w:r w:rsidRPr="00C348F4">
        <w:rPr>
          <w:i/>
        </w:rPr>
        <w:t xml:space="preserve"> и монотерапию</w:t>
      </w:r>
      <w:r w:rsidR="000E4A49" w:rsidRPr="00C348F4">
        <w:rPr>
          <w:i/>
        </w:rPr>
        <w:t xml:space="preserve"> </w:t>
      </w:r>
      <w:r w:rsidRPr="00C348F4">
        <w:rPr>
          <w:i/>
        </w:rPr>
        <w:t>ибрутинибом</w:t>
      </w:r>
      <w:r w:rsidR="000E4A49" w:rsidRPr="00C348F4">
        <w:rPr>
          <w:i/>
        </w:rPr>
        <w:t xml:space="preserve">** </w:t>
      </w:r>
      <w:r w:rsidR="000B0AC3" w:rsidRPr="00C348F4">
        <w:rPr>
          <w:i/>
        </w:rPr>
        <w:fldChar w:fldCharType="begin" w:fldLock="1"/>
      </w:r>
      <w:r w:rsidR="00015814" w:rsidRPr="00C348F4">
        <w:rPr>
          <w:i/>
        </w:rPr>
        <w:instrText>ADDIN CSL_CITATION {"citationItems":[{"id":"ITEM-1","itemData":{"DOI":"10.1056/NEJMoa1812836","ISSN":"1533-4406","PMID":"30501481","abstract":"BACKGROUND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medicine","id":"ITEM-1","issue":"26","issued":{"date-parts":[["2018"]]},"page":"2517-2528","title":"Ibrutinib Regimens versus Chemoimmunotherapy in Older Patients with Untreated CLL.","type":"article-journal","volume":"379"},"uris":["http://www.mendeley.com/documents/?uuid=2dad136c-8d53-3f5e-8a11-7445e6ee5cdf"]}],"mendeley":{"formattedCitation":"[35]","plainTextFormattedCitation":"[35]","previouslyFormattedCitation":"[35]"},"properties":{"noteIndex":0},"schema":"https://github.com/citation-style-language/schema/raw/master/csl-citation.json"}</w:instrText>
      </w:r>
      <w:r w:rsidR="000B0AC3" w:rsidRPr="00C348F4">
        <w:rPr>
          <w:i/>
        </w:rPr>
        <w:fldChar w:fldCharType="separate"/>
      </w:r>
      <w:r w:rsidR="00015814" w:rsidRPr="00C348F4">
        <w:rPr>
          <w:noProof/>
        </w:rPr>
        <w:t>[35]</w:t>
      </w:r>
      <w:r w:rsidR="000B0AC3" w:rsidRPr="00C348F4">
        <w:rPr>
          <w:i/>
        </w:rPr>
        <w:fldChar w:fldCharType="end"/>
      </w:r>
      <w:r w:rsidRPr="00C348F4">
        <w:rPr>
          <w:i/>
        </w:rPr>
        <w:t xml:space="preserve">. Двухлетняя </w:t>
      </w:r>
      <w:r w:rsidR="000F6931" w:rsidRPr="00C348F4">
        <w:rPr>
          <w:i/>
        </w:rPr>
        <w:t>ВБП</w:t>
      </w:r>
      <w:r w:rsidRPr="00C348F4">
        <w:rPr>
          <w:i/>
        </w:rPr>
        <w:t xml:space="preserve"> в группе бендамустин</w:t>
      </w:r>
      <w:r w:rsidR="000E4A49" w:rsidRPr="00C348F4">
        <w:rPr>
          <w:i/>
        </w:rPr>
        <w:t>**</w:t>
      </w:r>
      <w:r w:rsidRPr="00C348F4">
        <w:rPr>
          <w:i/>
        </w:rPr>
        <w:t xml:space="preserve"> + ритуксимаб</w:t>
      </w:r>
      <w:r w:rsidR="000E4A49" w:rsidRPr="00C348F4">
        <w:rPr>
          <w:i/>
        </w:rPr>
        <w:t>**</w:t>
      </w:r>
      <w:r w:rsidRPr="00C348F4">
        <w:rPr>
          <w:i/>
        </w:rPr>
        <w:t xml:space="preserve"> составила 74</w:t>
      </w:r>
      <w:r w:rsidR="00DD3D1E" w:rsidRPr="00C348F4">
        <w:rPr>
          <w:i/>
        </w:rPr>
        <w:t xml:space="preserve"> %</w:t>
      </w:r>
      <w:r w:rsidRPr="00C348F4">
        <w:rPr>
          <w:i/>
        </w:rPr>
        <w:t>, в группе</w:t>
      </w:r>
      <w:r w:rsidRPr="006B609E">
        <w:rPr>
          <w:i/>
        </w:rPr>
        <w:t xml:space="preserve"> ибрутиниба</w:t>
      </w:r>
      <w:r w:rsidR="000E4A49" w:rsidRPr="000E4A49">
        <w:rPr>
          <w:i/>
        </w:rPr>
        <w:t>**</w:t>
      </w:r>
      <w:r w:rsidRPr="006B609E">
        <w:rPr>
          <w:i/>
        </w:rPr>
        <w:t xml:space="preserve"> </w:t>
      </w:r>
      <w:r w:rsidR="004E268D">
        <w:rPr>
          <w:i/>
        </w:rPr>
        <w:t xml:space="preserve">– </w:t>
      </w:r>
      <w:r w:rsidRPr="006B609E">
        <w:rPr>
          <w:i/>
        </w:rPr>
        <w:t>87</w:t>
      </w:r>
      <w:r w:rsidR="00DD3D1E">
        <w:rPr>
          <w:i/>
        </w:rPr>
        <w:t xml:space="preserve"> %</w:t>
      </w:r>
      <w:r w:rsidRPr="006B609E">
        <w:rPr>
          <w:i/>
        </w:rPr>
        <w:t xml:space="preserve">, в группе </w:t>
      </w:r>
      <w:r w:rsidR="004E268D">
        <w:rPr>
          <w:i/>
        </w:rPr>
        <w:t xml:space="preserve">комбинации </w:t>
      </w:r>
      <w:r w:rsidRPr="006B609E">
        <w:rPr>
          <w:i/>
        </w:rPr>
        <w:t>ибрутиниб</w:t>
      </w:r>
      <w:r w:rsidR="004E268D">
        <w:rPr>
          <w:i/>
        </w:rPr>
        <w:t>а</w:t>
      </w:r>
      <w:r w:rsidR="000E4A49" w:rsidRPr="000E4A49">
        <w:rPr>
          <w:i/>
        </w:rPr>
        <w:t>**</w:t>
      </w:r>
      <w:r w:rsidRPr="006B609E">
        <w:rPr>
          <w:i/>
        </w:rPr>
        <w:t xml:space="preserve"> </w:t>
      </w:r>
      <w:r w:rsidR="004E268D">
        <w:rPr>
          <w:i/>
        </w:rPr>
        <w:t>и</w:t>
      </w:r>
      <w:r w:rsidRPr="006B609E">
        <w:rPr>
          <w:i/>
        </w:rPr>
        <w:t xml:space="preserve"> ритуксимаб</w:t>
      </w:r>
      <w:r w:rsidR="004E268D">
        <w:rPr>
          <w:i/>
        </w:rPr>
        <w:t>а</w:t>
      </w:r>
      <w:r w:rsidR="000E4A49" w:rsidRPr="000E4A49">
        <w:rPr>
          <w:i/>
        </w:rPr>
        <w:t>**</w:t>
      </w:r>
      <w:r w:rsidRPr="006B609E">
        <w:rPr>
          <w:i/>
        </w:rPr>
        <w:t xml:space="preserve"> </w:t>
      </w:r>
      <w:r w:rsidR="00504D96">
        <w:rPr>
          <w:i/>
        </w:rPr>
        <w:t>–</w:t>
      </w:r>
      <w:r w:rsidRPr="006B609E">
        <w:rPr>
          <w:i/>
        </w:rPr>
        <w:t xml:space="preserve"> 88</w:t>
      </w:r>
      <w:r w:rsidR="00DD3D1E">
        <w:rPr>
          <w:i/>
        </w:rPr>
        <w:t xml:space="preserve"> %</w:t>
      </w:r>
      <w:r w:rsidRPr="006B609E">
        <w:rPr>
          <w:i/>
        </w:rPr>
        <w:t>. Частота гематологических нежелательных явлений 3, 4 или 5</w:t>
      </w:r>
      <w:r w:rsidR="004E268D">
        <w:rPr>
          <w:i/>
        </w:rPr>
        <w:t>-й</w:t>
      </w:r>
      <w:r w:rsidRPr="006B609E">
        <w:rPr>
          <w:i/>
        </w:rPr>
        <w:t xml:space="preserve"> степени была выше в группе </w:t>
      </w:r>
      <w:r w:rsidR="004E268D">
        <w:rPr>
          <w:i/>
        </w:rPr>
        <w:t xml:space="preserve">комбинации </w:t>
      </w:r>
      <w:r w:rsidRPr="006B609E">
        <w:rPr>
          <w:i/>
        </w:rPr>
        <w:t>бендамустина</w:t>
      </w:r>
      <w:r w:rsidR="000E4A49" w:rsidRPr="000E4A49">
        <w:rPr>
          <w:i/>
        </w:rPr>
        <w:t>**</w:t>
      </w:r>
      <w:r w:rsidRPr="006B609E">
        <w:rPr>
          <w:i/>
        </w:rPr>
        <w:t xml:space="preserve"> с ритуксимабом</w:t>
      </w:r>
      <w:r w:rsidR="000E4A49" w:rsidRPr="000E4A49">
        <w:rPr>
          <w:i/>
        </w:rPr>
        <w:t>**</w:t>
      </w:r>
      <w:r w:rsidRPr="006B609E">
        <w:rPr>
          <w:i/>
        </w:rPr>
        <w:t xml:space="preserve"> (61</w:t>
      </w:r>
      <w:r w:rsidR="00DD3D1E">
        <w:rPr>
          <w:i/>
        </w:rPr>
        <w:t xml:space="preserve"> %</w:t>
      </w:r>
      <w:r w:rsidRPr="006B609E">
        <w:rPr>
          <w:i/>
        </w:rPr>
        <w:t>)</w:t>
      </w:r>
      <w:r w:rsidR="004E268D">
        <w:rPr>
          <w:i/>
        </w:rPr>
        <w:t>, чем в группе</w:t>
      </w:r>
      <w:r w:rsidRPr="006B609E">
        <w:rPr>
          <w:i/>
        </w:rPr>
        <w:t xml:space="preserve"> ибрутиниб</w:t>
      </w:r>
      <w:r w:rsidR="004E268D">
        <w:rPr>
          <w:i/>
        </w:rPr>
        <w:t>а</w:t>
      </w:r>
      <w:r w:rsidR="000E4A49" w:rsidRPr="000E4A49">
        <w:rPr>
          <w:i/>
        </w:rPr>
        <w:t>**</w:t>
      </w:r>
      <w:r w:rsidRPr="006B609E">
        <w:rPr>
          <w:i/>
        </w:rPr>
        <w:t xml:space="preserve"> в </w:t>
      </w:r>
      <w:r w:rsidR="004E268D">
        <w:rPr>
          <w:i/>
        </w:rPr>
        <w:t xml:space="preserve">режиме </w:t>
      </w:r>
      <w:r w:rsidRPr="006B609E">
        <w:rPr>
          <w:i/>
        </w:rPr>
        <w:t>монотерапии (41</w:t>
      </w:r>
      <w:r w:rsidR="00DD3D1E">
        <w:rPr>
          <w:i/>
        </w:rPr>
        <w:t xml:space="preserve"> %</w:t>
      </w:r>
      <w:r w:rsidRPr="006B609E">
        <w:rPr>
          <w:i/>
        </w:rPr>
        <w:t>) и</w:t>
      </w:r>
      <w:r w:rsidR="004E268D">
        <w:rPr>
          <w:i/>
        </w:rPr>
        <w:t xml:space="preserve"> в группе</w:t>
      </w:r>
      <w:r w:rsidRPr="006B609E">
        <w:rPr>
          <w:i/>
        </w:rPr>
        <w:t xml:space="preserve"> ибрутиниба</w:t>
      </w:r>
      <w:r w:rsidR="000E4A49" w:rsidRPr="000E4A49">
        <w:rPr>
          <w:i/>
        </w:rPr>
        <w:t>**</w:t>
      </w:r>
      <w:r w:rsidRPr="006B609E">
        <w:rPr>
          <w:i/>
        </w:rPr>
        <w:t xml:space="preserve"> в комбинации с ритуксимабом</w:t>
      </w:r>
      <w:r w:rsidR="000E4A49" w:rsidRPr="000E4A49">
        <w:rPr>
          <w:i/>
        </w:rPr>
        <w:t>**</w:t>
      </w:r>
      <w:r w:rsidRPr="006B609E">
        <w:rPr>
          <w:i/>
        </w:rPr>
        <w:t xml:space="preserve"> (39</w:t>
      </w:r>
      <w:r w:rsidR="00DD3D1E">
        <w:rPr>
          <w:i/>
        </w:rPr>
        <w:t xml:space="preserve"> %</w:t>
      </w:r>
      <w:r w:rsidRPr="006B609E">
        <w:rPr>
          <w:i/>
        </w:rPr>
        <w:t>).</w:t>
      </w:r>
    </w:p>
    <w:p w:rsidR="00C103E3" w:rsidRDefault="00C103E3" w:rsidP="00BE7488">
      <w:pPr>
        <w:spacing w:line="343" w:lineRule="auto"/>
        <w:contextualSpacing/>
        <w:rPr>
          <w:i/>
        </w:rPr>
      </w:pPr>
      <w:r w:rsidRPr="00912FAC">
        <w:rPr>
          <w:i/>
        </w:rPr>
        <w:t xml:space="preserve">Добавление </w:t>
      </w:r>
      <w:r w:rsidR="004E268D" w:rsidRPr="00912FAC">
        <w:rPr>
          <w:i/>
        </w:rPr>
        <w:t>к хлорамбуцилу</w:t>
      </w:r>
      <w:r w:rsidR="004E268D">
        <w:rPr>
          <w:i/>
        </w:rPr>
        <w:t>**</w:t>
      </w:r>
      <w:r w:rsidR="004E268D" w:rsidRPr="00912FAC">
        <w:rPr>
          <w:i/>
        </w:rPr>
        <w:t xml:space="preserve"> </w:t>
      </w:r>
      <w:r w:rsidRPr="00912FAC">
        <w:rPr>
          <w:i/>
        </w:rPr>
        <w:t xml:space="preserve">моноклонального антитела </w:t>
      </w:r>
      <w:r w:rsidR="004E268D">
        <w:rPr>
          <w:i/>
        </w:rPr>
        <w:t>к</w:t>
      </w:r>
      <w:r w:rsidRPr="00912FAC">
        <w:rPr>
          <w:i/>
        </w:rPr>
        <w:t xml:space="preserve"> CD20 улучшает результаты лечения при приемлемой токсичности. В </w:t>
      </w:r>
      <w:r w:rsidR="00F07AA9">
        <w:rPr>
          <w:i/>
        </w:rPr>
        <w:t>2</w:t>
      </w:r>
      <w:r w:rsidRPr="00912FAC">
        <w:rPr>
          <w:i/>
        </w:rPr>
        <w:t xml:space="preserve"> нерандомизированных </w:t>
      </w:r>
      <w:r w:rsidRPr="004E268D">
        <w:rPr>
          <w:i/>
        </w:rPr>
        <w:t>исследованиях</w:t>
      </w:r>
      <w:r w:rsidR="000E4A49" w:rsidRPr="004E268D">
        <w:rPr>
          <w:i/>
        </w:rPr>
        <w:t xml:space="preserve"> </w:t>
      </w:r>
      <w:r w:rsidR="000B0AC3" w:rsidRPr="004E268D">
        <w:rPr>
          <w:i/>
        </w:rPr>
        <w:fldChar w:fldCharType="begin" w:fldLock="1"/>
      </w:r>
      <w:r w:rsidR="00015814">
        <w:rPr>
          <w:i/>
        </w:rPr>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[37,38]","plainTextFormattedCitation":"[37,38]","previouslyFormattedCitation":"[37,38]"},"properties":{"noteIndex":0},"schema":"https://github.com/citation-style-language/schema/raw/master/csl-citation.json"}</w:instrText>
      </w:r>
      <w:r w:rsidR="000B0AC3" w:rsidRPr="004E268D">
        <w:rPr>
          <w:i/>
        </w:rPr>
        <w:fldChar w:fldCharType="separate"/>
      </w:r>
      <w:r w:rsidR="00015814" w:rsidRPr="00015814">
        <w:rPr>
          <w:noProof/>
        </w:rPr>
        <w:t>[37,38]</w:t>
      </w:r>
      <w:r w:rsidR="000B0AC3" w:rsidRPr="004E268D">
        <w:rPr>
          <w:i/>
        </w:rPr>
        <w:fldChar w:fldCharType="end"/>
      </w:r>
      <w:r w:rsidRPr="004E268D">
        <w:rPr>
          <w:i/>
        </w:rPr>
        <w:t>,</w:t>
      </w:r>
      <w:r w:rsidRPr="00912FAC">
        <w:rPr>
          <w:i/>
        </w:rPr>
        <w:t xml:space="preserve"> выборки </w:t>
      </w:r>
      <w:r w:rsidR="00573998">
        <w:rPr>
          <w:i/>
        </w:rPr>
        <w:t>пациентов</w:t>
      </w:r>
      <w:r w:rsidR="00573998" w:rsidRPr="00912FAC">
        <w:rPr>
          <w:i/>
        </w:rPr>
        <w:t xml:space="preserve"> </w:t>
      </w:r>
      <w:r w:rsidRPr="00912FAC">
        <w:rPr>
          <w:i/>
        </w:rPr>
        <w:t>в которых различались по коморбидности, показано, что добавление ритуксимаба</w:t>
      </w:r>
      <w:r w:rsidR="00F16D99">
        <w:rPr>
          <w:i/>
        </w:rPr>
        <w:t>**</w:t>
      </w:r>
      <w:r w:rsidRPr="00912FAC">
        <w:rPr>
          <w:i/>
        </w:rPr>
        <w:t xml:space="preserve"> к хлорамбуцилу</w:t>
      </w:r>
      <w:r w:rsidR="005163D3">
        <w:rPr>
          <w:i/>
        </w:rPr>
        <w:t>**</w:t>
      </w:r>
      <w:r w:rsidR="004E268D">
        <w:rPr>
          <w:i/>
        </w:rPr>
        <w:t xml:space="preserve"> увеличивает медиану ВБП c 18 </w:t>
      </w:r>
      <w:r w:rsidRPr="00912FAC">
        <w:rPr>
          <w:i/>
        </w:rPr>
        <w:t>до 24 мес</w:t>
      </w:r>
      <w:r w:rsidR="00504D96">
        <w:rPr>
          <w:i/>
        </w:rPr>
        <w:t>.</w:t>
      </w:r>
      <w:r w:rsidRPr="00912FAC">
        <w:rPr>
          <w:i/>
        </w:rPr>
        <w:t>, кроме пациентов с del11q, у которых ВБП составила 12 мес. Комбинация хлорамбуцила</w:t>
      </w:r>
      <w:r w:rsidR="005163D3">
        <w:rPr>
          <w:i/>
        </w:rPr>
        <w:t>**</w:t>
      </w:r>
      <w:r w:rsidRPr="00912FAC">
        <w:rPr>
          <w:i/>
        </w:rPr>
        <w:t xml:space="preserve"> с ритуксимабом</w:t>
      </w:r>
      <w:r w:rsidR="00F16D99">
        <w:rPr>
          <w:i/>
        </w:rPr>
        <w:t>**</w:t>
      </w:r>
      <w:r w:rsidRPr="00912FAC">
        <w:rPr>
          <w:i/>
        </w:rPr>
        <w:t xml:space="preserve"> значительно уступает по эффективности всем остальным вариантам лечения по</w:t>
      </w:r>
      <w:r w:rsidR="004E268D">
        <w:rPr>
          <w:i/>
        </w:rPr>
        <w:t>жилых пациентов. П</w:t>
      </w:r>
      <w:r w:rsidRPr="00912FAC">
        <w:rPr>
          <w:i/>
        </w:rPr>
        <w:t>редпочтительн</w:t>
      </w:r>
      <w:r w:rsidR="004E268D">
        <w:rPr>
          <w:i/>
        </w:rPr>
        <w:t>ы</w:t>
      </w:r>
      <w:r w:rsidRPr="00912FAC">
        <w:rPr>
          <w:i/>
        </w:rPr>
        <w:t xml:space="preserve"> другие варианты лечения. </w:t>
      </w:r>
    </w:p>
    <w:p w:rsidR="006B1011" w:rsidRPr="00C348F4" w:rsidRDefault="006B1011" w:rsidP="00BE7488">
      <w:pPr>
        <w:spacing w:line="343" w:lineRule="auto"/>
        <w:rPr>
          <w:i/>
          <w:sz w:val="22"/>
          <w:lang w:val="en-US"/>
        </w:rPr>
      </w:pPr>
      <w:r w:rsidRPr="00DA5232">
        <w:rPr>
          <w:i/>
        </w:rPr>
        <w:t>В исследовани</w:t>
      </w:r>
      <w:r w:rsidR="004E268D">
        <w:rPr>
          <w:i/>
        </w:rPr>
        <w:t>е</w:t>
      </w:r>
      <w:r w:rsidRPr="00DA5232">
        <w:rPr>
          <w:i/>
        </w:rPr>
        <w:t xml:space="preserve"> </w:t>
      </w:r>
      <w:r w:rsidRPr="00DA5232">
        <w:rPr>
          <w:i/>
          <w:lang w:val="en-US"/>
        </w:rPr>
        <w:t>CLL</w:t>
      </w:r>
      <w:r w:rsidRPr="00DA5232">
        <w:rPr>
          <w:i/>
        </w:rPr>
        <w:t xml:space="preserve"> 14 было включено 432 пациента (средний возраст 72 года, С</w:t>
      </w:r>
      <w:r w:rsidRPr="00DA5232">
        <w:rPr>
          <w:i/>
          <w:lang w:val="en-US"/>
        </w:rPr>
        <w:t>IRS</w:t>
      </w:r>
      <w:r w:rsidRPr="00DA5232">
        <w:rPr>
          <w:i/>
        </w:rPr>
        <w:t xml:space="preserve"> </w:t>
      </w:r>
      <w:r w:rsidR="004E268D">
        <w:rPr>
          <w:i/>
        </w:rPr>
        <w:br/>
      </w:r>
      <w:r w:rsidRPr="00DA5232">
        <w:rPr>
          <w:i/>
        </w:rPr>
        <w:t>8 баллов, клиренс кре</w:t>
      </w:r>
      <w:r w:rsidR="004E268D">
        <w:rPr>
          <w:i/>
        </w:rPr>
        <w:t>а</w:t>
      </w:r>
      <w:r w:rsidRPr="00DA5232">
        <w:rPr>
          <w:i/>
        </w:rPr>
        <w:t>тинина 66,4 мл/мин). Пациенты были рандомизированы на группы, получавшие комбинацию венетоклакса и обинутузумаба и</w:t>
      </w:r>
      <w:r w:rsidR="004E268D">
        <w:rPr>
          <w:i/>
        </w:rPr>
        <w:t xml:space="preserve"> получавшие комбинацию</w:t>
      </w:r>
      <w:r w:rsidRPr="00DA5232">
        <w:rPr>
          <w:i/>
        </w:rPr>
        <w:t xml:space="preserve"> хлорамбуцила</w:t>
      </w:r>
      <w:r w:rsidR="000E4A49" w:rsidRPr="000E4A49">
        <w:rPr>
          <w:i/>
        </w:rPr>
        <w:t>**</w:t>
      </w:r>
      <w:r w:rsidRPr="00DA5232">
        <w:rPr>
          <w:i/>
        </w:rPr>
        <w:t xml:space="preserve"> и обинутузумаба (216 пациентов в каждой группе). </w:t>
      </w:r>
      <w:r w:rsidR="004E268D">
        <w:rPr>
          <w:i/>
        </w:rPr>
        <w:t>Т</w:t>
      </w:r>
      <w:r w:rsidRPr="00DA5232">
        <w:rPr>
          <w:i/>
        </w:rPr>
        <w:t>ерапи</w:t>
      </w:r>
      <w:r w:rsidR="004E268D">
        <w:rPr>
          <w:i/>
        </w:rPr>
        <w:t>я проводилась</w:t>
      </w:r>
      <w:r w:rsidRPr="00DA5232">
        <w:rPr>
          <w:i/>
        </w:rPr>
        <w:t xml:space="preserve"> </w:t>
      </w:r>
      <w:r w:rsidRPr="00DA5232">
        <w:rPr>
          <w:i/>
        </w:rPr>
        <w:lastRenderedPageBreak/>
        <w:t>фиксированным курсом</w:t>
      </w:r>
      <w:r w:rsidR="004E268D">
        <w:rPr>
          <w:i/>
        </w:rPr>
        <w:t xml:space="preserve"> длительностью</w:t>
      </w:r>
      <w:r w:rsidRPr="00DA5232">
        <w:rPr>
          <w:i/>
        </w:rPr>
        <w:t xml:space="preserve"> 12 мес.</w:t>
      </w:r>
      <w:r w:rsidR="00DD3D1E">
        <w:rPr>
          <w:i/>
        </w:rPr>
        <w:t xml:space="preserve"> </w:t>
      </w:r>
      <w:r w:rsidRPr="00DA5232">
        <w:rPr>
          <w:i/>
        </w:rPr>
        <w:t>Через 24 мес</w:t>
      </w:r>
      <w:r w:rsidR="00504D96">
        <w:rPr>
          <w:i/>
        </w:rPr>
        <w:t>.</w:t>
      </w:r>
      <w:r w:rsidRPr="00DA5232">
        <w:rPr>
          <w:i/>
        </w:rPr>
        <w:t xml:space="preserve"> </w:t>
      </w:r>
      <w:r w:rsidR="00B57859">
        <w:rPr>
          <w:i/>
        </w:rPr>
        <w:t xml:space="preserve">ВБП </w:t>
      </w:r>
      <w:r w:rsidRPr="00DA5232">
        <w:rPr>
          <w:i/>
        </w:rPr>
        <w:t xml:space="preserve">была достоверно выше </w:t>
      </w:r>
      <w:r w:rsidR="004E268D">
        <w:rPr>
          <w:i/>
        </w:rPr>
        <w:t>в группе</w:t>
      </w:r>
      <w:r w:rsidRPr="00DA5232">
        <w:rPr>
          <w:i/>
        </w:rPr>
        <w:t xml:space="preserve"> венетоклакс</w:t>
      </w:r>
      <w:r w:rsidR="004E268D">
        <w:rPr>
          <w:i/>
        </w:rPr>
        <w:t>а и обинутузумаба</w:t>
      </w:r>
      <w:r w:rsidR="00DA5232">
        <w:rPr>
          <w:i/>
        </w:rPr>
        <w:t xml:space="preserve">, </w:t>
      </w:r>
      <w:r w:rsidR="004E268D">
        <w:rPr>
          <w:i/>
        </w:rPr>
        <w:t>чем в группе</w:t>
      </w:r>
      <w:r w:rsidRPr="00DA5232">
        <w:rPr>
          <w:i/>
        </w:rPr>
        <w:t xml:space="preserve"> хлорамбуцил</w:t>
      </w:r>
      <w:r w:rsidR="004E268D">
        <w:rPr>
          <w:i/>
        </w:rPr>
        <w:t>а</w:t>
      </w:r>
      <w:r w:rsidR="000E4A49" w:rsidRPr="000E4A49">
        <w:rPr>
          <w:i/>
        </w:rPr>
        <w:t>**</w:t>
      </w:r>
      <w:r w:rsidRPr="00DA5232">
        <w:rPr>
          <w:i/>
        </w:rPr>
        <w:t xml:space="preserve"> и обинутузумаб</w:t>
      </w:r>
      <w:r w:rsidR="004E268D">
        <w:rPr>
          <w:i/>
        </w:rPr>
        <w:t>а</w:t>
      </w:r>
      <w:r w:rsidRPr="00DA5232">
        <w:rPr>
          <w:i/>
        </w:rPr>
        <w:t xml:space="preserve"> </w:t>
      </w:r>
      <w:r w:rsidR="004E268D">
        <w:rPr>
          <w:i/>
        </w:rPr>
        <w:t>(</w:t>
      </w:r>
      <w:r w:rsidRPr="00DA5232">
        <w:rPr>
          <w:i/>
        </w:rPr>
        <w:t>88</w:t>
      </w:r>
      <w:r w:rsidR="004E268D">
        <w:rPr>
          <w:i/>
        </w:rPr>
        <w:t>,</w:t>
      </w:r>
      <w:r w:rsidRPr="00DA5232">
        <w:rPr>
          <w:i/>
        </w:rPr>
        <w:t>2 и 64</w:t>
      </w:r>
      <w:r w:rsidR="004E268D">
        <w:rPr>
          <w:i/>
        </w:rPr>
        <w:t>,</w:t>
      </w:r>
      <w:r w:rsidRPr="00DA5232">
        <w:rPr>
          <w:i/>
        </w:rPr>
        <w:t>1</w:t>
      </w:r>
      <w:r w:rsidR="00DD3D1E">
        <w:rPr>
          <w:i/>
        </w:rPr>
        <w:t xml:space="preserve"> %</w:t>
      </w:r>
      <w:r w:rsidRPr="00DA5232">
        <w:rPr>
          <w:i/>
        </w:rPr>
        <w:t xml:space="preserve"> соответственно</w:t>
      </w:r>
      <w:r w:rsidR="004E268D">
        <w:rPr>
          <w:i/>
        </w:rPr>
        <w:t>)</w:t>
      </w:r>
      <w:r w:rsidRPr="00DA5232">
        <w:rPr>
          <w:i/>
        </w:rPr>
        <w:t>. Данное преимущество отмечалось</w:t>
      </w:r>
      <w:r w:rsidR="00DD3D1E">
        <w:rPr>
          <w:i/>
        </w:rPr>
        <w:t xml:space="preserve"> </w:t>
      </w:r>
      <w:r w:rsidR="004E268D">
        <w:rPr>
          <w:i/>
        </w:rPr>
        <w:t>у</w:t>
      </w:r>
      <w:r w:rsidRPr="00DA5232">
        <w:rPr>
          <w:i/>
        </w:rPr>
        <w:t xml:space="preserve"> пациентов </w:t>
      </w:r>
      <w:r w:rsidR="004E268D" w:rsidRPr="00DA5232">
        <w:rPr>
          <w:i/>
        </w:rPr>
        <w:t xml:space="preserve">с </w:t>
      </w:r>
      <w:r w:rsidR="004E268D">
        <w:rPr>
          <w:i/>
        </w:rPr>
        <w:t>наличием и отсутствием</w:t>
      </w:r>
      <w:r w:rsidRPr="00DA5232">
        <w:rPr>
          <w:i/>
        </w:rPr>
        <w:t xml:space="preserve"> делеци</w:t>
      </w:r>
      <w:r w:rsidR="004E268D">
        <w:rPr>
          <w:i/>
        </w:rPr>
        <w:t>и</w:t>
      </w:r>
      <w:r w:rsidRPr="00DA5232">
        <w:rPr>
          <w:i/>
        </w:rPr>
        <w:t xml:space="preserve"> </w:t>
      </w:r>
      <w:r w:rsidR="004E268D" w:rsidRPr="00DA5232">
        <w:rPr>
          <w:i/>
        </w:rPr>
        <w:t xml:space="preserve">17р </w:t>
      </w:r>
      <w:r w:rsidRPr="00DA5232">
        <w:rPr>
          <w:i/>
        </w:rPr>
        <w:t>и мутаци</w:t>
      </w:r>
      <w:r w:rsidR="004E268D">
        <w:rPr>
          <w:i/>
        </w:rPr>
        <w:t>и</w:t>
      </w:r>
      <w:r w:rsidRPr="00DA5232">
        <w:rPr>
          <w:i/>
        </w:rPr>
        <w:t xml:space="preserve"> </w:t>
      </w:r>
      <w:r w:rsidR="004E268D" w:rsidRPr="00DA5232">
        <w:rPr>
          <w:i/>
        </w:rPr>
        <w:t>ТР53</w:t>
      </w:r>
      <w:r w:rsidR="004E268D">
        <w:rPr>
          <w:i/>
        </w:rPr>
        <w:t>,</w:t>
      </w:r>
      <w:r w:rsidRPr="00DA5232">
        <w:rPr>
          <w:i/>
        </w:rPr>
        <w:t xml:space="preserve"> с </w:t>
      </w:r>
      <w:r w:rsidR="004E268D">
        <w:rPr>
          <w:i/>
        </w:rPr>
        <w:t xml:space="preserve">наличием и отсутствием мутации генов </w:t>
      </w:r>
      <w:r w:rsidRPr="00C348F4">
        <w:rPr>
          <w:i/>
          <w:lang w:val="en-US"/>
        </w:rPr>
        <w:t>IGHV</w:t>
      </w:r>
      <w:r w:rsidRPr="00C348F4">
        <w:rPr>
          <w:i/>
        </w:rPr>
        <w:t>.</w:t>
      </w:r>
      <w:r w:rsidR="00DD3D1E" w:rsidRPr="00C348F4">
        <w:rPr>
          <w:i/>
        </w:rPr>
        <w:t xml:space="preserve"> </w:t>
      </w:r>
      <w:r w:rsidRPr="00C348F4">
        <w:rPr>
          <w:i/>
        </w:rPr>
        <w:t>Частота общего ответа составила 84,7</w:t>
      </w:r>
      <w:r w:rsidR="00DD3D1E" w:rsidRPr="00C348F4">
        <w:rPr>
          <w:i/>
        </w:rPr>
        <w:t xml:space="preserve"> %</w:t>
      </w:r>
      <w:r w:rsidRPr="00C348F4">
        <w:rPr>
          <w:i/>
        </w:rPr>
        <w:t xml:space="preserve"> </w:t>
      </w:r>
      <w:r w:rsidR="004E268D" w:rsidRPr="00C348F4">
        <w:rPr>
          <w:i/>
        </w:rPr>
        <w:t>в группе</w:t>
      </w:r>
      <w:r w:rsidRPr="00C348F4">
        <w:rPr>
          <w:i/>
        </w:rPr>
        <w:t xml:space="preserve"> венетоклакс</w:t>
      </w:r>
      <w:r w:rsidR="004E268D" w:rsidRPr="00C348F4">
        <w:rPr>
          <w:i/>
        </w:rPr>
        <w:t>а</w:t>
      </w:r>
      <w:r w:rsidRPr="00C348F4">
        <w:rPr>
          <w:i/>
        </w:rPr>
        <w:t xml:space="preserve"> </w:t>
      </w:r>
      <w:r w:rsidR="004E268D" w:rsidRPr="00C348F4">
        <w:rPr>
          <w:i/>
        </w:rPr>
        <w:br/>
      </w:r>
      <w:r w:rsidRPr="00C348F4">
        <w:rPr>
          <w:i/>
        </w:rPr>
        <w:t>(</w:t>
      </w:r>
      <w:r w:rsidR="004E268D" w:rsidRPr="00C348F4">
        <w:rPr>
          <w:i/>
        </w:rPr>
        <w:t xml:space="preserve">в </w:t>
      </w:r>
      <w:r w:rsidRPr="00C348F4">
        <w:rPr>
          <w:i/>
        </w:rPr>
        <w:t>49,5</w:t>
      </w:r>
      <w:r w:rsidR="00DD3D1E" w:rsidRPr="00C348F4">
        <w:rPr>
          <w:i/>
        </w:rPr>
        <w:t xml:space="preserve"> %</w:t>
      </w:r>
      <w:r w:rsidRPr="00C348F4">
        <w:rPr>
          <w:i/>
        </w:rPr>
        <w:t xml:space="preserve"> </w:t>
      </w:r>
      <w:r w:rsidR="004E268D" w:rsidRPr="00C348F4">
        <w:rPr>
          <w:i/>
        </w:rPr>
        <w:t>случаев –</w:t>
      </w:r>
      <w:r w:rsidRPr="00C348F4">
        <w:rPr>
          <w:i/>
        </w:rPr>
        <w:t xml:space="preserve"> полная ремиссия</w:t>
      </w:r>
      <w:r w:rsidR="004E268D" w:rsidRPr="00C348F4">
        <w:rPr>
          <w:i/>
        </w:rPr>
        <w:t>, в</w:t>
      </w:r>
      <w:r w:rsidRPr="00C348F4">
        <w:rPr>
          <w:i/>
        </w:rPr>
        <w:t xml:space="preserve"> 35,2</w:t>
      </w:r>
      <w:r w:rsidR="004E268D" w:rsidRPr="00C348F4">
        <w:rPr>
          <w:i/>
        </w:rPr>
        <w:t xml:space="preserve"> %</w:t>
      </w:r>
      <w:r w:rsidRPr="00C348F4">
        <w:rPr>
          <w:i/>
        </w:rPr>
        <w:t xml:space="preserve"> – частичная) и 71,2</w:t>
      </w:r>
      <w:r w:rsidR="00DD3D1E" w:rsidRPr="00C348F4">
        <w:rPr>
          <w:i/>
        </w:rPr>
        <w:t xml:space="preserve"> %</w:t>
      </w:r>
      <w:r w:rsidRPr="00C348F4">
        <w:rPr>
          <w:i/>
        </w:rPr>
        <w:t xml:space="preserve"> </w:t>
      </w:r>
      <w:r w:rsidR="004E268D" w:rsidRPr="00C348F4">
        <w:rPr>
          <w:i/>
        </w:rPr>
        <w:t>в группе</w:t>
      </w:r>
      <w:r w:rsidRPr="00C348F4">
        <w:rPr>
          <w:i/>
        </w:rPr>
        <w:t xml:space="preserve"> хлорамбуцил</w:t>
      </w:r>
      <w:r w:rsidR="004E268D" w:rsidRPr="00C348F4">
        <w:rPr>
          <w:i/>
        </w:rPr>
        <w:t>а</w:t>
      </w:r>
      <w:r w:rsidRPr="00C348F4">
        <w:rPr>
          <w:i/>
        </w:rPr>
        <w:t xml:space="preserve"> и обинутузумаб</w:t>
      </w:r>
      <w:r w:rsidR="004E268D" w:rsidRPr="00C348F4">
        <w:rPr>
          <w:i/>
        </w:rPr>
        <w:t>а</w:t>
      </w:r>
      <w:r w:rsidRPr="00C348F4">
        <w:rPr>
          <w:i/>
        </w:rPr>
        <w:t xml:space="preserve"> (</w:t>
      </w:r>
      <w:r w:rsidR="004E268D" w:rsidRPr="00C348F4">
        <w:rPr>
          <w:i/>
        </w:rPr>
        <w:t xml:space="preserve">в </w:t>
      </w:r>
      <w:r w:rsidRPr="00C348F4">
        <w:rPr>
          <w:i/>
        </w:rPr>
        <w:t>23,1</w:t>
      </w:r>
      <w:r w:rsidR="00DD3D1E" w:rsidRPr="00C348F4">
        <w:rPr>
          <w:i/>
        </w:rPr>
        <w:t xml:space="preserve"> %</w:t>
      </w:r>
      <w:r w:rsidR="00560CBA" w:rsidRPr="00C348F4">
        <w:rPr>
          <w:i/>
        </w:rPr>
        <w:t xml:space="preserve"> –</w:t>
      </w:r>
      <w:r w:rsidRPr="00C348F4">
        <w:rPr>
          <w:i/>
        </w:rPr>
        <w:t xml:space="preserve"> полная ремиссия</w:t>
      </w:r>
      <w:r w:rsidR="004E268D" w:rsidRPr="00C348F4">
        <w:rPr>
          <w:i/>
        </w:rPr>
        <w:t>, в</w:t>
      </w:r>
      <w:r w:rsidRPr="00C348F4">
        <w:rPr>
          <w:i/>
        </w:rPr>
        <w:t xml:space="preserve"> 48,1</w:t>
      </w:r>
      <w:r w:rsidR="00DD3D1E" w:rsidRPr="00C348F4">
        <w:rPr>
          <w:i/>
        </w:rPr>
        <w:t xml:space="preserve"> %</w:t>
      </w:r>
      <w:r w:rsidR="00F07AA9" w:rsidRPr="00C348F4">
        <w:rPr>
          <w:i/>
        </w:rPr>
        <w:t xml:space="preserve"> </w:t>
      </w:r>
      <w:r w:rsidRPr="00C348F4">
        <w:rPr>
          <w:i/>
        </w:rPr>
        <w:t>– частичная) (</w:t>
      </w:r>
      <w:r w:rsidRPr="00C348F4">
        <w:rPr>
          <w:i/>
          <w:lang w:val="en-US"/>
        </w:rPr>
        <w:t>p</w:t>
      </w:r>
      <w:r w:rsidR="00560CBA" w:rsidRPr="00C348F4">
        <w:rPr>
          <w:i/>
        </w:rPr>
        <w:t xml:space="preserve"> </w:t>
      </w:r>
      <w:r w:rsidRPr="00C348F4">
        <w:rPr>
          <w:i/>
        </w:rPr>
        <w:t>&lt;</w:t>
      </w:r>
      <w:r w:rsidR="00560CBA" w:rsidRPr="00C348F4">
        <w:rPr>
          <w:i/>
        </w:rPr>
        <w:t xml:space="preserve"> </w:t>
      </w:r>
      <w:r w:rsidRPr="00C348F4">
        <w:rPr>
          <w:i/>
        </w:rPr>
        <w:t>0,001)</w:t>
      </w:r>
      <w:r w:rsidR="000E4A49" w:rsidRPr="00C348F4">
        <w:rPr>
          <w:i/>
        </w:rPr>
        <w:t xml:space="preserve"> </w:t>
      </w:r>
      <w:r w:rsidR="000B0AC3" w:rsidRPr="00C348F4">
        <w:rPr>
          <w:i/>
        </w:rPr>
        <w:fldChar w:fldCharType="begin" w:fldLock="1"/>
      </w:r>
      <w:r w:rsidR="00015814" w:rsidRPr="00C348F4">
        <w:rPr>
          <w:i/>
        </w:rPr>
        <w:instrText>ADDIN CSL_CITATION {"citationItems":[{"id":"ITEM-1","itemData":{"DOI":"10.1056/NEJMoa1815281","ISSN":"1533-4406","PMID":"31166681","abstract":"BACKGROUND The BCL2 inhibitor venetoclax has shown activity in patients with chronic lymphocytic leukemia (CLL), but its efficacy in combination with other agents in patients with CLL and coexisting conditions is not known. METHODS In this open-label, phase 3 trial, we investigated fixed-duration treatment with venetoclax and obinutuzumab in patients with previously untreated CLL and coexisting conditions. Patients with a score of greater than 6 on the Cumulative Illness Rating Scale (scores range from 0 to 56, with higher scores indicating more impaired function of organ systems) or a calculated creatinine clearance of less than 70 ml per minute were randomly assigned to receive venetoclax-obinutuzumab or chlorambucil-obinutuzumab. The primary end point was investigator-assessed progression-free survival. The safety of each regimen was also evaluated. RESULTS In total, 432 patients (median age, 72 years; median Cumulative Illness Rating Scale score, 8; median creatinine clearance, 66.4 ml per minute) underwent randomization, with 216 assigned to each group. After a median follow-up of 28.1 months, 30 primary end-point events (disease progression or death) had occurred in the venetoclax-obinutuzumab group and 77 had occurred in the chlorambucil-obinutuzumab group (hazard ratio, 0.35; 95% confidence interval [CI], 0.23 to 0.53; P&lt;0.001). The Kaplan-Meier estimate of the percentage of patients with progression-free survival at 24 months was significantly higher in the venetoclax-obinutuzumab group than in the chlorambucil-obinutuzumab group: 88.2% (95% CI, 83.7 to 92.6) as compared with 64.1% (95% CI, 57.4 to 70.8). This benefit was also observed in patients with TP53 deletion, mutation, or both and in patients with unmutated immunoglobulin heavy-chain genes. Grade 3 or 4 neutropenia occurred in 52.8% of patients in the venetoclax-obinutuzumab group and in 48.1% of patients in the chlorambucil-obinutuzumab group, and grade 3 or 4 infections occurred in 17.5% and 15.0%, respectively. All-cause mortality was 9.3% in the venetoclax-obinutuzumab group and 7.9% in the chlorambucil-obinutuzumab group. These differences were not significant. CONCLUSIONS Among patients with untreated CLL and coexisting conditions, venetoclax-obinutuzumab was associated with longer progression-free survival than chlorambucil-obinutuzumab. (Funded by F. Hoffmann-La Roche and AbbVie; ClinicalTrials.gov number, NCT02242942.).","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medicine","id":"ITEM-1","issue":"23","issued":{"date-parts":[["2019"]]},"page":"2225-2236","title":"Venetoclax and Obinutuzumab in Patients with CLL and Coexisting Conditions.","type":"article-journal","volume":"380"},"uris":["http://www.mendeley.com/documents/?uuid=a0affb4b-6980-32ef-bb14-19803b6f2624"]}],"mendeley":{"formattedCitation":"[39]","plainTextFormattedCitation":"[39]","previouslyFormattedCitation":"[39]"},"properties":{"noteIndex":0},"schema":"https://github.com/citation-style-language/schema/raw/master/csl-citation.json"}</w:instrText>
      </w:r>
      <w:r w:rsidR="000B0AC3" w:rsidRPr="00C348F4">
        <w:rPr>
          <w:i/>
        </w:rPr>
        <w:fldChar w:fldCharType="separate"/>
      </w:r>
      <w:r w:rsidR="00015814" w:rsidRPr="00C348F4">
        <w:rPr>
          <w:noProof/>
        </w:rPr>
        <w:t>[39]</w:t>
      </w:r>
      <w:r w:rsidR="000B0AC3" w:rsidRPr="00C348F4">
        <w:rPr>
          <w:i/>
        </w:rPr>
        <w:fldChar w:fldCharType="end"/>
      </w:r>
      <w:r w:rsidR="000E4A49" w:rsidRPr="00C348F4">
        <w:rPr>
          <w:i/>
          <w:lang w:val="en-US"/>
        </w:rPr>
        <w:t>.</w:t>
      </w:r>
    </w:p>
    <w:p w:rsidR="00386423" w:rsidRPr="00C348F4" w:rsidRDefault="00C740F1" w:rsidP="0086213E">
      <w:pPr>
        <w:pStyle w:val="a"/>
        <w:tabs>
          <w:tab w:val="left" w:pos="1134"/>
        </w:tabs>
        <w:spacing w:line="343" w:lineRule="auto"/>
      </w:pPr>
      <w:r w:rsidRPr="00C348F4">
        <w:t>Пациентам</w:t>
      </w:r>
      <w:r w:rsidR="006D567B" w:rsidRPr="00C348F4">
        <w:t xml:space="preserve"> </w:t>
      </w:r>
      <w:r w:rsidR="004E268D" w:rsidRPr="00C348F4">
        <w:t>старше 75–</w:t>
      </w:r>
      <w:r w:rsidR="001838D7" w:rsidRPr="00C348F4">
        <w:t>80 лет</w:t>
      </w:r>
      <w:r w:rsidR="004D7374" w:rsidRPr="00C348F4">
        <w:t xml:space="preserve"> </w:t>
      </w:r>
      <w:r w:rsidR="004E268D" w:rsidRPr="00C348F4">
        <w:t>с верифицированным ХЛЛ/ЛМЛ и</w:t>
      </w:r>
      <w:r w:rsidR="004D7374" w:rsidRPr="00C348F4">
        <w:t xml:space="preserve"> невысокой ожидаемой продолжительностью жизни, обусловленной возрастом, органной недостаточностью</w:t>
      </w:r>
      <w:r w:rsidR="00A04E7F" w:rsidRPr="00C348F4">
        <w:t>, тяжелыми сопутствующими</w:t>
      </w:r>
      <w:r w:rsidR="005163D3" w:rsidRPr="00C348F4">
        <w:t xml:space="preserve"> заболе</w:t>
      </w:r>
      <w:r w:rsidR="004D7374" w:rsidRPr="00C348F4">
        <w:t xml:space="preserve">ваниями, </w:t>
      </w:r>
      <w:r w:rsidR="004D7374" w:rsidRPr="00C348F4">
        <w:rPr>
          <w:b/>
        </w:rPr>
        <w:t>рекомендован</w:t>
      </w:r>
      <w:r w:rsidR="004E268D" w:rsidRPr="00C348F4">
        <w:rPr>
          <w:b/>
        </w:rPr>
        <w:t>ы</w:t>
      </w:r>
      <w:r w:rsidR="004D7374" w:rsidRPr="00C348F4">
        <w:t xml:space="preserve"> наименее токсичные варианты терапии</w:t>
      </w:r>
      <w:r w:rsidR="00386423" w:rsidRPr="00C348F4">
        <w:t>:</w:t>
      </w:r>
    </w:p>
    <w:p w:rsidR="00386423" w:rsidRPr="00C348F4" w:rsidRDefault="00646FFF" w:rsidP="0086213E">
      <w:pPr>
        <w:pStyle w:val="a"/>
        <w:numPr>
          <w:ilvl w:val="0"/>
          <w:numId w:val="31"/>
        </w:numPr>
        <w:tabs>
          <w:tab w:val="left" w:pos="1134"/>
        </w:tabs>
        <w:spacing w:before="0" w:line="343" w:lineRule="auto"/>
      </w:pPr>
      <w:r w:rsidRPr="00C348F4">
        <w:t>М</w:t>
      </w:r>
      <w:r w:rsidR="004D7374" w:rsidRPr="00C348F4">
        <w:t>онотерапи</w:t>
      </w:r>
      <w:r w:rsidRPr="00C348F4">
        <w:t xml:space="preserve">я </w:t>
      </w:r>
      <w:r w:rsidR="004D7374" w:rsidRPr="00C348F4">
        <w:t>хлорамбуцилом</w:t>
      </w:r>
      <w:r w:rsidR="005163D3" w:rsidRPr="00C348F4">
        <w:t>**</w:t>
      </w:r>
      <w:r w:rsidR="002F0C58" w:rsidRPr="00C348F4">
        <w:t xml:space="preserve"> </w:t>
      </w:r>
      <w:r w:rsidR="002F0C58" w:rsidRPr="00C348F4">
        <w:rPr>
          <w:rFonts w:eastAsia="Times New Roman"/>
          <w:lang w:eastAsia="ru-RU"/>
        </w:rPr>
        <w:t>0,07–0,20 мг/кг внутрь ежедневно в течение 2–4 нед. с последующим подбором дозы.</w:t>
      </w:r>
      <w:r w:rsidR="00607358" w:rsidRPr="00C348F4">
        <w:t xml:space="preserve"> </w:t>
      </w:r>
      <w:r w:rsidR="000B0AC3" w:rsidRPr="00C348F4">
        <w:fldChar w:fldCharType="begin" w:fldLock="1"/>
      </w:r>
      <w:r w:rsidR="00015814" w:rsidRPr="00C348F4">
        <w:instrText>ADDIN CSL_CITATION {"citationItems":[{"id":"ITEM-1","itemData":{"DOI":"10.1016/j.clml.2011.02.006","ISSN":"21522669","abstract":"Although chlorambucil has been used in the management of chronic lymphocytic leukemia (CLL) for 55 years, the optimal dose and treatment duration have not been established. We summarized data from 4 UK randomized CLL trials over the past 30 years in which chlorambucil, as a single agent, was one of the study arms. Overall response rates (ORR) ranged from 57% to 75% when using doses of 60-70 mg/m2 per 28-day cycle. This compares favorably with an ORR of 31% to 55% in other studies that used lower doses. Response rates improved when patients received 6 or more courses. Studies that used chlorambucil as a comparator, at lower doses or with fewer courses, resulted in consistently lower ORR. Comparisons with single-agent fludarabine in 2 randomized trials (LRF CLL4 and German CLL5) showed similar progression-free survival. Chlorambucil compares favorably with fludarabine and bendamustine with respect to myelotoxicity, neutropenia, and fever, even at 70 mg/m2 per cycle and in the elderly. Resistance to chlorambucil does not preclude a good response to newer treatments used as second-line treatment, which explains the good survival after progression observed in patients randomized to chlorambucil in LRF CLL4. Chlorambucil is currently being combined with anti-CD20 monoclonal antibodies in several phase II and III trials. It remains a useful drug for patients unfit to receive more intensive combinations. However, both the dose and duration of treatment are important. © 2011 Published by Elsevier Inc.","author":[{"dropping-particle":"","family":"Catovsky","given":"Daniel","non-dropping-particle":"","parse-names":false,"suffix":""},{"dropping-particle":"","family":"Else","given":"Monica","non-dropping-particle":"","parse-names":false,"suffix":""},{"dropping-particle":"","family":"Richards","given":"Sue","non-dropping-particle":"","parse-names":false,"suffix":""}],"container-title":"Clinical Lymphoma, Myeloma and Leukemia","id":"ITEM-1","issue":"SUPPL.1","issued":{"date-parts":[["2011"]]},"page":"S2","publisher":"Elsevier Inc.","title":"Chlorambucil-still not bad: A reappraisal","type":"paper-conference","volume":"11"},"uris":["http://www.mendeley.com/documents/?uuid=4f3024a5-57ed-3655-a327-6312bad1b8af"]}],"mendeley":{"formattedCitation":"[41]","plainTextFormattedCitation":"[41]","previouslyFormattedCitation":"[41]"},"properties":{"noteIndex":0},"schema":"https://github.com/citation-style-language/schema/raw/master/csl-citation.json"}</w:instrText>
      </w:r>
      <w:r w:rsidR="000B0AC3" w:rsidRPr="00C348F4">
        <w:fldChar w:fldCharType="separate"/>
      </w:r>
      <w:r w:rsidR="00015814" w:rsidRPr="00C348F4">
        <w:rPr>
          <w:noProof/>
        </w:rPr>
        <w:t>[41]</w:t>
      </w:r>
      <w:r w:rsidR="000B0AC3" w:rsidRPr="00C348F4">
        <w:fldChar w:fldCharType="end"/>
      </w:r>
      <w:r w:rsidR="004E268D" w:rsidRPr="00C348F4">
        <w:t>.</w:t>
      </w:r>
    </w:p>
    <w:p w:rsidR="0058595A" w:rsidRPr="00C348F4" w:rsidRDefault="00646FFF" w:rsidP="0086213E">
      <w:pPr>
        <w:pStyle w:val="a"/>
        <w:numPr>
          <w:ilvl w:val="0"/>
          <w:numId w:val="31"/>
        </w:numPr>
        <w:tabs>
          <w:tab w:val="left" w:pos="1134"/>
        </w:tabs>
        <w:spacing w:before="0" w:line="343" w:lineRule="auto"/>
      </w:pPr>
      <w:r w:rsidRPr="00C348F4">
        <w:t>М</w:t>
      </w:r>
      <w:r w:rsidR="00386423" w:rsidRPr="00C348F4">
        <w:t>онотерапи</w:t>
      </w:r>
      <w:r w:rsidRPr="00C348F4">
        <w:t xml:space="preserve">я </w:t>
      </w:r>
      <w:r w:rsidR="004D7374" w:rsidRPr="00C348F4">
        <w:t>моноклональными антителами</w:t>
      </w:r>
      <w:r w:rsidR="004E268D" w:rsidRPr="00C348F4">
        <w:t xml:space="preserve"> к </w:t>
      </w:r>
      <w:r w:rsidR="004E268D" w:rsidRPr="00C348F4">
        <w:rPr>
          <w:lang w:val="en-US"/>
        </w:rPr>
        <w:t>CD</w:t>
      </w:r>
      <w:r w:rsidR="004E268D" w:rsidRPr="00C348F4">
        <w:t>20</w:t>
      </w:r>
      <w:r w:rsidR="00386423" w:rsidRPr="00C348F4">
        <w:t xml:space="preserve"> </w:t>
      </w:r>
      <w:r w:rsidR="00DD7EA6" w:rsidRPr="00C348F4">
        <w:t>- ритуксимаб**</w:t>
      </w:r>
      <w:r w:rsidR="00AC39FB" w:rsidRPr="00C348F4">
        <w:t xml:space="preserve"> или обинутузумаб**</w:t>
      </w:r>
      <w:r w:rsidR="00DD7EA6" w:rsidRPr="00C348F4">
        <w:t xml:space="preserve"> в соответствующей зарегистрированной инструкции дозировке </w:t>
      </w:r>
      <w:r w:rsidR="000B0AC3" w:rsidRPr="00C348F4">
        <w:fldChar w:fldCharType="begin" w:fldLock="1"/>
      </w:r>
      <w:r w:rsidR="00015814" w:rsidRPr="00C348F4">
        <w:instrText>ADDIN CSL_CITATION {"citationItems":[{"id":"ITEM-1","itemData":{"DOI":"10.1200/JCO.2003.09.027","ISSN":"0732183X","abstract":"PURPOSE: To assess the efficacy and toxicity of first-line single-agent rituximab, followed by re-treatment with rituximab at 6-month intervals, in previously untreated patients with chronic lymphocytic leukemia (CLL) or small lymphocytic lymphoma (SLL). PATIENTS AND METHODS: Forty-four previously untreated patients with CLL/SLL received rituximab 375 mg/m2 weekly for 4 consecutive weeks. All patients were required to have one or more indications for treatment. Patients with objective response or stable disease continued to receive identical 4-week rituximab courses at 6-month intervals, for a total of four courses. RESULTS: The objective response rate after the first course of rituximab was 51% (4% complete responses). Twenty-eight patients received one or more additional courses of rituximab. At present, the overall response rate is 58%, with 9% complete responses. After a median follow-up of 20 months, the median progression-free survival (PFS) time was 18.6 months, and the 1- and 2-year PFS rates were 62% and 49%, respectively. Treatment was well tolerated, with only two episodes of grade 3 to 4 infusion-related toxicity. No cumulative toxicity or opportunistic infections occurred. CONCLUSION: Single-agent rituximab, used at a standard dose and schedule, is active in the first-line treatment of patients with CLL/SLL, producing substantially higher response rates than previously reported in relapsed or refractory patients (51% v 13%, respectively). Re-treatment with rituximab at 6-month intervals is well tolerated. The PFS time of 18.6 months in patients with CLL/SLL seems shorter than the 36- to 40-month median PFSs previously reported with first-line plus maintenance rituximab in patients with follicular lymphoma. Additional follow-up is required to fully assess the impact of this treatment strategy.","author":[{"dropping-particle":"","family":"Hainsworth","given":"John D.","non-dropping-particle":"","parse-names":false,"suffix":""},{"dropping-particle":"","family":"Litchy","given":"Sharlene","non-dropping-particle":"","parse-names":false,"suffix":""},{"dropping-particle":"","family":"Barton","given":"John H.","non-dropping-particle":"","parse-names":false,"suffix":""},{"dropping-particle":"","family":"Houston","given":"Gerry Ann","non-dropping-particle":"","parse-names":false,"suffix":""},{"dropping-particle":"","family":"Hermann","given":"Robert C.","non-dropping-particle":"","parse-names":false,"suffix":""},{"dropping-particle":"","family":"Bradof","given":"James E.","non-dropping-particle":"","parse-names":false,"suffix":""},{"dropping-particle":"","family":"Greco","given":"F. Anthony","non-dropping-particle":"","parse-names":false,"suffix":""}],"container-title":"Journal of Clinical Oncology","id":"ITEM-1","issue":"9","issued":{"date-parts":[["2003","5","1"]]},"page":"1746-1751","title":"Single-agent rituximab as first-line and maintenance treatment for patients with chronic lymphocytic leukemia or small lymphocytic lymphoma: A phase II trial of the Minnie Pearl Cancer Research Network","type":"article-journal","volume":"21"},"uris":["http://www.mendeley.com/documents/?uuid=c3e93034-59b4-38ff-9161-4731c42c4080"]}],"mendeley":{"formattedCitation":"[42]","plainTextFormattedCitation":"[42]","previouslyFormattedCitation":"[42]"},"properties":{"noteIndex":0},"schema":"https://github.com/citation-style-language/schema/raw/master/csl-citation.json"}</w:instrText>
      </w:r>
      <w:r w:rsidR="000B0AC3" w:rsidRPr="00C348F4">
        <w:fldChar w:fldCharType="separate"/>
      </w:r>
      <w:r w:rsidR="00015814" w:rsidRPr="00C348F4">
        <w:rPr>
          <w:noProof/>
        </w:rPr>
        <w:t>[42]</w:t>
      </w:r>
      <w:r w:rsidR="000B0AC3" w:rsidRPr="00C348F4">
        <w:fldChar w:fldCharType="end"/>
      </w:r>
      <w:r w:rsidR="004E268D" w:rsidRPr="00C348F4">
        <w:t>.</w:t>
      </w:r>
    </w:p>
    <w:p w:rsidR="004D7374" w:rsidRPr="00C348F4" w:rsidRDefault="00646FFF" w:rsidP="0086213E">
      <w:pPr>
        <w:pStyle w:val="a"/>
        <w:numPr>
          <w:ilvl w:val="0"/>
          <w:numId w:val="31"/>
        </w:numPr>
        <w:tabs>
          <w:tab w:val="left" w:pos="1134"/>
        </w:tabs>
        <w:spacing w:before="0" w:line="343" w:lineRule="auto"/>
      </w:pPr>
      <w:r w:rsidRPr="00C348F4">
        <w:t xml:space="preserve">Монотерапия </w:t>
      </w:r>
      <w:r w:rsidR="0058595A" w:rsidRPr="00C348F4">
        <w:t>ибрутинибом</w:t>
      </w:r>
      <w:r w:rsidR="00BE7488" w:rsidRPr="00C348F4">
        <w:t>**</w:t>
      </w:r>
      <w:r w:rsidR="0058595A" w:rsidRPr="00C348F4">
        <w:t xml:space="preserve"> в малых дозах</w:t>
      </w:r>
      <w:r w:rsidR="00DD7EA6" w:rsidRPr="00C348F4">
        <w:t>, соответственно зарегистрированной инструкции</w:t>
      </w:r>
      <w:r w:rsidR="0028354C" w:rsidRPr="00C348F4">
        <w:t xml:space="preserve"> </w:t>
      </w:r>
      <w:r w:rsidR="000B0AC3" w:rsidRPr="00C348F4">
        <w:fldChar w:fldCharType="begin" w:fldLock="1"/>
      </w:r>
      <w:r w:rsidR="00015814" w:rsidRPr="00C348F4">
        <w:instrText>ADDIN CSL_CITATION {"citationItems":[{"id":"ITEM-1","itemData":{"DOI":"10.1002/ajh.24715","ISSN":"1096-8652","PMID":"28295510","author":[{"dropping-particle":"","family":"Michallet","given":"Anne-Sophie","non-dropping-particle":"","parse-names":false,"suffix":""},{"dropping-particle":"","family":"Campidelli","given":"Arnaud","non-dropping-particle":"","parse-names":false,"suffix":""},{"dropping-particle":"","family":"Lequeu","given":"Helene","non-dropping-particle":"","parse-names":false,"suffix":""},{"dropping-particle":"","family":"Dilhuydy","given":"Marie-Sarah","non-dropping-particle":"","parse-names":false,"suffix":""},{"dropping-particle":"","family":"Tournilhac","given":"Olivier","non-dropping-particle":"","parse-names":false,"suffix":""},{"dropping-particle":"","family":"Fornecker","given":"Luc-Matthieu","non-dropping-particle":"","parse-names":false,"suffix":""},{"dropping-particle":"","family":"Dupuis","given":"Jehan","non-dropping-particle":"","parse-names":false,"suffix":""},{"dropping-particle":"","family":"Cymbalista","given":"Florence","non-dropping-particle":"","parse-names":false,"suffix":""},{"dropping-particle":"","family":"Guibert","given":"Sophie","non-dropping-particle":"De","parse-names":false,"suffix":""},{"dropping-particle":"","family":"Delmer","given":"Alain","non-dropping-particle":"","parse-names":false,"suffix":""},{"dropping-particle":"","family":"Vilque","given":"Jean-Pierre","non-dropping-particle":"","parse-names":false,"suffix":""},{"dropping-particle":"","family":"Ghez","given":"David","non-dropping-particle":"","parse-names":false,"suffix":""},{"dropping-particle":"","family":"Leblond","given":"Veronique","non-dropping-particle":"","parse-names":false,"suffix":""},{"dropping-particle":"","family":"Subtil","given":"Fabien","non-dropping-particle":"","parse-names":false,"suffix":""},{"dropping-particle":"","family":"Feugier","given":"Pierre","non-dropping-particle":"","parse-names":false,"suffix":""},{"dropping-particle":"","family":"Ysebaert","given":"Loic","non-dropping-particle":"","parse-names":false,"suffix":""}],"container-title":"American journal of hematology","id":"ITEM-1","issue":"6","issued":{"date-parts":[["2017"]]},"page":"E105-E107","title":"Ibrutinib in very elderly patients with relapsed/refractory chronic lymphocytic leukemia: A real-world experience of 71 patients treated in France: A study from the French Innovative Leukemia Organization (FILO) group.","type":"article-journal","volume":"92"},"uris":["http://www.mendeley.com/documents/?uuid=d4001174-dd6d-37c9-9837-ef271d543d75"]}],"mendeley":{"formattedCitation":"[43]","plainTextFormattedCitation":"[43]","previouslyFormattedCitation":"[43]"},"properties":{"noteIndex":0},"schema":"https://github.com/citation-style-language/schema/raw/master/csl-citation.json"}</w:instrText>
      </w:r>
      <w:r w:rsidR="000B0AC3" w:rsidRPr="00C348F4">
        <w:fldChar w:fldCharType="separate"/>
      </w:r>
      <w:r w:rsidR="00015814" w:rsidRPr="00C348F4">
        <w:rPr>
          <w:noProof/>
        </w:rPr>
        <w:t>[43]</w:t>
      </w:r>
      <w:r w:rsidR="000B0AC3" w:rsidRPr="00C348F4">
        <w:fldChar w:fldCharType="end"/>
      </w:r>
      <w:r w:rsidR="00386423" w:rsidRPr="00C348F4">
        <w:t>.</w:t>
      </w:r>
    </w:p>
    <w:p w:rsidR="004D7374" w:rsidRPr="00C348F4" w:rsidRDefault="004D7374" w:rsidP="00BE7488">
      <w:pPr>
        <w:spacing w:line="343" w:lineRule="auto"/>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BF0125" w:rsidRPr="00C348F4">
        <w:rPr>
          <w:b/>
          <w:spacing w:val="-4"/>
        </w:rPr>
        <w:t xml:space="preserve">С </w:t>
      </w:r>
      <w:r w:rsidRPr="00C348F4">
        <w:rPr>
          <w:b/>
          <w:spacing w:val="-4"/>
        </w:rPr>
        <w:t xml:space="preserve">(уровень достоверности </w:t>
      </w:r>
      <w:r w:rsidR="00C20509" w:rsidRPr="00C348F4">
        <w:rPr>
          <w:b/>
          <w:spacing w:val="-4"/>
        </w:rPr>
        <w:t xml:space="preserve">доказательств – </w:t>
      </w:r>
      <w:r w:rsidR="00DD7EA6" w:rsidRPr="00C348F4">
        <w:rPr>
          <w:b/>
          <w:spacing w:val="-4"/>
        </w:rPr>
        <w:t>4</w:t>
      </w:r>
      <w:r w:rsidRPr="00C348F4">
        <w:rPr>
          <w:b/>
          <w:spacing w:val="-4"/>
        </w:rPr>
        <w:t>)</w:t>
      </w:r>
      <w:r w:rsidR="00912FAC" w:rsidRPr="00C348F4">
        <w:rPr>
          <w:b/>
          <w:spacing w:val="-4"/>
        </w:rPr>
        <w:t>.</w:t>
      </w:r>
    </w:p>
    <w:p w:rsidR="004D7374" w:rsidRPr="00C348F4" w:rsidRDefault="004D7374" w:rsidP="00371E34">
      <w:pPr>
        <w:pStyle w:val="3"/>
      </w:pPr>
      <w:r w:rsidRPr="00C348F4">
        <w:t>3.2.3</w:t>
      </w:r>
      <w:r w:rsidR="00397360" w:rsidRPr="00C348F4">
        <w:t>.</w:t>
      </w:r>
      <w:r w:rsidRPr="00C348F4">
        <w:t xml:space="preserve"> Первая линия лечения ХЛЛ у пациентов с делецией 17p или мутацией TP53</w:t>
      </w:r>
    </w:p>
    <w:p w:rsidR="004D7374" w:rsidRPr="00C348F4" w:rsidRDefault="00C740F1" w:rsidP="00BE6A1C">
      <w:pPr>
        <w:pStyle w:val="a"/>
      </w:pPr>
      <w:r w:rsidRPr="00C348F4">
        <w:t>Пациентам</w:t>
      </w:r>
      <w:r w:rsidR="00646FFF" w:rsidRPr="00C348F4">
        <w:t xml:space="preserve"> </w:t>
      </w:r>
      <w:r w:rsidR="006D567B" w:rsidRPr="00C348F4">
        <w:t>с верифицированным ХЛЛ/ЛМ</w:t>
      </w:r>
      <w:r w:rsidR="00646FFF" w:rsidRPr="00C348F4">
        <w:t xml:space="preserve"> </w:t>
      </w:r>
      <w:r w:rsidR="004D7374" w:rsidRPr="00C348F4">
        <w:t xml:space="preserve">из группы высокого риска (с del(17p) и/или мутацией </w:t>
      </w:r>
      <w:r w:rsidR="004D7374" w:rsidRPr="00C348F4">
        <w:rPr>
          <w:i/>
        </w:rPr>
        <w:t>TP53</w:t>
      </w:r>
      <w:r w:rsidR="004D7374" w:rsidRPr="00C348F4">
        <w:t>)</w:t>
      </w:r>
      <w:r w:rsidR="008A183B" w:rsidRPr="00C348F4">
        <w:t xml:space="preserve"> </w:t>
      </w:r>
      <w:r w:rsidR="00DD7EA6" w:rsidRPr="00C348F4">
        <w:t xml:space="preserve">для достижения ремиссии </w:t>
      </w:r>
      <w:r w:rsidR="008A183B" w:rsidRPr="00C348F4">
        <w:t>при наличии возможности</w:t>
      </w:r>
      <w:r w:rsidR="00030520" w:rsidRPr="00C348F4">
        <w:t xml:space="preserve"> </w:t>
      </w:r>
      <w:r w:rsidR="004D7374" w:rsidRPr="00C348F4">
        <w:rPr>
          <w:b/>
        </w:rPr>
        <w:t>рекомендована</w:t>
      </w:r>
      <w:r w:rsidR="004D7374" w:rsidRPr="00C348F4">
        <w:t xml:space="preserve"> терапия ибрутинибом</w:t>
      </w:r>
      <w:r w:rsidR="00F16D99" w:rsidRPr="00C348F4">
        <w:t>**</w:t>
      </w:r>
      <w:r w:rsidR="004D7374" w:rsidRPr="00C348F4">
        <w:t xml:space="preserve"> до прогресси</w:t>
      </w:r>
      <w:r w:rsidR="0086213E" w:rsidRPr="00C348F4">
        <w:t>рования</w:t>
      </w:r>
      <w:r w:rsidR="004D7374" w:rsidRPr="00C348F4">
        <w:t xml:space="preserve"> или </w:t>
      </w:r>
      <w:r w:rsidR="0086213E" w:rsidRPr="00C348F4">
        <w:t xml:space="preserve">развития </w:t>
      </w:r>
      <w:r w:rsidR="004D7374" w:rsidRPr="00C348F4">
        <w:t>непереносимой токсичности. Ибрутиниб</w:t>
      </w:r>
      <w:r w:rsidR="00F16D99" w:rsidRPr="00C348F4">
        <w:t>**</w:t>
      </w:r>
      <w:r w:rsidR="004D7374" w:rsidRPr="00C348F4">
        <w:t xml:space="preserve"> может применяться как в монорежиме, так и в комбинации с иммунохимио</w:t>
      </w:r>
      <w:r w:rsidR="0086213E" w:rsidRPr="00C348F4">
        <w:t>препаратами</w:t>
      </w:r>
      <w:r w:rsidR="00437AD9" w:rsidRPr="00C348F4">
        <w:t xml:space="preserve"> </w:t>
      </w:r>
      <w:r w:rsidR="00DD7EA6" w:rsidRPr="00C348F4">
        <w:t>(бендамустин**, ритуксимаб**)</w:t>
      </w:r>
      <w:r w:rsidR="00AC39FB" w:rsidRPr="00C348F4">
        <w:t xml:space="preserve"> </w:t>
      </w:r>
      <w:r w:rsidR="00437AD9" w:rsidRPr="00C348F4">
        <w:t>(</w:t>
      </w:r>
      <w:r w:rsidR="00AA4B03" w:rsidRPr="00C348F4">
        <w:t xml:space="preserve">схемы режимов лечения см. в приложении </w:t>
      </w:r>
      <w:r w:rsidR="00437AD9" w:rsidRPr="00C348F4">
        <w:t>А3.3)</w:t>
      </w:r>
      <w:r w:rsidR="00D702C2" w:rsidRPr="00C348F4">
        <w:t xml:space="preserve"> </w:t>
      </w:r>
      <w:r w:rsidR="000B0AC3" w:rsidRPr="00C348F4">
        <w:fldChar w:fldCharType="begin" w:fldLock="1"/>
      </w:r>
      <w:r w:rsidR="00015814" w:rsidRPr="00C348F4">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leukemia","type":"article-journal","volume":"373"},"uris":["http://www.mendeley.com/documents/?uuid=b01c404b-e988-3c42-b782-5080b7873fdd"]},{"id":"ITEM-2","itemData":{"DOI":"10.1016/S1470-2045(14)70335-3","ISSN":"14745488","abstract":"Background: Ibrutinib, an orally administered covalent inhibitor of Bruton's tyrosine kinase (BTK), is an effective treatment for relapsed chronic lymphocytic leukaemia (CLL). We investigated the activity and safety of the combination of ibrutinib with the monoclonal antibody rituximab in patients with high-risk CLL. Methods: In this single-arm phase 2 study, we enrolled adult patients with high-risk CLL at the MD Anderson Cancer Center (Houston, TX, USA). All enrolled participants had high-risk cytogenetic abnormalities (deletion 17p, TP53 mutation, or deletion 11q) or a short progression-free survival (PFS &lt;36 months) after previous first-line chemoimmunotherapy. Patients with symptomatic disease requiring therapy received 28-day cycles of once-daily ibrutinib 420 mg together with rituximab (375 mg/m2, intravenously, every week during cycle 1, then once per cycle until cycle 6), followed by continuous daily single-agent ibrutinib 420 mg until disease progression or until toxicities or complications precluded further treatment. The primary endpoint was progression-free survival in the intention-to-treat population. This study is registered with ClinicalTrials.gov number NCT01520519, and is no longer accruing patients. Findings: Between Feb 28, 2012, and Sept 11, 2012, we enrolled 40 patients with CLL with high-risk disease features, 20 of whom had deletion 17p (del[17p]) or TP53 mutations (16 previously treated, four untreated), 13 had relapsed CLL with deletion 11q (del[11q]), and seven a PFS less than 36 months after first-line chemoimmunotherapy. 18-month PFS in all patients was 78·0% (95% CI 60·6-88·5), whereas in those with a del(17p) or TP53 mutation it was 72·4% (45·6-87·6) Toxicity was mainly mild to moderate in severity (grade 1-2). Diarrhoea occurred in ten (25%) patients (grade 1 in nine patients and grade 2 in one), bleeding events in 14 (33%) patients (eight grade 1 and five grade 2), nausea or vomiting in 15 patients (38%) (ten grade 1 and five grade 2), and fatigue in seven (18%) patients (four grade 1 and three grade 2). Five patients (13%) had grade 3 infections (two lung infections, one upper respiratory tract infection, one sepsis, and one mucositis), and no grade 4 or 5 infections occurred. One patient had grade 4 neutropenia. Interpretation: The encouraging safety and activity of ibrutinib and rituximab in this population of patients with high-risk CLL merits further investigation of this combination. Funding: Pharmacyclics Inc, Ca…","author":[{"dropping-particle":"","family":"Burger","given":"Jan A.","non-dropping-particle":"","parse-names":false,"suffix":""},{"dropping-particle":"","family":"Keating","given":"Michael J.","non-dropping-particle":"","parse-names":false,"suffix":""},{"dropping-particle":"","family":"Wierda","given":"William G.","non-dropping-particle":"","parse-names":false,"suffix":""},{"dropping-particle":"","family":"Hartmann","given":"Elena","non-dropping-particle":"","parse-names":false,"suffix":""},{"dropping-particle":"","family":"Hoellenriegel","given":"Julia","non-dropping-particle":"","parse-names":false,"suffix":""},{"dropping-particle":"","family":"Rosin","given":"Nathalie Y.","non-dropping-particle":"","parse-names":false,"suffix":""},{"dropping-particle":"","family":"Weerdt","given":"Iris","non-dropping-particle":"de","parse-names":false,"suffix":""},{"dropping-particle":"","family":"Jeyakumar","given":"Ghayathri","non-dropping-particle":"","parse-names":false,"suffix":""},{"dropping-particle":"","family":"Ferrajoli","given":"Alessandra","non-dropping-particle":"","parse-names":false,"suffix":""},{"dropping-particle":"","family":"Cardenas-Turanzas","given":"Marylou","non-dropping-particle":"","parse-names":false,"suffix":""},{"dropping-particle":"","family":"Lerner","given":"Susan","non-dropping-particle":"","parse-names":false,"suffix":""},{"dropping-particle":"","family":"Jorgensen","given":"Jeffrey L.","non-dropping-particle":"","parse-names":false,"suffix":""},{"dropping-particle":"","family":"Nogueras-González","given":"Graciela M.","non-dropping-particle":"","parse-names":false,"suffix":""},{"dropping-particle":"","family":"Zacharian","given":"Gracy","non-dropping-particle":"","parse-names":false,"suffix":""},{"dropping-particle":"","family":"Huang","given":"Xuelin","non-dropping-particle":"","parse-names":false,"suffix":""},{"dropping-particle":"","family":"Kantarjian","given":"Hagop","non-dropping-particle":"","parse-names":false,"suffix":""},{"dropping-particle":"","family":"Garg","given":"Naveen","non-dropping-particle":"","parse-names":false,"suffix":""},{"dropping-particle":"","family":"Rosenwald","given":"Andreas","non-dropping-particle":"","parse-names":false,"suffix":""},{"dropping-particle":"","family":"O'Brien","given":"Susan","non-dropping-particle":"","parse-names":false,"suffix":""}],"container-title":"The Lancet Oncology","id":"ITEM-2","issue":"10","issued":{"date-parts":[["2014"]]},"page":"1090-1099","publisher":"Lancet Publishing Group","title":"Safety and activity of ibrutinib plus rituximab for patients with high-risk chronic lymphocytic leukaemia: A single-arm, phase 2 study","type":"article-journal","volume":"15"},"uris":["http://www.mendeley.com/documents/?uuid=49dade21-0b80-3708-89da-2d850e7f9130"]}],"mendeley":{"formattedCitation":"[33,44]","plainTextFormattedCitation":"[33,44]","previouslyFormattedCitation":"[33,44]"},"properties":{"noteIndex":0},"schema":"https://github.com/citation-style-language/schema/raw/master/csl-citation.json"}</w:instrText>
      </w:r>
      <w:r w:rsidR="000B0AC3" w:rsidRPr="00C348F4">
        <w:fldChar w:fldCharType="separate"/>
      </w:r>
      <w:r w:rsidR="00015814" w:rsidRPr="00C348F4">
        <w:rPr>
          <w:noProof/>
        </w:rPr>
        <w:t>[33,44]</w:t>
      </w:r>
      <w:r w:rsidR="000B0AC3" w:rsidRPr="00C348F4">
        <w:fldChar w:fldCharType="end"/>
      </w:r>
      <w:r w:rsidR="004D7374" w:rsidRPr="00C348F4">
        <w:t xml:space="preserve">. </w:t>
      </w:r>
    </w:p>
    <w:p w:rsidR="004D7374" w:rsidRPr="0086213E" w:rsidRDefault="004D7374" w:rsidP="00560CBA">
      <w:pPr>
        <w:contextualSpacing/>
        <w:rPr>
          <w:b/>
          <w:spacing w:val="-4"/>
        </w:rPr>
      </w:pPr>
      <w:r w:rsidRPr="0086213E">
        <w:rPr>
          <w:b/>
          <w:spacing w:val="-4"/>
        </w:rPr>
        <w:t xml:space="preserve">Уровень убедительности </w:t>
      </w:r>
      <w:r w:rsidR="00C20509" w:rsidRPr="0086213E">
        <w:rPr>
          <w:b/>
          <w:spacing w:val="-4"/>
        </w:rPr>
        <w:t xml:space="preserve">рекомендаций – </w:t>
      </w:r>
      <w:r w:rsidR="00DD7EA6">
        <w:rPr>
          <w:b/>
          <w:spacing w:val="-4"/>
        </w:rPr>
        <w:t>С</w:t>
      </w:r>
      <w:r w:rsidR="00DD7EA6" w:rsidRPr="0086213E">
        <w:rPr>
          <w:b/>
          <w:spacing w:val="-4"/>
        </w:rPr>
        <w:t xml:space="preserve"> </w:t>
      </w:r>
      <w:r w:rsidRPr="0086213E">
        <w:rPr>
          <w:b/>
          <w:spacing w:val="-4"/>
        </w:rPr>
        <w:t xml:space="preserve">(уровень достоверности </w:t>
      </w:r>
      <w:r w:rsidR="00C20509" w:rsidRPr="0086213E">
        <w:rPr>
          <w:b/>
          <w:spacing w:val="-4"/>
        </w:rPr>
        <w:t xml:space="preserve">доказательств – </w:t>
      </w:r>
      <w:r w:rsidR="00DD7EA6">
        <w:rPr>
          <w:b/>
          <w:spacing w:val="-4"/>
        </w:rPr>
        <w:t>3</w:t>
      </w:r>
      <w:r w:rsidRPr="0086213E">
        <w:rPr>
          <w:b/>
          <w:spacing w:val="-4"/>
        </w:rPr>
        <w:t>)</w:t>
      </w:r>
      <w:r w:rsidR="00B63BF6" w:rsidRPr="0086213E">
        <w:rPr>
          <w:b/>
          <w:spacing w:val="-4"/>
        </w:rPr>
        <w:t>.</w:t>
      </w:r>
    </w:p>
    <w:p w:rsidR="00577F69" w:rsidRPr="00C348F4" w:rsidRDefault="00BF0941" w:rsidP="00BE6A1C">
      <w:pPr>
        <w:pStyle w:val="a"/>
      </w:pPr>
      <w:r w:rsidRPr="00DA5232">
        <w:t xml:space="preserve">Пациентам с верифицированным ХЛЛ/ЛМЛ из группы высокого риска (с del(17p) и/или мутацией </w:t>
      </w:r>
      <w:r w:rsidRPr="0086213E">
        <w:rPr>
          <w:i/>
        </w:rPr>
        <w:t>TP53</w:t>
      </w:r>
      <w:r w:rsidRPr="00DA5232">
        <w:t xml:space="preserve">) </w:t>
      </w:r>
      <w:r w:rsidRPr="00055701">
        <w:t xml:space="preserve">при наличии возможности </w:t>
      </w:r>
      <w:r w:rsidRPr="00055701">
        <w:rPr>
          <w:b/>
        </w:rPr>
        <w:t>рекомендована</w:t>
      </w:r>
      <w:r w:rsidRPr="00055701">
        <w:t xml:space="preserve"> терапия комбинацией венетоклакса </w:t>
      </w:r>
      <w:r w:rsidR="00AE69C4" w:rsidRPr="00055701">
        <w:rPr>
          <w:lang w:eastAsia="ru-RU"/>
        </w:rPr>
        <w:t>20 мг/сут,</w:t>
      </w:r>
      <w:r w:rsidR="00AE69C4" w:rsidRPr="00F21A6F">
        <w:rPr>
          <w:lang w:eastAsia="ru-RU"/>
        </w:rPr>
        <w:t xml:space="preserve"> </w:t>
      </w:r>
      <w:r w:rsidR="00AE69C4">
        <w:rPr>
          <w:lang w:eastAsia="ru-RU"/>
        </w:rPr>
        <w:t>дни 22–</w:t>
      </w:r>
      <w:r w:rsidR="00AE69C4" w:rsidRPr="00822273">
        <w:rPr>
          <w:lang w:eastAsia="ru-RU"/>
        </w:rPr>
        <w:t>28 цикла 1</w:t>
      </w:r>
      <w:r w:rsidR="00AE69C4">
        <w:rPr>
          <w:lang w:eastAsia="ru-RU"/>
        </w:rPr>
        <w:t>;</w:t>
      </w:r>
      <w:r w:rsidR="00AE69C4" w:rsidRPr="001D54F2">
        <w:rPr>
          <w:lang w:eastAsia="ru-RU"/>
        </w:rPr>
        <w:t xml:space="preserve"> 50 мг/сут</w:t>
      </w:r>
      <w:r w:rsidR="00AE69C4" w:rsidRPr="00822273">
        <w:rPr>
          <w:lang w:eastAsia="ru-RU"/>
        </w:rPr>
        <w:t xml:space="preserve"> дни 1</w:t>
      </w:r>
      <w:r w:rsidR="00AE69C4">
        <w:rPr>
          <w:lang w:eastAsia="ru-RU"/>
        </w:rPr>
        <w:t>–</w:t>
      </w:r>
      <w:r w:rsidR="00AE69C4" w:rsidRPr="00822273">
        <w:rPr>
          <w:lang w:eastAsia="ru-RU"/>
        </w:rPr>
        <w:t>7 цикла 2</w:t>
      </w:r>
      <w:r w:rsidR="00AE69C4">
        <w:rPr>
          <w:lang w:eastAsia="ru-RU"/>
        </w:rPr>
        <w:t>;</w:t>
      </w:r>
      <w:r w:rsidR="00AE69C4" w:rsidRPr="001D54F2">
        <w:rPr>
          <w:lang w:eastAsia="ru-RU"/>
        </w:rPr>
        <w:t xml:space="preserve"> 100 мг/сут</w:t>
      </w:r>
      <w:r w:rsidR="00AE69C4" w:rsidRPr="00822273">
        <w:rPr>
          <w:lang w:eastAsia="ru-RU"/>
        </w:rPr>
        <w:t xml:space="preserve"> дни 8</w:t>
      </w:r>
      <w:r w:rsidR="00AE69C4">
        <w:rPr>
          <w:lang w:eastAsia="ru-RU"/>
        </w:rPr>
        <w:t>–</w:t>
      </w:r>
      <w:r w:rsidR="00AE69C4" w:rsidRPr="00822273">
        <w:rPr>
          <w:lang w:eastAsia="ru-RU"/>
        </w:rPr>
        <w:t>14 цикла 2</w:t>
      </w:r>
      <w:r w:rsidR="00AE69C4">
        <w:rPr>
          <w:lang w:eastAsia="ru-RU"/>
        </w:rPr>
        <w:t>;</w:t>
      </w:r>
      <w:r w:rsidR="00AE69C4" w:rsidRPr="001D54F2">
        <w:rPr>
          <w:lang w:eastAsia="ru-RU"/>
        </w:rPr>
        <w:t xml:space="preserve"> 200 мг/сут</w:t>
      </w:r>
      <w:r w:rsidR="00AE69C4">
        <w:rPr>
          <w:lang w:eastAsia="ru-RU"/>
        </w:rPr>
        <w:t xml:space="preserve"> дни 15–</w:t>
      </w:r>
      <w:r w:rsidR="00AE69C4" w:rsidRPr="00822273">
        <w:rPr>
          <w:lang w:eastAsia="ru-RU"/>
        </w:rPr>
        <w:t>21 цикла 2</w:t>
      </w:r>
      <w:r w:rsidR="00AE69C4">
        <w:rPr>
          <w:lang w:eastAsia="ru-RU"/>
        </w:rPr>
        <w:t>;</w:t>
      </w:r>
      <w:r w:rsidR="00AE69C4" w:rsidRPr="001D54F2">
        <w:rPr>
          <w:lang w:eastAsia="ru-RU"/>
        </w:rPr>
        <w:t xml:space="preserve"> 400 мг/сут</w:t>
      </w:r>
      <w:r w:rsidR="00AE69C4">
        <w:rPr>
          <w:lang w:eastAsia="ru-RU"/>
        </w:rPr>
        <w:t xml:space="preserve"> дни 22–</w:t>
      </w:r>
      <w:r w:rsidR="00AE69C4" w:rsidRPr="00822273">
        <w:rPr>
          <w:lang w:eastAsia="ru-RU"/>
        </w:rPr>
        <w:t xml:space="preserve">28 цикла 2, далее 400 мг/сут в течение 12 </w:t>
      </w:r>
      <w:r w:rsidR="00AE69C4" w:rsidRPr="001D54F2">
        <w:rPr>
          <w:szCs w:val="24"/>
        </w:rPr>
        <w:t>мес</w:t>
      </w:r>
      <w:r w:rsidR="00AC39FB" w:rsidRPr="00AC39FB">
        <w:rPr>
          <w:szCs w:val="24"/>
        </w:rPr>
        <w:t>.</w:t>
      </w:r>
      <w:r w:rsidR="00AE69C4" w:rsidRPr="00DA5232">
        <w:t xml:space="preserve"> </w:t>
      </w:r>
      <w:r w:rsidRPr="00DA5232">
        <w:t>и обинутузумаба</w:t>
      </w:r>
      <w:r w:rsidR="0086213E">
        <w:t>**</w:t>
      </w:r>
      <w:r w:rsidRPr="00DA5232">
        <w:t xml:space="preserve"> </w:t>
      </w:r>
      <w:r w:rsidR="00AE69C4" w:rsidRPr="001D54F2">
        <w:rPr>
          <w:lang w:eastAsia="ru-RU"/>
        </w:rPr>
        <w:t>100 мг</w:t>
      </w:r>
      <w:r w:rsidR="00AE69C4">
        <w:rPr>
          <w:lang w:eastAsia="ru-RU"/>
        </w:rPr>
        <w:t>,</w:t>
      </w:r>
      <w:r w:rsidR="00AE69C4" w:rsidRPr="001D54F2">
        <w:rPr>
          <w:lang w:eastAsia="ru-RU"/>
        </w:rPr>
        <w:t xml:space="preserve"> </w:t>
      </w:r>
      <w:r w:rsidR="00AE69C4" w:rsidRPr="00822273">
        <w:rPr>
          <w:lang w:eastAsia="ru-RU"/>
        </w:rPr>
        <w:t>день 1 цикла 1</w:t>
      </w:r>
      <w:r w:rsidR="00AE69C4">
        <w:rPr>
          <w:lang w:eastAsia="ru-RU"/>
        </w:rPr>
        <w:t>;</w:t>
      </w:r>
      <w:r w:rsidR="00AE69C4" w:rsidRPr="001D54F2">
        <w:rPr>
          <w:lang w:eastAsia="ru-RU"/>
        </w:rPr>
        <w:t xml:space="preserve"> 900 мг </w:t>
      </w:r>
      <w:r w:rsidR="00AE69C4" w:rsidRPr="00822273">
        <w:rPr>
          <w:lang w:eastAsia="ru-RU"/>
        </w:rPr>
        <w:t>день 2 цикла 1</w:t>
      </w:r>
      <w:r w:rsidR="00AE69C4">
        <w:rPr>
          <w:lang w:eastAsia="ru-RU"/>
        </w:rPr>
        <w:t>;</w:t>
      </w:r>
      <w:r w:rsidR="00AE69C4" w:rsidRPr="001D54F2">
        <w:rPr>
          <w:lang w:eastAsia="ru-RU"/>
        </w:rPr>
        <w:t xml:space="preserve"> </w:t>
      </w:r>
      <w:r w:rsidR="00AE69C4">
        <w:rPr>
          <w:lang w:eastAsia="ru-RU"/>
        </w:rPr>
        <w:t xml:space="preserve">1000 мг </w:t>
      </w:r>
      <w:r w:rsidR="00AE69C4">
        <w:rPr>
          <w:lang w:eastAsia="ru-RU"/>
        </w:rPr>
        <w:lastRenderedPageBreak/>
        <w:t xml:space="preserve">день 8 </w:t>
      </w:r>
      <w:r w:rsidR="00AE69C4" w:rsidRPr="00C348F4">
        <w:rPr>
          <w:lang w:eastAsia="ru-RU"/>
        </w:rPr>
        <w:t xml:space="preserve">цикла 1; 1000 мг день 15 цикла 1; 1000 мг день 1 цикла 2; 1000 мг день 1 циклов 3–6.  </w:t>
      </w:r>
      <w:r w:rsidRPr="00C348F4">
        <w:t>фиксированной про</w:t>
      </w:r>
      <w:r w:rsidR="00EC5A18" w:rsidRPr="00C348F4">
        <w:t>дол</w:t>
      </w:r>
      <w:r w:rsidRPr="00C348F4">
        <w:t>жительностью 12 мес</w:t>
      </w:r>
      <w:r w:rsidR="00560CBA" w:rsidRPr="00C348F4">
        <w:t>.</w:t>
      </w:r>
      <w:r w:rsidR="00030520" w:rsidRPr="00C348F4">
        <w:t xml:space="preserve"> </w:t>
      </w:r>
      <w:r w:rsidR="00437AD9" w:rsidRPr="00C348F4">
        <w:t>(</w:t>
      </w:r>
      <w:r w:rsidR="00AA4B03" w:rsidRPr="00C348F4">
        <w:t xml:space="preserve">схемы режимов лечения см. в приложении </w:t>
      </w:r>
      <w:r w:rsidR="00437AD9" w:rsidRPr="00C348F4">
        <w:t>А3.3)</w:t>
      </w:r>
      <w:r w:rsidR="006D1E7B" w:rsidRPr="00C348F4">
        <w:rPr>
          <w:b/>
        </w:rPr>
        <w:t xml:space="preserve"> </w:t>
      </w:r>
      <w:r w:rsidR="000B0AC3" w:rsidRPr="00C348F4">
        <w:rPr>
          <w:b/>
        </w:rPr>
        <w:fldChar w:fldCharType="begin" w:fldLock="1"/>
      </w:r>
      <w:r w:rsidR="00015814" w:rsidRPr="00C348F4">
        <w:rPr>
          <w:b/>
        </w:rPr>
        <w:instrText>ADDIN CSL_CITATION {"citationItems":[{"id":"ITEM-1","itemData":{"DOI":"10.1056/NEJMoa1815281","ISSN":"1533-4406","PMID":"31166681","abstract":"BACKGROUND The BCL2 inhibitor venetoclax has shown activity in patients with chronic lymphocytic leukemia (CLL), but its efficacy in combination with other agents in patients with CLL and coexisting conditions is not known. METHODS In this open-label, phase 3 trial, we investigated fixed-duration treatment with venetoclax and obinutuzumab in patients with previously untreated CLL and coexisting conditions. Patients with a score of greater than 6 on the Cumulative Illness Rating Scale (scores range from 0 to 56, with higher scores indicating more impaired function of organ systems) or a calculated creatinine clearance of less than 70 ml per minute were randomly assigned to receive venetoclax-obinutuzumab or chlorambucil-obinutuzumab. The primary end point was investigator-assessed progression-free survival. The safety of each regimen was also evaluated. RESULTS In total, 432 patients (median age, 72 years; median Cumulative Illness Rating Scale score, 8; median creatinine clearance, 66.4 ml per minute) underwent randomization, with 216 assigned to each group. After a median follow-up of 28.1 months, 30 primary end-point events (disease progression or death) had occurred in the venetoclax-obinutuzumab group and 77 had occurred in the chlorambucil-obinutuzumab group (hazard ratio, 0.35; 95% confidence interval [CI], 0.23 to 0.53; P&lt;0.001). The Kaplan-Meier estimate of the percentage of patients with progression-free survival at 24 months was significantly higher in the venetoclax-obinutuzumab group than in the chlorambucil-obinutuzumab group: 88.2% (95% CI, 83.7 to 92.6) as compared with 64.1% (95% CI, 57.4 to 70.8). This benefit was also observed in patients with TP53 deletion, mutation, or both and in patients with unmutated immunoglobulin heavy-chain genes. Grade 3 or 4 neutropenia occurred in 52.8% of patients in the venetoclax-obinutuzumab group and in 48.1% of patients in the chlorambucil-obinutuzumab group, and grade 3 or 4 infections occurred in 17.5% and 15.0%, respectively. All-cause mortality was 9.3% in the venetoclax-obinutuzumab group and 7.9% in the chlorambucil-obinutuzumab group. These differences were not significant. CONCLUSIONS Among patients with untreated CLL and coexisting conditions, venetoclax-obinutuzumab was associated with longer progression-free survival than chlorambucil-obinutuzumab. (Funded by F. Hoffmann-La Roche and AbbVie; ClinicalTrials.gov number, NCT02242942.).","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medicine","id":"ITEM-1","issue":"23","issued":{"date-parts":[["2019"]]},"page":"2225-2236","title":"Venetoclax and Obinutuzumab in Patients with CLL and Coexisting Conditions.","type":"article-journal","volume":"380"},"uris":["http://www.mendeley.com/documents/?uuid=a0affb4b-6980-32ef-bb14-19803b6f2624"]}],"mendeley":{"formattedCitation":"[39]","plainTextFormattedCitation":"[39]","previouslyFormattedCitation":"[39]"},"properties":{"noteIndex":0},"schema":"https://github.com/citation-style-language/schema/raw/master/csl-citation.json"}</w:instrText>
      </w:r>
      <w:r w:rsidR="000B0AC3" w:rsidRPr="00C348F4">
        <w:rPr>
          <w:b/>
        </w:rPr>
        <w:fldChar w:fldCharType="separate"/>
      </w:r>
      <w:r w:rsidR="00015814" w:rsidRPr="00C348F4">
        <w:rPr>
          <w:noProof/>
        </w:rPr>
        <w:t>[39]</w:t>
      </w:r>
      <w:r w:rsidR="000B0AC3" w:rsidRPr="00C348F4">
        <w:rPr>
          <w:b/>
        </w:rPr>
        <w:fldChar w:fldCharType="end"/>
      </w:r>
      <w:r w:rsidRPr="00C348F4">
        <w:t>.</w:t>
      </w:r>
    </w:p>
    <w:p w:rsidR="00BF0941" w:rsidRPr="0086213E" w:rsidRDefault="00577F69" w:rsidP="00560CBA">
      <w:pPr>
        <w:rPr>
          <w:b/>
          <w:spacing w:val="-4"/>
        </w:rPr>
      </w:pPr>
      <w:r w:rsidRPr="0086213E">
        <w:rPr>
          <w:b/>
          <w:spacing w:val="-4"/>
        </w:rPr>
        <w:t xml:space="preserve">Уровень убедительности </w:t>
      </w:r>
      <w:r w:rsidR="00C20509" w:rsidRPr="0086213E">
        <w:rPr>
          <w:b/>
          <w:spacing w:val="-4"/>
        </w:rPr>
        <w:t xml:space="preserve">рекомендаций – </w:t>
      </w:r>
      <w:r w:rsidRPr="0086213E">
        <w:rPr>
          <w:b/>
          <w:spacing w:val="-4"/>
        </w:rPr>
        <w:t xml:space="preserve">B (уровень достоверности </w:t>
      </w:r>
      <w:r w:rsidR="00C20509" w:rsidRPr="0086213E">
        <w:rPr>
          <w:b/>
          <w:spacing w:val="-4"/>
        </w:rPr>
        <w:t xml:space="preserve">доказательств – </w:t>
      </w:r>
      <w:r w:rsidR="00AE69C4">
        <w:rPr>
          <w:b/>
          <w:spacing w:val="-4"/>
        </w:rPr>
        <w:t>2</w:t>
      </w:r>
      <w:r w:rsidRPr="0086213E">
        <w:rPr>
          <w:b/>
          <w:spacing w:val="-4"/>
        </w:rPr>
        <w:t>).</w:t>
      </w:r>
    </w:p>
    <w:p w:rsidR="004D7374" w:rsidRPr="00C348F4" w:rsidRDefault="00C740F1" w:rsidP="00BE6A1C">
      <w:pPr>
        <w:pStyle w:val="a"/>
      </w:pPr>
      <w:r w:rsidRPr="00DA5232">
        <w:t xml:space="preserve">Молодым </w:t>
      </w:r>
      <w:r w:rsidR="004D7374" w:rsidRPr="00DA5232">
        <w:t>пациентам</w:t>
      </w:r>
      <w:r w:rsidR="00AD6066" w:rsidRPr="00DA5232">
        <w:t xml:space="preserve"> с верифицированным ХЛЛ/ЛМЛ</w:t>
      </w:r>
      <w:r w:rsidR="004D7374" w:rsidRPr="00DA5232">
        <w:t xml:space="preserve"> без значимой коморбидности из группы высокого риска (с del(17p) и/или </w:t>
      </w:r>
      <w:r w:rsidR="004D7374" w:rsidRPr="00C348F4">
        <w:t xml:space="preserve">мутацией </w:t>
      </w:r>
      <w:r w:rsidR="004D7374" w:rsidRPr="00C348F4">
        <w:rPr>
          <w:i/>
        </w:rPr>
        <w:t>TP53</w:t>
      </w:r>
      <w:r w:rsidR="004D7374" w:rsidRPr="00C348F4">
        <w:t>) после терапии ибрутинибом</w:t>
      </w:r>
      <w:r w:rsidR="00F16D99" w:rsidRPr="00C348F4">
        <w:t>**</w:t>
      </w:r>
      <w:r w:rsidR="004D7374" w:rsidRPr="00C348F4">
        <w:t xml:space="preserve"> и при достижении объективного ответа в </w:t>
      </w:r>
      <w:r w:rsidR="0086213E" w:rsidRPr="00C348F4">
        <w:t>1-й</w:t>
      </w:r>
      <w:r w:rsidR="004D7374" w:rsidRPr="00C348F4">
        <w:t xml:space="preserve"> линии </w:t>
      </w:r>
      <w:r w:rsidR="004D7374" w:rsidRPr="00C348F4">
        <w:rPr>
          <w:b/>
        </w:rPr>
        <w:t>рекомендовано</w:t>
      </w:r>
      <w:r w:rsidR="004D7374" w:rsidRPr="00C348F4">
        <w:t xml:space="preserve"> рассмотреть возможность проведения трансплантации </w:t>
      </w:r>
      <w:r w:rsidR="00F16D99" w:rsidRPr="00C348F4">
        <w:t xml:space="preserve">аллогенных </w:t>
      </w:r>
      <w:r w:rsidR="004D7374" w:rsidRPr="00C348F4">
        <w:t>гемопоэтических стволовых клеток в качестве консолидации</w:t>
      </w:r>
      <w:r w:rsidR="006D1E7B" w:rsidRPr="00C348F4">
        <w:t xml:space="preserve"> </w:t>
      </w:r>
      <w:r w:rsidR="000B0AC3" w:rsidRPr="00C348F4">
        <w:fldChar w:fldCharType="begin" w:fldLock="1"/>
      </w:r>
      <w:r w:rsidR="00015814" w:rsidRPr="00C348F4">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[45,46]","plainTextFormattedCitation":"[45,46]","previouslyFormattedCitation":"[45,46]"},"properties":{"noteIndex":0},"schema":"https://github.com/citation-style-language/schema/raw/master/csl-citation.json"}</w:instrText>
      </w:r>
      <w:r w:rsidR="000B0AC3" w:rsidRPr="00C348F4">
        <w:fldChar w:fldCharType="separate"/>
      </w:r>
      <w:r w:rsidR="00015814" w:rsidRPr="00C348F4">
        <w:rPr>
          <w:noProof/>
        </w:rPr>
        <w:t>[45,46]</w:t>
      </w:r>
      <w:r w:rsidR="000B0AC3" w:rsidRPr="00C348F4">
        <w:fldChar w:fldCharType="end"/>
      </w:r>
      <w:r w:rsidR="004D7374" w:rsidRPr="00C348F4">
        <w:t xml:space="preserve">. </w:t>
      </w:r>
    </w:p>
    <w:p w:rsidR="004D7374" w:rsidRPr="00C348F4" w:rsidRDefault="004D7374" w:rsidP="00BE6A1C">
      <w:pPr>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6D1E7B" w:rsidRPr="00C348F4">
        <w:rPr>
          <w:b/>
          <w:spacing w:val="-4"/>
        </w:rPr>
        <w:t xml:space="preserve"> </w:t>
      </w:r>
      <w:r w:rsidRPr="00C348F4">
        <w:rPr>
          <w:b/>
          <w:spacing w:val="-4"/>
        </w:rPr>
        <w:t>(уровень до</w:t>
      </w:r>
      <w:r w:rsidR="001E3D61" w:rsidRPr="00C348F4">
        <w:rPr>
          <w:b/>
          <w:spacing w:val="-4"/>
        </w:rPr>
        <w:t xml:space="preserve">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C740F1" w:rsidRPr="00C348F4">
        <w:rPr>
          <w:b/>
          <w:spacing w:val="-4"/>
        </w:rPr>
        <w:t>.</w:t>
      </w:r>
    </w:p>
    <w:p w:rsidR="004D7374" w:rsidRPr="00C348F4" w:rsidRDefault="00A81638" w:rsidP="00BE6A1C">
      <w:pPr>
        <w:contextualSpacing/>
      </w:pPr>
      <w:r w:rsidRPr="00C348F4">
        <w:rPr>
          <w:b/>
        </w:rPr>
        <w:t>Комментарии</w:t>
      </w:r>
      <w:r w:rsidR="004D7374" w:rsidRPr="00C348F4">
        <w:rPr>
          <w:b/>
        </w:rPr>
        <w:t>:</w:t>
      </w:r>
      <w:r w:rsidR="00030520" w:rsidRPr="00C348F4">
        <w:rPr>
          <w:b/>
        </w:rPr>
        <w:t xml:space="preserve"> </w:t>
      </w:r>
      <w:r w:rsidR="0086213E" w:rsidRPr="00C348F4">
        <w:rPr>
          <w:i/>
        </w:rPr>
        <w:t>о</w:t>
      </w:r>
      <w:r w:rsidR="004D7374" w:rsidRPr="00C348F4">
        <w:rPr>
          <w:i/>
        </w:rPr>
        <w:t xml:space="preserve">птимальным сроком проведения трансплантации следует считать </w:t>
      </w:r>
      <w:r w:rsidR="0086213E" w:rsidRPr="00C348F4">
        <w:rPr>
          <w:i/>
        </w:rPr>
        <w:br/>
        <w:t>2-й</w:t>
      </w:r>
      <w:r w:rsidR="004D7374" w:rsidRPr="00C348F4">
        <w:rPr>
          <w:i/>
        </w:rPr>
        <w:t xml:space="preserve"> год терапии ибрутинибом</w:t>
      </w:r>
      <w:r w:rsidR="00F16D99" w:rsidRPr="00C348F4">
        <w:rPr>
          <w:i/>
        </w:rPr>
        <w:t>**</w:t>
      </w:r>
      <w:r w:rsidR="00C740F1" w:rsidRPr="00C348F4">
        <w:rPr>
          <w:i/>
        </w:rPr>
        <w:t>.</w:t>
      </w:r>
    </w:p>
    <w:p w:rsidR="004D7374" w:rsidRPr="00C348F4" w:rsidRDefault="00C740F1" w:rsidP="00BE6A1C">
      <w:pPr>
        <w:pStyle w:val="a"/>
      </w:pPr>
      <w:r w:rsidRPr="00C348F4">
        <w:t xml:space="preserve">Пациентам </w:t>
      </w:r>
      <w:r w:rsidR="00AD6066" w:rsidRPr="00C348F4">
        <w:t xml:space="preserve">с верифицированным ХЛЛ/ЛМЛ </w:t>
      </w:r>
      <w:r w:rsidR="004D7374" w:rsidRPr="00C348F4">
        <w:t xml:space="preserve">из группы высокого риска (с del(17p) и/или мутацией </w:t>
      </w:r>
      <w:r w:rsidR="004D7374" w:rsidRPr="00C348F4">
        <w:rPr>
          <w:i/>
        </w:rPr>
        <w:t>TP53</w:t>
      </w:r>
      <w:r w:rsidR="004D7374" w:rsidRPr="00C348F4">
        <w:t>), которым лечение ибрутинибом</w:t>
      </w:r>
      <w:r w:rsidR="004F517E" w:rsidRPr="00C348F4">
        <w:t>**</w:t>
      </w:r>
      <w:r w:rsidR="004D7374" w:rsidRPr="00C348F4">
        <w:t xml:space="preserve"> не может быть назначено, </w:t>
      </w:r>
      <w:r w:rsidR="008311A0" w:rsidRPr="00C348F4">
        <w:t>при наличии возможности</w:t>
      </w:r>
      <w:r w:rsidR="00030520" w:rsidRPr="00C348F4">
        <w:t xml:space="preserve"> </w:t>
      </w:r>
      <w:r w:rsidR="004D7374" w:rsidRPr="00C348F4">
        <w:rPr>
          <w:b/>
        </w:rPr>
        <w:t>рекомендуется</w:t>
      </w:r>
      <w:r w:rsidR="004D7374" w:rsidRPr="00C348F4">
        <w:t xml:space="preserve"> назначение венетоклакса</w:t>
      </w:r>
      <w:r w:rsidR="006D1E7B" w:rsidRPr="00C348F4">
        <w:t xml:space="preserve"> </w:t>
      </w:r>
      <w:r w:rsidR="005E336A" w:rsidRPr="00C348F4">
        <w:t xml:space="preserve">в </w:t>
      </w:r>
      <w:r w:rsidR="0086213E" w:rsidRPr="00C348F4">
        <w:t xml:space="preserve">режиме </w:t>
      </w:r>
      <w:r w:rsidR="005E336A" w:rsidRPr="00C348F4">
        <w:t>монотерапии</w:t>
      </w:r>
      <w:r w:rsidR="00437AD9" w:rsidRPr="00C348F4">
        <w:t xml:space="preserve"> (</w:t>
      </w:r>
      <w:r w:rsidR="00AA4B03" w:rsidRPr="00C348F4">
        <w:t xml:space="preserve">схемы режимов лечения см. в приложении </w:t>
      </w:r>
      <w:r w:rsidR="00437AD9" w:rsidRPr="00C348F4">
        <w:t>А3.3)</w:t>
      </w:r>
      <w:r w:rsidR="006D1E7B" w:rsidRPr="00C348F4">
        <w:t xml:space="preserve"> </w:t>
      </w:r>
      <w:r w:rsidR="000B0AC3" w:rsidRPr="00C348F4">
        <w:fldChar w:fldCharType="begin" w:fldLock="1"/>
      </w:r>
      <w:r w:rsidR="00015814" w:rsidRPr="00C348F4">
        <w:instrText>ADDIN CSL_CITATION {"citationItems":[{"id":"ITEM-1","itemData":{"DOI":"10.1016/S1470-2045(16)30019-5","ISSN":"14745488","abstract":"Background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Oncology","id":"ITEM-1","issue":"6","issued":{"date-parts":[["2016","6","1"]]},"page":"768-778","publisher":"Lancet Publishing Group","title":"Venetoclax in relapsed or refractory chronic lymphocytic leukaemia with 17p deletion: a multicentre, open-label, phase 2 study","type":"article-journal","volume":"17"},"uris":["http://www.mendeley.com/documents/?uuid=5b6cb042-b045-3e90-ae34-61c5795111c5"]}],"mendeley":{"formattedCitation":"[47]","plainTextFormattedCitation":"[47]","previouslyFormattedCitation":"[47]"},"properties":{"noteIndex":0},"schema":"https://github.com/citation-style-language/schema/raw/master/csl-citation.json"}</w:instrText>
      </w:r>
      <w:r w:rsidR="000B0AC3" w:rsidRPr="00C348F4">
        <w:fldChar w:fldCharType="separate"/>
      </w:r>
      <w:r w:rsidR="00015814" w:rsidRPr="00C348F4">
        <w:rPr>
          <w:noProof/>
        </w:rPr>
        <w:t>[47]</w:t>
      </w:r>
      <w:r w:rsidR="000B0AC3" w:rsidRPr="00C348F4">
        <w:fldChar w:fldCharType="end"/>
      </w:r>
      <w:r w:rsidR="004D7374" w:rsidRPr="00C348F4">
        <w:t>.</w:t>
      </w:r>
    </w:p>
    <w:p w:rsidR="004D7374" w:rsidRPr="0086213E" w:rsidRDefault="004D7374" w:rsidP="00BE6A1C">
      <w:pPr>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030520" w:rsidRPr="00C348F4">
        <w:rPr>
          <w:b/>
          <w:spacing w:val="-4"/>
        </w:rPr>
        <w:t xml:space="preserve"> </w:t>
      </w:r>
      <w:r w:rsidRPr="00C348F4">
        <w:rPr>
          <w:b/>
          <w:spacing w:val="-4"/>
        </w:rPr>
        <w:t>(уровень</w:t>
      </w:r>
      <w:r w:rsidRPr="0086213E">
        <w:rPr>
          <w:b/>
          <w:spacing w:val="-4"/>
        </w:rPr>
        <w:t xml:space="preserve"> достоверности </w:t>
      </w:r>
      <w:r w:rsidR="00C20509" w:rsidRPr="0086213E">
        <w:rPr>
          <w:b/>
          <w:spacing w:val="-4"/>
        </w:rPr>
        <w:t xml:space="preserve">доказательств – </w:t>
      </w:r>
      <w:r w:rsidR="001E3D61" w:rsidRPr="0086213E">
        <w:rPr>
          <w:b/>
          <w:spacing w:val="-4"/>
        </w:rPr>
        <w:t>3</w:t>
      </w:r>
      <w:r w:rsidRPr="0086213E">
        <w:rPr>
          <w:b/>
          <w:spacing w:val="-4"/>
        </w:rPr>
        <w:t>)</w:t>
      </w:r>
      <w:r w:rsidR="00C740F1" w:rsidRPr="0086213E">
        <w:rPr>
          <w:b/>
          <w:spacing w:val="-4"/>
        </w:rPr>
        <w:t>.</w:t>
      </w:r>
    </w:p>
    <w:p w:rsidR="004D7374" w:rsidRDefault="004D7374" w:rsidP="00B93B9E">
      <w:pPr>
        <w:pStyle w:val="2"/>
        <w:contextualSpacing/>
      </w:pPr>
      <w:bookmarkStart w:id="48" w:name="_Toc24546441"/>
      <w:bookmarkStart w:id="49" w:name="_Toc23601728"/>
      <w:r>
        <w:t>3.3</w:t>
      </w:r>
      <w:r w:rsidR="00397360" w:rsidRPr="00397360">
        <w:t>.</w:t>
      </w:r>
      <w:r>
        <w:t xml:space="preserve"> Выбор терапии ХЛЛ </w:t>
      </w:r>
      <w:r w:rsidR="0086213E">
        <w:t>2-</w:t>
      </w:r>
      <w:r>
        <w:t>й и последующих линий</w:t>
      </w:r>
      <w:bookmarkEnd w:id="48"/>
      <w:bookmarkEnd w:id="49"/>
    </w:p>
    <w:p w:rsidR="00F16D99" w:rsidRPr="003147A2" w:rsidRDefault="00F16D99" w:rsidP="00B93B9E">
      <w:pPr>
        <w:contextualSpacing/>
        <w:rPr>
          <w:i/>
        </w:rPr>
      </w:pPr>
      <w:r w:rsidRPr="003147A2">
        <w:rPr>
          <w:i/>
        </w:rPr>
        <w:t>Выбор терапии при рецидивах ХЛЛ зависит от следующих факторов:</w:t>
      </w:r>
    </w:p>
    <w:p w:rsidR="00F16D99" w:rsidRPr="0086213E" w:rsidRDefault="00F16D99" w:rsidP="0086213E">
      <w:pPr>
        <w:pStyle w:val="a"/>
        <w:numPr>
          <w:ilvl w:val="0"/>
          <w:numId w:val="21"/>
        </w:numPr>
        <w:spacing w:before="0"/>
        <w:rPr>
          <w:i/>
        </w:rPr>
      </w:pPr>
      <w:r w:rsidRPr="0086213E">
        <w:rPr>
          <w:i/>
        </w:rPr>
        <w:t xml:space="preserve">терапия </w:t>
      </w:r>
      <w:r w:rsidR="0086213E">
        <w:rPr>
          <w:i/>
        </w:rPr>
        <w:t>1-й</w:t>
      </w:r>
      <w:r w:rsidRPr="0086213E">
        <w:rPr>
          <w:i/>
        </w:rPr>
        <w:t xml:space="preserve"> линии;</w:t>
      </w:r>
    </w:p>
    <w:p w:rsidR="00F16D99" w:rsidRPr="0086213E" w:rsidRDefault="00F16D99" w:rsidP="0086213E">
      <w:pPr>
        <w:pStyle w:val="a"/>
        <w:numPr>
          <w:ilvl w:val="0"/>
          <w:numId w:val="21"/>
        </w:numPr>
        <w:spacing w:before="0"/>
        <w:rPr>
          <w:i/>
        </w:rPr>
      </w:pPr>
      <w:r w:rsidRPr="0086213E">
        <w:rPr>
          <w:i/>
        </w:rPr>
        <w:t>время наступления рецидива;</w:t>
      </w:r>
    </w:p>
    <w:p w:rsidR="00F16D99" w:rsidRPr="0086213E" w:rsidRDefault="00F16D99" w:rsidP="0086213E">
      <w:pPr>
        <w:pStyle w:val="a"/>
        <w:numPr>
          <w:ilvl w:val="0"/>
          <w:numId w:val="21"/>
        </w:numPr>
        <w:spacing w:before="0"/>
        <w:rPr>
          <w:i/>
        </w:rPr>
      </w:pPr>
      <w:r w:rsidRPr="0086213E">
        <w:rPr>
          <w:i/>
        </w:rPr>
        <w:t>клиническая картина рецидив</w:t>
      </w:r>
      <w:r w:rsidR="0086213E">
        <w:rPr>
          <w:i/>
        </w:rPr>
        <w:t>а</w:t>
      </w:r>
      <w:r w:rsidRPr="0086213E">
        <w:rPr>
          <w:i/>
        </w:rPr>
        <w:t>.</w:t>
      </w:r>
    </w:p>
    <w:p w:rsidR="00F16D99" w:rsidRPr="003147A2" w:rsidRDefault="00F16D99" w:rsidP="00691D0D">
      <w:pPr>
        <w:spacing w:line="355" w:lineRule="auto"/>
        <w:ind w:firstLine="709"/>
        <w:contextualSpacing/>
        <w:rPr>
          <w:i/>
        </w:rPr>
      </w:pPr>
      <w:r w:rsidRPr="003147A2">
        <w:rPr>
          <w:i/>
        </w:rPr>
        <w:t>В терапии рецидива, как и в терапии 1</w:t>
      </w:r>
      <w:r w:rsidR="0086213E">
        <w:rPr>
          <w:i/>
        </w:rPr>
        <w:t>-й</w:t>
      </w:r>
      <w:r w:rsidRPr="003147A2">
        <w:rPr>
          <w:i/>
        </w:rPr>
        <w:t xml:space="preserve"> линии, принципиальное значение имеет определение делеции 17</w:t>
      </w:r>
      <w:r w:rsidRPr="003147A2">
        <w:rPr>
          <w:i/>
          <w:lang w:val="en-US"/>
        </w:rPr>
        <w:t>p</w:t>
      </w:r>
      <w:r w:rsidRPr="003147A2">
        <w:rPr>
          <w:i/>
        </w:rPr>
        <w:t xml:space="preserve"> и мутации TP53. Утрата функции </w:t>
      </w:r>
      <w:r w:rsidRPr="003147A2">
        <w:rPr>
          <w:i/>
          <w:lang w:val="en-US"/>
        </w:rPr>
        <w:t>TP</w:t>
      </w:r>
      <w:r w:rsidRPr="003147A2">
        <w:rPr>
          <w:i/>
        </w:rPr>
        <w:t>53 в рецидиве наблюдается у 20</w:t>
      </w:r>
      <w:r w:rsidR="00DD3D1E">
        <w:rPr>
          <w:i/>
        </w:rPr>
        <w:t xml:space="preserve"> %</w:t>
      </w:r>
      <w:r w:rsidRPr="003147A2">
        <w:rPr>
          <w:i/>
        </w:rPr>
        <w:t xml:space="preserve"> </w:t>
      </w:r>
      <w:r w:rsidR="00222B3F">
        <w:rPr>
          <w:i/>
        </w:rPr>
        <w:t>пациентов</w:t>
      </w:r>
      <w:r w:rsidRPr="003147A2">
        <w:rPr>
          <w:i/>
        </w:rPr>
        <w:t xml:space="preserve">. При выявлении утраты </w:t>
      </w:r>
      <w:r w:rsidRPr="003147A2">
        <w:rPr>
          <w:i/>
          <w:lang w:val="en-US"/>
        </w:rPr>
        <w:t>TP</w:t>
      </w:r>
      <w:r w:rsidRPr="003147A2">
        <w:rPr>
          <w:i/>
        </w:rPr>
        <w:t xml:space="preserve">53, как и в </w:t>
      </w:r>
      <w:r w:rsidR="0086213E">
        <w:rPr>
          <w:i/>
        </w:rPr>
        <w:t>1-й</w:t>
      </w:r>
      <w:r w:rsidRPr="003147A2">
        <w:rPr>
          <w:i/>
        </w:rPr>
        <w:t xml:space="preserve"> линии</w:t>
      </w:r>
      <w:r w:rsidR="0086213E">
        <w:rPr>
          <w:i/>
        </w:rPr>
        <w:t xml:space="preserve"> терапии</w:t>
      </w:r>
      <w:r w:rsidRPr="003147A2">
        <w:rPr>
          <w:i/>
        </w:rPr>
        <w:t>, наиболее оправданн</w:t>
      </w:r>
      <w:r w:rsidR="0086213E">
        <w:rPr>
          <w:i/>
        </w:rPr>
        <w:t>ым</w:t>
      </w:r>
      <w:r w:rsidRPr="003147A2">
        <w:rPr>
          <w:i/>
        </w:rPr>
        <w:t xml:space="preserve"> является </w:t>
      </w:r>
      <w:r w:rsidR="0086213E">
        <w:rPr>
          <w:i/>
        </w:rPr>
        <w:t>назначение ибрутиниба</w:t>
      </w:r>
      <w:r w:rsidR="006600A3">
        <w:rPr>
          <w:i/>
        </w:rPr>
        <w:t>**</w:t>
      </w:r>
      <w:r w:rsidRPr="003147A2">
        <w:rPr>
          <w:i/>
        </w:rPr>
        <w:t xml:space="preserve">, если он не применялся ранее. </w:t>
      </w:r>
    </w:p>
    <w:p w:rsidR="009B7DF7" w:rsidRPr="00C348F4" w:rsidRDefault="00691D0D" w:rsidP="00691D0D">
      <w:pPr>
        <w:pStyle w:val="a"/>
        <w:spacing w:line="355" w:lineRule="auto"/>
      </w:pPr>
      <w:r>
        <w:t>П</w:t>
      </w:r>
      <w:r w:rsidR="004D7374">
        <w:t>ациент</w:t>
      </w:r>
      <w:r>
        <w:t>ам</w:t>
      </w:r>
      <w:r w:rsidR="004D7374">
        <w:t xml:space="preserve"> с поздним рецидивом</w:t>
      </w:r>
      <w:r w:rsidR="00AD6066">
        <w:t xml:space="preserve"> ХЛЛ/ЛМЛ</w:t>
      </w:r>
      <w:r w:rsidR="004D7374">
        <w:t xml:space="preserve"> </w:t>
      </w:r>
      <w:r w:rsidR="004D7374" w:rsidRPr="00C348F4">
        <w:t>после иммунохимиотерапии (&gt;24 мес. после последней терапии) при отсутствии делеции 17p</w:t>
      </w:r>
      <w:r w:rsidR="0086213E" w:rsidRPr="00C348F4">
        <w:t xml:space="preserve"> и </w:t>
      </w:r>
      <w:r w:rsidR="004D7374" w:rsidRPr="00C348F4">
        <w:t xml:space="preserve">мутации </w:t>
      </w:r>
      <w:r w:rsidR="004D7374" w:rsidRPr="00C348F4">
        <w:rPr>
          <w:i/>
        </w:rPr>
        <w:t>TP53</w:t>
      </w:r>
      <w:r w:rsidR="004D7374" w:rsidRPr="00C348F4">
        <w:t xml:space="preserve"> </w:t>
      </w:r>
      <w:r w:rsidR="004D7374" w:rsidRPr="00C348F4">
        <w:rPr>
          <w:b/>
        </w:rPr>
        <w:t>рекоменд</w:t>
      </w:r>
      <w:r w:rsidR="00222B3F" w:rsidRPr="00C348F4">
        <w:rPr>
          <w:b/>
        </w:rPr>
        <w:t>уется</w:t>
      </w:r>
      <w:r w:rsidR="006919DC" w:rsidRPr="00C348F4">
        <w:rPr>
          <w:b/>
        </w:rPr>
        <w:t xml:space="preserve"> </w:t>
      </w:r>
      <w:r w:rsidR="004D7374" w:rsidRPr="00C348F4">
        <w:t>один из следующих вариантов лечения</w:t>
      </w:r>
      <w:r w:rsidR="00437AD9" w:rsidRPr="00C348F4">
        <w:t xml:space="preserve"> (</w:t>
      </w:r>
      <w:r w:rsidR="00AA4B03" w:rsidRPr="00C348F4">
        <w:t xml:space="preserve">схемы режимов лечения см. в приложении </w:t>
      </w:r>
      <w:r w:rsidR="00437AD9" w:rsidRPr="00C348F4">
        <w:t>А3.3)</w:t>
      </w:r>
      <w:r w:rsidR="004D7374" w:rsidRPr="00C348F4">
        <w:t xml:space="preserve">: </w:t>
      </w:r>
    </w:p>
    <w:p w:rsidR="009B7DF7" w:rsidRPr="00C348F4" w:rsidRDefault="0086213E" w:rsidP="00691D0D">
      <w:pPr>
        <w:pStyle w:val="a"/>
        <w:numPr>
          <w:ilvl w:val="0"/>
          <w:numId w:val="32"/>
        </w:numPr>
        <w:tabs>
          <w:tab w:val="left" w:pos="1134"/>
        </w:tabs>
        <w:spacing w:before="0" w:line="355" w:lineRule="auto"/>
      </w:pPr>
      <w:r w:rsidRPr="00C348F4">
        <w:t>П</w:t>
      </w:r>
      <w:r w:rsidR="004D7374" w:rsidRPr="00C348F4">
        <w:t>овтор иммунохимиотерапии 1</w:t>
      </w:r>
      <w:r w:rsidRPr="00C348F4">
        <w:t>-й</w:t>
      </w:r>
      <w:r w:rsidR="004D7374" w:rsidRPr="00C348F4">
        <w:t xml:space="preserve"> линии</w:t>
      </w:r>
      <w:r w:rsidR="00E02ECB" w:rsidRPr="00C348F4">
        <w:t xml:space="preserve"> </w:t>
      </w:r>
      <w:r w:rsidR="000B0AC3" w:rsidRPr="00C348F4">
        <w:fldChar w:fldCharType="begin" w:fldLock="1"/>
      </w:r>
      <w:r w:rsidR="00015814" w:rsidRPr="00C348F4">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mendeley":{"formattedCitation":"[48]","plainTextFormattedCitation":"[48]","previouslyFormattedCitation":"[48]"},"properties":{"noteIndex":0},"schema":"https://github.com/citation-style-language/schema/raw/master/csl-citation.json"}</w:instrText>
      </w:r>
      <w:r w:rsidR="000B0AC3" w:rsidRPr="00C348F4">
        <w:fldChar w:fldCharType="separate"/>
      </w:r>
      <w:r w:rsidR="00015814" w:rsidRPr="00C348F4">
        <w:rPr>
          <w:noProof/>
        </w:rPr>
        <w:t>[48]</w:t>
      </w:r>
      <w:r w:rsidR="000B0AC3" w:rsidRPr="00C348F4">
        <w:fldChar w:fldCharType="end"/>
      </w:r>
      <w:r w:rsidRPr="00C348F4">
        <w:t>.</w:t>
      </w:r>
    </w:p>
    <w:p w:rsidR="009B7DF7" w:rsidRPr="00C348F4" w:rsidRDefault="0086213E" w:rsidP="00691D0D">
      <w:pPr>
        <w:pStyle w:val="a"/>
        <w:numPr>
          <w:ilvl w:val="0"/>
          <w:numId w:val="32"/>
        </w:numPr>
        <w:tabs>
          <w:tab w:val="left" w:pos="1134"/>
        </w:tabs>
        <w:spacing w:before="0" w:line="355" w:lineRule="auto"/>
      </w:pPr>
      <w:r w:rsidRPr="00C348F4">
        <w:t>А</w:t>
      </w:r>
      <w:r w:rsidR="004D7374" w:rsidRPr="00C348F4">
        <w:t>льтернативный режим иммунохимиотерапии</w:t>
      </w:r>
      <w:r w:rsidR="00E02ECB" w:rsidRPr="00C348F4">
        <w:rPr>
          <w:lang w:val="en-US"/>
        </w:rPr>
        <w:t xml:space="preserve"> </w:t>
      </w:r>
      <w:r w:rsidR="000B0AC3" w:rsidRPr="00C348F4">
        <w:fldChar w:fldCharType="begin" w:fldLock="1"/>
      </w:r>
      <w:r w:rsidR="00015814" w:rsidRPr="00C348F4">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Rituximab.","type":"article-journal"},"uris":["http://www.mendeley.com/documents/?uuid=a8a14a85-cde0-3eba-85a7-ba3811c8fb3d"]},{"id":"ITEM-2","itemData":{"DOI":"10.1200/JCO.2010.33.8061","ISSN":"0732183X","abstract":"Purpose: The objective of this trial was to evaluate safety and efficacy of bendamustine combined with rituximab (BR) in patients with relapsed and/or refractory chronic lymphocytic leukemia (CLL). Patients and Methods: Seventy-eight patients, including 22 patients with fludarabine-refractory disease (28.2%) and 14 patients (17.9%) with deletion of 17p, received BR chemoimmunotherapy. Bendamustine was administered at a dose of 70 mg/m 2 on days 1 and 2 combined with rituximab 375 mg/m2 on day 0 of the first course and 500 mg/m2 on day 1 during subsequent courses for up to six courses. Results: On the basis of intent-to-treat analysis, the overall response rate was 59.0% (95% CI, 47.3% to 70.0%). Complete response, partial response, and nodular partial response were achieved in 9.0%, 47.4%, and 2.6% of patients, respectively. Overall response rate was 45.5% in fludarabine-refractory patients and 60.5% in fludarabine-sensitive patients. Among genetic subgroups, 92.3% of patients with del(11q), 100% with trisomy 12, 7.1% with del(17p), and 58.7% with unmutated IGHV status responded to treatment. After a median follow-up time of 24 months, the median event-free survival was 14.7 months. Severe infections occurred in 12.8% of patients. Grade 3 or 4 neutropenia, thrombocytopenia, and anemia were documented in 23.1%, 28.2%, and 16.6% of patients, respectively. Conclusion: Chemoimmunotherapy with BR is effective and safe in patients with relapsed CLL and has notable activity in fludarabine-refractory disease. Major but tolerable toxicities were myelosuppression and infections. These promising results encouraged us to initiate a further phase II trial evaluating the BR regimen in patients with previously untreated CLL. © 2011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Stilgenbauer","given":"Stephan","non-dropping-particle":"","parse-names":false,"suffix":""},{"dropping-particle":"","family":"Bahlo","given":"Jasmin","non-dropping-particle":"","parse-names":false,"suffix":""},{"dropping-particle":"","family":"Schweighofer","given":"Carmen D.","non-dropping-particle":"","parse-names":false,"suffix":""},{"dropping-particle":"","family":"Boẗtcher","given":"Sebastian","non-dropping-particle":"","parse-names":false,"suffix":""},{"dropping-particle":"","family":"Staib","given":"Peter","non-dropping-particle":"","parse-names":false,"suffix":""},{"dropping-particle":"","family":"Kiehl","given":"Michael","non-dropping-particle":"","parse-names":false,"suffix":""},{"dropping-particle":"","family":"Eckart","given":"Michael J.","non-dropping-particle":"","parse-names":false,"suffix":""},{"dropping-particle":"","family":"Kranz","given":"Gabriele","non-dropping-particle":"","parse-names":false,"suffix":""},{"dropping-particle":"","family":"Goede","given":"Valentin","non-dropping-particle":"","parse-names":false,"suffix":""},{"dropping-particle":"","family":"Elter","given":"Thomas","non-dropping-particle":"","parse-names":false,"suffix":""},{"dropping-particle":"","family":"Buḧler","given":"Andreas","non-dropping-particle":"","parse-names":false,"suffix":""},{"dropping-particle":"","family":"Winkler","given":"Dirk","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F.","non-dropping-particle":"","parse-names":false,"suffix":""},{"dropping-particle":"","family":"Hallek","given":"Michael","non-dropping-particle":"","parse-names":false,"suffix":""},{"dropping-particle":"","family":"Wendtner","given":"Clemens Martin","non-dropping-particle":"","parse-names":false,"suffix":""}],"container-title":"Journal of Clinical Oncology","id":"ITEM-2","issue":"26","issued":{"date-parts":[["2011","9","10"]]},"page":"3559-3566","title":"Bendamustine combined with rituximab in patients with relapsed and/or refractory chronic lymphocytic leukemia: A Multicenter Phase II trial of the German Chronic Lymphocytic Leukemia Study Group","type":"article-journal","volume":"29"},"uris":["http://www.mendeley.com/documents/?uuid=18c6272f-1cbf-3944-ad15-2b219806912b"]}],"mendeley":{"formattedCitation":"[48,49]","plainTextFormattedCitation":"[48,49]","previouslyFormattedCitation":"[48,49]"},"properties":{"noteIndex":0},"schema":"https://github.com/citation-style-language/schema/raw/master/csl-citation.json"}</w:instrText>
      </w:r>
      <w:r w:rsidR="000B0AC3" w:rsidRPr="00C348F4">
        <w:fldChar w:fldCharType="separate"/>
      </w:r>
      <w:r w:rsidR="00015814" w:rsidRPr="00C348F4">
        <w:rPr>
          <w:noProof/>
        </w:rPr>
        <w:t>[48,49]</w:t>
      </w:r>
      <w:r w:rsidR="000B0AC3" w:rsidRPr="00C348F4">
        <w:fldChar w:fldCharType="end"/>
      </w:r>
      <w:r w:rsidRPr="00C348F4">
        <w:t>.</w:t>
      </w:r>
    </w:p>
    <w:p w:rsidR="009B7DF7" w:rsidRPr="00C348F4" w:rsidRDefault="0086213E" w:rsidP="00E30AF3">
      <w:pPr>
        <w:pStyle w:val="a"/>
        <w:numPr>
          <w:ilvl w:val="0"/>
          <w:numId w:val="32"/>
        </w:numPr>
        <w:tabs>
          <w:tab w:val="left" w:pos="1134"/>
        </w:tabs>
        <w:spacing w:before="0" w:line="355" w:lineRule="auto"/>
      </w:pPr>
      <w:r w:rsidRPr="00C348F4">
        <w:lastRenderedPageBreak/>
        <w:t>И</w:t>
      </w:r>
      <w:r w:rsidR="004D7374" w:rsidRPr="00C348F4">
        <w:t>брутиниб</w:t>
      </w:r>
      <w:r w:rsidR="006D567B" w:rsidRPr="00C348F4">
        <w:t>**</w:t>
      </w:r>
      <w:r w:rsidR="004D7374" w:rsidRPr="00C348F4">
        <w:t xml:space="preserve"> </w:t>
      </w:r>
      <w:r w:rsidR="00AE69C4" w:rsidRPr="00C348F4">
        <w:rPr>
          <w:lang w:eastAsia="ru-RU"/>
        </w:rPr>
        <w:t xml:space="preserve">420 мг/сут (3 капсулы) внутрь 1 раз в день ежедневно в течение всего курса и далее (после завершения циклов </w:t>
      </w:r>
      <w:r w:rsidR="00AE69C4" w:rsidRPr="00C348F4">
        <w:rPr>
          <w:lang w:val="en-US" w:eastAsia="ru-RU"/>
        </w:rPr>
        <w:t>BR</w:t>
      </w:r>
      <w:r w:rsidR="00AE69C4" w:rsidRPr="00C348F4">
        <w:rPr>
          <w:lang w:eastAsia="ru-RU"/>
        </w:rPr>
        <w:t>) – до прогрессирования или развития неприемлемой токсичности</w:t>
      </w:r>
      <w:r w:rsidR="00AE69C4" w:rsidRPr="00C348F4">
        <w:t xml:space="preserve"> </w:t>
      </w:r>
      <w:r w:rsidRPr="00C348F4">
        <w:t>±</w:t>
      </w:r>
      <w:r w:rsidR="004D7374" w:rsidRPr="00C348F4">
        <w:t xml:space="preserve"> </w:t>
      </w:r>
      <w:r w:rsidR="001018E4" w:rsidRPr="00C348F4">
        <w:rPr>
          <w:lang w:val="en-US"/>
        </w:rPr>
        <w:t>BR</w:t>
      </w:r>
      <w:r w:rsidR="00AE69C4" w:rsidRPr="00C348F4">
        <w:t xml:space="preserve"> (</w:t>
      </w:r>
      <w:r w:rsidR="00E30AF3" w:rsidRPr="00C348F4">
        <w:t>#</w:t>
      </w:r>
      <w:r w:rsidR="00E30AF3" w:rsidRPr="00C348F4">
        <w:rPr>
          <w:rFonts w:eastAsia="Times New Roman"/>
          <w:lang w:eastAsia="ru-RU"/>
        </w:rPr>
        <w:t>бендамустин</w:t>
      </w:r>
      <w:r w:rsidR="00AE69C4" w:rsidRPr="00C348F4">
        <w:rPr>
          <w:rFonts w:eastAsia="Times New Roman"/>
          <w:lang w:eastAsia="ru-RU"/>
        </w:rPr>
        <w:t>** – 90 мг/м</w:t>
      </w:r>
      <w:r w:rsidR="00AE69C4" w:rsidRPr="00C348F4">
        <w:rPr>
          <w:rFonts w:eastAsia="Times New Roman"/>
          <w:vertAlign w:val="superscript"/>
          <w:lang w:eastAsia="ru-RU"/>
        </w:rPr>
        <w:t>2</w:t>
      </w:r>
      <w:r w:rsidR="00AE69C4" w:rsidRPr="00C348F4">
        <w:rPr>
          <w:rFonts w:eastAsia="Times New Roman"/>
          <w:lang w:eastAsia="ru-RU"/>
        </w:rPr>
        <w:t xml:space="preserve"> в/в кап., дни 2–3 цикла 1; дни 1, 2 циклов 2–6; </w:t>
      </w:r>
      <w:r w:rsidR="00E30AF3" w:rsidRPr="00C348F4">
        <w:rPr>
          <w:rFonts w:eastAsia="Times New Roman"/>
          <w:lang w:eastAsia="ru-RU"/>
        </w:rPr>
        <w:t>ритуксимаб</w:t>
      </w:r>
      <w:r w:rsidR="00AE69C4" w:rsidRPr="00C348F4">
        <w:rPr>
          <w:rFonts w:eastAsia="Times New Roman"/>
          <w:lang w:eastAsia="ru-RU"/>
        </w:rPr>
        <w:t>** – 375 мг/м</w:t>
      </w:r>
      <w:r w:rsidR="00AE69C4" w:rsidRPr="00C348F4">
        <w:rPr>
          <w:rFonts w:eastAsia="Times New Roman"/>
          <w:vertAlign w:val="superscript"/>
          <w:lang w:eastAsia="ru-RU"/>
        </w:rPr>
        <w:t>2</w:t>
      </w:r>
      <w:r w:rsidR="00AE69C4" w:rsidRPr="00C348F4">
        <w:rPr>
          <w:rFonts w:eastAsia="Times New Roman"/>
          <w:lang w:eastAsia="ru-RU"/>
        </w:rPr>
        <w:t xml:space="preserve"> в/в кап., день 1 цикла 1; 500 мг/м</w:t>
      </w:r>
      <w:r w:rsidR="00AE69C4" w:rsidRPr="00C348F4">
        <w:rPr>
          <w:rFonts w:eastAsia="Times New Roman"/>
          <w:vertAlign w:val="superscript"/>
          <w:lang w:eastAsia="ru-RU"/>
        </w:rPr>
        <w:t>2</w:t>
      </w:r>
      <w:r w:rsidR="00AE69C4" w:rsidRPr="00C348F4">
        <w:rPr>
          <w:rFonts w:eastAsia="Times New Roman"/>
          <w:lang w:eastAsia="ru-RU"/>
        </w:rPr>
        <w:t xml:space="preserve"> в/в кап. или </w:t>
      </w:r>
      <w:r w:rsidR="00EA3851">
        <w:rPr>
          <w:rFonts w:eastAsia="Times New Roman"/>
          <w:lang w:eastAsia="ru-RU"/>
        </w:rPr>
        <w:t>1400 мг п/к</w:t>
      </w:r>
      <w:r w:rsidR="00AE69C4" w:rsidRPr="00C348F4">
        <w:rPr>
          <w:rFonts w:eastAsia="Times New Roman"/>
          <w:lang w:eastAsia="ru-RU"/>
        </w:rPr>
        <w:t xml:space="preserve">, день 1 циклов 2–6. Лечение возобновляется на 29-й день., всего 6 циклов) </w:t>
      </w:r>
      <w:r w:rsidR="00C848DD" w:rsidRPr="00C348F4">
        <w:t xml:space="preserve"> </w:t>
      </w:r>
      <w:r w:rsidR="000B0AC3" w:rsidRPr="00C348F4">
        <w:rPr>
          <w:lang w:val="en-US"/>
        </w:rPr>
        <w:fldChar w:fldCharType="begin" w:fldLock="1"/>
      </w:r>
      <w:r w:rsidR="00015814" w:rsidRPr="00C348F4">
        <w:rPr>
          <w:lang w:val="en-US"/>
        </w:rPr>
        <w:instrText>ADDIN</w:instrText>
      </w:r>
      <w:r w:rsidR="00015814" w:rsidRPr="00C348F4">
        <w:instrText xml:space="preserve"> </w:instrText>
      </w:r>
      <w:r w:rsidR="00015814" w:rsidRPr="00C348F4">
        <w:rPr>
          <w:lang w:val="en-US"/>
        </w:rPr>
        <w:instrText>CSL</w:instrText>
      </w:r>
      <w:r w:rsidR="00015814" w:rsidRPr="00C348F4">
        <w:instrText>_</w:instrText>
      </w:r>
      <w:r w:rsidR="00015814" w:rsidRPr="00C348F4">
        <w:rPr>
          <w:lang w:val="en-US"/>
        </w:rPr>
        <w:instrText>CITATION</w:instrText>
      </w:r>
      <w:r w:rsidR="00015814" w:rsidRPr="00C348F4">
        <w:instrText xml:space="preserve"> {"</w:instrText>
      </w:r>
      <w:r w:rsidR="00015814" w:rsidRPr="00C348F4">
        <w:rPr>
          <w:lang w:val="en-US"/>
        </w:rPr>
        <w:instrText>citationItems</w:instrText>
      </w:r>
      <w:r w:rsidR="00015814" w:rsidRPr="00C348F4">
        <w:instrText>":[{"</w:instrText>
      </w:r>
      <w:r w:rsidR="00015814" w:rsidRPr="00C348F4">
        <w:rPr>
          <w:lang w:val="en-US"/>
        </w:rPr>
        <w:instrText>id</w:instrText>
      </w:r>
      <w:r w:rsidR="00015814" w:rsidRPr="00C348F4">
        <w:instrText>":"</w:instrText>
      </w:r>
      <w:r w:rsidR="00015814" w:rsidRPr="00C348F4">
        <w:rPr>
          <w:lang w:val="en-US"/>
        </w:rPr>
        <w:instrText>ITEM</w:instrText>
      </w:r>
      <w:r w:rsidR="00015814" w:rsidRPr="00C348F4">
        <w:instrText>-1","</w:instrText>
      </w:r>
      <w:r w:rsidR="00015814" w:rsidRPr="00C348F4">
        <w:rPr>
          <w:lang w:val="en-US"/>
        </w:rPr>
        <w:instrText>itemData</w:instrText>
      </w:r>
      <w:r w:rsidR="00015814" w:rsidRPr="00C348F4">
        <w:instrText>":{"</w:instrText>
      </w:r>
      <w:r w:rsidR="00015814" w:rsidRPr="00C348F4">
        <w:rPr>
          <w:lang w:val="en-US"/>
        </w:rPr>
        <w:instrText>DOI</w:instrText>
      </w:r>
      <w:r w:rsidR="00015814" w:rsidRPr="00C348F4">
        <w:instrText>":"10.1056/</w:instrText>
      </w:r>
      <w:r w:rsidR="00015814" w:rsidRPr="00C348F4">
        <w:rPr>
          <w:lang w:val="en-US"/>
        </w:rPr>
        <w:instrText>NEJMoa</w:instrText>
      </w:r>
      <w:r w:rsidR="00015814" w:rsidRPr="00C348F4">
        <w:instrText>1400376","</w:instrText>
      </w:r>
      <w:r w:rsidR="00015814" w:rsidRPr="00C348F4">
        <w:rPr>
          <w:lang w:val="en-US"/>
        </w:rPr>
        <w:instrText>ISSN</w:instrText>
      </w:r>
      <w:r w:rsidR="00015814" w:rsidRPr="00C348F4">
        <w:instrText>":"1533-4406","</w:instrText>
      </w:r>
      <w:r w:rsidR="00015814" w:rsidRPr="00C348F4">
        <w:rPr>
          <w:lang w:val="en-US"/>
        </w:rPr>
        <w:instrText>PMID</w:instrText>
      </w:r>
      <w:r w:rsidR="00015814" w:rsidRPr="00C348F4">
        <w:instrText>":"24881631","</w:instrText>
      </w:r>
      <w:r w:rsidR="00015814" w:rsidRPr="00C348F4">
        <w:rPr>
          <w:lang w:val="en-US"/>
        </w:rPr>
        <w:instrText>abstract</w:instrText>
      </w:r>
      <w:r w:rsidR="00015814" w:rsidRPr="00C348F4">
        <w:instrText>":"</w:instrText>
      </w:r>
      <w:r w:rsidR="00015814" w:rsidRPr="00C348F4">
        <w:rPr>
          <w:lang w:val="en-US"/>
        </w:rPr>
        <w:instrText>BACKGROUND</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chronic</w:instrText>
      </w:r>
      <w:r w:rsidR="00015814" w:rsidRPr="00C348F4">
        <w:instrText xml:space="preserve"> </w:instrText>
      </w:r>
      <w:r w:rsidR="00015814" w:rsidRPr="00C348F4">
        <w:rPr>
          <w:lang w:val="en-US"/>
        </w:rPr>
        <w:instrText>lymphoid</w:instrText>
      </w:r>
      <w:r w:rsidR="00015814" w:rsidRPr="00C348F4">
        <w:instrText xml:space="preserve"> </w:instrText>
      </w:r>
      <w:r w:rsidR="00015814" w:rsidRPr="00C348F4">
        <w:rPr>
          <w:lang w:val="en-US"/>
        </w:rPr>
        <w:instrText>leukemia</w:instrText>
      </w:r>
      <w:r w:rsidR="00015814" w:rsidRPr="00C348F4">
        <w:instrText xml:space="preserve"> (</w:instrText>
      </w:r>
      <w:r w:rsidR="00015814" w:rsidRPr="00C348F4">
        <w:rPr>
          <w:lang w:val="en-US"/>
        </w:rPr>
        <w:instrText>CLL</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small</w:instrText>
      </w:r>
      <w:r w:rsidR="00015814" w:rsidRPr="00C348F4">
        <w:instrText xml:space="preserve"> </w:instrText>
      </w:r>
      <w:r w:rsidR="00015814" w:rsidRPr="00C348F4">
        <w:rPr>
          <w:lang w:val="en-US"/>
        </w:rPr>
        <w:instrText>lymphocytic</w:instrText>
      </w:r>
      <w:r w:rsidR="00015814" w:rsidRPr="00C348F4">
        <w:instrText xml:space="preserve"> </w:instrText>
      </w:r>
      <w:r w:rsidR="00015814" w:rsidRPr="00C348F4">
        <w:rPr>
          <w:lang w:val="en-US"/>
        </w:rPr>
        <w:instrText>lymphoma</w:instrText>
      </w:r>
      <w:r w:rsidR="00015814" w:rsidRPr="00C348F4">
        <w:instrText xml:space="preserve"> (</w:instrText>
      </w:r>
      <w:r w:rsidR="00015814" w:rsidRPr="00C348F4">
        <w:rPr>
          <w:lang w:val="en-US"/>
        </w:rPr>
        <w:instrText>SLL</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short</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to</w:instrText>
      </w:r>
      <w:r w:rsidR="00015814" w:rsidRPr="00C348F4">
        <w:instrText xml:space="preserve"> </w:instrText>
      </w:r>
      <w:r w:rsidR="00015814" w:rsidRPr="00C348F4">
        <w:rPr>
          <w:lang w:val="en-US"/>
        </w:rPr>
        <w:instrText>therapy</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adverse</w:instrText>
      </w:r>
      <w:r w:rsidR="00015814" w:rsidRPr="00C348F4">
        <w:instrText xml:space="preserve"> </w:instrText>
      </w:r>
      <w:r w:rsidR="00015814" w:rsidRPr="00C348F4">
        <w:rPr>
          <w:lang w:val="en-US"/>
        </w:rPr>
        <w:instrText>cytogenetic</w:instrText>
      </w:r>
      <w:r w:rsidR="00015814" w:rsidRPr="00C348F4">
        <w:instrText xml:space="preserve"> </w:instrText>
      </w:r>
      <w:r w:rsidR="00015814" w:rsidRPr="00C348F4">
        <w:rPr>
          <w:lang w:val="en-US"/>
        </w:rPr>
        <w:instrText>abnormalities</w:instrText>
      </w:r>
      <w:r w:rsidR="00015814" w:rsidRPr="00C348F4">
        <w:instrText xml:space="preserve"> </w:instrText>
      </w:r>
      <w:r w:rsidR="00015814" w:rsidRPr="00C348F4">
        <w:rPr>
          <w:lang w:val="en-US"/>
        </w:rPr>
        <w:instrText>are</w:instrText>
      </w:r>
      <w:r w:rsidR="00015814" w:rsidRPr="00C348F4">
        <w:instrText xml:space="preserve"> </w:instrText>
      </w:r>
      <w:r w:rsidR="00015814" w:rsidRPr="00C348F4">
        <w:rPr>
          <w:lang w:val="en-US"/>
        </w:rPr>
        <w:instrText>associated</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poor</w:instrText>
      </w:r>
      <w:r w:rsidR="00015814" w:rsidRPr="00C348F4">
        <w:instrText xml:space="preserve"> </w:instrText>
      </w:r>
      <w:r w:rsidR="00015814" w:rsidRPr="00C348F4">
        <w:rPr>
          <w:lang w:val="en-US"/>
        </w:rPr>
        <w:instrText>outcome</w:instrText>
      </w:r>
      <w:r w:rsidR="00015814" w:rsidRPr="00C348F4">
        <w:instrText xml:space="preserve">. </w:instrText>
      </w:r>
      <w:r w:rsidR="00015814" w:rsidRPr="00C348F4">
        <w:rPr>
          <w:lang w:val="en-US"/>
        </w:rPr>
        <w:instrText>We</w:instrText>
      </w:r>
      <w:r w:rsidR="00015814" w:rsidRPr="00C348F4">
        <w:instrText xml:space="preserve"> </w:instrText>
      </w:r>
      <w:r w:rsidR="00015814" w:rsidRPr="00C348F4">
        <w:rPr>
          <w:lang w:val="en-US"/>
        </w:rPr>
        <w:instrText>evaluated</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efficacy</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covalent</w:instrText>
      </w:r>
      <w:r w:rsidR="00015814" w:rsidRPr="00C348F4">
        <w:instrText xml:space="preserve"> </w:instrText>
      </w:r>
      <w:r w:rsidR="00015814" w:rsidRPr="00C348F4">
        <w:rPr>
          <w:lang w:val="en-US"/>
        </w:rPr>
        <w:instrText>inhibitor</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Bruton</w:instrText>
      </w:r>
      <w:r w:rsidR="00015814" w:rsidRPr="00C348F4">
        <w:instrText>'</w:instrText>
      </w:r>
      <w:r w:rsidR="00015814" w:rsidRPr="00C348F4">
        <w:rPr>
          <w:lang w:val="en-US"/>
        </w:rPr>
        <w:instrText>s</w:instrText>
      </w:r>
      <w:r w:rsidR="00015814" w:rsidRPr="00C348F4">
        <w:instrText xml:space="preserve"> </w:instrText>
      </w:r>
      <w:r w:rsidR="00015814" w:rsidRPr="00C348F4">
        <w:rPr>
          <w:lang w:val="en-US"/>
        </w:rPr>
        <w:instrText>tyrosine</w:instrText>
      </w:r>
      <w:r w:rsidR="00015814" w:rsidRPr="00C348F4">
        <w:instrText xml:space="preserve"> </w:instrText>
      </w:r>
      <w:r w:rsidR="00015814" w:rsidRPr="00C348F4">
        <w:rPr>
          <w:lang w:val="en-US"/>
        </w:rPr>
        <w:instrText>kinase</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at</w:instrText>
      </w:r>
      <w:r w:rsidR="00015814" w:rsidRPr="00C348F4">
        <w:instrText xml:space="preserve"> </w:instrText>
      </w:r>
      <w:r w:rsidR="00015814" w:rsidRPr="00C348F4">
        <w:rPr>
          <w:lang w:val="en-US"/>
        </w:rPr>
        <w:instrText>risk</w:instrText>
      </w:r>
      <w:r w:rsidR="00015814" w:rsidRPr="00C348F4">
        <w:instrText xml:space="preserve"> </w:instrText>
      </w:r>
      <w:r w:rsidR="00015814" w:rsidRPr="00C348F4">
        <w:rPr>
          <w:lang w:val="en-US"/>
        </w:rPr>
        <w:instrText>for</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poor</w:instrText>
      </w:r>
      <w:r w:rsidR="00015814" w:rsidRPr="00C348F4">
        <w:instrText xml:space="preserve"> </w:instrText>
      </w:r>
      <w:r w:rsidR="00015814" w:rsidRPr="00C348F4">
        <w:rPr>
          <w:lang w:val="en-US"/>
        </w:rPr>
        <w:instrText>outcome</w:instrText>
      </w:r>
      <w:r w:rsidR="00015814" w:rsidRPr="00C348F4">
        <w:instrText xml:space="preserve">. </w:instrText>
      </w:r>
      <w:r w:rsidR="00015814" w:rsidRPr="00C348F4">
        <w:rPr>
          <w:lang w:val="en-US"/>
        </w:rPr>
        <w:instrText>METHODS</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this</w:instrText>
      </w:r>
      <w:r w:rsidR="00015814" w:rsidRPr="00C348F4">
        <w:instrText xml:space="preserve"> </w:instrText>
      </w:r>
      <w:r w:rsidR="00015814" w:rsidRPr="00C348F4">
        <w:rPr>
          <w:lang w:val="en-US"/>
        </w:rPr>
        <w:instrText>multicenter</w:instrText>
      </w:r>
      <w:r w:rsidR="00015814" w:rsidRPr="00C348F4">
        <w:instrText xml:space="preserve">, </w:instrText>
      </w:r>
      <w:r w:rsidR="00015814" w:rsidRPr="00C348F4">
        <w:rPr>
          <w:lang w:val="en-US"/>
        </w:rPr>
        <w:instrText>open</w:instrText>
      </w:r>
      <w:r w:rsidR="00015814" w:rsidRPr="00C348F4">
        <w:instrText>-</w:instrText>
      </w:r>
      <w:r w:rsidR="00015814" w:rsidRPr="00C348F4">
        <w:rPr>
          <w:lang w:val="en-US"/>
        </w:rPr>
        <w:instrText>label</w:instrText>
      </w:r>
      <w:r w:rsidR="00015814" w:rsidRPr="00C348F4">
        <w:instrText xml:space="preserve">, </w:instrText>
      </w:r>
      <w:r w:rsidR="00015814" w:rsidRPr="00C348F4">
        <w:rPr>
          <w:lang w:val="en-US"/>
        </w:rPr>
        <w:instrText>phase</w:instrText>
      </w:r>
      <w:r w:rsidR="00015814" w:rsidRPr="00C348F4">
        <w:instrText xml:space="preserve"> 3 </w:instrText>
      </w:r>
      <w:r w:rsidR="00015814" w:rsidRPr="00C348F4">
        <w:rPr>
          <w:lang w:val="en-US"/>
        </w:rPr>
        <w:instrText>study</w:instrText>
      </w:r>
      <w:r w:rsidR="00015814" w:rsidRPr="00C348F4">
        <w:instrText xml:space="preserve">, </w:instrText>
      </w:r>
      <w:r w:rsidR="00015814" w:rsidRPr="00C348F4">
        <w:rPr>
          <w:lang w:val="en-US"/>
        </w:rPr>
        <w:instrText>we</w:instrText>
      </w:r>
      <w:r w:rsidR="00015814" w:rsidRPr="00C348F4">
        <w:instrText xml:space="preserve"> </w:instrText>
      </w:r>
      <w:r w:rsidR="00015814" w:rsidRPr="00C348F4">
        <w:rPr>
          <w:lang w:val="en-US"/>
        </w:rPr>
        <w:instrText>randomly</w:instrText>
      </w:r>
      <w:r w:rsidR="00015814" w:rsidRPr="00C348F4">
        <w:instrText xml:space="preserve"> </w:instrText>
      </w:r>
      <w:r w:rsidR="00015814" w:rsidRPr="00C348F4">
        <w:rPr>
          <w:lang w:val="en-US"/>
        </w:rPr>
        <w:instrText>assigned</w:instrText>
      </w:r>
      <w:r w:rsidR="00015814" w:rsidRPr="00C348F4">
        <w:instrText xml:space="preserve"> 391 </w:instrText>
      </w:r>
      <w:r w:rsidR="00015814" w:rsidRPr="00C348F4">
        <w:rPr>
          <w:lang w:val="en-US"/>
        </w:rPr>
        <w:instrText>patients</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relapsed</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refractory</w:instrText>
      </w:r>
      <w:r w:rsidR="00015814" w:rsidRPr="00C348F4">
        <w:instrText xml:space="preserve"> </w:instrText>
      </w:r>
      <w:r w:rsidR="00015814" w:rsidRPr="00C348F4">
        <w:rPr>
          <w:lang w:val="en-US"/>
        </w:rPr>
        <w:instrText>CLL</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SLL</w:instrText>
      </w:r>
      <w:r w:rsidR="00015814" w:rsidRPr="00C348F4">
        <w:instrText xml:space="preserve"> </w:instrText>
      </w:r>
      <w:r w:rsidR="00015814" w:rsidRPr="00C348F4">
        <w:rPr>
          <w:lang w:val="en-US"/>
        </w:rPr>
        <w:instrText>to</w:instrText>
      </w:r>
      <w:r w:rsidR="00015814" w:rsidRPr="00C348F4">
        <w:instrText xml:space="preserve"> </w:instrText>
      </w:r>
      <w:r w:rsidR="00015814" w:rsidRPr="00C348F4">
        <w:rPr>
          <w:lang w:val="en-US"/>
        </w:rPr>
        <w:instrText>receive</w:instrText>
      </w:r>
      <w:r w:rsidR="00015814" w:rsidRPr="00C348F4">
        <w:instrText xml:space="preserve"> </w:instrText>
      </w:r>
      <w:r w:rsidR="00015814" w:rsidRPr="00C348F4">
        <w:rPr>
          <w:lang w:val="en-US"/>
        </w:rPr>
        <w:instrText>daily</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anti</w:instrText>
      </w:r>
      <w:r w:rsidR="00015814" w:rsidRPr="00C348F4">
        <w:instrText>-</w:instrText>
      </w:r>
      <w:r w:rsidR="00015814" w:rsidRPr="00C348F4">
        <w:rPr>
          <w:lang w:val="en-US"/>
        </w:rPr>
        <w:instrText>CD</w:instrText>
      </w:r>
      <w:r w:rsidR="00015814" w:rsidRPr="00C348F4">
        <w:instrText xml:space="preserve">20 </w:instrText>
      </w:r>
      <w:r w:rsidR="00015814" w:rsidRPr="00C348F4">
        <w:rPr>
          <w:lang w:val="en-US"/>
        </w:rPr>
        <w:instrText>antibody</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primary</w:instrText>
      </w:r>
      <w:r w:rsidR="00015814" w:rsidRPr="00C348F4">
        <w:instrText xml:space="preserve"> </w:instrText>
      </w:r>
      <w:r w:rsidR="00015814" w:rsidRPr="00C348F4">
        <w:rPr>
          <w:lang w:val="en-US"/>
        </w:rPr>
        <w:instrText>end</w:instrText>
      </w:r>
      <w:r w:rsidR="00015814" w:rsidRPr="00C348F4">
        <w:instrText xml:space="preserve"> </w:instrText>
      </w:r>
      <w:r w:rsidR="00015814" w:rsidRPr="00C348F4">
        <w:rPr>
          <w:lang w:val="en-US"/>
        </w:rPr>
        <w:instrText>point</w:instrText>
      </w:r>
      <w:r w:rsidR="00015814" w:rsidRPr="00C348F4">
        <w:instrText xml:space="preserve"> </w:instrText>
      </w:r>
      <w:r w:rsidR="00015814" w:rsidRPr="00C348F4">
        <w:rPr>
          <w:lang w:val="en-US"/>
        </w:rPr>
        <w:instrText>was</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as</w:instrText>
      </w:r>
      <w:r w:rsidR="00015814" w:rsidRPr="00C348F4">
        <w:instrText xml:space="preserve"> </w:instrText>
      </w:r>
      <w:r w:rsidR="00015814" w:rsidRPr="00C348F4">
        <w:rPr>
          <w:lang w:val="en-US"/>
        </w:rPr>
        <w:instrText>secondary</w:instrText>
      </w:r>
      <w:r w:rsidR="00015814" w:rsidRPr="00C348F4">
        <w:instrText xml:space="preserve"> </w:instrText>
      </w:r>
      <w:r w:rsidR="00015814" w:rsidRPr="00C348F4">
        <w:rPr>
          <w:lang w:val="en-US"/>
        </w:rPr>
        <w:instrText>end</w:instrText>
      </w:r>
      <w:r w:rsidR="00015814" w:rsidRPr="00C348F4">
        <w:instrText xml:space="preserve"> </w:instrText>
      </w:r>
      <w:r w:rsidR="00015814" w:rsidRPr="00C348F4">
        <w:rPr>
          <w:lang w:val="en-US"/>
        </w:rPr>
        <w:instrText>points</w:instrText>
      </w:r>
      <w:r w:rsidR="00015814" w:rsidRPr="00C348F4">
        <w:instrText xml:space="preserve">. </w:instrText>
      </w:r>
      <w:r w:rsidR="00015814" w:rsidRPr="00C348F4">
        <w:rPr>
          <w:lang w:val="en-US"/>
        </w:rPr>
        <w:instrText>RESULTS</w:instrText>
      </w:r>
      <w:r w:rsidR="00015814" w:rsidRPr="00C348F4">
        <w:instrText xml:space="preserve"> </w:instrText>
      </w:r>
      <w:r w:rsidR="00015814" w:rsidRPr="00C348F4">
        <w:rPr>
          <w:lang w:val="en-US"/>
        </w:rPr>
        <w:instrText>At</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median</w:instrText>
      </w:r>
      <w:r w:rsidR="00015814" w:rsidRPr="00C348F4">
        <w:instrText xml:space="preserve"> </w:instrText>
      </w:r>
      <w:r w:rsidR="00015814" w:rsidRPr="00C348F4">
        <w:rPr>
          <w:lang w:val="en-US"/>
        </w:rPr>
        <w:instrText>follow</w:instrText>
      </w:r>
      <w:r w:rsidR="00015814" w:rsidRPr="00C348F4">
        <w:instrText>-</w:instrText>
      </w:r>
      <w:r w:rsidR="00015814" w:rsidRPr="00C348F4">
        <w:rPr>
          <w:lang w:val="en-US"/>
        </w:rPr>
        <w:instrText>up</w:instrText>
      </w:r>
      <w:r w:rsidR="00015814" w:rsidRPr="00C348F4">
        <w:instrText xml:space="preserve"> </w:instrText>
      </w:r>
      <w:r w:rsidR="00015814" w:rsidRPr="00C348F4">
        <w:rPr>
          <w:lang w:val="en-US"/>
        </w:rPr>
        <w:instrText>of</w:instrText>
      </w:r>
      <w:r w:rsidR="00015814" w:rsidRPr="00C348F4">
        <w:instrText xml:space="preserve"> 9.4 </w:instrText>
      </w:r>
      <w:r w:rsidR="00015814" w:rsidRPr="00C348F4">
        <w:rPr>
          <w:lang w:val="en-US"/>
        </w:rPr>
        <w:instrText>months</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improved</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median</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was</w:instrText>
      </w:r>
      <w:r w:rsidR="00015814" w:rsidRPr="00C348F4">
        <w:instrText xml:space="preserve"> </w:instrText>
      </w:r>
      <w:r w:rsidR="00015814" w:rsidRPr="00C348F4">
        <w:rPr>
          <w:lang w:val="en-US"/>
        </w:rPr>
        <w:instrText>not</w:instrText>
      </w:r>
      <w:r w:rsidR="00015814" w:rsidRPr="00C348F4">
        <w:instrText xml:space="preserve"> </w:instrText>
      </w:r>
      <w:r w:rsidR="00015814" w:rsidRPr="00C348F4">
        <w:rPr>
          <w:lang w:val="en-US"/>
        </w:rPr>
        <w:instrText>reached</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of</w:instrText>
      </w:r>
      <w:r w:rsidR="00015814" w:rsidRPr="00C348F4">
        <w:instrText xml:space="preserve"> 88% </w:instrText>
      </w:r>
      <w:r w:rsidR="00015814" w:rsidRPr="00C348F4">
        <w:rPr>
          <w:lang w:val="en-US"/>
        </w:rPr>
        <w:instrText>at</w:instrText>
      </w:r>
      <w:r w:rsidR="00015814" w:rsidRPr="00C348F4">
        <w:instrText xml:space="preserve"> 6 </w:instrText>
      </w:r>
      <w:r w:rsidR="00015814" w:rsidRPr="00C348F4">
        <w:rPr>
          <w:lang w:val="en-US"/>
        </w:rPr>
        <w:instrText>months</w:instrText>
      </w:r>
      <w:r w:rsidR="00015814" w:rsidRPr="00C348F4">
        <w:instrText xml:space="preserve">), </w:instrText>
      </w:r>
      <w:r w:rsidR="00015814" w:rsidRPr="00C348F4">
        <w:rPr>
          <w:lang w:val="en-US"/>
        </w:rPr>
        <w:instrText>as</w:instrText>
      </w:r>
      <w:r w:rsidR="00015814" w:rsidRPr="00C348F4">
        <w:instrText xml:space="preserve"> </w:instrText>
      </w:r>
      <w:r w:rsidR="00015814" w:rsidRPr="00C348F4">
        <w:rPr>
          <w:lang w:val="en-US"/>
        </w:rPr>
        <w:instrText>compared</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median</w:instrText>
      </w:r>
      <w:r w:rsidR="00015814" w:rsidRPr="00C348F4">
        <w:instrText xml:space="preserve"> </w:instrText>
      </w:r>
      <w:r w:rsidR="00015814" w:rsidRPr="00C348F4">
        <w:rPr>
          <w:lang w:val="en-US"/>
        </w:rPr>
        <w:instrText>of</w:instrText>
      </w:r>
      <w:r w:rsidR="00015814" w:rsidRPr="00C348F4">
        <w:instrText xml:space="preserve"> 8.1 </w:instrText>
      </w:r>
      <w:r w:rsidR="00015814" w:rsidRPr="00C348F4">
        <w:rPr>
          <w:lang w:val="en-US"/>
        </w:rPr>
        <w:instrText>months</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hazard</w:instrText>
      </w:r>
      <w:r w:rsidR="00015814" w:rsidRPr="00C348F4">
        <w:instrText xml:space="preserve"> </w:instrText>
      </w:r>
      <w:r w:rsidR="00015814" w:rsidRPr="00C348F4">
        <w:rPr>
          <w:lang w:val="en-US"/>
        </w:rPr>
        <w:instrText>ratio</w:instrText>
      </w:r>
      <w:r w:rsidR="00015814" w:rsidRPr="00C348F4">
        <w:instrText xml:space="preserve"> </w:instrText>
      </w:r>
      <w:r w:rsidR="00015814" w:rsidRPr="00C348F4">
        <w:rPr>
          <w:lang w:val="en-US"/>
        </w:rPr>
        <w:instrText>for</w:instrText>
      </w:r>
      <w:r w:rsidR="00015814" w:rsidRPr="00C348F4">
        <w:instrText xml:space="preserve"> </w:instrText>
      </w:r>
      <w:r w:rsidR="00015814" w:rsidRPr="00C348F4">
        <w:rPr>
          <w:lang w:val="en-US"/>
        </w:rPr>
        <w:instrText>progression</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death</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0.22; </w:instrText>
      </w:r>
      <w:r w:rsidR="00015814" w:rsidRPr="00C348F4">
        <w:rPr>
          <w:lang w:val="en-US"/>
        </w:rPr>
        <w:instrText>P</w:instrText>
      </w:r>
      <w:r w:rsidR="00015814" w:rsidRPr="00C348F4">
        <w:instrText xml:space="preserve">&lt;0.001). </w:instrText>
      </w:r>
      <w:r w:rsidR="00015814" w:rsidRPr="00C348F4">
        <w:rPr>
          <w:lang w:val="en-US"/>
        </w:rPr>
        <w:instrText>Ibrutinib</w:instrText>
      </w:r>
      <w:r w:rsidR="00015814" w:rsidRPr="00C348F4">
        <w:instrText xml:space="preserve"> </w:instrText>
      </w:r>
      <w:r w:rsidR="00015814" w:rsidRPr="00C348F4">
        <w:rPr>
          <w:lang w:val="en-US"/>
        </w:rPr>
        <w:instrText>also</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improved</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hazard</w:instrText>
      </w:r>
      <w:r w:rsidR="00015814" w:rsidRPr="00C348F4">
        <w:instrText xml:space="preserve"> </w:instrText>
      </w:r>
      <w:r w:rsidR="00015814" w:rsidRPr="00C348F4">
        <w:rPr>
          <w:lang w:val="en-US"/>
        </w:rPr>
        <w:instrText>ratio</w:instrText>
      </w:r>
      <w:r w:rsidR="00015814" w:rsidRPr="00C348F4">
        <w:instrText xml:space="preserve"> </w:instrText>
      </w:r>
      <w:r w:rsidR="00015814" w:rsidRPr="00C348F4">
        <w:rPr>
          <w:lang w:val="en-US"/>
        </w:rPr>
        <w:instrText>for</w:instrText>
      </w:r>
      <w:r w:rsidR="00015814" w:rsidRPr="00C348F4">
        <w:instrText xml:space="preserve"> </w:instrText>
      </w:r>
      <w:r w:rsidR="00015814" w:rsidRPr="00C348F4">
        <w:rPr>
          <w:lang w:val="en-US"/>
        </w:rPr>
        <w:instrText>death</w:instrText>
      </w:r>
      <w:r w:rsidR="00015814" w:rsidRPr="00C348F4">
        <w:instrText xml:space="preserve">, 0.43; </w:instrText>
      </w:r>
      <w:r w:rsidR="00015814" w:rsidRPr="00C348F4">
        <w:rPr>
          <w:lang w:val="en-US"/>
        </w:rPr>
        <w:instrText>P</w:instrText>
      </w:r>
      <w:r w:rsidR="00015814" w:rsidRPr="00C348F4">
        <w:instrText xml:space="preserve">=0.005). </w:instrText>
      </w:r>
      <w:r w:rsidR="00015814" w:rsidRPr="00C348F4">
        <w:rPr>
          <w:lang w:val="en-US"/>
        </w:rPr>
        <w:instrText>At</w:instrText>
      </w:r>
      <w:r w:rsidR="00015814" w:rsidRPr="00C348F4">
        <w:instrText xml:space="preserve"> 12 </w:instrText>
      </w:r>
      <w:r w:rsidR="00015814" w:rsidRPr="00C348F4">
        <w:rPr>
          <w:lang w:val="en-US"/>
        </w:rPr>
        <w:instrText>months</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was</w:instrText>
      </w:r>
      <w:r w:rsidR="00015814" w:rsidRPr="00C348F4">
        <w:instrText xml:space="preserve"> 90%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and</w:instrText>
      </w:r>
      <w:r w:rsidR="00015814" w:rsidRPr="00C348F4">
        <w:instrText xml:space="preserve"> 81%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was</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higher</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than</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(42.6% </w:instrText>
      </w:r>
      <w:r w:rsidR="00015814" w:rsidRPr="00C348F4">
        <w:rPr>
          <w:lang w:val="en-US"/>
        </w:rPr>
        <w:instrText>vs</w:instrText>
      </w:r>
      <w:r w:rsidR="00015814" w:rsidRPr="00C348F4">
        <w:instrText xml:space="preserve">. 4.1%, </w:instrText>
      </w:r>
      <w:r w:rsidR="00015814" w:rsidRPr="00C348F4">
        <w:rPr>
          <w:lang w:val="en-US"/>
        </w:rPr>
        <w:instrText>P</w:instrText>
      </w:r>
      <w:r w:rsidR="00015814" w:rsidRPr="00C348F4">
        <w:instrText xml:space="preserve">&lt;0.001). </w:instrText>
      </w:r>
      <w:r w:rsidR="00015814" w:rsidRPr="00C348F4">
        <w:rPr>
          <w:lang w:val="en-US"/>
        </w:rPr>
        <w:instrText>An</w:instrText>
      </w:r>
      <w:r w:rsidR="00015814" w:rsidRPr="00C348F4">
        <w:instrText xml:space="preserve"> </w:instrText>
      </w:r>
      <w:r w:rsidR="00015814" w:rsidRPr="00C348F4">
        <w:rPr>
          <w:lang w:val="en-US"/>
        </w:rPr>
        <w:instrText>additional</w:instrText>
      </w:r>
      <w:r w:rsidR="00015814" w:rsidRPr="00C348F4">
        <w:instrText xml:space="preserve"> 20% </w:instrText>
      </w:r>
      <w:r w:rsidR="00015814" w:rsidRPr="00C348F4">
        <w:rPr>
          <w:lang w:val="en-US"/>
        </w:rPr>
        <w:instrText>of</w:instrText>
      </w:r>
      <w:r w:rsidR="00015814" w:rsidRPr="00C348F4">
        <w:instrText xml:space="preserve"> </w:instrText>
      </w:r>
      <w:r w:rsidR="00015814" w:rsidRPr="00C348F4">
        <w:rPr>
          <w:lang w:val="en-US"/>
        </w:rPr>
        <w:instrText>ibrutinib</w:instrText>
      </w:r>
      <w:r w:rsidR="00015814" w:rsidRPr="00C348F4">
        <w:instrText>-</w:instrText>
      </w:r>
      <w:r w:rsidR="00015814" w:rsidRPr="00C348F4">
        <w:rPr>
          <w:lang w:val="en-US"/>
        </w:rPr>
        <w:instrText>treated</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had</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partial</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lymphocytosis</w:instrText>
      </w:r>
      <w:r w:rsidR="00015814" w:rsidRPr="00C348F4">
        <w:instrText xml:space="preserve">. </w:instrText>
      </w:r>
      <w:r w:rsidR="00015814" w:rsidRPr="00C348F4">
        <w:rPr>
          <w:lang w:val="en-US"/>
        </w:rPr>
        <w:instrText>Similar</w:instrText>
      </w:r>
      <w:r w:rsidR="00015814" w:rsidRPr="00C348F4">
        <w:instrText xml:space="preserve"> </w:instrText>
      </w:r>
      <w:r w:rsidR="00015814" w:rsidRPr="00C348F4">
        <w:rPr>
          <w:lang w:val="en-US"/>
        </w:rPr>
        <w:instrText>effects</w:instrText>
      </w:r>
      <w:r w:rsidR="00015814" w:rsidRPr="00C348F4">
        <w:instrText xml:space="preserve"> </w:instrText>
      </w:r>
      <w:r w:rsidR="00015814" w:rsidRPr="00C348F4">
        <w:rPr>
          <w:lang w:val="en-US"/>
        </w:rPr>
        <w:instrText>were</w:instrText>
      </w:r>
      <w:r w:rsidR="00015814" w:rsidRPr="00C348F4">
        <w:instrText xml:space="preserve"> </w:instrText>
      </w:r>
      <w:r w:rsidR="00015814" w:rsidRPr="00C348F4">
        <w:rPr>
          <w:lang w:val="en-US"/>
        </w:rPr>
        <w:instrText>observed</w:instrText>
      </w:r>
      <w:r w:rsidR="00015814" w:rsidRPr="00C348F4">
        <w:instrText xml:space="preserve"> </w:instrText>
      </w:r>
      <w:r w:rsidR="00015814" w:rsidRPr="00C348F4">
        <w:rPr>
          <w:lang w:val="en-US"/>
        </w:rPr>
        <w:instrText>regardless</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whether</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had</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chromosome</w:instrText>
      </w:r>
      <w:r w:rsidR="00015814" w:rsidRPr="00C348F4">
        <w:instrText xml:space="preserve"> 17</w:instrText>
      </w:r>
      <w:r w:rsidR="00015814" w:rsidRPr="00C348F4">
        <w:rPr>
          <w:lang w:val="en-US"/>
        </w:rPr>
        <w:instrText>p</w:instrText>
      </w:r>
      <w:r w:rsidR="00015814" w:rsidRPr="00C348F4">
        <w:instrText xml:space="preserve">13.1 </w:instrText>
      </w:r>
      <w:r w:rsidR="00015814" w:rsidRPr="00C348F4">
        <w:rPr>
          <w:lang w:val="en-US"/>
        </w:rPr>
        <w:instrText>deletion</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resistance</w:instrText>
      </w:r>
      <w:r w:rsidR="00015814" w:rsidRPr="00C348F4">
        <w:instrText xml:space="preserve"> </w:instrText>
      </w:r>
      <w:r w:rsidR="00015814" w:rsidRPr="00C348F4">
        <w:rPr>
          <w:lang w:val="en-US"/>
        </w:rPr>
        <w:instrText>to</w:instrText>
      </w:r>
      <w:r w:rsidR="00015814" w:rsidRPr="00C348F4">
        <w:instrText xml:space="preserve"> </w:instrText>
      </w:r>
      <w:r w:rsidR="00015814" w:rsidRPr="00C348F4">
        <w:rPr>
          <w:lang w:val="en-US"/>
        </w:rPr>
        <w:instrText>purine</w:instrText>
      </w:r>
      <w:r w:rsidR="00015814" w:rsidRPr="00C348F4">
        <w:instrText xml:space="preserve"> </w:instrText>
      </w:r>
      <w:r w:rsidR="00015814" w:rsidRPr="00C348F4">
        <w:rPr>
          <w:lang w:val="en-US"/>
        </w:rPr>
        <w:instrText>analogues</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most</w:instrText>
      </w:r>
      <w:r w:rsidR="00015814" w:rsidRPr="00C348F4">
        <w:instrText xml:space="preserve"> </w:instrText>
      </w:r>
      <w:r w:rsidR="00015814" w:rsidRPr="00C348F4">
        <w:rPr>
          <w:lang w:val="en-US"/>
        </w:rPr>
        <w:instrText>frequent</w:instrText>
      </w:r>
      <w:r w:rsidR="00015814" w:rsidRPr="00C348F4">
        <w:instrText xml:space="preserve"> </w:instrText>
      </w:r>
      <w:r w:rsidR="00015814" w:rsidRPr="00C348F4">
        <w:rPr>
          <w:lang w:val="en-US"/>
        </w:rPr>
        <w:instrText>nonhematologic</w:instrText>
      </w:r>
      <w:r w:rsidR="00015814" w:rsidRPr="00C348F4">
        <w:instrText xml:space="preserve"> </w:instrText>
      </w:r>
      <w:r w:rsidR="00015814" w:rsidRPr="00C348F4">
        <w:rPr>
          <w:lang w:val="en-US"/>
        </w:rPr>
        <w:instrText>adverse</w:instrText>
      </w:r>
      <w:r w:rsidR="00015814" w:rsidRPr="00C348F4">
        <w:instrText xml:space="preserve"> </w:instrText>
      </w:r>
      <w:r w:rsidR="00015814" w:rsidRPr="00C348F4">
        <w:rPr>
          <w:lang w:val="en-US"/>
        </w:rPr>
        <w:instrText>events</w:instrText>
      </w:r>
      <w:r w:rsidR="00015814" w:rsidRPr="00C348F4">
        <w:instrText xml:space="preserve"> </w:instrText>
      </w:r>
      <w:r w:rsidR="00015814" w:rsidRPr="00C348F4">
        <w:rPr>
          <w:lang w:val="en-US"/>
        </w:rPr>
        <w:instrText>were</w:instrText>
      </w:r>
      <w:r w:rsidR="00015814" w:rsidRPr="00C348F4">
        <w:instrText xml:space="preserve"> </w:instrText>
      </w:r>
      <w:r w:rsidR="00015814" w:rsidRPr="00C348F4">
        <w:rPr>
          <w:lang w:val="en-US"/>
        </w:rPr>
        <w:instrText>diarrhea</w:instrText>
      </w:r>
      <w:r w:rsidR="00015814" w:rsidRPr="00C348F4">
        <w:instrText xml:space="preserve">, </w:instrText>
      </w:r>
      <w:r w:rsidR="00015814" w:rsidRPr="00C348F4">
        <w:rPr>
          <w:lang w:val="en-US"/>
        </w:rPr>
        <w:instrText>fatigue</w:instrText>
      </w:r>
      <w:r w:rsidR="00015814" w:rsidRPr="00C348F4">
        <w:instrText xml:space="preserve">, </w:instrText>
      </w:r>
      <w:r w:rsidR="00015814" w:rsidRPr="00C348F4">
        <w:rPr>
          <w:lang w:val="en-US"/>
        </w:rPr>
        <w:instrText>pyrexia</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nausea</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fatigue</w:instrText>
      </w:r>
      <w:r w:rsidR="00015814" w:rsidRPr="00C348F4">
        <w:instrText xml:space="preserve">, </w:instrText>
      </w:r>
      <w:r w:rsidR="00015814" w:rsidRPr="00C348F4">
        <w:rPr>
          <w:lang w:val="en-US"/>
        </w:rPr>
        <w:instrText>infusion</w:instrText>
      </w:r>
      <w:r w:rsidR="00015814" w:rsidRPr="00C348F4">
        <w:instrText>-</w:instrText>
      </w:r>
      <w:r w:rsidR="00015814" w:rsidRPr="00C348F4">
        <w:rPr>
          <w:lang w:val="en-US"/>
        </w:rPr>
        <w:instrText>related</w:instrText>
      </w:r>
      <w:r w:rsidR="00015814" w:rsidRPr="00C348F4">
        <w:instrText xml:space="preserve"> </w:instrText>
      </w:r>
      <w:r w:rsidR="00015814" w:rsidRPr="00C348F4">
        <w:rPr>
          <w:lang w:val="en-US"/>
        </w:rPr>
        <w:instrText>reactions</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cough</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CONCLUSIONS</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as</w:instrText>
      </w:r>
      <w:r w:rsidR="00015814" w:rsidRPr="00C348F4">
        <w:instrText xml:space="preserve"> </w:instrText>
      </w:r>
      <w:r w:rsidR="00015814" w:rsidRPr="00C348F4">
        <w:rPr>
          <w:lang w:val="en-US"/>
        </w:rPr>
        <w:instrText>compared</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improved</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among</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previously</w:instrText>
      </w:r>
      <w:r w:rsidR="00015814" w:rsidRPr="00C348F4">
        <w:instrText xml:space="preserve"> </w:instrText>
      </w:r>
      <w:r w:rsidR="00015814" w:rsidRPr="00C348F4">
        <w:rPr>
          <w:lang w:val="en-US"/>
        </w:rPr>
        <w:instrText>treated</w:instrText>
      </w:r>
      <w:r w:rsidR="00015814" w:rsidRPr="00C348F4">
        <w:instrText xml:space="preserve"> </w:instrText>
      </w:r>
      <w:r w:rsidR="00015814" w:rsidRPr="00C348F4">
        <w:rPr>
          <w:lang w:val="en-US"/>
        </w:rPr>
        <w:instrText>CLL</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SLL</w:instrText>
      </w:r>
      <w:r w:rsidR="00015814" w:rsidRPr="00C348F4">
        <w:instrText>. (</w:instrText>
      </w:r>
      <w:r w:rsidR="00015814" w:rsidRPr="00C348F4">
        <w:rPr>
          <w:lang w:val="en-US"/>
        </w:rPr>
        <w:instrText>Funded</w:instrText>
      </w:r>
      <w:r w:rsidR="00015814" w:rsidRPr="00C348F4">
        <w:instrText xml:space="preserve"> </w:instrText>
      </w:r>
      <w:r w:rsidR="00015814" w:rsidRPr="00C348F4">
        <w:rPr>
          <w:lang w:val="en-US"/>
        </w:rPr>
        <w:instrText>by</w:instrText>
      </w:r>
      <w:r w:rsidR="00015814" w:rsidRPr="00C348F4">
        <w:instrText xml:space="preserve"> </w:instrText>
      </w:r>
      <w:r w:rsidR="00015814" w:rsidRPr="00C348F4">
        <w:rPr>
          <w:lang w:val="en-US"/>
        </w:rPr>
        <w:instrText>Pharmacyclics</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Janssen</w:instrText>
      </w:r>
      <w:r w:rsidR="00015814" w:rsidRPr="00C348F4">
        <w:instrText xml:space="preserve">; </w:instrText>
      </w:r>
      <w:r w:rsidR="00015814" w:rsidRPr="00C348F4">
        <w:rPr>
          <w:lang w:val="en-US"/>
        </w:rPr>
        <w:instrText>RESONATE</w:instrText>
      </w:r>
      <w:r w:rsidR="00015814" w:rsidRPr="00C348F4">
        <w:instrText xml:space="preserve"> </w:instrText>
      </w:r>
      <w:r w:rsidR="00015814" w:rsidRPr="00C348F4">
        <w:rPr>
          <w:lang w:val="en-US"/>
        </w:rPr>
        <w:instrText>ClinicalTrials</w:instrText>
      </w:r>
      <w:r w:rsidR="00015814" w:rsidRPr="00C348F4">
        <w:instrText>.</w:instrText>
      </w:r>
      <w:r w:rsidR="00015814" w:rsidRPr="00C348F4">
        <w:rPr>
          <w:lang w:val="en-US"/>
        </w:rPr>
        <w:instrText>gov</w:instrText>
      </w:r>
      <w:r w:rsidR="00015814" w:rsidRPr="00C348F4">
        <w:instrText xml:space="preserve"> </w:instrText>
      </w:r>
      <w:r w:rsidR="00015814" w:rsidRPr="00C348F4">
        <w:rPr>
          <w:lang w:val="en-US"/>
        </w:rPr>
        <w:instrText>number</w:instrText>
      </w:r>
      <w:r w:rsidR="00015814" w:rsidRPr="00C348F4">
        <w:instrText xml:space="preserve">, </w:instrText>
      </w:r>
      <w:r w:rsidR="00015814" w:rsidRPr="00C348F4">
        <w:rPr>
          <w:lang w:val="en-US"/>
        </w:rPr>
        <w:instrText>NCT</w:instrText>
      </w:r>
      <w:r w:rsidR="00015814" w:rsidRPr="00C348F4">
        <w:instrText>01578707.).","</w:instrText>
      </w:r>
      <w:r w:rsidR="00015814" w:rsidRPr="00C348F4">
        <w:rPr>
          <w:lang w:val="en-US"/>
        </w:rPr>
        <w:instrText>author</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Byrd</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John</w:instrText>
      </w:r>
      <w:r w:rsidR="00015814" w:rsidRPr="00C348F4">
        <w:instrText xml:space="preserve"> </w:instrText>
      </w:r>
      <w:r w:rsidR="00015814" w:rsidRPr="00C348F4">
        <w:rPr>
          <w:lang w:val="en-US"/>
        </w:rPr>
        <w:instrText>C</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w:instrText>
      </w:r>
      <w:r w:rsidR="00015814" w:rsidRPr="00C348F4">
        <w:instrText>":</w:instrText>
      </w:r>
      <w:r w:rsidR="00015814" w:rsidRPr="00C348F4">
        <w:rPr>
          <w:lang w:val="en-US"/>
        </w:rPr>
        <w:instrText>false</w:instrText>
      </w:r>
      <w:r w:rsidR="00015814" w:rsidRPr="00C348F4">
        <w:instrText>,"</w:instrText>
      </w:r>
      <w:r w:rsidR="00015814" w:rsidRPr="00C348F4">
        <w:rPr>
          <w:lang w:val="en-US"/>
        </w:rPr>
        <w:instrText>suffix</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Brown</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Jennifer</w:instrText>
      </w:r>
      <w:r w:rsidR="00015814" w:rsidRPr="00C348F4">
        <w:instrText xml:space="preserve"> </w:instrText>
      </w:r>
      <w:r w:rsidR="00015814" w:rsidRPr="00C348F4">
        <w:rPr>
          <w:lang w:val="en-US"/>
        </w:rPr>
        <w:instrText>R</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w:instrText>
      </w:r>
      <w:r w:rsidR="00015814" w:rsidRPr="00C348F4">
        <w:instrText>":</w:instrText>
      </w:r>
      <w:r w:rsidR="00015814" w:rsidRPr="00C348F4">
        <w:rPr>
          <w:lang w:val="en-US"/>
        </w:rPr>
        <w:instrText>false</w:instrText>
      </w:r>
      <w:r w:rsidR="00015814" w:rsidRPr="00C348F4">
        <w:instrText>,"</w:instrText>
      </w:r>
      <w:r w:rsidR="00015814" w:rsidRPr="00C348F4">
        <w:rPr>
          <w:lang w:val="en-US"/>
        </w:rPr>
        <w:instrText>suffix</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O</w:instrText>
      </w:r>
      <w:r w:rsidR="00015814" w:rsidRPr="00C348F4">
        <w:instrText>'</w:instrText>
      </w:r>
      <w:r w:rsidR="00015814" w:rsidRPr="00C348F4">
        <w:rPr>
          <w:lang w:val="en-US"/>
        </w:rPr>
        <w:instrText>Brien</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Susan</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Rule","given":"S","non-dropping-particle":"","parse-names":false,"suffix":""},{"dropping-particle":"","family":"Sun","given":"S","non-dropping-particle":"","parse-names":false,"suffix":""},{"dropping-particle":"","family":"Mahler","given":"M","non-dropping-particle":"","parse-names":false,"suffix":""},{"dropping-particle":"","family":"Phelps","given":"C","non-dropping-particle":"","parse-names":false,"suffix":""},{"dropping-particle":"","family":"Salman","given":"M","non-dropping-particle":"","parse-names":false,"suffix":""},{"dropping-particle":"","family":"Howes","given":"A","non-dropping-particle":"","parse-names":false,"suffix":""},{"dropping-particle":"","family":"Chanan-Khan","given":"A","non-dropping-particle":"","parse-names":false,"suffix":""}],"container-title":"Leukemia &amp; lymphoma","id":"ITEM-4","issued":{"date-parts":[["2017"]]},"page":"192-194","title":"Three-year follow-up of patients with previously treated chronic lymphocytic leukemia (CLL) or small lymphocytic lymphoma (SLL) receiving ibrutinib plus bendamustine and rituximab (BR) versus placebo plus BR: an update of the HELIOS study.","type":"article-journal","volume":"58"},"uris":["http://www.mendeley.com/documents/?uuid=3043d3aa-0ac6-43d0-8224-85a252bb08e4"]}],"mendeley":{"formattedCitation":"[50–53]","plainTextFormattedCitation":"[50–53]","previouslyFormattedCitation":"[50–53]"},"properties":{"noteIndex":0},"schema":"https://github.com/citation-style-language/schema/raw/master/csl-citation.json"}</w:instrText>
      </w:r>
      <w:r w:rsidR="000B0AC3" w:rsidRPr="00C348F4">
        <w:rPr>
          <w:lang w:val="en-US"/>
        </w:rPr>
        <w:fldChar w:fldCharType="separate"/>
      </w:r>
      <w:r w:rsidR="00015814" w:rsidRPr="00C348F4">
        <w:rPr>
          <w:noProof/>
        </w:rPr>
        <w:t>[50–53]</w:t>
      </w:r>
      <w:r w:rsidR="000B0AC3" w:rsidRPr="00C348F4">
        <w:rPr>
          <w:lang w:val="en-US"/>
        </w:rPr>
        <w:fldChar w:fldCharType="end"/>
      </w:r>
      <w:r w:rsidRPr="00C348F4">
        <w:t>.</w:t>
      </w:r>
    </w:p>
    <w:p w:rsidR="004D7374" w:rsidRPr="00C348F4" w:rsidRDefault="0086213E" w:rsidP="00691D0D">
      <w:pPr>
        <w:pStyle w:val="a"/>
        <w:numPr>
          <w:ilvl w:val="0"/>
          <w:numId w:val="32"/>
        </w:numPr>
        <w:tabs>
          <w:tab w:val="left" w:pos="1134"/>
        </w:tabs>
        <w:spacing w:before="0" w:line="355" w:lineRule="auto"/>
      </w:pPr>
      <w:r w:rsidRPr="00C348F4">
        <w:t>К</w:t>
      </w:r>
      <w:r w:rsidR="004D7374" w:rsidRPr="00C348F4">
        <w:t>омбинация венетоклакса</w:t>
      </w:r>
      <w:r w:rsidR="00AE69C4" w:rsidRPr="00C348F4">
        <w:t xml:space="preserve"> </w:t>
      </w:r>
      <w:r w:rsidR="00AE69C4" w:rsidRPr="00C348F4">
        <w:rPr>
          <w:lang w:eastAsia="ru-RU"/>
        </w:rPr>
        <w:t xml:space="preserve">20 мг/сут (нед. 1), 50 мг/сут (нед. 2), 100 мг/сут (нед. 3), 200 мг/сут (нед. 4), 400 мг/сут (нед. 5 и далее), </w:t>
      </w:r>
      <w:r w:rsidR="00AE69C4" w:rsidRPr="00C348F4">
        <w:rPr>
          <w:szCs w:val="24"/>
        </w:rPr>
        <w:t>прием в течение 24 мес</w:t>
      </w:r>
      <w:r w:rsidR="00AE69C4">
        <w:rPr>
          <w:szCs w:val="24"/>
        </w:rPr>
        <w:t>.</w:t>
      </w:r>
      <w:r w:rsidR="00AE69C4" w:rsidRPr="0040662F">
        <w:rPr>
          <w:szCs w:val="24"/>
        </w:rPr>
        <w:t xml:space="preserve"> начиная с 1-го дня 1-го цикла лечения ритуксимабом</w:t>
      </w:r>
      <w:r w:rsidR="00AE69C4" w:rsidRPr="00397360">
        <w:rPr>
          <w:szCs w:val="24"/>
        </w:rPr>
        <w:t>**</w:t>
      </w:r>
      <w:r w:rsidR="00AE69C4" w:rsidRPr="0040662F">
        <w:rPr>
          <w:szCs w:val="24"/>
        </w:rPr>
        <w:t xml:space="preserve"> </w:t>
      </w:r>
      <w:r w:rsidR="004D7374">
        <w:t>и ритуксимаба</w:t>
      </w:r>
      <w:r w:rsidR="006D567B" w:rsidRPr="00E02ECB">
        <w:t>**</w:t>
      </w:r>
      <w:r w:rsidR="00AE69C4">
        <w:t xml:space="preserve"> </w:t>
      </w:r>
      <w:r w:rsidR="00AE69C4" w:rsidRPr="0040662F">
        <w:rPr>
          <w:lang w:eastAsia="ru-RU"/>
        </w:rPr>
        <w:t>375 мг/м</w:t>
      </w:r>
      <w:r w:rsidR="00AE69C4" w:rsidRPr="0040662F">
        <w:rPr>
          <w:vertAlign w:val="superscript"/>
          <w:lang w:eastAsia="ru-RU"/>
        </w:rPr>
        <w:t>2</w:t>
      </w:r>
      <w:r w:rsidR="00AE69C4" w:rsidRPr="0040662F">
        <w:rPr>
          <w:lang w:eastAsia="ru-RU"/>
        </w:rPr>
        <w:t xml:space="preserve"> в/в кап. через 1 нед. после </w:t>
      </w:r>
      <w:r w:rsidR="00AE69C4" w:rsidRPr="00C348F4">
        <w:rPr>
          <w:lang w:eastAsia="ru-RU"/>
        </w:rPr>
        <w:t>достижения дозы венетоклакса 400 мг/сут, далее – 500 мг/м</w:t>
      </w:r>
      <w:r w:rsidR="00AE69C4" w:rsidRPr="00C348F4">
        <w:rPr>
          <w:vertAlign w:val="superscript"/>
          <w:lang w:eastAsia="ru-RU"/>
        </w:rPr>
        <w:t>2</w:t>
      </w:r>
      <w:r w:rsidR="00AE69C4" w:rsidRPr="00C348F4">
        <w:rPr>
          <w:lang w:eastAsia="ru-RU"/>
        </w:rPr>
        <w:t xml:space="preserve"> в/в кап. или </w:t>
      </w:r>
      <w:r w:rsidR="00EA3851">
        <w:rPr>
          <w:lang w:eastAsia="ru-RU"/>
        </w:rPr>
        <w:t>1400 мг п/к</w:t>
      </w:r>
      <w:r w:rsidR="00AE69C4" w:rsidRPr="00C348F4">
        <w:rPr>
          <w:lang w:eastAsia="ru-RU"/>
        </w:rPr>
        <w:t xml:space="preserve"> ежемесячно, всего 6 введений</w:t>
      </w:r>
      <w:r w:rsidR="004D7374" w:rsidRPr="00C348F4">
        <w:t xml:space="preserve"> </w:t>
      </w:r>
      <w:r w:rsidR="000B0AC3" w:rsidRPr="00C348F4">
        <w:fldChar w:fldCharType="begin" w:fldLock="1"/>
      </w:r>
      <w:r w:rsidR="00015814" w:rsidRPr="00C348F4">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[54]","plainTextFormattedCitation":"[54]","previouslyFormattedCitation":"[54]"},"properties":{"noteIndex":0},"schema":"https://github.com/citation-style-language/schema/raw/master/csl-citation.json"}</w:instrText>
      </w:r>
      <w:r w:rsidR="000B0AC3" w:rsidRPr="00C348F4">
        <w:fldChar w:fldCharType="separate"/>
      </w:r>
      <w:r w:rsidR="00015814" w:rsidRPr="00C348F4">
        <w:rPr>
          <w:noProof/>
        </w:rPr>
        <w:t>[54]</w:t>
      </w:r>
      <w:r w:rsidR="000B0AC3" w:rsidRPr="00C348F4">
        <w:fldChar w:fldCharType="end"/>
      </w:r>
      <w:r w:rsidR="004D7374" w:rsidRPr="00C348F4">
        <w:t xml:space="preserve">. </w:t>
      </w:r>
    </w:p>
    <w:p w:rsidR="004D7374" w:rsidRPr="00C348F4" w:rsidRDefault="004D7374" w:rsidP="00691D0D">
      <w:pPr>
        <w:spacing w:line="355" w:lineRule="auto"/>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А</w:t>
      </w:r>
      <w:r w:rsidR="006919DC" w:rsidRPr="00C348F4">
        <w:rPr>
          <w:b/>
          <w:spacing w:val="-4"/>
        </w:rPr>
        <w:t xml:space="preserve"> </w:t>
      </w:r>
      <w:r w:rsidRPr="00C348F4">
        <w:rPr>
          <w:b/>
          <w:spacing w:val="-4"/>
        </w:rPr>
        <w:t xml:space="preserve">(уровень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r w:rsidR="00C740F1" w:rsidRPr="00C348F4">
        <w:rPr>
          <w:b/>
          <w:spacing w:val="-4"/>
        </w:rPr>
        <w:t>.</w:t>
      </w:r>
    </w:p>
    <w:p w:rsidR="004D7374" w:rsidRPr="00C740F1" w:rsidRDefault="00A81638" w:rsidP="00691D0D">
      <w:pPr>
        <w:spacing w:line="355" w:lineRule="auto"/>
        <w:contextualSpacing/>
        <w:rPr>
          <w:i/>
        </w:rPr>
      </w:pPr>
      <w:r w:rsidRPr="00C348F4">
        <w:rPr>
          <w:b/>
        </w:rPr>
        <w:t>Комментарии</w:t>
      </w:r>
      <w:r w:rsidR="004D7374" w:rsidRPr="00C348F4">
        <w:rPr>
          <w:b/>
        </w:rPr>
        <w:t>:</w:t>
      </w:r>
      <w:r w:rsidR="00C848DD" w:rsidRPr="00C348F4">
        <w:rPr>
          <w:b/>
        </w:rPr>
        <w:t xml:space="preserve"> </w:t>
      </w:r>
      <w:r w:rsidR="00C848DD" w:rsidRPr="00C348F4">
        <w:rPr>
          <w:i/>
        </w:rPr>
        <w:t xml:space="preserve">у </w:t>
      </w:r>
      <w:r w:rsidR="004D7374" w:rsidRPr="00C348F4">
        <w:rPr>
          <w:i/>
        </w:rPr>
        <w:t xml:space="preserve">пациентов с поздним рецидивом выбор терапии зависит от вида, результатов и переносимости последней терапии, общего состояния и коморбидности пациента, а также предпочтений и возможностей клиники. Повторные флударабин-содержащие курсы возможны при условии, что при проведении этой терапии в </w:t>
      </w:r>
      <w:r w:rsidR="004E40A4" w:rsidRPr="00C348F4">
        <w:rPr>
          <w:i/>
        </w:rPr>
        <w:t>качестве 1-й линии не наблюдались явления</w:t>
      </w:r>
      <w:r w:rsidR="004D7374" w:rsidRPr="00C348F4">
        <w:rPr>
          <w:i/>
        </w:rPr>
        <w:t xml:space="preserve"> значительн</w:t>
      </w:r>
      <w:r w:rsidR="004E40A4" w:rsidRPr="00C348F4">
        <w:rPr>
          <w:i/>
        </w:rPr>
        <w:t>ой</w:t>
      </w:r>
      <w:r w:rsidR="004D7374" w:rsidRPr="00C348F4">
        <w:rPr>
          <w:i/>
        </w:rPr>
        <w:t xml:space="preserve"> токсичност</w:t>
      </w:r>
      <w:r w:rsidR="004E40A4" w:rsidRPr="00C348F4">
        <w:rPr>
          <w:i/>
        </w:rPr>
        <w:t>и</w:t>
      </w:r>
      <w:r w:rsidR="004D7374" w:rsidRPr="00C348F4">
        <w:rPr>
          <w:i/>
        </w:rPr>
        <w:t xml:space="preserve"> – тяжелые затяжные цитопении, повлекшие за собой многомесячные перерывы в лечении</w:t>
      </w:r>
      <w:r w:rsidR="004E40A4" w:rsidRPr="00C348F4">
        <w:rPr>
          <w:i/>
        </w:rPr>
        <w:t>,</w:t>
      </w:r>
      <w:r w:rsidR="004D7374" w:rsidRPr="00C348F4">
        <w:rPr>
          <w:i/>
        </w:rPr>
        <w:t xml:space="preserve"> развитие тяжелых инфекционных осложнений. В качестве терапии </w:t>
      </w:r>
      <w:r w:rsidR="004E40A4" w:rsidRPr="00C348F4">
        <w:rPr>
          <w:i/>
        </w:rPr>
        <w:t>2-й</w:t>
      </w:r>
      <w:r w:rsidR="004D7374" w:rsidRPr="00C348F4">
        <w:rPr>
          <w:i/>
        </w:rPr>
        <w:t xml:space="preserve"> линии можно </w:t>
      </w:r>
      <w:r w:rsidR="004E40A4" w:rsidRPr="00C348F4">
        <w:rPr>
          <w:i/>
        </w:rPr>
        <w:t>использовать</w:t>
      </w:r>
      <w:r w:rsidR="004D7374" w:rsidRPr="00C348F4">
        <w:rPr>
          <w:i/>
        </w:rPr>
        <w:t xml:space="preserve"> т</w:t>
      </w:r>
      <w:r w:rsidR="004E40A4" w:rsidRPr="00C348F4">
        <w:rPr>
          <w:i/>
        </w:rPr>
        <w:t>у</w:t>
      </w:r>
      <w:r w:rsidR="004D7374" w:rsidRPr="00C348F4">
        <w:rPr>
          <w:i/>
        </w:rPr>
        <w:t xml:space="preserve"> же схем</w:t>
      </w:r>
      <w:r w:rsidR="004E40A4" w:rsidRPr="00C348F4">
        <w:rPr>
          <w:i/>
        </w:rPr>
        <w:t>у</w:t>
      </w:r>
      <w:r w:rsidR="004D7374" w:rsidRPr="00C348F4">
        <w:rPr>
          <w:i/>
        </w:rPr>
        <w:t xml:space="preserve">. Если ранее лечение проводилось по программе FC, в качестве </w:t>
      </w:r>
      <w:r w:rsidR="004E40A4" w:rsidRPr="00C348F4">
        <w:rPr>
          <w:i/>
        </w:rPr>
        <w:t>2-й</w:t>
      </w:r>
      <w:r w:rsidR="004D7374" w:rsidRPr="00C348F4">
        <w:rPr>
          <w:i/>
        </w:rPr>
        <w:t xml:space="preserve"> линии может применяться FCR. У </w:t>
      </w:r>
      <w:r w:rsidR="0002391B" w:rsidRPr="00C348F4">
        <w:rPr>
          <w:i/>
        </w:rPr>
        <w:t>пациентов</w:t>
      </w:r>
      <w:r w:rsidR="004D7374" w:rsidRPr="00C348F4">
        <w:rPr>
          <w:i/>
        </w:rPr>
        <w:t xml:space="preserve"> с цитопениями может быть эффективен режим R-HDMP (ритуксимаб</w:t>
      </w:r>
      <w:r w:rsidR="00AD6066" w:rsidRPr="00C348F4">
        <w:rPr>
          <w:i/>
        </w:rPr>
        <w:t>**</w:t>
      </w:r>
      <w:r w:rsidR="004D7374" w:rsidRPr="00C348F4">
        <w:rPr>
          <w:i/>
        </w:rPr>
        <w:t xml:space="preserve"> в сочетании с высокими дозами </w:t>
      </w:r>
      <w:r w:rsidR="00362D90" w:rsidRPr="00C348F4">
        <w:rPr>
          <w:bCs/>
          <w:i/>
          <w:szCs w:val="24"/>
          <w:shd w:val="clear" w:color="auto" w:fill="FFFFFF"/>
        </w:rPr>
        <w:t>кортикостероидов для системного использования</w:t>
      </w:r>
      <w:r w:rsidR="004D7374" w:rsidRPr="00C348F4">
        <w:rPr>
          <w:i/>
        </w:rPr>
        <w:t>)</w:t>
      </w:r>
      <w:r w:rsidR="00055701" w:rsidRPr="0008146B">
        <w:rPr>
          <w:i/>
        </w:rPr>
        <w:t xml:space="preserve"> </w:t>
      </w:r>
      <w:r w:rsidR="00055701">
        <w:rPr>
          <w:i/>
        </w:rPr>
        <w:fldChar w:fldCharType="begin" w:fldLock="1"/>
      </w:r>
      <w:r w:rsidR="00055701">
        <w:rPr>
          <w:i/>
        </w:rPr>
        <w:instrText>ADDIN CSL_CITATION {"citationItems":[{"id":"ITEM-1","itemData":{"DOI":"10.1038/leu.2009.133","ISSN":"14765551","abstract":"We observed that high-dose methylprednisolone (HDMP) and rituximab was well tolerated and had promising activity when used in combination to treat patients with fludarabine-refractory chronic lymphocytic leukemia (CLL). This prompted us to evaluate the use of these agents in frontline therapy. A total of 28 patients with a median age of 65 years enrolled in this study. Patients received HDMP at 1g/m2 each day for 3 days during each of the three 4-week cycles together with rituximab and prophylactic antimicrobial therapy. The treatment was well tolerated with few adverse events of grade III or higher. The overall response rate was 96% (N=27). Nine patients (32%) achieved a complete remission (CR), two of which were without detectable minimal residual disease (MRD). Six patients with MRD received consolidation with alemtuzumab; five of these patients achieved an MRD-negative CR. With over 3 years of follow-up median progression-free survival was 30.3 months with only 39% of patients requiring additional therapy, and an overall survival was 96%. This study demonstrates that HDMP and rituximab is an effective nonmyelosuppressive treatment combination for patients with CLL that warrants consideration particularly for patients with limited myeloid reserve that might not tolerate standard treatment regimens.","author":[{"dropping-particle":"","family":"Castro","given":"J. E.","non-dropping-particle":"","parse-names":false,"suffix":""},{"dropping-particle":"","family":"James","given":"D. F.","non-dropping-particle":"","parse-names":false,"suffix":""},{"dropping-particle":"","family":"Sandoval-Sus","given":"J. D.","non-dropping-particle":"","parse-names":false,"suffix":""},{"dropping-particle":"","family":"Jain","given":"S.","non-dropping-particle":"","parse-names":false,"suffix":""},{"dropping-particle":"","family":"Bole","given":"J.","non-dropping-particle":"","parse-names":false,"suffix":""},{"dropping-particle":"","family":"Rassenti","given":"L.","non-dropping-particle":"","parse-names":false,"suffix":""},{"dropping-particle":"","family":"Kipps","given":"T. J.","non-dropping-particle":"","parse-names":false,"suffix":""}],"container-title":"Leukemia","id":"ITEM-1","issue":"10","issued":{"date-parts":[["2009"]]},"page":"1779-1789","publisher":"Nature Publishing Group","title":"Rituximab in combination with high-dose methylprednisolone for the treatment of chronic lymphocytic leukemia","type":"article-journal","volume":"23"},"uris":["http://www.mendeley.com/documents/?uuid=125e5504-0204-3ba1-8f5e-970e40224e7e"]}],"mendeley":{"formattedCitation":"[55]","plainTextFormattedCitation":"[55]"},"properties":{"noteIndex":0},"schema":"https://github.com/citation-style-language/schema/raw/master/csl-citation.json"}</w:instrText>
      </w:r>
      <w:r w:rsidR="00055701">
        <w:rPr>
          <w:i/>
        </w:rPr>
        <w:fldChar w:fldCharType="separate"/>
      </w:r>
      <w:r w:rsidR="00055701" w:rsidRPr="00055701">
        <w:rPr>
          <w:noProof/>
        </w:rPr>
        <w:t>[55]</w:t>
      </w:r>
      <w:r w:rsidR="00055701">
        <w:rPr>
          <w:i/>
        </w:rPr>
        <w:fldChar w:fldCharType="end"/>
      </w:r>
      <w:r w:rsidR="004D7374" w:rsidRPr="00C348F4">
        <w:rPr>
          <w:i/>
        </w:rPr>
        <w:t>. В исследованиях II фазы получены убедительные данные об эффективности режима BR (бендамустин</w:t>
      </w:r>
      <w:r w:rsidR="00AD6066" w:rsidRPr="00C348F4">
        <w:rPr>
          <w:i/>
        </w:rPr>
        <w:t>**</w:t>
      </w:r>
      <w:r w:rsidR="004D7374" w:rsidRPr="00C348F4">
        <w:rPr>
          <w:i/>
        </w:rPr>
        <w:t xml:space="preserve"> + ритуксимаб</w:t>
      </w:r>
      <w:r w:rsidR="00AD6066" w:rsidRPr="00C348F4">
        <w:rPr>
          <w:i/>
        </w:rPr>
        <w:t>**</w:t>
      </w:r>
      <w:r w:rsidR="004D7374" w:rsidRPr="00C348F4">
        <w:rPr>
          <w:i/>
        </w:rPr>
        <w:t>). У пациентов, ранее получавших хлорамбуцил, может быть эффективна терапия бендамустином</w:t>
      </w:r>
      <w:r w:rsidR="00AD6066" w:rsidRPr="00C348F4">
        <w:rPr>
          <w:i/>
        </w:rPr>
        <w:t>**</w:t>
      </w:r>
      <w:r w:rsidR="00691D0D" w:rsidRPr="00C348F4">
        <w:rPr>
          <w:i/>
        </w:rPr>
        <w:t>, режимы</w:t>
      </w:r>
      <w:r w:rsidR="004D7374" w:rsidRPr="00C348F4">
        <w:rPr>
          <w:i/>
        </w:rPr>
        <w:t xml:space="preserve"> BR и FCR-Lite.</w:t>
      </w:r>
      <w:r w:rsidR="00030520" w:rsidRPr="00C348F4">
        <w:rPr>
          <w:i/>
        </w:rPr>
        <w:t xml:space="preserve"> </w:t>
      </w:r>
      <w:r w:rsidR="004D7374" w:rsidRPr="00C348F4">
        <w:rPr>
          <w:i/>
        </w:rPr>
        <w:t xml:space="preserve">Результаты </w:t>
      </w:r>
      <w:r w:rsidR="00F07AA9" w:rsidRPr="00C348F4">
        <w:rPr>
          <w:i/>
        </w:rPr>
        <w:t>3</w:t>
      </w:r>
      <w:r w:rsidR="004D7374" w:rsidRPr="00C348F4">
        <w:rPr>
          <w:i/>
        </w:rPr>
        <w:t xml:space="preserve"> исследований </w:t>
      </w:r>
      <w:r w:rsidR="00691D0D" w:rsidRPr="00C348F4">
        <w:rPr>
          <w:i/>
        </w:rPr>
        <w:t>свидетельствуют</w:t>
      </w:r>
      <w:r w:rsidR="004D7374" w:rsidRPr="00C348F4">
        <w:rPr>
          <w:i/>
        </w:rPr>
        <w:t xml:space="preserve"> о высокой эффективности ибрутиниба</w:t>
      </w:r>
      <w:r w:rsidR="00AD6066" w:rsidRPr="00C348F4">
        <w:rPr>
          <w:i/>
        </w:rPr>
        <w:t>**</w:t>
      </w:r>
      <w:r w:rsidR="004D7374" w:rsidRPr="00C348F4">
        <w:rPr>
          <w:i/>
        </w:rPr>
        <w:t xml:space="preserve"> в терапии рецидивов ХЛЛ</w:t>
      </w:r>
      <w:r w:rsidR="00DA412A" w:rsidRPr="00C348F4">
        <w:rPr>
          <w:i/>
        </w:rPr>
        <w:t xml:space="preserve"> </w:t>
      </w:r>
      <w:r w:rsidR="000B0AC3" w:rsidRPr="00C348F4">
        <w:rPr>
          <w:i/>
          <w:lang w:val="en-US"/>
        </w:rPr>
        <w:fldChar w:fldCharType="begin" w:fldLock="1"/>
      </w:r>
      <w:r w:rsidR="0043716B" w:rsidRPr="00C348F4">
        <w:rPr>
          <w:i/>
          <w:lang w:val="en-US"/>
        </w:rPr>
        <w:instrText>ADDIN</w:instrText>
      </w:r>
      <w:r w:rsidR="0043716B" w:rsidRPr="00C348F4">
        <w:rPr>
          <w:i/>
        </w:rPr>
        <w:instrText xml:space="preserve"> </w:instrText>
      </w:r>
      <w:r w:rsidR="0043716B" w:rsidRPr="00C348F4">
        <w:rPr>
          <w:i/>
          <w:lang w:val="en-US"/>
        </w:rPr>
        <w:instrText>CSL</w:instrText>
      </w:r>
      <w:r w:rsidR="0043716B" w:rsidRPr="00C348F4">
        <w:rPr>
          <w:i/>
        </w:rPr>
        <w:instrText>_</w:instrText>
      </w:r>
      <w:r w:rsidR="0043716B" w:rsidRPr="00C348F4">
        <w:rPr>
          <w:i/>
          <w:lang w:val="en-US"/>
        </w:rPr>
        <w:instrText>CITATION</w:instrText>
      </w:r>
      <w:r w:rsidR="0043716B" w:rsidRPr="00C348F4">
        <w:rPr>
          <w:i/>
        </w:rPr>
        <w:instrText xml:space="preserve"> {"</w:instrText>
      </w:r>
      <w:r w:rsidR="0043716B" w:rsidRPr="00C348F4">
        <w:rPr>
          <w:i/>
          <w:lang w:val="en-US"/>
        </w:rPr>
        <w:instrText>citationItems</w:instrText>
      </w:r>
      <w:r w:rsidR="0043716B" w:rsidRPr="00C348F4">
        <w:rPr>
          <w:i/>
        </w:rPr>
        <w:instrText>":[{"</w:instrText>
      </w:r>
      <w:r w:rsidR="0043716B" w:rsidRPr="00C348F4">
        <w:rPr>
          <w:i/>
          <w:lang w:val="en-US"/>
        </w:rPr>
        <w:instrText>id</w:instrText>
      </w:r>
      <w:r w:rsidR="0043716B" w:rsidRPr="00C348F4">
        <w:rPr>
          <w:i/>
        </w:rPr>
        <w:instrText>":"</w:instrText>
      </w:r>
      <w:r w:rsidR="0043716B" w:rsidRPr="00C348F4">
        <w:rPr>
          <w:i/>
          <w:lang w:val="en-US"/>
        </w:rPr>
        <w:instrText>ITEM</w:instrText>
      </w:r>
      <w:r w:rsidR="0043716B" w:rsidRPr="00C348F4">
        <w:rPr>
          <w:i/>
        </w:rPr>
        <w:instrText>-1","</w:instrText>
      </w:r>
      <w:r w:rsidR="0043716B" w:rsidRPr="00C348F4">
        <w:rPr>
          <w:i/>
          <w:lang w:val="en-US"/>
        </w:rPr>
        <w:instrText>itemData</w:instrText>
      </w:r>
      <w:r w:rsidR="0043716B" w:rsidRPr="00C348F4">
        <w:rPr>
          <w:i/>
        </w:rPr>
        <w:instrText>":{"</w:instrText>
      </w:r>
      <w:r w:rsidR="0043716B" w:rsidRPr="00C348F4">
        <w:rPr>
          <w:i/>
          <w:lang w:val="en-US"/>
        </w:rPr>
        <w:instrText>DOI</w:instrText>
      </w:r>
      <w:r w:rsidR="0043716B" w:rsidRPr="00C348F4">
        <w:rPr>
          <w:i/>
        </w:rPr>
        <w:instrText>":"10.1056/</w:instrText>
      </w:r>
      <w:r w:rsidR="0043716B" w:rsidRPr="00C348F4">
        <w:rPr>
          <w:i/>
          <w:lang w:val="en-US"/>
        </w:rPr>
        <w:instrText>NEJMoa</w:instrText>
      </w:r>
      <w:r w:rsidR="0043716B" w:rsidRPr="00C348F4">
        <w:rPr>
          <w:i/>
        </w:rPr>
        <w:instrText>1400376","</w:instrText>
      </w:r>
      <w:r w:rsidR="0043716B" w:rsidRPr="00C348F4">
        <w:rPr>
          <w:i/>
          <w:lang w:val="en-US"/>
        </w:rPr>
        <w:instrText>ISSN</w:instrText>
      </w:r>
      <w:r w:rsidR="0043716B" w:rsidRPr="00C348F4">
        <w:rPr>
          <w:i/>
        </w:rPr>
        <w:instrText>":"1533-4406","</w:instrText>
      </w:r>
      <w:r w:rsidR="0043716B" w:rsidRPr="00C348F4">
        <w:rPr>
          <w:i/>
          <w:lang w:val="en-US"/>
        </w:rPr>
        <w:instrText>PMID</w:instrText>
      </w:r>
      <w:r w:rsidR="0043716B" w:rsidRPr="00C348F4">
        <w:rPr>
          <w:i/>
        </w:rPr>
        <w:instrText>":"24881631","</w:instrText>
      </w:r>
      <w:r w:rsidR="0043716B" w:rsidRPr="00C348F4">
        <w:rPr>
          <w:i/>
          <w:lang w:val="en-US"/>
        </w:rPr>
        <w:instrText>abstract</w:instrText>
      </w:r>
      <w:r w:rsidR="0043716B" w:rsidRPr="00C348F4">
        <w:rPr>
          <w:i/>
        </w:rPr>
        <w:instrText>":"</w:instrText>
      </w:r>
      <w:r w:rsidR="0043716B" w:rsidRPr="00C348F4">
        <w:rPr>
          <w:i/>
          <w:lang w:val="en-US"/>
        </w:rPr>
        <w:instrText>BACKGROUND</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patients</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chronic</w:instrText>
      </w:r>
      <w:r w:rsidR="0043716B" w:rsidRPr="00C348F4">
        <w:rPr>
          <w:i/>
        </w:rPr>
        <w:instrText xml:space="preserve"> </w:instrText>
      </w:r>
      <w:r w:rsidR="0043716B" w:rsidRPr="00C348F4">
        <w:rPr>
          <w:i/>
          <w:lang w:val="en-US"/>
        </w:rPr>
        <w:instrText>lymphoid</w:instrText>
      </w:r>
      <w:r w:rsidR="0043716B" w:rsidRPr="00C348F4">
        <w:rPr>
          <w:i/>
        </w:rPr>
        <w:instrText xml:space="preserve"> </w:instrText>
      </w:r>
      <w:r w:rsidR="0043716B" w:rsidRPr="00C348F4">
        <w:rPr>
          <w:i/>
          <w:lang w:val="en-US"/>
        </w:rPr>
        <w:instrText>leukemia</w:instrText>
      </w:r>
      <w:r w:rsidR="0043716B" w:rsidRPr="00C348F4">
        <w:rPr>
          <w:i/>
        </w:rPr>
        <w:instrText xml:space="preserve"> (</w:instrText>
      </w:r>
      <w:r w:rsidR="0043716B" w:rsidRPr="00C348F4">
        <w:rPr>
          <w:i/>
          <w:lang w:val="en-US"/>
        </w:rPr>
        <w:instrText>CLL</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small</w:instrText>
      </w:r>
      <w:r w:rsidR="0043716B" w:rsidRPr="00C348F4">
        <w:rPr>
          <w:i/>
        </w:rPr>
        <w:instrText xml:space="preserve"> </w:instrText>
      </w:r>
      <w:r w:rsidR="0043716B" w:rsidRPr="00C348F4">
        <w:rPr>
          <w:i/>
          <w:lang w:val="en-US"/>
        </w:rPr>
        <w:instrText>lymphocytic</w:instrText>
      </w:r>
      <w:r w:rsidR="0043716B" w:rsidRPr="00C348F4">
        <w:rPr>
          <w:i/>
        </w:rPr>
        <w:instrText xml:space="preserve"> </w:instrText>
      </w:r>
      <w:r w:rsidR="0043716B" w:rsidRPr="00C348F4">
        <w:rPr>
          <w:i/>
          <w:lang w:val="en-US"/>
        </w:rPr>
        <w:instrText>lymphoma</w:instrText>
      </w:r>
      <w:r w:rsidR="0043716B" w:rsidRPr="00C348F4">
        <w:rPr>
          <w:i/>
        </w:rPr>
        <w:instrText xml:space="preserve"> (</w:instrText>
      </w:r>
      <w:r w:rsidR="0043716B" w:rsidRPr="00C348F4">
        <w:rPr>
          <w:i/>
          <w:lang w:val="en-US"/>
        </w:rPr>
        <w:instrText>SLL</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short</w:instrText>
      </w:r>
      <w:r w:rsidR="0043716B" w:rsidRPr="00C348F4">
        <w:rPr>
          <w:i/>
        </w:rPr>
        <w:instrText xml:space="preserve"> </w:instrText>
      </w:r>
      <w:r w:rsidR="0043716B" w:rsidRPr="00C348F4">
        <w:rPr>
          <w:i/>
          <w:lang w:val="en-US"/>
        </w:rPr>
        <w:instrText>duration</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response</w:instrText>
      </w:r>
      <w:r w:rsidR="0043716B" w:rsidRPr="00C348F4">
        <w:rPr>
          <w:i/>
        </w:rPr>
        <w:instrText xml:space="preserve"> </w:instrText>
      </w:r>
      <w:r w:rsidR="0043716B" w:rsidRPr="00C348F4">
        <w:rPr>
          <w:i/>
          <w:lang w:val="en-US"/>
        </w:rPr>
        <w:instrText>to</w:instrText>
      </w:r>
      <w:r w:rsidR="0043716B" w:rsidRPr="00C348F4">
        <w:rPr>
          <w:i/>
        </w:rPr>
        <w:instrText xml:space="preserve"> </w:instrText>
      </w:r>
      <w:r w:rsidR="0043716B" w:rsidRPr="00C348F4">
        <w:rPr>
          <w:i/>
          <w:lang w:val="en-US"/>
        </w:rPr>
        <w:instrText>therapy</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adverse</w:instrText>
      </w:r>
      <w:r w:rsidR="0043716B" w:rsidRPr="00C348F4">
        <w:rPr>
          <w:i/>
        </w:rPr>
        <w:instrText xml:space="preserve"> </w:instrText>
      </w:r>
      <w:r w:rsidR="0043716B" w:rsidRPr="00C348F4">
        <w:rPr>
          <w:i/>
          <w:lang w:val="en-US"/>
        </w:rPr>
        <w:instrText>cytogenetic</w:instrText>
      </w:r>
      <w:r w:rsidR="0043716B" w:rsidRPr="00C348F4">
        <w:rPr>
          <w:i/>
        </w:rPr>
        <w:instrText xml:space="preserve"> </w:instrText>
      </w:r>
      <w:r w:rsidR="0043716B" w:rsidRPr="00C348F4">
        <w:rPr>
          <w:i/>
          <w:lang w:val="en-US"/>
        </w:rPr>
        <w:instrText>abnormalities</w:instrText>
      </w:r>
      <w:r w:rsidR="0043716B" w:rsidRPr="00C348F4">
        <w:rPr>
          <w:i/>
        </w:rPr>
        <w:instrText xml:space="preserve"> </w:instrText>
      </w:r>
      <w:r w:rsidR="0043716B" w:rsidRPr="00C348F4">
        <w:rPr>
          <w:i/>
          <w:lang w:val="en-US"/>
        </w:rPr>
        <w:instrText>are</w:instrText>
      </w:r>
      <w:r w:rsidR="0043716B" w:rsidRPr="00C348F4">
        <w:rPr>
          <w:i/>
        </w:rPr>
        <w:instrText xml:space="preserve"> </w:instrText>
      </w:r>
      <w:r w:rsidR="0043716B" w:rsidRPr="00C348F4">
        <w:rPr>
          <w:i/>
          <w:lang w:val="en-US"/>
        </w:rPr>
        <w:instrText>associated</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poor</w:instrText>
      </w:r>
      <w:r w:rsidR="0043716B" w:rsidRPr="00C348F4">
        <w:rPr>
          <w:i/>
        </w:rPr>
        <w:instrText xml:space="preserve"> </w:instrText>
      </w:r>
      <w:r w:rsidR="0043716B" w:rsidRPr="00C348F4">
        <w:rPr>
          <w:i/>
          <w:lang w:val="en-US"/>
        </w:rPr>
        <w:instrText>outcome</w:instrText>
      </w:r>
      <w:r w:rsidR="0043716B" w:rsidRPr="00C348F4">
        <w:rPr>
          <w:i/>
        </w:rPr>
        <w:instrText xml:space="preserve">. </w:instrText>
      </w:r>
      <w:r w:rsidR="0043716B" w:rsidRPr="00C348F4">
        <w:rPr>
          <w:i/>
          <w:lang w:val="en-US"/>
        </w:rPr>
        <w:instrText>We</w:instrText>
      </w:r>
      <w:r w:rsidR="0043716B" w:rsidRPr="00C348F4">
        <w:rPr>
          <w:i/>
        </w:rPr>
        <w:instrText xml:space="preserve"> </w:instrText>
      </w:r>
      <w:r w:rsidR="0043716B" w:rsidRPr="00C348F4">
        <w:rPr>
          <w:i/>
          <w:lang w:val="en-US"/>
        </w:rPr>
        <w:instrText>evaluated</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efficacy</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covalent</w:instrText>
      </w:r>
      <w:r w:rsidR="0043716B" w:rsidRPr="00C348F4">
        <w:rPr>
          <w:i/>
        </w:rPr>
        <w:instrText xml:space="preserve"> </w:instrText>
      </w:r>
      <w:r w:rsidR="0043716B" w:rsidRPr="00C348F4">
        <w:rPr>
          <w:i/>
          <w:lang w:val="en-US"/>
        </w:rPr>
        <w:instrText>inhibitor</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Bruton</w:instrText>
      </w:r>
      <w:r w:rsidR="0043716B" w:rsidRPr="00C348F4">
        <w:rPr>
          <w:i/>
        </w:rPr>
        <w:instrText>'</w:instrText>
      </w:r>
      <w:r w:rsidR="0043716B" w:rsidRPr="00C348F4">
        <w:rPr>
          <w:i/>
          <w:lang w:val="en-US"/>
        </w:rPr>
        <w:instrText>s</w:instrText>
      </w:r>
      <w:r w:rsidR="0043716B" w:rsidRPr="00C348F4">
        <w:rPr>
          <w:i/>
        </w:rPr>
        <w:instrText xml:space="preserve"> </w:instrText>
      </w:r>
      <w:r w:rsidR="0043716B" w:rsidRPr="00C348F4">
        <w:rPr>
          <w:i/>
          <w:lang w:val="en-US"/>
        </w:rPr>
        <w:instrText>tyrosine</w:instrText>
      </w:r>
      <w:r w:rsidR="0043716B" w:rsidRPr="00C348F4">
        <w:rPr>
          <w:i/>
        </w:rPr>
        <w:instrText xml:space="preserve"> </w:instrText>
      </w:r>
      <w:r w:rsidR="0043716B" w:rsidRPr="00C348F4">
        <w:rPr>
          <w:i/>
          <w:lang w:val="en-US"/>
        </w:rPr>
        <w:instrText>kinase</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patients</w:instrText>
      </w:r>
      <w:r w:rsidR="0043716B" w:rsidRPr="00C348F4">
        <w:rPr>
          <w:i/>
        </w:rPr>
        <w:instrText xml:space="preserve"> </w:instrText>
      </w:r>
      <w:r w:rsidR="0043716B" w:rsidRPr="00C348F4">
        <w:rPr>
          <w:i/>
          <w:lang w:val="en-US"/>
        </w:rPr>
        <w:instrText>at</w:instrText>
      </w:r>
      <w:r w:rsidR="0043716B" w:rsidRPr="00C348F4">
        <w:rPr>
          <w:i/>
        </w:rPr>
        <w:instrText xml:space="preserve"> </w:instrText>
      </w:r>
      <w:r w:rsidR="0043716B" w:rsidRPr="00C348F4">
        <w:rPr>
          <w:i/>
          <w:lang w:val="en-US"/>
        </w:rPr>
        <w:instrText>risk</w:instrText>
      </w:r>
      <w:r w:rsidR="0043716B" w:rsidRPr="00C348F4">
        <w:rPr>
          <w:i/>
        </w:rPr>
        <w:instrText xml:space="preserve"> </w:instrText>
      </w:r>
      <w:r w:rsidR="0043716B" w:rsidRPr="00C348F4">
        <w:rPr>
          <w:i/>
          <w:lang w:val="en-US"/>
        </w:rPr>
        <w:instrText>for</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poor</w:instrText>
      </w:r>
      <w:r w:rsidR="0043716B" w:rsidRPr="00C348F4">
        <w:rPr>
          <w:i/>
        </w:rPr>
        <w:instrText xml:space="preserve"> </w:instrText>
      </w:r>
      <w:r w:rsidR="0043716B" w:rsidRPr="00C348F4">
        <w:rPr>
          <w:i/>
          <w:lang w:val="en-US"/>
        </w:rPr>
        <w:instrText>outcome</w:instrText>
      </w:r>
      <w:r w:rsidR="0043716B" w:rsidRPr="00C348F4">
        <w:rPr>
          <w:i/>
        </w:rPr>
        <w:instrText xml:space="preserve">. </w:instrText>
      </w:r>
      <w:r w:rsidR="0043716B" w:rsidRPr="00C348F4">
        <w:rPr>
          <w:i/>
          <w:lang w:val="en-US"/>
        </w:rPr>
        <w:instrText>METHODS</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this</w:instrText>
      </w:r>
      <w:r w:rsidR="0043716B" w:rsidRPr="00C348F4">
        <w:rPr>
          <w:i/>
        </w:rPr>
        <w:instrText xml:space="preserve"> </w:instrText>
      </w:r>
      <w:r w:rsidR="0043716B" w:rsidRPr="00C348F4">
        <w:rPr>
          <w:i/>
          <w:lang w:val="en-US"/>
        </w:rPr>
        <w:instrText>multicenter</w:instrText>
      </w:r>
      <w:r w:rsidR="0043716B" w:rsidRPr="00C348F4">
        <w:rPr>
          <w:i/>
        </w:rPr>
        <w:instrText xml:space="preserve">, </w:instrText>
      </w:r>
      <w:r w:rsidR="0043716B" w:rsidRPr="00C348F4">
        <w:rPr>
          <w:i/>
          <w:lang w:val="en-US"/>
        </w:rPr>
        <w:instrText>open</w:instrText>
      </w:r>
      <w:r w:rsidR="0043716B" w:rsidRPr="00C348F4">
        <w:rPr>
          <w:i/>
        </w:rPr>
        <w:instrText>-</w:instrText>
      </w:r>
      <w:r w:rsidR="0043716B" w:rsidRPr="00C348F4">
        <w:rPr>
          <w:i/>
          <w:lang w:val="en-US"/>
        </w:rPr>
        <w:instrText>label</w:instrText>
      </w:r>
      <w:r w:rsidR="0043716B" w:rsidRPr="00C348F4">
        <w:rPr>
          <w:i/>
        </w:rPr>
        <w:instrText xml:space="preserve">, </w:instrText>
      </w:r>
      <w:r w:rsidR="0043716B" w:rsidRPr="00C348F4">
        <w:rPr>
          <w:i/>
          <w:lang w:val="en-US"/>
        </w:rPr>
        <w:instrText>phase</w:instrText>
      </w:r>
      <w:r w:rsidR="0043716B" w:rsidRPr="00C348F4">
        <w:rPr>
          <w:i/>
        </w:rPr>
        <w:instrText xml:space="preserve"> 3 </w:instrText>
      </w:r>
      <w:r w:rsidR="0043716B" w:rsidRPr="00C348F4">
        <w:rPr>
          <w:i/>
          <w:lang w:val="en-US"/>
        </w:rPr>
        <w:instrText>study</w:instrText>
      </w:r>
      <w:r w:rsidR="0043716B" w:rsidRPr="00C348F4">
        <w:rPr>
          <w:i/>
        </w:rPr>
        <w:instrText xml:space="preserve">, </w:instrText>
      </w:r>
      <w:r w:rsidR="0043716B" w:rsidRPr="00C348F4">
        <w:rPr>
          <w:i/>
          <w:lang w:val="en-US"/>
        </w:rPr>
        <w:instrText>we</w:instrText>
      </w:r>
      <w:r w:rsidR="0043716B" w:rsidRPr="00C348F4">
        <w:rPr>
          <w:i/>
        </w:rPr>
        <w:instrText xml:space="preserve"> </w:instrText>
      </w:r>
      <w:r w:rsidR="0043716B" w:rsidRPr="00C348F4">
        <w:rPr>
          <w:i/>
          <w:lang w:val="en-US"/>
        </w:rPr>
        <w:instrText>randomly</w:instrText>
      </w:r>
      <w:r w:rsidR="0043716B" w:rsidRPr="00C348F4">
        <w:rPr>
          <w:i/>
        </w:rPr>
        <w:instrText xml:space="preserve"> </w:instrText>
      </w:r>
      <w:r w:rsidR="0043716B" w:rsidRPr="00C348F4">
        <w:rPr>
          <w:i/>
          <w:lang w:val="en-US"/>
        </w:rPr>
        <w:instrText>assigned</w:instrText>
      </w:r>
      <w:r w:rsidR="0043716B" w:rsidRPr="00C348F4">
        <w:rPr>
          <w:i/>
        </w:rPr>
        <w:instrText xml:space="preserve"> 391 </w:instrText>
      </w:r>
      <w:r w:rsidR="0043716B" w:rsidRPr="00C348F4">
        <w:rPr>
          <w:i/>
          <w:lang w:val="en-US"/>
        </w:rPr>
        <w:instrText>patients</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relapsed</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refractory</w:instrText>
      </w:r>
      <w:r w:rsidR="0043716B" w:rsidRPr="00C348F4">
        <w:rPr>
          <w:i/>
        </w:rPr>
        <w:instrText xml:space="preserve"> </w:instrText>
      </w:r>
      <w:r w:rsidR="0043716B" w:rsidRPr="00C348F4">
        <w:rPr>
          <w:i/>
          <w:lang w:val="en-US"/>
        </w:rPr>
        <w:instrText>CLL</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SLL</w:instrText>
      </w:r>
      <w:r w:rsidR="0043716B" w:rsidRPr="00C348F4">
        <w:rPr>
          <w:i/>
        </w:rPr>
        <w:instrText xml:space="preserve"> </w:instrText>
      </w:r>
      <w:r w:rsidR="0043716B" w:rsidRPr="00C348F4">
        <w:rPr>
          <w:i/>
          <w:lang w:val="en-US"/>
        </w:rPr>
        <w:instrText>to</w:instrText>
      </w:r>
      <w:r w:rsidR="0043716B" w:rsidRPr="00C348F4">
        <w:rPr>
          <w:i/>
        </w:rPr>
        <w:instrText xml:space="preserve"> </w:instrText>
      </w:r>
      <w:r w:rsidR="0043716B" w:rsidRPr="00C348F4">
        <w:rPr>
          <w:i/>
          <w:lang w:val="en-US"/>
        </w:rPr>
        <w:instrText>receive</w:instrText>
      </w:r>
      <w:r w:rsidR="0043716B" w:rsidRPr="00C348F4">
        <w:rPr>
          <w:i/>
        </w:rPr>
        <w:instrText xml:space="preserve"> </w:instrText>
      </w:r>
      <w:r w:rsidR="0043716B" w:rsidRPr="00C348F4">
        <w:rPr>
          <w:i/>
          <w:lang w:val="en-US"/>
        </w:rPr>
        <w:instrText>daily</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anti</w:instrText>
      </w:r>
      <w:r w:rsidR="0043716B" w:rsidRPr="00C348F4">
        <w:rPr>
          <w:i/>
        </w:rPr>
        <w:instrText>-</w:instrText>
      </w:r>
      <w:r w:rsidR="0043716B" w:rsidRPr="00C348F4">
        <w:rPr>
          <w:i/>
          <w:lang w:val="en-US"/>
        </w:rPr>
        <w:instrText>CD</w:instrText>
      </w:r>
      <w:r w:rsidR="0043716B" w:rsidRPr="00C348F4">
        <w:rPr>
          <w:i/>
        </w:rPr>
        <w:instrText xml:space="preserve">20 </w:instrText>
      </w:r>
      <w:r w:rsidR="0043716B" w:rsidRPr="00C348F4">
        <w:rPr>
          <w:i/>
          <w:lang w:val="en-US"/>
        </w:rPr>
        <w:instrText>antibody</w:instrText>
      </w:r>
      <w:r w:rsidR="0043716B" w:rsidRPr="00C348F4">
        <w:rPr>
          <w:i/>
        </w:rPr>
        <w:instrText xml:space="preserve"> </w:instrText>
      </w:r>
      <w:r w:rsidR="0043716B" w:rsidRPr="00C348F4">
        <w:rPr>
          <w:i/>
          <w:lang w:val="en-US"/>
        </w:rPr>
        <w:instrText>ofatumumab</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primary</w:instrText>
      </w:r>
      <w:r w:rsidR="0043716B" w:rsidRPr="00C348F4">
        <w:rPr>
          <w:i/>
        </w:rPr>
        <w:instrText xml:space="preserve"> </w:instrText>
      </w:r>
      <w:r w:rsidR="0043716B" w:rsidRPr="00C348F4">
        <w:rPr>
          <w:i/>
          <w:lang w:val="en-US"/>
        </w:rPr>
        <w:instrText>end</w:instrText>
      </w:r>
      <w:r w:rsidR="0043716B" w:rsidRPr="00C348F4">
        <w:rPr>
          <w:i/>
        </w:rPr>
        <w:instrText xml:space="preserve"> </w:instrText>
      </w:r>
      <w:r w:rsidR="0043716B" w:rsidRPr="00C348F4">
        <w:rPr>
          <w:i/>
          <w:lang w:val="en-US"/>
        </w:rPr>
        <w:instrText>point</w:instrText>
      </w:r>
      <w:r w:rsidR="0043716B" w:rsidRPr="00C348F4">
        <w:rPr>
          <w:i/>
        </w:rPr>
        <w:instrText xml:space="preserve"> </w:instrText>
      </w:r>
      <w:r w:rsidR="0043716B" w:rsidRPr="00C348F4">
        <w:rPr>
          <w:i/>
          <w:lang w:val="en-US"/>
        </w:rPr>
        <w:instrText>was</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duration</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progression</w:instrText>
      </w:r>
      <w:r w:rsidR="0043716B" w:rsidRPr="00C348F4">
        <w:rPr>
          <w:i/>
        </w:rPr>
        <w:instrText>-</w:instrText>
      </w:r>
      <w:r w:rsidR="0043716B" w:rsidRPr="00C348F4">
        <w:rPr>
          <w:i/>
          <w:lang w:val="en-US"/>
        </w:rPr>
        <w:instrText>free</w:instrText>
      </w:r>
      <w:r w:rsidR="0043716B" w:rsidRPr="00C348F4">
        <w:rPr>
          <w:i/>
        </w:rPr>
        <w:instrText xml:space="preserve"> </w:instrText>
      </w:r>
      <w:r w:rsidR="0043716B" w:rsidRPr="00C348F4">
        <w:rPr>
          <w:i/>
          <w:lang w:val="en-US"/>
        </w:rPr>
        <w:instrText>survival</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duration</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overall</w:instrText>
      </w:r>
      <w:r w:rsidR="0043716B" w:rsidRPr="00C348F4">
        <w:rPr>
          <w:i/>
        </w:rPr>
        <w:instrText xml:space="preserve"> </w:instrText>
      </w:r>
      <w:r w:rsidR="0043716B" w:rsidRPr="00C348F4">
        <w:rPr>
          <w:i/>
          <w:lang w:val="en-US"/>
        </w:rPr>
        <w:instrText>survival</w:instrText>
      </w:r>
      <w:r w:rsidR="0043716B" w:rsidRPr="00C348F4">
        <w:rPr>
          <w:i/>
        </w:rPr>
        <w:instrText xml:space="preserve"> </w:instrText>
      </w:r>
      <w:r w:rsidR="0043716B" w:rsidRPr="00C348F4">
        <w:rPr>
          <w:i/>
          <w:lang w:val="en-US"/>
        </w:rPr>
        <w:instrText>and</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overall</w:instrText>
      </w:r>
      <w:r w:rsidR="0043716B" w:rsidRPr="00C348F4">
        <w:rPr>
          <w:i/>
        </w:rPr>
        <w:instrText xml:space="preserve"> </w:instrText>
      </w:r>
      <w:r w:rsidR="0043716B" w:rsidRPr="00C348F4">
        <w:rPr>
          <w:i/>
          <w:lang w:val="en-US"/>
        </w:rPr>
        <w:instrText>response</w:instrText>
      </w:r>
      <w:r w:rsidR="0043716B" w:rsidRPr="00C348F4">
        <w:rPr>
          <w:i/>
        </w:rPr>
        <w:instrText xml:space="preserve"> </w:instrText>
      </w:r>
      <w:r w:rsidR="0043716B" w:rsidRPr="00C348F4">
        <w:rPr>
          <w:i/>
          <w:lang w:val="en-US"/>
        </w:rPr>
        <w:instrText>rate</w:instrText>
      </w:r>
      <w:r w:rsidR="0043716B" w:rsidRPr="00C348F4">
        <w:rPr>
          <w:i/>
        </w:rPr>
        <w:instrText xml:space="preserve"> </w:instrText>
      </w:r>
      <w:r w:rsidR="0043716B" w:rsidRPr="00C348F4">
        <w:rPr>
          <w:i/>
          <w:lang w:val="en-US"/>
        </w:rPr>
        <w:instrText>as</w:instrText>
      </w:r>
      <w:r w:rsidR="0043716B" w:rsidRPr="00C348F4">
        <w:rPr>
          <w:i/>
        </w:rPr>
        <w:instrText xml:space="preserve"> </w:instrText>
      </w:r>
      <w:r w:rsidR="0043716B" w:rsidRPr="00C348F4">
        <w:rPr>
          <w:i/>
          <w:lang w:val="en-US"/>
        </w:rPr>
        <w:instrText>secondary</w:instrText>
      </w:r>
      <w:r w:rsidR="0043716B" w:rsidRPr="00C348F4">
        <w:rPr>
          <w:i/>
        </w:rPr>
        <w:instrText xml:space="preserve"> </w:instrText>
      </w:r>
      <w:r w:rsidR="0043716B" w:rsidRPr="00C348F4">
        <w:rPr>
          <w:i/>
          <w:lang w:val="en-US"/>
        </w:rPr>
        <w:instrText>end</w:instrText>
      </w:r>
      <w:r w:rsidR="0043716B" w:rsidRPr="00C348F4">
        <w:rPr>
          <w:i/>
        </w:rPr>
        <w:instrText xml:space="preserve"> </w:instrText>
      </w:r>
      <w:r w:rsidR="0043716B" w:rsidRPr="00C348F4">
        <w:rPr>
          <w:i/>
          <w:lang w:val="en-US"/>
        </w:rPr>
        <w:instrText>points</w:instrText>
      </w:r>
      <w:r w:rsidR="0043716B" w:rsidRPr="00C348F4">
        <w:rPr>
          <w:i/>
        </w:rPr>
        <w:instrText xml:space="preserve">. </w:instrText>
      </w:r>
      <w:r w:rsidR="0043716B" w:rsidRPr="00C348F4">
        <w:rPr>
          <w:i/>
          <w:lang w:val="en-US"/>
        </w:rPr>
        <w:instrText>RESULTS</w:instrText>
      </w:r>
      <w:r w:rsidR="0043716B" w:rsidRPr="00C348F4">
        <w:rPr>
          <w:i/>
        </w:rPr>
        <w:instrText xml:space="preserve"> </w:instrText>
      </w:r>
      <w:r w:rsidR="0043716B" w:rsidRPr="00C348F4">
        <w:rPr>
          <w:i/>
          <w:lang w:val="en-US"/>
        </w:rPr>
        <w:instrText>At</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median</w:instrText>
      </w:r>
      <w:r w:rsidR="0043716B" w:rsidRPr="00C348F4">
        <w:rPr>
          <w:i/>
        </w:rPr>
        <w:instrText xml:space="preserve"> </w:instrText>
      </w:r>
      <w:r w:rsidR="0043716B" w:rsidRPr="00C348F4">
        <w:rPr>
          <w:i/>
          <w:lang w:val="en-US"/>
        </w:rPr>
        <w:instrText>follow</w:instrText>
      </w:r>
      <w:r w:rsidR="0043716B" w:rsidRPr="00C348F4">
        <w:rPr>
          <w:i/>
        </w:rPr>
        <w:instrText>-</w:instrText>
      </w:r>
      <w:r w:rsidR="0043716B" w:rsidRPr="00C348F4">
        <w:rPr>
          <w:i/>
          <w:lang w:val="en-US"/>
        </w:rPr>
        <w:instrText>up</w:instrText>
      </w:r>
      <w:r w:rsidR="0043716B" w:rsidRPr="00C348F4">
        <w:rPr>
          <w:i/>
        </w:rPr>
        <w:instrText xml:space="preserve"> </w:instrText>
      </w:r>
      <w:r w:rsidR="0043716B" w:rsidRPr="00C348F4">
        <w:rPr>
          <w:i/>
          <w:lang w:val="en-US"/>
        </w:rPr>
        <w:instrText>of</w:instrText>
      </w:r>
      <w:r w:rsidR="0043716B" w:rsidRPr="00C348F4">
        <w:rPr>
          <w:i/>
        </w:rPr>
        <w:instrText xml:space="preserve"> 9.4 </w:instrText>
      </w:r>
      <w:r w:rsidR="0043716B" w:rsidRPr="00C348F4">
        <w:rPr>
          <w:i/>
          <w:lang w:val="en-US"/>
        </w:rPr>
        <w:instrText>months</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significantly</w:instrText>
      </w:r>
      <w:r w:rsidR="0043716B" w:rsidRPr="00C348F4">
        <w:rPr>
          <w:i/>
        </w:rPr>
        <w:instrText xml:space="preserve"> </w:instrText>
      </w:r>
      <w:r w:rsidR="0043716B" w:rsidRPr="00C348F4">
        <w:rPr>
          <w:i/>
          <w:lang w:val="en-US"/>
        </w:rPr>
        <w:instrText>improved</w:instrText>
      </w:r>
      <w:r w:rsidR="0043716B" w:rsidRPr="00C348F4">
        <w:rPr>
          <w:i/>
        </w:rPr>
        <w:instrText xml:space="preserve"> </w:instrText>
      </w:r>
      <w:r w:rsidR="0043716B" w:rsidRPr="00C348F4">
        <w:rPr>
          <w:i/>
          <w:lang w:val="en-US"/>
        </w:rPr>
        <w:instrText>progression</w:instrText>
      </w:r>
      <w:r w:rsidR="0043716B" w:rsidRPr="00C348F4">
        <w:rPr>
          <w:i/>
        </w:rPr>
        <w:instrText>-</w:instrText>
      </w:r>
      <w:r w:rsidR="0043716B" w:rsidRPr="00C348F4">
        <w:rPr>
          <w:i/>
          <w:lang w:val="en-US"/>
        </w:rPr>
        <w:instrText>free</w:instrText>
      </w:r>
      <w:r w:rsidR="0043716B" w:rsidRPr="00C348F4">
        <w:rPr>
          <w:i/>
        </w:rPr>
        <w:instrText xml:space="preserve"> </w:instrText>
      </w:r>
      <w:r w:rsidR="0043716B" w:rsidRPr="00C348F4">
        <w:rPr>
          <w:i/>
          <w:lang w:val="en-US"/>
        </w:rPr>
        <w:instrText>survival</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median</w:instrText>
      </w:r>
      <w:r w:rsidR="0043716B" w:rsidRPr="00C348F4">
        <w:rPr>
          <w:i/>
        </w:rPr>
        <w:instrText xml:space="preserve"> </w:instrText>
      </w:r>
      <w:r w:rsidR="0043716B" w:rsidRPr="00C348F4">
        <w:rPr>
          <w:i/>
          <w:lang w:val="en-US"/>
        </w:rPr>
        <w:instrText>duration</w:instrText>
      </w:r>
      <w:r w:rsidR="0043716B" w:rsidRPr="00C348F4">
        <w:rPr>
          <w:i/>
        </w:rPr>
        <w:instrText xml:space="preserve"> </w:instrText>
      </w:r>
      <w:r w:rsidR="0043716B" w:rsidRPr="00C348F4">
        <w:rPr>
          <w:i/>
          <w:lang w:val="en-US"/>
        </w:rPr>
        <w:instrText>was</w:instrText>
      </w:r>
      <w:r w:rsidR="0043716B" w:rsidRPr="00C348F4">
        <w:rPr>
          <w:i/>
        </w:rPr>
        <w:instrText xml:space="preserve"> </w:instrText>
      </w:r>
      <w:r w:rsidR="0043716B" w:rsidRPr="00C348F4">
        <w:rPr>
          <w:i/>
          <w:lang w:val="en-US"/>
        </w:rPr>
        <w:instrText>not</w:instrText>
      </w:r>
      <w:r w:rsidR="0043716B" w:rsidRPr="00C348F4">
        <w:rPr>
          <w:i/>
        </w:rPr>
        <w:instrText xml:space="preserve"> </w:instrText>
      </w:r>
      <w:r w:rsidR="0043716B" w:rsidRPr="00C348F4">
        <w:rPr>
          <w:i/>
          <w:lang w:val="en-US"/>
        </w:rPr>
        <w:instrText>reached</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group</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rate</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progression</w:instrText>
      </w:r>
      <w:r w:rsidR="0043716B" w:rsidRPr="00C348F4">
        <w:rPr>
          <w:i/>
        </w:rPr>
        <w:instrText>-</w:instrText>
      </w:r>
      <w:r w:rsidR="0043716B" w:rsidRPr="00C348F4">
        <w:rPr>
          <w:i/>
          <w:lang w:val="en-US"/>
        </w:rPr>
        <w:instrText>free</w:instrText>
      </w:r>
      <w:r w:rsidR="0043716B" w:rsidRPr="00C348F4">
        <w:rPr>
          <w:i/>
        </w:rPr>
        <w:instrText xml:space="preserve"> </w:instrText>
      </w:r>
      <w:r w:rsidR="0043716B" w:rsidRPr="00C348F4">
        <w:rPr>
          <w:i/>
          <w:lang w:val="en-US"/>
        </w:rPr>
        <w:instrText>survival</w:instrText>
      </w:r>
      <w:r w:rsidR="0043716B" w:rsidRPr="00C348F4">
        <w:rPr>
          <w:i/>
        </w:rPr>
        <w:instrText xml:space="preserve"> </w:instrText>
      </w:r>
      <w:r w:rsidR="0043716B" w:rsidRPr="00C348F4">
        <w:rPr>
          <w:i/>
          <w:lang w:val="en-US"/>
        </w:rPr>
        <w:instrText>of</w:instrText>
      </w:r>
      <w:r w:rsidR="0043716B" w:rsidRPr="00C348F4">
        <w:rPr>
          <w:i/>
        </w:rPr>
        <w:instrText xml:space="preserve"> 88% </w:instrText>
      </w:r>
      <w:r w:rsidR="0043716B" w:rsidRPr="00C348F4">
        <w:rPr>
          <w:i/>
          <w:lang w:val="en-US"/>
        </w:rPr>
        <w:instrText>at</w:instrText>
      </w:r>
      <w:r w:rsidR="0043716B" w:rsidRPr="00C348F4">
        <w:rPr>
          <w:i/>
        </w:rPr>
        <w:instrText xml:space="preserve"> 6 </w:instrText>
      </w:r>
      <w:r w:rsidR="0043716B" w:rsidRPr="00C348F4">
        <w:rPr>
          <w:i/>
          <w:lang w:val="en-US"/>
        </w:rPr>
        <w:instrText>months</w:instrText>
      </w:r>
      <w:r w:rsidR="0043716B" w:rsidRPr="00C348F4">
        <w:rPr>
          <w:i/>
        </w:rPr>
        <w:instrText xml:space="preserve">), </w:instrText>
      </w:r>
      <w:r w:rsidR="0043716B" w:rsidRPr="00C348F4">
        <w:rPr>
          <w:i/>
          <w:lang w:val="en-US"/>
        </w:rPr>
        <w:instrText>as</w:instrText>
      </w:r>
      <w:r w:rsidR="0043716B" w:rsidRPr="00C348F4">
        <w:rPr>
          <w:i/>
        </w:rPr>
        <w:instrText xml:space="preserve"> </w:instrText>
      </w:r>
      <w:r w:rsidR="0043716B" w:rsidRPr="00C348F4">
        <w:rPr>
          <w:i/>
          <w:lang w:val="en-US"/>
        </w:rPr>
        <w:instrText>compared</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median</w:instrText>
      </w:r>
      <w:r w:rsidR="0043716B" w:rsidRPr="00C348F4">
        <w:rPr>
          <w:i/>
        </w:rPr>
        <w:instrText xml:space="preserve"> </w:instrText>
      </w:r>
      <w:r w:rsidR="0043716B" w:rsidRPr="00C348F4">
        <w:rPr>
          <w:i/>
          <w:lang w:val="en-US"/>
        </w:rPr>
        <w:instrText>of</w:instrText>
      </w:r>
      <w:r w:rsidR="0043716B" w:rsidRPr="00C348F4">
        <w:rPr>
          <w:i/>
        </w:rPr>
        <w:instrText xml:space="preserve"> 8.1 </w:instrText>
      </w:r>
      <w:r w:rsidR="0043716B" w:rsidRPr="00C348F4">
        <w:rPr>
          <w:i/>
          <w:lang w:val="en-US"/>
        </w:rPr>
        <w:instrText>months</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ofatumumab</w:instrText>
      </w:r>
      <w:r w:rsidR="0043716B" w:rsidRPr="00C348F4">
        <w:rPr>
          <w:i/>
        </w:rPr>
        <w:instrText xml:space="preserve"> </w:instrText>
      </w:r>
      <w:r w:rsidR="0043716B" w:rsidRPr="00C348F4">
        <w:rPr>
          <w:i/>
          <w:lang w:val="en-US"/>
        </w:rPr>
        <w:instrText>group</w:instrText>
      </w:r>
      <w:r w:rsidR="0043716B" w:rsidRPr="00C348F4">
        <w:rPr>
          <w:i/>
        </w:rPr>
        <w:instrText xml:space="preserve"> (</w:instrText>
      </w:r>
      <w:r w:rsidR="0043716B" w:rsidRPr="00C348F4">
        <w:rPr>
          <w:i/>
          <w:lang w:val="en-US"/>
        </w:rPr>
        <w:instrText>hazard</w:instrText>
      </w:r>
      <w:r w:rsidR="0043716B" w:rsidRPr="00C348F4">
        <w:rPr>
          <w:i/>
        </w:rPr>
        <w:instrText xml:space="preserve"> </w:instrText>
      </w:r>
      <w:r w:rsidR="0043716B" w:rsidRPr="00C348F4">
        <w:rPr>
          <w:i/>
          <w:lang w:val="en-US"/>
        </w:rPr>
        <w:instrText>ratio</w:instrText>
      </w:r>
      <w:r w:rsidR="0043716B" w:rsidRPr="00C348F4">
        <w:rPr>
          <w:i/>
        </w:rPr>
        <w:instrText xml:space="preserve"> </w:instrText>
      </w:r>
      <w:r w:rsidR="0043716B" w:rsidRPr="00C348F4">
        <w:rPr>
          <w:i/>
          <w:lang w:val="en-US"/>
        </w:rPr>
        <w:instrText>for</w:instrText>
      </w:r>
      <w:r w:rsidR="0043716B" w:rsidRPr="00C348F4">
        <w:rPr>
          <w:i/>
        </w:rPr>
        <w:instrText xml:space="preserve"> </w:instrText>
      </w:r>
      <w:r w:rsidR="0043716B" w:rsidRPr="00C348F4">
        <w:rPr>
          <w:i/>
          <w:lang w:val="en-US"/>
        </w:rPr>
        <w:instrText>progression</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death</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group</w:instrText>
      </w:r>
      <w:r w:rsidR="0043716B" w:rsidRPr="00C348F4">
        <w:rPr>
          <w:i/>
        </w:rPr>
        <w:instrText xml:space="preserve">, 0.22; </w:instrText>
      </w:r>
      <w:r w:rsidR="0043716B" w:rsidRPr="00C348F4">
        <w:rPr>
          <w:i/>
          <w:lang w:val="en-US"/>
        </w:rPr>
        <w:instrText>P</w:instrText>
      </w:r>
      <w:r w:rsidR="0043716B" w:rsidRPr="00C348F4">
        <w:rPr>
          <w:i/>
        </w:rPr>
        <w:instrText xml:space="preserve">&lt;0.001). </w:instrText>
      </w:r>
      <w:r w:rsidR="0043716B" w:rsidRPr="00C348F4">
        <w:rPr>
          <w:i/>
          <w:lang w:val="en-US"/>
        </w:rPr>
        <w:instrText>Ibrutinib</w:instrText>
      </w:r>
      <w:r w:rsidR="0043716B" w:rsidRPr="00C348F4">
        <w:rPr>
          <w:i/>
        </w:rPr>
        <w:instrText xml:space="preserve"> </w:instrText>
      </w:r>
      <w:r w:rsidR="0043716B" w:rsidRPr="00C348F4">
        <w:rPr>
          <w:i/>
          <w:lang w:val="en-US"/>
        </w:rPr>
        <w:instrText>also</w:instrText>
      </w:r>
      <w:r w:rsidR="0043716B" w:rsidRPr="00C348F4">
        <w:rPr>
          <w:i/>
        </w:rPr>
        <w:instrText xml:space="preserve"> </w:instrText>
      </w:r>
      <w:r w:rsidR="0043716B" w:rsidRPr="00C348F4">
        <w:rPr>
          <w:i/>
          <w:lang w:val="en-US"/>
        </w:rPr>
        <w:instrText>significantly</w:instrText>
      </w:r>
      <w:r w:rsidR="0043716B" w:rsidRPr="00C348F4">
        <w:rPr>
          <w:i/>
        </w:rPr>
        <w:instrText xml:space="preserve"> </w:instrText>
      </w:r>
      <w:r w:rsidR="0043716B" w:rsidRPr="00C348F4">
        <w:rPr>
          <w:i/>
          <w:lang w:val="en-US"/>
        </w:rPr>
        <w:instrText>improved</w:instrText>
      </w:r>
      <w:r w:rsidR="0043716B" w:rsidRPr="00C348F4">
        <w:rPr>
          <w:i/>
        </w:rPr>
        <w:instrText xml:space="preserve"> </w:instrText>
      </w:r>
      <w:r w:rsidR="0043716B" w:rsidRPr="00C348F4">
        <w:rPr>
          <w:i/>
          <w:lang w:val="en-US"/>
        </w:rPr>
        <w:instrText>overall</w:instrText>
      </w:r>
      <w:r w:rsidR="0043716B" w:rsidRPr="00C348F4">
        <w:rPr>
          <w:i/>
        </w:rPr>
        <w:instrText xml:space="preserve"> </w:instrText>
      </w:r>
      <w:r w:rsidR="0043716B" w:rsidRPr="00C348F4">
        <w:rPr>
          <w:i/>
          <w:lang w:val="en-US"/>
        </w:rPr>
        <w:instrText>survival</w:instrText>
      </w:r>
      <w:r w:rsidR="0043716B" w:rsidRPr="00C348F4">
        <w:rPr>
          <w:i/>
        </w:rPr>
        <w:instrText xml:space="preserve"> (</w:instrText>
      </w:r>
      <w:r w:rsidR="0043716B" w:rsidRPr="00C348F4">
        <w:rPr>
          <w:i/>
          <w:lang w:val="en-US"/>
        </w:rPr>
        <w:instrText>hazard</w:instrText>
      </w:r>
      <w:r w:rsidR="0043716B" w:rsidRPr="00C348F4">
        <w:rPr>
          <w:i/>
        </w:rPr>
        <w:instrText xml:space="preserve"> </w:instrText>
      </w:r>
      <w:r w:rsidR="0043716B" w:rsidRPr="00C348F4">
        <w:rPr>
          <w:i/>
          <w:lang w:val="en-US"/>
        </w:rPr>
        <w:instrText>ratio</w:instrText>
      </w:r>
      <w:r w:rsidR="0043716B" w:rsidRPr="00C348F4">
        <w:rPr>
          <w:i/>
        </w:rPr>
        <w:instrText xml:space="preserve"> </w:instrText>
      </w:r>
      <w:r w:rsidR="0043716B" w:rsidRPr="00C348F4">
        <w:rPr>
          <w:i/>
          <w:lang w:val="en-US"/>
        </w:rPr>
        <w:instrText>for</w:instrText>
      </w:r>
      <w:r w:rsidR="0043716B" w:rsidRPr="00C348F4">
        <w:rPr>
          <w:i/>
        </w:rPr>
        <w:instrText xml:space="preserve"> </w:instrText>
      </w:r>
      <w:r w:rsidR="0043716B" w:rsidRPr="00C348F4">
        <w:rPr>
          <w:i/>
          <w:lang w:val="en-US"/>
        </w:rPr>
        <w:instrText>death</w:instrText>
      </w:r>
      <w:r w:rsidR="0043716B" w:rsidRPr="00C348F4">
        <w:rPr>
          <w:i/>
        </w:rPr>
        <w:instrText xml:space="preserve">, 0.43; </w:instrText>
      </w:r>
      <w:r w:rsidR="0043716B" w:rsidRPr="00C348F4">
        <w:rPr>
          <w:i/>
          <w:lang w:val="en-US"/>
        </w:rPr>
        <w:instrText>P</w:instrText>
      </w:r>
      <w:r w:rsidR="0043716B" w:rsidRPr="00C348F4">
        <w:rPr>
          <w:i/>
        </w:rPr>
        <w:instrText xml:space="preserve">=0.005). </w:instrText>
      </w:r>
      <w:r w:rsidR="0043716B" w:rsidRPr="00C348F4">
        <w:rPr>
          <w:i/>
          <w:lang w:val="en-US"/>
        </w:rPr>
        <w:instrText>At</w:instrText>
      </w:r>
      <w:r w:rsidR="0043716B" w:rsidRPr="00C348F4">
        <w:rPr>
          <w:i/>
        </w:rPr>
        <w:instrText xml:space="preserve"> 12 </w:instrText>
      </w:r>
      <w:r w:rsidR="0043716B" w:rsidRPr="00C348F4">
        <w:rPr>
          <w:i/>
          <w:lang w:val="en-US"/>
        </w:rPr>
        <w:instrText>months</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overall</w:instrText>
      </w:r>
      <w:r w:rsidR="0043716B" w:rsidRPr="00C348F4">
        <w:rPr>
          <w:i/>
        </w:rPr>
        <w:instrText xml:space="preserve"> </w:instrText>
      </w:r>
      <w:r w:rsidR="0043716B" w:rsidRPr="00C348F4">
        <w:rPr>
          <w:i/>
          <w:lang w:val="en-US"/>
        </w:rPr>
        <w:instrText>survival</w:instrText>
      </w:r>
      <w:r w:rsidR="0043716B" w:rsidRPr="00C348F4">
        <w:rPr>
          <w:i/>
        </w:rPr>
        <w:instrText xml:space="preserve"> </w:instrText>
      </w:r>
      <w:r w:rsidR="0043716B" w:rsidRPr="00C348F4">
        <w:rPr>
          <w:i/>
          <w:lang w:val="en-US"/>
        </w:rPr>
        <w:instrText>rate</w:instrText>
      </w:r>
      <w:r w:rsidR="0043716B" w:rsidRPr="00C348F4">
        <w:rPr>
          <w:i/>
        </w:rPr>
        <w:instrText xml:space="preserve"> </w:instrText>
      </w:r>
      <w:r w:rsidR="0043716B" w:rsidRPr="00C348F4">
        <w:rPr>
          <w:i/>
          <w:lang w:val="en-US"/>
        </w:rPr>
        <w:instrText>was</w:instrText>
      </w:r>
      <w:r w:rsidR="0043716B" w:rsidRPr="00C348F4">
        <w:rPr>
          <w:i/>
        </w:rPr>
        <w:instrText xml:space="preserve"> 90%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group</w:instrText>
      </w:r>
      <w:r w:rsidR="0043716B" w:rsidRPr="00C348F4">
        <w:rPr>
          <w:i/>
        </w:rPr>
        <w:instrText xml:space="preserve"> </w:instrText>
      </w:r>
      <w:r w:rsidR="0043716B" w:rsidRPr="00C348F4">
        <w:rPr>
          <w:i/>
          <w:lang w:val="en-US"/>
        </w:rPr>
        <w:instrText>and</w:instrText>
      </w:r>
      <w:r w:rsidR="0043716B" w:rsidRPr="00C348F4">
        <w:rPr>
          <w:i/>
        </w:rPr>
        <w:instrText xml:space="preserve"> 81%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ofatumumab</w:instrText>
      </w:r>
      <w:r w:rsidR="0043716B" w:rsidRPr="00C348F4">
        <w:rPr>
          <w:i/>
        </w:rPr>
        <w:instrText xml:space="preserve"> </w:instrText>
      </w:r>
      <w:r w:rsidR="0043716B" w:rsidRPr="00C348F4">
        <w:rPr>
          <w:i/>
          <w:lang w:val="en-US"/>
        </w:rPr>
        <w:instrText>group</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overall</w:instrText>
      </w:r>
      <w:r w:rsidR="0043716B" w:rsidRPr="00C348F4">
        <w:rPr>
          <w:i/>
        </w:rPr>
        <w:instrText xml:space="preserve"> </w:instrText>
      </w:r>
      <w:r w:rsidR="0043716B" w:rsidRPr="00C348F4">
        <w:rPr>
          <w:i/>
          <w:lang w:val="en-US"/>
        </w:rPr>
        <w:instrText>response</w:instrText>
      </w:r>
      <w:r w:rsidR="0043716B" w:rsidRPr="00C348F4">
        <w:rPr>
          <w:i/>
        </w:rPr>
        <w:instrText xml:space="preserve"> </w:instrText>
      </w:r>
      <w:r w:rsidR="0043716B" w:rsidRPr="00C348F4">
        <w:rPr>
          <w:i/>
          <w:lang w:val="en-US"/>
        </w:rPr>
        <w:instrText>rate</w:instrText>
      </w:r>
      <w:r w:rsidR="0043716B" w:rsidRPr="00C348F4">
        <w:rPr>
          <w:i/>
        </w:rPr>
        <w:instrText xml:space="preserve"> </w:instrText>
      </w:r>
      <w:r w:rsidR="0043716B" w:rsidRPr="00C348F4">
        <w:rPr>
          <w:i/>
          <w:lang w:val="en-US"/>
        </w:rPr>
        <w:instrText>was</w:instrText>
      </w:r>
      <w:r w:rsidR="0043716B" w:rsidRPr="00C348F4">
        <w:rPr>
          <w:i/>
        </w:rPr>
        <w:instrText xml:space="preserve"> </w:instrText>
      </w:r>
      <w:r w:rsidR="0043716B" w:rsidRPr="00C348F4">
        <w:rPr>
          <w:i/>
          <w:lang w:val="en-US"/>
        </w:rPr>
        <w:instrText>significantly</w:instrText>
      </w:r>
      <w:r w:rsidR="0043716B" w:rsidRPr="00C348F4">
        <w:rPr>
          <w:i/>
        </w:rPr>
        <w:instrText xml:space="preserve"> </w:instrText>
      </w:r>
      <w:r w:rsidR="0043716B" w:rsidRPr="00C348F4">
        <w:rPr>
          <w:i/>
          <w:lang w:val="en-US"/>
        </w:rPr>
        <w:instrText>higher</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group</w:instrText>
      </w:r>
      <w:r w:rsidR="0043716B" w:rsidRPr="00C348F4">
        <w:rPr>
          <w:i/>
        </w:rPr>
        <w:instrText xml:space="preserve"> </w:instrText>
      </w:r>
      <w:r w:rsidR="0043716B" w:rsidRPr="00C348F4">
        <w:rPr>
          <w:i/>
          <w:lang w:val="en-US"/>
        </w:rPr>
        <w:instrText>than</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ofatumumab</w:instrText>
      </w:r>
      <w:r w:rsidR="0043716B" w:rsidRPr="00C348F4">
        <w:rPr>
          <w:i/>
        </w:rPr>
        <w:instrText xml:space="preserve"> </w:instrText>
      </w:r>
      <w:r w:rsidR="0043716B" w:rsidRPr="00C348F4">
        <w:rPr>
          <w:i/>
          <w:lang w:val="en-US"/>
        </w:rPr>
        <w:instrText>group</w:instrText>
      </w:r>
      <w:r w:rsidR="0043716B" w:rsidRPr="00C348F4">
        <w:rPr>
          <w:i/>
        </w:rPr>
        <w:instrText xml:space="preserve"> (42.6% </w:instrText>
      </w:r>
      <w:r w:rsidR="0043716B" w:rsidRPr="00C348F4">
        <w:rPr>
          <w:i/>
          <w:lang w:val="en-US"/>
        </w:rPr>
        <w:instrText>vs</w:instrText>
      </w:r>
      <w:r w:rsidR="0043716B" w:rsidRPr="00C348F4">
        <w:rPr>
          <w:i/>
        </w:rPr>
        <w:instrText xml:space="preserve">. 4.1%, </w:instrText>
      </w:r>
      <w:r w:rsidR="0043716B" w:rsidRPr="00C348F4">
        <w:rPr>
          <w:i/>
          <w:lang w:val="en-US"/>
        </w:rPr>
        <w:instrText>P</w:instrText>
      </w:r>
      <w:r w:rsidR="0043716B" w:rsidRPr="00C348F4">
        <w:rPr>
          <w:i/>
        </w:rPr>
        <w:instrText xml:space="preserve">&lt;0.001). </w:instrText>
      </w:r>
      <w:r w:rsidR="0043716B" w:rsidRPr="00C348F4">
        <w:rPr>
          <w:i/>
          <w:lang w:val="en-US"/>
        </w:rPr>
        <w:instrText>An</w:instrText>
      </w:r>
      <w:r w:rsidR="0043716B" w:rsidRPr="00C348F4">
        <w:rPr>
          <w:i/>
        </w:rPr>
        <w:instrText xml:space="preserve"> </w:instrText>
      </w:r>
      <w:r w:rsidR="0043716B" w:rsidRPr="00C348F4">
        <w:rPr>
          <w:i/>
          <w:lang w:val="en-US"/>
        </w:rPr>
        <w:instrText>additional</w:instrText>
      </w:r>
      <w:r w:rsidR="0043716B" w:rsidRPr="00C348F4">
        <w:rPr>
          <w:i/>
        </w:rPr>
        <w:instrText xml:space="preserve"> 20% </w:instrText>
      </w:r>
      <w:r w:rsidR="0043716B" w:rsidRPr="00C348F4">
        <w:rPr>
          <w:i/>
          <w:lang w:val="en-US"/>
        </w:rPr>
        <w:instrText>of</w:instrText>
      </w:r>
      <w:r w:rsidR="0043716B" w:rsidRPr="00C348F4">
        <w:rPr>
          <w:i/>
        </w:rPr>
        <w:instrText xml:space="preserve"> </w:instrText>
      </w:r>
      <w:r w:rsidR="0043716B" w:rsidRPr="00C348F4">
        <w:rPr>
          <w:i/>
          <w:lang w:val="en-US"/>
        </w:rPr>
        <w:instrText>ibrutinib</w:instrText>
      </w:r>
      <w:r w:rsidR="0043716B" w:rsidRPr="00C348F4">
        <w:rPr>
          <w:i/>
        </w:rPr>
        <w:instrText>-</w:instrText>
      </w:r>
      <w:r w:rsidR="0043716B" w:rsidRPr="00C348F4">
        <w:rPr>
          <w:i/>
          <w:lang w:val="en-US"/>
        </w:rPr>
        <w:instrText>treated</w:instrText>
      </w:r>
      <w:r w:rsidR="0043716B" w:rsidRPr="00C348F4">
        <w:rPr>
          <w:i/>
        </w:rPr>
        <w:instrText xml:space="preserve"> </w:instrText>
      </w:r>
      <w:r w:rsidR="0043716B" w:rsidRPr="00C348F4">
        <w:rPr>
          <w:i/>
          <w:lang w:val="en-US"/>
        </w:rPr>
        <w:instrText>patients</w:instrText>
      </w:r>
      <w:r w:rsidR="0043716B" w:rsidRPr="00C348F4">
        <w:rPr>
          <w:i/>
        </w:rPr>
        <w:instrText xml:space="preserve"> </w:instrText>
      </w:r>
      <w:r w:rsidR="0043716B" w:rsidRPr="00C348F4">
        <w:rPr>
          <w:i/>
          <w:lang w:val="en-US"/>
        </w:rPr>
        <w:instrText>had</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partial</w:instrText>
      </w:r>
      <w:r w:rsidR="0043716B" w:rsidRPr="00C348F4">
        <w:rPr>
          <w:i/>
        </w:rPr>
        <w:instrText xml:space="preserve"> </w:instrText>
      </w:r>
      <w:r w:rsidR="0043716B" w:rsidRPr="00C348F4">
        <w:rPr>
          <w:i/>
          <w:lang w:val="en-US"/>
        </w:rPr>
        <w:instrText>response</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lymphocytosis</w:instrText>
      </w:r>
      <w:r w:rsidR="0043716B" w:rsidRPr="00C348F4">
        <w:rPr>
          <w:i/>
        </w:rPr>
        <w:instrText xml:space="preserve">. </w:instrText>
      </w:r>
      <w:r w:rsidR="0043716B" w:rsidRPr="00C348F4">
        <w:rPr>
          <w:i/>
          <w:lang w:val="en-US"/>
        </w:rPr>
        <w:instrText>Similar</w:instrText>
      </w:r>
      <w:r w:rsidR="0043716B" w:rsidRPr="00C348F4">
        <w:rPr>
          <w:i/>
        </w:rPr>
        <w:instrText xml:space="preserve"> </w:instrText>
      </w:r>
      <w:r w:rsidR="0043716B" w:rsidRPr="00C348F4">
        <w:rPr>
          <w:i/>
          <w:lang w:val="en-US"/>
        </w:rPr>
        <w:instrText>effects</w:instrText>
      </w:r>
      <w:r w:rsidR="0043716B" w:rsidRPr="00C348F4">
        <w:rPr>
          <w:i/>
        </w:rPr>
        <w:instrText xml:space="preserve"> </w:instrText>
      </w:r>
      <w:r w:rsidR="0043716B" w:rsidRPr="00C348F4">
        <w:rPr>
          <w:i/>
          <w:lang w:val="en-US"/>
        </w:rPr>
        <w:instrText>were</w:instrText>
      </w:r>
      <w:r w:rsidR="0043716B" w:rsidRPr="00C348F4">
        <w:rPr>
          <w:i/>
        </w:rPr>
        <w:instrText xml:space="preserve"> </w:instrText>
      </w:r>
      <w:r w:rsidR="0043716B" w:rsidRPr="00C348F4">
        <w:rPr>
          <w:i/>
          <w:lang w:val="en-US"/>
        </w:rPr>
        <w:instrText>observed</w:instrText>
      </w:r>
      <w:r w:rsidR="0043716B" w:rsidRPr="00C348F4">
        <w:rPr>
          <w:i/>
        </w:rPr>
        <w:instrText xml:space="preserve"> </w:instrText>
      </w:r>
      <w:r w:rsidR="0043716B" w:rsidRPr="00C348F4">
        <w:rPr>
          <w:i/>
          <w:lang w:val="en-US"/>
        </w:rPr>
        <w:instrText>regardless</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whether</w:instrText>
      </w:r>
      <w:r w:rsidR="0043716B" w:rsidRPr="00C348F4">
        <w:rPr>
          <w:i/>
        </w:rPr>
        <w:instrText xml:space="preserve"> </w:instrText>
      </w:r>
      <w:r w:rsidR="0043716B" w:rsidRPr="00C348F4">
        <w:rPr>
          <w:i/>
          <w:lang w:val="en-US"/>
        </w:rPr>
        <w:instrText>patients</w:instrText>
      </w:r>
      <w:r w:rsidR="0043716B" w:rsidRPr="00C348F4">
        <w:rPr>
          <w:i/>
        </w:rPr>
        <w:instrText xml:space="preserve"> </w:instrText>
      </w:r>
      <w:r w:rsidR="0043716B" w:rsidRPr="00C348F4">
        <w:rPr>
          <w:i/>
          <w:lang w:val="en-US"/>
        </w:rPr>
        <w:instrText>had</w:instrText>
      </w:r>
      <w:r w:rsidR="0043716B" w:rsidRPr="00C348F4">
        <w:rPr>
          <w:i/>
        </w:rPr>
        <w:instrText xml:space="preserve"> </w:instrText>
      </w:r>
      <w:r w:rsidR="0043716B" w:rsidRPr="00C348F4">
        <w:rPr>
          <w:i/>
          <w:lang w:val="en-US"/>
        </w:rPr>
        <w:instrText>a</w:instrText>
      </w:r>
      <w:r w:rsidR="0043716B" w:rsidRPr="00C348F4">
        <w:rPr>
          <w:i/>
        </w:rPr>
        <w:instrText xml:space="preserve"> </w:instrText>
      </w:r>
      <w:r w:rsidR="0043716B" w:rsidRPr="00C348F4">
        <w:rPr>
          <w:i/>
          <w:lang w:val="en-US"/>
        </w:rPr>
        <w:instrText>chromosome</w:instrText>
      </w:r>
      <w:r w:rsidR="0043716B" w:rsidRPr="00C348F4">
        <w:rPr>
          <w:i/>
        </w:rPr>
        <w:instrText xml:space="preserve"> 17</w:instrText>
      </w:r>
      <w:r w:rsidR="0043716B" w:rsidRPr="00C348F4">
        <w:rPr>
          <w:i/>
          <w:lang w:val="en-US"/>
        </w:rPr>
        <w:instrText>p</w:instrText>
      </w:r>
      <w:r w:rsidR="0043716B" w:rsidRPr="00C348F4">
        <w:rPr>
          <w:i/>
        </w:rPr>
        <w:instrText xml:space="preserve">13.1 </w:instrText>
      </w:r>
      <w:r w:rsidR="0043716B" w:rsidRPr="00C348F4">
        <w:rPr>
          <w:i/>
          <w:lang w:val="en-US"/>
        </w:rPr>
        <w:instrText>deletion</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resistance</w:instrText>
      </w:r>
      <w:r w:rsidR="0043716B" w:rsidRPr="00C348F4">
        <w:rPr>
          <w:i/>
        </w:rPr>
        <w:instrText xml:space="preserve"> </w:instrText>
      </w:r>
      <w:r w:rsidR="0043716B" w:rsidRPr="00C348F4">
        <w:rPr>
          <w:i/>
          <w:lang w:val="en-US"/>
        </w:rPr>
        <w:instrText>to</w:instrText>
      </w:r>
      <w:r w:rsidR="0043716B" w:rsidRPr="00C348F4">
        <w:rPr>
          <w:i/>
        </w:rPr>
        <w:instrText xml:space="preserve"> </w:instrText>
      </w:r>
      <w:r w:rsidR="0043716B" w:rsidRPr="00C348F4">
        <w:rPr>
          <w:i/>
          <w:lang w:val="en-US"/>
        </w:rPr>
        <w:instrText>purine</w:instrText>
      </w:r>
      <w:r w:rsidR="0043716B" w:rsidRPr="00C348F4">
        <w:rPr>
          <w:i/>
        </w:rPr>
        <w:instrText xml:space="preserve"> </w:instrText>
      </w:r>
      <w:r w:rsidR="0043716B" w:rsidRPr="00C348F4">
        <w:rPr>
          <w:i/>
          <w:lang w:val="en-US"/>
        </w:rPr>
        <w:instrText>analogues</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most</w:instrText>
      </w:r>
      <w:r w:rsidR="0043716B" w:rsidRPr="00C348F4">
        <w:rPr>
          <w:i/>
        </w:rPr>
        <w:instrText xml:space="preserve"> </w:instrText>
      </w:r>
      <w:r w:rsidR="0043716B" w:rsidRPr="00C348F4">
        <w:rPr>
          <w:i/>
          <w:lang w:val="en-US"/>
        </w:rPr>
        <w:instrText>frequent</w:instrText>
      </w:r>
      <w:r w:rsidR="0043716B" w:rsidRPr="00C348F4">
        <w:rPr>
          <w:i/>
        </w:rPr>
        <w:instrText xml:space="preserve"> </w:instrText>
      </w:r>
      <w:r w:rsidR="0043716B" w:rsidRPr="00C348F4">
        <w:rPr>
          <w:i/>
          <w:lang w:val="en-US"/>
        </w:rPr>
        <w:instrText>nonhematologic</w:instrText>
      </w:r>
      <w:r w:rsidR="0043716B" w:rsidRPr="00C348F4">
        <w:rPr>
          <w:i/>
        </w:rPr>
        <w:instrText xml:space="preserve"> </w:instrText>
      </w:r>
      <w:r w:rsidR="0043716B" w:rsidRPr="00C348F4">
        <w:rPr>
          <w:i/>
          <w:lang w:val="en-US"/>
        </w:rPr>
        <w:instrText>adverse</w:instrText>
      </w:r>
      <w:r w:rsidR="0043716B" w:rsidRPr="00C348F4">
        <w:rPr>
          <w:i/>
        </w:rPr>
        <w:instrText xml:space="preserve"> </w:instrText>
      </w:r>
      <w:r w:rsidR="0043716B" w:rsidRPr="00C348F4">
        <w:rPr>
          <w:i/>
          <w:lang w:val="en-US"/>
        </w:rPr>
        <w:instrText>events</w:instrText>
      </w:r>
      <w:r w:rsidR="0043716B" w:rsidRPr="00C348F4">
        <w:rPr>
          <w:i/>
        </w:rPr>
        <w:instrText xml:space="preserve"> </w:instrText>
      </w:r>
      <w:r w:rsidR="0043716B" w:rsidRPr="00C348F4">
        <w:rPr>
          <w:i/>
          <w:lang w:val="en-US"/>
        </w:rPr>
        <w:instrText>were</w:instrText>
      </w:r>
      <w:r w:rsidR="0043716B" w:rsidRPr="00C348F4">
        <w:rPr>
          <w:i/>
        </w:rPr>
        <w:instrText xml:space="preserve"> </w:instrText>
      </w:r>
      <w:r w:rsidR="0043716B" w:rsidRPr="00C348F4">
        <w:rPr>
          <w:i/>
          <w:lang w:val="en-US"/>
        </w:rPr>
        <w:instrText>diarrhea</w:instrText>
      </w:r>
      <w:r w:rsidR="0043716B" w:rsidRPr="00C348F4">
        <w:rPr>
          <w:i/>
        </w:rPr>
        <w:instrText xml:space="preserve">, </w:instrText>
      </w:r>
      <w:r w:rsidR="0043716B" w:rsidRPr="00C348F4">
        <w:rPr>
          <w:i/>
          <w:lang w:val="en-US"/>
        </w:rPr>
        <w:instrText>fatigue</w:instrText>
      </w:r>
      <w:r w:rsidR="0043716B" w:rsidRPr="00C348F4">
        <w:rPr>
          <w:i/>
        </w:rPr>
        <w:instrText xml:space="preserve">, </w:instrText>
      </w:r>
      <w:r w:rsidR="0043716B" w:rsidRPr="00C348F4">
        <w:rPr>
          <w:i/>
          <w:lang w:val="en-US"/>
        </w:rPr>
        <w:instrText>pyrexia</w:instrText>
      </w:r>
      <w:r w:rsidR="0043716B" w:rsidRPr="00C348F4">
        <w:rPr>
          <w:i/>
        </w:rPr>
        <w:instrText xml:space="preserve">, </w:instrText>
      </w:r>
      <w:r w:rsidR="0043716B" w:rsidRPr="00C348F4">
        <w:rPr>
          <w:i/>
          <w:lang w:val="en-US"/>
        </w:rPr>
        <w:instrText>and</w:instrText>
      </w:r>
      <w:r w:rsidR="0043716B" w:rsidRPr="00C348F4">
        <w:rPr>
          <w:i/>
        </w:rPr>
        <w:instrText xml:space="preserve"> </w:instrText>
      </w:r>
      <w:r w:rsidR="0043716B" w:rsidRPr="00C348F4">
        <w:rPr>
          <w:i/>
          <w:lang w:val="en-US"/>
        </w:rPr>
        <w:instrText>nausea</w:instrText>
      </w:r>
      <w:r w:rsidR="0043716B" w:rsidRPr="00C348F4">
        <w:rPr>
          <w:i/>
        </w:rPr>
        <w:instrText xml:space="preserve"> </w:instrText>
      </w:r>
      <w:r w:rsidR="0043716B" w:rsidRPr="00C348F4">
        <w:rPr>
          <w:i/>
          <w:lang w:val="en-US"/>
        </w:rPr>
        <w:instrText>in</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w:instrText>
      </w:r>
      <w:r w:rsidR="0043716B" w:rsidRPr="00C348F4">
        <w:rPr>
          <w:i/>
        </w:rPr>
        <w:instrText>":"</w:instrText>
      </w:r>
      <w:r w:rsidR="0043716B" w:rsidRPr="00C348F4">
        <w:rPr>
          <w:i/>
          <w:lang w:val="en-US"/>
        </w:rPr>
        <w:instrText>Rule</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S</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family</w:instrText>
      </w:r>
      <w:r w:rsidR="0043716B" w:rsidRPr="00C348F4">
        <w:rPr>
          <w:i/>
        </w:rPr>
        <w:instrText>":"</w:instrText>
      </w:r>
      <w:r w:rsidR="0043716B" w:rsidRPr="00C348F4">
        <w:rPr>
          <w:i/>
          <w:lang w:val="en-US"/>
        </w:rPr>
        <w:instrText>Sun</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S</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family</w:instrText>
      </w:r>
      <w:r w:rsidR="0043716B" w:rsidRPr="00C348F4">
        <w:rPr>
          <w:i/>
        </w:rPr>
        <w:instrText>":"</w:instrText>
      </w:r>
      <w:r w:rsidR="0043716B" w:rsidRPr="00C348F4">
        <w:rPr>
          <w:i/>
          <w:lang w:val="en-US"/>
        </w:rPr>
        <w:instrText>Mahler</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M</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family</w:instrText>
      </w:r>
      <w:r w:rsidR="0043716B" w:rsidRPr="00C348F4">
        <w:rPr>
          <w:i/>
        </w:rPr>
        <w:instrText>":"</w:instrText>
      </w:r>
      <w:r w:rsidR="0043716B" w:rsidRPr="00C348F4">
        <w:rPr>
          <w:i/>
          <w:lang w:val="en-US"/>
        </w:rPr>
        <w:instrText>Phelps</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C</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family</w:instrText>
      </w:r>
      <w:r w:rsidR="0043716B" w:rsidRPr="00C348F4">
        <w:rPr>
          <w:i/>
        </w:rPr>
        <w:instrText>":"</w:instrText>
      </w:r>
      <w:r w:rsidR="0043716B" w:rsidRPr="00C348F4">
        <w:rPr>
          <w:i/>
          <w:lang w:val="en-US"/>
        </w:rPr>
        <w:instrText>Salman</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M</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family</w:instrText>
      </w:r>
      <w:r w:rsidR="0043716B" w:rsidRPr="00C348F4">
        <w:rPr>
          <w:i/>
        </w:rPr>
        <w:instrText>":"</w:instrText>
      </w:r>
      <w:r w:rsidR="0043716B" w:rsidRPr="00C348F4">
        <w:rPr>
          <w:i/>
          <w:lang w:val="en-US"/>
        </w:rPr>
        <w:instrText>Howes</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A</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family</w:instrText>
      </w:r>
      <w:r w:rsidR="0043716B" w:rsidRPr="00C348F4">
        <w:rPr>
          <w:i/>
        </w:rPr>
        <w:instrText>":"</w:instrText>
      </w:r>
      <w:r w:rsidR="0043716B" w:rsidRPr="00C348F4">
        <w:rPr>
          <w:i/>
          <w:lang w:val="en-US"/>
        </w:rPr>
        <w:instrText>Chanan</w:instrText>
      </w:r>
      <w:r w:rsidR="0043716B" w:rsidRPr="00C348F4">
        <w:rPr>
          <w:i/>
        </w:rPr>
        <w:instrText>-</w:instrText>
      </w:r>
      <w:r w:rsidR="0043716B" w:rsidRPr="00C348F4">
        <w:rPr>
          <w:i/>
          <w:lang w:val="en-US"/>
        </w:rPr>
        <w:instrText>Khan</w:instrText>
      </w:r>
      <w:r w:rsidR="0043716B" w:rsidRPr="00C348F4">
        <w:rPr>
          <w:i/>
        </w:rPr>
        <w:instrText>","</w:instrText>
      </w:r>
      <w:r w:rsidR="0043716B" w:rsidRPr="00C348F4">
        <w:rPr>
          <w:i/>
          <w:lang w:val="en-US"/>
        </w:rPr>
        <w:instrText>given</w:instrText>
      </w:r>
      <w:r w:rsidR="0043716B" w:rsidRPr="00C348F4">
        <w:rPr>
          <w:i/>
        </w:rPr>
        <w:instrText>":"</w:instrText>
      </w:r>
      <w:r w:rsidR="0043716B" w:rsidRPr="00C348F4">
        <w:rPr>
          <w:i/>
          <w:lang w:val="en-US"/>
        </w:rPr>
        <w:instrText>A</w:instrText>
      </w:r>
      <w:r w:rsidR="0043716B" w:rsidRPr="00C348F4">
        <w:rPr>
          <w:i/>
        </w:rPr>
        <w:instrText>","</w:instrText>
      </w:r>
      <w:r w:rsidR="0043716B" w:rsidRPr="00C348F4">
        <w:rPr>
          <w:i/>
          <w:lang w:val="en-US"/>
        </w:rPr>
        <w:instrText>non</w:instrText>
      </w:r>
      <w:r w:rsidR="0043716B" w:rsidRPr="00C348F4">
        <w:rPr>
          <w:i/>
        </w:rPr>
        <w:instrText>-</w:instrText>
      </w:r>
      <w:r w:rsidR="0043716B" w:rsidRPr="00C348F4">
        <w:rPr>
          <w:i/>
          <w:lang w:val="en-US"/>
        </w:rPr>
        <w:instrText>dropping</w:instrText>
      </w:r>
      <w:r w:rsidR="0043716B" w:rsidRPr="00C348F4">
        <w:rPr>
          <w:i/>
        </w:rPr>
        <w:instrText>-</w:instrText>
      </w:r>
      <w:r w:rsidR="0043716B" w:rsidRPr="00C348F4">
        <w:rPr>
          <w:i/>
          <w:lang w:val="en-US"/>
        </w:rPr>
        <w:instrText>particle</w:instrText>
      </w:r>
      <w:r w:rsidR="0043716B" w:rsidRPr="00C348F4">
        <w:rPr>
          <w:i/>
        </w:rPr>
        <w:instrText>":"","</w:instrText>
      </w:r>
      <w:r w:rsidR="0043716B" w:rsidRPr="00C348F4">
        <w:rPr>
          <w:i/>
          <w:lang w:val="en-US"/>
        </w:rPr>
        <w:instrText>parse</w:instrText>
      </w:r>
      <w:r w:rsidR="0043716B" w:rsidRPr="00C348F4">
        <w:rPr>
          <w:i/>
        </w:rPr>
        <w:instrText>-</w:instrText>
      </w:r>
      <w:r w:rsidR="0043716B" w:rsidRPr="00C348F4">
        <w:rPr>
          <w:i/>
          <w:lang w:val="en-US"/>
        </w:rPr>
        <w:instrText>names</w:instrText>
      </w:r>
      <w:r w:rsidR="0043716B" w:rsidRPr="00C348F4">
        <w:rPr>
          <w:i/>
        </w:rPr>
        <w:instrText>":</w:instrText>
      </w:r>
      <w:r w:rsidR="0043716B" w:rsidRPr="00C348F4">
        <w:rPr>
          <w:i/>
          <w:lang w:val="en-US"/>
        </w:rPr>
        <w:instrText>false</w:instrText>
      </w:r>
      <w:r w:rsidR="0043716B" w:rsidRPr="00C348F4">
        <w:rPr>
          <w:i/>
        </w:rPr>
        <w:instrText>,"</w:instrText>
      </w:r>
      <w:r w:rsidR="0043716B" w:rsidRPr="00C348F4">
        <w:rPr>
          <w:i/>
          <w:lang w:val="en-US"/>
        </w:rPr>
        <w:instrText>suffix</w:instrText>
      </w:r>
      <w:r w:rsidR="0043716B" w:rsidRPr="00C348F4">
        <w:rPr>
          <w:i/>
        </w:rPr>
        <w:instrText>":""}],"</w:instrText>
      </w:r>
      <w:r w:rsidR="0043716B" w:rsidRPr="00C348F4">
        <w:rPr>
          <w:i/>
          <w:lang w:val="en-US"/>
        </w:rPr>
        <w:instrText>container</w:instrText>
      </w:r>
      <w:r w:rsidR="0043716B" w:rsidRPr="00C348F4">
        <w:rPr>
          <w:i/>
        </w:rPr>
        <w:instrText>-</w:instrText>
      </w:r>
      <w:r w:rsidR="0043716B" w:rsidRPr="00C348F4">
        <w:rPr>
          <w:i/>
          <w:lang w:val="en-US"/>
        </w:rPr>
        <w:instrText>title</w:instrText>
      </w:r>
      <w:r w:rsidR="0043716B" w:rsidRPr="00C348F4">
        <w:rPr>
          <w:i/>
        </w:rPr>
        <w:instrText>":"</w:instrText>
      </w:r>
      <w:r w:rsidR="0043716B" w:rsidRPr="00C348F4">
        <w:rPr>
          <w:i/>
          <w:lang w:val="en-US"/>
        </w:rPr>
        <w:instrText>Leukemia</w:instrText>
      </w:r>
      <w:r w:rsidR="0043716B" w:rsidRPr="00C348F4">
        <w:rPr>
          <w:i/>
        </w:rPr>
        <w:instrText xml:space="preserve"> &amp; </w:instrText>
      </w:r>
      <w:r w:rsidR="0043716B" w:rsidRPr="00C348F4">
        <w:rPr>
          <w:i/>
          <w:lang w:val="en-US"/>
        </w:rPr>
        <w:instrText>lymphoma</w:instrText>
      </w:r>
      <w:r w:rsidR="0043716B" w:rsidRPr="00C348F4">
        <w:rPr>
          <w:i/>
        </w:rPr>
        <w:instrText>","</w:instrText>
      </w:r>
      <w:r w:rsidR="0043716B" w:rsidRPr="00C348F4">
        <w:rPr>
          <w:i/>
          <w:lang w:val="en-US"/>
        </w:rPr>
        <w:instrText>id</w:instrText>
      </w:r>
      <w:r w:rsidR="0043716B" w:rsidRPr="00C348F4">
        <w:rPr>
          <w:i/>
        </w:rPr>
        <w:instrText>":"</w:instrText>
      </w:r>
      <w:r w:rsidR="0043716B" w:rsidRPr="00C348F4">
        <w:rPr>
          <w:i/>
          <w:lang w:val="en-US"/>
        </w:rPr>
        <w:instrText>ITEM</w:instrText>
      </w:r>
      <w:r w:rsidR="0043716B" w:rsidRPr="00C348F4">
        <w:rPr>
          <w:i/>
        </w:rPr>
        <w:instrText>-4","</w:instrText>
      </w:r>
      <w:r w:rsidR="0043716B" w:rsidRPr="00C348F4">
        <w:rPr>
          <w:i/>
          <w:lang w:val="en-US"/>
        </w:rPr>
        <w:instrText>issued</w:instrText>
      </w:r>
      <w:r w:rsidR="0043716B" w:rsidRPr="00C348F4">
        <w:rPr>
          <w:i/>
        </w:rPr>
        <w:instrText>":{"</w:instrText>
      </w:r>
      <w:r w:rsidR="0043716B" w:rsidRPr="00C348F4">
        <w:rPr>
          <w:i/>
          <w:lang w:val="en-US"/>
        </w:rPr>
        <w:instrText>date</w:instrText>
      </w:r>
      <w:r w:rsidR="0043716B" w:rsidRPr="00C348F4">
        <w:rPr>
          <w:i/>
        </w:rPr>
        <w:instrText>-</w:instrText>
      </w:r>
      <w:r w:rsidR="0043716B" w:rsidRPr="00C348F4">
        <w:rPr>
          <w:i/>
          <w:lang w:val="en-US"/>
        </w:rPr>
        <w:instrText>parts</w:instrText>
      </w:r>
      <w:r w:rsidR="0043716B" w:rsidRPr="00C348F4">
        <w:rPr>
          <w:i/>
        </w:rPr>
        <w:instrText>":[["2017"]]},"</w:instrText>
      </w:r>
      <w:r w:rsidR="0043716B" w:rsidRPr="00C348F4">
        <w:rPr>
          <w:i/>
          <w:lang w:val="en-US"/>
        </w:rPr>
        <w:instrText>page</w:instrText>
      </w:r>
      <w:r w:rsidR="0043716B" w:rsidRPr="00C348F4">
        <w:rPr>
          <w:i/>
        </w:rPr>
        <w:instrText>":"192-194","</w:instrText>
      </w:r>
      <w:r w:rsidR="0043716B" w:rsidRPr="00C348F4">
        <w:rPr>
          <w:i/>
          <w:lang w:val="en-US"/>
        </w:rPr>
        <w:instrText>title</w:instrText>
      </w:r>
      <w:r w:rsidR="0043716B" w:rsidRPr="00C348F4">
        <w:rPr>
          <w:i/>
        </w:rPr>
        <w:instrText>":"</w:instrText>
      </w:r>
      <w:r w:rsidR="0043716B" w:rsidRPr="00C348F4">
        <w:rPr>
          <w:i/>
          <w:lang w:val="en-US"/>
        </w:rPr>
        <w:instrText>Three</w:instrText>
      </w:r>
      <w:r w:rsidR="0043716B" w:rsidRPr="00C348F4">
        <w:rPr>
          <w:i/>
        </w:rPr>
        <w:instrText>-</w:instrText>
      </w:r>
      <w:r w:rsidR="0043716B" w:rsidRPr="00C348F4">
        <w:rPr>
          <w:i/>
          <w:lang w:val="en-US"/>
        </w:rPr>
        <w:instrText>year</w:instrText>
      </w:r>
      <w:r w:rsidR="0043716B" w:rsidRPr="00C348F4">
        <w:rPr>
          <w:i/>
        </w:rPr>
        <w:instrText xml:space="preserve"> </w:instrText>
      </w:r>
      <w:r w:rsidR="0043716B" w:rsidRPr="00C348F4">
        <w:rPr>
          <w:i/>
          <w:lang w:val="en-US"/>
        </w:rPr>
        <w:instrText>follow</w:instrText>
      </w:r>
      <w:r w:rsidR="0043716B" w:rsidRPr="00C348F4">
        <w:rPr>
          <w:i/>
        </w:rPr>
        <w:instrText>-</w:instrText>
      </w:r>
      <w:r w:rsidR="0043716B" w:rsidRPr="00C348F4">
        <w:rPr>
          <w:i/>
          <w:lang w:val="en-US"/>
        </w:rPr>
        <w:instrText>up</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patients</w:instrText>
      </w:r>
      <w:r w:rsidR="0043716B" w:rsidRPr="00C348F4">
        <w:rPr>
          <w:i/>
        </w:rPr>
        <w:instrText xml:space="preserve"> </w:instrText>
      </w:r>
      <w:r w:rsidR="0043716B" w:rsidRPr="00C348F4">
        <w:rPr>
          <w:i/>
          <w:lang w:val="en-US"/>
        </w:rPr>
        <w:instrText>with</w:instrText>
      </w:r>
      <w:r w:rsidR="0043716B" w:rsidRPr="00C348F4">
        <w:rPr>
          <w:i/>
        </w:rPr>
        <w:instrText xml:space="preserve"> </w:instrText>
      </w:r>
      <w:r w:rsidR="0043716B" w:rsidRPr="00C348F4">
        <w:rPr>
          <w:i/>
          <w:lang w:val="en-US"/>
        </w:rPr>
        <w:instrText>previously</w:instrText>
      </w:r>
      <w:r w:rsidR="0043716B" w:rsidRPr="00C348F4">
        <w:rPr>
          <w:i/>
        </w:rPr>
        <w:instrText xml:space="preserve"> </w:instrText>
      </w:r>
      <w:r w:rsidR="0043716B" w:rsidRPr="00C348F4">
        <w:rPr>
          <w:i/>
          <w:lang w:val="en-US"/>
        </w:rPr>
        <w:instrText>treated</w:instrText>
      </w:r>
      <w:r w:rsidR="0043716B" w:rsidRPr="00C348F4">
        <w:rPr>
          <w:i/>
        </w:rPr>
        <w:instrText xml:space="preserve"> </w:instrText>
      </w:r>
      <w:r w:rsidR="0043716B" w:rsidRPr="00C348F4">
        <w:rPr>
          <w:i/>
          <w:lang w:val="en-US"/>
        </w:rPr>
        <w:instrText>chronic</w:instrText>
      </w:r>
      <w:r w:rsidR="0043716B" w:rsidRPr="00C348F4">
        <w:rPr>
          <w:i/>
        </w:rPr>
        <w:instrText xml:space="preserve"> </w:instrText>
      </w:r>
      <w:r w:rsidR="0043716B" w:rsidRPr="00C348F4">
        <w:rPr>
          <w:i/>
          <w:lang w:val="en-US"/>
        </w:rPr>
        <w:instrText>lymphocytic</w:instrText>
      </w:r>
      <w:r w:rsidR="0043716B" w:rsidRPr="00C348F4">
        <w:rPr>
          <w:i/>
        </w:rPr>
        <w:instrText xml:space="preserve"> </w:instrText>
      </w:r>
      <w:r w:rsidR="0043716B" w:rsidRPr="00C348F4">
        <w:rPr>
          <w:i/>
          <w:lang w:val="en-US"/>
        </w:rPr>
        <w:instrText>leukemia</w:instrText>
      </w:r>
      <w:r w:rsidR="0043716B" w:rsidRPr="00C348F4">
        <w:rPr>
          <w:i/>
        </w:rPr>
        <w:instrText xml:space="preserve"> (</w:instrText>
      </w:r>
      <w:r w:rsidR="0043716B" w:rsidRPr="00C348F4">
        <w:rPr>
          <w:i/>
          <w:lang w:val="en-US"/>
        </w:rPr>
        <w:instrText>CLL</w:instrText>
      </w:r>
      <w:r w:rsidR="0043716B" w:rsidRPr="00C348F4">
        <w:rPr>
          <w:i/>
        </w:rPr>
        <w:instrText xml:space="preserve">) </w:instrText>
      </w:r>
      <w:r w:rsidR="0043716B" w:rsidRPr="00C348F4">
        <w:rPr>
          <w:i/>
          <w:lang w:val="en-US"/>
        </w:rPr>
        <w:instrText>or</w:instrText>
      </w:r>
      <w:r w:rsidR="0043716B" w:rsidRPr="00C348F4">
        <w:rPr>
          <w:i/>
        </w:rPr>
        <w:instrText xml:space="preserve"> </w:instrText>
      </w:r>
      <w:r w:rsidR="0043716B" w:rsidRPr="00C348F4">
        <w:rPr>
          <w:i/>
          <w:lang w:val="en-US"/>
        </w:rPr>
        <w:instrText>small</w:instrText>
      </w:r>
      <w:r w:rsidR="0043716B" w:rsidRPr="00C348F4">
        <w:rPr>
          <w:i/>
        </w:rPr>
        <w:instrText xml:space="preserve"> </w:instrText>
      </w:r>
      <w:r w:rsidR="0043716B" w:rsidRPr="00C348F4">
        <w:rPr>
          <w:i/>
          <w:lang w:val="en-US"/>
        </w:rPr>
        <w:instrText>lymphocytic</w:instrText>
      </w:r>
      <w:r w:rsidR="0043716B" w:rsidRPr="00C348F4">
        <w:rPr>
          <w:i/>
        </w:rPr>
        <w:instrText xml:space="preserve"> </w:instrText>
      </w:r>
      <w:r w:rsidR="0043716B" w:rsidRPr="00C348F4">
        <w:rPr>
          <w:i/>
          <w:lang w:val="en-US"/>
        </w:rPr>
        <w:instrText>lymphoma</w:instrText>
      </w:r>
      <w:r w:rsidR="0043716B" w:rsidRPr="00C348F4">
        <w:rPr>
          <w:i/>
        </w:rPr>
        <w:instrText xml:space="preserve"> (</w:instrText>
      </w:r>
      <w:r w:rsidR="0043716B" w:rsidRPr="00C348F4">
        <w:rPr>
          <w:i/>
          <w:lang w:val="en-US"/>
        </w:rPr>
        <w:instrText>SLL</w:instrText>
      </w:r>
      <w:r w:rsidR="0043716B" w:rsidRPr="00C348F4">
        <w:rPr>
          <w:i/>
        </w:rPr>
        <w:instrText xml:space="preserve">) </w:instrText>
      </w:r>
      <w:r w:rsidR="0043716B" w:rsidRPr="00C348F4">
        <w:rPr>
          <w:i/>
          <w:lang w:val="en-US"/>
        </w:rPr>
        <w:instrText>receiving</w:instrText>
      </w:r>
      <w:r w:rsidR="0043716B" w:rsidRPr="00C348F4">
        <w:rPr>
          <w:i/>
        </w:rPr>
        <w:instrText xml:space="preserve"> </w:instrText>
      </w:r>
      <w:r w:rsidR="0043716B" w:rsidRPr="00C348F4">
        <w:rPr>
          <w:i/>
          <w:lang w:val="en-US"/>
        </w:rPr>
        <w:instrText>ibrutinib</w:instrText>
      </w:r>
      <w:r w:rsidR="0043716B" w:rsidRPr="00C348F4">
        <w:rPr>
          <w:i/>
        </w:rPr>
        <w:instrText xml:space="preserve"> </w:instrText>
      </w:r>
      <w:r w:rsidR="0043716B" w:rsidRPr="00C348F4">
        <w:rPr>
          <w:i/>
          <w:lang w:val="en-US"/>
        </w:rPr>
        <w:instrText>plus</w:instrText>
      </w:r>
      <w:r w:rsidR="0043716B" w:rsidRPr="00C348F4">
        <w:rPr>
          <w:i/>
        </w:rPr>
        <w:instrText xml:space="preserve"> </w:instrText>
      </w:r>
      <w:r w:rsidR="0043716B" w:rsidRPr="00C348F4">
        <w:rPr>
          <w:i/>
          <w:lang w:val="en-US"/>
        </w:rPr>
        <w:instrText>bendamustine</w:instrText>
      </w:r>
      <w:r w:rsidR="0043716B" w:rsidRPr="00C348F4">
        <w:rPr>
          <w:i/>
        </w:rPr>
        <w:instrText xml:space="preserve"> </w:instrText>
      </w:r>
      <w:r w:rsidR="0043716B" w:rsidRPr="00C348F4">
        <w:rPr>
          <w:i/>
          <w:lang w:val="en-US"/>
        </w:rPr>
        <w:instrText>and</w:instrText>
      </w:r>
      <w:r w:rsidR="0043716B" w:rsidRPr="00C348F4">
        <w:rPr>
          <w:i/>
        </w:rPr>
        <w:instrText xml:space="preserve"> </w:instrText>
      </w:r>
      <w:r w:rsidR="0043716B" w:rsidRPr="00C348F4">
        <w:rPr>
          <w:i/>
          <w:lang w:val="en-US"/>
        </w:rPr>
        <w:instrText>rituximab</w:instrText>
      </w:r>
      <w:r w:rsidR="0043716B" w:rsidRPr="00C348F4">
        <w:rPr>
          <w:i/>
        </w:rPr>
        <w:instrText xml:space="preserve"> (</w:instrText>
      </w:r>
      <w:r w:rsidR="0043716B" w:rsidRPr="00C348F4">
        <w:rPr>
          <w:i/>
          <w:lang w:val="en-US"/>
        </w:rPr>
        <w:instrText>BR</w:instrText>
      </w:r>
      <w:r w:rsidR="0043716B" w:rsidRPr="00C348F4">
        <w:rPr>
          <w:i/>
        </w:rPr>
        <w:instrText xml:space="preserve">) </w:instrText>
      </w:r>
      <w:r w:rsidR="0043716B" w:rsidRPr="00C348F4">
        <w:rPr>
          <w:i/>
          <w:lang w:val="en-US"/>
        </w:rPr>
        <w:instrText>versus</w:instrText>
      </w:r>
      <w:r w:rsidR="0043716B" w:rsidRPr="00C348F4">
        <w:rPr>
          <w:i/>
        </w:rPr>
        <w:instrText xml:space="preserve"> </w:instrText>
      </w:r>
      <w:r w:rsidR="0043716B" w:rsidRPr="00C348F4">
        <w:rPr>
          <w:i/>
          <w:lang w:val="en-US"/>
        </w:rPr>
        <w:instrText>placebo</w:instrText>
      </w:r>
      <w:r w:rsidR="0043716B" w:rsidRPr="00C348F4">
        <w:rPr>
          <w:i/>
        </w:rPr>
        <w:instrText xml:space="preserve"> </w:instrText>
      </w:r>
      <w:r w:rsidR="0043716B" w:rsidRPr="00C348F4">
        <w:rPr>
          <w:i/>
          <w:lang w:val="en-US"/>
        </w:rPr>
        <w:instrText>plus</w:instrText>
      </w:r>
      <w:r w:rsidR="0043716B" w:rsidRPr="00C348F4">
        <w:rPr>
          <w:i/>
        </w:rPr>
        <w:instrText xml:space="preserve"> </w:instrText>
      </w:r>
      <w:r w:rsidR="0043716B" w:rsidRPr="00C348F4">
        <w:rPr>
          <w:i/>
          <w:lang w:val="en-US"/>
        </w:rPr>
        <w:instrText>BR</w:instrText>
      </w:r>
      <w:r w:rsidR="0043716B" w:rsidRPr="00C348F4">
        <w:rPr>
          <w:i/>
        </w:rPr>
        <w:instrText xml:space="preserve">: </w:instrText>
      </w:r>
      <w:r w:rsidR="0043716B" w:rsidRPr="00C348F4">
        <w:rPr>
          <w:i/>
          <w:lang w:val="en-US"/>
        </w:rPr>
        <w:instrText>an</w:instrText>
      </w:r>
      <w:r w:rsidR="0043716B" w:rsidRPr="00C348F4">
        <w:rPr>
          <w:i/>
        </w:rPr>
        <w:instrText xml:space="preserve"> </w:instrText>
      </w:r>
      <w:r w:rsidR="0043716B" w:rsidRPr="00C348F4">
        <w:rPr>
          <w:i/>
          <w:lang w:val="en-US"/>
        </w:rPr>
        <w:instrText>update</w:instrText>
      </w:r>
      <w:r w:rsidR="0043716B" w:rsidRPr="00C348F4">
        <w:rPr>
          <w:i/>
        </w:rPr>
        <w:instrText xml:space="preserve"> </w:instrText>
      </w:r>
      <w:r w:rsidR="0043716B" w:rsidRPr="00C348F4">
        <w:rPr>
          <w:i/>
          <w:lang w:val="en-US"/>
        </w:rPr>
        <w:instrText>of</w:instrText>
      </w:r>
      <w:r w:rsidR="0043716B" w:rsidRPr="00C348F4">
        <w:rPr>
          <w:i/>
        </w:rPr>
        <w:instrText xml:space="preserve"> </w:instrText>
      </w:r>
      <w:r w:rsidR="0043716B" w:rsidRPr="00C348F4">
        <w:rPr>
          <w:i/>
          <w:lang w:val="en-US"/>
        </w:rPr>
        <w:instrText>the</w:instrText>
      </w:r>
      <w:r w:rsidR="0043716B" w:rsidRPr="00C348F4">
        <w:rPr>
          <w:i/>
        </w:rPr>
        <w:instrText xml:space="preserve"> </w:instrText>
      </w:r>
      <w:r w:rsidR="0043716B" w:rsidRPr="00C348F4">
        <w:rPr>
          <w:i/>
          <w:lang w:val="en-US"/>
        </w:rPr>
        <w:instrText>HELIOS</w:instrText>
      </w:r>
      <w:r w:rsidR="0043716B" w:rsidRPr="00C348F4">
        <w:rPr>
          <w:i/>
        </w:rPr>
        <w:instrText xml:space="preserve"> </w:instrText>
      </w:r>
      <w:r w:rsidR="0043716B" w:rsidRPr="00C348F4">
        <w:rPr>
          <w:i/>
          <w:lang w:val="en-US"/>
        </w:rPr>
        <w:instrText>study</w:instrText>
      </w:r>
      <w:r w:rsidR="0043716B" w:rsidRPr="00C348F4">
        <w:rPr>
          <w:i/>
        </w:rPr>
        <w:instrText>.","</w:instrText>
      </w:r>
      <w:r w:rsidR="0043716B" w:rsidRPr="00C348F4">
        <w:rPr>
          <w:i/>
          <w:lang w:val="en-US"/>
        </w:rPr>
        <w:instrText>type</w:instrText>
      </w:r>
      <w:r w:rsidR="0043716B" w:rsidRPr="00C348F4">
        <w:rPr>
          <w:i/>
        </w:rPr>
        <w:instrText>":"</w:instrText>
      </w:r>
      <w:r w:rsidR="0043716B" w:rsidRPr="00C348F4">
        <w:rPr>
          <w:i/>
          <w:lang w:val="en-US"/>
        </w:rPr>
        <w:instrText>article</w:instrText>
      </w:r>
      <w:r w:rsidR="0043716B" w:rsidRPr="00C348F4">
        <w:rPr>
          <w:i/>
        </w:rPr>
        <w:instrText>-</w:instrText>
      </w:r>
      <w:r w:rsidR="0043716B" w:rsidRPr="00C348F4">
        <w:rPr>
          <w:i/>
          <w:lang w:val="en-US"/>
        </w:rPr>
        <w:instrText>journal</w:instrText>
      </w:r>
      <w:r w:rsidR="0043716B" w:rsidRPr="00C348F4">
        <w:rPr>
          <w:i/>
        </w:rPr>
        <w:instrText>","</w:instrText>
      </w:r>
      <w:r w:rsidR="0043716B" w:rsidRPr="00C348F4">
        <w:rPr>
          <w:i/>
          <w:lang w:val="en-US"/>
        </w:rPr>
        <w:instrText>volume</w:instrText>
      </w:r>
      <w:r w:rsidR="0043716B" w:rsidRPr="00C348F4">
        <w:rPr>
          <w:i/>
        </w:rPr>
        <w:instrText>":"58"},"</w:instrText>
      </w:r>
      <w:r w:rsidR="0043716B" w:rsidRPr="00C348F4">
        <w:rPr>
          <w:i/>
          <w:lang w:val="en-US"/>
        </w:rPr>
        <w:instrText>uris</w:instrText>
      </w:r>
      <w:r w:rsidR="0043716B" w:rsidRPr="00C348F4">
        <w:rPr>
          <w:i/>
        </w:rPr>
        <w:instrText>":["</w:instrText>
      </w:r>
      <w:r w:rsidR="0043716B" w:rsidRPr="00C348F4">
        <w:rPr>
          <w:i/>
          <w:lang w:val="en-US"/>
        </w:rPr>
        <w:instrText>http</w:instrText>
      </w:r>
      <w:r w:rsidR="0043716B" w:rsidRPr="00C348F4">
        <w:rPr>
          <w:i/>
        </w:rPr>
        <w:instrText>://</w:instrText>
      </w:r>
      <w:r w:rsidR="0043716B" w:rsidRPr="00C348F4">
        <w:rPr>
          <w:i/>
          <w:lang w:val="en-US"/>
        </w:rPr>
        <w:instrText>www</w:instrText>
      </w:r>
      <w:r w:rsidR="0043716B" w:rsidRPr="00C348F4">
        <w:rPr>
          <w:i/>
        </w:rPr>
        <w:instrText>.</w:instrText>
      </w:r>
      <w:r w:rsidR="0043716B" w:rsidRPr="00C348F4">
        <w:rPr>
          <w:i/>
          <w:lang w:val="en-US"/>
        </w:rPr>
        <w:instrText>mendeley</w:instrText>
      </w:r>
      <w:r w:rsidR="0043716B" w:rsidRPr="00C348F4">
        <w:rPr>
          <w:i/>
        </w:rPr>
        <w:instrText>.</w:instrText>
      </w:r>
      <w:r w:rsidR="0043716B" w:rsidRPr="00C348F4">
        <w:rPr>
          <w:i/>
          <w:lang w:val="en-US"/>
        </w:rPr>
        <w:instrText>com</w:instrText>
      </w:r>
      <w:r w:rsidR="0043716B" w:rsidRPr="00C348F4">
        <w:rPr>
          <w:i/>
        </w:rPr>
        <w:instrText>/</w:instrText>
      </w:r>
      <w:r w:rsidR="0043716B" w:rsidRPr="00C348F4">
        <w:rPr>
          <w:i/>
          <w:lang w:val="en-US"/>
        </w:rPr>
        <w:instrText>documents</w:instrText>
      </w:r>
      <w:r w:rsidR="0043716B" w:rsidRPr="00C348F4">
        <w:rPr>
          <w:i/>
        </w:rPr>
        <w:instrText>/?</w:instrText>
      </w:r>
      <w:r w:rsidR="0043716B" w:rsidRPr="00C348F4">
        <w:rPr>
          <w:i/>
          <w:lang w:val="en-US"/>
        </w:rPr>
        <w:instrText>uuid</w:instrText>
      </w:r>
      <w:r w:rsidR="0043716B" w:rsidRPr="00C348F4">
        <w:rPr>
          <w:i/>
        </w:rPr>
        <w:instrText>=3043</w:instrText>
      </w:r>
      <w:r w:rsidR="0043716B" w:rsidRPr="00C348F4">
        <w:rPr>
          <w:i/>
          <w:lang w:val="en-US"/>
        </w:rPr>
        <w:instrText>d</w:instrText>
      </w:r>
      <w:r w:rsidR="0043716B" w:rsidRPr="00C348F4">
        <w:rPr>
          <w:i/>
        </w:rPr>
        <w:instrText>3</w:instrText>
      </w:r>
      <w:r w:rsidR="0043716B" w:rsidRPr="00C348F4">
        <w:rPr>
          <w:i/>
          <w:lang w:val="en-US"/>
        </w:rPr>
        <w:instrText>aa</w:instrText>
      </w:r>
      <w:r w:rsidR="0043716B" w:rsidRPr="00C348F4">
        <w:rPr>
          <w:i/>
        </w:rPr>
        <w:instrText>-0</w:instrText>
      </w:r>
      <w:r w:rsidR="0043716B" w:rsidRPr="00C348F4">
        <w:rPr>
          <w:i/>
          <w:lang w:val="en-US"/>
        </w:rPr>
        <w:instrText>ac</w:instrText>
      </w:r>
      <w:r w:rsidR="0043716B" w:rsidRPr="00C348F4">
        <w:rPr>
          <w:i/>
        </w:rPr>
        <w:instrText>6-43</w:instrText>
      </w:r>
      <w:r w:rsidR="0043716B" w:rsidRPr="00C348F4">
        <w:rPr>
          <w:i/>
          <w:lang w:val="en-US"/>
        </w:rPr>
        <w:instrText>d</w:instrText>
      </w:r>
      <w:r w:rsidR="0043716B" w:rsidRPr="00C348F4">
        <w:rPr>
          <w:i/>
        </w:rPr>
        <w:instrText>0-8224-85</w:instrText>
      </w:r>
      <w:r w:rsidR="0043716B" w:rsidRPr="00C348F4">
        <w:rPr>
          <w:i/>
          <w:lang w:val="en-US"/>
        </w:rPr>
        <w:instrText>a</w:instrText>
      </w:r>
      <w:r w:rsidR="0043716B" w:rsidRPr="00C348F4">
        <w:rPr>
          <w:i/>
        </w:rPr>
        <w:instrText>252</w:instrText>
      </w:r>
      <w:r w:rsidR="0043716B" w:rsidRPr="00C348F4">
        <w:rPr>
          <w:i/>
          <w:lang w:val="en-US"/>
        </w:rPr>
        <w:instrText>bb</w:instrText>
      </w:r>
      <w:r w:rsidR="0043716B" w:rsidRPr="00C348F4">
        <w:rPr>
          <w:i/>
        </w:rPr>
        <w:instrText>08</w:instrText>
      </w:r>
      <w:r w:rsidR="0043716B" w:rsidRPr="00C348F4">
        <w:rPr>
          <w:i/>
          <w:lang w:val="en-US"/>
        </w:rPr>
        <w:instrText>e</w:instrText>
      </w:r>
      <w:r w:rsidR="0043716B" w:rsidRPr="00C348F4">
        <w:rPr>
          <w:i/>
        </w:rPr>
        <w:instrText>4"]}],"</w:instrText>
      </w:r>
      <w:r w:rsidR="0043716B" w:rsidRPr="00C348F4">
        <w:rPr>
          <w:i/>
          <w:lang w:val="en-US"/>
        </w:rPr>
        <w:instrText>mendeley</w:instrText>
      </w:r>
      <w:r w:rsidR="0043716B" w:rsidRPr="00C348F4">
        <w:rPr>
          <w:i/>
        </w:rPr>
        <w:instrText>":{"</w:instrText>
      </w:r>
      <w:r w:rsidR="0043716B" w:rsidRPr="00C348F4">
        <w:rPr>
          <w:i/>
          <w:lang w:val="en-US"/>
        </w:rPr>
        <w:instrText>formattedCitation</w:instrText>
      </w:r>
      <w:r w:rsidR="0043716B" w:rsidRPr="00C348F4">
        <w:rPr>
          <w:i/>
        </w:rPr>
        <w:instrText>":"[50–53]","</w:instrText>
      </w:r>
      <w:r w:rsidR="0043716B" w:rsidRPr="00C348F4">
        <w:rPr>
          <w:i/>
          <w:lang w:val="en-US"/>
        </w:rPr>
        <w:instrText>plainTextFormattedCitation</w:instrText>
      </w:r>
      <w:r w:rsidR="0043716B" w:rsidRPr="00C348F4">
        <w:rPr>
          <w:i/>
        </w:rPr>
        <w:instrText>":"[50–53]","</w:instrText>
      </w:r>
      <w:r w:rsidR="0043716B" w:rsidRPr="00C348F4">
        <w:rPr>
          <w:i/>
          <w:lang w:val="en-US"/>
        </w:rPr>
        <w:instrText>previouslyFormattedCitation</w:instrText>
      </w:r>
      <w:r w:rsidR="0043716B" w:rsidRPr="00C348F4">
        <w:rPr>
          <w:i/>
        </w:rPr>
        <w:instrText>":"[50–53]"},"</w:instrText>
      </w:r>
      <w:r w:rsidR="0043716B" w:rsidRPr="00C348F4">
        <w:rPr>
          <w:i/>
          <w:lang w:val="en-US"/>
        </w:rPr>
        <w:instrText>properties</w:instrText>
      </w:r>
      <w:r w:rsidR="0043716B" w:rsidRPr="00C348F4">
        <w:rPr>
          <w:i/>
        </w:rPr>
        <w:instrText>":{"</w:instrText>
      </w:r>
      <w:r w:rsidR="0043716B" w:rsidRPr="00C348F4">
        <w:rPr>
          <w:i/>
          <w:lang w:val="en-US"/>
        </w:rPr>
        <w:instrText>noteIndex</w:instrText>
      </w:r>
      <w:r w:rsidR="0043716B" w:rsidRPr="00C348F4">
        <w:rPr>
          <w:i/>
        </w:rPr>
        <w:instrText>":0},"</w:instrText>
      </w:r>
      <w:r w:rsidR="0043716B" w:rsidRPr="00C348F4">
        <w:rPr>
          <w:i/>
          <w:lang w:val="en-US"/>
        </w:rPr>
        <w:instrText>schema</w:instrText>
      </w:r>
      <w:r w:rsidR="0043716B" w:rsidRPr="00C348F4">
        <w:rPr>
          <w:i/>
        </w:rPr>
        <w:instrText>":"</w:instrText>
      </w:r>
      <w:r w:rsidR="0043716B" w:rsidRPr="00C348F4">
        <w:rPr>
          <w:i/>
          <w:lang w:val="en-US"/>
        </w:rPr>
        <w:instrText>https</w:instrText>
      </w:r>
      <w:r w:rsidR="0043716B" w:rsidRPr="00C348F4">
        <w:rPr>
          <w:i/>
        </w:rPr>
        <w:instrText>://</w:instrText>
      </w:r>
      <w:r w:rsidR="0043716B" w:rsidRPr="00C348F4">
        <w:rPr>
          <w:i/>
          <w:lang w:val="en-US"/>
        </w:rPr>
        <w:instrText>github</w:instrText>
      </w:r>
      <w:r w:rsidR="0043716B" w:rsidRPr="00C348F4">
        <w:rPr>
          <w:i/>
        </w:rPr>
        <w:instrText>.</w:instrText>
      </w:r>
      <w:r w:rsidR="0043716B" w:rsidRPr="00C348F4">
        <w:rPr>
          <w:i/>
          <w:lang w:val="en-US"/>
        </w:rPr>
        <w:instrText>com</w:instrText>
      </w:r>
      <w:r w:rsidR="0043716B" w:rsidRPr="00C348F4">
        <w:rPr>
          <w:i/>
        </w:rPr>
        <w:instrText>/</w:instrText>
      </w:r>
      <w:r w:rsidR="0043716B" w:rsidRPr="00C348F4">
        <w:rPr>
          <w:i/>
          <w:lang w:val="en-US"/>
        </w:rPr>
        <w:instrText>citation</w:instrText>
      </w:r>
      <w:r w:rsidR="0043716B" w:rsidRPr="00C348F4">
        <w:rPr>
          <w:i/>
        </w:rPr>
        <w:instrText>-</w:instrText>
      </w:r>
      <w:r w:rsidR="0043716B" w:rsidRPr="00C348F4">
        <w:rPr>
          <w:i/>
          <w:lang w:val="en-US"/>
        </w:rPr>
        <w:instrText>style</w:instrText>
      </w:r>
      <w:r w:rsidR="0043716B" w:rsidRPr="00C348F4">
        <w:rPr>
          <w:i/>
        </w:rPr>
        <w:instrText>-</w:instrText>
      </w:r>
      <w:r w:rsidR="0043716B" w:rsidRPr="00C348F4">
        <w:rPr>
          <w:i/>
          <w:lang w:val="en-US"/>
        </w:rPr>
        <w:instrText>language</w:instrText>
      </w:r>
      <w:r w:rsidR="0043716B" w:rsidRPr="00C348F4">
        <w:rPr>
          <w:i/>
        </w:rPr>
        <w:instrText>/</w:instrText>
      </w:r>
      <w:r w:rsidR="0043716B" w:rsidRPr="00C348F4">
        <w:rPr>
          <w:i/>
          <w:lang w:val="en-US"/>
        </w:rPr>
        <w:instrText>schema</w:instrText>
      </w:r>
      <w:r w:rsidR="0043716B" w:rsidRPr="00C348F4">
        <w:rPr>
          <w:i/>
        </w:rPr>
        <w:instrText>/</w:instrText>
      </w:r>
      <w:r w:rsidR="0043716B" w:rsidRPr="00C348F4">
        <w:rPr>
          <w:i/>
          <w:lang w:val="en-US"/>
        </w:rPr>
        <w:instrText>raw</w:instrText>
      </w:r>
      <w:r w:rsidR="0043716B" w:rsidRPr="00C348F4">
        <w:rPr>
          <w:i/>
        </w:rPr>
        <w:instrText>/</w:instrText>
      </w:r>
      <w:r w:rsidR="0043716B" w:rsidRPr="00C348F4">
        <w:rPr>
          <w:i/>
          <w:lang w:val="en-US"/>
        </w:rPr>
        <w:instrText>master</w:instrText>
      </w:r>
      <w:r w:rsidR="0043716B" w:rsidRPr="00C348F4">
        <w:rPr>
          <w:i/>
        </w:rPr>
        <w:instrText>/</w:instrText>
      </w:r>
      <w:r w:rsidR="0043716B" w:rsidRPr="00C348F4">
        <w:rPr>
          <w:i/>
          <w:lang w:val="en-US"/>
        </w:rPr>
        <w:instrText>csl</w:instrText>
      </w:r>
      <w:r w:rsidR="0043716B" w:rsidRPr="00C348F4">
        <w:rPr>
          <w:i/>
        </w:rPr>
        <w:instrText>-</w:instrText>
      </w:r>
      <w:r w:rsidR="0043716B" w:rsidRPr="00C348F4">
        <w:rPr>
          <w:i/>
          <w:lang w:val="en-US"/>
        </w:rPr>
        <w:instrText>citation</w:instrText>
      </w:r>
      <w:r w:rsidR="0043716B" w:rsidRPr="00C348F4">
        <w:rPr>
          <w:i/>
        </w:rPr>
        <w:instrText>.</w:instrText>
      </w:r>
      <w:r w:rsidR="0043716B" w:rsidRPr="00C348F4">
        <w:rPr>
          <w:i/>
          <w:lang w:val="en-US"/>
        </w:rPr>
        <w:instrText>json</w:instrText>
      </w:r>
      <w:r w:rsidR="0043716B" w:rsidRPr="00C348F4">
        <w:rPr>
          <w:i/>
        </w:rPr>
        <w:instrText>"}</w:instrText>
      </w:r>
      <w:r w:rsidR="000B0AC3" w:rsidRPr="00C348F4">
        <w:rPr>
          <w:i/>
          <w:lang w:val="en-US"/>
        </w:rPr>
        <w:fldChar w:fldCharType="separate"/>
      </w:r>
      <w:r w:rsidR="0043716B" w:rsidRPr="00C348F4">
        <w:rPr>
          <w:noProof/>
        </w:rPr>
        <w:t>[50–53]</w:t>
      </w:r>
      <w:r w:rsidR="000B0AC3" w:rsidRPr="00C348F4">
        <w:rPr>
          <w:i/>
          <w:lang w:val="en-US"/>
        </w:rPr>
        <w:fldChar w:fldCharType="end"/>
      </w:r>
      <w:r w:rsidR="004D7374" w:rsidRPr="00C348F4">
        <w:rPr>
          <w:i/>
        </w:rPr>
        <w:t>. Эффективность монотерапии ибрутинибом</w:t>
      </w:r>
      <w:r w:rsidR="00AD6066" w:rsidRPr="00C348F4">
        <w:rPr>
          <w:i/>
        </w:rPr>
        <w:t>**</w:t>
      </w:r>
      <w:r w:rsidR="004D7374" w:rsidRPr="00C348F4">
        <w:rPr>
          <w:i/>
        </w:rPr>
        <w:t xml:space="preserve"> у </w:t>
      </w:r>
      <w:r w:rsidR="0002391B" w:rsidRPr="00C348F4">
        <w:rPr>
          <w:i/>
        </w:rPr>
        <w:t>пациентов</w:t>
      </w:r>
      <w:r w:rsidR="004D7374" w:rsidRPr="00C348F4">
        <w:rPr>
          <w:i/>
        </w:rPr>
        <w:t xml:space="preserve"> с рецидивами составляет более 90</w:t>
      </w:r>
      <w:r w:rsidR="00DD3D1E" w:rsidRPr="00C348F4">
        <w:rPr>
          <w:i/>
        </w:rPr>
        <w:t xml:space="preserve"> %</w:t>
      </w:r>
      <w:r w:rsidR="004D7374" w:rsidRPr="00C348F4">
        <w:rPr>
          <w:i/>
        </w:rPr>
        <w:t>. Другой эффективной схемой лечени</w:t>
      </w:r>
      <w:r w:rsidR="00691D0D" w:rsidRPr="00C348F4">
        <w:rPr>
          <w:i/>
        </w:rPr>
        <w:t>я</w:t>
      </w:r>
      <w:r w:rsidR="004D7374" w:rsidRPr="00C348F4">
        <w:rPr>
          <w:i/>
        </w:rPr>
        <w:t xml:space="preserve"> рецидивов является комбинация венетоклакса с ритуксимабом</w:t>
      </w:r>
      <w:r w:rsidR="00AD6066" w:rsidRPr="00C348F4">
        <w:rPr>
          <w:i/>
        </w:rPr>
        <w:t>**</w:t>
      </w:r>
      <w:r w:rsidR="006D567B" w:rsidRPr="00C348F4">
        <w:rPr>
          <w:i/>
        </w:rPr>
        <w:t>: в</w:t>
      </w:r>
      <w:r w:rsidR="004D7374" w:rsidRPr="00C348F4">
        <w:rPr>
          <w:i/>
        </w:rPr>
        <w:t xml:space="preserve"> исследовании MURANO ВБП </w:t>
      </w:r>
      <w:r w:rsidR="00691D0D" w:rsidRPr="00C348F4">
        <w:rPr>
          <w:i/>
        </w:rPr>
        <w:t>после лечения</w:t>
      </w:r>
      <w:r w:rsidR="004D7374" w:rsidRPr="00C348F4">
        <w:rPr>
          <w:i/>
        </w:rPr>
        <w:t xml:space="preserve"> комбинаци</w:t>
      </w:r>
      <w:r w:rsidR="00691D0D" w:rsidRPr="00C348F4">
        <w:rPr>
          <w:i/>
        </w:rPr>
        <w:t>ей</w:t>
      </w:r>
      <w:r w:rsidR="004D7374" w:rsidRPr="00C348F4">
        <w:rPr>
          <w:i/>
        </w:rPr>
        <w:t xml:space="preserve"> венетоклакс</w:t>
      </w:r>
      <w:r w:rsidR="00691D0D" w:rsidRPr="00C348F4">
        <w:rPr>
          <w:i/>
        </w:rPr>
        <w:t>а</w:t>
      </w:r>
      <w:r w:rsidR="004D7374" w:rsidRPr="00C348F4">
        <w:rPr>
          <w:i/>
        </w:rPr>
        <w:t xml:space="preserve"> </w:t>
      </w:r>
      <w:r w:rsidR="00691D0D" w:rsidRPr="00C348F4">
        <w:rPr>
          <w:i/>
        </w:rPr>
        <w:t>с</w:t>
      </w:r>
      <w:r w:rsidR="004D7374" w:rsidRPr="00C348F4">
        <w:rPr>
          <w:i/>
        </w:rPr>
        <w:t xml:space="preserve"> ритуксимаб</w:t>
      </w:r>
      <w:r w:rsidR="00691D0D" w:rsidRPr="00C348F4">
        <w:rPr>
          <w:i/>
        </w:rPr>
        <w:t>ом</w:t>
      </w:r>
      <w:r w:rsidR="00AD6066" w:rsidRPr="00C348F4">
        <w:rPr>
          <w:i/>
        </w:rPr>
        <w:t>**</w:t>
      </w:r>
      <w:r w:rsidR="004D7374" w:rsidRPr="00C348F4">
        <w:rPr>
          <w:i/>
        </w:rPr>
        <w:t xml:space="preserve"> составила 84,9</w:t>
      </w:r>
      <w:r w:rsidR="00DD3D1E" w:rsidRPr="00C348F4">
        <w:rPr>
          <w:i/>
        </w:rPr>
        <w:t xml:space="preserve"> %</w:t>
      </w:r>
      <w:r w:rsidR="004D7374" w:rsidRPr="00C348F4">
        <w:rPr>
          <w:i/>
        </w:rPr>
        <w:t xml:space="preserve"> </w:t>
      </w:r>
      <w:r w:rsidR="00691D0D" w:rsidRPr="00C348F4">
        <w:rPr>
          <w:i/>
        </w:rPr>
        <w:t>(</w:t>
      </w:r>
      <w:r w:rsidR="004D7374" w:rsidRPr="00C348F4">
        <w:rPr>
          <w:i/>
        </w:rPr>
        <w:t>в сравнении с 36,3</w:t>
      </w:r>
      <w:r w:rsidR="00DD3D1E" w:rsidRPr="00C348F4">
        <w:rPr>
          <w:i/>
        </w:rPr>
        <w:t xml:space="preserve"> %</w:t>
      </w:r>
      <w:r w:rsidR="00691D0D" w:rsidRPr="00C348F4">
        <w:rPr>
          <w:i/>
        </w:rPr>
        <w:t xml:space="preserve"> при</w:t>
      </w:r>
      <w:r w:rsidR="004D7374" w:rsidRPr="00C348F4">
        <w:rPr>
          <w:i/>
        </w:rPr>
        <w:t xml:space="preserve"> </w:t>
      </w:r>
      <w:r w:rsidR="00691D0D" w:rsidRPr="00C348F4">
        <w:rPr>
          <w:i/>
        </w:rPr>
        <w:t xml:space="preserve">лечении </w:t>
      </w:r>
      <w:r w:rsidR="004D7374" w:rsidRPr="00C348F4">
        <w:rPr>
          <w:i/>
        </w:rPr>
        <w:t>комбинаци</w:t>
      </w:r>
      <w:r w:rsidR="00691D0D" w:rsidRPr="00C348F4">
        <w:rPr>
          <w:i/>
        </w:rPr>
        <w:t>ей</w:t>
      </w:r>
      <w:r w:rsidR="004D7374" w:rsidRPr="00C348F4">
        <w:rPr>
          <w:i/>
        </w:rPr>
        <w:t xml:space="preserve"> бендамустин</w:t>
      </w:r>
      <w:r w:rsidR="00691D0D" w:rsidRPr="00C348F4">
        <w:rPr>
          <w:i/>
        </w:rPr>
        <w:t>а</w:t>
      </w:r>
      <w:r w:rsidR="00AD6066" w:rsidRPr="00C348F4">
        <w:rPr>
          <w:i/>
        </w:rPr>
        <w:t>**</w:t>
      </w:r>
      <w:r w:rsidR="004D7374" w:rsidRPr="00C348F4">
        <w:rPr>
          <w:i/>
        </w:rPr>
        <w:t xml:space="preserve"> </w:t>
      </w:r>
      <w:r w:rsidR="00691D0D" w:rsidRPr="00C348F4">
        <w:rPr>
          <w:i/>
        </w:rPr>
        <w:t>и</w:t>
      </w:r>
      <w:r w:rsidR="004D7374" w:rsidRPr="00C348F4">
        <w:rPr>
          <w:i/>
        </w:rPr>
        <w:t xml:space="preserve"> ритуксимаб</w:t>
      </w:r>
      <w:r w:rsidR="00691D0D" w:rsidRPr="00C348F4">
        <w:rPr>
          <w:i/>
        </w:rPr>
        <w:t>а</w:t>
      </w:r>
      <w:r w:rsidR="00AD6066" w:rsidRPr="00C348F4">
        <w:rPr>
          <w:i/>
        </w:rPr>
        <w:t>**</w:t>
      </w:r>
      <w:r w:rsidR="00691D0D" w:rsidRPr="00C348F4">
        <w:rPr>
          <w:i/>
        </w:rPr>
        <w:t>)</w:t>
      </w:r>
      <w:r w:rsidR="00C848DD" w:rsidRPr="00C348F4">
        <w:rPr>
          <w:i/>
        </w:rPr>
        <w:t xml:space="preserve"> </w:t>
      </w:r>
      <w:r w:rsidR="000B0AC3" w:rsidRPr="00C348F4">
        <w:rPr>
          <w:i/>
        </w:rPr>
        <w:fldChar w:fldCharType="begin" w:fldLock="1"/>
      </w:r>
      <w:r w:rsidR="00015814" w:rsidRPr="00C348F4">
        <w:rPr>
          <w:i/>
        </w:rPr>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[54]","plainTextFormattedCitation":"[54]","previouslyFormattedCitation":"[54]"},"properties":{"noteIndex":0},"schema":"https://github.com/citation-style-language/schema/raw/master/csl-citation.json"}</w:instrText>
      </w:r>
      <w:r w:rsidR="000B0AC3" w:rsidRPr="00C348F4">
        <w:rPr>
          <w:i/>
        </w:rPr>
        <w:fldChar w:fldCharType="separate"/>
      </w:r>
      <w:r w:rsidR="00015814" w:rsidRPr="00C348F4">
        <w:rPr>
          <w:noProof/>
        </w:rPr>
        <w:t>[54]</w:t>
      </w:r>
      <w:r w:rsidR="000B0AC3" w:rsidRPr="00C348F4">
        <w:rPr>
          <w:i/>
        </w:rPr>
        <w:fldChar w:fldCharType="end"/>
      </w:r>
      <w:r w:rsidR="004D7374" w:rsidRPr="00C348F4">
        <w:rPr>
          <w:i/>
        </w:rPr>
        <w:t>. ВБП была значительно выше во всех клинических и биологических подгруппах пациентов</w:t>
      </w:r>
      <w:r w:rsidR="006D567B" w:rsidRPr="00C348F4">
        <w:rPr>
          <w:i/>
        </w:rPr>
        <w:t>.</w:t>
      </w:r>
      <w:r w:rsidR="006D567B">
        <w:rPr>
          <w:i/>
        </w:rPr>
        <w:t xml:space="preserve"> </w:t>
      </w:r>
    </w:p>
    <w:p w:rsidR="004D7374" w:rsidRPr="00C348F4" w:rsidRDefault="00691D0D" w:rsidP="00691D0D">
      <w:pPr>
        <w:pStyle w:val="a"/>
        <w:spacing w:line="355" w:lineRule="auto"/>
      </w:pPr>
      <w:r>
        <w:t>П</w:t>
      </w:r>
      <w:r w:rsidR="004D7374">
        <w:t>ациент</w:t>
      </w:r>
      <w:r>
        <w:t>ам</w:t>
      </w:r>
      <w:r w:rsidR="004D7374">
        <w:t xml:space="preserve"> с ранним </w:t>
      </w:r>
      <w:r w:rsidR="00AD6066">
        <w:t>(&lt;24 мес. после последней терапии)</w:t>
      </w:r>
      <w:r w:rsidR="00030520">
        <w:t xml:space="preserve"> </w:t>
      </w:r>
      <w:r>
        <w:t xml:space="preserve">рецидивом </w:t>
      </w:r>
      <w:r w:rsidR="00AD6066">
        <w:t>ХЛЛ/ЛМЛ, ранее не</w:t>
      </w:r>
      <w:r>
        <w:t> </w:t>
      </w:r>
      <w:r w:rsidR="00AD6066">
        <w:t>получавших ибрутиниб**,</w:t>
      </w:r>
      <w:r w:rsidR="00030520">
        <w:t xml:space="preserve"> </w:t>
      </w:r>
      <w:r w:rsidR="001018E4">
        <w:t>вне зависимости от</w:t>
      </w:r>
      <w:r w:rsidR="00030520">
        <w:t xml:space="preserve"> </w:t>
      </w:r>
      <w:r>
        <w:t xml:space="preserve">наличия </w:t>
      </w:r>
      <w:r w:rsidR="001018E4">
        <w:t>делеции 17p</w:t>
      </w:r>
      <w:r>
        <w:t xml:space="preserve"> или </w:t>
      </w:r>
      <w:r w:rsidR="001018E4">
        <w:t xml:space="preserve">мутации </w:t>
      </w:r>
      <w:r w:rsidR="001018E4" w:rsidRPr="00691D0D">
        <w:rPr>
          <w:i/>
        </w:rPr>
        <w:t>TP53</w:t>
      </w:r>
      <w:r w:rsidR="006919DC">
        <w:t xml:space="preserve"> </w:t>
      </w:r>
      <w:r w:rsidR="008311A0">
        <w:lastRenderedPageBreak/>
        <w:t>п</w:t>
      </w:r>
      <w:r>
        <w:t>о</w:t>
      </w:r>
      <w:r w:rsidR="008311A0">
        <w:t xml:space="preserve"> </w:t>
      </w:r>
      <w:r w:rsidR="008311A0" w:rsidRPr="00C348F4">
        <w:t>возможности</w:t>
      </w:r>
      <w:r w:rsidR="00030520" w:rsidRPr="00C348F4">
        <w:t xml:space="preserve"> </w:t>
      </w:r>
      <w:r w:rsidR="004D7374" w:rsidRPr="00C348F4">
        <w:rPr>
          <w:b/>
        </w:rPr>
        <w:t>рекомендована</w:t>
      </w:r>
      <w:r w:rsidR="00030520" w:rsidRPr="00C348F4">
        <w:rPr>
          <w:b/>
        </w:rPr>
        <w:t xml:space="preserve"> </w:t>
      </w:r>
      <w:r w:rsidR="004D7374" w:rsidRPr="00C348F4">
        <w:t>монотерапия</w:t>
      </w:r>
      <w:r w:rsidR="00C848DD" w:rsidRPr="00C348F4">
        <w:t xml:space="preserve"> </w:t>
      </w:r>
      <w:r w:rsidR="004D7374" w:rsidRPr="00C348F4">
        <w:t>ибрутинибом</w:t>
      </w:r>
      <w:r w:rsidR="001018E4" w:rsidRPr="00C348F4">
        <w:t>**</w:t>
      </w:r>
      <w:r w:rsidR="00AE69C4" w:rsidRPr="00C348F4">
        <w:t xml:space="preserve"> в соответствии с зарегистрированной инструкцией</w:t>
      </w:r>
      <w:r w:rsidR="00D44A1A" w:rsidRPr="00C348F4">
        <w:t xml:space="preserve"> </w:t>
      </w:r>
      <w:r w:rsidR="000B0AC3" w:rsidRPr="00C348F4">
        <w:rPr>
          <w:lang w:val="en-US"/>
        </w:rPr>
        <w:fldChar w:fldCharType="begin" w:fldLock="1"/>
      </w:r>
      <w:r w:rsidR="00015814" w:rsidRPr="00C348F4">
        <w:rPr>
          <w:lang w:val="en-US"/>
        </w:rPr>
        <w:instrText>ADDIN</w:instrText>
      </w:r>
      <w:r w:rsidR="00015814" w:rsidRPr="00C348F4">
        <w:instrText xml:space="preserve"> </w:instrText>
      </w:r>
      <w:r w:rsidR="00015814" w:rsidRPr="00C348F4">
        <w:rPr>
          <w:lang w:val="en-US"/>
        </w:rPr>
        <w:instrText>CSL</w:instrText>
      </w:r>
      <w:r w:rsidR="00015814" w:rsidRPr="00C348F4">
        <w:instrText>_</w:instrText>
      </w:r>
      <w:r w:rsidR="00015814" w:rsidRPr="00C348F4">
        <w:rPr>
          <w:lang w:val="en-US"/>
        </w:rPr>
        <w:instrText>CITATION</w:instrText>
      </w:r>
      <w:r w:rsidR="00015814" w:rsidRPr="00C348F4">
        <w:instrText xml:space="preserve"> {"</w:instrText>
      </w:r>
      <w:r w:rsidR="00015814" w:rsidRPr="00C348F4">
        <w:rPr>
          <w:lang w:val="en-US"/>
        </w:rPr>
        <w:instrText>citationItems</w:instrText>
      </w:r>
      <w:r w:rsidR="00015814" w:rsidRPr="00C348F4">
        <w:instrText>":[{"</w:instrText>
      </w:r>
      <w:r w:rsidR="00015814" w:rsidRPr="00C348F4">
        <w:rPr>
          <w:lang w:val="en-US"/>
        </w:rPr>
        <w:instrText>id</w:instrText>
      </w:r>
      <w:r w:rsidR="00015814" w:rsidRPr="00C348F4">
        <w:instrText>":"</w:instrText>
      </w:r>
      <w:r w:rsidR="00015814" w:rsidRPr="00C348F4">
        <w:rPr>
          <w:lang w:val="en-US"/>
        </w:rPr>
        <w:instrText>ITEM</w:instrText>
      </w:r>
      <w:r w:rsidR="00015814" w:rsidRPr="00C348F4">
        <w:instrText>-1","</w:instrText>
      </w:r>
      <w:r w:rsidR="00015814" w:rsidRPr="00C348F4">
        <w:rPr>
          <w:lang w:val="en-US"/>
        </w:rPr>
        <w:instrText>itemData</w:instrText>
      </w:r>
      <w:r w:rsidR="00015814" w:rsidRPr="00C348F4">
        <w:instrText>":{"</w:instrText>
      </w:r>
      <w:r w:rsidR="00015814" w:rsidRPr="00C348F4">
        <w:rPr>
          <w:lang w:val="en-US"/>
        </w:rPr>
        <w:instrText>DOI</w:instrText>
      </w:r>
      <w:r w:rsidR="00015814" w:rsidRPr="00C348F4">
        <w:instrText>":"10.1056/</w:instrText>
      </w:r>
      <w:r w:rsidR="00015814" w:rsidRPr="00C348F4">
        <w:rPr>
          <w:lang w:val="en-US"/>
        </w:rPr>
        <w:instrText>NEJMoa</w:instrText>
      </w:r>
      <w:r w:rsidR="00015814" w:rsidRPr="00C348F4">
        <w:instrText>1400376","</w:instrText>
      </w:r>
      <w:r w:rsidR="00015814" w:rsidRPr="00C348F4">
        <w:rPr>
          <w:lang w:val="en-US"/>
        </w:rPr>
        <w:instrText>ISSN</w:instrText>
      </w:r>
      <w:r w:rsidR="00015814" w:rsidRPr="00C348F4">
        <w:instrText>":"1533-4406","</w:instrText>
      </w:r>
      <w:r w:rsidR="00015814" w:rsidRPr="00C348F4">
        <w:rPr>
          <w:lang w:val="en-US"/>
        </w:rPr>
        <w:instrText>PMID</w:instrText>
      </w:r>
      <w:r w:rsidR="00015814" w:rsidRPr="00C348F4">
        <w:instrText>":"24881631","</w:instrText>
      </w:r>
      <w:r w:rsidR="00015814" w:rsidRPr="00C348F4">
        <w:rPr>
          <w:lang w:val="en-US"/>
        </w:rPr>
        <w:instrText>abstract</w:instrText>
      </w:r>
      <w:r w:rsidR="00015814" w:rsidRPr="00C348F4">
        <w:instrText>":"</w:instrText>
      </w:r>
      <w:r w:rsidR="00015814" w:rsidRPr="00C348F4">
        <w:rPr>
          <w:lang w:val="en-US"/>
        </w:rPr>
        <w:instrText>BACKGROUND</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chronic</w:instrText>
      </w:r>
      <w:r w:rsidR="00015814" w:rsidRPr="00C348F4">
        <w:instrText xml:space="preserve"> </w:instrText>
      </w:r>
      <w:r w:rsidR="00015814" w:rsidRPr="00C348F4">
        <w:rPr>
          <w:lang w:val="en-US"/>
        </w:rPr>
        <w:instrText>lymphoid</w:instrText>
      </w:r>
      <w:r w:rsidR="00015814" w:rsidRPr="00C348F4">
        <w:instrText xml:space="preserve"> </w:instrText>
      </w:r>
      <w:r w:rsidR="00015814" w:rsidRPr="00C348F4">
        <w:rPr>
          <w:lang w:val="en-US"/>
        </w:rPr>
        <w:instrText>leukemia</w:instrText>
      </w:r>
      <w:r w:rsidR="00015814" w:rsidRPr="00C348F4">
        <w:instrText xml:space="preserve"> (</w:instrText>
      </w:r>
      <w:r w:rsidR="00015814" w:rsidRPr="00C348F4">
        <w:rPr>
          <w:lang w:val="en-US"/>
        </w:rPr>
        <w:instrText>CLL</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small</w:instrText>
      </w:r>
      <w:r w:rsidR="00015814" w:rsidRPr="00C348F4">
        <w:instrText xml:space="preserve"> </w:instrText>
      </w:r>
      <w:r w:rsidR="00015814" w:rsidRPr="00C348F4">
        <w:rPr>
          <w:lang w:val="en-US"/>
        </w:rPr>
        <w:instrText>lymphocytic</w:instrText>
      </w:r>
      <w:r w:rsidR="00015814" w:rsidRPr="00C348F4">
        <w:instrText xml:space="preserve"> </w:instrText>
      </w:r>
      <w:r w:rsidR="00015814" w:rsidRPr="00C348F4">
        <w:rPr>
          <w:lang w:val="en-US"/>
        </w:rPr>
        <w:instrText>lymphoma</w:instrText>
      </w:r>
      <w:r w:rsidR="00015814" w:rsidRPr="00C348F4">
        <w:instrText xml:space="preserve"> (</w:instrText>
      </w:r>
      <w:r w:rsidR="00015814" w:rsidRPr="00C348F4">
        <w:rPr>
          <w:lang w:val="en-US"/>
        </w:rPr>
        <w:instrText>SLL</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short</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to</w:instrText>
      </w:r>
      <w:r w:rsidR="00015814" w:rsidRPr="00C348F4">
        <w:instrText xml:space="preserve"> </w:instrText>
      </w:r>
      <w:r w:rsidR="00015814" w:rsidRPr="00C348F4">
        <w:rPr>
          <w:lang w:val="en-US"/>
        </w:rPr>
        <w:instrText>therapy</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adverse</w:instrText>
      </w:r>
      <w:r w:rsidR="00015814" w:rsidRPr="00C348F4">
        <w:instrText xml:space="preserve"> </w:instrText>
      </w:r>
      <w:r w:rsidR="00015814" w:rsidRPr="00C348F4">
        <w:rPr>
          <w:lang w:val="en-US"/>
        </w:rPr>
        <w:instrText>cytogenetic</w:instrText>
      </w:r>
      <w:r w:rsidR="00015814" w:rsidRPr="00C348F4">
        <w:instrText xml:space="preserve"> </w:instrText>
      </w:r>
      <w:r w:rsidR="00015814" w:rsidRPr="00C348F4">
        <w:rPr>
          <w:lang w:val="en-US"/>
        </w:rPr>
        <w:instrText>abnormalities</w:instrText>
      </w:r>
      <w:r w:rsidR="00015814" w:rsidRPr="00C348F4">
        <w:instrText xml:space="preserve"> </w:instrText>
      </w:r>
      <w:r w:rsidR="00015814" w:rsidRPr="00C348F4">
        <w:rPr>
          <w:lang w:val="en-US"/>
        </w:rPr>
        <w:instrText>are</w:instrText>
      </w:r>
      <w:r w:rsidR="00015814" w:rsidRPr="00C348F4">
        <w:instrText xml:space="preserve"> </w:instrText>
      </w:r>
      <w:r w:rsidR="00015814" w:rsidRPr="00C348F4">
        <w:rPr>
          <w:lang w:val="en-US"/>
        </w:rPr>
        <w:instrText>associated</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poor</w:instrText>
      </w:r>
      <w:r w:rsidR="00015814" w:rsidRPr="00C348F4">
        <w:instrText xml:space="preserve"> </w:instrText>
      </w:r>
      <w:r w:rsidR="00015814" w:rsidRPr="00C348F4">
        <w:rPr>
          <w:lang w:val="en-US"/>
        </w:rPr>
        <w:instrText>outcome</w:instrText>
      </w:r>
      <w:r w:rsidR="00015814" w:rsidRPr="00C348F4">
        <w:instrText xml:space="preserve">. </w:instrText>
      </w:r>
      <w:r w:rsidR="00015814" w:rsidRPr="00C348F4">
        <w:rPr>
          <w:lang w:val="en-US"/>
        </w:rPr>
        <w:instrText>We</w:instrText>
      </w:r>
      <w:r w:rsidR="00015814" w:rsidRPr="00C348F4">
        <w:instrText xml:space="preserve"> </w:instrText>
      </w:r>
      <w:r w:rsidR="00015814" w:rsidRPr="00C348F4">
        <w:rPr>
          <w:lang w:val="en-US"/>
        </w:rPr>
        <w:instrText>evaluated</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efficacy</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covalent</w:instrText>
      </w:r>
      <w:r w:rsidR="00015814" w:rsidRPr="00C348F4">
        <w:instrText xml:space="preserve"> </w:instrText>
      </w:r>
      <w:r w:rsidR="00015814" w:rsidRPr="00C348F4">
        <w:rPr>
          <w:lang w:val="en-US"/>
        </w:rPr>
        <w:instrText>inhibitor</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Bruton</w:instrText>
      </w:r>
      <w:r w:rsidR="00015814" w:rsidRPr="00C348F4">
        <w:instrText>'</w:instrText>
      </w:r>
      <w:r w:rsidR="00015814" w:rsidRPr="00C348F4">
        <w:rPr>
          <w:lang w:val="en-US"/>
        </w:rPr>
        <w:instrText>s</w:instrText>
      </w:r>
      <w:r w:rsidR="00015814" w:rsidRPr="00C348F4">
        <w:instrText xml:space="preserve"> </w:instrText>
      </w:r>
      <w:r w:rsidR="00015814" w:rsidRPr="00C348F4">
        <w:rPr>
          <w:lang w:val="en-US"/>
        </w:rPr>
        <w:instrText>tyrosine</w:instrText>
      </w:r>
      <w:r w:rsidR="00015814" w:rsidRPr="00C348F4">
        <w:instrText xml:space="preserve"> </w:instrText>
      </w:r>
      <w:r w:rsidR="00015814" w:rsidRPr="00C348F4">
        <w:rPr>
          <w:lang w:val="en-US"/>
        </w:rPr>
        <w:instrText>kinase</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at</w:instrText>
      </w:r>
      <w:r w:rsidR="00015814" w:rsidRPr="00C348F4">
        <w:instrText xml:space="preserve"> </w:instrText>
      </w:r>
      <w:r w:rsidR="00015814" w:rsidRPr="00C348F4">
        <w:rPr>
          <w:lang w:val="en-US"/>
        </w:rPr>
        <w:instrText>risk</w:instrText>
      </w:r>
      <w:r w:rsidR="00015814" w:rsidRPr="00C348F4">
        <w:instrText xml:space="preserve"> </w:instrText>
      </w:r>
      <w:r w:rsidR="00015814" w:rsidRPr="00C348F4">
        <w:rPr>
          <w:lang w:val="en-US"/>
        </w:rPr>
        <w:instrText>for</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poor</w:instrText>
      </w:r>
      <w:r w:rsidR="00015814" w:rsidRPr="00C348F4">
        <w:instrText xml:space="preserve"> </w:instrText>
      </w:r>
      <w:r w:rsidR="00015814" w:rsidRPr="00C348F4">
        <w:rPr>
          <w:lang w:val="en-US"/>
        </w:rPr>
        <w:instrText>outcome</w:instrText>
      </w:r>
      <w:r w:rsidR="00015814" w:rsidRPr="00C348F4">
        <w:instrText xml:space="preserve">. </w:instrText>
      </w:r>
      <w:r w:rsidR="00015814" w:rsidRPr="00C348F4">
        <w:rPr>
          <w:lang w:val="en-US"/>
        </w:rPr>
        <w:instrText>METHODS</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this</w:instrText>
      </w:r>
      <w:r w:rsidR="00015814" w:rsidRPr="00C348F4">
        <w:instrText xml:space="preserve"> </w:instrText>
      </w:r>
      <w:r w:rsidR="00015814" w:rsidRPr="00C348F4">
        <w:rPr>
          <w:lang w:val="en-US"/>
        </w:rPr>
        <w:instrText>multicenter</w:instrText>
      </w:r>
      <w:r w:rsidR="00015814" w:rsidRPr="00C348F4">
        <w:instrText xml:space="preserve">, </w:instrText>
      </w:r>
      <w:r w:rsidR="00015814" w:rsidRPr="00C348F4">
        <w:rPr>
          <w:lang w:val="en-US"/>
        </w:rPr>
        <w:instrText>open</w:instrText>
      </w:r>
      <w:r w:rsidR="00015814" w:rsidRPr="00C348F4">
        <w:instrText>-</w:instrText>
      </w:r>
      <w:r w:rsidR="00015814" w:rsidRPr="00C348F4">
        <w:rPr>
          <w:lang w:val="en-US"/>
        </w:rPr>
        <w:instrText>label</w:instrText>
      </w:r>
      <w:r w:rsidR="00015814" w:rsidRPr="00C348F4">
        <w:instrText xml:space="preserve">, </w:instrText>
      </w:r>
      <w:r w:rsidR="00015814" w:rsidRPr="00C348F4">
        <w:rPr>
          <w:lang w:val="en-US"/>
        </w:rPr>
        <w:instrText>phase</w:instrText>
      </w:r>
      <w:r w:rsidR="00015814" w:rsidRPr="00C348F4">
        <w:instrText xml:space="preserve"> 3 </w:instrText>
      </w:r>
      <w:r w:rsidR="00015814" w:rsidRPr="00C348F4">
        <w:rPr>
          <w:lang w:val="en-US"/>
        </w:rPr>
        <w:instrText>study</w:instrText>
      </w:r>
      <w:r w:rsidR="00015814" w:rsidRPr="00C348F4">
        <w:instrText xml:space="preserve">, </w:instrText>
      </w:r>
      <w:r w:rsidR="00015814" w:rsidRPr="00C348F4">
        <w:rPr>
          <w:lang w:val="en-US"/>
        </w:rPr>
        <w:instrText>we</w:instrText>
      </w:r>
      <w:r w:rsidR="00015814" w:rsidRPr="00C348F4">
        <w:instrText xml:space="preserve"> </w:instrText>
      </w:r>
      <w:r w:rsidR="00015814" w:rsidRPr="00C348F4">
        <w:rPr>
          <w:lang w:val="en-US"/>
        </w:rPr>
        <w:instrText>randomly</w:instrText>
      </w:r>
      <w:r w:rsidR="00015814" w:rsidRPr="00C348F4">
        <w:instrText xml:space="preserve"> </w:instrText>
      </w:r>
      <w:r w:rsidR="00015814" w:rsidRPr="00C348F4">
        <w:rPr>
          <w:lang w:val="en-US"/>
        </w:rPr>
        <w:instrText>assigned</w:instrText>
      </w:r>
      <w:r w:rsidR="00015814" w:rsidRPr="00C348F4">
        <w:instrText xml:space="preserve"> 391 </w:instrText>
      </w:r>
      <w:r w:rsidR="00015814" w:rsidRPr="00C348F4">
        <w:rPr>
          <w:lang w:val="en-US"/>
        </w:rPr>
        <w:instrText>patients</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relapsed</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refractory</w:instrText>
      </w:r>
      <w:r w:rsidR="00015814" w:rsidRPr="00C348F4">
        <w:instrText xml:space="preserve"> </w:instrText>
      </w:r>
      <w:r w:rsidR="00015814" w:rsidRPr="00C348F4">
        <w:rPr>
          <w:lang w:val="en-US"/>
        </w:rPr>
        <w:instrText>CLL</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SLL</w:instrText>
      </w:r>
      <w:r w:rsidR="00015814" w:rsidRPr="00C348F4">
        <w:instrText xml:space="preserve"> </w:instrText>
      </w:r>
      <w:r w:rsidR="00015814" w:rsidRPr="00C348F4">
        <w:rPr>
          <w:lang w:val="en-US"/>
        </w:rPr>
        <w:instrText>to</w:instrText>
      </w:r>
      <w:r w:rsidR="00015814" w:rsidRPr="00C348F4">
        <w:instrText xml:space="preserve"> </w:instrText>
      </w:r>
      <w:r w:rsidR="00015814" w:rsidRPr="00C348F4">
        <w:rPr>
          <w:lang w:val="en-US"/>
        </w:rPr>
        <w:instrText>receive</w:instrText>
      </w:r>
      <w:r w:rsidR="00015814" w:rsidRPr="00C348F4">
        <w:instrText xml:space="preserve"> </w:instrText>
      </w:r>
      <w:r w:rsidR="00015814" w:rsidRPr="00C348F4">
        <w:rPr>
          <w:lang w:val="en-US"/>
        </w:rPr>
        <w:instrText>daily</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anti</w:instrText>
      </w:r>
      <w:r w:rsidR="00015814" w:rsidRPr="00C348F4">
        <w:instrText>-</w:instrText>
      </w:r>
      <w:r w:rsidR="00015814" w:rsidRPr="00C348F4">
        <w:rPr>
          <w:lang w:val="en-US"/>
        </w:rPr>
        <w:instrText>CD</w:instrText>
      </w:r>
      <w:r w:rsidR="00015814" w:rsidRPr="00C348F4">
        <w:instrText xml:space="preserve">20 </w:instrText>
      </w:r>
      <w:r w:rsidR="00015814" w:rsidRPr="00C348F4">
        <w:rPr>
          <w:lang w:val="en-US"/>
        </w:rPr>
        <w:instrText>antibody</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primary</w:instrText>
      </w:r>
      <w:r w:rsidR="00015814" w:rsidRPr="00C348F4">
        <w:instrText xml:space="preserve"> </w:instrText>
      </w:r>
      <w:r w:rsidR="00015814" w:rsidRPr="00C348F4">
        <w:rPr>
          <w:lang w:val="en-US"/>
        </w:rPr>
        <w:instrText>end</w:instrText>
      </w:r>
      <w:r w:rsidR="00015814" w:rsidRPr="00C348F4">
        <w:instrText xml:space="preserve"> </w:instrText>
      </w:r>
      <w:r w:rsidR="00015814" w:rsidRPr="00C348F4">
        <w:rPr>
          <w:lang w:val="en-US"/>
        </w:rPr>
        <w:instrText>point</w:instrText>
      </w:r>
      <w:r w:rsidR="00015814" w:rsidRPr="00C348F4">
        <w:instrText xml:space="preserve"> </w:instrText>
      </w:r>
      <w:r w:rsidR="00015814" w:rsidRPr="00C348F4">
        <w:rPr>
          <w:lang w:val="en-US"/>
        </w:rPr>
        <w:instrText>was</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as</w:instrText>
      </w:r>
      <w:r w:rsidR="00015814" w:rsidRPr="00C348F4">
        <w:instrText xml:space="preserve"> </w:instrText>
      </w:r>
      <w:r w:rsidR="00015814" w:rsidRPr="00C348F4">
        <w:rPr>
          <w:lang w:val="en-US"/>
        </w:rPr>
        <w:instrText>secondary</w:instrText>
      </w:r>
      <w:r w:rsidR="00015814" w:rsidRPr="00C348F4">
        <w:instrText xml:space="preserve"> </w:instrText>
      </w:r>
      <w:r w:rsidR="00015814" w:rsidRPr="00C348F4">
        <w:rPr>
          <w:lang w:val="en-US"/>
        </w:rPr>
        <w:instrText>end</w:instrText>
      </w:r>
      <w:r w:rsidR="00015814" w:rsidRPr="00C348F4">
        <w:instrText xml:space="preserve"> </w:instrText>
      </w:r>
      <w:r w:rsidR="00015814" w:rsidRPr="00C348F4">
        <w:rPr>
          <w:lang w:val="en-US"/>
        </w:rPr>
        <w:instrText>points</w:instrText>
      </w:r>
      <w:r w:rsidR="00015814" w:rsidRPr="00C348F4">
        <w:instrText xml:space="preserve">. </w:instrText>
      </w:r>
      <w:r w:rsidR="00015814" w:rsidRPr="00C348F4">
        <w:rPr>
          <w:lang w:val="en-US"/>
        </w:rPr>
        <w:instrText>RESULTS</w:instrText>
      </w:r>
      <w:r w:rsidR="00015814" w:rsidRPr="00C348F4">
        <w:instrText xml:space="preserve"> </w:instrText>
      </w:r>
      <w:r w:rsidR="00015814" w:rsidRPr="00C348F4">
        <w:rPr>
          <w:lang w:val="en-US"/>
        </w:rPr>
        <w:instrText>At</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median</w:instrText>
      </w:r>
      <w:r w:rsidR="00015814" w:rsidRPr="00C348F4">
        <w:instrText xml:space="preserve"> </w:instrText>
      </w:r>
      <w:r w:rsidR="00015814" w:rsidRPr="00C348F4">
        <w:rPr>
          <w:lang w:val="en-US"/>
        </w:rPr>
        <w:instrText>follow</w:instrText>
      </w:r>
      <w:r w:rsidR="00015814" w:rsidRPr="00C348F4">
        <w:instrText>-</w:instrText>
      </w:r>
      <w:r w:rsidR="00015814" w:rsidRPr="00C348F4">
        <w:rPr>
          <w:lang w:val="en-US"/>
        </w:rPr>
        <w:instrText>up</w:instrText>
      </w:r>
      <w:r w:rsidR="00015814" w:rsidRPr="00C348F4">
        <w:instrText xml:space="preserve"> </w:instrText>
      </w:r>
      <w:r w:rsidR="00015814" w:rsidRPr="00C348F4">
        <w:rPr>
          <w:lang w:val="en-US"/>
        </w:rPr>
        <w:instrText>of</w:instrText>
      </w:r>
      <w:r w:rsidR="00015814" w:rsidRPr="00C348F4">
        <w:instrText xml:space="preserve"> 9.4 </w:instrText>
      </w:r>
      <w:r w:rsidR="00015814" w:rsidRPr="00C348F4">
        <w:rPr>
          <w:lang w:val="en-US"/>
        </w:rPr>
        <w:instrText>months</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improved</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median</w:instrText>
      </w:r>
      <w:r w:rsidR="00015814" w:rsidRPr="00C348F4">
        <w:instrText xml:space="preserve"> </w:instrText>
      </w:r>
      <w:r w:rsidR="00015814" w:rsidRPr="00C348F4">
        <w:rPr>
          <w:lang w:val="en-US"/>
        </w:rPr>
        <w:instrText>duration</w:instrText>
      </w:r>
      <w:r w:rsidR="00015814" w:rsidRPr="00C348F4">
        <w:instrText xml:space="preserve"> </w:instrText>
      </w:r>
      <w:r w:rsidR="00015814" w:rsidRPr="00C348F4">
        <w:rPr>
          <w:lang w:val="en-US"/>
        </w:rPr>
        <w:instrText>was</w:instrText>
      </w:r>
      <w:r w:rsidR="00015814" w:rsidRPr="00C348F4">
        <w:instrText xml:space="preserve"> </w:instrText>
      </w:r>
      <w:r w:rsidR="00015814" w:rsidRPr="00C348F4">
        <w:rPr>
          <w:lang w:val="en-US"/>
        </w:rPr>
        <w:instrText>not</w:instrText>
      </w:r>
      <w:r w:rsidR="00015814" w:rsidRPr="00C348F4">
        <w:instrText xml:space="preserve"> </w:instrText>
      </w:r>
      <w:r w:rsidR="00015814" w:rsidRPr="00C348F4">
        <w:rPr>
          <w:lang w:val="en-US"/>
        </w:rPr>
        <w:instrText>reached</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of</w:instrText>
      </w:r>
      <w:r w:rsidR="00015814" w:rsidRPr="00C348F4">
        <w:instrText xml:space="preserve"> 88% </w:instrText>
      </w:r>
      <w:r w:rsidR="00015814" w:rsidRPr="00C348F4">
        <w:rPr>
          <w:lang w:val="en-US"/>
        </w:rPr>
        <w:instrText>at</w:instrText>
      </w:r>
      <w:r w:rsidR="00015814" w:rsidRPr="00C348F4">
        <w:instrText xml:space="preserve"> 6 </w:instrText>
      </w:r>
      <w:r w:rsidR="00015814" w:rsidRPr="00C348F4">
        <w:rPr>
          <w:lang w:val="en-US"/>
        </w:rPr>
        <w:instrText>months</w:instrText>
      </w:r>
      <w:r w:rsidR="00015814" w:rsidRPr="00C348F4">
        <w:instrText xml:space="preserve">), </w:instrText>
      </w:r>
      <w:r w:rsidR="00015814" w:rsidRPr="00C348F4">
        <w:rPr>
          <w:lang w:val="en-US"/>
        </w:rPr>
        <w:instrText>as</w:instrText>
      </w:r>
      <w:r w:rsidR="00015814" w:rsidRPr="00C348F4">
        <w:instrText xml:space="preserve"> </w:instrText>
      </w:r>
      <w:r w:rsidR="00015814" w:rsidRPr="00C348F4">
        <w:rPr>
          <w:lang w:val="en-US"/>
        </w:rPr>
        <w:instrText>compared</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median</w:instrText>
      </w:r>
      <w:r w:rsidR="00015814" w:rsidRPr="00C348F4">
        <w:instrText xml:space="preserve"> </w:instrText>
      </w:r>
      <w:r w:rsidR="00015814" w:rsidRPr="00C348F4">
        <w:rPr>
          <w:lang w:val="en-US"/>
        </w:rPr>
        <w:instrText>of</w:instrText>
      </w:r>
      <w:r w:rsidR="00015814" w:rsidRPr="00C348F4">
        <w:instrText xml:space="preserve"> 8.1 </w:instrText>
      </w:r>
      <w:r w:rsidR="00015814" w:rsidRPr="00C348F4">
        <w:rPr>
          <w:lang w:val="en-US"/>
        </w:rPr>
        <w:instrText>months</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hazard</w:instrText>
      </w:r>
      <w:r w:rsidR="00015814" w:rsidRPr="00C348F4">
        <w:instrText xml:space="preserve"> </w:instrText>
      </w:r>
      <w:r w:rsidR="00015814" w:rsidRPr="00C348F4">
        <w:rPr>
          <w:lang w:val="en-US"/>
        </w:rPr>
        <w:instrText>ratio</w:instrText>
      </w:r>
      <w:r w:rsidR="00015814" w:rsidRPr="00C348F4">
        <w:instrText xml:space="preserve"> </w:instrText>
      </w:r>
      <w:r w:rsidR="00015814" w:rsidRPr="00C348F4">
        <w:rPr>
          <w:lang w:val="en-US"/>
        </w:rPr>
        <w:instrText>for</w:instrText>
      </w:r>
      <w:r w:rsidR="00015814" w:rsidRPr="00C348F4">
        <w:instrText xml:space="preserve"> </w:instrText>
      </w:r>
      <w:r w:rsidR="00015814" w:rsidRPr="00C348F4">
        <w:rPr>
          <w:lang w:val="en-US"/>
        </w:rPr>
        <w:instrText>progression</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death</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0.22; </w:instrText>
      </w:r>
      <w:r w:rsidR="00015814" w:rsidRPr="00C348F4">
        <w:rPr>
          <w:lang w:val="en-US"/>
        </w:rPr>
        <w:instrText>P</w:instrText>
      </w:r>
      <w:r w:rsidR="00015814" w:rsidRPr="00C348F4">
        <w:instrText xml:space="preserve">&lt;0.001). </w:instrText>
      </w:r>
      <w:r w:rsidR="00015814" w:rsidRPr="00C348F4">
        <w:rPr>
          <w:lang w:val="en-US"/>
        </w:rPr>
        <w:instrText>Ibrutinib</w:instrText>
      </w:r>
      <w:r w:rsidR="00015814" w:rsidRPr="00C348F4">
        <w:instrText xml:space="preserve"> </w:instrText>
      </w:r>
      <w:r w:rsidR="00015814" w:rsidRPr="00C348F4">
        <w:rPr>
          <w:lang w:val="en-US"/>
        </w:rPr>
        <w:instrText>also</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improved</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hazard</w:instrText>
      </w:r>
      <w:r w:rsidR="00015814" w:rsidRPr="00C348F4">
        <w:instrText xml:space="preserve"> </w:instrText>
      </w:r>
      <w:r w:rsidR="00015814" w:rsidRPr="00C348F4">
        <w:rPr>
          <w:lang w:val="en-US"/>
        </w:rPr>
        <w:instrText>ratio</w:instrText>
      </w:r>
      <w:r w:rsidR="00015814" w:rsidRPr="00C348F4">
        <w:instrText xml:space="preserve"> </w:instrText>
      </w:r>
      <w:r w:rsidR="00015814" w:rsidRPr="00C348F4">
        <w:rPr>
          <w:lang w:val="en-US"/>
        </w:rPr>
        <w:instrText>for</w:instrText>
      </w:r>
      <w:r w:rsidR="00015814" w:rsidRPr="00C348F4">
        <w:instrText xml:space="preserve"> </w:instrText>
      </w:r>
      <w:r w:rsidR="00015814" w:rsidRPr="00C348F4">
        <w:rPr>
          <w:lang w:val="en-US"/>
        </w:rPr>
        <w:instrText>death</w:instrText>
      </w:r>
      <w:r w:rsidR="00015814" w:rsidRPr="00C348F4">
        <w:instrText xml:space="preserve">, 0.43; </w:instrText>
      </w:r>
      <w:r w:rsidR="00015814" w:rsidRPr="00C348F4">
        <w:rPr>
          <w:lang w:val="en-US"/>
        </w:rPr>
        <w:instrText>P</w:instrText>
      </w:r>
      <w:r w:rsidR="00015814" w:rsidRPr="00C348F4">
        <w:instrText xml:space="preserve">=0.005). </w:instrText>
      </w:r>
      <w:r w:rsidR="00015814" w:rsidRPr="00C348F4">
        <w:rPr>
          <w:lang w:val="en-US"/>
        </w:rPr>
        <w:instrText>At</w:instrText>
      </w:r>
      <w:r w:rsidR="00015814" w:rsidRPr="00C348F4">
        <w:instrText xml:space="preserve"> 12 </w:instrText>
      </w:r>
      <w:r w:rsidR="00015814" w:rsidRPr="00C348F4">
        <w:rPr>
          <w:lang w:val="en-US"/>
        </w:rPr>
        <w:instrText>months</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was</w:instrText>
      </w:r>
      <w:r w:rsidR="00015814" w:rsidRPr="00C348F4">
        <w:instrText xml:space="preserve"> 90%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and</w:instrText>
      </w:r>
      <w:r w:rsidR="00015814" w:rsidRPr="00C348F4">
        <w:instrText xml:space="preserve"> 81%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was</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higher</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than</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(42.6% </w:instrText>
      </w:r>
      <w:r w:rsidR="00015814" w:rsidRPr="00C348F4">
        <w:rPr>
          <w:lang w:val="en-US"/>
        </w:rPr>
        <w:instrText>vs</w:instrText>
      </w:r>
      <w:r w:rsidR="00015814" w:rsidRPr="00C348F4">
        <w:instrText xml:space="preserve">. 4.1%, </w:instrText>
      </w:r>
      <w:r w:rsidR="00015814" w:rsidRPr="00C348F4">
        <w:rPr>
          <w:lang w:val="en-US"/>
        </w:rPr>
        <w:instrText>P</w:instrText>
      </w:r>
      <w:r w:rsidR="00015814" w:rsidRPr="00C348F4">
        <w:instrText xml:space="preserve">&lt;0.001). </w:instrText>
      </w:r>
      <w:r w:rsidR="00015814" w:rsidRPr="00C348F4">
        <w:rPr>
          <w:lang w:val="en-US"/>
        </w:rPr>
        <w:instrText>An</w:instrText>
      </w:r>
      <w:r w:rsidR="00015814" w:rsidRPr="00C348F4">
        <w:instrText xml:space="preserve"> </w:instrText>
      </w:r>
      <w:r w:rsidR="00015814" w:rsidRPr="00C348F4">
        <w:rPr>
          <w:lang w:val="en-US"/>
        </w:rPr>
        <w:instrText>additional</w:instrText>
      </w:r>
      <w:r w:rsidR="00015814" w:rsidRPr="00C348F4">
        <w:instrText xml:space="preserve"> 20% </w:instrText>
      </w:r>
      <w:r w:rsidR="00015814" w:rsidRPr="00C348F4">
        <w:rPr>
          <w:lang w:val="en-US"/>
        </w:rPr>
        <w:instrText>of</w:instrText>
      </w:r>
      <w:r w:rsidR="00015814" w:rsidRPr="00C348F4">
        <w:instrText xml:space="preserve"> </w:instrText>
      </w:r>
      <w:r w:rsidR="00015814" w:rsidRPr="00C348F4">
        <w:rPr>
          <w:lang w:val="en-US"/>
        </w:rPr>
        <w:instrText>ibrutinib</w:instrText>
      </w:r>
      <w:r w:rsidR="00015814" w:rsidRPr="00C348F4">
        <w:instrText>-</w:instrText>
      </w:r>
      <w:r w:rsidR="00015814" w:rsidRPr="00C348F4">
        <w:rPr>
          <w:lang w:val="en-US"/>
        </w:rPr>
        <w:instrText>treated</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had</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partial</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lymphocytosis</w:instrText>
      </w:r>
      <w:r w:rsidR="00015814" w:rsidRPr="00C348F4">
        <w:instrText xml:space="preserve">. </w:instrText>
      </w:r>
      <w:r w:rsidR="00015814" w:rsidRPr="00C348F4">
        <w:rPr>
          <w:lang w:val="en-US"/>
        </w:rPr>
        <w:instrText>Similar</w:instrText>
      </w:r>
      <w:r w:rsidR="00015814" w:rsidRPr="00C348F4">
        <w:instrText xml:space="preserve"> </w:instrText>
      </w:r>
      <w:r w:rsidR="00015814" w:rsidRPr="00C348F4">
        <w:rPr>
          <w:lang w:val="en-US"/>
        </w:rPr>
        <w:instrText>effects</w:instrText>
      </w:r>
      <w:r w:rsidR="00015814" w:rsidRPr="00C348F4">
        <w:instrText xml:space="preserve"> </w:instrText>
      </w:r>
      <w:r w:rsidR="00015814" w:rsidRPr="00C348F4">
        <w:rPr>
          <w:lang w:val="en-US"/>
        </w:rPr>
        <w:instrText>were</w:instrText>
      </w:r>
      <w:r w:rsidR="00015814" w:rsidRPr="00C348F4">
        <w:instrText xml:space="preserve"> </w:instrText>
      </w:r>
      <w:r w:rsidR="00015814" w:rsidRPr="00C348F4">
        <w:rPr>
          <w:lang w:val="en-US"/>
        </w:rPr>
        <w:instrText>observed</w:instrText>
      </w:r>
      <w:r w:rsidR="00015814" w:rsidRPr="00C348F4">
        <w:instrText xml:space="preserve"> </w:instrText>
      </w:r>
      <w:r w:rsidR="00015814" w:rsidRPr="00C348F4">
        <w:rPr>
          <w:lang w:val="en-US"/>
        </w:rPr>
        <w:instrText>regardless</w:instrText>
      </w:r>
      <w:r w:rsidR="00015814" w:rsidRPr="00C348F4">
        <w:instrText xml:space="preserve"> </w:instrText>
      </w:r>
      <w:r w:rsidR="00015814" w:rsidRPr="00C348F4">
        <w:rPr>
          <w:lang w:val="en-US"/>
        </w:rPr>
        <w:instrText>of</w:instrText>
      </w:r>
      <w:r w:rsidR="00015814" w:rsidRPr="00C348F4">
        <w:instrText xml:space="preserve"> </w:instrText>
      </w:r>
      <w:r w:rsidR="00015814" w:rsidRPr="00C348F4">
        <w:rPr>
          <w:lang w:val="en-US"/>
        </w:rPr>
        <w:instrText>whether</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had</w:instrText>
      </w:r>
      <w:r w:rsidR="00015814" w:rsidRPr="00C348F4">
        <w:instrText xml:space="preserve"> </w:instrText>
      </w:r>
      <w:r w:rsidR="00015814" w:rsidRPr="00C348F4">
        <w:rPr>
          <w:lang w:val="en-US"/>
        </w:rPr>
        <w:instrText>a</w:instrText>
      </w:r>
      <w:r w:rsidR="00015814" w:rsidRPr="00C348F4">
        <w:instrText xml:space="preserve"> </w:instrText>
      </w:r>
      <w:r w:rsidR="00015814" w:rsidRPr="00C348F4">
        <w:rPr>
          <w:lang w:val="en-US"/>
        </w:rPr>
        <w:instrText>chromosome</w:instrText>
      </w:r>
      <w:r w:rsidR="00015814" w:rsidRPr="00C348F4">
        <w:instrText xml:space="preserve"> 17</w:instrText>
      </w:r>
      <w:r w:rsidR="00015814" w:rsidRPr="00C348F4">
        <w:rPr>
          <w:lang w:val="en-US"/>
        </w:rPr>
        <w:instrText>p</w:instrText>
      </w:r>
      <w:r w:rsidR="00015814" w:rsidRPr="00C348F4">
        <w:instrText xml:space="preserve">13.1 </w:instrText>
      </w:r>
      <w:r w:rsidR="00015814" w:rsidRPr="00C348F4">
        <w:rPr>
          <w:lang w:val="en-US"/>
        </w:rPr>
        <w:instrText>deletion</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resistance</w:instrText>
      </w:r>
      <w:r w:rsidR="00015814" w:rsidRPr="00C348F4">
        <w:instrText xml:space="preserve"> </w:instrText>
      </w:r>
      <w:r w:rsidR="00015814" w:rsidRPr="00C348F4">
        <w:rPr>
          <w:lang w:val="en-US"/>
        </w:rPr>
        <w:instrText>to</w:instrText>
      </w:r>
      <w:r w:rsidR="00015814" w:rsidRPr="00C348F4">
        <w:instrText xml:space="preserve"> </w:instrText>
      </w:r>
      <w:r w:rsidR="00015814" w:rsidRPr="00C348F4">
        <w:rPr>
          <w:lang w:val="en-US"/>
        </w:rPr>
        <w:instrText>purine</w:instrText>
      </w:r>
      <w:r w:rsidR="00015814" w:rsidRPr="00C348F4">
        <w:instrText xml:space="preserve"> </w:instrText>
      </w:r>
      <w:r w:rsidR="00015814" w:rsidRPr="00C348F4">
        <w:rPr>
          <w:lang w:val="en-US"/>
        </w:rPr>
        <w:instrText>analogues</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most</w:instrText>
      </w:r>
      <w:r w:rsidR="00015814" w:rsidRPr="00C348F4">
        <w:instrText xml:space="preserve"> </w:instrText>
      </w:r>
      <w:r w:rsidR="00015814" w:rsidRPr="00C348F4">
        <w:rPr>
          <w:lang w:val="en-US"/>
        </w:rPr>
        <w:instrText>frequent</w:instrText>
      </w:r>
      <w:r w:rsidR="00015814" w:rsidRPr="00C348F4">
        <w:instrText xml:space="preserve"> </w:instrText>
      </w:r>
      <w:r w:rsidR="00015814" w:rsidRPr="00C348F4">
        <w:rPr>
          <w:lang w:val="en-US"/>
        </w:rPr>
        <w:instrText>nonhematologic</w:instrText>
      </w:r>
      <w:r w:rsidR="00015814" w:rsidRPr="00C348F4">
        <w:instrText xml:space="preserve"> </w:instrText>
      </w:r>
      <w:r w:rsidR="00015814" w:rsidRPr="00C348F4">
        <w:rPr>
          <w:lang w:val="en-US"/>
        </w:rPr>
        <w:instrText>adverse</w:instrText>
      </w:r>
      <w:r w:rsidR="00015814" w:rsidRPr="00C348F4">
        <w:instrText xml:space="preserve"> </w:instrText>
      </w:r>
      <w:r w:rsidR="00015814" w:rsidRPr="00C348F4">
        <w:rPr>
          <w:lang w:val="en-US"/>
        </w:rPr>
        <w:instrText>events</w:instrText>
      </w:r>
      <w:r w:rsidR="00015814" w:rsidRPr="00C348F4">
        <w:instrText xml:space="preserve"> </w:instrText>
      </w:r>
      <w:r w:rsidR="00015814" w:rsidRPr="00C348F4">
        <w:rPr>
          <w:lang w:val="en-US"/>
        </w:rPr>
        <w:instrText>were</w:instrText>
      </w:r>
      <w:r w:rsidR="00015814" w:rsidRPr="00C348F4">
        <w:instrText xml:space="preserve"> </w:instrText>
      </w:r>
      <w:r w:rsidR="00015814" w:rsidRPr="00C348F4">
        <w:rPr>
          <w:lang w:val="en-US"/>
        </w:rPr>
        <w:instrText>diarrhea</w:instrText>
      </w:r>
      <w:r w:rsidR="00015814" w:rsidRPr="00C348F4">
        <w:instrText xml:space="preserve">, </w:instrText>
      </w:r>
      <w:r w:rsidR="00015814" w:rsidRPr="00C348F4">
        <w:rPr>
          <w:lang w:val="en-US"/>
        </w:rPr>
        <w:instrText>fatigue</w:instrText>
      </w:r>
      <w:r w:rsidR="00015814" w:rsidRPr="00C348F4">
        <w:instrText xml:space="preserve">, </w:instrText>
      </w:r>
      <w:r w:rsidR="00015814" w:rsidRPr="00C348F4">
        <w:rPr>
          <w:lang w:val="en-US"/>
        </w:rPr>
        <w:instrText>pyrexia</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nausea</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fatigue</w:instrText>
      </w:r>
      <w:r w:rsidR="00015814" w:rsidRPr="00C348F4">
        <w:instrText xml:space="preserve">, </w:instrText>
      </w:r>
      <w:r w:rsidR="00015814" w:rsidRPr="00C348F4">
        <w:rPr>
          <w:lang w:val="en-US"/>
        </w:rPr>
        <w:instrText>infusion</w:instrText>
      </w:r>
      <w:r w:rsidR="00015814" w:rsidRPr="00C348F4">
        <w:instrText>-</w:instrText>
      </w:r>
      <w:r w:rsidR="00015814" w:rsidRPr="00C348F4">
        <w:rPr>
          <w:lang w:val="en-US"/>
        </w:rPr>
        <w:instrText>related</w:instrText>
      </w:r>
      <w:r w:rsidR="00015814" w:rsidRPr="00C348F4">
        <w:instrText xml:space="preserve"> </w:instrText>
      </w:r>
      <w:r w:rsidR="00015814" w:rsidRPr="00C348F4">
        <w:rPr>
          <w:lang w:val="en-US"/>
        </w:rPr>
        <w:instrText>reactions</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cough</w:instrText>
      </w:r>
      <w:r w:rsidR="00015814" w:rsidRPr="00C348F4">
        <w:instrText xml:space="preserve"> </w:instrText>
      </w:r>
      <w:r w:rsidR="00015814" w:rsidRPr="00C348F4">
        <w:rPr>
          <w:lang w:val="en-US"/>
        </w:rPr>
        <w:instrText>in</w:instrText>
      </w:r>
      <w:r w:rsidR="00015814" w:rsidRPr="00C348F4">
        <w:instrText xml:space="preserve"> </w:instrText>
      </w:r>
      <w:r w:rsidR="00015814" w:rsidRPr="00C348F4">
        <w:rPr>
          <w:lang w:val="en-US"/>
        </w:rPr>
        <w:instrText>the</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group</w:instrText>
      </w:r>
      <w:r w:rsidR="00015814" w:rsidRPr="00C348F4">
        <w:instrText xml:space="preserve">. </w:instrText>
      </w:r>
      <w:r w:rsidR="00015814" w:rsidRPr="00C348F4">
        <w:rPr>
          <w:lang w:val="en-US"/>
        </w:rPr>
        <w:instrText>CONCLUSIONS</w:instrText>
      </w:r>
      <w:r w:rsidR="00015814" w:rsidRPr="00C348F4">
        <w:instrText xml:space="preserve"> </w:instrText>
      </w:r>
      <w:r w:rsidR="00015814" w:rsidRPr="00C348F4">
        <w:rPr>
          <w:lang w:val="en-US"/>
        </w:rPr>
        <w:instrText>Ibrutinib</w:instrText>
      </w:r>
      <w:r w:rsidR="00015814" w:rsidRPr="00C348F4">
        <w:instrText xml:space="preserve">, </w:instrText>
      </w:r>
      <w:r w:rsidR="00015814" w:rsidRPr="00C348F4">
        <w:rPr>
          <w:lang w:val="en-US"/>
        </w:rPr>
        <w:instrText>as</w:instrText>
      </w:r>
      <w:r w:rsidR="00015814" w:rsidRPr="00C348F4">
        <w:instrText xml:space="preserve"> </w:instrText>
      </w:r>
      <w:r w:rsidR="00015814" w:rsidRPr="00C348F4">
        <w:rPr>
          <w:lang w:val="en-US"/>
        </w:rPr>
        <w:instrText>compared</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ofatumumab</w:instrText>
      </w:r>
      <w:r w:rsidR="00015814" w:rsidRPr="00C348F4">
        <w:instrText xml:space="preserve">, </w:instrText>
      </w:r>
      <w:r w:rsidR="00015814" w:rsidRPr="00C348F4">
        <w:rPr>
          <w:lang w:val="en-US"/>
        </w:rPr>
        <w:instrText>significantly</w:instrText>
      </w:r>
      <w:r w:rsidR="00015814" w:rsidRPr="00C348F4">
        <w:instrText xml:space="preserve"> </w:instrText>
      </w:r>
      <w:r w:rsidR="00015814" w:rsidRPr="00C348F4">
        <w:rPr>
          <w:lang w:val="en-US"/>
        </w:rPr>
        <w:instrText>improved</w:instrText>
      </w:r>
      <w:r w:rsidR="00015814" w:rsidRPr="00C348F4">
        <w:instrText xml:space="preserve"> </w:instrText>
      </w:r>
      <w:r w:rsidR="00015814" w:rsidRPr="00C348F4">
        <w:rPr>
          <w:lang w:val="en-US"/>
        </w:rPr>
        <w:instrText>progression</w:instrText>
      </w:r>
      <w:r w:rsidR="00015814" w:rsidRPr="00C348F4">
        <w:instrText>-</w:instrText>
      </w:r>
      <w:r w:rsidR="00015814" w:rsidRPr="00C348F4">
        <w:rPr>
          <w:lang w:val="en-US"/>
        </w:rPr>
        <w:instrText>free</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overall</w:instrText>
      </w:r>
      <w:r w:rsidR="00015814" w:rsidRPr="00C348F4">
        <w:instrText xml:space="preserve"> </w:instrText>
      </w:r>
      <w:r w:rsidR="00015814" w:rsidRPr="00C348F4">
        <w:rPr>
          <w:lang w:val="en-US"/>
        </w:rPr>
        <w:instrText>survival</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response</w:instrText>
      </w:r>
      <w:r w:rsidR="00015814" w:rsidRPr="00C348F4">
        <w:instrText xml:space="preserve"> </w:instrText>
      </w:r>
      <w:r w:rsidR="00015814" w:rsidRPr="00C348F4">
        <w:rPr>
          <w:lang w:val="en-US"/>
        </w:rPr>
        <w:instrText>rate</w:instrText>
      </w:r>
      <w:r w:rsidR="00015814" w:rsidRPr="00C348F4">
        <w:instrText xml:space="preserve"> </w:instrText>
      </w:r>
      <w:r w:rsidR="00015814" w:rsidRPr="00C348F4">
        <w:rPr>
          <w:lang w:val="en-US"/>
        </w:rPr>
        <w:instrText>among</w:instrText>
      </w:r>
      <w:r w:rsidR="00015814" w:rsidRPr="00C348F4">
        <w:instrText xml:space="preserve"> </w:instrText>
      </w:r>
      <w:r w:rsidR="00015814" w:rsidRPr="00C348F4">
        <w:rPr>
          <w:lang w:val="en-US"/>
        </w:rPr>
        <w:instrText>patients</w:instrText>
      </w:r>
      <w:r w:rsidR="00015814" w:rsidRPr="00C348F4">
        <w:instrText xml:space="preserve"> </w:instrText>
      </w:r>
      <w:r w:rsidR="00015814" w:rsidRPr="00C348F4">
        <w:rPr>
          <w:lang w:val="en-US"/>
        </w:rPr>
        <w:instrText>with</w:instrText>
      </w:r>
      <w:r w:rsidR="00015814" w:rsidRPr="00C348F4">
        <w:instrText xml:space="preserve"> </w:instrText>
      </w:r>
      <w:r w:rsidR="00015814" w:rsidRPr="00C348F4">
        <w:rPr>
          <w:lang w:val="en-US"/>
        </w:rPr>
        <w:instrText>previously</w:instrText>
      </w:r>
      <w:r w:rsidR="00015814" w:rsidRPr="00C348F4">
        <w:instrText xml:space="preserve"> </w:instrText>
      </w:r>
      <w:r w:rsidR="00015814" w:rsidRPr="00C348F4">
        <w:rPr>
          <w:lang w:val="en-US"/>
        </w:rPr>
        <w:instrText>treated</w:instrText>
      </w:r>
      <w:r w:rsidR="00015814" w:rsidRPr="00C348F4">
        <w:instrText xml:space="preserve"> </w:instrText>
      </w:r>
      <w:r w:rsidR="00015814" w:rsidRPr="00C348F4">
        <w:rPr>
          <w:lang w:val="en-US"/>
        </w:rPr>
        <w:instrText>CLL</w:instrText>
      </w:r>
      <w:r w:rsidR="00015814" w:rsidRPr="00C348F4">
        <w:instrText xml:space="preserve"> </w:instrText>
      </w:r>
      <w:r w:rsidR="00015814" w:rsidRPr="00C348F4">
        <w:rPr>
          <w:lang w:val="en-US"/>
        </w:rPr>
        <w:instrText>or</w:instrText>
      </w:r>
      <w:r w:rsidR="00015814" w:rsidRPr="00C348F4">
        <w:instrText xml:space="preserve"> </w:instrText>
      </w:r>
      <w:r w:rsidR="00015814" w:rsidRPr="00C348F4">
        <w:rPr>
          <w:lang w:val="en-US"/>
        </w:rPr>
        <w:instrText>SLL</w:instrText>
      </w:r>
      <w:r w:rsidR="00015814" w:rsidRPr="00C348F4">
        <w:instrText>. (</w:instrText>
      </w:r>
      <w:r w:rsidR="00015814" w:rsidRPr="00C348F4">
        <w:rPr>
          <w:lang w:val="en-US"/>
        </w:rPr>
        <w:instrText>Funded</w:instrText>
      </w:r>
      <w:r w:rsidR="00015814" w:rsidRPr="00C348F4">
        <w:instrText xml:space="preserve"> </w:instrText>
      </w:r>
      <w:r w:rsidR="00015814" w:rsidRPr="00C348F4">
        <w:rPr>
          <w:lang w:val="en-US"/>
        </w:rPr>
        <w:instrText>by</w:instrText>
      </w:r>
      <w:r w:rsidR="00015814" w:rsidRPr="00C348F4">
        <w:instrText xml:space="preserve"> </w:instrText>
      </w:r>
      <w:r w:rsidR="00015814" w:rsidRPr="00C348F4">
        <w:rPr>
          <w:lang w:val="en-US"/>
        </w:rPr>
        <w:instrText>Pharmacyclics</w:instrText>
      </w:r>
      <w:r w:rsidR="00015814" w:rsidRPr="00C348F4">
        <w:instrText xml:space="preserve"> </w:instrText>
      </w:r>
      <w:r w:rsidR="00015814" w:rsidRPr="00C348F4">
        <w:rPr>
          <w:lang w:val="en-US"/>
        </w:rPr>
        <w:instrText>and</w:instrText>
      </w:r>
      <w:r w:rsidR="00015814" w:rsidRPr="00C348F4">
        <w:instrText xml:space="preserve"> </w:instrText>
      </w:r>
      <w:r w:rsidR="00015814" w:rsidRPr="00C348F4">
        <w:rPr>
          <w:lang w:val="en-US"/>
        </w:rPr>
        <w:instrText>Janssen</w:instrText>
      </w:r>
      <w:r w:rsidR="00015814" w:rsidRPr="00C348F4">
        <w:instrText xml:space="preserve">; </w:instrText>
      </w:r>
      <w:r w:rsidR="00015814" w:rsidRPr="00C348F4">
        <w:rPr>
          <w:lang w:val="en-US"/>
        </w:rPr>
        <w:instrText>RESONATE</w:instrText>
      </w:r>
      <w:r w:rsidR="00015814" w:rsidRPr="00C348F4">
        <w:instrText xml:space="preserve"> </w:instrText>
      </w:r>
      <w:r w:rsidR="00015814" w:rsidRPr="00C348F4">
        <w:rPr>
          <w:lang w:val="en-US"/>
        </w:rPr>
        <w:instrText>ClinicalTrials</w:instrText>
      </w:r>
      <w:r w:rsidR="00015814" w:rsidRPr="00C348F4">
        <w:instrText>.</w:instrText>
      </w:r>
      <w:r w:rsidR="00015814" w:rsidRPr="00C348F4">
        <w:rPr>
          <w:lang w:val="en-US"/>
        </w:rPr>
        <w:instrText>gov</w:instrText>
      </w:r>
      <w:r w:rsidR="00015814" w:rsidRPr="00C348F4">
        <w:instrText xml:space="preserve"> </w:instrText>
      </w:r>
      <w:r w:rsidR="00015814" w:rsidRPr="00C348F4">
        <w:rPr>
          <w:lang w:val="en-US"/>
        </w:rPr>
        <w:instrText>number</w:instrText>
      </w:r>
      <w:r w:rsidR="00015814" w:rsidRPr="00C348F4">
        <w:instrText xml:space="preserve">, </w:instrText>
      </w:r>
      <w:r w:rsidR="00015814" w:rsidRPr="00C348F4">
        <w:rPr>
          <w:lang w:val="en-US"/>
        </w:rPr>
        <w:instrText>NCT</w:instrText>
      </w:r>
      <w:r w:rsidR="00015814" w:rsidRPr="00C348F4">
        <w:instrText>01578707.).","</w:instrText>
      </w:r>
      <w:r w:rsidR="00015814" w:rsidRPr="00C348F4">
        <w:rPr>
          <w:lang w:val="en-US"/>
        </w:rPr>
        <w:instrText>author</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Byrd</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John</w:instrText>
      </w:r>
      <w:r w:rsidR="00015814" w:rsidRPr="00C348F4">
        <w:instrText xml:space="preserve"> </w:instrText>
      </w:r>
      <w:r w:rsidR="00015814" w:rsidRPr="00C348F4">
        <w:rPr>
          <w:lang w:val="en-US"/>
        </w:rPr>
        <w:instrText>C</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w:instrText>
      </w:r>
      <w:r w:rsidR="00015814" w:rsidRPr="00C348F4">
        <w:instrText>":</w:instrText>
      </w:r>
      <w:r w:rsidR="00015814" w:rsidRPr="00C348F4">
        <w:rPr>
          <w:lang w:val="en-US"/>
        </w:rPr>
        <w:instrText>false</w:instrText>
      </w:r>
      <w:r w:rsidR="00015814" w:rsidRPr="00C348F4">
        <w:instrText>,"</w:instrText>
      </w:r>
      <w:r w:rsidR="00015814" w:rsidRPr="00C348F4">
        <w:rPr>
          <w:lang w:val="en-US"/>
        </w:rPr>
        <w:instrText>suffix</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Brown</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Jennifer</w:instrText>
      </w:r>
      <w:r w:rsidR="00015814" w:rsidRPr="00C348F4">
        <w:instrText xml:space="preserve"> </w:instrText>
      </w:r>
      <w:r w:rsidR="00015814" w:rsidRPr="00C348F4">
        <w:rPr>
          <w:lang w:val="en-US"/>
        </w:rPr>
        <w:instrText>R</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w:instrText>
      </w:r>
      <w:r w:rsidR="00015814" w:rsidRPr="00C348F4">
        <w:instrText>":</w:instrText>
      </w:r>
      <w:r w:rsidR="00015814" w:rsidRPr="00C348F4">
        <w:rPr>
          <w:lang w:val="en-US"/>
        </w:rPr>
        <w:instrText>false</w:instrText>
      </w:r>
      <w:r w:rsidR="00015814" w:rsidRPr="00C348F4">
        <w:instrText>,"</w:instrText>
      </w:r>
      <w:r w:rsidR="00015814" w:rsidRPr="00C348F4">
        <w:rPr>
          <w:lang w:val="en-US"/>
        </w:rPr>
        <w:instrText>suffix</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O</w:instrText>
      </w:r>
      <w:r w:rsidR="00015814" w:rsidRPr="00C348F4">
        <w:instrText>'</w:instrText>
      </w:r>
      <w:r w:rsidR="00015814" w:rsidRPr="00C348F4">
        <w:rPr>
          <w:lang w:val="en-US"/>
        </w:rPr>
        <w:instrText>Brien</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Susan</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w:instrText>
      </w:r>
      <w:r w:rsidR="00015814" w:rsidRPr="00C348F4">
        <w:instrText>":</w:instrText>
      </w:r>
      <w:r w:rsidR="00015814" w:rsidRPr="00C348F4">
        <w:rPr>
          <w:lang w:val="en-US"/>
        </w:rPr>
        <w:instrText>false</w:instrText>
      </w:r>
      <w:r w:rsidR="00015814" w:rsidRPr="00C348F4">
        <w:instrText>,"</w:instrText>
      </w:r>
      <w:r w:rsidR="00015814" w:rsidRPr="00C348F4">
        <w:rPr>
          <w:lang w:val="en-US"/>
        </w:rPr>
        <w:instrText>suffix</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family</w:instrText>
      </w:r>
      <w:r w:rsidR="00015814" w:rsidRPr="00C348F4">
        <w:instrText>":"</w:instrText>
      </w:r>
      <w:r w:rsidR="00015814" w:rsidRPr="00C348F4">
        <w:rPr>
          <w:lang w:val="en-US"/>
        </w:rPr>
        <w:instrText>Barrientos</w:instrText>
      </w:r>
      <w:r w:rsidR="00015814" w:rsidRPr="00C348F4">
        <w:instrText>","</w:instrText>
      </w:r>
      <w:r w:rsidR="00015814" w:rsidRPr="00C348F4">
        <w:rPr>
          <w:lang w:val="en-US"/>
        </w:rPr>
        <w:instrText>given</w:instrText>
      </w:r>
      <w:r w:rsidR="00015814" w:rsidRPr="00C348F4">
        <w:instrText>":"</w:instrText>
      </w:r>
      <w:r w:rsidR="00015814" w:rsidRPr="00C348F4">
        <w:rPr>
          <w:lang w:val="en-US"/>
        </w:rPr>
        <w:instrText>Jacqueline</w:instrText>
      </w:r>
      <w:r w:rsidR="00015814" w:rsidRPr="00C348F4">
        <w:instrText xml:space="preserve"> </w:instrText>
      </w:r>
      <w:r w:rsidR="00015814" w:rsidRPr="00C348F4">
        <w:rPr>
          <w:lang w:val="en-US"/>
        </w:rPr>
        <w:instrText>C</w:instrText>
      </w:r>
      <w:r w:rsidR="00015814" w:rsidRPr="00C348F4">
        <w:instrText>","</w:instrText>
      </w:r>
      <w:r w:rsidR="00015814" w:rsidRPr="00C348F4">
        <w:rPr>
          <w:lang w:val="en-US"/>
        </w:rPr>
        <w:instrText>non</w:instrText>
      </w:r>
      <w:r w:rsidR="00015814" w:rsidRPr="00C348F4">
        <w:instrText>-</w:instrText>
      </w:r>
      <w:r w:rsidR="00015814" w:rsidRPr="00C348F4">
        <w:rPr>
          <w:lang w:val="en-US"/>
        </w:rPr>
        <w:instrText>dropping</w:instrText>
      </w:r>
      <w:r w:rsidR="00015814" w:rsidRPr="00C348F4">
        <w:instrText>-</w:instrText>
      </w:r>
      <w:r w:rsidR="00015814" w:rsidRPr="00C348F4">
        <w:rPr>
          <w:lang w:val="en-US"/>
        </w:rPr>
        <w:instrText>particle</w:instrText>
      </w:r>
      <w:r w:rsidR="00015814" w:rsidRPr="00C348F4">
        <w:instrText>":"","</w:instrText>
      </w:r>
      <w:r w:rsidR="00015814" w:rsidRPr="00C348F4">
        <w:rPr>
          <w:lang w:val="en-US"/>
        </w:rPr>
        <w:instrText>parse</w:instrText>
      </w:r>
      <w:r w:rsidR="00015814" w:rsidRPr="00C348F4">
        <w:instrText>-</w:instrText>
      </w:r>
      <w:r w:rsidR="00015814" w:rsidRPr="00C348F4">
        <w:rPr>
          <w:lang w:val="en-US"/>
        </w:rPr>
        <w:instrText>names</w:instrText>
      </w:r>
      <w:r w:rsidR="00015814" w:rsidRPr="00C348F4">
        <w:instrText>":</w:instrText>
      </w:r>
      <w:r w:rsidR="00015814" w:rsidRPr="00C348F4">
        <w:rPr>
          <w:lang w:val="en-US"/>
        </w:rPr>
        <w:instrText>false</w:instrText>
      </w:r>
      <w:r w:rsidR="00015814" w:rsidRPr="00C348F4">
        <w:instrText>,"</w:instrText>
      </w:r>
      <w:r w:rsidR="00015814" w:rsidRPr="00C348F4">
        <w:rPr>
          <w:lang w:val="en-US"/>
        </w:rPr>
        <w:instrText>suffix</w:instrText>
      </w:r>
      <w:r w:rsidR="00015814" w:rsidRPr="00C348F4">
        <w:instrText>":""},{"</w:instrText>
      </w:r>
      <w:r w:rsidR="00015814" w:rsidRPr="00C348F4">
        <w:rPr>
          <w:lang w:val="en-US"/>
        </w:rPr>
        <w:instrText>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mendeley":{"formattedCitation":"[50,51]","plainTextFormattedCitation":"[50,51]","previouslyFormattedCitation":"[50,51]"},"properties":{"noteIndex":0},"schema":"https://github.com/citation-style-language/schema/raw/master/csl-citation.json"}</w:instrText>
      </w:r>
      <w:r w:rsidR="000B0AC3" w:rsidRPr="00C348F4">
        <w:rPr>
          <w:lang w:val="en-US"/>
        </w:rPr>
        <w:fldChar w:fldCharType="separate"/>
      </w:r>
      <w:r w:rsidR="00015814" w:rsidRPr="00C348F4">
        <w:rPr>
          <w:noProof/>
        </w:rPr>
        <w:t>[50,51]</w:t>
      </w:r>
      <w:r w:rsidR="000B0AC3" w:rsidRPr="00C348F4">
        <w:rPr>
          <w:lang w:val="en-US"/>
        </w:rPr>
        <w:fldChar w:fldCharType="end"/>
      </w:r>
      <w:r w:rsidR="004D7374" w:rsidRPr="00C348F4">
        <w:t xml:space="preserve">. </w:t>
      </w:r>
    </w:p>
    <w:p w:rsidR="004D7374" w:rsidRPr="00C348F4" w:rsidRDefault="004D7374" w:rsidP="00691D0D">
      <w:pPr>
        <w:spacing w:line="355" w:lineRule="auto"/>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030520" w:rsidRPr="00C348F4">
        <w:rPr>
          <w:b/>
          <w:spacing w:val="-4"/>
        </w:rPr>
        <w:t xml:space="preserve">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BF0125" w:rsidRPr="00C348F4">
        <w:rPr>
          <w:b/>
          <w:spacing w:val="-4"/>
        </w:rPr>
        <w:t>2</w:t>
      </w:r>
      <w:r w:rsidRPr="00C348F4">
        <w:rPr>
          <w:b/>
          <w:spacing w:val="-4"/>
        </w:rPr>
        <w:t>)</w:t>
      </w:r>
      <w:r w:rsidR="00C740F1" w:rsidRPr="00C348F4">
        <w:rPr>
          <w:b/>
          <w:spacing w:val="-4"/>
        </w:rPr>
        <w:t>.</w:t>
      </w:r>
    </w:p>
    <w:p w:rsidR="00DA5232" w:rsidRPr="00C348F4" w:rsidRDefault="00691D0D" w:rsidP="00BE6A1C">
      <w:pPr>
        <w:pStyle w:val="a"/>
      </w:pPr>
      <w:r w:rsidRPr="00C348F4">
        <w:t>П</w:t>
      </w:r>
      <w:r w:rsidR="00DA5232" w:rsidRPr="00C348F4">
        <w:t>ациент</w:t>
      </w:r>
      <w:r w:rsidRPr="00C348F4">
        <w:t>ам</w:t>
      </w:r>
      <w:r w:rsidR="00DA5232" w:rsidRPr="00C348F4">
        <w:t xml:space="preserve"> с ранним (&lt;24 мес. после последней терапии) </w:t>
      </w:r>
      <w:r w:rsidRPr="00C348F4">
        <w:t xml:space="preserve">рецидивом </w:t>
      </w:r>
      <w:r w:rsidR="00DA5232" w:rsidRPr="00C348F4">
        <w:t>ХЛЛ/ЛМЛ, ранее не получавших ибрутиниб**, вне зависимости от</w:t>
      </w:r>
      <w:r w:rsidR="00030520" w:rsidRPr="00C348F4">
        <w:t xml:space="preserve"> </w:t>
      </w:r>
      <w:r w:rsidRPr="00C348F4">
        <w:t xml:space="preserve">наличия </w:t>
      </w:r>
      <w:r w:rsidR="00DA5232" w:rsidRPr="00C348F4">
        <w:t>делеции 17p</w:t>
      </w:r>
      <w:r w:rsidRPr="00C348F4">
        <w:t xml:space="preserve"> или </w:t>
      </w:r>
      <w:r w:rsidR="00DA5232" w:rsidRPr="00C348F4">
        <w:t xml:space="preserve">мутации </w:t>
      </w:r>
      <w:r w:rsidR="00DA5232" w:rsidRPr="00C348F4">
        <w:rPr>
          <w:i/>
        </w:rPr>
        <w:t>TP53</w:t>
      </w:r>
      <w:r w:rsidR="00DA5232" w:rsidRPr="00C348F4">
        <w:t xml:space="preserve"> в качестве альтернативы ибрутинибу</w:t>
      </w:r>
      <w:r w:rsidR="00EF17E7" w:rsidRPr="00C348F4">
        <w:t>**</w:t>
      </w:r>
      <w:r w:rsidR="00DA5232" w:rsidRPr="00C348F4">
        <w:t xml:space="preserve"> может быть </w:t>
      </w:r>
      <w:r w:rsidR="00DA5232" w:rsidRPr="00C348F4">
        <w:rPr>
          <w:b/>
        </w:rPr>
        <w:t>рекомендован</w:t>
      </w:r>
      <w:r w:rsidRPr="00C348F4">
        <w:rPr>
          <w:b/>
        </w:rPr>
        <w:t>а</w:t>
      </w:r>
      <w:r w:rsidR="00DA5232" w:rsidRPr="00C348F4">
        <w:rPr>
          <w:bCs/>
        </w:rPr>
        <w:t xml:space="preserve"> комбинаци</w:t>
      </w:r>
      <w:r w:rsidRPr="00C348F4">
        <w:rPr>
          <w:bCs/>
        </w:rPr>
        <w:t>я</w:t>
      </w:r>
      <w:r w:rsidR="00DA5232" w:rsidRPr="00C348F4">
        <w:rPr>
          <w:bCs/>
        </w:rPr>
        <w:t xml:space="preserve"> </w:t>
      </w:r>
      <w:r w:rsidR="00AE69C4" w:rsidRPr="00C348F4">
        <w:t xml:space="preserve">венетоклакса </w:t>
      </w:r>
      <w:r w:rsidR="00AE69C4" w:rsidRPr="00C348F4">
        <w:rPr>
          <w:lang w:eastAsia="ru-RU"/>
        </w:rPr>
        <w:t xml:space="preserve">20 мг/сут (нед. 1), 50 мг/сут (нед. 2), 100 мг/сут (нед. 3), 200 мг/сут (нед. 4), 400 мг/сут (нед. 5 и далее), </w:t>
      </w:r>
      <w:r w:rsidR="00AE69C4" w:rsidRPr="00C348F4">
        <w:rPr>
          <w:szCs w:val="24"/>
        </w:rPr>
        <w:t xml:space="preserve">прием в течение 24 мес. начиная с 1-го дня 1-го цикла лечения ритуксимабом** </w:t>
      </w:r>
      <w:r w:rsidR="00AE69C4" w:rsidRPr="00C348F4">
        <w:t xml:space="preserve">и ритуксимаба** </w:t>
      </w:r>
      <w:r w:rsidR="00AE69C4" w:rsidRPr="00C348F4">
        <w:rPr>
          <w:lang w:eastAsia="ru-RU"/>
        </w:rPr>
        <w:t>375 мг/м</w:t>
      </w:r>
      <w:r w:rsidR="00AE69C4" w:rsidRPr="00C348F4">
        <w:rPr>
          <w:vertAlign w:val="superscript"/>
          <w:lang w:eastAsia="ru-RU"/>
        </w:rPr>
        <w:t>2</w:t>
      </w:r>
      <w:r w:rsidR="00AE69C4" w:rsidRPr="00C348F4">
        <w:rPr>
          <w:lang w:eastAsia="ru-RU"/>
        </w:rPr>
        <w:t xml:space="preserve"> в/в кап. через 1 нед. после достижения дозы венетоклакса 400 мг/сут, далее – 500 мг/м</w:t>
      </w:r>
      <w:r w:rsidR="00AE69C4" w:rsidRPr="00C348F4">
        <w:rPr>
          <w:vertAlign w:val="superscript"/>
          <w:lang w:eastAsia="ru-RU"/>
        </w:rPr>
        <w:t>2</w:t>
      </w:r>
      <w:r w:rsidR="00AE69C4" w:rsidRPr="00C348F4">
        <w:rPr>
          <w:lang w:eastAsia="ru-RU"/>
        </w:rPr>
        <w:t xml:space="preserve"> в/в кап. или </w:t>
      </w:r>
      <w:r w:rsidR="00EA3851">
        <w:rPr>
          <w:lang w:eastAsia="ru-RU"/>
        </w:rPr>
        <w:t>1400 мг п/к</w:t>
      </w:r>
      <w:r w:rsidR="00AE69C4" w:rsidRPr="00C348F4">
        <w:rPr>
          <w:lang w:eastAsia="ru-RU"/>
        </w:rPr>
        <w:t xml:space="preserve"> ежемесячно, всего 6 введений</w:t>
      </w:r>
      <w:r w:rsidR="00AE69C4" w:rsidRPr="00C348F4" w:rsidDel="00AE69C4">
        <w:rPr>
          <w:bCs/>
        </w:rPr>
        <w:t xml:space="preserve"> </w:t>
      </w:r>
      <w:r w:rsidRPr="00C348F4">
        <w:rPr>
          <w:bCs/>
        </w:rPr>
        <w:t xml:space="preserve">для применения </w:t>
      </w:r>
      <w:r w:rsidR="00DA5232" w:rsidRPr="00C348F4">
        <w:rPr>
          <w:bCs/>
        </w:rPr>
        <w:t xml:space="preserve">фиксированным курсом </w:t>
      </w:r>
      <w:r w:rsidRPr="00C348F4">
        <w:rPr>
          <w:bCs/>
        </w:rPr>
        <w:t xml:space="preserve">длительностью </w:t>
      </w:r>
      <w:r w:rsidRPr="00C348F4">
        <w:rPr>
          <w:bCs/>
        </w:rPr>
        <w:br/>
      </w:r>
      <w:r w:rsidR="00DA5232" w:rsidRPr="00C348F4">
        <w:rPr>
          <w:bCs/>
        </w:rPr>
        <w:t xml:space="preserve">24 </w:t>
      </w:r>
      <w:r w:rsidR="00F07AA9" w:rsidRPr="00C348F4">
        <w:rPr>
          <w:bCs/>
        </w:rPr>
        <w:t>мес.</w:t>
      </w:r>
      <w:r w:rsidR="00030520" w:rsidRPr="00C348F4">
        <w:rPr>
          <w:bCs/>
        </w:rPr>
        <w:t xml:space="preserve"> </w:t>
      </w:r>
      <w:r w:rsidR="00437AD9" w:rsidRPr="00C348F4">
        <w:t xml:space="preserve">(схемы режимов лечения см. </w:t>
      </w:r>
      <w:r w:rsidRPr="00C348F4">
        <w:t xml:space="preserve">в </w:t>
      </w:r>
      <w:r w:rsidR="00437AD9" w:rsidRPr="00C348F4">
        <w:t>приложени</w:t>
      </w:r>
      <w:r w:rsidRPr="00C348F4">
        <w:t>и</w:t>
      </w:r>
      <w:r w:rsidR="00437AD9" w:rsidRPr="00C348F4">
        <w:t xml:space="preserve"> А3.3)</w:t>
      </w:r>
      <w:r w:rsidR="00EF17E7" w:rsidRPr="00C348F4">
        <w:t xml:space="preserve"> </w:t>
      </w:r>
      <w:r w:rsidR="000B0AC3" w:rsidRPr="00C348F4">
        <w:fldChar w:fldCharType="begin" w:fldLock="1"/>
      </w:r>
      <w:r w:rsidR="00015814" w:rsidRPr="00C348F4">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[54]","plainTextFormattedCitation":"[54]","previouslyFormattedCitation":"[54]"},"properties":{"noteIndex":0},"schema":"https://github.com/citation-style-language/schema/raw/master/csl-citation.json"}</w:instrText>
      </w:r>
      <w:r w:rsidR="000B0AC3" w:rsidRPr="00C348F4">
        <w:fldChar w:fldCharType="separate"/>
      </w:r>
      <w:r w:rsidR="00015814" w:rsidRPr="00C348F4">
        <w:rPr>
          <w:noProof/>
        </w:rPr>
        <w:t>[54]</w:t>
      </w:r>
      <w:r w:rsidR="000B0AC3" w:rsidRPr="00C348F4">
        <w:fldChar w:fldCharType="end"/>
      </w:r>
      <w:r w:rsidR="00DA5232" w:rsidRPr="00C348F4">
        <w:rPr>
          <w:bCs/>
        </w:rPr>
        <w:t xml:space="preserve">. </w:t>
      </w:r>
    </w:p>
    <w:p w:rsidR="009A0687" w:rsidRPr="00691D0D" w:rsidRDefault="009A0687" w:rsidP="00BE6A1C">
      <w:pPr>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lang w:val="en-US"/>
        </w:rPr>
        <w:t>B</w:t>
      </w:r>
      <w:r w:rsidRPr="00C348F4">
        <w:rPr>
          <w:b/>
          <w:spacing w:val="-4"/>
        </w:rPr>
        <w:t xml:space="preserve"> (уровень достоверности </w:t>
      </w:r>
      <w:r w:rsidR="00C20509" w:rsidRPr="00C348F4">
        <w:rPr>
          <w:b/>
          <w:spacing w:val="-4"/>
        </w:rPr>
        <w:t>доказательств</w:t>
      </w:r>
      <w:r w:rsidR="00C20509" w:rsidRPr="00691D0D">
        <w:rPr>
          <w:b/>
          <w:spacing w:val="-4"/>
        </w:rPr>
        <w:t xml:space="preserve"> – </w:t>
      </w:r>
      <w:r w:rsidRPr="00691D0D">
        <w:rPr>
          <w:b/>
          <w:spacing w:val="-4"/>
        </w:rPr>
        <w:t>2).</w:t>
      </w:r>
    </w:p>
    <w:p w:rsidR="006D567B" w:rsidRPr="00C348F4" w:rsidRDefault="00691D0D" w:rsidP="00BE6A1C">
      <w:pPr>
        <w:pStyle w:val="a"/>
      </w:pPr>
      <w:r>
        <w:t>П</w:t>
      </w:r>
      <w:r w:rsidR="006D567B">
        <w:t>ациент</w:t>
      </w:r>
      <w:r>
        <w:t>ам</w:t>
      </w:r>
      <w:r w:rsidR="006D567B">
        <w:t xml:space="preserve"> с ранним </w:t>
      </w:r>
      <w:r w:rsidR="00AD6066">
        <w:t xml:space="preserve">(&lt;24 мес. после последней терапии) </w:t>
      </w:r>
      <w:r>
        <w:t xml:space="preserve">рецидивом </w:t>
      </w:r>
      <w:r w:rsidR="00AD6066">
        <w:t>ХЛЛ/</w:t>
      </w:r>
      <w:r w:rsidR="004A0625">
        <w:t>ЛМЛ, имеющих</w:t>
      </w:r>
      <w:r w:rsidR="00AD6066">
        <w:t xml:space="preserve"> противопоказания к назначению ибрутиниба</w:t>
      </w:r>
      <w:r w:rsidR="001018E4">
        <w:t>**</w:t>
      </w:r>
      <w:r w:rsidR="00AD6066">
        <w:t xml:space="preserve">, </w:t>
      </w:r>
      <w:r w:rsidR="001722D3">
        <w:t>вне зависимости от</w:t>
      </w:r>
      <w:r>
        <w:t xml:space="preserve"> наличия</w:t>
      </w:r>
      <w:r w:rsidR="00EF17E7" w:rsidRPr="00EF17E7">
        <w:t xml:space="preserve"> </w:t>
      </w:r>
      <w:r w:rsidR="001722D3">
        <w:t>делеции 17p</w:t>
      </w:r>
      <w:r>
        <w:t xml:space="preserve"> или </w:t>
      </w:r>
      <w:r w:rsidR="001722D3">
        <w:t xml:space="preserve">мутации </w:t>
      </w:r>
      <w:r w:rsidR="001722D3" w:rsidRPr="00691D0D">
        <w:rPr>
          <w:i/>
        </w:rPr>
        <w:t>TP53</w:t>
      </w:r>
      <w:r w:rsidR="008311A0">
        <w:t xml:space="preserve"> п</w:t>
      </w:r>
      <w:r>
        <w:t>о</w:t>
      </w:r>
      <w:r w:rsidR="008311A0">
        <w:t xml:space="preserve"> возможности</w:t>
      </w:r>
      <w:r w:rsidR="00030520">
        <w:t xml:space="preserve"> </w:t>
      </w:r>
      <w:r w:rsidR="006D567B" w:rsidRPr="00C740F1">
        <w:rPr>
          <w:b/>
        </w:rPr>
        <w:t>рекомендована</w:t>
      </w:r>
      <w:r w:rsidR="006D567B">
        <w:t xml:space="preserve"> комбинация </w:t>
      </w:r>
      <w:r w:rsidR="00444B93">
        <w:t xml:space="preserve">венетоклакса </w:t>
      </w:r>
      <w:r w:rsidR="00444B93" w:rsidRPr="0040662F">
        <w:rPr>
          <w:lang w:eastAsia="ru-RU"/>
        </w:rPr>
        <w:t>20 мг/сут (нед. 1), 50 мг/сут (нед. 2), 100 мг</w:t>
      </w:r>
      <w:r w:rsidR="00444B93">
        <w:rPr>
          <w:lang w:eastAsia="ru-RU"/>
        </w:rPr>
        <w:t>/сут (нед. 3), 200 мг/сут (нед. </w:t>
      </w:r>
      <w:r w:rsidR="00444B93" w:rsidRPr="0040662F">
        <w:rPr>
          <w:lang w:eastAsia="ru-RU"/>
        </w:rPr>
        <w:t xml:space="preserve">4), 400 мг/сут (нед. 5 и далее), </w:t>
      </w:r>
      <w:r w:rsidR="00444B93" w:rsidRPr="0040662F">
        <w:rPr>
          <w:szCs w:val="24"/>
        </w:rPr>
        <w:t>прием в течение 24 мес</w:t>
      </w:r>
      <w:r w:rsidR="00444B93">
        <w:rPr>
          <w:szCs w:val="24"/>
        </w:rPr>
        <w:t>.</w:t>
      </w:r>
      <w:r w:rsidR="00444B93" w:rsidRPr="0040662F">
        <w:rPr>
          <w:szCs w:val="24"/>
        </w:rPr>
        <w:t xml:space="preserve"> начиная с 1-го дня 1-го цикла лечения ритуксимабом</w:t>
      </w:r>
      <w:r w:rsidR="00444B93" w:rsidRPr="00397360">
        <w:rPr>
          <w:szCs w:val="24"/>
        </w:rPr>
        <w:t>**</w:t>
      </w:r>
      <w:r w:rsidR="00444B93" w:rsidRPr="0040662F">
        <w:rPr>
          <w:szCs w:val="24"/>
        </w:rPr>
        <w:t xml:space="preserve"> </w:t>
      </w:r>
      <w:r w:rsidR="00444B93">
        <w:t>и ритуксимаба</w:t>
      </w:r>
      <w:r w:rsidR="00444B93" w:rsidRPr="00E02ECB">
        <w:t>**</w:t>
      </w:r>
      <w:r w:rsidR="00444B93">
        <w:t xml:space="preserve"> </w:t>
      </w:r>
      <w:r w:rsidR="00444B93" w:rsidRPr="0040662F">
        <w:rPr>
          <w:lang w:eastAsia="ru-RU"/>
        </w:rPr>
        <w:t>375 мг/</w:t>
      </w:r>
      <w:r w:rsidR="00444B93" w:rsidRPr="00C348F4">
        <w:rPr>
          <w:lang w:eastAsia="ru-RU"/>
        </w:rPr>
        <w:t>м</w:t>
      </w:r>
      <w:r w:rsidR="00444B93" w:rsidRPr="00C348F4">
        <w:rPr>
          <w:vertAlign w:val="superscript"/>
          <w:lang w:eastAsia="ru-RU"/>
        </w:rPr>
        <w:t>2</w:t>
      </w:r>
      <w:r w:rsidR="00444B93" w:rsidRPr="00C348F4">
        <w:rPr>
          <w:lang w:eastAsia="ru-RU"/>
        </w:rPr>
        <w:t xml:space="preserve"> в/в кап. через 1 нед. после достижения дозы венетоклакса 400 мг/сут, далее – 500 мг/м</w:t>
      </w:r>
      <w:r w:rsidR="00444B93" w:rsidRPr="00C348F4">
        <w:rPr>
          <w:vertAlign w:val="superscript"/>
          <w:lang w:eastAsia="ru-RU"/>
        </w:rPr>
        <w:t>2</w:t>
      </w:r>
      <w:r w:rsidR="00444B93" w:rsidRPr="00C348F4">
        <w:rPr>
          <w:lang w:eastAsia="ru-RU"/>
        </w:rPr>
        <w:t xml:space="preserve"> в/в кап. или </w:t>
      </w:r>
      <w:r w:rsidR="00EA3851">
        <w:rPr>
          <w:lang w:eastAsia="ru-RU"/>
        </w:rPr>
        <w:t>1400 мг п/к</w:t>
      </w:r>
      <w:r w:rsidR="00444B93" w:rsidRPr="00C348F4">
        <w:rPr>
          <w:lang w:eastAsia="ru-RU"/>
        </w:rPr>
        <w:t xml:space="preserve"> ежемесячно, всего 6 введений</w:t>
      </w:r>
      <w:r w:rsidR="00437AD9" w:rsidRPr="00C348F4">
        <w:t xml:space="preserve"> (</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015814" w:rsidRPr="00C348F4">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[54]","plainTextFormattedCitation":"[54]","previouslyFormattedCitation":"[54]"},"properties":{"noteIndex":0},"schema":"https://github.com/citation-style-language/schema/raw/master/csl-citation.json"}</w:instrText>
      </w:r>
      <w:r w:rsidR="000B0AC3" w:rsidRPr="00C348F4">
        <w:fldChar w:fldCharType="separate"/>
      </w:r>
      <w:r w:rsidR="00015814" w:rsidRPr="00C348F4">
        <w:rPr>
          <w:noProof/>
        </w:rPr>
        <w:t>[54]</w:t>
      </w:r>
      <w:r w:rsidR="000B0AC3" w:rsidRPr="00C348F4">
        <w:fldChar w:fldCharType="end"/>
      </w:r>
      <w:r w:rsidR="006D567B" w:rsidRPr="00C348F4">
        <w:t xml:space="preserve">. </w:t>
      </w:r>
    </w:p>
    <w:p w:rsidR="006D567B" w:rsidRPr="00C348F4" w:rsidRDefault="006D567B" w:rsidP="00BE6A1C">
      <w:pPr>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444B93" w:rsidRPr="00C348F4">
        <w:rPr>
          <w:b/>
          <w:spacing w:val="-4"/>
        </w:rPr>
        <w:t xml:space="preserve">В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p>
    <w:p w:rsidR="004D7374" w:rsidRPr="00C348F4" w:rsidRDefault="00691D0D" w:rsidP="00BE6A1C">
      <w:pPr>
        <w:pStyle w:val="a"/>
      </w:pPr>
      <w:r w:rsidRPr="00C348F4">
        <w:t>П</w:t>
      </w:r>
      <w:r w:rsidR="004D7374" w:rsidRPr="00C348F4">
        <w:t>ациент</w:t>
      </w:r>
      <w:r w:rsidRPr="00C348F4">
        <w:t>ам</w:t>
      </w:r>
      <w:r w:rsidR="001722D3" w:rsidRPr="00C348F4">
        <w:t xml:space="preserve"> с ХЛЛ/ЛМЛ моложе 65 лет</w:t>
      </w:r>
      <w:r w:rsidR="004D7374" w:rsidRPr="00C348F4">
        <w:t xml:space="preserve"> без значимой коморбидности, </w:t>
      </w:r>
      <w:r w:rsidRPr="00C348F4">
        <w:t xml:space="preserve">которые </w:t>
      </w:r>
      <w:r w:rsidR="004D7374" w:rsidRPr="00C348F4">
        <w:t xml:space="preserve">в связи с ранним рецидивом или </w:t>
      </w:r>
      <w:r w:rsidRPr="00C348F4">
        <w:t xml:space="preserve">в связи с </w:t>
      </w:r>
      <w:r w:rsidR="004D7374" w:rsidRPr="00C348F4">
        <w:t xml:space="preserve">выявлением </w:t>
      </w:r>
      <w:r w:rsidRPr="00C348F4">
        <w:t>при</w:t>
      </w:r>
      <w:r w:rsidR="004D7374" w:rsidRPr="00C348F4">
        <w:t xml:space="preserve"> рецидиве делеции 17p и/или мутации </w:t>
      </w:r>
      <w:r w:rsidR="004D7374" w:rsidRPr="00C348F4">
        <w:rPr>
          <w:i/>
        </w:rPr>
        <w:t>TP53</w:t>
      </w:r>
      <w:r w:rsidR="00030520" w:rsidRPr="00C348F4">
        <w:t xml:space="preserve"> </w:t>
      </w:r>
      <w:r w:rsidRPr="00C348F4">
        <w:t xml:space="preserve">получали </w:t>
      </w:r>
      <w:r w:rsidR="004D7374" w:rsidRPr="00C348F4">
        <w:t>ибрутиниб</w:t>
      </w:r>
      <w:r w:rsidR="001722D3" w:rsidRPr="00C348F4">
        <w:t>**</w:t>
      </w:r>
      <w:r w:rsidR="004D7374" w:rsidRPr="00C348F4">
        <w:t xml:space="preserve"> или комбинацию венетоклакса с ритуксимабом</w:t>
      </w:r>
      <w:r w:rsidR="001722D3" w:rsidRPr="00C348F4">
        <w:t>**</w:t>
      </w:r>
      <w:r w:rsidRPr="00C348F4">
        <w:t>,</w:t>
      </w:r>
      <w:r w:rsidR="0004059D" w:rsidRPr="00C348F4">
        <w:t xml:space="preserve"> при достижении </w:t>
      </w:r>
      <w:r w:rsidR="004D7374" w:rsidRPr="00C348F4">
        <w:t>объектив</w:t>
      </w:r>
      <w:r w:rsidR="0004059D" w:rsidRPr="00C348F4">
        <w:t>ного</w:t>
      </w:r>
      <w:r w:rsidR="004D7374" w:rsidRPr="00C348F4">
        <w:t xml:space="preserve"> ответ</w:t>
      </w:r>
      <w:r w:rsidR="0004059D" w:rsidRPr="00C348F4">
        <w:t>а</w:t>
      </w:r>
      <w:r w:rsidRPr="00C348F4">
        <w:t xml:space="preserve"> на терапию рецидива</w:t>
      </w:r>
      <w:r w:rsidR="004D7374" w:rsidRPr="00C348F4">
        <w:t xml:space="preserve"> </w:t>
      </w:r>
      <w:r w:rsidR="004D7374" w:rsidRPr="00C348F4">
        <w:rPr>
          <w:b/>
        </w:rPr>
        <w:t>рекоменд</w:t>
      </w:r>
      <w:r w:rsidR="005A0BFC" w:rsidRPr="00C348F4">
        <w:rPr>
          <w:b/>
        </w:rPr>
        <w:t>уется</w:t>
      </w:r>
      <w:r w:rsidR="004D7374" w:rsidRPr="00C348F4">
        <w:t xml:space="preserve"> рассмотреть возможность аллогенной трансплантации гемопоэтических стволовых клеток в качестве консолидации</w:t>
      </w:r>
      <w:r w:rsidR="00EF17E7" w:rsidRPr="00C348F4">
        <w:t xml:space="preserve"> </w:t>
      </w:r>
      <w:r w:rsidR="000B0AC3" w:rsidRPr="00C348F4">
        <w:fldChar w:fldCharType="begin" w:fldLock="1"/>
      </w:r>
      <w:r w:rsidR="00015814" w:rsidRPr="00C348F4">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[45,46]","plainTextFormattedCitation":"[45,46]","previouslyFormattedCitation":"[45,46]"},"properties":{"noteIndex":0},"schema":"https://github.com/citation-style-language/schema/raw/master/csl-citation.json"}</w:instrText>
      </w:r>
      <w:r w:rsidR="000B0AC3" w:rsidRPr="00C348F4">
        <w:fldChar w:fldCharType="separate"/>
      </w:r>
      <w:r w:rsidR="00015814" w:rsidRPr="00C348F4">
        <w:rPr>
          <w:noProof/>
        </w:rPr>
        <w:t>[45,46]</w:t>
      </w:r>
      <w:r w:rsidR="000B0AC3" w:rsidRPr="00C348F4">
        <w:fldChar w:fldCharType="end"/>
      </w:r>
      <w:r w:rsidR="004D7374" w:rsidRPr="00C348F4">
        <w:t xml:space="preserve">. </w:t>
      </w:r>
    </w:p>
    <w:p w:rsidR="004D7374" w:rsidRPr="00C348F4" w:rsidRDefault="004D7374" w:rsidP="00BE6A1C">
      <w:pPr>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Pr="00C348F4">
        <w:rPr>
          <w:b/>
          <w:spacing w:val="-4"/>
        </w:rPr>
        <w:t xml:space="preserve"> (урове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B76E9B" w:rsidRPr="00C348F4">
        <w:rPr>
          <w:b/>
          <w:spacing w:val="-4"/>
        </w:rPr>
        <w:t>.</w:t>
      </w:r>
    </w:p>
    <w:p w:rsidR="004D7374" w:rsidRPr="00C348F4" w:rsidRDefault="00691D0D" w:rsidP="00BE6A1C">
      <w:pPr>
        <w:pStyle w:val="a"/>
      </w:pPr>
      <w:r w:rsidRPr="00C348F4">
        <w:t>П</w:t>
      </w:r>
      <w:r w:rsidR="004D7374" w:rsidRPr="00C348F4">
        <w:t>ациент</w:t>
      </w:r>
      <w:r w:rsidRPr="00C348F4">
        <w:t>ам</w:t>
      </w:r>
      <w:r w:rsidR="00AD7318" w:rsidRPr="00C348F4">
        <w:t xml:space="preserve"> с ХЛЛ/ЛМЛ</w:t>
      </w:r>
      <w:r w:rsidR="004D7374" w:rsidRPr="00C348F4">
        <w:t>,</w:t>
      </w:r>
      <w:r w:rsidR="00DD5F69" w:rsidRPr="00C348F4">
        <w:t xml:space="preserve"> у которых наблюдался рецидив</w:t>
      </w:r>
      <w:r w:rsidR="004D7374" w:rsidRPr="00C348F4">
        <w:t xml:space="preserve"> во время приема ибрутиниба</w:t>
      </w:r>
      <w:r w:rsidR="001722D3" w:rsidRPr="00C348F4">
        <w:t>**</w:t>
      </w:r>
      <w:r w:rsidR="004D7374" w:rsidRPr="00C348F4">
        <w:t xml:space="preserve">, </w:t>
      </w:r>
      <w:r w:rsidR="008311A0" w:rsidRPr="00C348F4">
        <w:t>при наличии возможности</w:t>
      </w:r>
      <w:r w:rsidR="00030520" w:rsidRPr="00C348F4">
        <w:t xml:space="preserve"> </w:t>
      </w:r>
      <w:r w:rsidR="004D7374" w:rsidRPr="00C348F4">
        <w:rPr>
          <w:b/>
          <w:bCs/>
        </w:rPr>
        <w:t>рекоменд</w:t>
      </w:r>
      <w:r w:rsidR="005A0BFC" w:rsidRPr="00C348F4">
        <w:rPr>
          <w:b/>
          <w:bCs/>
        </w:rPr>
        <w:t>уется</w:t>
      </w:r>
      <w:r w:rsidR="009A0687" w:rsidRPr="00C348F4">
        <w:rPr>
          <w:bCs/>
        </w:rPr>
        <w:t xml:space="preserve"> комбинация венетоклакса и ритуксимаба</w:t>
      </w:r>
      <w:r w:rsidR="00C848DD" w:rsidRPr="00C348F4">
        <w:rPr>
          <w:bCs/>
        </w:rPr>
        <w:t>**</w:t>
      </w:r>
      <w:r w:rsidR="009A0687" w:rsidRPr="00C348F4">
        <w:rPr>
          <w:bCs/>
        </w:rPr>
        <w:t xml:space="preserve"> </w:t>
      </w:r>
      <w:r w:rsidR="00437AD9" w:rsidRPr="00C348F4">
        <w:t>(</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015814" w:rsidRPr="00C348F4">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Leukemia.","type":"article-journal","volume":"378"},"uris":["http://www.mendeley.com/documents/?uuid=97ff4fc6-75e3-3334-8c2d-7565875bfa49"]},{"id":"ITEM-2","itemData":{"DOI":"10.1016/S1470-2045(16)30019-5","ISSN":"14745488","abstract":"Background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Oncology","id":"ITEM-2","issue":"6","issued":{"date-parts":[["2016","6","1"]]},"page":"768-778","publisher":"Lancet Publishing Group","title":"Venetoclax in relapsed or refractory chronic lymphocytic leukaemia with 17p deletion: a multicentre, open-label, phase 2 study","type":"article-journal","volume":"17"},"uris":["http://www.mendeley.com/documents/?uuid=5b6cb042-b045-3e90-ae34-61c5795111c5"]}],"mendeley":{"formattedCitation":"[47,54]","plainTextFormattedCitation":"[47,54]","previouslyFormattedCitation":"[47,54]"},"properties":{"noteIndex":0},"schema":"https://github.com/citation-style-language/schema/raw/master/csl-citation.json"}</w:instrText>
      </w:r>
      <w:r w:rsidR="000B0AC3" w:rsidRPr="00C348F4">
        <w:fldChar w:fldCharType="separate"/>
      </w:r>
      <w:r w:rsidR="00015814" w:rsidRPr="00C348F4">
        <w:rPr>
          <w:noProof/>
        </w:rPr>
        <w:t>[47,54]</w:t>
      </w:r>
      <w:r w:rsidR="000B0AC3" w:rsidRPr="00C348F4">
        <w:fldChar w:fldCharType="end"/>
      </w:r>
      <w:r w:rsidR="004D7374" w:rsidRPr="00C348F4">
        <w:t xml:space="preserve">. </w:t>
      </w:r>
    </w:p>
    <w:p w:rsidR="004D7374" w:rsidRPr="00691D0D" w:rsidRDefault="004D7374" w:rsidP="00BE6A1C">
      <w:pPr>
        <w:contextualSpacing/>
        <w:rPr>
          <w:b/>
          <w:spacing w:val="-4"/>
        </w:rPr>
      </w:pPr>
      <w:r w:rsidRPr="00C348F4">
        <w:rPr>
          <w:b/>
          <w:spacing w:val="-4"/>
        </w:rPr>
        <w:lastRenderedPageBreak/>
        <w:t xml:space="preserve">Уровень убедительности </w:t>
      </w:r>
      <w:r w:rsidR="00C20509" w:rsidRPr="00C348F4">
        <w:rPr>
          <w:b/>
          <w:spacing w:val="-4"/>
        </w:rPr>
        <w:t xml:space="preserve">рекомендаций – </w:t>
      </w:r>
      <w:r w:rsidR="001E3D61" w:rsidRPr="00C348F4">
        <w:rPr>
          <w:b/>
          <w:spacing w:val="-4"/>
        </w:rPr>
        <w:t>В</w:t>
      </w:r>
      <w:r w:rsidR="006919DC" w:rsidRPr="00C348F4">
        <w:rPr>
          <w:b/>
          <w:spacing w:val="-4"/>
        </w:rPr>
        <w:t xml:space="preserve"> </w:t>
      </w:r>
      <w:r w:rsidRPr="00C348F4">
        <w:rPr>
          <w:b/>
          <w:spacing w:val="-4"/>
        </w:rPr>
        <w:t xml:space="preserve">(уровень достоверности </w:t>
      </w:r>
      <w:r w:rsidR="00C20509" w:rsidRPr="00C348F4">
        <w:rPr>
          <w:b/>
          <w:spacing w:val="-4"/>
        </w:rPr>
        <w:t>доказательств</w:t>
      </w:r>
      <w:r w:rsidR="00C20509" w:rsidRPr="00691D0D">
        <w:rPr>
          <w:b/>
          <w:spacing w:val="-4"/>
        </w:rPr>
        <w:t xml:space="preserve"> – </w:t>
      </w:r>
      <w:r w:rsidR="001E3D61" w:rsidRPr="00691D0D">
        <w:rPr>
          <w:b/>
          <w:spacing w:val="-4"/>
        </w:rPr>
        <w:t>3</w:t>
      </w:r>
      <w:r w:rsidRPr="00691D0D">
        <w:rPr>
          <w:b/>
          <w:spacing w:val="-4"/>
        </w:rPr>
        <w:t>)</w:t>
      </w:r>
      <w:r w:rsidR="00B76E9B" w:rsidRPr="00691D0D">
        <w:rPr>
          <w:b/>
          <w:spacing w:val="-4"/>
        </w:rPr>
        <w:t>.</w:t>
      </w:r>
    </w:p>
    <w:p w:rsidR="00C848DD" w:rsidRPr="00C348F4" w:rsidRDefault="00C848DD" w:rsidP="00BE6A1C">
      <w:pPr>
        <w:pStyle w:val="a"/>
      </w:pPr>
      <w:r w:rsidRPr="006B609E">
        <w:t>Пациентам</w:t>
      </w:r>
      <w:r>
        <w:t>,</w:t>
      </w:r>
      <w:r w:rsidRPr="006B609E">
        <w:t xml:space="preserve"> </w:t>
      </w:r>
      <w:r>
        <w:t xml:space="preserve">получающим ритуксимаб** по поводу рецидива либо рефрактерного течения </w:t>
      </w:r>
      <w:r w:rsidRPr="006B609E">
        <w:t>ХЛЛ/ЛМЛ</w:t>
      </w:r>
      <w:r>
        <w:t xml:space="preserve">, при </w:t>
      </w:r>
      <w:r w:rsidR="00691D0D">
        <w:t>сложности осуществления венозного доступа</w:t>
      </w:r>
      <w:r>
        <w:t xml:space="preserve"> начиная со </w:t>
      </w:r>
      <w:r w:rsidR="00691D0D">
        <w:t>2-й</w:t>
      </w:r>
      <w:r>
        <w:t xml:space="preserve"> дозы </w:t>
      </w:r>
      <w:r w:rsidRPr="00136052">
        <w:t>может быть</w:t>
      </w:r>
      <w:r>
        <w:t xml:space="preserve"> </w:t>
      </w:r>
      <w:r w:rsidRPr="00C348F4">
        <w:rPr>
          <w:b/>
        </w:rPr>
        <w:t>рекомендован</w:t>
      </w:r>
      <w:r w:rsidR="00D44A1A" w:rsidRPr="00C348F4">
        <w:rPr>
          <w:b/>
        </w:rPr>
        <w:t>о</w:t>
      </w:r>
      <w:r w:rsidRPr="00C348F4">
        <w:rPr>
          <w:b/>
        </w:rPr>
        <w:t xml:space="preserve"> </w:t>
      </w:r>
      <w:r w:rsidR="00D44A1A" w:rsidRPr="00C348F4">
        <w:t xml:space="preserve">применение подкожной формы </w:t>
      </w:r>
      <w:r w:rsidRPr="00C348F4">
        <w:t>ритуксимаб</w:t>
      </w:r>
      <w:r w:rsidR="00D44A1A" w:rsidRPr="00C348F4">
        <w:t>а</w:t>
      </w:r>
      <w:r w:rsidRPr="00C348F4">
        <w:t>** в фиксированной дозе 1600 мг</w:t>
      </w:r>
      <w:r w:rsidR="00444B93" w:rsidRPr="00C348F4">
        <w:t xml:space="preserve"> </w:t>
      </w:r>
      <w:r w:rsidRPr="00C348F4">
        <w:t>(</w:t>
      </w:r>
      <w:r w:rsidR="00AA4B03" w:rsidRPr="00C348F4">
        <w:t xml:space="preserve">схемы режимов лечения см. в приложении </w:t>
      </w:r>
      <w:r w:rsidRPr="00C348F4">
        <w:t xml:space="preserve">А3.3) </w:t>
      </w:r>
      <w:r w:rsidR="000B0AC3" w:rsidRPr="00C348F4">
        <w:fldChar w:fldCharType="begin" w:fldLock="1"/>
      </w:r>
      <w:r w:rsidR="00015814" w:rsidRPr="00C348F4">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[30]","plainTextFormattedCitation":"[30]","previouslyFormattedCitation":"[30]"},"properties":{"noteIndex":0},"schema":"https://github.com/citation-style-language/schema/raw/master/csl-citation.json"}</w:instrText>
      </w:r>
      <w:r w:rsidR="000B0AC3" w:rsidRPr="00C348F4">
        <w:fldChar w:fldCharType="separate"/>
      </w:r>
      <w:r w:rsidR="00015814" w:rsidRPr="00C348F4">
        <w:rPr>
          <w:noProof/>
        </w:rPr>
        <w:t>[30]</w:t>
      </w:r>
      <w:r w:rsidR="000B0AC3" w:rsidRPr="00C348F4">
        <w:fldChar w:fldCharType="end"/>
      </w:r>
      <w:r w:rsidRPr="00C348F4">
        <w:t>.</w:t>
      </w:r>
    </w:p>
    <w:p w:rsidR="00C848DD" w:rsidRPr="00C348F4" w:rsidRDefault="00C848DD" w:rsidP="00BE6A1C">
      <w:pPr>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lang w:val="en-US"/>
        </w:rPr>
        <w:t>A</w:t>
      </w:r>
      <w:r w:rsidRPr="00C348F4">
        <w:rPr>
          <w:b/>
          <w:spacing w:val="-4"/>
        </w:rPr>
        <w:t xml:space="preserve"> (уровень достоверности </w:t>
      </w:r>
      <w:r w:rsidR="00C20509" w:rsidRPr="00C348F4">
        <w:rPr>
          <w:b/>
          <w:spacing w:val="-4"/>
        </w:rPr>
        <w:t xml:space="preserve">доказательств – </w:t>
      </w:r>
      <w:r w:rsidRPr="00C348F4">
        <w:rPr>
          <w:b/>
          <w:spacing w:val="-4"/>
        </w:rPr>
        <w:t>2).</w:t>
      </w:r>
    </w:p>
    <w:p w:rsidR="00B63021" w:rsidRPr="00C348F4" w:rsidRDefault="00691D0D" w:rsidP="00BE6A1C">
      <w:pPr>
        <w:pStyle w:val="a"/>
      </w:pPr>
      <w:r w:rsidRPr="00C348F4">
        <w:t>Пациентам</w:t>
      </w:r>
      <w:r w:rsidR="004D639D" w:rsidRPr="00C348F4">
        <w:t xml:space="preserve"> с ранним рецидивом</w:t>
      </w:r>
      <w:r w:rsidR="00B63021" w:rsidRPr="00C348F4">
        <w:t xml:space="preserve"> </w:t>
      </w:r>
      <w:r w:rsidR="004D639D" w:rsidRPr="00C348F4">
        <w:t xml:space="preserve">(&lt;24 мес. после последней терапии либо во время приема ибрутиниба**) </w:t>
      </w:r>
      <w:r w:rsidRPr="00C348F4">
        <w:t xml:space="preserve">либо рефрактерным течением ХЛЛ/ЛМЛ </w:t>
      </w:r>
      <w:r w:rsidR="004D639D" w:rsidRPr="00C348F4">
        <w:t>вне зависимости от</w:t>
      </w:r>
      <w:r w:rsidR="00030520" w:rsidRPr="00C348F4">
        <w:t xml:space="preserve"> </w:t>
      </w:r>
      <w:r w:rsidRPr="00C348F4">
        <w:t xml:space="preserve">наличия </w:t>
      </w:r>
      <w:r w:rsidR="004D639D" w:rsidRPr="00C348F4">
        <w:t>делеции 17p</w:t>
      </w:r>
      <w:r w:rsidRPr="00C348F4">
        <w:t xml:space="preserve"> или </w:t>
      </w:r>
      <w:r w:rsidR="004D639D" w:rsidRPr="00C348F4">
        <w:t xml:space="preserve">мутации </w:t>
      </w:r>
      <w:r w:rsidR="004D639D" w:rsidRPr="00C348F4">
        <w:rPr>
          <w:i/>
        </w:rPr>
        <w:t>TP53</w:t>
      </w:r>
      <w:r w:rsidR="004D639D" w:rsidRPr="00C348F4">
        <w:t xml:space="preserve">, </w:t>
      </w:r>
      <w:r w:rsidRPr="00C348F4">
        <w:t>если отсутствует</w:t>
      </w:r>
      <w:r w:rsidR="00B63021" w:rsidRPr="00C348F4">
        <w:t xml:space="preserve"> возможност</w:t>
      </w:r>
      <w:r w:rsidRPr="00C348F4">
        <w:t>ь</w:t>
      </w:r>
      <w:r w:rsidR="00B63021" w:rsidRPr="00C348F4">
        <w:t xml:space="preserve"> проведения терапии </w:t>
      </w:r>
      <w:r w:rsidR="009055DE" w:rsidRPr="00C348F4">
        <w:t>ибрутинибом** или венетокла</w:t>
      </w:r>
      <w:r w:rsidRPr="00C348F4">
        <w:t>к</w:t>
      </w:r>
      <w:r w:rsidR="009055DE" w:rsidRPr="00C348F4">
        <w:t>сом</w:t>
      </w:r>
      <w:r w:rsidR="00B63021" w:rsidRPr="00C348F4">
        <w:t xml:space="preserve">, </w:t>
      </w:r>
      <w:r w:rsidR="00B63021" w:rsidRPr="00C348F4">
        <w:rPr>
          <w:b/>
        </w:rPr>
        <w:t>рекоменд</w:t>
      </w:r>
      <w:r w:rsidR="005A0BFC" w:rsidRPr="00C348F4">
        <w:rPr>
          <w:b/>
        </w:rPr>
        <w:t>уется</w:t>
      </w:r>
      <w:r w:rsidR="00B63021" w:rsidRPr="00C348F4">
        <w:t xml:space="preserve"> консультация в федеральном центре с рассмотрением возможности проведения современной терапии в федеральном центре</w:t>
      </w:r>
      <w:r w:rsidR="008502F5" w:rsidRPr="00C348F4">
        <w:t>,</w:t>
      </w:r>
      <w:r w:rsidR="00B63021" w:rsidRPr="00C348F4">
        <w:t xml:space="preserve"> или участия пациента в клиническом исследовании, </w:t>
      </w:r>
      <w:r w:rsidR="008502F5" w:rsidRPr="00C348F4">
        <w:t>или</w:t>
      </w:r>
      <w:r w:rsidR="00B63021" w:rsidRPr="00C348F4">
        <w:t xml:space="preserve">, в крайнем случае, </w:t>
      </w:r>
      <w:r w:rsidR="008502F5" w:rsidRPr="00C348F4">
        <w:t>иммунохимиотерапии в</w:t>
      </w:r>
      <w:r w:rsidR="00B63021" w:rsidRPr="00C348F4">
        <w:t xml:space="preserve"> альтернативн</w:t>
      </w:r>
      <w:r w:rsidR="008502F5" w:rsidRPr="00C348F4">
        <w:t>о</w:t>
      </w:r>
      <w:r w:rsidR="00B63021" w:rsidRPr="00C348F4">
        <w:t>м режим</w:t>
      </w:r>
      <w:r w:rsidR="008502F5" w:rsidRPr="00C348F4">
        <w:t>е</w:t>
      </w:r>
      <w:r w:rsidR="00B63021" w:rsidRPr="00C348F4">
        <w:t xml:space="preserve"> </w:t>
      </w:r>
      <w:r w:rsidR="000B0AC3" w:rsidRPr="00C348F4">
        <w:fldChar w:fldCharType="begin" w:fldLock="1"/>
      </w:r>
      <w:r w:rsidR="00015814" w:rsidRPr="00C348F4">
        <w:instrText>ADDIN CSL_CITATION {"citationItems":[{"id":"ITEM-1","itemData":{"id":"ITEM-1","issued":{"date-parts":[["2019"]]},"title":"National Comprehensive Cancer Network. NCCN Practice Guidelines in Oncology. Chronic Lymphocytic Leukemia/Small Lymphocytic Lymphoma","type":"article"},"uris":["http://www.mendeley.com/documents/?uuid=a70d8e98-908f-4c8c-be39-a397e9ab7a92"]},{"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[16,29]","plainTextFormattedCitation":"[16,29]","previouslyFormattedCitation":"[16,29]"},"properties":{"noteIndex":0},"schema":"https://github.com/citation-style-language/schema/raw/master/csl-citation.json"}</w:instrText>
      </w:r>
      <w:r w:rsidR="000B0AC3" w:rsidRPr="00C348F4">
        <w:fldChar w:fldCharType="separate"/>
      </w:r>
      <w:r w:rsidR="00015814" w:rsidRPr="00C348F4">
        <w:rPr>
          <w:noProof/>
        </w:rPr>
        <w:t>[16,29]</w:t>
      </w:r>
      <w:r w:rsidR="000B0AC3" w:rsidRPr="00C348F4">
        <w:fldChar w:fldCharType="end"/>
      </w:r>
      <w:r w:rsidR="00B63021" w:rsidRPr="00C348F4">
        <w:t>.</w:t>
      </w:r>
    </w:p>
    <w:p w:rsidR="00C848DD" w:rsidRPr="00C348F4" w:rsidRDefault="001E3D61" w:rsidP="00BE6A1C">
      <w:pPr>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rPr>
        <w:t xml:space="preserve">С (уровень достоверности </w:t>
      </w:r>
      <w:r w:rsidR="00C20509" w:rsidRPr="00C348F4">
        <w:rPr>
          <w:b/>
          <w:spacing w:val="-4"/>
        </w:rPr>
        <w:t xml:space="preserve">доказательств – </w:t>
      </w:r>
      <w:r w:rsidRPr="00C348F4">
        <w:rPr>
          <w:b/>
          <w:spacing w:val="-4"/>
        </w:rPr>
        <w:t>5).</w:t>
      </w:r>
    </w:p>
    <w:p w:rsidR="00924BCE" w:rsidRPr="00C348F4" w:rsidRDefault="00924BCE" w:rsidP="00924BCE">
      <w:pPr>
        <w:pStyle w:val="2"/>
        <w:contextualSpacing/>
      </w:pPr>
      <w:bookmarkStart w:id="50" w:name="_Toc24546442"/>
      <w:bookmarkStart w:id="51" w:name="_Toc23601729"/>
      <w:r w:rsidRPr="00C348F4">
        <w:t>3.4</w:t>
      </w:r>
      <w:r w:rsidR="00397360" w:rsidRPr="00C348F4">
        <w:t>.</w:t>
      </w:r>
      <w:r w:rsidRPr="00C348F4">
        <w:t xml:space="preserve"> Сопутствующая и сопроводительная терапия</w:t>
      </w:r>
      <w:bookmarkEnd w:id="50"/>
      <w:bookmarkEnd w:id="51"/>
    </w:p>
    <w:p w:rsidR="00943A3B" w:rsidRPr="00C348F4" w:rsidRDefault="00943A3B" w:rsidP="00BE6A1C">
      <w:pPr>
        <w:pStyle w:val="a"/>
      </w:pPr>
      <w:r w:rsidRPr="00C348F4">
        <w:t xml:space="preserve">Пациентам </w:t>
      </w:r>
      <w:r w:rsidRPr="00C348F4">
        <w:rPr>
          <w:lang w:val="en-US"/>
        </w:rPr>
        <w:t>c</w:t>
      </w:r>
      <w:r w:rsidRPr="00C348F4">
        <w:t xml:space="preserve"> ХЛЛ/ЛМЛ на любом этапе лечения, у которых выявл</w:t>
      </w:r>
      <w:r w:rsidR="008502F5" w:rsidRPr="00C348F4">
        <w:t>ен</w:t>
      </w:r>
      <w:r w:rsidRPr="00C348F4">
        <w:t xml:space="preserve"> уровень иммуноглобулина G </w:t>
      </w:r>
      <w:r w:rsidR="008502F5" w:rsidRPr="00C348F4">
        <w:t>&lt;</w:t>
      </w:r>
      <w:r w:rsidRPr="00C348F4">
        <w:t xml:space="preserve">5 г/л и отмечаются рецидивирующие бактериальные инфекции, </w:t>
      </w:r>
      <w:r w:rsidRPr="00C348F4">
        <w:rPr>
          <w:b/>
        </w:rPr>
        <w:t>рекомендовано</w:t>
      </w:r>
      <w:r w:rsidRPr="00C348F4">
        <w:t xml:space="preserve"> при наличии возможности проведение постоянной заместительной терапии внутривенным иммуноглобулином</w:t>
      </w:r>
      <w:r w:rsidR="00A43693" w:rsidRPr="00C348F4">
        <w:t xml:space="preserve"> для снижения риска инфекционных осложнений</w:t>
      </w:r>
      <w:r w:rsidR="00EF17E7" w:rsidRPr="00C348F4">
        <w:t xml:space="preserve"> </w:t>
      </w:r>
      <w:r w:rsidR="000B0AC3" w:rsidRPr="00C348F4">
        <w:fldChar w:fldCharType="begin" w:fldLock="1"/>
      </w:r>
      <w:r w:rsidR="00055701">
        <w:instrText>ADDIN CSL_CITATION {"citationItems":[{"id":"ITEM-1","itemData":{"DOI":"10.1080/10428190902856824","ISSN":"1029-2403","PMID":"19330654","abstract":"The role of intravenous immunoglobulins (IVIG) prophylaxis in hypogammaglobulinemic patients with lymphoproliferative disorders (LPD) and plasma cell dyscrasias (PCD) has not been established. We performed a systematic review and meta-analysis of randomized-controlled trials comparing prophylaxis with polyvalent IVIG versus control. The primary outcomes were all-cause mortality and major infections. Nine trials, assessing patients with chronic lymphocytic leukemia (CLL) and multiple myeloma (MM), were included. No survival benefit could be demonstrated, RR 1.36 (95% CI 0.58-3.19, two trials), but there was a significant decrease in the occurrence of major infections, RR 0.45 (95% CI 0.27-0.75, three trials) and a significant reduction in clinically documented infections, RR 0.49 (95% CI 0.39-0.61, three trials). Adverse events, usually not requiring discontinuation of IVIG, occurred significantly more with IVIG. On the basis of the available data, IVIG cannot be recommended routinely for patients with CLL or MM with hypogammaglobulinemia and/or recurrent infections and should be considered on individual basis.","author":[{"dropping-particle":"","family":"Raanani","given":"Pia","non-dropping-particle":"","parse-names":false,"suffix":""},{"dropping-particle":"","family":"Gafter-Gvili","given":"Anat","non-dropping-particle":"","parse-names":false,"suffix":""},{"dropping-particle":"","family":"Paul","given":"Mical","non-dropping-particle":"","parse-names":false,"suffix":""},{"dropping-particle":"","family":"Ben-Bassat","given":"Isaac","non-dropping-particle":"","parse-names":false,"suffix":""},{"dropping-particle":"","family":"Leibovici","given":"Leonard","non-dropping-particle":"","parse-names":false,"suffix":""},{"dropping-particle":"","family":"Shpilberg","given":"Ofer","non-dropping-particle":"","parse-names":false,"suffix":""}],"container-title":"Leukemia &amp; lymphoma","id":"ITEM-1","issue":"5","issued":{"date-parts":[["2009","5"]]},"page":"764-72","title":"Immunoglobulin prophylaxis in chronic lymphocytic leukemia and multiple myeloma: systematic review and meta-analysis.","type":"article-journal","volume":"50"},"uris":["http://www.mendeley.com/documents/?uuid=c710b816-25f2-3fce-863a-ebaaa3a6843d"]}],"mendeley":{"formattedCitation":"[56]","plainTextFormattedCitation":"[56]","previouslyFormattedCitation":"[55]"},"properties":{"noteIndex":0},"schema":"https://github.com/citation-style-language/schema/raw/master/csl-citation.json"}</w:instrText>
      </w:r>
      <w:r w:rsidR="000B0AC3" w:rsidRPr="00C348F4">
        <w:fldChar w:fldCharType="separate"/>
      </w:r>
      <w:r w:rsidR="00055701" w:rsidRPr="00055701">
        <w:rPr>
          <w:noProof/>
        </w:rPr>
        <w:t>[56]</w:t>
      </w:r>
      <w:r w:rsidR="000B0AC3" w:rsidRPr="00C348F4">
        <w:fldChar w:fldCharType="end"/>
      </w:r>
      <w:r w:rsidRPr="00C348F4">
        <w:t xml:space="preserve">. </w:t>
      </w:r>
    </w:p>
    <w:p w:rsidR="00943A3B" w:rsidRPr="008502F5" w:rsidRDefault="00943A3B" w:rsidP="00BE6A1C">
      <w:pPr>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A (уровень достоверности </w:t>
      </w:r>
      <w:r w:rsidR="00C20509" w:rsidRPr="008502F5">
        <w:rPr>
          <w:b/>
          <w:spacing w:val="-4"/>
        </w:rPr>
        <w:t xml:space="preserve">доказательств – </w:t>
      </w:r>
      <w:r w:rsidR="00994323" w:rsidRPr="008502F5">
        <w:rPr>
          <w:b/>
          <w:spacing w:val="-4"/>
        </w:rPr>
        <w:t>1</w:t>
      </w:r>
      <w:r w:rsidRPr="008502F5">
        <w:rPr>
          <w:b/>
          <w:spacing w:val="-4"/>
        </w:rPr>
        <w:t>).</w:t>
      </w:r>
    </w:p>
    <w:p w:rsidR="00994323" w:rsidRPr="006B609E" w:rsidRDefault="00943A3B" w:rsidP="00BE6A1C">
      <w:pPr>
        <w:contextualSpacing/>
        <w:rPr>
          <w:i/>
        </w:rPr>
      </w:pPr>
      <w:r w:rsidRPr="006B609E">
        <w:rPr>
          <w:b/>
        </w:rPr>
        <w:t>Комментарии:</w:t>
      </w:r>
      <w:r w:rsidR="00030520">
        <w:rPr>
          <w:b/>
        </w:rPr>
        <w:t xml:space="preserve"> </w:t>
      </w:r>
      <w:r w:rsidR="008502F5">
        <w:rPr>
          <w:i/>
        </w:rPr>
        <w:t>и</w:t>
      </w:r>
      <w:r w:rsidRPr="006B609E">
        <w:rPr>
          <w:i/>
        </w:rPr>
        <w:t xml:space="preserve">нфекции являются </w:t>
      </w:r>
      <w:r w:rsidR="008502F5">
        <w:rPr>
          <w:i/>
        </w:rPr>
        <w:t>главной</w:t>
      </w:r>
      <w:r w:rsidRPr="006B609E">
        <w:rPr>
          <w:i/>
        </w:rPr>
        <w:t xml:space="preserve"> причиной смерти у 10–15</w:t>
      </w:r>
      <w:r w:rsidR="00DD3D1E">
        <w:rPr>
          <w:i/>
        </w:rPr>
        <w:t xml:space="preserve"> %</w:t>
      </w:r>
      <w:r w:rsidRPr="006B609E">
        <w:rPr>
          <w:i/>
        </w:rPr>
        <w:t xml:space="preserve"> </w:t>
      </w:r>
      <w:r w:rsidR="00573998">
        <w:rPr>
          <w:i/>
        </w:rPr>
        <w:t>пациентов с</w:t>
      </w:r>
      <w:r w:rsidR="00573998" w:rsidRPr="006B609E">
        <w:rPr>
          <w:i/>
        </w:rPr>
        <w:t xml:space="preserve"> </w:t>
      </w:r>
      <w:r w:rsidR="000648CB">
        <w:rPr>
          <w:i/>
        </w:rPr>
        <w:t>ХЛЛ</w:t>
      </w:r>
      <w:r w:rsidR="008502F5">
        <w:rPr>
          <w:i/>
        </w:rPr>
        <w:t>. В </w:t>
      </w:r>
      <w:r w:rsidRPr="006B609E">
        <w:rPr>
          <w:i/>
        </w:rPr>
        <w:t>нескольких рандомизированных исследованиях показан</w:t>
      </w:r>
      <w:r w:rsidR="008502F5">
        <w:rPr>
          <w:i/>
        </w:rPr>
        <w:t>о, что</w:t>
      </w:r>
      <w:r w:rsidRPr="006B609E">
        <w:rPr>
          <w:i/>
        </w:rPr>
        <w:t xml:space="preserve"> постоянн</w:t>
      </w:r>
      <w:r w:rsidR="008502F5">
        <w:rPr>
          <w:i/>
        </w:rPr>
        <w:t>ая</w:t>
      </w:r>
      <w:r w:rsidRPr="006B609E">
        <w:rPr>
          <w:i/>
        </w:rPr>
        <w:t xml:space="preserve"> заместительн</w:t>
      </w:r>
      <w:r w:rsidR="008502F5">
        <w:rPr>
          <w:i/>
        </w:rPr>
        <w:t>ая</w:t>
      </w:r>
      <w:r w:rsidRPr="006B609E">
        <w:rPr>
          <w:i/>
        </w:rPr>
        <w:t xml:space="preserve"> терапи</w:t>
      </w:r>
      <w:r w:rsidR="008502F5">
        <w:rPr>
          <w:i/>
        </w:rPr>
        <w:t>я</w:t>
      </w:r>
      <w:r w:rsidRPr="006B609E">
        <w:rPr>
          <w:i/>
        </w:rPr>
        <w:t xml:space="preserve"> внутривенным иммуноглобулином </w:t>
      </w:r>
      <w:r w:rsidR="008502F5">
        <w:rPr>
          <w:i/>
        </w:rPr>
        <w:t>эффективно снижает</w:t>
      </w:r>
      <w:r w:rsidRPr="006B609E">
        <w:rPr>
          <w:i/>
        </w:rPr>
        <w:t xml:space="preserve"> </w:t>
      </w:r>
      <w:r w:rsidR="008502F5">
        <w:rPr>
          <w:i/>
        </w:rPr>
        <w:t>частоту</w:t>
      </w:r>
      <w:r w:rsidRPr="006B609E">
        <w:rPr>
          <w:i/>
        </w:rPr>
        <w:t xml:space="preserve"> бактериальных инфекций. Эффект наиболее значим в подгруппе </w:t>
      </w:r>
      <w:r w:rsidR="00573998">
        <w:rPr>
          <w:i/>
        </w:rPr>
        <w:t>пациентов</w:t>
      </w:r>
      <w:r w:rsidR="00573998" w:rsidRPr="006B609E">
        <w:rPr>
          <w:i/>
        </w:rPr>
        <w:t xml:space="preserve"> </w:t>
      </w:r>
      <w:r w:rsidRPr="006B609E">
        <w:rPr>
          <w:i/>
        </w:rPr>
        <w:t>с гипогаммаглобулинемией и рецидивирующими инфекциями</w:t>
      </w:r>
      <w:r w:rsidR="008502F5">
        <w:rPr>
          <w:i/>
        </w:rPr>
        <w:t>, п</w:t>
      </w:r>
      <w:r w:rsidRPr="006B609E">
        <w:rPr>
          <w:i/>
        </w:rPr>
        <w:t xml:space="preserve">оэтому заместительная терапия в настоящее время рекомендуется только этой категории </w:t>
      </w:r>
      <w:r w:rsidR="00573998">
        <w:rPr>
          <w:i/>
        </w:rPr>
        <w:t>пациентов.</w:t>
      </w:r>
      <w:r w:rsidR="00573998" w:rsidRPr="006B609E">
        <w:rPr>
          <w:i/>
        </w:rPr>
        <w:t xml:space="preserve"> </w:t>
      </w:r>
    </w:p>
    <w:p w:rsidR="00943A3B" w:rsidRPr="006B609E" w:rsidRDefault="00994323" w:rsidP="00BE6A1C">
      <w:pPr>
        <w:contextualSpacing/>
        <w:rPr>
          <w:i/>
        </w:rPr>
      </w:pPr>
      <w:r w:rsidRPr="006B609E">
        <w:rPr>
          <w:i/>
        </w:rPr>
        <w:t>Внутривенный иммуноглобулин назначается в виде разовых инъекций в дозе 200</w:t>
      </w:r>
      <w:r w:rsidR="008502F5">
        <w:rPr>
          <w:i/>
        </w:rPr>
        <w:t>–</w:t>
      </w:r>
      <w:r w:rsidRPr="006B609E">
        <w:rPr>
          <w:i/>
        </w:rPr>
        <w:t xml:space="preserve">400 мг/кг </w:t>
      </w:r>
      <w:r w:rsidR="008502F5">
        <w:rPr>
          <w:i/>
        </w:rPr>
        <w:t>1</w:t>
      </w:r>
      <w:r w:rsidRPr="006B609E">
        <w:rPr>
          <w:i/>
        </w:rPr>
        <w:t xml:space="preserve"> раз в месяц в течение года. Цель терапии состоит в поддержании уровня IgG на уровне </w:t>
      </w:r>
      <w:r w:rsidR="008502F5" w:rsidRPr="00397360">
        <w:rPr>
          <w:i/>
        </w:rPr>
        <w:t>&gt;</w:t>
      </w:r>
      <w:r w:rsidRPr="006B609E">
        <w:rPr>
          <w:i/>
        </w:rPr>
        <w:t>5 г/л. При подборе дозы и кратности введений ориентируются на пиковую и минимальную концентраци</w:t>
      </w:r>
      <w:r w:rsidR="008502F5">
        <w:rPr>
          <w:i/>
        </w:rPr>
        <w:t>ю</w:t>
      </w:r>
      <w:r w:rsidRPr="006B609E">
        <w:rPr>
          <w:i/>
        </w:rPr>
        <w:t xml:space="preserve"> IgG. Контроль пиковой концентрации </w:t>
      </w:r>
      <w:r w:rsidRPr="006B609E">
        <w:rPr>
          <w:i/>
          <w:lang w:val="en-US"/>
        </w:rPr>
        <w:t>IgG</w:t>
      </w:r>
      <w:r w:rsidRPr="006B609E">
        <w:rPr>
          <w:i/>
        </w:rPr>
        <w:t xml:space="preserve"> осуществляют </w:t>
      </w:r>
      <w:r w:rsidR="008502F5" w:rsidRPr="006B609E">
        <w:rPr>
          <w:i/>
        </w:rPr>
        <w:t xml:space="preserve">не ранее чем через сутки </w:t>
      </w:r>
      <w:r w:rsidRPr="006B609E">
        <w:rPr>
          <w:i/>
        </w:rPr>
        <w:t xml:space="preserve">после </w:t>
      </w:r>
      <w:r w:rsidR="008502F5">
        <w:rPr>
          <w:i/>
        </w:rPr>
        <w:t>1-го</w:t>
      </w:r>
      <w:r w:rsidRPr="006B609E">
        <w:rPr>
          <w:i/>
        </w:rPr>
        <w:t xml:space="preserve"> </w:t>
      </w:r>
      <w:r w:rsidR="008502F5" w:rsidRPr="006B609E">
        <w:rPr>
          <w:i/>
        </w:rPr>
        <w:t xml:space="preserve">внутривенного </w:t>
      </w:r>
      <w:r w:rsidRPr="006B609E">
        <w:rPr>
          <w:i/>
        </w:rPr>
        <w:t xml:space="preserve">введения </w:t>
      </w:r>
      <w:r w:rsidR="008502F5">
        <w:rPr>
          <w:i/>
        </w:rPr>
        <w:t>иммуноглобулина</w:t>
      </w:r>
      <w:r w:rsidRPr="006B609E">
        <w:rPr>
          <w:i/>
        </w:rPr>
        <w:t xml:space="preserve">. </w:t>
      </w:r>
      <w:r w:rsidR="008502F5">
        <w:rPr>
          <w:i/>
        </w:rPr>
        <w:t>М</w:t>
      </w:r>
      <w:r w:rsidRPr="006B609E">
        <w:rPr>
          <w:i/>
        </w:rPr>
        <w:t>инимальн</w:t>
      </w:r>
      <w:r w:rsidR="008502F5">
        <w:rPr>
          <w:i/>
        </w:rPr>
        <w:t>ую</w:t>
      </w:r>
      <w:r w:rsidRPr="006B609E">
        <w:rPr>
          <w:i/>
        </w:rPr>
        <w:t xml:space="preserve"> </w:t>
      </w:r>
      <w:r w:rsidRPr="006B609E">
        <w:rPr>
          <w:i/>
        </w:rPr>
        <w:lastRenderedPageBreak/>
        <w:t>концентраци</w:t>
      </w:r>
      <w:r w:rsidR="008502F5">
        <w:rPr>
          <w:i/>
        </w:rPr>
        <w:t>ю</w:t>
      </w:r>
      <w:r w:rsidRPr="006B609E">
        <w:rPr>
          <w:i/>
        </w:rPr>
        <w:t xml:space="preserve"> определяют непосредственно перед следующим введением иммуно</w:t>
      </w:r>
      <w:r w:rsidR="008502F5">
        <w:rPr>
          <w:i/>
        </w:rPr>
        <w:softHyphen/>
      </w:r>
      <w:r w:rsidRPr="006B609E">
        <w:rPr>
          <w:i/>
        </w:rPr>
        <w:t xml:space="preserve">глобулина. Минимальная концентрация </w:t>
      </w:r>
      <w:r w:rsidRPr="006B609E">
        <w:rPr>
          <w:i/>
          <w:lang w:val="en-US"/>
        </w:rPr>
        <w:t>IgG</w:t>
      </w:r>
      <w:r w:rsidRPr="006B609E">
        <w:rPr>
          <w:i/>
        </w:rPr>
        <w:t xml:space="preserve"> должна </w:t>
      </w:r>
      <w:r w:rsidR="008502F5">
        <w:rPr>
          <w:i/>
        </w:rPr>
        <w:t>составлять</w:t>
      </w:r>
      <w:r w:rsidRPr="006B609E">
        <w:rPr>
          <w:i/>
        </w:rPr>
        <w:t xml:space="preserve"> </w:t>
      </w:r>
      <w:r w:rsidR="008502F5" w:rsidRPr="00397360">
        <w:rPr>
          <w:i/>
        </w:rPr>
        <w:t>&gt;</w:t>
      </w:r>
      <w:r w:rsidRPr="006B609E">
        <w:rPr>
          <w:i/>
        </w:rPr>
        <w:t>5 г/л. Повторные определения минимальной концентрации проводят 1 раз в 3–6 мес. Постоянную заместительную терапию иммуноглобулином завершают при отсутствии тяжелых бактериал</w:t>
      </w:r>
      <w:r w:rsidR="00BE6A1C">
        <w:rPr>
          <w:i/>
        </w:rPr>
        <w:t xml:space="preserve">ьных инфекций в течение года. </w:t>
      </w:r>
    </w:p>
    <w:p w:rsidR="00A43693" w:rsidRPr="00C348F4" w:rsidRDefault="00943A3B" w:rsidP="00BE6A1C">
      <w:pPr>
        <w:pStyle w:val="a"/>
      </w:pPr>
      <w:r w:rsidRPr="006B609E">
        <w:t xml:space="preserve">Всем пациентам с ХЛЛ/ЛМЛ после установления диагноза </w:t>
      </w:r>
      <w:r w:rsidRPr="00C348F4">
        <w:rPr>
          <w:b/>
        </w:rPr>
        <w:t>рекомендуется</w:t>
      </w:r>
      <w:r w:rsidR="000E3DE6" w:rsidRPr="00C348F4">
        <w:rPr>
          <w:b/>
        </w:rPr>
        <w:t xml:space="preserve"> </w:t>
      </w:r>
      <w:r w:rsidR="00A43693" w:rsidRPr="00C348F4">
        <w:t xml:space="preserve">при отсутствии противопоказаний </w:t>
      </w:r>
      <w:r w:rsidRPr="00C348F4">
        <w:t>проведение вакцинации</w:t>
      </w:r>
      <w:r w:rsidR="00EF17E7" w:rsidRPr="00C348F4">
        <w:t xml:space="preserve"> </w:t>
      </w:r>
      <w:r w:rsidR="000B0AC3" w:rsidRPr="00C348F4">
        <w:fldChar w:fldCharType="begin" w:fldLock="1"/>
      </w:r>
      <w:r w:rsidR="00055701">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заболеваниями.","type":"chapter"},"uris":["http://www.mendeley.com/documents/?uuid=b8826e3f-ec9d-405b-84e4-56b1a1300212"]},{"id":"ITEM-2","itemData":{"DOI":"10.1093/cid/cit816","ISSN":"1537-6591","PMID":"24421306","abstract":"An international panel of experts prepared an evidenced-based guideline for vaccination of immunocompromised adults and children. These guidelines are intended for use by primary care and subspecialty providers who care for immunocompromised patients. Evidence was often limited. Areas that warrant future investigation are highlighted.","author":[{"dropping-particle":"","family":"Rubin","given":"Lorry G","non-dropping-particle":"","parse-names":false,"suffix":""},{"dropping-particle":"","family":"Levin","given":"Myron J","non-dropping-particle":"","parse-names":false,"suffix":""},{"dropping-particle":"","family":"Ljungman","given":"Per","non-dropping-particle":"","parse-names":false,"suffix":""},{"dropping-particle":"","family":"Davies","given":"E Graham","non-dropping-particle":"","parse-names":false,"suffix":""},{"dropping-particle":"","family":"Avery","given":"Robin","non-dropping-particle":"","parse-names":false,"suffix":""},{"dropping-particle":"","family":"Tomblyn","given":"Marcie","non-dropping-particle":"","parse-names":false,"suffix":""},{"dropping-particle":"","family":"Bousvaros","given":"Athos","non-dropping-particle":"","parse-names":false,"suffix":""},{"dropping-particle":"","family":"Dhanireddy","given":"Shireesha","non-dropping-particle":"","parse-names":false,"suffix":""},{"dropping-particle":"","family":"Sung","given":"Lillian","non-dropping-particle":"","parse-names":false,"suffix":""},{"dropping-particle":"","family":"Keyserling","given":"Harry","non-dropping-particle":"","parse-names":false,"suffix":""},{"dropping-particle":"","family":"Kang","given":"Insoo","non-dropping-particle":"","parse-names":false,"suffix":""},{"dropping-particle":"","family":"Infectious Diseases Society of America","given":"","non-dropping-particle":"","parse-names":false,"suffix":""}],"container-title":"Clinical infectious diseases : an official publication of the Infectious Diseases Society of America","id":"ITEM-2","issue":"3","issued":{"date-parts":[["2014","2"]]},"page":"309-18","title":"2013 IDSA clinical practice guideline for vaccination of the immunocompromised host.","type":"article-journal","volume":"58"},"uris":["http://www.mendeley.com/documents/?uuid=180b9381-2e0d-32ad-bd50-096bb167cd14"]},{"id":"ITEM-3","itemData":{"DOI":"10.1046/j.1365-2141.2001.02882.x","ISSN":"0007-1048","PMID":"11472353","abstract":"We investigated responses to vaccination against pneumococcal polysaccharide, Haemophilus influenzae b (Hib) conjugate and tetanus toxoid antigens in 31 patients with chronic lymphocytic leukaemia (CLL) and 25 controls. While in the control group all antibody responses against different antigens were highly significant, in the patient group clear evidence for responsiveness was detected only in the case of Hib polysaccharide antigen. Certain CLL patient subgroups showed low reactivity against tetanus toxoid antigen. In conclusion, plain polysaccharide vaccines seem to be ineffective in patients with CLL. Conjugate vaccines, in turn, are immunogenic and may offer protection against infections caused by encapsulated bacteria in these patients. Further studies concerning an optimal vaccination scheme and clinical efficiency are warranted.","author":[{"dropping-particle":"","family":"Sinisalo","given":"M","non-dropping-particle":"","parse-names":false,"suffix":""},{"dropping-particle":"","family":"Aittoniemi","given":"J","non-dropping-particle":"","parse-names":false,"suffix":""},{"dropping-particle":"","family":"Oivanen","given":"P","non-dropping-particle":"","parse-names":false,"suffix":""},{"dropping-particle":"","family":"Käyhty","given":"H","non-dropping-particle":"","parse-names":false,"suffix":""},{"dropping-particle":"","family":"Olander","given":"R M","non-dropping-particle":"","parse-names":false,"suffix":""},{"dropping-particle":"","family":"Vilpo","given":"J","non-dropping-particle":"","parse-names":false,"suffix":""}],"container-title":"British journal of haematology","id":"ITEM-3","issue":"1","issued":{"date-parts":[["2001","7"]]},"page":"107-10","title":"Response to vaccination against different types of antigens in patients with chronic lymphocytic leukaemia.","type":"article-journal","volume":"114"},"uris":["http://www.mendeley.com/documents/?uuid=5639b53c-50b3-316a-8de2-289d2e7b3b4e"]}],"mendeley":{"formattedCitation":"[57–59]","plainTextFormattedCitation":"[57–59]","previouslyFormattedCitation":"[56–58]"},"properties":{"noteIndex":0},"schema":"https://github.com/citation-style-language/schema/raw/master/csl-citation.json"}</w:instrText>
      </w:r>
      <w:r w:rsidR="000B0AC3" w:rsidRPr="00C348F4">
        <w:fldChar w:fldCharType="separate"/>
      </w:r>
      <w:r w:rsidR="00055701" w:rsidRPr="00055701">
        <w:rPr>
          <w:noProof/>
        </w:rPr>
        <w:t>[57–59]</w:t>
      </w:r>
      <w:r w:rsidR="000B0AC3" w:rsidRPr="00C348F4">
        <w:fldChar w:fldCharType="end"/>
      </w:r>
      <w:r w:rsidR="00A43693" w:rsidRPr="00C348F4">
        <w:t>:</w:t>
      </w:r>
    </w:p>
    <w:p w:rsidR="00A43693" w:rsidRPr="00C348F4" w:rsidRDefault="00A43693" w:rsidP="00BE7488">
      <w:pPr>
        <w:pStyle w:val="a"/>
        <w:numPr>
          <w:ilvl w:val="0"/>
          <w:numId w:val="18"/>
        </w:numPr>
        <w:spacing w:before="0"/>
      </w:pPr>
      <w:r w:rsidRPr="00C348F4">
        <w:t xml:space="preserve">сезонная вакцинация </w:t>
      </w:r>
      <w:r w:rsidR="00444B93" w:rsidRPr="00C348F4">
        <w:t>вакциной для профилактики гриппа</w:t>
      </w:r>
      <w:r w:rsidR="00030520" w:rsidRPr="00C348F4">
        <w:t xml:space="preserve"> (только после восстановления уровня В-лимфоцитов, т</w:t>
      </w:r>
      <w:r w:rsidR="00EF17E7" w:rsidRPr="00C348F4">
        <w:t xml:space="preserve">. е. </w:t>
      </w:r>
      <w:r w:rsidR="00030520" w:rsidRPr="00C348F4">
        <w:t>через 9 мес</w:t>
      </w:r>
      <w:r w:rsidR="008502F5" w:rsidRPr="00C348F4">
        <w:t>.</w:t>
      </w:r>
      <w:r w:rsidR="00030520" w:rsidRPr="00C348F4">
        <w:t xml:space="preserve"> после терапии </w:t>
      </w:r>
      <w:r w:rsidR="00EF17E7" w:rsidRPr="00C348F4">
        <w:t>моноклональными антителами</w:t>
      </w:r>
      <w:r w:rsidR="008502F5" w:rsidRPr="00C348F4">
        <w:t xml:space="preserve"> к </w:t>
      </w:r>
      <w:r w:rsidR="008502F5" w:rsidRPr="00C348F4">
        <w:rPr>
          <w:lang w:val="en-US"/>
        </w:rPr>
        <w:t>CD</w:t>
      </w:r>
      <w:r w:rsidR="008502F5" w:rsidRPr="00C348F4">
        <w:t>20</w:t>
      </w:r>
      <w:r w:rsidR="00030520" w:rsidRPr="00C348F4">
        <w:t>)</w:t>
      </w:r>
      <w:r w:rsidRPr="00C348F4">
        <w:t xml:space="preserve">; </w:t>
      </w:r>
    </w:p>
    <w:p w:rsidR="00943A3B" w:rsidRPr="006B609E" w:rsidRDefault="0089332F" w:rsidP="00BE7488">
      <w:pPr>
        <w:pStyle w:val="a"/>
        <w:numPr>
          <w:ilvl w:val="0"/>
          <w:numId w:val="18"/>
        </w:numPr>
        <w:spacing w:before="0"/>
      </w:pPr>
      <w:r>
        <w:t xml:space="preserve">двухкратная </w:t>
      </w:r>
      <w:r w:rsidR="00A43693" w:rsidRPr="006B609E">
        <w:t xml:space="preserve">вакцинация </w:t>
      </w:r>
      <w:r w:rsidR="00444B93">
        <w:t>вакциной для профилактики пневмококковой инфекции</w:t>
      </w:r>
      <w:r w:rsidR="00943A3B" w:rsidRPr="006B609E">
        <w:t xml:space="preserve"> при отсутствии противопоказаний. </w:t>
      </w:r>
    </w:p>
    <w:p w:rsidR="00943A3B" w:rsidRPr="008502F5" w:rsidRDefault="00943A3B" w:rsidP="00BE6A1C">
      <w:pPr>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С (уровень достоверности </w:t>
      </w:r>
      <w:r w:rsidR="00C20509" w:rsidRPr="008502F5">
        <w:rPr>
          <w:b/>
          <w:spacing w:val="-4"/>
        </w:rPr>
        <w:t xml:space="preserve">доказательств – </w:t>
      </w:r>
      <w:r w:rsidRPr="008502F5">
        <w:rPr>
          <w:b/>
          <w:spacing w:val="-4"/>
        </w:rPr>
        <w:t>5).</w:t>
      </w:r>
    </w:p>
    <w:p w:rsidR="001F7596" w:rsidRPr="006B609E" w:rsidRDefault="00943A3B" w:rsidP="00BE6A1C">
      <w:r w:rsidRPr="006B609E">
        <w:rPr>
          <w:b/>
        </w:rPr>
        <w:t>Комментарии:</w:t>
      </w:r>
      <w:r w:rsidR="00030520">
        <w:rPr>
          <w:b/>
        </w:rPr>
        <w:t xml:space="preserve"> </w:t>
      </w:r>
      <w:r w:rsidR="008502F5">
        <w:rPr>
          <w:i/>
        </w:rPr>
        <w:t>п</w:t>
      </w:r>
      <w:r w:rsidR="001F7596" w:rsidRPr="006B609E">
        <w:rPr>
          <w:i/>
        </w:rPr>
        <w:t xml:space="preserve">невмококковая иммунизация осуществляется двукратно. Сначала вводится </w:t>
      </w:r>
      <w:r w:rsidR="00444B93">
        <w:rPr>
          <w:i/>
        </w:rPr>
        <w:t>вакцина для профилактики пневмококковой инфекции</w:t>
      </w:r>
      <w:r w:rsidR="001F7596" w:rsidRPr="0072780B">
        <w:rPr>
          <w:i/>
        </w:rPr>
        <w:t xml:space="preserve">, </w:t>
      </w:r>
      <w:r w:rsidR="00444B93" w:rsidRPr="0072780B">
        <w:rPr>
          <w:i/>
        </w:rPr>
        <w:t>содержащ</w:t>
      </w:r>
      <w:r w:rsidR="00444B93">
        <w:rPr>
          <w:i/>
        </w:rPr>
        <w:t>ая</w:t>
      </w:r>
      <w:r w:rsidR="00444B93" w:rsidRPr="0072780B">
        <w:rPr>
          <w:i/>
        </w:rPr>
        <w:t xml:space="preserve"> </w:t>
      </w:r>
      <w:r w:rsidR="001F7596" w:rsidRPr="0072780B">
        <w:rPr>
          <w:i/>
        </w:rPr>
        <w:t>13 пневмок</w:t>
      </w:r>
      <w:r w:rsidR="008502F5">
        <w:rPr>
          <w:i/>
        </w:rPr>
        <w:t>ок</w:t>
      </w:r>
      <w:r w:rsidR="001F7596" w:rsidRPr="0072780B">
        <w:rPr>
          <w:i/>
        </w:rPr>
        <w:t xml:space="preserve">ковых антигенов. Через 2 </w:t>
      </w:r>
      <w:r w:rsidR="00F07AA9">
        <w:rPr>
          <w:i/>
        </w:rPr>
        <w:t>мес.</w:t>
      </w:r>
      <w:r w:rsidR="001F7596" w:rsidRPr="0072780B">
        <w:rPr>
          <w:i/>
        </w:rPr>
        <w:t xml:space="preserve"> осуществляют введение пневмококковой полисахаридной вакцины, содержащей</w:t>
      </w:r>
      <w:r w:rsidR="001F7596" w:rsidRPr="006B609E">
        <w:rPr>
          <w:i/>
        </w:rPr>
        <w:t xml:space="preserve"> 23 пневмококковых антигена. Пневмококковая ревакцинация</w:t>
      </w:r>
      <w:r w:rsidR="00444B93">
        <w:rPr>
          <w:i/>
        </w:rPr>
        <w:t xml:space="preserve"> </w:t>
      </w:r>
      <w:r w:rsidR="001F7596" w:rsidRPr="006B609E">
        <w:rPr>
          <w:i/>
        </w:rPr>
        <w:t>проводится</w:t>
      </w:r>
      <w:r w:rsidR="00444B93">
        <w:rPr>
          <w:i/>
        </w:rPr>
        <w:t xml:space="preserve"> </w:t>
      </w:r>
      <w:r w:rsidR="001F7596" w:rsidRPr="006B609E">
        <w:rPr>
          <w:i/>
        </w:rPr>
        <w:t>1 раз в 5 лет.</w:t>
      </w:r>
    </w:p>
    <w:p w:rsidR="00943A3B" w:rsidRPr="0072780B" w:rsidRDefault="00943A3B" w:rsidP="00BE6A1C">
      <w:pPr>
        <w:rPr>
          <w:b/>
        </w:rPr>
      </w:pPr>
      <w:r w:rsidRPr="006B609E">
        <w:rPr>
          <w:i/>
        </w:rPr>
        <w:t>Применение вакцин против инкапсулированных организмов, таких как Streptococcus</w:t>
      </w:r>
      <w:r w:rsidR="000D5099">
        <w:rPr>
          <w:i/>
        </w:rPr>
        <w:t xml:space="preserve"> </w:t>
      </w:r>
      <w:r w:rsidRPr="006B609E">
        <w:rPr>
          <w:i/>
        </w:rPr>
        <w:t>pneumonia</w:t>
      </w:r>
      <w:r w:rsidR="008502F5">
        <w:rPr>
          <w:i/>
          <w:lang w:val="en-US"/>
        </w:rPr>
        <w:t>e</w:t>
      </w:r>
      <w:r w:rsidRPr="006B609E">
        <w:rPr>
          <w:i/>
        </w:rPr>
        <w:t>, Haemophilus</w:t>
      </w:r>
      <w:r w:rsidR="00EF17E7">
        <w:rPr>
          <w:i/>
        </w:rPr>
        <w:t xml:space="preserve"> </w:t>
      </w:r>
      <w:r w:rsidRPr="006B609E">
        <w:rPr>
          <w:i/>
        </w:rPr>
        <w:t>influenzae и Neisseria</w:t>
      </w:r>
      <w:r w:rsidR="000D5099">
        <w:rPr>
          <w:i/>
        </w:rPr>
        <w:t xml:space="preserve"> </w:t>
      </w:r>
      <w:r w:rsidRPr="006B609E">
        <w:rPr>
          <w:i/>
        </w:rPr>
        <w:t>meningitid</w:t>
      </w:r>
      <w:r w:rsidR="008502F5">
        <w:rPr>
          <w:i/>
          <w:lang w:val="en-US"/>
        </w:rPr>
        <w:t>i</w:t>
      </w:r>
      <w:r w:rsidRPr="006B609E">
        <w:rPr>
          <w:i/>
        </w:rPr>
        <w:t>s, рекомендовано во многих странах пациентам с ХЛЛ до химиотерапии (не менее чем за 2 нед</w:t>
      </w:r>
      <w:r w:rsidR="008502F5">
        <w:rPr>
          <w:i/>
        </w:rPr>
        <w:t>.</w:t>
      </w:r>
      <w:r w:rsidRPr="006B609E">
        <w:rPr>
          <w:i/>
        </w:rPr>
        <w:t>) или после восстановления иммунной системы после терапии (не ранее чем через 3 мес</w:t>
      </w:r>
      <w:r w:rsidR="008502F5">
        <w:rPr>
          <w:i/>
        </w:rPr>
        <w:t>)</w:t>
      </w:r>
      <w:r w:rsidRPr="006B609E">
        <w:rPr>
          <w:i/>
        </w:rPr>
        <w:t xml:space="preserve">. Это особенно важно для пациентов с функциональной аспленией или </w:t>
      </w:r>
      <w:r w:rsidR="008502F5">
        <w:rPr>
          <w:i/>
        </w:rPr>
        <w:t xml:space="preserve">для тех, у кого </w:t>
      </w:r>
      <w:r w:rsidRPr="006B609E">
        <w:rPr>
          <w:i/>
        </w:rPr>
        <w:t xml:space="preserve">планируется спленэктомия. Методика последовательной двукратной вакцинации </w:t>
      </w:r>
      <w:r w:rsidR="008502F5">
        <w:rPr>
          <w:i/>
        </w:rPr>
        <w:t>сформировалась</w:t>
      </w:r>
      <w:r w:rsidRPr="0072780B">
        <w:rPr>
          <w:i/>
        </w:rPr>
        <w:t xml:space="preserve"> эмпирически на основании того, что ответ на 23-валентную вакцину слабее, чем на </w:t>
      </w:r>
      <w:r w:rsidR="008502F5">
        <w:rPr>
          <w:i/>
        </w:rPr>
        <w:br/>
      </w:r>
      <w:r w:rsidRPr="0072780B">
        <w:rPr>
          <w:i/>
        </w:rPr>
        <w:t>13-валентную. С другой стороны, 23-валентная вакцина позволяет расширить иммунный ответ и усилить его</w:t>
      </w:r>
      <w:r w:rsidR="00D72B88" w:rsidRPr="0072780B">
        <w:rPr>
          <w:i/>
        </w:rPr>
        <w:t>.</w:t>
      </w:r>
    </w:p>
    <w:p w:rsidR="004D7374" w:rsidRDefault="004D7374" w:rsidP="00B93B9E">
      <w:pPr>
        <w:pStyle w:val="2"/>
        <w:contextualSpacing/>
      </w:pPr>
      <w:bookmarkStart w:id="52" w:name="_Toc24546443"/>
      <w:bookmarkStart w:id="53" w:name="_Toc23601730"/>
      <w:r>
        <w:t>3.</w:t>
      </w:r>
      <w:r w:rsidR="00924BCE">
        <w:t>5</w:t>
      </w:r>
      <w:r w:rsidR="00397360" w:rsidRPr="00907D07">
        <w:t>.</w:t>
      </w:r>
      <w:r>
        <w:t xml:space="preserve"> Оценка ответа на лечение</w:t>
      </w:r>
      <w:bookmarkEnd w:id="52"/>
      <w:bookmarkEnd w:id="53"/>
    </w:p>
    <w:p w:rsidR="004D7374" w:rsidRDefault="00B76E9B" w:rsidP="00BE6A1C">
      <w:pPr>
        <w:pStyle w:val="a"/>
      </w:pPr>
      <w:r>
        <w:t xml:space="preserve">Всем </w:t>
      </w:r>
      <w:r w:rsidR="004D7374">
        <w:t>пациентам</w:t>
      </w:r>
      <w:r w:rsidR="00AD7318">
        <w:t xml:space="preserve"> с ХЛЛ/ЛМЛ</w:t>
      </w:r>
      <w:r w:rsidR="008E393B">
        <w:t xml:space="preserve"> </w:t>
      </w:r>
      <w:r w:rsidR="00EA0910" w:rsidRPr="005A0BFC">
        <w:rPr>
          <w:b/>
        </w:rPr>
        <w:t>рекомендуется</w:t>
      </w:r>
      <w:r w:rsidR="008502F5">
        <w:t xml:space="preserve"> оценка терапии по критериям </w:t>
      </w:r>
      <w:r w:rsidR="008502F5">
        <w:rPr>
          <w:lang w:val="en-US"/>
        </w:rPr>
        <w:t>I</w:t>
      </w:r>
      <w:r w:rsidR="008502F5">
        <w:t>WCLL</w:t>
      </w:r>
      <w:r w:rsidR="00EA0910">
        <w:t xml:space="preserve"> 2018 (см.</w:t>
      </w:r>
      <w:r w:rsidR="00145A85">
        <w:t xml:space="preserve"> раздел 7.3 данных рекомендаций</w:t>
      </w:r>
      <w:r w:rsidR="00EA0910">
        <w:t xml:space="preserve">) при </w:t>
      </w:r>
      <w:r w:rsidR="004D7374">
        <w:t>те</w:t>
      </w:r>
      <w:r w:rsidR="00EA0910">
        <w:t>рапии ограниченной длительности</w:t>
      </w:r>
      <w:r w:rsidR="008E393B">
        <w:t xml:space="preserve"> </w:t>
      </w:r>
      <w:r w:rsidR="00EA0910">
        <w:t>(</w:t>
      </w:r>
      <w:r w:rsidR="004D7374">
        <w:t xml:space="preserve">не менее чем через 2 </w:t>
      </w:r>
      <w:r w:rsidR="00F07AA9">
        <w:t>мес.</w:t>
      </w:r>
      <w:r w:rsidR="004D7374">
        <w:t xml:space="preserve"> после </w:t>
      </w:r>
      <w:r w:rsidR="007F5246">
        <w:t xml:space="preserve">ее </w:t>
      </w:r>
      <w:r w:rsidR="004D7374">
        <w:t>окончания</w:t>
      </w:r>
      <w:r w:rsidR="007F5246">
        <w:t>),</w:t>
      </w:r>
      <w:r w:rsidR="00EA0910">
        <w:t xml:space="preserve"> </w:t>
      </w:r>
      <w:r w:rsidR="004A0625">
        <w:t xml:space="preserve">при </w:t>
      </w:r>
      <w:r w:rsidR="00EA0910">
        <w:t xml:space="preserve">непрерывной или поддерживающей терапии (не менее чем через 2 </w:t>
      </w:r>
      <w:r w:rsidR="00F07AA9">
        <w:t>мес.</w:t>
      </w:r>
      <w:r w:rsidR="00EA0910">
        <w:t xml:space="preserve"> после достижения максимального ответа)</w:t>
      </w:r>
      <w:r w:rsidR="000D5099">
        <w:t xml:space="preserve"> </w:t>
      </w:r>
      <w:r w:rsidR="000B0AC3">
        <w:fldChar w:fldCharType="begin" w:fldLock="1"/>
      </w:r>
      <w:r w:rsidR="000D5099">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0D5099" w:rsidRPr="000D5099">
        <w:rPr>
          <w:noProof/>
        </w:rPr>
        <w:t>[12]</w:t>
      </w:r>
      <w:r w:rsidR="000B0AC3">
        <w:fldChar w:fldCharType="end"/>
      </w:r>
      <w:r w:rsidR="004D7374">
        <w:t xml:space="preserve">. </w:t>
      </w:r>
    </w:p>
    <w:p w:rsidR="001E3D61" w:rsidRPr="007F5246" w:rsidRDefault="001E3D61" w:rsidP="00BE6A1C">
      <w:pPr>
        <w:rPr>
          <w:b/>
          <w:spacing w:val="-4"/>
        </w:rPr>
      </w:pPr>
      <w:r w:rsidRPr="007F5246">
        <w:rPr>
          <w:b/>
          <w:spacing w:val="-4"/>
        </w:rPr>
        <w:lastRenderedPageBreak/>
        <w:t xml:space="preserve">Уровень убедительности </w:t>
      </w:r>
      <w:r w:rsidR="00C20509" w:rsidRPr="007F5246">
        <w:rPr>
          <w:b/>
          <w:spacing w:val="-4"/>
        </w:rPr>
        <w:t xml:space="preserve">рекомендаций – </w:t>
      </w:r>
      <w:r w:rsidRPr="007F5246">
        <w:rPr>
          <w:b/>
          <w:spacing w:val="-4"/>
        </w:rPr>
        <w:t xml:space="preserve">С (уровень достоверности </w:t>
      </w:r>
      <w:r w:rsidR="00C20509" w:rsidRPr="007F5246">
        <w:rPr>
          <w:b/>
          <w:spacing w:val="-4"/>
        </w:rPr>
        <w:t xml:space="preserve">доказательств – </w:t>
      </w:r>
      <w:r w:rsidRPr="007F5246">
        <w:rPr>
          <w:b/>
          <w:spacing w:val="-4"/>
        </w:rPr>
        <w:t>5).</w:t>
      </w:r>
    </w:p>
    <w:p w:rsidR="00555233" w:rsidRPr="005A463A" w:rsidRDefault="00A81638" w:rsidP="00BE6A1C">
      <w:pPr>
        <w:contextualSpacing/>
        <w:rPr>
          <w:i/>
        </w:rPr>
      </w:pPr>
      <w:r>
        <w:rPr>
          <w:b/>
        </w:rPr>
        <w:t>Комментарии</w:t>
      </w:r>
      <w:r w:rsidR="004D7374" w:rsidRPr="00B76E9B">
        <w:rPr>
          <w:b/>
        </w:rPr>
        <w:t>:</w:t>
      </w:r>
      <w:r w:rsidR="008E393B">
        <w:rPr>
          <w:b/>
        </w:rPr>
        <w:t xml:space="preserve"> </w:t>
      </w:r>
      <w:r w:rsidR="007F5246">
        <w:rPr>
          <w:i/>
        </w:rPr>
        <w:t>м</w:t>
      </w:r>
      <w:r w:rsidR="004D7374" w:rsidRPr="00B76E9B">
        <w:rPr>
          <w:i/>
        </w:rPr>
        <w:t xml:space="preserve">аксимальный ответ определяется как ответ, который не становится лучше в течение </w:t>
      </w:r>
      <w:r w:rsidR="007F5246" w:rsidRPr="00B76E9B">
        <w:rPr>
          <w:i/>
        </w:rPr>
        <w:t xml:space="preserve">последних </w:t>
      </w:r>
      <w:r w:rsidR="00F07AA9">
        <w:rPr>
          <w:i/>
        </w:rPr>
        <w:t>2</w:t>
      </w:r>
      <w:r w:rsidR="004D7374" w:rsidRPr="00B76E9B">
        <w:rPr>
          <w:i/>
        </w:rPr>
        <w:t xml:space="preserve"> мес</w:t>
      </w:r>
      <w:r w:rsidR="007F5246">
        <w:rPr>
          <w:i/>
        </w:rPr>
        <w:t>.</w:t>
      </w:r>
      <w:r w:rsidR="004D7374" w:rsidRPr="00B76E9B">
        <w:rPr>
          <w:i/>
        </w:rPr>
        <w:t xml:space="preserve"> терапии. Ингибиторы сигнального пути В-клеточного рецептора вызывают перераспределительный лимфоцитоз. Персистирующий лимфоцитоз </w:t>
      </w:r>
      <w:r w:rsidR="005A0BFC">
        <w:rPr>
          <w:i/>
        </w:rPr>
        <w:t>при</w:t>
      </w:r>
      <w:r w:rsidR="004D7374" w:rsidRPr="00B76E9B">
        <w:rPr>
          <w:i/>
        </w:rPr>
        <w:t xml:space="preserve"> терапии ибрутинибом</w:t>
      </w:r>
      <w:r w:rsidR="00BF586B">
        <w:rPr>
          <w:i/>
        </w:rPr>
        <w:t>**</w:t>
      </w:r>
      <w:r w:rsidR="004D7374" w:rsidRPr="00B76E9B">
        <w:rPr>
          <w:i/>
        </w:rPr>
        <w:t xml:space="preserve"> не является признаком рефрактерности. Это состояние обозначается как частичный ответ с лимфоцитозом. </w:t>
      </w:r>
      <w:r w:rsidR="004D7374" w:rsidRPr="0072780B">
        <w:rPr>
          <w:i/>
        </w:rPr>
        <w:t xml:space="preserve">Срок нормализации уровня лимфоцитов </w:t>
      </w:r>
      <w:r w:rsidR="007F5246">
        <w:rPr>
          <w:i/>
        </w:rPr>
        <w:t>варьирует</w:t>
      </w:r>
      <w:r w:rsidR="004D7374" w:rsidRPr="0072780B">
        <w:rPr>
          <w:i/>
        </w:rPr>
        <w:t xml:space="preserve"> в разных исс</w:t>
      </w:r>
      <w:r w:rsidR="007F5246">
        <w:rPr>
          <w:i/>
        </w:rPr>
        <w:t>ледованиях от 4 до 12 мес.</w:t>
      </w:r>
      <w:r w:rsidR="0072780B" w:rsidRPr="0072780B">
        <w:rPr>
          <w:i/>
        </w:rPr>
        <w:t>; однако при применении ибру</w:t>
      </w:r>
      <w:r w:rsidR="007F5246">
        <w:rPr>
          <w:i/>
        </w:rPr>
        <w:t>т</w:t>
      </w:r>
      <w:r w:rsidR="0072780B" w:rsidRPr="0072780B">
        <w:rPr>
          <w:i/>
        </w:rPr>
        <w:t>иниба</w:t>
      </w:r>
      <w:r w:rsidR="007F5246">
        <w:rPr>
          <w:i/>
        </w:rPr>
        <w:t>**</w:t>
      </w:r>
      <w:r w:rsidR="0072780B" w:rsidRPr="0072780B">
        <w:rPr>
          <w:i/>
        </w:rPr>
        <w:t xml:space="preserve"> лимфоцитоз может </w:t>
      </w:r>
      <w:r w:rsidR="007F5246">
        <w:rPr>
          <w:i/>
        </w:rPr>
        <w:t>персистировать в течение 12 мес.</w:t>
      </w:r>
      <w:r w:rsidR="0072780B" w:rsidRPr="0072780B">
        <w:rPr>
          <w:i/>
        </w:rPr>
        <w:t xml:space="preserve"> и более, что не влияет на прогноз</w:t>
      </w:r>
      <w:r w:rsidR="00EA0910" w:rsidRPr="0072780B">
        <w:rPr>
          <w:i/>
        </w:rPr>
        <w:t>. У ряда</w:t>
      </w:r>
      <w:r w:rsidR="00EA0910">
        <w:rPr>
          <w:i/>
        </w:rPr>
        <w:t xml:space="preserve"> пациентов уровень лимфоцитов</w:t>
      </w:r>
      <w:r w:rsidR="004D7374" w:rsidRPr="00B76E9B">
        <w:rPr>
          <w:i/>
        </w:rPr>
        <w:t xml:space="preserve"> никогда не возвращается к норме.</w:t>
      </w:r>
    </w:p>
    <w:p w:rsidR="00555233" w:rsidRPr="003E3A35" w:rsidRDefault="00555233" w:rsidP="00555233">
      <w:pPr>
        <w:pStyle w:val="2"/>
      </w:pPr>
      <w:bookmarkStart w:id="54" w:name="_Toc24546444"/>
      <w:r>
        <w:t xml:space="preserve">3.6 </w:t>
      </w:r>
      <w:r w:rsidRPr="003E3A35">
        <w:t>Обезболивание</w:t>
      </w:r>
      <w:bookmarkEnd w:id="54"/>
    </w:p>
    <w:p w:rsidR="00015814" w:rsidRPr="00C348F4" w:rsidRDefault="00015814" w:rsidP="00015814">
      <w:pPr>
        <w:pStyle w:val="a"/>
        <w:spacing w:before="120" w:after="120"/>
        <w:ind w:left="709" w:hanging="709"/>
        <w:contextualSpacing/>
        <w:rPr>
          <w:color w:val="000000"/>
        </w:rPr>
      </w:pPr>
      <w:r w:rsidRPr="00C40CE5">
        <w:rPr>
          <w:color w:val="000000"/>
        </w:rPr>
        <w:t xml:space="preserve">Пациентам с </w:t>
      </w:r>
      <w:r>
        <w:rPr>
          <w:color w:val="000000"/>
        </w:rPr>
        <w:t>ХЛЛ/ЛМЛ</w:t>
      </w:r>
      <w:r w:rsidRPr="00C40CE5">
        <w:rPr>
          <w:color w:val="000000"/>
        </w:rPr>
        <w:t xml:space="preserve"> при возникновении острого или хронического болевого </w:t>
      </w:r>
      <w:r w:rsidRPr="00C348F4">
        <w:rPr>
          <w:color w:val="000000"/>
        </w:rPr>
        <w:t xml:space="preserve">синдрома </w:t>
      </w:r>
      <w:r w:rsidRPr="00C348F4">
        <w:rPr>
          <w:b/>
          <w:color w:val="000000"/>
        </w:rPr>
        <w:t>рекомендуется</w:t>
      </w:r>
      <w:r w:rsidRPr="00C348F4">
        <w:rPr>
          <w:color w:val="000000"/>
        </w:rPr>
        <w:t xml:space="preserve"> провести диагностику причины болевого синдрома и последующую патогенетическую или сипмтоматическую терапию болевого синдрома</w:t>
      </w:r>
      <w:r w:rsidR="00C348F4">
        <w:rPr>
          <w:color w:val="000000"/>
        </w:rPr>
        <w:t xml:space="preserve"> в соответствии с существующими профильными рекомендациями</w:t>
      </w:r>
      <w:r w:rsidRPr="00C348F4">
        <w:rPr>
          <w:color w:val="000000"/>
        </w:rPr>
        <w:t xml:space="preserve"> </w:t>
      </w:r>
      <w:r w:rsidR="000B0AC3" w:rsidRPr="00C348F4">
        <w:rPr>
          <w:color w:val="000000"/>
        </w:rPr>
        <w:fldChar w:fldCharType="begin" w:fldLock="1"/>
      </w:r>
      <w:r w:rsidR="00055701">
        <w:rPr>
          <w:color w:val="00000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[60,61]","plainTextFormattedCitation":"[60,61]","previouslyFormattedCitation":"[59,60]"},"properties":{"noteIndex":0},"schema":"https://github.com/citation-style-language/schema/raw/master/csl-citation.json"}</w:instrText>
      </w:r>
      <w:r w:rsidR="000B0AC3" w:rsidRPr="00C348F4">
        <w:rPr>
          <w:color w:val="000000"/>
        </w:rPr>
        <w:fldChar w:fldCharType="separate"/>
      </w:r>
      <w:r w:rsidR="00055701" w:rsidRPr="00055701">
        <w:rPr>
          <w:noProof/>
          <w:color w:val="000000"/>
        </w:rPr>
        <w:t>[60,61]</w:t>
      </w:r>
      <w:r w:rsidR="000B0AC3" w:rsidRPr="00C348F4">
        <w:rPr>
          <w:color w:val="000000"/>
        </w:rPr>
        <w:fldChar w:fldCharType="end"/>
      </w:r>
      <w:r w:rsidRPr="00C348F4">
        <w:rPr>
          <w:color w:val="000000"/>
        </w:rPr>
        <w:t>.</w:t>
      </w:r>
    </w:p>
    <w:p w:rsidR="00015814" w:rsidRPr="00C40CE5" w:rsidRDefault="00015814" w:rsidP="00015814">
      <w:pPr>
        <w:ind w:left="709"/>
        <w:contextualSpacing/>
        <w:rPr>
          <w:b/>
          <w:color w:val="000000"/>
        </w:rPr>
      </w:pPr>
      <w:r w:rsidRPr="00C348F4">
        <w:rPr>
          <w:b/>
          <w:color w:val="000000"/>
        </w:rPr>
        <w:t>Уровень убедительности</w:t>
      </w:r>
      <w:r w:rsidRPr="00C40CE5">
        <w:rPr>
          <w:b/>
          <w:color w:val="000000"/>
        </w:rPr>
        <w:t xml:space="preserve"> рекомендаций </w:t>
      </w:r>
      <w:r w:rsidRPr="006D3170">
        <w:rPr>
          <w:b/>
          <w:color w:val="000000"/>
        </w:rPr>
        <w:t>–</w:t>
      </w:r>
      <w:r>
        <w:rPr>
          <w:b/>
          <w:color w:val="000000"/>
        </w:rPr>
        <w:t xml:space="preserve"> </w:t>
      </w:r>
      <w:r w:rsidRPr="00C40CE5">
        <w:rPr>
          <w:b/>
          <w:color w:val="000000"/>
        </w:rPr>
        <w:t xml:space="preserve">С (уровень достоверности доказательств </w:t>
      </w:r>
      <w:r w:rsidRPr="006D3170">
        <w:rPr>
          <w:b/>
          <w:color w:val="000000"/>
        </w:rPr>
        <w:t>–</w:t>
      </w:r>
      <w:r>
        <w:rPr>
          <w:b/>
          <w:color w:val="000000"/>
        </w:rPr>
        <w:t xml:space="preserve"> </w:t>
      </w:r>
      <w:r w:rsidRPr="00C40CE5">
        <w:rPr>
          <w:b/>
          <w:color w:val="000000"/>
        </w:rPr>
        <w:t>5)</w:t>
      </w:r>
    </w:p>
    <w:p w:rsidR="00555233" w:rsidRPr="003E3A35" w:rsidRDefault="00555233" w:rsidP="00555233">
      <w:pPr>
        <w:pStyle w:val="31"/>
        <w:ind w:firstLine="567"/>
      </w:pPr>
    </w:p>
    <w:p w:rsidR="004D7374" w:rsidRPr="00397360" w:rsidRDefault="004D7374" w:rsidP="00BE6A1C">
      <w:pPr>
        <w:pStyle w:val="1"/>
        <w:rPr>
          <w:sz w:val="24"/>
          <w:szCs w:val="24"/>
        </w:rPr>
      </w:pPr>
      <w:bookmarkStart w:id="55" w:name="_Toc520213126"/>
      <w:bookmarkStart w:id="56" w:name="_Toc24546445"/>
      <w:bookmarkStart w:id="57" w:name="_Toc23601731"/>
      <w:r w:rsidRPr="00397360">
        <w:rPr>
          <w:sz w:val="24"/>
          <w:szCs w:val="24"/>
        </w:rPr>
        <w:t xml:space="preserve">4. </w:t>
      </w:r>
      <w:bookmarkEnd w:id="55"/>
      <w:r w:rsidR="00B4558B" w:rsidRPr="005A463A">
        <w:t xml:space="preserve">Медицинская реабилитация, медицинские показания </w:t>
      </w:r>
      <w:r w:rsidR="00BE6A1C" w:rsidRPr="005A463A">
        <w:br/>
      </w:r>
      <w:r w:rsidR="00B4558B" w:rsidRPr="005A463A">
        <w:t>и противопоказания к применению методов реабилитации</w:t>
      </w:r>
      <w:bookmarkEnd w:id="56"/>
      <w:bookmarkEnd w:id="57"/>
    </w:p>
    <w:p w:rsidR="007D0783" w:rsidRDefault="007D0783" w:rsidP="00BE6A1C">
      <w:pPr>
        <w:pStyle w:val="a"/>
      </w:pPr>
      <w:r>
        <w:t>Всем пациентам с ХЛЛ/ЛМЛ</w:t>
      </w:r>
      <w:r w:rsidR="008E393B">
        <w:t xml:space="preserve"> </w:t>
      </w:r>
      <w:r w:rsidR="00824F7E">
        <w:t xml:space="preserve">на всех этапах терапии заболевания, а также </w:t>
      </w:r>
      <w:r>
        <w:t xml:space="preserve">после завершения </w:t>
      </w:r>
      <w:r w:rsidR="00824F7E" w:rsidRPr="0072780B">
        <w:t xml:space="preserve">лекарственного лечения </w:t>
      </w:r>
      <w:r w:rsidRPr="0072780B">
        <w:rPr>
          <w:b/>
        </w:rPr>
        <w:t>рекомендуется</w:t>
      </w:r>
      <w:r w:rsidR="008E393B">
        <w:rPr>
          <w:b/>
        </w:rPr>
        <w:t xml:space="preserve"> </w:t>
      </w:r>
      <w:r w:rsidR="00824F7E" w:rsidRPr="0072780B">
        <w:t>комплексная реабилитация, а также при необходимости поддерживающая терапия</w:t>
      </w:r>
      <w:r w:rsidR="00752513">
        <w:t xml:space="preserve"> для улучшения результатов лечения и качества жизни пациента</w:t>
      </w:r>
      <w:r w:rsidR="000D5099" w:rsidRPr="000D5099">
        <w:t xml:space="preserve"> </w:t>
      </w:r>
      <w:r w:rsidR="000B0AC3">
        <w:fldChar w:fldCharType="begin" w:fldLock="1"/>
      </w:r>
      <w:r w:rsidR="00055701">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[62]","plainTextFormattedCitation":"[62]","previouslyFormattedCitation":"[61]"},"properties":{"noteIndex":0},"schema":"https://github.com/citation-style-language/schema/raw/master/csl-citation.json"}</w:instrText>
      </w:r>
      <w:r w:rsidR="000B0AC3">
        <w:fldChar w:fldCharType="separate"/>
      </w:r>
      <w:r w:rsidR="00055701" w:rsidRPr="00055701">
        <w:rPr>
          <w:noProof/>
        </w:rPr>
        <w:t>[62]</w:t>
      </w:r>
      <w:r w:rsidR="000B0AC3">
        <w:fldChar w:fldCharType="end"/>
      </w:r>
      <w:r w:rsidR="00824F7E" w:rsidRPr="0072780B">
        <w:t>.</w:t>
      </w:r>
    </w:p>
    <w:p w:rsidR="001E3D61" w:rsidRPr="005B033F" w:rsidRDefault="001E3D61" w:rsidP="00BE6A1C">
      <w:pPr>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rsidR="00824F7E" w:rsidRPr="00824F7E" w:rsidRDefault="00A81638" w:rsidP="00BE6A1C">
      <w:pPr>
        <w:contextualSpacing/>
        <w:rPr>
          <w:i/>
        </w:rPr>
      </w:pPr>
      <w:r>
        <w:rPr>
          <w:b/>
        </w:rPr>
        <w:t>Комментарии</w:t>
      </w:r>
      <w:r w:rsidR="007D0783" w:rsidRPr="00B76E9B">
        <w:rPr>
          <w:b/>
        </w:rPr>
        <w:t>:</w:t>
      </w:r>
      <w:r w:rsidR="008E393B">
        <w:rPr>
          <w:b/>
        </w:rPr>
        <w:t xml:space="preserve"> </w:t>
      </w:r>
      <w:r w:rsidR="005B033F">
        <w:rPr>
          <w:i/>
        </w:rPr>
        <w:t>с</w:t>
      </w:r>
      <w:r w:rsidR="00824F7E" w:rsidRPr="00824F7E">
        <w:rPr>
          <w:i/>
        </w:rPr>
        <w:t>пециальных методов реабилитации при ХЛЛ/ЛМЛ не существует. Реабилитация пациентов с ХЛЛ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w:t>
      </w:r>
      <w:r w:rsidR="005A0BFC">
        <w:rPr>
          <w:i/>
        </w:rPr>
        <w:t>,</w:t>
      </w:r>
      <w:r w:rsidR="00824F7E" w:rsidRPr="00824F7E">
        <w:rPr>
          <w:i/>
        </w:rPr>
        <w:t xml:space="preserve"> кроме медицинской помощи</w:t>
      </w:r>
      <w:r w:rsidR="005A0BFC">
        <w:rPr>
          <w:i/>
        </w:rPr>
        <w:t>,</w:t>
      </w:r>
      <w:r w:rsidR="00824F7E" w:rsidRPr="00824F7E">
        <w:rPr>
          <w:i/>
        </w:rPr>
        <w:t xml:space="preserve"> обязательного участия социальных работников и психологов. Программы реабилитаци</w:t>
      </w:r>
      <w:r w:rsidR="005B033F">
        <w:rPr>
          <w:i/>
        </w:rPr>
        <w:t xml:space="preserve">и </w:t>
      </w:r>
      <w:r w:rsidR="005B033F">
        <w:rPr>
          <w:i/>
        </w:rPr>
        <w:lastRenderedPageBreak/>
        <w:t>разрабатываются индивидуально</w:t>
      </w:r>
      <w:r w:rsidR="00824F7E" w:rsidRPr="00824F7E">
        <w:rPr>
          <w:i/>
        </w:rPr>
        <w:t xml:space="preserve"> в зависимости от выявленных осложнений лекарст</w:t>
      </w:r>
      <w:r w:rsidR="005B033F">
        <w:rPr>
          <w:i/>
        </w:rPr>
        <w:softHyphen/>
      </w:r>
      <w:r w:rsidR="00824F7E" w:rsidRPr="00824F7E">
        <w:rPr>
          <w:i/>
        </w:rPr>
        <w:t>венного лечения, сопутствующей патологии, социальных и психологических проблем.</w:t>
      </w:r>
    </w:p>
    <w:p w:rsidR="00EB3C81" w:rsidRDefault="00824F7E" w:rsidP="00BE6A1C">
      <w:pPr>
        <w:contextualSpacing/>
        <w:rPr>
          <w:i/>
        </w:rPr>
      </w:pPr>
      <w:r w:rsidRPr="00824F7E">
        <w:rPr>
          <w:i/>
        </w:rPr>
        <w:t>Реабилитация</w:t>
      </w:r>
      <w:r w:rsidR="005B033F">
        <w:rPr>
          <w:i/>
        </w:rPr>
        <w:t xml:space="preserve"> при возникновении осложнений </w:t>
      </w:r>
      <w:r w:rsidRPr="00824F7E">
        <w:rPr>
          <w:i/>
        </w:rPr>
        <w:t xml:space="preserve">заболевания и лечения проводится в рамках соответствующих нозологий. </w:t>
      </w:r>
    </w:p>
    <w:p w:rsidR="007D0783" w:rsidRPr="00BE6A1C" w:rsidRDefault="00824F7E" w:rsidP="00BE6A1C">
      <w:pPr>
        <w:contextualSpacing/>
        <w:rPr>
          <w:i/>
        </w:rPr>
      </w:pPr>
      <w:r w:rsidRPr="00824F7E">
        <w:rPr>
          <w:i/>
        </w:rPr>
        <w:t xml:space="preserve">Поддерживающая терапия при необходимости проводится по месту жительства под наблюдением врача-гематолога или врача-онколога. Врач-гематолог или врач-онколог по месту жительства руководствуется рекомендациями, </w:t>
      </w:r>
      <w:r w:rsidR="005B033F">
        <w:rPr>
          <w:i/>
        </w:rPr>
        <w:t>которые дан</w:t>
      </w:r>
      <w:r w:rsidRPr="00824F7E">
        <w:rPr>
          <w:i/>
        </w:rPr>
        <w:t>ы специалистами учреждения, проводившего лечение.</w:t>
      </w:r>
    </w:p>
    <w:p w:rsidR="004D7374" w:rsidRPr="005A463A" w:rsidRDefault="00BE6A1C" w:rsidP="00752513">
      <w:pPr>
        <w:pStyle w:val="1"/>
      </w:pPr>
      <w:bookmarkStart w:id="58" w:name="_Toc24546446"/>
      <w:bookmarkStart w:id="59" w:name="_Toc23601732"/>
      <w:r w:rsidRPr="00397360">
        <w:rPr>
          <w:sz w:val="24"/>
          <w:szCs w:val="24"/>
        </w:rPr>
        <w:t>5. </w:t>
      </w:r>
      <w:r w:rsidR="00B4558B" w:rsidRPr="005A463A">
        <w:t xml:space="preserve">Профилактика и диспансерное наблюдение, </w:t>
      </w:r>
      <w:r w:rsidRPr="005A463A">
        <w:br/>
      </w:r>
      <w:r w:rsidR="00B4558B" w:rsidRPr="005A463A">
        <w:t xml:space="preserve">медицинские показания и противопоказания </w:t>
      </w:r>
      <w:r w:rsidRPr="005A463A">
        <w:br/>
      </w:r>
      <w:r w:rsidR="00B4558B" w:rsidRPr="005A463A">
        <w:t>к применению методов профилактики</w:t>
      </w:r>
      <w:bookmarkEnd w:id="58"/>
      <w:bookmarkEnd w:id="59"/>
    </w:p>
    <w:p w:rsidR="00B63BF6" w:rsidRPr="005B033F" w:rsidRDefault="00B63BF6" w:rsidP="005B033F">
      <w:pPr>
        <w:rPr>
          <w:i/>
        </w:rPr>
      </w:pPr>
      <w:r w:rsidRPr="005B033F">
        <w:rPr>
          <w:i/>
        </w:rPr>
        <w:t>Методов профилактики ХЛЛ/ЛМЛ в настоящее время не существует, поскольку неизвестен этиологический фактор</w:t>
      </w:r>
      <w:r w:rsidR="005B033F" w:rsidRPr="005B033F">
        <w:rPr>
          <w:i/>
        </w:rPr>
        <w:t xml:space="preserve"> или факторы</w:t>
      </w:r>
      <w:r w:rsidRPr="005B033F">
        <w:rPr>
          <w:i/>
        </w:rPr>
        <w:t xml:space="preserve">, ведущие к развитию заболевания. </w:t>
      </w:r>
    </w:p>
    <w:p w:rsidR="002F6861" w:rsidRDefault="002F6861" w:rsidP="00BE6A1C">
      <w:pPr>
        <w:pStyle w:val="a"/>
      </w:pPr>
      <w:r>
        <w:t>Всем пациентам с ХЛЛ/ЛМЛ</w:t>
      </w:r>
      <w:r w:rsidR="008E393B">
        <w:t xml:space="preserve"> </w:t>
      </w:r>
      <w:r>
        <w:t>на</w:t>
      </w:r>
      <w:r w:rsidR="008E393B">
        <w:t xml:space="preserve"> </w:t>
      </w:r>
      <w:r w:rsidR="002728BA">
        <w:t xml:space="preserve">протяжении всей жизни </w:t>
      </w:r>
      <w:r w:rsidR="005A0BFC">
        <w:t>пациента</w:t>
      </w:r>
      <w:r w:rsidR="002728BA">
        <w:t xml:space="preserve"> </w:t>
      </w:r>
      <w:r w:rsidR="005B033F">
        <w:t>(</w:t>
      </w:r>
      <w:r w:rsidR="002728BA">
        <w:t xml:space="preserve">как в период лечения, так и вне </w:t>
      </w:r>
      <w:r w:rsidR="005B033F">
        <w:t>его)</w:t>
      </w:r>
      <w:r w:rsidR="002728BA">
        <w:t xml:space="preserve"> </w:t>
      </w:r>
      <w:r w:rsidRPr="00B76E9B">
        <w:rPr>
          <w:b/>
        </w:rPr>
        <w:t>рекомендуется</w:t>
      </w:r>
      <w:r w:rsidR="008E393B">
        <w:rPr>
          <w:b/>
        </w:rPr>
        <w:t xml:space="preserve"> </w:t>
      </w:r>
      <w:r w:rsidR="002728BA">
        <w:t>диспансерное наблюдение у гематолога</w:t>
      </w:r>
      <w:r w:rsidRPr="00824F7E">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 xml:space="preserve">. </w:t>
      </w:r>
    </w:p>
    <w:p w:rsidR="001E3D61" w:rsidRPr="005B033F" w:rsidRDefault="001E3D61" w:rsidP="00BE6A1C">
      <w:pPr>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rsidR="00717FA6" w:rsidRDefault="00A81638" w:rsidP="00BE6A1C">
      <w:pPr>
        <w:contextualSpacing/>
        <w:rPr>
          <w:i/>
        </w:rPr>
      </w:pPr>
      <w:r>
        <w:rPr>
          <w:b/>
        </w:rPr>
        <w:t>Комментарии</w:t>
      </w:r>
      <w:r w:rsidR="00EB3C81" w:rsidRPr="00B76E9B">
        <w:rPr>
          <w:b/>
        </w:rPr>
        <w:t>:</w:t>
      </w:r>
      <w:r w:rsidR="008E393B">
        <w:rPr>
          <w:b/>
        </w:rPr>
        <w:t xml:space="preserve"> </w:t>
      </w:r>
      <w:r w:rsidR="005B033F">
        <w:rPr>
          <w:i/>
        </w:rPr>
        <w:t>ч</w:t>
      </w:r>
      <w:r w:rsidR="00EB3C81">
        <w:rPr>
          <w:i/>
        </w:rPr>
        <w:t xml:space="preserve">астота наблюдения пациентов с ХЛЛ/ЛМЛ после завершения лечения законодательно не регламентирована. В течение </w:t>
      </w:r>
      <w:r w:rsidR="002358A9">
        <w:rPr>
          <w:i/>
        </w:rPr>
        <w:t>1-го</w:t>
      </w:r>
      <w:r w:rsidR="00EB3C81">
        <w:rPr>
          <w:i/>
        </w:rPr>
        <w:t xml:space="preserve"> года после завершения лечения пациент должен наблюдаться у гематолога не реже 1 раза в 3 </w:t>
      </w:r>
      <w:r w:rsidR="00F07AA9">
        <w:rPr>
          <w:i/>
        </w:rPr>
        <w:t>мес</w:t>
      </w:r>
      <w:r w:rsidR="00EB3C81">
        <w:rPr>
          <w:i/>
        </w:rPr>
        <w:t xml:space="preserve">. Далее частота наблюдения устанавливается гематологом индивидуально в зависимости от общего состояния и самочувствия пациента, осложнений проведенной терапии, достигнутого ответа на терапию, но не должна </w:t>
      </w:r>
      <w:r w:rsidR="002358A9">
        <w:rPr>
          <w:i/>
        </w:rPr>
        <w:t>составлять</w:t>
      </w:r>
      <w:r w:rsidR="00EB3C81">
        <w:rPr>
          <w:i/>
        </w:rPr>
        <w:t xml:space="preserve"> </w:t>
      </w:r>
      <w:r w:rsidR="002358A9">
        <w:rPr>
          <w:i/>
        </w:rPr>
        <w:t>менее</w:t>
      </w:r>
      <w:r w:rsidR="00EB3C81">
        <w:rPr>
          <w:i/>
        </w:rPr>
        <w:t xml:space="preserve"> 1 раза в год.</w:t>
      </w:r>
    </w:p>
    <w:p w:rsidR="00717FA6" w:rsidRDefault="00717FA6" w:rsidP="00560CBA">
      <w:pPr>
        <w:contextualSpacing/>
        <w:rPr>
          <w:i/>
        </w:rPr>
      </w:pPr>
      <w:r>
        <w:rPr>
          <w:i/>
        </w:rPr>
        <w:t xml:space="preserve">При диспансерном наблюдении кроме осмотра пациента и сбора анамнеза необходимо выполнять общий анализ крови с исследованием лейкоцитарной формулы, а также, если заболевание сопровождалось лимфаденопатией, инструментальное исследование периферических </w:t>
      </w:r>
      <w:r w:rsidR="00C20509" w:rsidRPr="00C20509">
        <w:rPr>
          <w:i/>
          <w:spacing w:val="-2"/>
        </w:rPr>
        <w:t>лимфатических узлов</w:t>
      </w:r>
      <w:r w:rsidR="00C20509">
        <w:rPr>
          <w:i/>
        </w:rPr>
        <w:t xml:space="preserve"> </w:t>
      </w:r>
      <w:r>
        <w:rPr>
          <w:i/>
        </w:rPr>
        <w:t xml:space="preserve">(УЗИ или КТ). Остальные методы обследования могут применяться </w:t>
      </w:r>
      <w:r w:rsidR="002358A9">
        <w:rPr>
          <w:i/>
        </w:rPr>
        <w:t>по</w:t>
      </w:r>
      <w:r>
        <w:rPr>
          <w:i/>
        </w:rPr>
        <w:t xml:space="preserve"> усмотрени</w:t>
      </w:r>
      <w:r w:rsidR="002358A9">
        <w:rPr>
          <w:i/>
        </w:rPr>
        <w:t>ю</w:t>
      </w:r>
      <w:r>
        <w:rPr>
          <w:i/>
        </w:rPr>
        <w:t xml:space="preserve"> гематолога.</w:t>
      </w:r>
    </w:p>
    <w:p w:rsidR="000D5099" w:rsidRPr="004E145E" w:rsidRDefault="000D5099" w:rsidP="00BE6A1C">
      <w:pPr>
        <w:pStyle w:val="a"/>
        <w:rPr>
          <w:b/>
        </w:rPr>
      </w:pPr>
      <w:r w:rsidRPr="004E145E">
        <w:t xml:space="preserve">Пациентам, </w:t>
      </w:r>
      <w:r w:rsidR="002358A9">
        <w:t xml:space="preserve">у </w:t>
      </w:r>
      <w:r w:rsidRPr="004E145E">
        <w:t>которы</w:t>
      </w:r>
      <w:r w:rsidR="002358A9">
        <w:t>х</w:t>
      </w:r>
      <w:r w:rsidRPr="004E145E">
        <w:t xml:space="preserve"> проводилось</w:t>
      </w:r>
      <w:r>
        <w:t>/проводится</w:t>
      </w:r>
      <w:r w:rsidRPr="004E145E">
        <w:t xml:space="preserve"> лечение </w:t>
      </w:r>
      <w:r>
        <w:t xml:space="preserve">по поводу ХЛЛ/ЛМЛ, </w:t>
      </w:r>
      <w:r w:rsidRPr="004E145E">
        <w:rPr>
          <w:b/>
          <w:bCs/>
        </w:rPr>
        <w:t>рекомендуется</w:t>
      </w:r>
      <w:r w:rsidRPr="004E145E">
        <w:t xml:space="preserve"> проведени</w:t>
      </w:r>
      <w:r>
        <w:t>е регулярных</w:t>
      </w:r>
      <w:r w:rsidRPr="004E145E">
        <w:t xml:space="preserve"> плановых скрининговых обследований из-за повышенного риска развития вторых опухолей</w:t>
      </w:r>
      <w:r w:rsidR="00D4168D" w:rsidRPr="00D4168D">
        <w:t xml:space="preserve"> </w:t>
      </w:r>
      <w:r w:rsidR="000B0AC3">
        <w:fldChar w:fldCharType="begin" w:fldLock="1"/>
      </w:r>
      <w:r w:rsidR="00055701">
        <w:instrText>ADDIN CSL_CITATION {"citationItems":[{"id":"ITEM-1","itemData":{"author":[{"dropping-particle":"","family":"Reda","given":"Gianluigi","non-dropping-particle":"","parse-names":false,"suffix":""},{"dropping-particle":"","family":"Fattizzo","given":"Bruno","non-dropping-particle":"","parse-names":false,"suffix":""},{"dropping-particle":"","family":"Cassin","given":"Ramona","non-dropping-particle":"","parse-names":false,"suffix":""},{"dropping-particle":"","family":"Orofino","given":"Nicola","non-dropping-particle":"","parse-names":false,"suffix":""},{"dropping-particle":"","family":"Flospergher","given":"Elena","non-dropping-particle":"","parse-names":false,"suffix":""},{"dropping-particle":"","family":"Iurlo","given":"Alessandra","non-dropping-particle":"","parse-names":false,"suffix":""},{"dropping-particle":"","family":"Barcellini","given":"Wilma","non-dropping-particle":"","parse-names":false,"suffix":""},{"dropping-particle":"","family":"Cortelezzi","given":"Agostino","non-dropping-particle":"","parse-names":false,"suffix":""}],"container-title":"Blood","id":"ITEM-1","issue":"23","issued":{"date-parts":[["2015"]]},"title":"Secondary Malignancies in Chronic Lymphocytic Leukemia: A Single Centre Retrospective Analysis of 514 Cases","type":"article-journal","volume":"126"},"uris":["http://www.mendeley.com/documents/?uuid=4d73b34e-55a9-327f-b877-8efc4c0468ad"]},{"id":"ITEM-2","itemData":{"DOI":"10.1038/bjc.2013.381","ISSN":"1532-1827","PMID":"23860531","abstract":"BACKGROUND Chronic lymphocytic leukaemia (CLL) patients have an increased risk of other malignancies. This may be due to surveillance bias, treatment or immunosuppression. METHODS Cohort study of 612 consecutively diagnosed CLL patients in a Canadian province, with comparisons to follicular lymphoma (FL) patients. RESULTS Treated CLL patients had a 1.7-fold increased risk of second cancers compared with untreated CLL patients. As compared with untreated FL patients, untreated CLL patients had a two-fold increased incidence of second malignancies. CONCLUSION Chronic lymphocytic leukaemia patients have an inherent predisposition to second cancers and the incidence is further increased by treatment.","author":[{"dropping-particle":"","family":"Beiggi","given":"S","non-dropping-particle":"","parse-names":false,"suffix":""},{"dropping-particle":"","family":"Johnston","given":"J B","non-dropping-particle":"","parse-names":false,"suffix":""},{"dropping-particle":"","family":"Seftel","given":"M D","non-dropping-particle":"","parse-names":false,"suffix":""},{"dropping-particle":"","family":"Pitz","given":"M W","non-dropping-particle":"","parse-names":false,"suffix":""},{"dropping-particle":"","family":"Kumar","given":"R","non-dropping-particle":"","parse-names":false,"suffix":""},{"dropping-particle":"","family":"Banerji","given":"V","non-dropping-particle":"","parse-names":false,"suffix":""},{"dropping-particle":"","family":"Griffith","given":"E J","non-dropping-particle":"","parse-names":false,"suffix":""},{"dropping-particle":"","family":"Gibson","given":"S B","non-dropping-particle":"","parse-names":false,"suffix":""}],"container-title":"British journal of cancer","id":"ITEM-2","issue":"5","issued":{"date-parts":[["2013","9","3"]]},"page":"1287-90","title":"Increased risk of second malignancies in chronic lymphocytic leukaemia patients as compared with follicular lymphoma patients: a Canadian population-based study.","type":"article-journal","volume":"109"},"uris":["http://www.mendeley.com/documents/?uuid=db34b915-3bcd-301d-88f6-454cf8a61069"]}],"mendeley":{"formattedCitation":"[63,64]","plainTextFormattedCitation":"[63,64]","previouslyFormattedCitation":"[62,63]"},"properties":{"noteIndex":0},"schema":"https://github.com/citation-style-language/schema/raw/master/csl-citation.json"}</w:instrText>
      </w:r>
      <w:r w:rsidR="000B0AC3">
        <w:fldChar w:fldCharType="separate"/>
      </w:r>
      <w:r w:rsidR="00055701" w:rsidRPr="00055701">
        <w:rPr>
          <w:noProof/>
        </w:rPr>
        <w:t>[63,64]</w:t>
      </w:r>
      <w:r w:rsidR="000B0AC3">
        <w:fldChar w:fldCharType="end"/>
      </w:r>
      <w:r w:rsidRPr="004E145E">
        <w:t>.</w:t>
      </w:r>
    </w:p>
    <w:p w:rsidR="0025616A" w:rsidRPr="002358A9" w:rsidRDefault="000D5099" w:rsidP="00560CBA">
      <w:pPr>
        <w:contextualSpacing/>
        <w:rPr>
          <w:b/>
          <w:spacing w:val="-4"/>
        </w:rPr>
      </w:pPr>
      <w:r w:rsidRPr="002358A9">
        <w:rPr>
          <w:b/>
          <w:spacing w:val="-4"/>
        </w:rPr>
        <w:t xml:space="preserve">Уровень убедительности </w:t>
      </w:r>
      <w:r w:rsidR="00C20509" w:rsidRPr="002358A9">
        <w:rPr>
          <w:b/>
          <w:spacing w:val="-4"/>
        </w:rPr>
        <w:t xml:space="preserve">рекомендаций – </w:t>
      </w:r>
      <w:r w:rsidR="00752513">
        <w:rPr>
          <w:b/>
          <w:spacing w:val="-4"/>
        </w:rPr>
        <w:t>В</w:t>
      </w:r>
      <w:r w:rsidR="00752513" w:rsidRPr="002358A9">
        <w:rPr>
          <w:b/>
          <w:spacing w:val="-4"/>
        </w:rPr>
        <w:t xml:space="preserve"> </w:t>
      </w:r>
      <w:r w:rsidRPr="002358A9">
        <w:rPr>
          <w:b/>
          <w:spacing w:val="-4"/>
        </w:rPr>
        <w:t xml:space="preserve">(уровень достоверности </w:t>
      </w:r>
      <w:r w:rsidR="00C20509" w:rsidRPr="002358A9">
        <w:rPr>
          <w:b/>
          <w:spacing w:val="-4"/>
        </w:rPr>
        <w:t xml:space="preserve">доказательств – </w:t>
      </w:r>
      <w:r w:rsidR="00752513">
        <w:rPr>
          <w:b/>
          <w:spacing w:val="-4"/>
        </w:rPr>
        <w:t>3</w:t>
      </w:r>
      <w:r w:rsidR="00560CBA" w:rsidRPr="002358A9">
        <w:rPr>
          <w:b/>
          <w:spacing w:val="-4"/>
        </w:rPr>
        <w:t>)</w:t>
      </w:r>
      <w:r w:rsidR="002358A9" w:rsidRPr="002358A9">
        <w:rPr>
          <w:b/>
          <w:spacing w:val="-4"/>
        </w:rPr>
        <w:t>.</w:t>
      </w:r>
    </w:p>
    <w:p w:rsidR="0025616A" w:rsidRPr="00DB46A1" w:rsidRDefault="00824F7E" w:rsidP="00BE6A1C">
      <w:pPr>
        <w:pStyle w:val="1"/>
        <w:rPr>
          <w:sz w:val="24"/>
          <w:szCs w:val="24"/>
        </w:rPr>
      </w:pPr>
      <w:bookmarkStart w:id="60" w:name="_Toc24546447"/>
      <w:bookmarkStart w:id="61" w:name="_Toc23601733"/>
      <w:r w:rsidRPr="00DB46A1">
        <w:rPr>
          <w:sz w:val="24"/>
          <w:szCs w:val="24"/>
        </w:rPr>
        <w:lastRenderedPageBreak/>
        <w:t>6</w:t>
      </w:r>
      <w:r w:rsidR="0025616A" w:rsidRPr="00DB46A1">
        <w:rPr>
          <w:sz w:val="24"/>
          <w:szCs w:val="24"/>
        </w:rPr>
        <w:t xml:space="preserve">. </w:t>
      </w:r>
      <w:r w:rsidR="0025616A" w:rsidRPr="005A463A">
        <w:t>Организация</w:t>
      </w:r>
      <w:r w:rsidR="00FD2083">
        <w:t xml:space="preserve"> оказания</w:t>
      </w:r>
      <w:r w:rsidR="00F30B3C" w:rsidRPr="005A463A">
        <w:t xml:space="preserve"> </w:t>
      </w:r>
      <w:r w:rsidR="0025616A" w:rsidRPr="005A463A">
        <w:t>медицинской помощи</w:t>
      </w:r>
      <w:bookmarkEnd w:id="60"/>
      <w:bookmarkEnd w:id="61"/>
    </w:p>
    <w:p w:rsidR="003028FA" w:rsidRPr="00C40CE5" w:rsidRDefault="003028FA" w:rsidP="003028FA">
      <w:pPr>
        <w:spacing w:before="240"/>
        <w:ind w:firstLine="709"/>
        <w:rPr>
          <w:color w:val="000000"/>
        </w:rPr>
      </w:pPr>
      <w:r w:rsidRPr="00C40CE5">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rsidR="003028FA" w:rsidRPr="00C40CE5" w:rsidRDefault="003028FA" w:rsidP="003028FA">
      <w:pPr>
        <w:pStyle w:val="a"/>
        <w:numPr>
          <w:ilvl w:val="0"/>
          <w:numId w:val="33"/>
        </w:numPr>
        <w:spacing w:before="0"/>
        <w:ind w:left="993"/>
        <w:rPr>
          <w:color w:val="000000"/>
        </w:rPr>
      </w:pPr>
      <w:r w:rsidRPr="00C40CE5">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3028FA" w:rsidRPr="00C40CE5" w:rsidRDefault="003028FA" w:rsidP="003028FA">
      <w:pPr>
        <w:pStyle w:val="a"/>
        <w:numPr>
          <w:ilvl w:val="0"/>
          <w:numId w:val="33"/>
        </w:numPr>
        <w:spacing w:before="0"/>
        <w:ind w:left="993"/>
        <w:rPr>
          <w:color w:val="000000"/>
        </w:rPr>
      </w:pPr>
      <w:r w:rsidRPr="00C40CE5">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rsidR="003028FA" w:rsidRPr="00C40CE5" w:rsidRDefault="003028FA" w:rsidP="003028FA">
      <w:pPr>
        <w:pStyle w:val="a"/>
        <w:numPr>
          <w:ilvl w:val="0"/>
          <w:numId w:val="33"/>
        </w:numPr>
        <w:spacing w:before="0"/>
        <w:ind w:left="993"/>
        <w:rPr>
          <w:color w:val="000000"/>
        </w:rPr>
      </w:pPr>
      <w:r w:rsidRPr="00C40CE5">
        <w:rPr>
          <w:color w:val="000000"/>
        </w:rPr>
        <w:t>на основе настоящих клинических рекомендаций;</w:t>
      </w:r>
    </w:p>
    <w:p w:rsidR="003028FA" w:rsidRPr="00C40CE5" w:rsidRDefault="003028FA" w:rsidP="003028FA">
      <w:pPr>
        <w:pStyle w:val="a"/>
        <w:numPr>
          <w:ilvl w:val="0"/>
          <w:numId w:val="33"/>
        </w:numPr>
        <w:spacing w:before="0"/>
        <w:ind w:left="993"/>
        <w:rPr>
          <w:color w:val="000000"/>
        </w:rPr>
      </w:pPr>
      <w:r w:rsidRPr="00C40CE5">
        <w:rPr>
          <w:color w:val="000000"/>
        </w:rPr>
        <w:t>с учетом стандартов медицинской помощи, утвержденных уполномоченным федеральным органом исполнительной власти.</w:t>
      </w:r>
    </w:p>
    <w:p w:rsidR="003028FA" w:rsidRPr="00C40CE5" w:rsidRDefault="003028FA" w:rsidP="003028FA">
      <w:pPr>
        <w:ind w:firstLine="709"/>
        <w:rPr>
          <w:color w:val="000000"/>
        </w:rPr>
      </w:pPr>
      <w:r w:rsidRPr="00C40CE5">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rsidR="003028FA" w:rsidRPr="00C40CE5" w:rsidRDefault="003028FA" w:rsidP="003028FA">
      <w:pPr>
        <w:ind w:firstLine="709"/>
        <w:rPr>
          <w:color w:val="000000"/>
        </w:rPr>
      </w:pPr>
      <w:r w:rsidRPr="00C40CE5">
        <w:rPr>
          <w:color w:val="000000"/>
        </w:rPr>
        <w:t xml:space="preserve">При выявлении у </w:t>
      </w:r>
      <w:r>
        <w:rPr>
          <w:color w:val="000000"/>
        </w:rPr>
        <w:t xml:space="preserve">пациента </w:t>
      </w:r>
      <w:r>
        <w:t>ХЛЛ/ЛМЛ</w:t>
      </w:r>
      <w:r w:rsidRPr="00C40CE5">
        <w:rPr>
          <w:color w:val="000000"/>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w:t>
      </w:r>
      <w:r>
        <w:rPr>
          <w:color w:val="000000"/>
        </w:rPr>
        <w:t xml:space="preserve">пациента </w:t>
      </w:r>
      <w:r w:rsidRPr="00C40CE5">
        <w:rPr>
          <w:color w:val="000000"/>
        </w:rPr>
        <w:t>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rsidR="003028FA" w:rsidRPr="00C40CE5" w:rsidRDefault="003028FA" w:rsidP="003028FA">
      <w:pPr>
        <w:ind w:firstLine="709"/>
        <w:rPr>
          <w:color w:val="000000"/>
        </w:rPr>
      </w:pPr>
      <w:r w:rsidRPr="00C40CE5">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rsidR="003028FA" w:rsidRPr="00C40CE5" w:rsidRDefault="003028FA" w:rsidP="003028FA">
      <w:pPr>
        <w:ind w:firstLine="709"/>
        <w:rPr>
          <w:color w:val="000000"/>
        </w:rPr>
      </w:pPr>
      <w:r w:rsidRPr="00C40CE5">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w:t>
      </w:r>
      <w:r>
        <w:rPr>
          <w:color w:val="000000"/>
        </w:rPr>
        <w:t xml:space="preserve">пациентам </w:t>
      </w:r>
      <w:r w:rsidRPr="00C40CE5">
        <w:rPr>
          <w:color w:val="000000"/>
        </w:rPr>
        <w:t>с гематологическими заболеваниями для установления диагноза и оказания специализированной, в том числе высокотехнологичной, медицинской помощи.</w:t>
      </w:r>
    </w:p>
    <w:p w:rsidR="003028FA" w:rsidRPr="00C40CE5" w:rsidRDefault="003028FA" w:rsidP="003028FA">
      <w:pPr>
        <w:ind w:firstLine="709"/>
        <w:rPr>
          <w:color w:val="000000"/>
        </w:rPr>
      </w:pPr>
      <w:r w:rsidRPr="00C40CE5">
        <w:rPr>
          <w:color w:val="000000"/>
        </w:rPr>
        <w:lastRenderedPageBreak/>
        <w:t xml:space="preserve">При выявлении </w:t>
      </w:r>
      <w:r>
        <w:t>ХЛЛ/ЛМЛ</w:t>
      </w:r>
      <w:r w:rsidRPr="00C40CE5">
        <w:rPr>
          <w:color w:val="000000"/>
        </w:rPr>
        <w:t xml:space="preserve"> или подозрении на него в ходе оказания скорой медицинской помощи </w:t>
      </w:r>
      <w:r>
        <w:rPr>
          <w:color w:val="000000"/>
        </w:rPr>
        <w:t xml:space="preserve">пациента </w:t>
      </w:r>
      <w:r w:rsidRPr="00C40CE5">
        <w:rPr>
          <w:color w:val="000000"/>
        </w:rPr>
        <w:t xml:space="preserve">переводят или направляют в медицинские организации, оказывающие медицинскую помощь </w:t>
      </w:r>
      <w:r>
        <w:rPr>
          <w:color w:val="000000"/>
        </w:rPr>
        <w:t xml:space="preserve">пациентам </w:t>
      </w:r>
      <w:r w:rsidRPr="00C40CE5">
        <w:rPr>
          <w:color w:val="000000"/>
        </w:rPr>
        <w:t>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rsidR="003028FA" w:rsidRPr="00C40CE5" w:rsidRDefault="003028FA" w:rsidP="003028FA">
      <w:pPr>
        <w:ind w:firstLine="709"/>
        <w:rPr>
          <w:color w:val="000000"/>
        </w:rPr>
      </w:pPr>
      <w:r w:rsidRPr="00C40CE5">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w:t>
      </w:r>
      <w:r>
        <w:rPr>
          <w:color w:val="000000"/>
        </w:rPr>
        <w:t xml:space="preserve">пациентам с </w:t>
      </w:r>
      <w:r>
        <w:t>ХЛЛ/ЛМЛ</w:t>
      </w:r>
      <w:r w:rsidRPr="00C40CE5">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rsidR="003028FA" w:rsidRPr="00C40CE5" w:rsidRDefault="003028FA" w:rsidP="003028FA">
      <w:pPr>
        <w:ind w:firstLine="709"/>
        <w:rPr>
          <w:color w:val="000000"/>
        </w:rPr>
      </w:pPr>
      <w:r w:rsidRPr="00C40CE5">
        <w:rPr>
          <w:color w:val="000000"/>
        </w:rPr>
        <w:t xml:space="preserve">В медицинской организации, оказывающей медицинскую помощь </w:t>
      </w:r>
      <w:r>
        <w:rPr>
          <w:color w:val="000000"/>
        </w:rPr>
        <w:t xml:space="preserve">пациентам с </w:t>
      </w:r>
      <w:r>
        <w:t>ХЛЛ/ЛМЛ</w:t>
      </w:r>
      <w:r w:rsidRPr="00C40CE5">
        <w:rPr>
          <w:color w:val="000000"/>
        </w:rPr>
        <w:t xml:space="preserve">,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w:t>
      </w:r>
      <w:r>
        <w:rPr>
          <w:color w:val="000000"/>
        </w:rPr>
        <w:t>пациента</w:t>
      </w:r>
      <w:r w:rsidRPr="00C40CE5">
        <w:rPr>
          <w:color w:val="000000"/>
        </w:rPr>
        <w:t>.</w:t>
      </w:r>
    </w:p>
    <w:p w:rsidR="003028FA" w:rsidRPr="00C40CE5" w:rsidRDefault="003028FA" w:rsidP="003028FA">
      <w:pPr>
        <w:ind w:firstLine="709"/>
        <w:rPr>
          <w:color w:val="000000"/>
        </w:rPr>
      </w:pPr>
      <w:r w:rsidRPr="00C40CE5">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rsidR="00230E59" w:rsidRPr="00A04E7F" w:rsidRDefault="00230E59" w:rsidP="00230E59">
      <w:pPr>
        <w:pStyle w:val="14"/>
        <w:contextualSpacing/>
        <w:rPr>
          <w:b/>
        </w:rPr>
      </w:pPr>
      <w:r w:rsidRPr="00A04E7F">
        <w:rPr>
          <w:b/>
        </w:rPr>
        <w:t xml:space="preserve">Показания </w:t>
      </w:r>
      <w:r>
        <w:rPr>
          <w:b/>
        </w:rPr>
        <w:t>к</w:t>
      </w:r>
      <w:r w:rsidRPr="00A04E7F">
        <w:rPr>
          <w:b/>
        </w:rPr>
        <w:t xml:space="preserve"> экстренной госпитализации: </w:t>
      </w:r>
    </w:p>
    <w:p w:rsidR="00230E59" w:rsidRDefault="00230E59" w:rsidP="00230E59">
      <w:pPr>
        <w:pStyle w:val="14"/>
        <w:contextualSpacing/>
      </w:pPr>
      <w:r>
        <w:t>1.</w:t>
      </w:r>
      <w:r>
        <w:tab/>
        <w:t>Развитие тяжелой инфекции (необязательна госпитализация в гематологический стационар).</w:t>
      </w:r>
    </w:p>
    <w:p w:rsidR="00230E59" w:rsidRDefault="00230E59" w:rsidP="00230E59">
      <w:pPr>
        <w:pStyle w:val="14"/>
        <w:contextualSpacing/>
      </w:pPr>
      <w:r>
        <w:t>2.</w:t>
      </w:r>
      <w:r>
        <w:tab/>
        <w:t>Развитие угрожающих жизни цитопений (глубокой анемии, геморрагического синдрома, нейтропении).</w:t>
      </w:r>
    </w:p>
    <w:p w:rsidR="00230E59" w:rsidRDefault="00230E59" w:rsidP="00230E59">
      <w:pPr>
        <w:pStyle w:val="14"/>
        <w:contextualSpacing/>
      </w:pPr>
      <w:r>
        <w:t>3.</w:t>
      </w:r>
      <w:r>
        <w:tab/>
        <w:t xml:space="preserve">Развитие осложнений ХЛЛ, включая синдром Рихтера, симптоматическую лимфаденопатию и органомегалию с риском развития тяжелых осложнений, нейролейкемию, специфический плеврит и хилоторакс с признаками дыхательной недостаточности, паранеопластические и аутоиммунные синдромы, другие осложнения, угрожающие жизни. </w:t>
      </w:r>
    </w:p>
    <w:p w:rsidR="00230E59" w:rsidRPr="00CC5156" w:rsidRDefault="00230E59" w:rsidP="00230E59">
      <w:pPr>
        <w:pStyle w:val="14"/>
        <w:contextualSpacing/>
      </w:pPr>
      <w:r>
        <w:t>4.</w:t>
      </w:r>
      <w:r>
        <w:tab/>
        <w:t xml:space="preserve">Развитие осложнений терапии, включая синдром лизиса опухоли, тяжелые инфузионные реакции, миелотоксический агранулоцитоз с лихорадкой и другие </w:t>
      </w:r>
      <w:r>
        <w:lastRenderedPageBreak/>
        <w:t>осложнения, угрожающие жизни.</w:t>
      </w:r>
    </w:p>
    <w:p w:rsidR="00230E59" w:rsidRPr="00A04E7F" w:rsidRDefault="00230E59" w:rsidP="00230E59">
      <w:pPr>
        <w:pStyle w:val="14"/>
        <w:spacing w:before="240"/>
        <w:contextualSpacing/>
        <w:rPr>
          <w:b/>
        </w:rPr>
      </w:pPr>
      <w:r w:rsidRPr="00A04E7F">
        <w:rPr>
          <w:b/>
        </w:rPr>
        <w:t xml:space="preserve">Показания </w:t>
      </w:r>
      <w:r>
        <w:rPr>
          <w:b/>
        </w:rPr>
        <w:t>к</w:t>
      </w:r>
      <w:r w:rsidRPr="00A04E7F">
        <w:rPr>
          <w:b/>
        </w:rPr>
        <w:t xml:space="preserve"> плановой госпитализации: </w:t>
      </w:r>
    </w:p>
    <w:p w:rsidR="00230E59" w:rsidRDefault="00230E59" w:rsidP="00230E59">
      <w:pPr>
        <w:pStyle w:val="14"/>
        <w:contextualSpacing/>
      </w:pPr>
      <w:r>
        <w:t>1.</w:t>
      </w:r>
      <w:r>
        <w:tab/>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rsidR="00230E59" w:rsidRDefault="00230E59" w:rsidP="00230E59">
      <w:pPr>
        <w:pStyle w:val="14"/>
        <w:contextualSpacing/>
      </w:pPr>
      <w:r>
        <w:t>2.</w:t>
      </w:r>
      <w:r>
        <w:tab/>
        <w:t>Обследование пациента, включающее биопсию и инвазивные вмешательства, в случаях, когда оно не может быть проведено амбулаторно.</w:t>
      </w:r>
    </w:p>
    <w:p w:rsidR="00230E59" w:rsidRPr="00FF55B2" w:rsidRDefault="00230E59" w:rsidP="00230E59">
      <w:pPr>
        <w:rPr>
          <w:b/>
        </w:rPr>
      </w:pPr>
      <w:r w:rsidRPr="00FF55B2">
        <w:rPr>
          <w:b/>
        </w:rPr>
        <w:t>Показания к выписке пациента из медицинской организации:</w:t>
      </w:r>
    </w:p>
    <w:p w:rsidR="00230E59" w:rsidRDefault="00FF55B2" w:rsidP="00FF55B2">
      <w:pPr>
        <w:pStyle w:val="a"/>
        <w:numPr>
          <w:ilvl w:val="0"/>
          <w:numId w:val="35"/>
        </w:numPr>
        <w:tabs>
          <w:tab w:val="left" w:pos="1134"/>
        </w:tabs>
        <w:spacing w:before="0"/>
      </w:pPr>
      <w:r>
        <w:t>З</w:t>
      </w:r>
      <w:r w:rsidR="00230E59">
        <w:t>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w:t>
      </w:r>
      <w:r>
        <w:t>тельств в стационарных условиях.</w:t>
      </w:r>
    </w:p>
    <w:p w:rsidR="00230E59" w:rsidRDefault="00FF55B2" w:rsidP="00FF55B2">
      <w:pPr>
        <w:pStyle w:val="a"/>
        <w:numPr>
          <w:ilvl w:val="0"/>
          <w:numId w:val="35"/>
        </w:numPr>
        <w:tabs>
          <w:tab w:val="left" w:pos="1134"/>
        </w:tabs>
        <w:spacing w:before="0"/>
      </w:pPr>
      <w:r>
        <w:t>О</w:t>
      </w:r>
      <w:r w:rsidR="00230E59">
        <w:t xml:space="preserve">тказ </w:t>
      </w:r>
      <w:r w:rsidR="008253CD">
        <w:t xml:space="preserve">пациента </w:t>
      </w:r>
      <w:r w:rsidR="00230E59">
        <w:t>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w:t>
      </w:r>
      <w:r>
        <w:t>тельств в стационарных условиях.</w:t>
      </w:r>
    </w:p>
    <w:p w:rsidR="00FF55B2" w:rsidRDefault="00FF55B2" w:rsidP="00FF55B2">
      <w:pPr>
        <w:pStyle w:val="a"/>
        <w:numPr>
          <w:ilvl w:val="0"/>
          <w:numId w:val="35"/>
        </w:numPr>
        <w:tabs>
          <w:tab w:val="left" w:pos="1134"/>
        </w:tabs>
        <w:spacing w:before="0"/>
      </w:pPr>
      <w:r>
        <w:t>Н</w:t>
      </w:r>
      <w:r w:rsidR="00230E59">
        <w:t xml:space="preserve">еобходимость перевода </w:t>
      </w:r>
      <w:r w:rsidR="008253CD">
        <w:t xml:space="preserve">пациента </w:t>
      </w:r>
      <w:r w:rsidR="00230E59">
        <w:t>в другую медицинскую организацию по соответствующему профилю оказания медицинской помощи.</w:t>
      </w:r>
    </w:p>
    <w:p w:rsidR="00FF55B2" w:rsidRDefault="00FF55B2" w:rsidP="00FF55B2">
      <w:pPr>
        <w:pStyle w:val="a"/>
        <w:numPr>
          <w:ilvl w:val="0"/>
          <w:numId w:val="35"/>
        </w:numPr>
        <w:tabs>
          <w:tab w:val="left" w:pos="1134"/>
        </w:tabs>
        <w:spacing w:before="0"/>
      </w:pPr>
      <w:r w:rsidRPr="00FF55B2">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rsidR="00230E59" w:rsidRDefault="00230E59" w:rsidP="00303E7D">
      <w:pPr>
        <w:ind w:firstLine="709"/>
      </w:pPr>
      <w:r>
        <w:t xml:space="preserve">Заключение о целесообразности перевода </w:t>
      </w:r>
      <w:r w:rsidR="008253CD">
        <w:t xml:space="preserve">пациента </w:t>
      </w:r>
      <w:r>
        <w:t xml:space="preserve">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w:t>
      </w:r>
      <w:r w:rsidR="008253CD">
        <w:t xml:space="preserve">пациента </w:t>
      </w:r>
      <w:r>
        <w:t>врачами специалистами медицинской организации, в которую планируется перевод.</w:t>
      </w:r>
    </w:p>
    <w:p w:rsidR="00FD2083" w:rsidRDefault="000B3F2E" w:rsidP="000B3F2E">
      <w:pPr>
        <w:pStyle w:val="1"/>
        <w:rPr>
          <w:rFonts w:eastAsia="GalsLightC"/>
        </w:rPr>
      </w:pPr>
      <w:bookmarkStart w:id="62" w:name="_Toc24546448"/>
      <w:bookmarkStart w:id="63" w:name="_Toc520213128"/>
      <w:r>
        <w:rPr>
          <w:rFonts w:eastAsia="GalsLightC"/>
        </w:rPr>
        <w:lastRenderedPageBreak/>
        <w:t xml:space="preserve">7. </w:t>
      </w:r>
      <w:bookmarkStart w:id="64" w:name="_Toc24120271"/>
      <w:r w:rsidR="00FD2083" w:rsidRPr="00E826DF">
        <w:rPr>
          <w:rFonts w:eastAsia="GalsLightC"/>
        </w:rPr>
        <w:t>Дополнительная информация (в том числе факторы, влияющие на исход заболевания или состояния)</w:t>
      </w:r>
      <w:bookmarkEnd w:id="62"/>
      <w:bookmarkEnd w:id="64"/>
    </w:p>
    <w:p w:rsidR="00145A85" w:rsidRDefault="00145A85" w:rsidP="00145A85">
      <w:pPr>
        <w:pStyle w:val="2"/>
      </w:pPr>
      <w:bookmarkStart w:id="65" w:name="_Toc24546449"/>
      <w:r>
        <w:t>7.1. Стадирование лимфомы из малых лимфоцитов</w:t>
      </w:r>
      <w:bookmarkEnd w:id="65"/>
      <w:r>
        <w:tab/>
      </w:r>
    </w:p>
    <w:p w:rsidR="00145A85" w:rsidRPr="00B033C3" w:rsidRDefault="00145A85" w:rsidP="00145A85">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(табл. </w:t>
      </w:r>
      <w:r>
        <w:rPr>
          <w:bCs/>
          <w:lang w:eastAsia="ru-RU"/>
        </w:rPr>
        <w:t>Г1.1</w:t>
      </w:r>
      <w:r w:rsidRPr="0083297F">
        <w:rPr>
          <w:bCs/>
          <w:lang w:eastAsia="ru-RU"/>
        </w:rPr>
        <w:t>)</w:t>
      </w:r>
      <w:r w:rsidRPr="005A463A">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rsidR="00145A85" w:rsidRPr="00015858" w:rsidRDefault="00145A85" w:rsidP="00145A85">
      <w:pPr>
        <w:rPr>
          <w:b/>
        </w:rPr>
      </w:pPr>
      <w:r w:rsidRPr="00015858">
        <w:rPr>
          <w:b/>
        </w:rPr>
        <w:t xml:space="preserve">Таблица </w:t>
      </w:r>
      <w:r>
        <w:rPr>
          <w:b/>
        </w:rPr>
        <w:t>7</w:t>
      </w:r>
      <w:r w:rsidRPr="00015858">
        <w:rPr>
          <w:b/>
        </w:rPr>
        <w:t>.1</w:t>
      </w:r>
      <w:r>
        <w:rPr>
          <w:b/>
        </w:rPr>
        <w:t xml:space="preserve">. </w:t>
      </w:r>
      <w:r w:rsidRPr="00015858">
        <w:rPr>
          <w:b/>
        </w:rPr>
        <w:t xml:space="preserve">Стадирование лимфом по </w:t>
      </w:r>
      <w:r w:rsidRPr="00015858">
        <w:rPr>
          <w:b/>
          <w:lang w:val="en-US"/>
        </w:rPr>
        <w:t>Ann</w:t>
      </w:r>
      <w:r w:rsidRPr="00015858">
        <w:rPr>
          <w:b/>
        </w:rPr>
        <w:t xml:space="preserve"> </w:t>
      </w:r>
      <w:r w:rsidRPr="00015858">
        <w:rPr>
          <w:b/>
          <w:lang w:val="en-US"/>
        </w:rPr>
        <w:t>Arbor</w:t>
      </w:r>
      <w:r w:rsidRPr="00015858">
        <w:rPr>
          <w:b/>
        </w:rPr>
        <w:t xml:space="preserve">, модификация </w:t>
      </w:r>
      <w:r w:rsidRPr="00015858">
        <w:rPr>
          <w:b/>
          <w:lang w:val="en-US"/>
        </w:rPr>
        <w:t>Cotswold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797"/>
      </w:tblGrid>
      <w:tr w:rsidR="00145A85" w:rsidRPr="00535DF0" w:rsidTr="00145A85">
        <w:tc>
          <w:tcPr>
            <w:tcW w:w="1809" w:type="dxa"/>
          </w:tcPr>
          <w:p w:rsidR="00145A85" w:rsidRPr="0083297F" w:rsidRDefault="00145A85" w:rsidP="00145A85">
            <w:pPr>
              <w:spacing w:line="240" w:lineRule="auto"/>
            </w:pPr>
            <w:r w:rsidRPr="0083297F">
              <w:t xml:space="preserve">Стадия </w:t>
            </w:r>
            <w:r w:rsidRPr="0083297F">
              <w:rPr>
                <w:lang w:val="en-US"/>
              </w:rPr>
              <w:t>I</w:t>
            </w:r>
          </w:p>
        </w:tc>
        <w:tc>
          <w:tcPr>
            <w:tcW w:w="7797" w:type="dxa"/>
          </w:tcPr>
          <w:p w:rsidR="00145A85" w:rsidRPr="0083297F" w:rsidRDefault="00145A85" w:rsidP="00145A85">
            <w:pPr>
              <w:numPr>
                <w:ilvl w:val="0"/>
                <w:numId w:val="12"/>
              </w:numPr>
              <w:spacing w:line="240" w:lineRule="auto"/>
              <w:contextualSpacing/>
              <w:jc w:val="left"/>
            </w:pPr>
            <w:r w:rsidRPr="0083297F">
              <w:t>Поражение одной лимфатической зоны или структуры</w:t>
            </w:r>
            <w:r w:rsidR="000B0AC3" w:rsidRPr="0008146B">
              <w:rPr>
                <w:rStyle w:val="aff"/>
              </w:rPr>
              <w:footnoteReference w:id="2"/>
            </w:r>
          </w:p>
        </w:tc>
      </w:tr>
      <w:tr w:rsidR="00145A85" w:rsidRPr="00535DF0" w:rsidTr="00145A85">
        <w:tc>
          <w:tcPr>
            <w:tcW w:w="1809" w:type="dxa"/>
          </w:tcPr>
          <w:p w:rsidR="00145A85" w:rsidRPr="0083297F" w:rsidRDefault="00145A85" w:rsidP="00145A85">
            <w:pPr>
              <w:spacing w:line="240" w:lineRule="auto"/>
            </w:pPr>
            <w:r w:rsidRPr="0083297F">
              <w:t xml:space="preserve">Стадия </w:t>
            </w:r>
            <w:r w:rsidRPr="0083297F">
              <w:rPr>
                <w:lang w:val="en-US"/>
              </w:rPr>
              <w:t>II</w:t>
            </w:r>
            <w:r w:rsidRPr="0083297F">
              <w:t xml:space="preserve"> </w:t>
            </w:r>
          </w:p>
        </w:tc>
        <w:tc>
          <w:tcPr>
            <w:tcW w:w="7797" w:type="dxa"/>
          </w:tcPr>
          <w:p w:rsidR="00145A85" w:rsidRPr="0083297F" w:rsidRDefault="00145A85" w:rsidP="00145A85">
            <w:pPr>
              <w:numPr>
                <w:ilvl w:val="0"/>
                <w:numId w:val="13"/>
              </w:numPr>
              <w:spacing w:line="240" w:lineRule="auto"/>
              <w:contextualSpacing/>
              <w:jc w:val="left"/>
            </w:pPr>
            <w:r w:rsidRPr="0083297F">
              <w:t xml:space="preserve">Поражение </w:t>
            </w:r>
            <w:r>
              <w:t>2</w:t>
            </w:r>
            <w:r w:rsidRPr="0083297F">
              <w:t xml:space="preserve"> или более лимфатических зон по одну сторону диафрагмы</w:t>
            </w:r>
            <w:r>
              <w:t>;</w:t>
            </w:r>
          </w:p>
          <w:p w:rsidR="00145A85" w:rsidRPr="0083297F" w:rsidRDefault="00145A85" w:rsidP="00145A85">
            <w:pPr>
              <w:numPr>
                <w:ilvl w:val="0"/>
                <w:numId w:val="13"/>
              </w:numPr>
              <w:spacing w:line="240" w:lineRule="auto"/>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w:t>
            </w:r>
            <w:r>
              <w:t>с поражением</w:t>
            </w:r>
            <w:r w:rsidRPr="0083297F">
              <w:t xml:space="preserve"> или без</w:t>
            </w:r>
            <w:r>
              <w:t xml:space="preserve"> </w:t>
            </w:r>
            <w:r w:rsidRPr="0083297F">
              <w:t>поражения других лимфатических областей по ту же сторону диафрагмы</w:t>
            </w:r>
          </w:p>
        </w:tc>
      </w:tr>
      <w:tr w:rsidR="00145A85" w:rsidRPr="00535DF0" w:rsidTr="00145A85">
        <w:tc>
          <w:tcPr>
            <w:tcW w:w="1809" w:type="dxa"/>
          </w:tcPr>
          <w:p w:rsidR="00145A85" w:rsidRPr="0083297F" w:rsidRDefault="00145A85" w:rsidP="00145A85">
            <w:pPr>
              <w:spacing w:line="240" w:lineRule="auto"/>
            </w:pPr>
            <w:r w:rsidRPr="0083297F">
              <w:t xml:space="preserve">Стадия </w:t>
            </w:r>
            <w:r w:rsidRPr="0083297F">
              <w:rPr>
                <w:lang w:val="en-US"/>
              </w:rPr>
              <w:t xml:space="preserve">III </w:t>
            </w:r>
          </w:p>
        </w:tc>
        <w:tc>
          <w:tcPr>
            <w:tcW w:w="7797" w:type="dxa"/>
          </w:tcPr>
          <w:p w:rsidR="00145A85" w:rsidRPr="0083297F" w:rsidRDefault="00145A85" w:rsidP="00145A85">
            <w:pPr>
              <w:numPr>
                <w:ilvl w:val="0"/>
                <w:numId w:val="14"/>
              </w:numPr>
              <w:spacing w:line="240" w:lineRule="auto"/>
              <w:contextualSpacing/>
              <w:jc w:val="left"/>
            </w:pPr>
            <w:r w:rsidRPr="0083297F">
              <w:t>Поражение лимфатических узлов или структур по обе стороны диафрагмы</w:t>
            </w:r>
            <w:r>
              <w:t>;</w:t>
            </w:r>
          </w:p>
          <w:p w:rsidR="00145A85" w:rsidRPr="0083297F" w:rsidRDefault="00145A85" w:rsidP="00145A85">
            <w:pPr>
              <w:numPr>
                <w:ilvl w:val="0"/>
                <w:numId w:val="14"/>
              </w:numPr>
              <w:spacing w:line="240" w:lineRule="auto"/>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с поражением других лимфатических областей по обе стороны диафрагмы</w:t>
            </w:r>
          </w:p>
        </w:tc>
      </w:tr>
      <w:tr w:rsidR="00145A85" w:rsidRPr="00535DF0" w:rsidTr="00145A85">
        <w:tc>
          <w:tcPr>
            <w:tcW w:w="1809" w:type="dxa"/>
          </w:tcPr>
          <w:p w:rsidR="00145A85" w:rsidRPr="0083297F" w:rsidRDefault="00145A85" w:rsidP="00145A85">
            <w:pPr>
              <w:spacing w:line="240" w:lineRule="auto"/>
            </w:pPr>
            <w:r w:rsidRPr="0083297F">
              <w:t xml:space="preserve">Стадия </w:t>
            </w:r>
            <w:r w:rsidRPr="0083297F">
              <w:rPr>
                <w:lang w:val="en-US"/>
              </w:rPr>
              <w:t>IV</w:t>
            </w:r>
          </w:p>
        </w:tc>
        <w:tc>
          <w:tcPr>
            <w:tcW w:w="7797" w:type="dxa"/>
          </w:tcPr>
          <w:p w:rsidR="00145A85" w:rsidRPr="0083297F" w:rsidRDefault="00145A85" w:rsidP="00145A85">
            <w:pPr>
              <w:numPr>
                <w:ilvl w:val="0"/>
                <w:numId w:val="14"/>
              </w:numPr>
              <w:spacing w:line="240" w:lineRule="auto"/>
              <w:contextualSpacing/>
              <w:jc w:val="left"/>
            </w:pPr>
            <w:r w:rsidRPr="0083297F">
              <w:t xml:space="preserve">Диссеминированное (многофокусное) поражение </w:t>
            </w:r>
            <w:r>
              <w:t>1</w:t>
            </w:r>
            <w:r w:rsidRPr="0083297F">
              <w:t xml:space="preserve"> или нескольких экстралимфатических органов с </w:t>
            </w:r>
            <w:r>
              <w:t xml:space="preserve">поражением </w:t>
            </w:r>
            <w:r w:rsidRPr="0083297F">
              <w:t>или без поражения лимфатических узлов</w:t>
            </w:r>
            <w:r>
              <w:t>;</w:t>
            </w:r>
          </w:p>
          <w:p w:rsidR="00145A85" w:rsidRPr="0083297F" w:rsidRDefault="00145A85" w:rsidP="00145A85">
            <w:pPr>
              <w:numPr>
                <w:ilvl w:val="0"/>
                <w:numId w:val="14"/>
              </w:numPr>
              <w:spacing w:line="240" w:lineRule="auto"/>
              <w:contextualSpacing/>
              <w:jc w:val="left"/>
            </w:pPr>
            <w:r>
              <w:t>и</w:t>
            </w:r>
            <w:r w:rsidRPr="0083297F">
              <w:t xml:space="preserve">золированное поражение экстралимфатического органа </w:t>
            </w:r>
            <w:r>
              <w:br/>
            </w:r>
            <w:r w:rsidRPr="0083297F">
              <w:t>с поражени</w:t>
            </w:r>
            <w:r>
              <w:t xml:space="preserve">ем отдаленных (не </w:t>
            </w:r>
            <w:r w:rsidRPr="0083297F">
              <w:t>регионарных) лимфатических узлов</w:t>
            </w:r>
            <w:r>
              <w:t>;</w:t>
            </w:r>
          </w:p>
          <w:p w:rsidR="00145A85" w:rsidRPr="0083297F" w:rsidRDefault="00145A85" w:rsidP="00145A85">
            <w:pPr>
              <w:numPr>
                <w:ilvl w:val="0"/>
                <w:numId w:val="14"/>
              </w:numPr>
              <w:spacing w:line="240" w:lineRule="auto"/>
              <w:contextualSpacing/>
              <w:jc w:val="left"/>
            </w:pPr>
            <w:r>
              <w:t>п</w:t>
            </w:r>
            <w:r w:rsidRPr="0083297F">
              <w:t>оражение печени и/или костного мозга</w:t>
            </w:r>
          </w:p>
        </w:tc>
      </w:tr>
      <w:tr w:rsidR="00145A85" w:rsidRPr="00535DF0" w:rsidTr="00145A85">
        <w:tc>
          <w:tcPr>
            <w:tcW w:w="9606" w:type="dxa"/>
            <w:gridSpan w:val="2"/>
          </w:tcPr>
          <w:p w:rsidR="00145A85" w:rsidRPr="0083297F" w:rsidRDefault="00145A85" w:rsidP="00145A85">
            <w:pPr>
              <w:spacing w:line="240" w:lineRule="auto"/>
            </w:pPr>
            <w:r w:rsidRPr="0083297F">
              <w:t>Для всех стадий</w:t>
            </w:r>
          </w:p>
        </w:tc>
      </w:tr>
      <w:tr w:rsidR="00145A85" w:rsidRPr="00535DF0" w:rsidTr="00145A85">
        <w:tc>
          <w:tcPr>
            <w:tcW w:w="1809" w:type="dxa"/>
          </w:tcPr>
          <w:p w:rsidR="00145A85" w:rsidRPr="0083297F" w:rsidRDefault="00145A85" w:rsidP="00145A85">
            <w:pPr>
              <w:spacing w:line="240" w:lineRule="auto"/>
            </w:pPr>
            <w:r w:rsidRPr="0083297F">
              <w:t>А</w:t>
            </w:r>
          </w:p>
        </w:tc>
        <w:tc>
          <w:tcPr>
            <w:tcW w:w="7797" w:type="dxa"/>
          </w:tcPr>
          <w:p w:rsidR="00145A85" w:rsidRPr="0083297F" w:rsidRDefault="00145A85" w:rsidP="00145A85">
            <w:pPr>
              <w:numPr>
                <w:ilvl w:val="0"/>
                <w:numId w:val="15"/>
              </w:numPr>
              <w:spacing w:line="240" w:lineRule="auto"/>
              <w:contextualSpacing/>
              <w:jc w:val="left"/>
            </w:pPr>
            <w:r w:rsidRPr="0083297F">
              <w:t>Отсутствие признаков В-стадии</w:t>
            </w:r>
          </w:p>
        </w:tc>
      </w:tr>
      <w:tr w:rsidR="00145A85" w:rsidRPr="00535DF0" w:rsidTr="00145A85">
        <w:tc>
          <w:tcPr>
            <w:tcW w:w="1809" w:type="dxa"/>
          </w:tcPr>
          <w:p w:rsidR="00145A85" w:rsidRPr="0083297F" w:rsidRDefault="00145A85" w:rsidP="00145A85">
            <w:pPr>
              <w:spacing w:line="240" w:lineRule="auto"/>
              <w:rPr>
                <w:vertAlign w:val="superscript"/>
              </w:rPr>
            </w:pPr>
            <w:r w:rsidRPr="0083297F">
              <w:t>В</w:t>
            </w:r>
          </w:p>
        </w:tc>
        <w:tc>
          <w:tcPr>
            <w:tcW w:w="7797" w:type="dxa"/>
          </w:tcPr>
          <w:p w:rsidR="00145A85" w:rsidRPr="0083297F" w:rsidRDefault="00145A85" w:rsidP="00145A85">
            <w:pPr>
              <w:spacing w:line="240" w:lineRule="auto"/>
            </w:pPr>
            <w:r w:rsidRPr="0083297F">
              <w:t>Один или более из следующих симптомов:</w:t>
            </w:r>
          </w:p>
          <w:p w:rsidR="00145A85" w:rsidRPr="0083297F" w:rsidRDefault="00145A85" w:rsidP="00145A85">
            <w:pPr>
              <w:numPr>
                <w:ilvl w:val="0"/>
                <w:numId w:val="15"/>
              </w:numPr>
              <w:spacing w:line="240" w:lineRule="auto"/>
              <w:contextualSpacing/>
              <w:jc w:val="left"/>
            </w:pPr>
            <w:r>
              <w:t xml:space="preserve">температура тела </w:t>
            </w:r>
            <w:r w:rsidRPr="0083297F">
              <w:t xml:space="preserve">выше 38°С не менее </w:t>
            </w:r>
            <w:r>
              <w:t>3</w:t>
            </w:r>
            <w:r w:rsidRPr="0083297F">
              <w:t xml:space="preserve"> дней подряд без признаков воспаления</w:t>
            </w:r>
            <w:r>
              <w:t>;</w:t>
            </w:r>
          </w:p>
          <w:p w:rsidR="00145A85" w:rsidRPr="0083297F" w:rsidRDefault="00145A85" w:rsidP="00145A85">
            <w:pPr>
              <w:numPr>
                <w:ilvl w:val="0"/>
                <w:numId w:val="15"/>
              </w:numPr>
              <w:spacing w:line="240" w:lineRule="auto"/>
              <w:contextualSpacing/>
              <w:jc w:val="left"/>
            </w:pPr>
            <w:r>
              <w:t>н</w:t>
            </w:r>
            <w:r w:rsidRPr="0083297F">
              <w:t>очные профузные поты</w:t>
            </w:r>
            <w:r>
              <w:t>;</w:t>
            </w:r>
          </w:p>
          <w:p w:rsidR="00145A85" w:rsidRPr="0083297F" w:rsidRDefault="00145A85" w:rsidP="00145A85">
            <w:pPr>
              <w:numPr>
                <w:ilvl w:val="0"/>
                <w:numId w:val="15"/>
              </w:numPr>
              <w:spacing w:line="240" w:lineRule="auto"/>
              <w:contextualSpacing/>
              <w:jc w:val="left"/>
            </w:pPr>
            <w:r>
              <w:t>п</w:t>
            </w:r>
            <w:r w:rsidRPr="0083297F">
              <w:t>охудание на 10</w:t>
            </w:r>
            <w:r>
              <w:t xml:space="preserve"> %</w:t>
            </w:r>
            <w:r w:rsidRPr="0083297F">
              <w:t xml:space="preserve"> массы тела за последние 6 мес</w:t>
            </w:r>
            <w:r>
              <w:t>.</w:t>
            </w:r>
          </w:p>
        </w:tc>
      </w:tr>
      <w:tr w:rsidR="00145A85" w:rsidRPr="00535DF0" w:rsidTr="00145A85">
        <w:tc>
          <w:tcPr>
            <w:tcW w:w="1809" w:type="dxa"/>
          </w:tcPr>
          <w:p w:rsidR="00145A85" w:rsidRPr="0083297F" w:rsidRDefault="00145A85" w:rsidP="00145A85">
            <w:pPr>
              <w:spacing w:line="240" w:lineRule="auto"/>
              <w:rPr>
                <w:lang w:val="en-US"/>
              </w:rPr>
            </w:pPr>
            <w:r w:rsidRPr="0083297F">
              <w:rPr>
                <w:lang w:val="en-US"/>
              </w:rPr>
              <w:t>E</w:t>
            </w:r>
          </w:p>
        </w:tc>
        <w:tc>
          <w:tcPr>
            <w:tcW w:w="7797" w:type="dxa"/>
          </w:tcPr>
          <w:p w:rsidR="00145A85" w:rsidRPr="0083297F" w:rsidRDefault="00145A85" w:rsidP="00145A85">
            <w:pPr>
              <w:spacing w:line="240" w:lineRule="auto"/>
              <w:contextualSpacing/>
              <w:jc w:val="left"/>
            </w:pPr>
            <w:r w:rsidRPr="0083297F">
              <w:t xml:space="preserve">Локализованное экстранодальное поражение (при </w:t>
            </w:r>
            <w:r w:rsidRPr="0083297F">
              <w:rPr>
                <w:lang w:val="en-US"/>
              </w:rPr>
              <w:t>I</w:t>
            </w:r>
            <w:r>
              <w:t>–</w:t>
            </w:r>
            <w:r w:rsidRPr="0083297F">
              <w:rPr>
                <w:lang w:val="en-US"/>
              </w:rPr>
              <w:t>II</w:t>
            </w:r>
            <w:r w:rsidRPr="0083297F">
              <w:t xml:space="preserve"> стадиях):</w:t>
            </w:r>
          </w:p>
          <w:p w:rsidR="00145A85" w:rsidRPr="0083297F" w:rsidRDefault="00145A85" w:rsidP="00145A85">
            <w:pPr>
              <w:pStyle w:val="a"/>
              <w:numPr>
                <w:ilvl w:val="0"/>
                <w:numId w:val="16"/>
              </w:numPr>
              <w:spacing w:before="0" w:line="240" w:lineRule="auto"/>
            </w:pPr>
            <w:r>
              <w:t>л</w:t>
            </w:r>
            <w:r w:rsidRPr="0083297F">
              <w:t xml:space="preserve">окализованное поражение </w:t>
            </w:r>
            <w:r>
              <w:t>1</w:t>
            </w:r>
            <w:r w:rsidRPr="0083297F">
              <w:t xml:space="preserve"> экстралимфатического органа или ткани в пределах </w:t>
            </w:r>
            <w:r>
              <w:t>1</w:t>
            </w:r>
            <w:r w:rsidRPr="0083297F">
              <w:t xml:space="preserve"> сегмента бе</w:t>
            </w:r>
            <w:r>
              <w:t>з поражения лимфатических узлов;</w:t>
            </w:r>
          </w:p>
          <w:p w:rsidR="00145A85" w:rsidRPr="0083297F" w:rsidRDefault="00145A85" w:rsidP="00145A85">
            <w:pPr>
              <w:pStyle w:val="a"/>
              <w:numPr>
                <w:ilvl w:val="0"/>
                <w:numId w:val="16"/>
              </w:numPr>
              <w:spacing w:before="0" w:line="240" w:lineRule="auto"/>
            </w:pPr>
            <w:r>
              <w:t>с</w:t>
            </w:r>
            <w:r w:rsidRPr="0083297F">
              <w:t xml:space="preserve">тадия </w:t>
            </w:r>
            <w:r w:rsidRPr="0083297F">
              <w:rPr>
                <w:lang w:val="en-US"/>
              </w:rPr>
              <w:t>I</w:t>
            </w:r>
            <w:r w:rsidRPr="0083297F">
              <w:t xml:space="preserve"> или </w:t>
            </w:r>
            <w:r w:rsidRPr="0083297F">
              <w:rPr>
                <w:lang w:val="en-US"/>
              </w:rPr>
              <w:t>II</w:t>
            </w:r>
            <w:r w:rsidRPr="0083297F">
              <w:t xml:space="preserve"> с ограниченным экстранодальным вовлечением прилежащего органа или ткани</w:t>
            </w:r>
            <w:r>
              <w:t xml:space="preserve"> </w:t>
            </w:r>
          </w:p>
        </w:tc>
      </w:tr>
    </w:tbl>
    <w:p w:rsidR="00145A85" w:rsidRDefault="00145A85" w:rsidP="00145A85">
      <w:pPr>
        <w:spacing w:after="160" w:line="259" w:lineRule="auto"/>
        <w:jc w:val="left"/>
      </w:pPr>
      <w:r>
        <w:br w:type="page"/>
      </w:r>
    </w:p>
    <w:p w:rsidR="00145A85" w:rsidRDefault="000B3F2E" w:rsidP="00145A85">
      <w:pPr>
        <w:pStyle w:val="2"/>
      </w:pPr>
      <w:bookmarkStart w:id="66" w:name="_Toc24546450"/>
      <w:r>
        <w:lastRenderedPageBreak/>
        <w:t>7.2</w:t>
      </w:r>
      <w:r w:rsidR="00145A85">
        <w:t>. Общая выживаемость пациентов в группах по МПИ</w:t>
      </w:r>
      <w:bookmarkEnd w:id="66"/>
    </w:p>
    <w:p w:rsidR="00145A85" w:rsidRDefault="00145A85" w:rsidP="00145A85">
      <w:pPr>
        <w:ind w:firstLine="709"/>
        <w:contextualSpacing/>
        <w:rPr>
          <w:b/>
        </w:rPr>
      </w:pPr>
    </w:p>
    <w:p w:rsidR="00145A85" w:rsidRPr="00B93B9E" w:rsidRDefault="00145A85" w:rsidP="00145A85">
      <w:pPr>
        <w:ind w:firstLine="709"/>
        <w:contextualSpacing/>
        <w:rPr>
          <w:b/>
        </w:rPr>
      </w:pPr>
      <w:r w:rsidRPr="00B93B9E">
        <w:rPr>
          <w:b/>
        </w:rPr>
        <w:t xml:space="preserve">Таблица </w:t>
      </w:r>
      <w:r w:rsidR="000B3F2E">
        <w:rPr>
          <w:b/>
        </w:rPr>
        <w:t>7.2</w:t>
      </w:r>
      <w:r w:rsidRPr="00B93B9E">
        <w:rPr>
          <w:b/>
        </w:rPr>
        <w:t xml:space="preserve">. Общая выживаемость </w:t>
      </w:r>
      <w:r>
        <w:rPr>
          <w:b/>
        </w:rPr>
        <w:t>пациентов</w:t>
      </w:r>
      <w:r w:rsidRPr="00B93B9E">
        <w:rPr>
          <w:b/>
        </w:rPr>
        <w:t xml:space="preserve"> в группах по МПИ</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29"/>
        <w:gridCol w:w="1417"/>
        <w:gridCol w:w="2127"/>
        <w:gridCol w:w="1701"/>
      </w:tblGrid>
      <w:tr w:rsidR="00145A85" w:rsidRPr="00015858" w:rsidTr="00145A85">
        <w:trPr>
          <w:trHeight w:val="35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145A85" w:rsidRPr="00015858" w:rsidRDefault="00145A85" w:rsidP="00145A85">
            <w:pPr>
              <w:contextualSpacing/>
              <w:jc w:val="center"/>
              <w:rPr>
                <w:b/>
              </w:rPr>
            </w:pPr>
            <w:r w:rsidRPr="00015858">
              <w:rPr>
                <w:rFonts w:eastAsia="MS PGothic"/>
                <w:b/>
                <w:kern w:val="24"/>
              </w:rPr>
              <w:t>Группа риска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145A85" w:rsidRPr="00015858" w:rsidRDefault="00145A85" w:rsidP="00145A85">
            <w:pPr>
              <w:contextualSpacing/>
              <w:jc w:val="center"/>
              <w:rPr>
                <w:b/>
              </w:rPr>
            </w:pPr>
            <w:r w:rsidRPr="00015858">
              <w:rPr>
                <w:rFonts w:eastAsia="MS PGothic"/>
                <w:b/>
                <w:kern w:val="24"/>
              </w:rPr>
              <w:t>Балл</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145A85" w:rsidRPr="00015858" w:rsidRDefault="00145A85" w:rsidP="00145A85">
            <w:pPr>
              <w:contextualSpacing/>
              <w:jc w:val="center"/>
              <w:rPr>
                <w:b/>
              </w:rPr>
            </w:pPr>
            <w:r>
              <w:rPr>
                <w:rFonts w:eastAsia="MS PGothic"/>
                <w:b/>
                <w:kern w:val="24"/>
              </w:rPr>
              <w:t>Число</w:t>
            </w:r>
            <w:r w:rsidRPr="00015858">
              <w:rPr>
                <w:rFonts w:eastAsia="MS PGothic"/>
                <w:b/>
                <w:kern w:val="24"/>
              </w:rPr>
              <w:t xml:space="preserve"> </w:t>
            </w:r>
            <w:r>
              <w:rPr>
                <w:rFonts w:eastAsia="MS PGothic"/>
                <w:b/>
                <w:kern w:val="24"/>
              </w:rPr>
              <w:t>пациентов, абс.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rsidR="00145A85" w:rsidRPr="00015858" w:rsidRDefault="00145A85" w:rsidP="00145A85">
            <w:pPr>
              <w:contextualSpacing/>
              <w:jc w:val="center"/>
              <w:rPr>
                <w:b/>
              </w:rPr>
            </w:pPr>
            <w:r w:rsidRPr="00015858">
              <w:rPr>
                <w:rFonts w:eastAsia="MS PGothic"/>
                <w:b/>
                <w:kern w:val="24"/>
              </w:rPr>
              <w:t>5-летняя ОВ</w:t>
            </w:r>
            <w:r>
              <w:rPr>
                <w:rFonts w:eastAsia="MS PGothic"/>
                <w:b/>
                <w:kern w:val="24"/>
              </w:rPr>
              <w:t>, %</w:t>
            </w:r>
          </w:p>
        </w:tc>
      </w:tr>
      <w:tr w:rsidR="00145A85" w:rsidRPr="005B4606" w:rsidTr="00145A85">
        <w:trPr>
          <w:trHeight w:val="186"/>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pPr>
            <w:r w:rsidRPr="00AB6521">
              <w:rPr>
                <w:rFonts w:eastAsia="MS PGothic"/>
                <w:kern w:val="24"/>
              </w:rPr>
              <w:t>Низкая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0–1</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340 (29)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93,2</w:t>
            </w:r>
          </w:p>
        </w:tc>
      </w:tr>
      <w:tr w:rsidR="00145A85" w:rsidRPr="005B4606" w:rsidTr="00145A85">
        <w:trPr>
          <w:trHeight w:val="282"/>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pPr>
            <w:r w:rsidRPr="00AB6521">
              <w:rPr>
                <w:rFonts w:eastAsia="MS PGothic"/>
                <w:kern w:val="24"/>
              </w:rPr>
              <w:t>Промежуточная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2–3</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464 (39)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79,4</w:t>
            </w:r>
          </w:p>
        </w:tc>
      </w:tr>
      <w:tr w:rsidR="00145A85" w:rsidRPr="005B4606" w:rsidTr="00145A85">
        <w:trPr>
          <w:trHeight w:val="24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pPr>
            <w:r w:rsidRPr="00AB6521">
              <w:rPr>
                <w:rFonts w:eastAsia="MS PGothic"/>
                <w:kern w:val="24"/>
              </w:rPr>
              <w:t>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4–6</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326 (27)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63,6</w:t>
            </w:r>
          </w:p>
        </w:tc>
      </w:tr>
      <w:tr w:rsidR="00145A85" w:rsidRPr="005B4606" w:rsidTr="00145A85">
        <w:trPr>
          <w:trHeight w:val="204"/>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pPr>
            <w:r w:rsidRPr="00AB6521">
              <w:rPr>
                <w:rFonts w:eastAsia="MS PGothic"/>
                <w:kern w:val="24"/>
              </w:rPr>
              <w:t>Очень 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7–10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62 (5)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145A85" w:rsidRPr="00AB6521" w:rsidRDefault="00145A85" w:rsidP="00145A85">
            <w:pPr>
              <w:contextualSpacing/>
              <w:jc w:val="center"/>
            </w:pPr>
            <w:r w:rsidRPr="00AB6521">
              <w:rPr>
                <w:rFonts w:eastAsia="MS PGothic"/>
                <w:kern w:val="24"/>
              </w:rPr>
              <w:t>23,3</w:t>
            </w:r>
          </w:p>
        </w:tc>
      </w:tr>
    </w:tbl>
    <w:p w:rsidR="000B3F2E" w:rsidRDefault="000B3F2E" w:rsidP="000B3F2E">
      <w:pPr>
        <w:pStyle w:val="2"/>
      </w:pPr>
      <w:bookmarkStart w:id="67" w:name="_Toc24546451"/>
      <w:r>
        <w:t>7.3.</w:t>
      </w:r>
      <w:r w:rsidRPr="00437AD9">
        <w:t xml:space="preserve"> Оценка ответа на лечение при ХЛЛ</w:t>
      </w:r>
      <w:bookmarkEnd w:id="67"/>
    </w:p>
    <w:p w:rsidR="000B3F2E" w:rsidRDefault="000B3F2E" w:rsidP="000B3F2E">
      <w:pPr>
        <w:ind w:firstLine="709"/>
        <w:contextualSpacing/>
      </w:pPr>
      <w:r>
        <w:t>Оценка ответа на лечение проводится в соответствии с обновленными критериями, предложенными Международной рабочей группой по ХЛЛ (IWCLL) в 2018 г. (табл. Г</w:t>
      </w:r>
      <w:r w:rsidRPr="00B6054C">
        <w:t>4</w:t>
      </w:r>
      <w:r>
        <w:t xml:space="preserve">.1) </w:t>
      </w:r>
      <w:r w:rsidR="000B0AC3">
        <w:fldChar w:fldCharType="begin" w:fldLock="1"/>
      </w:r>
      <w:r>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Pr="00DE7500">
        <w:rPr>
          <w:noProof/>
        </w:rPr>
        <w:t>[12]</w:t>
      </w:r>
      <w:r w:rsidR="000B0AC3">
        <w:fldChar w:fldCharType="end"/>
      </w:r>
      <w:r>
        <w:t>.</w:t>
      </w:r>
    </w:p>
    <w:p w:rsidR="000B3F2E" w:rsidRPr="006B3E67" w:rsidRDefault="000B3F2E" w:rsidP="000B3F2E">
      <w:pPr>
        <w:pStyle w:val="11"/>
        <w:spacing w:beforeAutospacing="0" w:afterAutospacing="0"/>
        <w:contextualSpacing/>
      </w:pPr>
      <w:r w:rsidRPr="006B3E67">
        <w:rPr>
          <w:rStyle w:val="aa"/>
        </w:rPr>
        <w:t xml:space="preserve">Таблица </w:t>
      </w:r>
      <w:r>
        <w:rPr>
          <w:rStyle w:val="aa"/>
        </w:rPr>
        <w:t>7.3</w:t>
      </w:r>
      <w:r w:rsidRPr="006B3E67">
        <w:rPr>
          <w:rStyle w:val="aa"/>
        </w:rPr>
        <w:t>. Оценка ответа на лечение при хроническом лимфоцитарном лейкозе</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54"/>
        <w:gridCol w:w="2389"/>
        <w:gridCol w:w="2325"/>
      </w:tblGrid>
      <w:tr w:rsidR="000B3F2E" w:rsidRPr="006B3E67" w:rsidTr="00804814">
        <w:trPr>
          <w:trHeight w:val="20"/>
          <w:jc w:val="center"/>
        </w:trPr>
        <w:tc>
          <w:tcPr>
            <w:tcW w:w="2405" w:type="dxa"/>
          </w:tcPr>
          <w:p w:rsidR="000B3F2E" w:rsidRPr="006B3E67" w:rsidRDefault="000B3F2E" w:rsidP="00804814">
            <w:pPr>
              <w:spacing w:before="60" w:after="60" w:line="240" w:lineRule="auto"/>
              <w:ind w:left="57" w:right="57"/>
              <w:jc w:val="center"/>
              <w:rPr>
                <w:b/>
                <w:szCs w:val="24"/>
              </w:rPr>
            </w:pPr>
            <w:r w:rsidRPr="006B3E67">
              <w:rPr>
                <w:b/>
                <w:szCs w:val="24"/>
              </w:rPr>
              <w:t>Показатель</w:t>
            </w:r>
          </w:p>
        </w:tc>
        <w:tc>
          <w:tcPr>
            <w:tcW w:w="2454" w:type="dxa"/>
          </w:tcPr>
          <w:p w:rsidR="000B3F2E" w:rsidRPr="006B3E67" w:rsidRDefault="000B3F2E" w:rsidP="00804814">
            <w:pPr>
              <w:pStyle w:val="TableParagraph"/>
              <w:spacing w:before="60" w:after="60"/>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Полная ремиссия</w:t>
            </w:r>
          </w:p>
        </w:tc>
        <w:tc>
          <w:tcPr>
            <w:tcW w:w="2389" w:type="dxa"/>
          </w:tcPr>
          <w:p w:rsidR="000B3F2E" w:rsidRPr="006B3E67" w:rsidRDefault="000B3F2E" w:rsidP="00804814">
            <w:pPr>
              <w:pStyle w:val="TableParagraph"/>
              <w:spacing w:before="60" w:after="60"/>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Частичная ремиссия</w:t>
            </w:r>
          </w:p>
        </w:tc>
        <w:tc>
          <w:tcPr>
            <w:tcW w:w="2321" w:type="dxa"/>
          </w:tcPr>
          <w:p w:rsidR="000B3F2E" w:rsidRPr="006B3E67" w:rsidRDefault="000B3F2E" w:rsidP="00804814">
            <w:pPr>
              <w:pStyle w:val="TableParagraph"/>
              <w:spacing w:before="60" w:after="60"/>
              <w:ind w:left="57" w:right="57"/>
              <w:jc w:val="center"/>
              <w:rPr>
                <w:rFonts w:ascii="Times New Roman" w:hAnsi="Times New Roman" w:cs="Times New Roman"/>
                <w:b/>
                <w:sz w:val="24"/>
                <w:szCs w:val="24"/>
              </w:rPr>
            </w:pPr>
            <w:r w:rsidRPr="006B3E67">
              <w:rPr>
                <w:rFonts w:ascii="Times New Roman" w:hAnsi="Times New Roman" w:cs="Times New Roman"/>
                <w:b/>
                <w:sz w:val="24"/>
                <w:szCs w:val="24"/>
                <w:lang w:val="ru-RU"/>
              </w:rPr>
              <w:t>Прогрессия</w:t>
            </w:r>
          </w:p>
        </w:tc>
      </w:tr>
      <w:tr w:rsidR="000B3F2E" w:rsidRPr="005B4606" w:rsidTr="00804814">
        <w:trPr>
          <w:trHeight w:val="20"/>
          <w:jc w:val="center"/>
        </w:trPr>
        <w:tc>
          <w:tcPr>
            <w:tcW w:w="9573" w:type="dxa"/>
            <w:gridSpan w:val="4"/>
          </w:tcPr>
          <w:p w:rsidR="000B3F2E" w:rsidRPr="00B0145E" w:rsidRDefault="000B3F2E" w:rsidP="00804814">
            <w:pPr>
              <w:pStyle w:val="TableParagraph"/>
              <w:spacing w:before="60" w:after="60"/>
              <w:ind w:left="57" w:right="57"/>
              <w:rPr>
                <w:rFonts w:ascii="Times New Roman" w:hAnsi="Times New Roman" w:cs="Times New Roman"/>
                <w:sz w:val="24"/>
                <w:szCs w:val="24"/>
                <w:lang w:val="ru-RU"/>
              </w:rPr>
            </w:pPr>
            <w:r w:rsidRPr="00B0145E">
              <w:rPr>
                <w:rFonts w:ascii="Times New Roman" w:hAnsi="Times New Roman" w:cs="Times New Roman"/>
                <w:sz w:val="24"/>
                <w:szCs w:val="24"/>
                <w:lang w:val="ru-RU"/>
              </w:rPr>
              <w:t>А. Параметры, характеризующие массу опухоли</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Лимфаденопатия</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отсутствие узлов &gt;1,5 см</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Гепатомегалия</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rPr>
            </w:pPr>
            <w:r w:rsidRPr="0072780B">
              <w:rPr>
                <w:rFonts w:ascii="Times New Roman" w:hAnsi="Times New Roman" w:cs="Times New Roman"/>
                <w:sz w:val="24"/>
                <w:szCs w:val="24"/>
              </w:rPr>
              <w:t>Спленомегалия</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Кранио-каудальный размер селезенки </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&lt;13 см</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величины, на которую увеличена исходно</w:t>
            </w:r>
          </w:p>
        </w:tc>
        <w:tc>
          <w:tcPr>
            <w:tcW w:w="2321"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Лимфоциты крови</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&lt;4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c>
          <w:tcPr>
            <w:tcW w:w="2321"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rPr>
            </w:pPr>
            <w:r w:rsidRPr="0072780B">
              <w:rPr>
                <w:rFonts w:ascii="Times New Roman" w:hAnsi="Times New Roman" w:cs="Times New Roman"/>
                <w:sz w:val="24"/>
                <w:szCs w:val="24"/>
                <w:lang w:val="ru-RU"/>
              </w:rPr>
              <w:t>Костный мозг</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Нормоклеточный,</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&lt;30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лимфоц</w:t>
            </w:r>
            <w:r>
              <w:rPr>
                <w:rFonts w:ascii="Times New Roman" w:hAnsi="Times New Roman" w:cs="Times New Roman"/>
                <w:sz w:val="24"/>
                <w:szCs w:val="24"/>
                <w:lang w:val="ru-RU"/>
              </w:rPr>
              <w:t>итов, нет нодулярного поражения</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Уменьшение инфильтрации костного мозга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на 50</w:t>
            </w:r>
            <w:r>
              <w:rPr>
                <w:rFonts w:ascii="Times New Roman" w:hAnsi="Times New Roman" w:cs="Times New Roman"/>
                <w:sz w:val="24"/>
                <w:szCs w:val="24"/>
                <w:lang w:val="ru-RU"/>
              </w:rPr>
              <w:t xml:space="preserve"> %</w:t>
            </w:r>
          </w:p>
        </w:tc>
        <w:tc>
          <w:tcPr>
            <w:tcW w:w="2321" w:type="dxa"/>
            <w:vAlign w:val="center"/>
          </w:tcPr>
          <w:p w:rsidR="000B3F2E" w:rsidRPr="005B4606" w:rsidRDefault="000B3F2E" w:rsidP="00804814">
            <w:pPr>
              <w:spacing w:before="60" w:after="60" w:line="240" w:lineRule="auto"/>
              <w:ind w:left="57" w:right="57"/>
              <w:jc w:val="center"/>
              <w:rPr>
                <w:szCs w:val="24"/>
              </w:rPr>
            </w:pPr>
            <w:r>
              <w:rPr>
                <w:szCs w:val="24"/>
              </w:rPr>
              <w:t>–</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Конституциональные симптомы</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Любые</w:t>
            </w:r>
          </w:p>
        </w:tc>
        <w:tc>
          <w:tcPr>
            <w:tcW w:w="2321" w:type="dxa"/>
          </w:tcPr>
          <w:p w:rsidR="000B3F2E" w:rsidRPr="005B4606" w:rsidRDefault="000B3F2E" w:rsidP="00804814">
            <w:pPr>
              <w:spacing w:before="60" w:after="60" w:line="240" w:lineRule="auto"/>
              <w:ind w:left="57" w:right="57"/>
              <w:jc w:val="center"/>
              <w:rPr>
                <w:szCs w:val="24"/>
              </w:rPr>
            </w:pPr>
            <w:r w:rsidRPr="005B4606">
              <w:rPr>
                <w:szCs w:val="24"/>
              </w:rPr>
              <w:t>Любые</w:t>
            </w:r>
          </w:p>
        </w:tc>
      </w:tr>
      <w:tr w:rsidR="000B3F2E" w:rsidRPr="005B4606" w:rsidTr="00804814">
        <w:trPr>
          <w:trHeight w:val="20"/>
          <w:jc w:val="center"/>
        </w:trPr>
        <w:tc>
          <w:tcPr>
            <w:tcW w:w="9573" w:type="dxa"/>
            <w:gridSpan w:val="4"/>
          </w:tcPr>
          <w:p w:rsidR="000B3F2E" w:rsidRPr="0072780B" w:rsidRDefault="000B3F2E" w:rsidP="00804814">
            <w:pPr>
              <w:pStyle w:val="TableParagraph"/>
              <w:spacing w:before="60" w:after="60"/>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А. Параметры, характеризующие функцию костного мозга</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Тромбоциты</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 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повышение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lastRenderedPageBreak/>
              <w:t>от исходного</w:t>
            </w:r>
          </w:p>
        </w:tc>
        <w:tc>
          <w:tcPr>
            <w:tcW w:w="2321"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lastRenderedPageBreak/>
              <w:t>Снижение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 xml:space="preserve">от исходного по </w:t>
            </w:r>
            <w:r w:rsidRPr="0072780B">
              <w:rPr>
                <w:rFonts w:ascii="Times New Roman" w:hAnsi="Times New Roman" w:cs="Times New Roman"/>
                <w:sz w:val="24"/>
                <w:szCs w:val="24"/>
                <w:lang w:val="ru-RU"/>
              </w:rPr>
              <w:lastRenderedPageBreak/>
              <w:t>причине ХЛЛ</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rPr>
            </w:pPr>
            <w:r w:rsidRPr="0072780B">
              <w:rPr>
                <w:rFonts w:ascii="Times New Roman" w:hAnsi="Times New Roman" w:cs="Times New Roman"/>
                <w:sz w:val="24"/>
                <w:szCs w:val="24"/>
                <w:lang w:val="ru-RU"/>
              </w:rPr>
              <w:lastRenderedPageBreak/>
              <w:t>Гемоглобин</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&gt;110 г/л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(без трансфузий и эритропоэтинов)</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&gt;110 г/л или повышение ≥</w:t>
            </w:r>
            <w:r w:rsidRPr="0072780B">
              <w:rPr>
                <w:rFonts w:ascii="Times New Roman" w:hAnsi="Times New Roman" w:cs="Times New Roman"/>
                <w:sz w:val="24"/>
                <w:szCs w:val="24"/>
                <w:lang w:val="ru-RU"/>
              </w:rPr>
              <w: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≥20 г/л от исходного по причине ХЛЛ</w:t>
            </w:r>
          </w:p>
        </w:tc>
      </w:tr>
      <w:tr w:rsidR="000B3F2E" w:rsidRPr="005B4606" w:rsidTr="00804814">
        <w:trPr>
          <w:trHeight w:val="20"/>
          <w:jc w:val="center"/>
        </w:trPr>
        <w:tc>
          <w:tcPr>
            <w:tcW w:w="2405" w:type="dxa"/>
          </w:tcPr>
          <w:p w:rsidR="000B3F2E" w:rsidRPr="0072780B" w:rsidRDefault="000B3F2E" w:rsidP="00804814">
            <w:pPr>
              <w:pStyle w:val="TableParagraph"/>
              <w:spacing w:before="60" w:after="60"/>
              <w:ind w:left="57" w:right="57"/>
              <w:rPr>
                <w:rFonts w:ascii="Times New Roman" w:hAnsi="Times New Roman" w:cs="Times New Roman"/>
                <w:sz w:val="24"/>
                <w:szCs w:val="24"/>
              </w:rPr>
            </w:pPr>
            <w:r w:rsidRPr="0072780B">
              <w:rPr>
                <w:rFonts w:ascii="Times New Roman" w:hAnsi="Times New Roman" w:cs="Times New Roman"/>
                <w:sz w:val="24"/>
                <w:szCs w:val="24"/>
                <w:lang w:val="ru-RU"/>
              </w:rPr>
              <w:t>Нейтрофилы</w:t>
            </w:r>
          </w:p>
        </w:tc>
        <w:tc>
          <w:tcPr>
            <w:tcW w:w="2454"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rPr>
            </w:pPr>
            <w:r w:rsidRPr="0072780B">
              <w:rPr>
                <w:rFonts w:ascii="Times New Roman" w:hAnsi="Times New Roman" w:cs="Times New Roman"/>
                <w:sz w:val="24"/>
                <w:szCs w:val="24"/>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rPr>
              <w:t>/л</w:t>
            </w:r>
          </w:p>
        </w:tc>
        <w:tc>
          <w:tcPr>
            <w:tcW w:w="2389" w:type="dxa"/>
          </w:tcPr>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p>
          <w:p w:rsidR="000B3F2E" w:rsidRPr="0072780B" w:rsidRDefault="000B3F2E" w:rsidP="00804814">
            <w:pPr>
              <w:pStyle w:val="TableParagraph"/>
              <w:spacing w:before="60" w:after="60"/>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повышение &gt;50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w:t>
            </w:r>
          </w:p>
        </w:tc>
        <w:tc>
          <w:tcPr>
            <w:tcW w:w="2321" w:type="dxa"/>
            <w:vAlign w:val="center"/>
          </w:tcPr>
          <w:p w:rsidR="000B3F2E" w:rsidRPr="005B4606" w:rsidRDefault="000B3F2E" w:rsidP="00804814">
            <w:pPr>
              <w:spacing w:before="60" w:after="60" w:line="240" w:lineRule="auto"/>
              <w:ind w:left="57" w:right="57"/>
              <w:jc w:val="center"/>
              <w:rPr>
                <w:szCs w:val="24"/>
              </w:rPr>
            </w:pPr>
            <w:r>
              <w:rPr>
                <w:szCs w:val="24"/>
              </w:rPr>
              <w:t>–</w:t>
            </w:r>
          </w:p>
        </w:tc>
      </w:tr>
    </w:tbl>
    <w:p w:rsidR="000B3F2E" w:rsidRDefault="000B3F2E" w:rsidP="000B3F2E">
      <w:r>
        <w:t>Стабилизация заболевания устанавливается в ситуациях, не удовлетворяющих критериям ни частичной ремиссии, ни прогрессии.</w:t>
      </w:r>
    </w:p>
    <w:p w:rsidR="000B3F2E" w:rsidRPr="005A463A" w:rsidRDefault="000B3F2E" w:rsidP="00DA412A"/>
    <w:p w:rsidR="00A04E7F" w:rsidRPr="00303E7D" w:rsidRDefault="004D7374" w:rsidP="00303E7D">
      <w:pPr>
        <w:pStyle w:val="1"/>
        <w:rPr>
          <w:sz w:val="24"/>
          <w:szCs w:val="24"/>
        </w:rPr>
      </w:pPr>
      <w:bookmarkStart w:id="68" w:name="_Toc24546452"/>
      <w:bookmarkStart w:id="69" w:name="_Toc23601734"/>
      <w:r w:rsidRPr="00303E7D">
        <w:rPr>
          <w:sz w:val="24"/>
          <w:szCs w:val="24"/>
        </w:rPr>
        <w:t>Критерии оценки качества медицинской помощи</w:t>
      </w:r>
      <w:bookmarkEnd w:id="63"/>
      <w:bookmarkEnd w:id="68"/>
      <w:bookmarkEnd w:id="69"/>
    </w:p>
    <w:tbl>
      <w:tblPr>
        <w:tblW w:w="10137" w:type="dxa"/>
        <w:tblInd w:w="-789" w:type="dxa"/>
        <w:tblLayout w:type="fixed"/>
        <w:tblCellMar>
          <w:top w:w="15" w:type="dxa"/>
          <w:left w:w="15" w:type="dxa"/>
          <w:bottom w:w="15" w:type="dxa"/>
          <w:right w:w="15" w:type="dxa"/>
        </w:tblCellMar>
        <w:tblLook w:val="04A0" w:firstRow="1" w:lastRow="0" w:firstColumn="1" w:lastColumn="0" w:noHBand="0" w:noVBand="1"/>
      </w:tblPr>
      <w:tblGrid>
        <w:gridCol w:w="418"/>
        <w:gridCol w:w="7167"/>
        <w:gridCol w:w="2552"/>
      </w:tblGrid>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rsidR="005A463A" w:rsidRDefault="005A463A" w:rsidP="00DB46A1">
            <w:pPr>
              <w:pStyle w:val="11"/>
              <w:spacing w:before="60" w:beforeAutospacing="0" w:after="60" w:afterAutospacing="0" w:line="240" w:lineRule="auto"/>
              <w:ind w:left="57"/>
              <w:jc w:val="center"/>
            </w:pPr>
            <w:r>
              <w:t>№</w:t>
            </w:r>
          </w:p>
        </w:tc>
        <w:tc>
          <w:tcPr>
            <w:tcW w:w="7167" w:type="dxa"/>
            <w:tcBorders>
              <w:top w:val="single" w:sz="6" w:space="0" w:color="000000"/>
              <w:left w:val="single" w:sz="6" w:space="0" w:color="000000"/>
              <w:bottom w:val="single" w:sz="6" w:space="0" w:color="000000"/>
              <w:right w:val="single" w:sz="6" w:space="0" w:color="000000"/>
            </w:tcBorders>
            <w:vAlign w:val="center"/>
            <w:hideMark/>
          </w:tcPr>
          <w:p w:rsidR="005A463A" w:rsidRDefault="005A463A" w:rsidP="00DB46A1">
            <w:pPr>
              <w:pStyle w:val="11"/>
              <w:spacing w:before="60" w:beforeAutospacing="0" w:after="60" w:afterAutospacing="0" w:line="240" w:lineRule="auto"/>
              <w:ind w:left="57"/>
              <w:jc w:val="center"/>
            </w:pPr>
            <w:r>
              <w:rPr>
                <w:rStyle w:val="aa"/>
              </w:rPr>
              <w:t>Критерии качества</w:t>
            </w:r>
          </w:p>
        </w:tc>
        <w:tc>
          <w:tcPr>
            <w:tcW w:w="2552" w:type="dxa"/>
            <w:tcBorders>
              <w:top w:val="single" w:sz="6" w:space="0" w:color="000000"/>
              <w:left w:val="single" w:sz="6" w:space="0" w:color="000000"/>
              <w:bottom w:val="single" w:sz="6" w:space="0" w:color="000000"/>
              <w:right w:val="single" w:sz="6" w:space="0" w:color="000000"/>
            </w:tcBorders>
            <w:vAlign w:val="center"/>
          </w:tcPr>
          <w:p w:rsidR="005A463A" w:rsidRDefault="005A463A" w:rsidP="00DB46A1">
            <w:pPr>
              <w:pStyle w:val="11"/>
              <w:spacing w:before="60" w:beforeAutospacing="0" w:after="60" w:afterAutospacing="0" w:line="240" w:lineRule="auto"/>
              <w:ind w:left="57"/>
              <w:jc w:val="center"/>
            </w:pPr>
            <w:r w:rsidRPr="003E3A35">
              <w:rPr>
                <w:b/>
                <w:bCs/>
              </w:rPr>
              <w:t>Оценка выполнения</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rsidR="005A463A" w:rsidRDefault="005A463A" w:rsidP="00FD2083">
            <w:pPr>
              <w:pStyle w:val="11"/>
              <w:spacing w:before="60" w:beforeAutospacing="0" w:after="60" w:afterAutospacing="0" w:line="240" w:lineRule="auto"/>
              <w:ind w:left="57"/>
              <w:jc w:val="center"/>
            </w:pPr>
            <w:r>
              <w:t>1</w:t>
            </w:r>
          </w:p>
        </w:tc>
        <w:tc>
          <w:tcPr>
            <w:tcW w:w="7167" w:type="dxa"/>
            <w:tcBorders>
              <w:top w:val="single" w:sz="6" w:space="0" w:color="000000"/>
              <w:left w:val="single" w:sz="6" w:space="0" w:color="000000"/>
              <w:bottom w:val="single" w:sz="6" w:space="0" w:color="000000"/>
              <w:right w:val="single" w:sz="6" w:space="0" w:color="000000"/>
            </w:tcBorders>
            <w:vAlign w:val="center"/>
            <w:hideMark/>
          </w:tcPr>
          <w:p w:rsidR="005A463A" w:rsidRDefault="005A463A" w:rsidP="00FD2083">
            <w:pPr>
              <w:pStyle w:val="11"/>
              <w:spacing w:before="60" w:beforeAutospacing="0" w:after="60" w:afterAutospacing="0" w:line="240" w:lineRule="auto"/>
              <w:ind w:left="57"/>
            </w:pPr>
            <w:r>
              <w:t>П</w:t>
            </w:r>
            <w:r w:rsidRPr="00387410">
              <w:t>ациент</w:t>
            </w:r>
            <w:r>
              <w:t>у</w:t>
            </w:r>
            <w:r w:rsidRPr="00387410">
              <w:t xml:space="preserve"> с подозрением на ХЛЛ/ЛМЛ или выявленным ХЛЛ/ЛМЛ при первичном или повторном приеме, при оценке ремиссии через 2 </w:t>
            </w:r>
            <w:r>
              <w:t>мес.</w:t>
            </w:r>
            <w:r w:rsidRPr="00387410">
              <w:t xml:space="preserve"> после завершения терапии</w:t>
            </w:r>
            <w:r>
              <w:t>, при контрольных обследованиях</w:t>
            </w:r>
            <w:r w:rsidRPr="00387410">
              <w:t xml:space="preserve"> и при подозрении на рецидив заболевания выполн</w:t>
            </w:r>
            <w:r>
              <w:t>ен</w:t>
            </w:r>
            <w:r w:rsidRPr="00387410">
              <w:t xml:space="preserve"> развернутый клинический анализ крови с определением </w:t>
            </w:r>
            <w:r>
              <w:t xml:space="preserve">уровня </w:t>
            </w:r>
            <w:r w:rsidRPr="00387410">
              <w:t>гемоглобина, эритроцитов, тромбоцитов, лейкоцитов, подсчетом лейкоцитарной формулы и количества ретикулоцитов</w:t>
            </w:r>
          </w:p>
        </w:tc>
        <w:tc>
          <w:tcPr>
            <w:tcW w:w="2552" w:type="dxa"/>
            <w:tcBorders>
              <w:top w:val="single" w:sz="6" w:space="0" w:color="000000"/>
              <w:left w:val="single" w:sz="6" w:space="0" w:color="000000"/>
              <w:bottom w:val="single" w:sz="6" w:space="0" w:color="000000"/>
              <w:right w:val="single" w:sz="6" w:space="0" w:color="000000"/>
            </w:tcBorders>
          </w:tcPr>
          <w:p w:rsidR="005A463A" w:rsidRPr="00686393" w:rsidRDefault="005A463A" w:rsidP="00FD2083">
            <w:pPr>
              <w:pStyle w:val="11"/>
              <w:spacing w:before="60" w:beforeAutospacing="0" w:after="60" w:afterAutospacing="0" w:line="240" w:lineRule="auto"/>
              <w:ind w:left="57"/>
              <w:jc w:val="center"/>
            </w:pPr>
            <w:r w:rsidRPr="000B1CED">
              <w:t>Да/Нет</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jc w:val="center"/>
            </w:pPr>
            <w:r>
              <w:t>2</w:t>
            </w:r>
          </w:p>
        </w:tc>
        <w:tc>
          <w:tcPr>
            <w:tcW w:w="7167"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pPr>
            <w:r>
              <w:t>П</w:t>
            </w:r>
            <w:r w:rsidRPr="0075001D">
              <w:t>ациент</w:t>
            </w:r>
            <w:r>
              <w:t>у с подозрением на ХЛЛ</w:t>
            </w:r>
            <w:r w:rsidRPr="0075001D">
              <w:t xml:space="preserve"> с </w:t>
            </w:r>
            <w:r>
              <w:t xml:space="preserve">количеством </w:t>
            </w:r>
            <w:r>
              <w:br/>
              <w:t>В-лейкоцитов</w:t>
            </w:r>
            <w:r w:rsidRPr="0072780B">
              <w:t xml:space="preserve"> ≥5000 в</w:t>
            </w:r>
            <w:r>
              <w:t xml:space="preserve"> 1</w:t>
            </w:r>
            <w:r w:rsidRPr="0072780B">
              <w:t xml:space="preserve"> мкл выполнено иммунофенотипи</w:t>
            </w:r>
            <w:r w:rsidRPr="0075001D">
              <w:t>ческое исследование лимфоцитов крови методом проточной цитофлуориметрии</w:t>
            </w:r>
          </w:p>
        </w:tc>
        <w:tc>
          <w:tcPr>
            <w:tcW w:w="2552" w:type="dxa"/>
            <w:tcBorders>
              <w:top w:val="single" w:sz="6" w:space="0" w:color="000000"/>
              <w:left w:val="single" w:sz="6" w:space="0" w:color="000000"/>
              <w:bottom w:val="single" w:sz="6" w:space="0" w:color="000000"/>
              <w:right w:val="single" w:sz="6" w:space="0" w:color="000000"/>
            </w:tcBorders>
          </w:tcPr>
          <w:p w:rsidR="005A463A" w:rsidRPr="00DF6F54" w:rsidRDefault="005A463A" w:rsidP="00FD2083">
            <w:pPr>
              <w:pStyle w:val="11"/>
              <w:spacing w:before="60" w:beforeAutospacing="0" w:after="60" w:afterAutospacing="0" w:line="240" w:lineRule="auto"/>
              <w:ind w:left="57"/>
              <w:jc w:val="center"/>
              <w:rPr>
                <w:lang w:val="en-US"/>
              </w:rPr>
            </w:pPr>
            <w:r w:rsidRPr="000B1CED">
              <w:t>Да/Нет</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jc w:val="center"/>
            </w:pPr>
            <w:r>
              <w:t>3</w:t>
            </w:r>
          </w:p>
        </w:tc>
        <w:tc>
          <w:tcPr>
            <w:tcW w:w="7167"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pPr>
            <w:r>
              <w:t xml:space="preserve">Пациенту с подозрением на </w:t>
            </w:r>
            <w:r w:rsidRPr="0075001D">
              <w:t xml:space="preserve">ЛМЛ без клинического лимфоцитоза в крови </w:t>
            </w:r>
            <w:r>
              <w:t xml:space="preserve">либо пациенту с </w:t>
            </w:r>
            <w:r w:rsidRPr="0075001D">
              <w:t xml:space="preserve">подозрением </w:t>
            </w:r>
            <w:r>
              <w:br/>
            </w:r>
            <w:r w:rsidRPr="0075001D">
              <w:t>на трансформацию выполн</w:t>
            </w:r>
            <w:r>
              <w:t>ена</w:t>
            </w:r>
            <w:r w:rsidRPr="0075001D">
              <w:t xml:space="preserve"> биопси</w:t>
            </w:r>
            <w:r>
              <w:t>я</w:t>
            </w:r>
            <w:r w:rsidRPr="0075001D">
              <w:t xml:space="preserve"> лимфатического узла (очага поражения) </w:t>
            </w:r>
          </w:p>
        </w:tc>
        <w:tc>
          <w:tcPr>
            <w:tcW w:w="2552" w:type="dxa"/>
            <w:tcBorders>
              <w:top w:val="single" w:sz="6" w:space="0" w:color="000000"/>
              <w:left w:val="single" w:sz="6" w:space="0" w:color="000000"/>
              <w:bottom w:val="single" w:sz="6" w:space="0" w:color="000000"/>
              <w:right w:val="single" w:sz="6" w:space="0" w:color="000000"/>
            </w:tcBorders>
          </w:tcPr>
          <w:p w:rsidR="005A463A" w:rsidRPr="00866C68" w:rsidRDefault="005A463A" w:rsidP="00FD2083">
            <w:pPr>
              <w:pStyle w:val="11"/>
              <w:spacing w:before="60" w:beforeAutospacing="0" w:after="60" w:afterAutospacing="0" w:line="240" w:lineRule="auto"/>
              <w:ind w:left="57"/>
              <w:jc w:val="center"/>
              <w:rPr>
                <w:lang w:val="en-US"/>
              </w:rPr>
            </w:pPr>
            <w:r w:rsidRPr="000B1CED">
              <w:t>Да/Нет</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jc w:val="center"/>
            </w:pPr>
            <w:r>
              <w:t>4</w:t>
            </w:r>
          </w:p>
        </w:tc>
        <w:tc>
          <w:tcPr>
            <w:tcW w:w="7167"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pPr>
            <w:r>
              <w:t xml:space="preserve">У первичного пациента с ХЛЛ/ЛМЛ с подозрением </w:t>
            </w:r>
            <w:r>
              <w:br/>
              <w:t>на трансформацию получен гистологический препарат костного мозга (выполнена трепанобиопсия костного мозга)</w:t>
            </w:r>
          </w:p>
        </w:tc>
        <w:tc>
          <w:tcPr>
            <w:tcW w:w="2552" w:type="dxa"/>
            <w:tcBorders>
              <w:top w:val="single" w:sz="6" w:space="0" w:color="000000"/>
              <w:left w:val="single" w:sz="6" w:space="0" w:color="000000"/>
              <w:bottom w:val="single" w:sz="6" w:space="0" w:color="000000"/>
              <w:right w:val="single" w:sz="6" w:space="0" w:color="000000"/>
            </w:tcBorders>
          </w:tcPr>
          <w:p w:rsidR="005A463A" w:rsidRPr="00866C68" w:rsidRDefault="005A463A" w:rsidP="00FD2083">
            <w:pPr>
              <w:pStyle w:val="11"/>
              <w:spacing w:before="60" w:beforeAutospacing="0" w:after="60" w:afterAutospacing="0" w:line="240" w:lineRule="auto"/>
              <w:ind w:left="57"/>
              <w:jc w:val="center"/>
              <w:rPr>
                <w:lang w:val="en-US"/>
              </w:rPr>
            </w:pPr>
            <w:r w:rsidRPr="000B1CED">
              <w:t>Да/Нет</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rsidR="005A463A" w:rsidRDefault="005A463A" w:rsidP="00FD2083">
            <w:pPr>
              <w:pStyle w:val="11"/>
              <w:spacing w:before="60" w:beforeAutospacing="0" w:after="60" w:afterAutospacing="0" w:line="240" w:lineRule="auto"/>
              <w:ind w:left="57"/>
              <w:jc w:val="center"/>
            </w:pPr>
            <w:r>
              <w:t>5</w:t>
            </w:r>
          </w:p>
        </w:tc>
        <w:tc>
          <w:tcPr>
            <w:tcW w:w="7167" w:type="dxa"/>
            <w:tcBorders>
              <w:top w:val="single" w:sz="6" w:space="0" w:color="000000"/>
              <w:left w:val="single" w:sz="6" w:space="0" w:color="000000"/>
              <w:bottom w:val="single" w:sz="6" w:space="0" w:color="000000"/>
              <w:right w:val="single" w:sz="6" w:space="0" w:color="000000"/>
            </w:tcBorders>
            <w:vAlign w:val="center"/>
            <w:hideMark/>
          </w:tcPr>
          <w:p w:rsidR="005A463A" w:rsidRDefault="005A463A" w:rsidP="00FD2083">
            <w:pPr>
              <w:pStyle w:val="11"/>
              <w:spacing w:before="60" w:beforeAutospacing="0" w:after="60" w:afterAutospacing="0" w:line="240" w:lineRule="auto"/>
              <w:ind w:left="57"/>
            </w:pPr>
            <w:r>
              <w:t>Первичному п</w:t>
            </w:r>
            <w:r w:rsidRPr="00357B92">
              <w:t>ациент</w:t>
            </w:r>
            <w:r>
              <w:t>у</w:t>
            </w:r>
            <w:r w:rsidRPr="00357B92">
              <w:t xml:space="preserve"> при установке диагноза ХЛЛ/ЛМЛ </w:t>
            </w:r>
            <w:r>
              <w:t xml:space="preserve">либо пациенту с верифицированным ХЛЛ/ЛМЛ </w:t>
            </w:r>
            <w:r w:rsidRPr="00357B92">
              <w:t xml:space="preserve">перед началом терапии, при </w:t>
            </w:r>
            <w:r w:rsidRPr="0072780B">
              <w:t xml:space="preserve">оценке ремиссии через 2 </w:t>
            </w:r>
            <w:r>
              <w:t>мес.</w:t>
            </w:r>
            <w:r w:rsidRPr="0072780B">
              <w:t xml:space="preserve"> после завершения терапии, а также при подозрении на рецидив заболевания выполнен</w:t>
            </w:r>
            <w:r>
              <w:t>а</w:t>
            </w:r>
            <w:r w:rsidRPr="0072780B">
              <w:t xml:space="preserve"> КТ грудной клетки, органов брюшной полости и</w:t>
            </w:r>
            <w:r w:rsidRPr="00357B92">
              <w:t xml:space="preserve"> малого таза (с контрастированием) </w:t>
            </w:r>
            <w:r>
              <w:t xml:space="preserve">или рентгенография органов грудной клетки </w:t>
            </w:r>
            <w:r>
              <w:br/>
              <w:t>в 2 проекциях и УЗИ лимфатических узлов и внутренних органов</w:t>
            </w:r>
          </w:p>
        </w:tc>
        <w:tc>
          <w:tcPr>
            <w:tcW w:w="2552" w:type="dxa"/>
            <w:tcBorders>
              <w:top w:val="single" w:sz="6" w:space="0" w:color="000000"/>
              <w:left w:val="single" w:sz="6" w:space="0" w:color="000000"/>
              <w:bottom w:val="single" w:sz="6" w:space="0" w:color="000000"/>
              <w:right w:val="single" w:sz="6" w:space="0" w:color="000000"/>
            </w:tcBorders>
          </w:tcPr>
          <w:p w:rsidR="005A463A" w:rsidRPr="00866C68" w:rsidRDefault="005A463A" w:rsidP="00FD2083">
            <w:pPr>
              <w:pStyle w:val="11"/>
              <w:spacing w:before="60" w:beforeAutospacing="0" w:after="60" w:afterAutospacing="0" w:line="240" w:lineRule="auto"/>
              <w:ind w:left="57"/>
              <w:jc w:val="center"/>
              <w:rPr>
                <w:lang w:val="en-US"/>
              </w:rPr>
            </w:pPr>
            <w:r w:rsidRPr="000B1CED">
              <w:t>Да/Нет</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jc w:val="center"/>
            </w:pPr>
            <w:r>
              <w:t>6</w:t>
            </w:r>
          </w:p>
        </w:tc>
        <w:tc>
          <w:tcPr>
            <w:tcW w:w="7167"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pPr>
            <w:r>
              <w:t>У пациента с ХЛЛ/ЛМЛ, получающего терапию ограниченной длительности, выполнена оценка терапии по критериям IWCLL 2018 не менее чем через 2 мес. после окончания терапии</w:t>
            </w:r>
          </w:p>
        </w:tc>
        <w:tc>
          <w:tcPr>
            <w:tcW w:w="2552" w:type="dxa"/>
            <w:tcBorders>
              <w:top w:val="single" w:sz="6" w:space="0" w:color="000000"/>
              <w:left w:val="single" w:sz="6" w:space="0" w:color="000000"/>
              <w:bottom w:val="single" w:sz="6" w:space="0" w:color="000000"/>
              <w:right w:val="single" w:sz="6" w:space="0" w:color="000000"/>
            </w:tcBorders>
          </w:tcPr>
          <w:p w:rsidR="005A463A" w:rsidRPr="003D069A" w:rsidRDefault="005A463A" w:rsidP="00FD2083">
            <w:pPr>
              <w:pStyle w:val="11"/>
              <w:spacing w:before="60" w:beforeAutospacing="0" w:after="60" w:afterAutospacing="0" w:line="240" w:lineRule="auto"/>
              <w:ind w:left="57"/>
              <w:jc w:val="center"/>
              <w:rPr>
                <w:lang w:val="en-US"/>
              </w:rPr>
            </w:pPr>
            <w:r w:rsidRPr="000B1CED">
              <w:t>Да/Нет</w:t>
            </w:r>
          </w:p>
        </w:tc>
      </w:tr>
      <w:tr w:rsidR="005A463A" w:rsidRPr="005B4606" w:rsidTr="005A463A">
        <w:tc>
          <w:tcPr>
            <w:tcW w:w="418"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jc w:val="center"/>
            </w:pPr>
            <w:r>
              <w:t>7</w:t>
            </w:r>
          </w:p>
        </w:tc>
        <w:tc>
          <w:tcPr>
            <w:tcW w:w="7167" w:type="dxa"/>
            <w:tcBorders>
              <w:top w:val="single" w:sz="6" w:space="0" w:color="000000"/>
              <w:left w:val="single" w:sz="6" w:space="0" w:color="000000"/>
              <w:bottom w:val="single" w:sz="6" w:space="0" w:color="000000"/>
              <w:right w:val="single" w:sz="6" w:space="0" w:color="000000"/>
            </w:tcBorders>
            <w:vAlign w:val="center"/>
          </w:tcPr>
          <w:p w:rsidR="005A463A" w:rsidRDefault="005A463A" w:rsidP="00FD2083">
            <w:pPr>
              <w:pStyle w:val="11"/>
              <w:spacing w:before="60" w:beforeAutospacing="0" w:after="60" w:afterAutospacing="0" w:line="240" w:lineRule="auto"/>
              <w:ind w:left="57"/>
            </w:pPr>
            <w:r>
              <w:t xml:space="preserve">У пациента с ХЛЛ/ЛМЛ, получающего непрерывную </w:t>
            </w:r>
            <w:r>
              <w:br/>
              <w:t xml:space="preserve">или поддерживающую терапию, выполнена оценка терапии по </w:t>
            </w:r>
            <w:r>
              <w:lastRenderedPageBreak/>
              <w:t xml:space="preserve">критериям IWCLL 2018 не менее чем через </w:t>
            </w:r>
            <w:r>
              <w:br/>
              <w:t>2 мес. после достижения максимального ответа</w:t>
            </w:r>
          </w:p>
        </w:tc>
        <w:tc>
          <w:tcPr>
            <w:tcW w:w="2552" w:type="dxa"/>
            <w:tcBorders>
              <w:top w:val="single" w:sz="6" w:space="0" w:color="000000"/>
              <w:left w:val="single" w:sz="6" w:space="0" w:color="000000"/>
              <w:bottom w:val="single" w:sz="6" w:space="0" w:color="000000"/>
              <w:right w:val="single" w:sz="6" w:space="0" w:color="000000"/>
            </w:tcBorders>
          </w:tcPr>
          <w:p w:rsidR="005A463A" w:rsidRPr="003D069A" w:rsidRDefault="005A463A" w:rsidP="00FD2083">
            <w:pPr>
              <w:pStyle w:val="11"/>
              <w:spacing w:before="60" w:beforeAutospacing="0" w:after="60" w:afterAutospacing="0" w:line="240" w:lineRule="auto"/>
              <w:ind w:left="57"/>
              <w:jc w:val="center"/>
              <w:rPr>
                <w:lang w:val="en-US"/>
              </w:rPr>
            </w:pPr>
            <w:r w:rsidRPr="000B1CED">
              <w:lastRenderedPageBreak/>
              <w:t>Да/Нет</w:t>
            </w:r>
          </w:p>
        </w:tc>
      </w:tr>
    </w:tbl>
    <w:p w:rsidR="004D7374" w:rsidRDefault="004D7374" w:rsidP="00F12C20"/>
    <w:p w:rsidR="004D7374" w:rsidRDefault="004D7374" w:rsidP="00560CBA">
      <w:pPr>
        <w:pStyle w:val="1"/>
        <w:spacing w:after="120"/>
        <w:rPr>
          <w:sz w:val="24"/>
          <w:szCs w:val="24"/>
        </w:rPr>
      </w:pPr>
      <w:bookmarkStart w:id="70" w:name="_Toc520213129"/>
      <w:bookmarkStart w:id="71" w:name="_Toc24546453"/>
      <w:bookmarkStart w:id="72" w:name="_Toc23601735"/>
      <w:r w:rsidRPr="00DB46A1">
        <w:rPr>
          <w:sz w:val="24"/>
          <w:szCs w:val="24"/>
        </w:rPr>
        <w:t>Список литературы</w:t>
      </w:r>
      <w:bookmarkEnd w:id="70"/>
      <w:bookmarkEnd w:id="71"/>
      <w:bookmarkEnd w:id="72"/>
    </w:p>
    <w:p w:rsidR="00055701" w:rsidRPr="0008146B" w:rsidRDefault="000B0AC3" w:rsidP="00055701">
      <w:pPr>
        <w:widowControl w:val="0"/>
        <w:autoSpaceDE w:val="0"/>
        <w:autoSpaceDN w:val="0"/>
        <w:adjustRightInd w:val="0"/>
        <w:ind w:left="640" w:hanging="640"/>
        <w:rPr>
          <w:noProof/>
          <w:lang w:val="en-US"/>
        </w:rPr>
      </w:pPr>
      <w:r>
        <w:fldChar w:fldCharType="begin" w:fldLock="1"/>
      </w:r>
      <w:r w:rsidRPr="0008146B">
        <w:rPr>
          <w:lang w:val="en-US"/>
        </w:rPr>
        <w:instrText xml:space="preserve">ADDIN Mendeley Bibliography CSL_BIBLIOGRAPHY </w:instrText>
      </w:r>
      <w:r>
        <w:fldChar w:fldCharType="separate"/>
      </w:r>
      <w:r w:rsidR="00055701" w:rsidRPr="0008146B">
        <w:rPr>
          <w:noProof/>
          <w:lang w:val="en-US"/>
        </w:rPr>
        <w:t>1.</w:t>
      </w:r>
      <w:r w:rsidR="00055701" w:rsidRPr="0008146B">
        <w:rPr>
          <w:noProof/>
          <w:lang w:val="en-US"/>
        </w:rPr>
        <w:tab/>
        <w:t>Packham G., Stevenson F. The role of the B-cell receptor in the pathogenesis of chronic lymphocytic leukaemia // Seminars in Cancer Biology. 2010. Vol. 20, № 6. P. 391–399.</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w:t>
      </w:r>
      <w:r w:rsidRPr="0008146B">
        <w:rPr>
          <w:noProof/>
          <w:lang w:val="en-US"/>
        </w:rPr>
        <w:tab/>
        <w:t>Vardi A. et al. Immunogenetic studies of chronic lymphocytic leukemia: Revelations and speculations about ontogeny and clinical evolution // Cancer Research. American Association for Cancer Research Inc., 2014. Vol. 74, № 16. P. 4211–4216.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w:t>
      </w:r>
      <w:r w:rsidRPr="0008146B">
        <w:rPr>
          <w:noProof/>
          <w:lang w:val="en-US"/>
        </w:rPr>
        <w:tab/>
        <w:t>Murray F. et al. Stereotyped patterns of somatic hypermutation in subsets of patients with chronic lymphocytic leukemia: Implications for the role of antigen selection in leukemogenesis // Blood. 2008. Vol. 111, № 3. P. 1524–1533.</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w:t>
      </w:r>
      <w:r w:rsidRPr="0008146B">
        <w:rPr>
          <w:noProof/>
          <w:lang w:val="en-US"/>
        </w:rPr>
        <w:tab/>
        <w:t>Strati P., Shanafelt T.D. Monoclonal B-cell lymphocytosis and early-stage chronic lymphocytic leukemia: Diagnosis, natural history, and risk stratification // Blood. American Society of Hematology, 2015. Vol. 126, № 4. P. 454–462.</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w:t>
      </w:r>
      <w:r w:rsidRPr="0008146B">
        <w:rPr>
          <w:noProof/>
          <w:lang w:val="en-US"/>
        </w:rPr>
        <w:tab/>
        <w:t>Zhang S., Kipps T.J. The Pathogenesis of Chronic Lymphocytic Leukemia // Annu. Rev. Pathol. Mech. Dis. 2014. Vol. 9, № 1. P. 103–118.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6.</w:t>
      </w:r>
      <w:r w:rsidRPr="0008146B">
        <w:rPr>
          <w:noProof/>
          <w:lang w:val="en-US"/>
        </w:rPr>
        <w:tab/>
        <w:t>Burger J.A., Chiorazzi N. B cell receptor signaling in chronic lymphocytic leukemia // Trends in Immunology. 2013. Vol. 34, № 12. P. 592–601.</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7.</w:t>
      </w:r>
      <w:r w:rsidRPr="0008146B">
        <w:rPr>
          <w:noProof/>
          <w:lang w:val="en-US"/>
        </w:rPr>
        <w:tab/>
        <w:t>Morton L.M. et al. Lymphoma incidence patterns by WHO subtype in the United States, 1992-2001 // Blood. 2006. Vol. 107, № 1. P. 265–276.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8.</w:t>
      </w:r>
      <w:r w:rsidRPr="0008146B">
        <w:rPr>
          <w:noProof/>
          <w:lang w:val="en-US"/>
        </w:rPr>
        <w:tab/>
        <w:t>Watson L., Wyld P., Catovsky D. Disease burden of chronic lymphocytic leukaemia within the European Union // Eur. J. Haematol. 2008. Vol. 81, № 4. P. 253–258.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9.</w:t>
      </w:r>
      <w:r w:rsidRPr="0008146B">
        <w:rPr>
          <w:noProof/>
          <w:lang w:val="en-US"/>
        </w:rPr>
        <w:tab/>
        <w:t>Jemal A. et al. Cancer statistics, 2007. // CA. Cancer J. Clin. 2007. Vol. 57, № 1. P. 43–66.</w:t>
      </w:r>
    </w:p>
    <w:p w:rsidR="00055701" w:rsidRPr="00055701" w:rsidRDefault="00055701" w:rsidP="00055701">
      <w:pPr>
        <w:widowControl w:val="0"/>
        <w:autoSpaceDE w:val="0"/>
        <w:autoSpaceDN w:val="0"/>
        <w:adjustRightInd w:val="0"/>
        <w:ind w:left="640" w:hanging="640"/>
        <w:rPr>
          <w:noProof/>
        </w:rPr>
      </w:pPr>
      <w:r w:rsidRPr="0008146B">
        <w:rPr>
          <w:noProof/>
          <w:lang w:val="en-US"/>
        </w:rPr>
        <w:t>10.</w:t>
      </w:r>
      <w:r w:rsidRPr="0008146B">
        <w:rPr>
          <w:noProof/>
          <w:lang w:val="en-US"/>
        </w:rPr>
        <w:tab/>
        <w:t xml:space="preserve">Dores G.M. et al. Chronic lymphocytic leukaemia and small lymphocytic lymphoma: Overview of the descriptive epidemiology // Br. J. Haematol. </w:t>
      </w:r>
      <w:r w:rsidRPr="00055701">
        <w:rPr>
          <w:noProof/>
        </w:rPr>
        <w:t>2007. Vol. 139, № 5. P. 809–819.</w:t>
      </w:r>
    </w:p>
    <w:p w:rsidR="00055701" w:rsidRPr="00055701" w:rsidRDefault="00055701" w:rsidP="00055701">
      <w:pPr>
        <w:widowControl w:val="0"/>
        <w:autoSpaceDE w:val="0"/>
        <w:autoSpaceDN w:val="0"/>
        <w:adjustRightInd w:val="0"/>
        <w:ind w:left="640" w:hanging="640"/>
        <w:rPr>
          <w:noProof/>
        </w:rPr>
      </w:pPr>
      <w:r w:rsidRPr="00055701">
        <w:rPr>
          <w:noProof/>
        </w:rPr>
        <w:t>11.</w:t>
      </w:r>
      <w:r w:rsidRPr="00055701">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12.</w:t>
      </w:r>
      <w:r w:rsidRPr="0008146B">
        <w:rPr>
          <w:noProof/>
          <w:lang w:val="en-US"/>
        </w:rPr>
        <w:tab/>
        <w:t>Hallek M. et al. iwCLL guidelines for diagnosis, indications for treatment, response assessment, and supportive management of CLL // Blood. American Society of Hematology, 2018. Vol. 131, № 25. P. 2745–2760.</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lastRenderedPageBreak/>
        <w:t>13.</w:t>
      </w:r>
      <w:r w:rsidRPr="0008146B">
        <w:rPr>
          <w:noProof/>
          <w:lang w:val="en-US"/>
        </w:rPr>
        <w:tab/>
        <w:t>Armitage J.O. Staging Non-Hodgkin Lymphoma // CA. Cancer J. Clin. Wiley, 2005. Vol. 55, № 6. P. 368–376.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14.</w:t>
      </w:r>
      <w:r w:rsidRPr="0008146B">
        <w:rPr>
          <w:noProof/>
          <w:lang w:val="en-US"/>
        </w:rPr>
        <w:tab/>
        <w:t>An international prognostic index for patients with chronic lymphocytic leukaemia (CLL-IPI): a meta-analysis of individual patient data // Lancet Oncol. Lancet Publishing Group, 2016. Vol. 17, № 6. P. 779–790.</w:t>
      </w:r>
    </w:p>
    <w:p w:rsidR="00055701" w:rsidRPr="00055701" w:rsidRDefault="00055701" w:rsidP="00055701">
      <w:pPr>
        <w:widowControl w:val="0"/>
        <w:autoSpaceDE w:val="0"/>
        <w:autoSpaceDN w:val="0"/>
        <w:adjustRightInd w:val="0"/>
        <w:ind w:left="640" w:hanging="640"/>
        <w:rPr>
          <w:noProof/>
        </w:rPr>
      </w:pPr>
      <w:r w:rsidRPr="0008146B">
        <w:rPr>
          <w:noProof/>
          <w:lang w:val="en-US"/>
        </w:rPr>
        <w:t>15.</w:t>
      </w:r>
      <w:r w:rsidRPr="0008146B">
        <w:rPr>
          <w:noProof/>
          <w:lang w:val="en-US"/>
        </w:rPr>
        <w:tab/>
        <w:t xml:space="preserve">Swerdlow S.H. et al. The 2016 revision of the World Health Organization classification of lymphoid neoplasms // Blood. </w:t>
      </w:r>
      <w:r w:rsidRPr="00055701">
        <w:rPr>
          <w:noProof/>
        </w:rPr>
        <w:t>2016.</w:t>
      </w:r>
    </w:p>
    <w:p w:rsidR="00055701" w:rsidRPr="00055701" w:rsidRDefault="00055701" w:rsidP="00055701">
      <w:pPr>
        <w:widowControl w:val="0"/>
        <w:autoSpaceDE w:val="0"/>
        <w:autoSpaceDN w:val="0"/>
        <w:adjustRightInd w:val="0"/>
        <w:ind w:left="640" w:hanging="640"/>
        <w:rPr>
          <w:noProof/>
        </w:rPr>
      </w:pPr>
      <w:r w:rsidRPr="00055701">
        <w:rPr>
          <w:noProof/>
        </w:rPr>
        <w:t>16.</w:t>
      </w:r>
      <w:r w:rsidRPr="00055701">
        <w:rPr>
          <w:noProof/>
        </w:rPr>
        <w:tab/>
        <w:t>Никитин Е.А. et al. Хронический лимфолейкоз.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179–200.</w:t>
      </w:r>
    </w:p>
    <w:p w:rsidR="00055701" w:rsidRPr="0008146B" w:rsidRDefault="00055701" w:rsidP="00055701">
      <w:pPr>
        <w:widowControl w:val="0"/>
        <w:autoSpaceDE w:val="0"/>
        <w:autoSpaceDN w:val="0"/>
        <w:adjustRightInd w:val="0"/>
        <w:ind w:left="640" w:hanging="640"/>
        <w:rPr>
          <w:noProof/>
          <w:lang w:val="en-US"/>
        </w:rPr>
      </w:pPr>
      <w:r w:rsidRPr="00055701">
        <w:rPr>
          <w:noProof/>
        </w:rPr>
        <w:t>17.</w:t>
      </w:r>
      <w:r w:rsidRPr="00055701">
        <w:rPr>
          <w:noProof/>
        </w:rPr>
        <w:tab/>
        <w:t xml:space="preserve">Morice W.G. et al. </w:t>
      </w:r>
      <w:r w:rsidRPr="0008146B">
        <w:rPr>
          <w:noProof/>
          <w:lang w:val="en-US"/>
        </w:rPr>
        <w:t>Predictive value of blood and bone marrow flow cytometry in B-cell lymphoma classification: Comparative analysis of flow cytometry and tissue biopsy in 252 patients // Mayo Clin. Proc. Elsevier Ltd, 2008. Vol. 83, № 7. P. 776–785.</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18.</w:t>
      </w:r>
      <w:r w:rsidRPr="0008146B">
        <w:rPr>
          <w:noProof/>
          <w:lang w:val="en-US"/>
        </w:rPr>
        <w:tab/>
        <w:t>Rawstron A.C. et al. Monoclonal B-cell lymphocytosis and chronic lymphocytic leukemia // N. Engl. J. Med. Massachussetts Medical Society, 2008. Vol. 359, № 6. P. 575–583.</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19.</w:t>
      </w:r>
      <w:r w:rsidRPr="0008146B">
        <w:rPr>
          <w:noProof/>
          <w:lang w:val="en-US"/>
        </w:rPr>
        <w:tab/>
        <w:t>Molica S., Giannarelli D., Montserrat E. Minimal Residual Disease and Survival Outcomes in Patients With Chronic Lymphocytic Leukemia: A Systematic Review and Meta-analysis. // Clin. Lymphoma. Myeloma Leuk. 2019. Vol. 19, № 7. P. 423–430.</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20.</w:t>
      </w:r>
      <w:r w:rsidRPr="0008146B">
        <w:rPr>
          <w:noProof/>
          <w:lang w:val="en-US"/>
        </w:rPr>
        <w:tab/>
        <w:t>Rossi D. et al. Occult hepatitis B virus infection of peripheral blood mononuclear cells among treatment-naïve patients with chronic lymphocytic leukemia // Leuk. Lymphoma. 2009. Vol. 50, № 4. P. 604–611.</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21.</w:t>
      </w:r>
      <w:r w:rsidRPr="0008146B">
        <w:rPr>
          <w:noProof/>
          <w:lang w:val="en-US"/>
        </w:rPr>
        <w:tab/>
        <w:t>Conte M.J. et al. Use of positron emission tomography-computed tomography in the management of patients with chronic lymphocytic leukemia/small lymphocytic lymphoma // Leuk. Lymphoma. Informa Healthcare, 2014. Vol. 55, № 9. P. 2079–2084.</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22.</w:t>
      </w:r>
      <w:r w:rsidRPr="0008146B">
        <w:rPr>
          <w:noProof/>
          <w:lang w:val="en-US"/>
        </w:rPr>
        <w:tab/>
        <w:t>Parikh S.A., Kay N.E., Shanafelt T.D. How we treat Richter syndrome. // Blood. 2014. Vol. 123, № 11. P. 1647–1657.</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23.</w:t>
      </w:r>
      <w:r w:rsidRPr="0008146B">
        <w:rPr>
          <w:noProof/>
          <w:lang w:val="en-US"/>
        </w:rPr>
        <w:tab/>
        <w:t>Hallek M. et al. Addition of rituximab to fludarabine and cyclophosphamide in patients with chronic lymphocytic leukaemia: A randomised, open-label, phase 3 trial // Lancet. Lancet Publishing Group, 2010. Vol. 376, № 9747. P. 1164–1174.</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24.</w:t>
      </w:r>
      <w:r w:rsidRPr="0008146B">
        <w:rPr>
          <w:noProof/>
          <w:lang w:val="en-US"/>
        </w:rPr>
        <w:tab/>
        <w:t>Fischer K. et al. Long-term remissions after FCR chemoimmunotherapy in previously untreated patients with CLL: Updated results of the CLL8 trial // Blood. American Society of Hematology, 2016. Vol. 127, № 2. P. 208–215.</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25.</w:t>
      </w:r>
      <w:r w:rsidRPr="0008146B">
        <w:rPr>
          <w:noProof/>
          <w:lang w:val="en-US"/>
        </w:rPr>
        <w:tab/>
        <w:t xml:space="preserve">Fischer K. et al. Bendamustine in combination with rituximab for previously untreated patients with chronic lymphocytic leukemia: A multicenter phase II trial of the German Chronic Lymphocytic Leukemia Study Group // J. Clin. Oncol. 2012. Vol. 30, № 26. P. </w:t>
      </w:r>
      <w:r w:rsidRPr="0008146B">
        <w:rPr>
          <w:noProof/>
          <w:lang w:val="en-US"/>
        </w:rPr>
        <w:lastRenderedPageBreak/>
        <w:t>3209–3216.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26.</w:t>
      </w:r>
      <w:r w:rsidRPr="0008146B">
        <w:rPr>
          <w:noProof/>
          <w:lang w:val="en-US"/>
        </w:rPr>
        <w:tab/>
        <w:t>Eichhorst B. et al. First-line chemoimmunotherapy with bendamustine and rituximab versus fludarabine, cyclophosphamide, and rituximab in patients with advanced chronic lymphocytic leukaemia (CLL10): an international, open-label, randomised, phase 3, non-inferiority trial // Lancet Oncol. Lancet Publishing Group, 2016. Vol. 17, № 7. P. 928–942.</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27.</w:t>
      </w:r>
      <w:r w:rsidRPr="0008146B">
        <w:rPr>
          <w:noProof/>
          <w:lang w:val="en-US"/>
        </w:rPr>
        <w:tab/>
        <w:t>Shanafelt T., Wang V., Kay N. A randomized phase III study of ibrutinib (PCI-32765)-based therapy vs. standard fludarabine, cyclophosphamide, and rituximab (FCR) chemoimmunotherapy in untreated younger patients with chronic lymphocytic leukemia (CLL): a trial of the ECOG-ACRIN Cancer  // ASH Annual Meeting. 2018. P. LBA-4.</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28.</w:t>
      </w:r>
      <w:r w:rsidRPr="0008146B">
        <w:rPr>
          <w:noProof/>
          <w:lang w:val="en-US"/>
        </w:rPr>
        <w:tab/>
        <w:t>Burger J.A. et al. Randomized trial of ibrutinib vs ibrutinib plus rituximab in patients with chronic lymphocytic leukemia. // Blood. 2019. Vol. 133, № 10. P. 1011–1019.</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29.</w:t>
      </w:r>
      <w:r w:rsidRPr="0008146B">
        <w:rPr>
          <w:noProof/>
          <w:lang w:val="en-US"/>
        </w:rPr>
        <w:tab/>
        <w:t>National Comprehensive Cancer Network. NCCN Practice Guidelines in Oncology. Chronic Lymphocytic Leukemia/Small Lymphocytic Lymphoma. 2019.</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30.</w:t>
      </w:r>
      <w:r w:rsidRPr="0008146B">
        <w:rPr>
          <w:noProof/>
          <w:lang w:val="en-US"/>
        </w:rPr>
        <w:tab/>
        <w:t>Assouline S. et al. Pharmacokinetics, safety, and efficacy of subcutaneous versus intravenous rituximab plus chemotherapy as treatment for chronic lymphocytic leukaemia (SAWYER): a phase 1b, open-label, randomised controlled non-inferiority trial. // Lancet. Haematol. 2016. Vol. 3, № 3. P. e128-38.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31.</w:t>
      </w:r>
      <w:r w:rsidRPr="0008146B">
        <w:rPr>
          <w:noProof/>
          <w:lang w:val="en-US"/>
        </w:rPr>
        <w:tab/>
        <w:t>Goede V. et al. Obinutuzumab plus chlorambucil in patients with CLL and coexisting conditions // N. Engl. J. Med. Massachussetts Medical Society, 2014. Vol. 370, № 12. P. 1101–1110.</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32.</w:t>
      </w:r>
      <w:r w:rsidRPr="0008146B">
        <w:rPr>
          <w:noProof/>
          <w:lang w:val="en-US"/>
        </w:rPr>
        <w:tab/>
        <w:t>Michallet A.S. et al. Rituximab plus bendamustine or chlorambucil for chronic lymphocytic leukemia: Primary analysis of the randomized, open-label mable study // Haematologica. Ferrata Storti Foundation, 2018. Vol. 103, № 4. P. 698–706.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33.</w:t>
      </w:r>
      <w:r w:rsidRPr="0008146B">
        <w:rPr>
          <w:noProof/>
          <w:lang w:val="en-US"/>
        </w:rPr>
        <w:tab/>
        <w:t>Burger J.A. et al. Ibrutinib as initial therapy for patients with chronic lymphocytic leukemia // N. Engl. J. Med. Massachussetts Medical Society, 2015. Vol. 373, № 25. P. 2425–2437.</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34.</w:t>
      </w:r>
      <w:r w:rsidRPr="0008146B">
        <w:rPr>
          <w:noProof/>
          <w:lang w:val="en-US"/>
        </w:rPr>
        <w:tab/>
        <w:t>Burger J.A. et al. Ibrutinib for First-Line Treatment of Older Patients With Chronic Lymphocytic Leukemia/Small Lymphocytic Lymphoma (CLL/SLL): A 4-Year Experience From the REASONATE-2 Study // EHA 23 Proceedings. 2018. P. Abstract PF343.</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35.</w:t>
      </w:r>
      <w:r w:rsidRPr="0008146B">
        <w:rPr>
          <w:noProof/>
          <w:lang w:val="en-US"/>
        </w:rPr>
        <w:tab/>
        <w:t>Woyach J.A. et al. Ibrutinib Regimens versus Chemoimmunotherapy in Older Patients with Untreated CLL. // N. Engl. J. Med. 2018. Vol. 379, № 26. P. 2517–2528.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36.</w:t>
      </w:r>
      <w:r w:rsidRPr="0008146B">
        <w:rPr>
          <w:noProof/>
          <w:lang w:val="en-US"/>
        </w:rPr>
        <w:tab/>
        <w:t xml:space="preserve">Nikitin E. Randomised Comparison Of FCR-Lite And ClbR (Chlorambucil Plus Rituximab) Regimens In Elderly Patients With Chronic Lymphocytic Leukemia // EHA </w:t>
      </w:r>
      <w:r w:rsidRPr="0008146B">
        <w:rPr>
          <w:noProof/>
          <w:lang w:val="en-US"/>
        </w:rPr>
        <w:lastRenderedPageBreak/>
        <w:t>18 Proceedings. 2013. P. Abstract NS1147.</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37.</w:t>
      </w:r>
      <w:r w:rsidRPr="0008146B">
        <w:rPr>
          <w:noProof/>
          <w:lang w:val="en-US"/>
        </w:rPr>
        <w:tab/>
        <w:t>Foà R. et al. Chlorambucil plus rituximab with or without maintenance rituximab as first-line treatment for elderly chronic lymphocytic leukemia patients // Am. J. Hematol. Wiley-Liss Inc., 2014. Vol. 89, № 5. P. 480–486.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38.</w:t>
      </w:r>
      <w:r w:rsidRPr="0008146B">
        <w:rPr>
          <w:noProof/>
          <w:lang w:val="en-US"/>
        </w:rPr>
        <w:tab/>
        <w:t>Hillmen P. et al. Rituximab plus chlorambucil as first-line treatment for chronic lymphocytic leukemia: Final analysis of an open-label phase II study // J. Clin. Oncol. American Society of Clinical Oncology, 2014. Vol. 32, № 12. P. 1236–1241.</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39.</w:t>
      </w:r>
      <w:r w:rsidRPr="0008146B">
        <w:rPr>
          <w:noProof/>
          <w:lang w:val="en-US"/>
        </w:rPr>
        <w:tab/>
        <w:t>Fischer K. et al. Venetoclax and Obinutuzumab in Patients with CLL and Coexisting Conditions. // N. Engl. J. Med. 2019. Vol. 380, № 23. P. 2225–2236.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40.</w:t>
      </w:r>
      <w:r w:rsidRPr="0008146B">
        <w:rPr>
          <w:noProof/>
          <w:lang w:val="en-US"/>
        </w:rPr>
        <w:tab/>
        <w:t>Jones J.A. et al. Venetoclax for chronic lymphocytic leukaemia progressing after ibrutinib: an interim analysis of a multicentre, open-label, phase 2 trial. // Lancet. Oncol. 2018. Vol. 19, № 1. P. 65–75.</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41.</w:t>
      </w:r>
      <w:r w:rsidRPr="0008146B">
        <w:rPr>
          <w:noProof/>
          <w:lang w:val="en-US"/>
        </w:rPr>
        <w:tab/>
        <w:t>Catovsky D., Else M., Richards S. Chlorambucil-still not bad: A reappraisal // Clinical Lymphoma, Myeloma and Leukemia. Elsevier Inc., 2011. Vol. 11, № SUPPL.1. P. S2.</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42.</w:t>
      </w:r>
      <w:r w:rsidRPr="0008146B">
        <w:rPr>
          <w:noProof/>
          <w:lang w:val="en-US"/>
        </w:rPr>
        <w:tab/>
        <w:t>Hainsworth J.D. et al. Single-agent rituximab as first-line and maintenance treatment for patients with chronic lymphocytic leukemia or small lymphocytic lymphoma: A phase II trial of the Minnie Pearl Cancer Research Network // J. Clin. Oncol. 2003. Vol. 21, № 9. P. 1746–1751.</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43.</w:t>
      </w:r>
      <w:r w:rsidRPr="0008146B">
        <w:rPr>
          <w:noProof/>
          <w:lang w:val="en-US"/>
        </w:rPr>
        <w:tab/>
        <w:t>Michallet A.-S. et al. Ibrutinib in very elderly patients with relapsed/refractory chronic lymphocytic leukemia: A real-world experience of 71 patients treated in France: A study from the French Innovative Leukemia Organization (FILO) group. // Am. J. Hematol. 2017. Vol. 92, № 6. P. E105–E107.</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44.</w:t>
      </w:r>
      <w:r w:rsidRPr="0008146B">
        <w:rPr>
          <w:noProof/>
          <w:lang w:val="en-US"/>
        </w:rPr>
        <w:tab/>
        <w:t>Burger J.A. et al. Safety and activity of ibrutinib plus rituximab for patients with high-risk chronic lymphocytic leukaemia: A single-arm, phase 2 study // Lancet Oncol. Lancet Publishing Group, 2014. Vol. 15, № 10. P. 1090–1099.</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45.</w:t>
      </w:r>
      <w:r w:rsidRPr="0008146B">
        <w:rPr>
          <w:noProof/>
          <w:lang w:val="en-US"/>
        </w:rPr>
        <w:tab/>
        <w:t>Sorror M.L. et al. Five-year follow-up of patients with advanced chronic lymphocytic leukemia treated with allogeneic hematopoietic cell transplantation after nonmyeloablative conditioning // J. Clin. Oncol. 2008. Vol. 26, № 30. P. 4912–4920.</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46.</w:t>
      </w:r>
      <w:r w:rsidRPr="0008146B">
        <w:rPr>
          <w:noProof/>
          <w:lang w:val="en-US"/>
        </w:rPr>
        <w:tab/>
        <w:t>Dreger P. et al. Allogeneic stem cell transplantation provides durable disease control in poor-risk chronic lymphocytic leukemia: Long-term clinical and MRD results of the German CLL Study Group CLL3X trial // Blood. 2010. Vol. 116, № 14. P. 2438–2447.</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47.</w:t>
      </w:r>
      <w:r w:rsidRPr="0008146B">
        <w:rPr>
          <w:noProof/>
          <w:lang w:val="en-US"/>
        </w:rPr>
        <w:tab/>
        <w:t>Stilgenbauer S. et al. Venetoclax in relapsed or refractory chronic lymphocytic leukaemia with 17p deletion: a multicentre, open-label, phase 2 study // Lancet Oncol. Lancet Publishing Group, 2016. Vol. 17, № 6. P. 768–778.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48.</w:t>
      </w:r>
      <w:r w:rsidRPr="0008146B">
        <w:rPr>
          <w:noProof/>
          <w:lang w:val="en-US"/>
        </w:rPr>
        <w:tab/>
        <w:t xml:space="preserve">Tam C.S. et al. Life After FCR: Outcomes of patients with chronic lymphocytic leukemia </w:t>
      </w:r>
      <w:r w:rsidRPr="0008146B">
        <w:rPr>
          <w:noProof/>
          <w:lang w:val="en-US"/>
        </w:rPr>
        <w:lastRenderedPageBreak/>
        <w:t>who progress after frontline treatment with Fludarabine, Cyclophosphamide and Rituximab. // Blood. 2014. P. 3059–3064.</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49.</w:t>
      </w:r>
      <w:r w:rsidRPr="0008146B">
        <w:rPr>
          <w:noProof/>
          <w:lang w:val="en-US"/>
        </w:rPr>
        <w:tab/>
        <w:t>Fischer K. et al. Bendamustine combined with rituximab in patients with relapsed and/or refractory chronic lymphocytic leukemia: A Multicenter Phase II trial of the German Chronic Lymphocytic Leukemia Study Group // J. Clin. Oncol. 2011. Vol. 29, № 26. P. 3559–3566.</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50.</w:t>
      </w:r>
      <w:r w:rsidRPr="0008146B">
        <w:rPr>
          <w:noProof/>
          <w:lang w:val="en-US"/>
        </w:rPr>
        <w:tab/>
        <w:t>Byrd J.C. et al. Ibrutinib versus ofatumumab in previously treated chronic lymphoid leukemia. // N. Engl. J. Med. 2014. Vol. 371, № 3. P. 213–223.</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51.</w:t>
      </w:r>
      <w:r w:rsidRPr="0008146B">
        <w:rPr>
          <w:noProof/>
          <w:lang w:val="en-US"/>
        </w:rPr>
        <w:tab/>
        <w:t>Moreno C. et al. Ibrutinib in previously treated chronic lymphocytic leukemia: updated efficacy and safety of the RESONATE study with up to four years of follow-up // EHA 22 Proceedings. 2017. P. Abstract S769.</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52.</w:t>
      </w:r>
      <w:r w:rsidRPr="0008146B">
        <w:rPr>
          <w:noProof/>
          <w:lang w:val="en-US"/>
        </w:rPr>
        <w:tab/>
        <w:t>Chanan-Khan A. et al. Ibrutinib combined with bendamustine and rituximab compared with placebo, bendamustine, and rituximab for previously treated chronic lymphocytic leukaemia or small lymphocytic lymphoma (HELIOS): A randomised, double-blind, phase 3 study // Lancet Oncol. Lancet Publishing Group, 2016. Vol. 17, № 2. P. 200–211.</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53.</w:t>
      </w:r>
      <w:r w:rsidRPr="0008146B">
        <w:rPr>
          <w:noProof/>
          <w:lang w:val="en-US"/>
        </w:rPr>
        <w:tab/>
        <w:t>Hallek M. et al. Three-year follow-up of patients with previously treated chronic lymphocytic leukemia (CLL) or small lymphocytic lymphoma (SLL) receiving ibrutinib plus bendamustine and rituximab (BR) versus placebo plus BR: an update of the HELIOS study. // Leuk. Lymphoma. 2017. Vol. 58. P. 192–194.</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54.</w:t>
      </w:r>
      <w:r w:rsidRPr="0008146B">
        <w:rPr>
          <w:noProof/>
          <w:lang w:val="en-US"/>
        </w:rPr>
        <w:tab/>
        <w:t>Seymour J.F. et al. Venetoclax-Rituximab in Relapsed or Refractory Chronic Lymphocytic Leukemia. // N. Engl. J. Med. 2018. Vol. 378, № 12. P. 1107–1120.</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55.</w:t>
      </w:r>
      <w:r w:rsidRPr="0008146B">
        <w:rPr>
          <w:noProof/>
          <w:lang w:val="en-US"/>
        </w:rPr>
        <w:tab/>
        <w:t>Castro J.E. et al. Rituximab in combination with high-dose methylprednisolone for the treatment of chronic lymphocytic leukemia // Leukemia. Nature Publishing Group, 2009. Vol. 23, № 10. P. 1779–1789.</w:t>
      </w:r>
    </w:p>
    <w:p w:rsidR="00055701" w:rsidRPr="00055701" w:rsidRDefault="00055701" w:rsidP="00055701">
      <w:pPr>
        <w:widowControl w:val="0"/>
        <w:autoSpaceDE w:val="0"/>
        <w:autoSpaceDN w:val="0"/>
        <w:adjustRightInd w:val="0"/>
        <w:ind w:left="640" w:hanging="640"/>
        <w:rPr>
          <w:noProof/>
        </w:rPr>
      </w:pPr>
      <w:r w:rsidRPr="0008146B">
        <w:rPr>
          <w:noProof/>
          <w:lang w:val="en-US"/>
        </w:rPr>
        <w:t>56.</w:t>
      </w:r>
      <w:r w:rsidRPr="0008146B">
        <w:rPr>
          <w:noProof/>
          <w:lang w:val="en-US"/>
        </w:rPr>
        <w:tab/>
        <w:t xml:space="preserve">Raanani P. et al. Immunoglobulin prophylaxis in chronic lymphocytic leukemia and multiple myeloma: systematic review and meta-analysis. // Leuk. </w:t>
      </w:r>
      <w:r w:rsidRPr="00055701">
        <w:rPr>
          <w:noProof/>
        </w:rPr>
        <w:t>Lymphoma. 2009. Vol. 50, № 5. P. 764–772.</w:t>
      </w:r>
    </w:p>
    <w:p w:rsidR="00055701" w:rsidRPr="0008146B" w:rsidRDefault="00055701" w:rsidP="00055701">
      <w:pPr>
        <w:widowControl w:val="0"/>
        <w:autoSpaceDE w:val="0"/>
        <w:autoSpaceDN w:val="0"/>
        <w:adjustRightInd w:val="0"/>
        <w:ind w:left="640" w:hanging="640"/>
        <w:rPr>
          <w:noProof/>
          <w:lang w:val="en-US"/>
        </w:rPr>
      </w:pPr>
      <w:r w:rsidRPr="00055701">
        <w:rPr>
          <w:noProof/>
        </w:rPr>
        <w:t>57.</w:t>
      </w:r>
      <w:r w:rsidRPr="00055701">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w:t>
      </w:r>
      <w:r w:rsidRPr="0008146B">
        <w:rPr>
          <w:noProof/>
          <w:lang w:val="en-US"/>
        </w:rPr>
        <w:t>.</w:t>
      </w:r>
      <w:r w:rsidRPr="00055701">
        <w:rPr>
          <w:noProof/>
        </w:rPr>
        <w:t>В</w:t>
      </w:r>
      <w:r w:rsidRPr="0008146B">
        <w:rPr>
          <w:noProof/>
          <w:lang w:val="en-US"/>
        </w:rPr>
        <w:t xml:space="preserve">. </w:t>
      </w:r>
      <w:r w:rsidRPr="00055701">
        <w:rPr>
          <w:noProof/>
        </w:rPr>
        <w:t>Поддубной</w:t>
      </w:r>
      <w:r w:rsidRPr="0008146B">
        <w:rPr>
          <w:noProof/>
          <w:lang w:val="en-US"/>
        </w:rPr>
        <w:t xml:space="preserve">, </w:t>
      </w:r>
      <w:r w:rsidRPr="00055701">
        <w:rPr>
          <w:noProof/>
        </w:rPr>
        <w:t>В</w:t>
      </w:r>
      <w:r w:rsidRPr="0008146B">
        <w:rPr>
          <w:noProof/>
          <w:lang w:val="en-US"/>
        </w:rPr>
        <w:t>.</w:t>
      </w:r>
      <w:r w:rsidRPr="00055701">
        <w:rPr>
          <w:noProof/>
        </w:rPr>
        <w:t>Г</w:t>
      </w:r>
      <w:r w:rsidRPr="0008146B">
        <w:rPr>
          <w:noProof/>
          <w:lang w:val="en-US"/>
        </w:rPr>
        <w:t xml:space="preserve">. </w:t>
      </w:r>
      <w:r w:rsidRPr="00055701">
        <w:rPr>
          <w:noProof/>
        </w:rPr>
        <w:t>Савченко</w:t>
      </w:r>
      <w:r w:rsidRPr="0008146B">
        <w:rPr>
          <w:noProof/>
          <w:lang w:val="en-US"/>
        </w:rPr>
        <w:t>. 2018. P. 289–311.</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58.</w:t>
      </w:r>
      <w:r w:rsidRPr="0008146B">
        <w:rPr>
          <w:noProof/>
          <w:lang w:val="en-US"/>
        </w:rPr>
        <w:tab/>
        <w:t>Rubin L.G. et al. 2013 IDSA clinical practice guideline for vaccination of the immunocompromised host. // Clin. Infect. Dis. 2014. Vol. 58, № 3. P. 309–318.</w:t>
      </w:r>
    </w:p>
    <w:p w:rsidR="00055701" w:rsidRPr="00055701" w:rsidRDefault="00055701" w:rsidP="00055701">
      <w:pPr>
        <w:widowControl w:val="0"/>
        <w:autoSpaceDE w:val="0"/>
        <w:autoSpaceDN w:val="0"/>
        <w:adjustRightInd w:val="0"/>
        <w:ind w:left="640" w:hanging="640"/>
        <w:rPr>
          <w:noProof/>
        </w:rPr>
      </w:pPr>
      <w:r w:rsidRPr="0008146B">
        <w:rPr>
          <w:noProof/>
          <w:lang w:val="en-US"/>
        </w:rPr>
        <w:t>59.</w:t>
      </w:r>
      <w:r w:rsidRPr="0008146B">
        <w:rPr>
          <w:noProof/>
          <w:lang w:val="en-US"/>
        </w:rPr>
        <w:tab/>
        <w:t xml:space="preserve">Sinisalo M. et al. Response to vaccination against different types of antigens in patients </w:t>
      </w:r>
      <w:r w:rsidRPr="0008146B">
        <w:rPr>
          <w:noProof/>
          <w:lang w:val="en-US"/>
        </w:rPr>
        <w:lastRenderedPageBreak/>
        <w:t xml:space="preserve">with chronic lymphocytic leukaemia. // Br. J. Haematol. </w:t>
      </w:r>
      <w:r w:rsidRPr="00055701">
        <w:rPr>
          <w:noProof/>
        </w:rPr>
        <w:t>2001. Vol. 114, № 1. P. 107–110.</w:t>
      </w:r>
    </w:p>
    <w:p w:rsidR="00055701" w:rsidRPr="00055701" w:rsidRDefault="00055701" w:rsidP="00055701">
      <w:pPr>
        <w:widowControl w:val="0"/>
        <w:autoSpaceDE w:val="0"/>
        <w:autoSpaceDN w:val="0"/>
        <w:adjustRightInd w:val="0"/>
        <w:ind w:left="640" w:hanging="640"/>
        <w:rPr>
          <w:noProof/>
        </w:rPr>
      </w:pPr>
      <w:r w:rsidRPr="00055701">
        <w:rPr>
          <w:noProof/>
        </w:rPr>
        <w:t>60.</w:t>
      </w:r>
      <w:r w:rsidRPr="00055701">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rsidR="00055701" w:rsidRPr="0008146B" w:rsidRDefault="00055701" w:rsidP="00055701">
      <w:pPr>
        <w:widowControl w:val="0"/>
        <w:autoSpaceDE w:val="0"/>
        <w:autoSpaceDN w:val="0"/>
        <w:adjustRightInd w:val="0"/>
        <w:ind w:left="640" w:hanging="640"/>
        <w:rPr>
          <w:noProof/>
          <w:lang w:val="en-US"/>
        </w:rPr>
      </w:pPr>
      <w:r w:rsidRPr="00055701">
        <w:rPr>
          <w:noProof/>
        </w:rPr>
        <w:t>61.</w:t>
      </w:r>
      <w:r w:rsidRPr="00055701">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w:t>
      </w:r>
      <w:r w:rsidRPr="0008146B">
        <w:rPr>
          <w:noProof/>
          <w:lang w:val="en-US"/>
        </w:rPr>
        <w:t>.</w:t>
      </w:r>
      <w:r w:rsidRPr="00055701">
        <w:rPr>
          <w:noProof/>
        </w:rPr>
        <w:t>В</w:t>
      </w:r>
      <w:r w:rsidRPr="0008146B">
        <w:rPr>
          <w:noProof/>
          <w:lang w:val="en-US"/>
        </w:rPr>
        <w:t xml:space="preserve">. </w:t>
      </w:r>
      <w:r w:rsidRPr="00055701">
        <w:rPr>
          <w:noProof/>
        </w:rPr>
        <w:t>Поддубной</w:t>
      </w:r>
      <w:r w:rsidRPr="0008146B">
        <w:rPr>
          <w:noProof/>
          <w:lang w:val="en-US"/>
        </w:rPr>
        <w:t xml:space="preserve">, </w:t>
      </w:r>
      <w:r w:rsidRPr="00055701">
        <w:rPr>
          <w:noProof/>
        </w:rPr>
        <w:t>В</w:t>
      </w:r>
      <w:r w:rsidRPr="0008146B">
        <w:rPr>
          <w:noProof/>
          <w:lang w:val="en-US"/>
        </w:rPr>
        <w:t>.</w:t>
      </w:r>
      <w:r w:rsidRPr="00055701">
        <w:rPr>
          <w:noProof/>
        </w:rPr>
        <w:t>Г</w:t>
      </w:r>
      <w:r w:rsidRPr="0008146B">
        <w:rPr>
          <w:noProof/>
          <w:lang w:val="en-US"/>
        </w:rPr>
        <w:t xml:space="preserve">. </w:t>
      </w:r>
      <w:r w:rsidRPr="00055701">
        <w:rPr>
          <w:noProof/>
        </w:rPr>
        <w:t>Савченко</w:t>
      </w:r>
      <w:r w:rsidRPr="0008146B">
        <w:rPr>
          <w:noProof/>
          <w:lang w:val="en-US"/>
        </w:rPr>
        <w:t>. 2018. P. 278–288.</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62.</w:t>
      </w:r>
      <w:r w:rsidRPr="0008146B">
        <w:rPr>
          <w:noProof/>
          <w:lang w:val="en-US"/>
        </w:rPr>
        <w:tab/>
        <w:t>Paul K.L. Rehabilitation and exercise considerations in hematologic malignancies. // Am. J. Phys. Med. Rehabil. 2011. Vol. 90, № 5 Suppl 1. P. S88-94.</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63.</w:t>
      </w:r>
      <w:r w:rsidRPr="0008146B">
        <w:rPr>
          <w:noProof/>
          <w:lang w:val="en-US"/>
        </w:rPr>
        <w:tab/>
        <w:t>Reda G. et al. Secondary Malignancies in Chronic Lymphocytic Leukemia: A Single Centre Retrospective Analysis of 514 Cases // Blood. 2015. Vol. 126, № 23.</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64.</w:t>
      </w:r>
      <w:r w:rsidRPr="0008146B">
        <w:rPr>
          <w:noProof/>
          <w:lang w:val="en-US"/>
        </w:rPr>
        <w:tab/>
        <w:t>Beiggi S. et al. Increased risk of second malignancies in chronic lymphocytic leukaemia patients as compared with follicular lymphoma patients: a Canadian population-based study. // Br. J. Cancer. 2013. Vol. 109, № 5. P. 1287–1290.</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65.</w:t>
      </w:r>
      <w:r w:rsidRPr="0008146B">
        <w:rPr>
          <w:noProof/>
          <w:lang w:val="en-US"/>
        </w:rPr>
        <w:tab/>
        <w:t>Oken M.M. et al. Toxicity and response criteria of the Eastern Cooperative Oncology Group // Am. J. Clin. Oncol. 1982. Vol. 5, № 6. P. 649–655.</w:t>
      </w:r>
    </w:p>
    <w:p w:rsidR="00055701" w:rsidRPr="0008146B" w:rsidRDefault="00055701" w:rsidP="00055701">
      <w:pPr>
        <w:widowControl w:val="0"/>
        <w:autoSpaceDE w:val="0"/>
        <w:autoSpaceDN w:val="0"/>
        <w:adjustRightInd w:val="0"/>
        <w:ind w:left="640" w:hanging="640"/>
        <w:rPr>
          <w:noProof/>
          <w:lang w:val="en-US"/>
        </w:rPr>
      </w:pPr>
      <w:r w:rsidRPr="0008146B">
        <w:rPr>
          <w:noProof/>
          <w:lang w:val="en-US"/>
        </w:rPr>
        <w:t>66.</w:t>
      </w:r>
      <w:r w:rsidRPr="0008146B">
        <w:rPr>
          <w:noProof/>
          <w:lang w:val="en-US"/>
        </w:rPr>
        <w:tab/>
        <w:t>Linn B.S., Linn M.W., Gurel L. Cumulative illness rating scale // J. Am. Geriatr. Soc. 1968. Vol. 16, № 5. P. 622–626.</w:t>
      </w:r>
    </w:p>
    <w:p w:rsidR="00B078C3" w:rsidRPr="0008146B" w:rsidRDefault="000B0AC3" w:rsidP="0008146B">
      <w:pPr>
        <w:widowControl w:val="0"/>
        <w:autoSpaceDE w:val="0"/>
        <w:autoSpaceDN w:val="0"/>
        <w:adjustRightInd w:val="0"/>
        <w:ind w:left="640" w:hanging="640"/>
        <w:rPr>
          <w:lang w:val="en-US"/>
        </w:rPr>
      </w:pPr>
      <w:r>
        <w:fldChar w:fldCharType="end"/>
      </w:r>
    </w:p>
    <w:p w:rsidR="004D7374" w:rsidRPr="0008146B" w:rsidRDefault="004D7374" w:rsidP="004D7374">
      <w:pPr>
        <w:ind w:firstLine="709"/>
        <w:rPr>
          <w:lang w:val="en-US"/>
        </w:rPr>
      </w:pPr>
      <w:bookmarkStart w:id="73" w:name="_Hlk531951693"/>
    </w:p>
    <w:p w:rsidR="004D7374" w:rsidRPr="0008146B" w:rsidRDefault="004D7374" w:rsidP="00BE6A1C">
      <w:pPr>
        <w:pStyle w:val="1"/>
        <w:rPr>
          <w:sz w:val="24"/>
          <w:szCs w:val="24"/>
          <w:lang w:val="en-US"/>
        </w:rPr>
      </w:pPr>
      <w:bookmarkStart w:id="74" w:name="_Toc520213130"/>
      <w:bookmarkStart w:id="75" w:name="_Toc24546454"/>
      <w:bookmarkStart w:id="76" w:name="_Toc23601736"/>
      <w:bookmarkEnd w:id="73"/>
      <w:r w:rsidRPr="00DB46A1">
        <w:rPr>
          <w:sz w:val="24"/>
          <w:szCs w:val="24"/>
        </w:rPr>
        <w:t>Приложение</w:t>
      </w:r>
      <w:r w:rsidR="00902551" w:rsidRPr="0008146B">
        <w:rPr>
          <w:sz w:val="24"/>
          <w:szCs w:val="24"/>
          <w:lang w:val="en-US"/>
        </w:rPr>
        <w:t xml:space="preserve"> </w:t>
      </w:r>
      <w:r w:rsidRPr="00DB46A1">
        <w:rPr>
          <w:sz w:val="24"/>
          <w:szCs w:val="24"/>
        </w:rPr>
        <w:t>А</w:t>
      </w:r>
      <w:r w:rsidR="00902551" w:rsidRPr="0008146B">
        <w:rPr>
          <w:sz w:val="24"/>
          <w:szCs w:val="24"/>
          <w:lang w:val="en-US"/>
        </w:rPr>
        <w:t xml:space="preserve">1. </w:t>
      </w:r>
      <w:r w:rsidR="002448A6" w:rsidRPr="00DB46A1">
        <w:rPr>
          <w:sz w:val="24"/>
          <w:szCs w:val="24"/>
        </w:rPr>
        <w:t>Состав</w:t>
      </w:r>
      <w:r w:rsidR="00902551" w:rsidRPr="0008146B">
        <w:rPr>
          <w:sz w:val="24"/>
          <w:szCs w:val="24"/>
          <w:lang w:val="en-US"/>
        </w:rPr>
        <w:t xml:space="preserve"> </w:t>
      </w:r>
      <w:r w:rsidR="002448A6" w:rsidRPr="00DB46A1">
        <w:rPr>
          <w:sz w:val="24"/>
          <w:szCs w:val="24"/>
        </w:rPr>
        <w:t>рабочей</w:t>
      </w:r>
      <w:r w:rsidR="00902551" w:rsidRPr="0008146B">
        <w:rPr>
          <w:sz w:val="24"/>
          <w:szCs w:val="24"/>
          <w:lang w:val="en-US"/>
        </w:rPr>
        <w:t xml:space="preserve"> </w:t>
      </w:r>
      <w:r w:rsidR="002448A6" w:rsidRPr="00DB46A1">
        <w:rPr>
          <w:sz w:val="24"/>
          <w:szCs w:val="24"/>
        </w:rPr>
        <w:t>группы</w:t>
      </w:r>
      <w:r w:rsidR="00902551" w:rsidRPr="0008146B">
        <w:rPr>
          <w:sz w:val="24"/>
          <w:szCs w:val="24"/>
          <w:lang w:val="en-US"/>
        </w:rPr>
        <w:t xml:space="preserve"> </w:t>
      </w:r>
      <w:r w:rsidR="002448A6" w:rsidRPr="00DB46A1">
        <w:rPr>
          <w:sz w:val="24"/>
          <w:szCs w:val="24"/>
        </w:rPr>
        <w:t>по</w:t>
      </w:r>
      <w:r w:rsidR="00902551" w:rsidRPr="0008146B">
        <w:rPr>
          <w:sz w:val="24"/>
          <w:szCs w:val="24"/>
          <w:lang w:val="en-US"/>
        </w:rPr>
        <w:t xml:space="preserve"> </w:t>
      </w:r>
      <w:r w:rsidR="002448A6" w:rsidRPr="00DB46A1">
        <w:rPr>
          <w:sz w:val="24"/>
          <w:szCs w:val="24"/>
        </w:rPr>
        <w:t>разработке</w:t>
      </w:r>
      <w:r w:rsidR="00902551" w:rsidRPr="0008146B">
        <w:rPr>
          <w:sz w:val="24"/>
          <w:szCs w:val="24"/>
          <w:lang w:val="en-US"/>
        </w:rPr>
        <w:t xml:space="preserve"> </w:t>
      </w:r>
      <w:r w:rsidR="00902551" w:rsidRPr="0008146B">
        <w:rPr>
          <w:sz w:val="24"/>
          <w:szCs w:val="24"/>
          <w:lang w:val="en-US"/>
        </w:rPr>
        <w:br/>
      </w:r>
      <w:r w:rsidR="002448A6" w:rsidRPr="00DB46A1">
        <w:rPr>
          <w:sz w:val="24"/>
          <w:szCs w:val="24"/>
        </w:rPr>
        <w:t>и</w:t>
      </w:r>
      <w:r w:rsidR="00902551" w:rsidRPr="0008146B">
        <w:rPr>
          <w:sz w:val="24"/>
          <w:szCs w:val="24"/>
          <w:lang w:val="en-US"/>
        </w:rPr>
        <w:t xml:space="preserve"> </w:t>
      </w:r>
      <w:r w:rsidR="002448A6" w:rsidRPr="00DB46A1">
        <w:rPr>
          <w:sz w:val="24"/>
          <w:szCs w:val="24"/>
        </w:rPr>
        <w:t>пересмотру</w:t>
      </w:r>
      <w:r w:rsidR="00902551" w:rsidRPr="0008146B">
        <w:rPr>
          <w:sz w:val="24"/>
          <w:szCs w:val="24"/>
          <w:lang w:val="en-US"/>
        </w:rPr>
        <w:t xml:space="preserve"> </w:t>
      </w:r>
      <w:r w:rsidR="002448A6" w:rsidRPr="00DB46A1">
        <w:rPr>
          <w:sz w:val="24"/>
          <w:szCs w:val="24"/>
        </w:rPr>
        <w:t>клинических</w:t>
      </w:r>
      <w:r w:rsidR="00902551" w:rsidRPr="0008146B">
        <w:rPr>
          <w:sz w:val="24"/>
          <w:szCs w:val="24"/>
          <w:lang w:val="en-US"/>
        </w:rPr>
        <w:t xml:space="preserve"> </w:t>
      </w:r>
      <w:r w:rsidR="002448A6" w:rsidRPr="00DB46A1">
        <w:rPr>
          <w:sz w:val="24"/>
          <w:szCs w:val="24"/>
        </w:rPr>
        <w:t>рекомендаций</w:t>
      </w:r>
      <w:bookmarkEnd w:id="74"/>
      <w:bookmarkEnd w:id="75"/>
      <w:bookmarkEnd w:id="76"/>
    </w:p>
    <w:p w:rsidR="00B63BF6" w:rsidRDefault="00B63BF6" w:rsidP="006D00D7">
      <w:pPr>
        <w:pStyle w:val="a"/>
        <w:numPr>
          <w:ilvl w:val="0"/>
          <w:numId w:val="10"/>
        </w:numPr>
        <w:spacing w:before="120"/>
      </w:pPr>
      <w:r w:rsidRPr="002E1CB9">
        <w:rPr>
          <w:b/>
        </w:rPr>
        <w:t>Бялик Татьяна Евгеньевна</w:t>
      </w:r>
      <w:r w:rsidR="00E31726">
        <w:rPr>
          <w:b/>
        </w:rPr>
        <w:t>,</w:t>
      </w:r>
      <w:r>
        <w:t xml:space="preserve"> </w:t>
      </w:r>
      <w:r w:rsidR="00E31726">
        <w:t>к.м.н.</w:t>
      </w:r>
      <w:r>
        <w:t xml:space="preserve">, врач-онкогематолог, ассистент кафедры онкологии </w:t>
      </w:r>
      <w:r w:rsidR="00E31726" w:rsidRPr="00E31726">
        <w:t>ФГАОУ ВО Первый МГМУ им. И.М. Сеченова Минздрава России</w:t>
      </w:r>
      <w:r w:rsidR="002E1CB9">
        <w:t>.</w:t>
      </w:r>
    </w:p>
    <w:p w:rsidR="00B63BF6" w:rsidRDefault="00B63BF6" w:rsidP="006D00D7">
      <w:pPr>
        <w:pStyle w:val="a"/>
        <w:numPr>
          <w:ilvl w:val="0"/>
          <w:numId w:val="10"/>
        </w:numPr>
        <w:spacing w:before="120"/>
      </w:pPr>
      <w:r w:rsidRPr="002E1CB9">
        <w:rPr>
          <w:b/>
        </w:rPr>
        <w:t>Зарицкий Андрей Юрьевич</w:t>
      </w:r>
      <w:r w:rsidR="00E31726">
        <w:rPr>
          <w:b/>
        </w:rPr>
        <w:t>,</w:t>
      </w:r>
      <w:r>
        <w:t xml:space="preserve"> </w:t>
      </w:r>
      <w:r w:rsidR="00E31726">
        <w:t>д.м.н.</w:t>
      </w:r>
      <w:r>
        <w:t xml:space="preserve">, профессор, директор Института гематологии </w:t>
      </w:r>
      <w:r w:rsidR="006D00D7" w:rsidRPr="006D00D7">
        <w:t>ФГБУ «НМИЦ им. В. А. Алмазова» Минздрава России</w:t>
      </w:r>
      <w:r w:rsidR="002E1CB9">
        <w:t>.</w:t>
      </w:r>
    </w:p>
    <w:p w:rsidR="00B63BF6" w:rsidRDefault="00B63BF6" w:rsidP="006D00D7">
      <w:pPr>
        <w:pStyle w:val="a"/>
        <w:numPr>
          <w:ilvl w:val="0"/>
          <w:numId w:val="10"/>
        </w:numPr>
        <w:spacing w:before="120"/>
      </w:pPr>
      <w:r w:rsidRPr="002E1CB9">
        <w:rPr>
          <w:b/>
        </w:rPr>
        <w:t>Исебер</w:t>
      </w:r>
      <w:r w:rsidR="00D4168D" w:rsidRPr="00D4168D">
        <w:rPr>
          <w:b/>
        </w:rPr>
        <w:t xml:space="preserve"> </w:t>
      </w:r>
      <w:r w:rsidRPr="002E1CB9">
        <w:rPr>
          <w:b/>
        </w:rPr>
        <w:t>Лоик</w:t>
      </w:r>
      <w:r w:rsidR="00E31726">
        <w:rPr>
          <w:b/>
        </w:rPr>
        <w:t>,</w:t>
      </w:r>
      <w:r w:rsidR="00D4168D" w:rsidRPr="00D4168D">
        <w:rPr>
          <w:b/>
        </w:rPr>
        <w:t xml:space="preserve"> </w:t>
      </w:r>
      <w:r w:rsidR="00E31726" w:rsidRPr="00E31726">
        <w:t>п</w:t>
      </w:r>
      <w:r w:rsidR="00EA1D36">
        <w:t xml:space="preserve">рофессор, </w:t>
      </w:r>
      <w:r w:rsidR="00E31726">
        <w:t>гематолог, О</w:t>
      </w:r>
      <w:r>
        <w:t>нкологический центр Тулузы, Франция</w:t>
      </w:r>
      <w:r w:rsidR="002E1CB9">
        <w:t>.</w:t>
      </w:r>
    </w:p>
    <w:p w:rsidR="00B63BF6" w:rsidRPr="00EC626C" w:rsidRDefault="00B63BF6" w:rsidP="006D00D7">
      <w:pPr>
        <w:pStyle w:val="a"/>
        <w:numPr>
          <w:ilvl w:val="0"/>
          <w:numId w:val="10"/>
        </w:numPr>
        <w:spacing w:before="120"/>
      </w:pPr>
      <w:r w:rsidRPr="002E1CB9">
        <w:rPr>
          <w:b/>
        </w:rPr>
        <w:t>Капл</w:t>
      </w:r>
      <w:r w:rsidR="00E31726">
        <w:rPr>
          <w:b/>
        </w:rPr>
        <w:t>анов Камиль Даниялович,</w:t>
      </w:r>
      <w:r>
        <w:t xml:space="preserve"> </w:t>
      </w:r>
      <w:r w:rsidR="00E31726">
        <w:t>к.м.н.,</w:t>
      </w:r>
      <w:r>
        <w:t xml:space="preserve"> </w:t>
      </w:r>
      <w:r w:rsidR="00E31726">
        <w:t>з</w:t>
      </w:r>
      <w:r>
        <w:t xml:space="preserve">аведующий гематологическим отделением Волгоградского областного клинического онкологического диспансера, ассистент кафедры онкологии с курсом онкологии и гематологии ФУВ </w:t>
      </w:r>
      <w:r w:rsidR="00E31726">
        <w:t>ФГБОУ ВО «</w:t>
      </w:r>
      <w:r>
        <w:t>Волгоградск</w:t>
      </w:r>
      <w:r w:rsidR="00E31726">
        <w:t>ий</w:t>
      </w:r>
      <w:r>
        <w:t xml:space="preserve"> </w:t>
      </w:r>
      <w:r w:rsidR="00E31726">
        <w:t>г</w:t>
      </w:r>
      <w:r>
        <w:t>осударственн</w:t>
      </w:r>
      <w:r w:rsidR="00E31726">
        <w:t>ый</w:t>
      </w:r>
      <w:r>
        <w:t xml:space="preserve"> медицинск</w:t>
      </w:r>
      <w:r w:rsidR="00E31726">
        <w:t>ий</w:t>
      </w:r>
      <w:r>
        <w:t xml:space="preserve"> университет</w:t>
      </w:r>
      <w:r w:rsidR="00E31726">
        <w:t xml:space="preserve">» </w:t>
      </w:r>
      <w:r w:rsidR="00E31726">
        <w:lastRenderedPageBreak/>
        <w:t xml:space="preserve">Минздрава России, главный внештатный </w:t>
      </w:r>
      <w:r>
        <w:t>гематолог Комитета по здравоохранению Адми</w:t>
      </w:r>
      <w:r w:rsidR="00E31726">
        <w:t>нистрации Волгоградской области, ч</w:t>
      </w:r>
      <w:r>
        <w:t>лен Российского общества онкогематологов, член Национальн</w:t>
      </w:r>
      <w:r w:rsidR="002E1CB9">
        <w:t>ого гематологического общества.</w:t>
      </w:r>
    </w:p>
    <w:p w:rsidR="00B63BF6" w:rsidRDefault="00B63BF6" w:rsidP="006D00D7">
      <w:pPr>
        <w:pStyle w:val="a"/>
        <w:numPr>
          <w:ilvl w:val="0"/>
          <w:numId w:val="10"/>
        </w:numPr>
        <w:spacing w:before="120"/>
      </w:pPr>
      <w:r w:rsidRPr="002E1CB9">
        <w:rPr>
          <w:b/>
        </w:rPr>
        <w:t>Лопаткина Татьяна Николаевна</w:t>
      </w:r>
      <w:r w:rsidR="00E31726">
        <w:rPr>
          <w:b/>
        </w:rPr>
        <w:t>,</w:t>
      </w:r>
      <w:r>
        <w:t xml:space="preserve"> </w:t>
      </w:r>
      <w:r w:rsidR="00E31726">
        <w:t>к.м.н.</w:t>
      </w:r>
      <w:r>
        <w:t>, врач</w:t>
      </w:r>
      <w:r w:rsidR="00E31726">
        <w:t>-</w:t>
      </w:r>
      <w:r>
        <w:t xml:space="preserve">терапевт, гастроэнтеролог, доцент кафедры терапии, профессиональных болезней и пульмонологии </w:t>
      </w:r>
      <w:r w:rsidR="00E31726" w:rsidRPr="00E31726">
        <w:t>ФГАОУ ВО Первый МГМУ им. И.М. Сеченова Минздрава России</w:t>
      </w:r>
      <w:r w:rsidR="002E1CB9">
        <w:t>.</w:t>
      </w:r>
    </w:p>
    <w:p w:rsidR="00B63BF6" w:rsidRDefault="00B63BF6" w:rsidP="006D00D7">
      <w:pPr>
        <w:pStyle w:val="a"/>
        <w:numPr>
          <w:ilvl w:val="0"/>
          <w:numId w:val="10"/>
        </w:numPr>
        <w:spacing w:before="120"/>
      </w:pPr>
      <w:r w:rsidRPr="002E1CB9">
        <w:rPr>
          <w:b/>
        </w:rPr>
        <w:t>Луговская Светлана Алексеевна</w:t>
      </w:r>
      <w:r w:rsidR="00E31726">
        <w:rPr>
          <w:b/>
        </w:rPr>
        <w:t>,</w:t>
      </w:r>
      <w:r>
        <w:t xml:space="preserve"> </w:t>
      </w:r>
      <w:r w:rsidR="00E31726">
        <w:t>д.м.н.</w:t>
      </w:r>
      <w:r>
        <w:t>, профессор кафедры клинической лабораторной диагностики Г</w:t>
      </w:r>
      <w:r w:rsidR="00E31726">
        <w:t>БОУ ДПО РМАНПО Минздрава России,</w:t>
      </w:r>
      <w:r>
        <w:t xml:space="preserve"> </w:t>
      </w:r>
      <w:r w:rsidR="00E31726">
        <w:t>ч</w:t>
      </w:r>
      <w:r>
        <w:t>лен Национального гематологического общества.</w:t>
      </w:r>
    </w:p>
    <w:p w:rsidR="00B63BF6" w:rsidRDefault="00E31726" w:rsidP="006D00D7">
      <w:pPr>
        <w:pStyle w:val="a"/>
        <w:numPr>
          <w:ilvl w:val="0"/>
          <w:numId w:val="10"/>
        </w:numPr>
        <w:spacing w:before="120"/>
      </w:pPr>
      <w:r>
        <w:rPr>
          <w:b/>
        </w:rPr>
        <w:t>Мухортова Ольга Валентиновна,</w:t>
      </w:r>
      <w:r w:rsidR="00B63BF6">
        <w:t xml:space="preserve"> </w:t>
      </w:r>
      <w:r>
        <w:t>д.м.н.</w:t>
      </w:r>
      <w:r w:rsidR="00B63BF6">
        <w:t xml:space="preserve">, врач-радилог высшей категории, старший научный сотрудник </w:t>
      </w:r>
      <w:r>
        <w:t>о</w:t>
      </w:r>
      <w:r w:rsidR="00B63BF6">
        <w:t>тдела ядерной диагностики (ПЭТ-центр</w:t>
      </w:r>
      <w:r>
        <w:t>а</w:t>
      </w:r>
      <w:r w:rsidR="00B63BF6">
        <w:t xml:space="preserve">) на базе </w:t>
      </w:r>
      <w:r w:rsidRPr="00E31726">
        <w:t xml:space="preserve">ФГБУ </w:t>
      </w:r>
      <w:r>
        <w:t xml:space="preserve">«НМИЦ </w:t>
      </w:r>
      <w:r w:rsidR="00B63BF6">
        <w:t>сердечно-сосудистой хирургии им. А.Н. Бакулева</w:t>
      </w:r>
      <w:r>
        <w:t>» Минздрава России</w:t>
      </w:r>
      <w:r w:rsidR="002E1CB9">
        <w:t>.</w:t>
      </w:r>
    </w:p>
    <w:p w:rsidR="00B63BF6" w:rsidRDefault="00E31726" w:rsidP="006D00D7">
      <w:pPr>
        <w:pStyle w:val="a"/>
        <w:numPr>
          <w:ilvl w:val="0"/>
          <w:numId w:val="10"/>
        </w:numPr>
        <w:spacing w:before="120"/>
      </w:pPr>
      <w:r>
        <w:rPr>
          <w:b/>
        </w:rPr>
        <w:t>Никитин Евгений Александрович,</w:t>
      </w:r>
      <w:r w:rsidR="00B63BF6">
        <w:t xml:space="preserve"> </w:t>
      </w:r>
      <w:r>
        <w:t>д.м.н.</w:t>
      </w:r>
      <w:r w:rsidR="00B63BF6">
        <w:t xml:space="preserve">, профессор, заведующий дневным стационаром гематологии, онкологии и химиотерапии городского гематологического центра ГБУЗ </w:t>
      </w:r>
      <w:r>
        <w:t>«</w:t>
      </w:r>
      <w:r w:rsidR="00B63BF6">
        <w:t>ГКБ им. С.П. Боткина ДЗ г. Москвы</w:t>
      </w:r>
      <w:r>
        <w:t>»,</w:t>
      </w:r>
      <w:r w:rsidR="00B63BF6">
        <w:t xml:space="preserve"> </w:t>
      </w:r>
      <w:r>
        <w:t>ч</w:t>
      </w:r>
      <w:r w:rsidR="00B63BF6">
        <w:t>лен правления Российского общества онкогематологов, член правления Национального гем</w:t>
      </w:r>
      <w:r w:rsidR="002E1CB9">
        <w:t>а</w:t>
      </w:r>
      <w:r w:rsidR="00B63BF6">
        <w:t>тологического общества.</w:t>
      </w:r>
    </w:p>
    <w:p w:rsidR="00BA3B8F" w:rsidRDefault="00BA3B8F" w:rsidP="006D00D7">
      <w:pPr>
        <w:pStyle w:val="a"/>
        <w:numPr>
          <w:ilvl w:val="0"/>
          <w:numId w:val="10"/>
        </w:numPr>
        <w:spacing w:before="120"/>
      </w:pPr>
      <w:bookmarkStart w:id="77" w:name="_Hlk19634642"/>
      <w:r>
        <w:rPr>
          <w:b/>
        </w:rPr>
        <w:t xml:space="preserve">Османов Евгений Александрович,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t>член правления Национального гематологического общества.</w:t>
      </w:r>
    </w:p>
    <w:bookmarkEnd w:id="77"/>
    <w:p w:rsidR="00B63BF6" w:rsidRDefault="00B63BF6" w:rsidP="006D00D7">
      <w:pPr>
        <w:pStyle w:val="a"/>
        <w:numPr>
          <w:ilvl w:val="0"/>
          <w:numId w:val="10"/>
        </w:numPr>
        <w:spacing w:before="120"/>
      </w:pPr>
      <w:r w:rsidRPr="002E1CB9">
        <w:rPr>
          <w:b/>
        </w:rPr>
        <w:t>Поддубная Ирина Владимировна</w:t>
      </w:r>
      <w:r w:rsidR="00E31726">
        <w:rPr>
          <w:b/>
        </w:rPr>
        <w:t>,</w:t>
      </w:r>
      <w:r>
        <w:t xml:space="preserve"> </w:t>
      </w:r>
      <w:r w:rsidR="00E31726">
        <w:t>а</w:t>
      </w:r>
      <w:r>
        <w:t xml:space="preserve">кадемик РАН, заслуженный деятель образования РФ, </w:t>
      </w:r>
      <w:r w:rsidR="00E31726">
        <w:t>д.м.н.</w:t>
      </w:r>
      <w:r>
        <w:t>, профессор, зав. кафедрой онкологии</w:t>
      </w:r>
      <w:r w:rsidR="00303E7D">
        <w:t xml:space="preserve"> и паллиативной медицины</w:t>
      </w:r>
      <w:r>
        <w:t xml:space="preserve">, проректор по </w:t>
      </w:r>
      <w:r w:rsidR="00303E7D">
        <w:t xml:space="preserve">лечебной </w:t>
      </w:r>
      <w:r>
        <w:t xml:space="preserve">работе и международному сотрудничеству ГБОУ ДПО РМАНПО </w:t>
      </w:r>
      <w:r w:rsidR="00E31726">
        <w:t>Минздрава России,</w:t>
      </w:r>
      <w:r>
        <w:t xml:space="preserve"> </w:t>
      </w:r>
      <w:r w:rsidR="00E31726">
        <w:t>п</w:t>
      </w:r>
      <w:r>
        <w:t>редседатель Российского общества онкогематологов.</w:t>
      </w:r>
    </w:p>
    <w:p w:rsidR="00B63BF6" w:rsidRDefault="00B63BF6" w:rsidP="00EC7B91">
      <w:pPr>
        <w:pStyle w:val="a"/>
        <w:numPr>
          <w:ilvl w:val="0"/>
          <w:numId w:val="10"/>
        </w:numPr>
        <w:spacing w:before="120"/>
        <w:ind w:left="714" w:hanging="357"/>
      </w:pPr>
      <w:r w:rsidRPr="002E1CB9">
        <w:rPr>
          <w:b/>
        </w:rPr>
        <w:t>Самойлова Ольга Сергеевна</w:t>
      </w:r>
      <w:r w:rsidR="00E31726">
        <w:rPr>
          <w:b/>
        </w:rPr>
        <w:t>,</w:t>
      </w:r>
      <w:r>
        <w:t xml:space="preserve"> </w:t>
      </w:r>
      <w:r w:rsidR="00E31726">
        <w:t>к.м.н.</w:t>
      </w:r>
      <w:r>
        <w:t>, врач-гематолог, заведующая гематологическим отделением Нижегородской областной клинической больницы им. Н.А. Семашко</w:t>
      </w:r>
      <w:r w:rsidR="00E31726">
        <w:t>,</w:t>
      </w:r>
      <w:r>
        <w:t xml:space="preserve"> </w:t>
      </w:r>
      <w:r w:rsidR="00E31726">
        <w:t>г</w:t>
      </w:r>
      <w:r>
        <w:t>лавный внештатный гематолог П</w:t>
      </w:r>
      <w:r w:rsidR="006D00D7">
        <w:t>риволжского федерального округа,</w:t>
      </w:r>
      <w:r>
        <w:t xml:space="preserve"> </w:t>
      </w:r>
      <w:r w:rsidR="006D00D7">
        <w:t>ч</w:t>
      </w:r>
      <w:r>
        <w:t>лен Российского общества онкогематологов, член Национального гематологического общества.</w:t>
      </w:r>
    </w:p>
    <w:p w:rsidR="00B63BF6" w:rsidRDefault="00B63BF6" w:rsidP="00EC7B91">
      <w:pPr>
        <w:pStyle w:val="a"/>
        <w:numPr>
          <w:ilvl w:val="0"/>
          <w:numId w:val="10"/>
        </w:numPr>
        <w:spacing w:before="120"/>
        <w:ind w:left="714" w:hanging="357"/>
      </w:pPr>
      <w:r w:rsidRPr="002E1CB9">
        <w:rPr>
          <w:b/>
        </w:rPr>
        <w:lastRenderedPageBreak/>
        <w:t>Стадник Елена Александровна</w:t>
      </w:r>
      <w:r w:rsidR="006D00D7">
        <w:rPr>
          <w:b/>
        </w:rPr>
        <w:t>,</w:t>
      </w:r>
      <w:r>
        <w:t xml:space="preserve"> </w:t>
      </w:r>
      <w:r w:rsidR="006D00D7">
        <w:t>к.м.н.</w:t>
      </w:r>
      <w:r>
        <w:t>, доцент кафедры факу</w:t>
      </w:r>
      <w:r w:rsidR="006D00D7">
        <w:t xml:space="preserve">льтетской терапии </w:t>
      </w:r>
      <w:r w:rsidR="006D00D7" w:rsidRPr="006D00D7">
        <w:t xml:space="preserve">ФГБОУ ВО </w:t>
      </w:r>
      <w:r w:rsidR="006D00D7">
        <w:t>«</w:t>
      </w:r>
      <w:r w:rsidR="006D00D7" w:rsidRPr="006D00D7">
        <w:t>ПСПбГМУ им. И.П. Павлова</w:t>
      </w:r>
      <w:r w:rsidR="006D00D7">
        <w:t>»</w:t>
      </w:r>
      <w:r w:rsidR="006D00D7" w:rsidRPr="006D00D7">
        <w:t xml:space="preserve"> Минздрава России</w:t>
      </w:r>
      <w:r>
        <w:t xml:space="preserve">, старший научный сотрудник </w:t>
      </w:r>
      <w:r w:rsidR="006D00D7" w:rsidRPr="006D00D7">
        <w:t>ФГБУ «НМИЦ им. В. А. Алмазова» Минздрава России</w:t>
      </w:r>
      <w:r w:rsidR="006D00D7">
        <w:t>,</w:t>
      </w:r>
      <w:r>
        <w:t xml:space="preserve"> </w:t>
      </w:r>
      <w:r w:rsidR="006D00D7">
        <w:t>ч</w:t>
      </w:r>
      <w:r>
        <w:t xml:space="preserve">лен Российского общества онкогематологов. </w:t>
      </w:r>
    </w:p>
    <w:p w:rsidR="00BA3B8F" w:rsidRDefault="00BA3B8F" w:rsidP="00EC7B91">
      <w:pPr>
        <w:pStyle w:val="a"/>
        <w:numPr>
          <w:ilvl w:val="0"/>
          <w:numId w:val="10"/>
        </w:numPr>
        <w:spacing w:before="120"/>
        <w:ind w:left="714" w:hanging="357"/>
      </w:pPr>
      <w:r>
        <w:rPr>
          <w:b/>
        </w:rPr>
        <w:t>Фалалеева Наталья Александровна –</w:t>
      </w:r>
      <w:r>
        <w:t xml:space="preserve"> </w:t>
      </w:r>
      <w:r w:rsidRPr="005D06F2">
        <w:t>д.м.н.</w:t>
      </w:r>
      <w:r>
        <w:t xml:space="preserve">, зав. отделением противоопухолевого лекарственного лечения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p>
    <w:p w:rsidR="00ED5B4B" w:rsidRDefault="00ED5B4B" w:rsidP="00ED5B4B">
      <w:pPr>
        <w:pStyle w:val="a"/>
        <w:numPr>
          <w:ilvl w:val="0"/>
          <w:numId w:val="10"/>
        </w:numPr>
        <w:spacing w:before="0"/>
        <w:contextualSpacing/>
      </w:pPr>
      <w:r>
        <w:rPr>
          <w:b/>
          <w:bCs/>
        </w:rPr>
        <w:t>Байков Вадим Валентинович</w:t>
      </w:r>
      <w:r>
        <w:t xml:space="preserve">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rsidR="00ED5B4B" w:rsidRPr="0008146B" w:rsidRDefault="00ED5B4B" w:rsidP="0008146B">
      <w:pPr>
        <w:pStyle w:val="a"/>
        <w:numPr>
          <w:ilvl w:val="0"/>
          <w:numId w:val="10"/>
        </w:numPr>
        <w:spacing w:before="0"/>
        <w:contextualSpacing/>
      </w:pPr>
      <w:r>
        <w:rPr>
          <w:b/>
          <w:bCs/>
        </w:rPr>
        <w:t xml:space="preserve">Ковригина Алла Михайловна </w:t>
      </w:r>
      <w:r>
        <w:t>–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rsidR="0030568B" w:rsidRDefault="0030568B" w:rsidP="00EC7B91">
      <w:pPr>
        <w:pStyle w:val="Default"/>
        <w:numPr>
          <w:ilvl w:val="0"/>
          <w:numId w:val="10"/>
        </w:numPr>
        <w:spacing w:before="120" w:line="360" w:lineRule="auto"/>
        <w:ind w:left="714" w:hanging="357"/>
      </w:pPr>
      <w:r w:rsidRPr="00E92FAD">
        <w:rPr>
          <w:b/>
          <w:bCs/>
        </w:rPr>
        <w:t>Невольских Алексей Алексеевич</w:t>
      </w:r>
      <w:r w:rsidRPr="000B0DE9">
        <w:t xml:space="preserve"> </w:t>
      </w:r>
      <w:r>
        <w:t>–</w:t>
      </w:r>
      <w:r w:rsidRPr="000B0DE9">
        <w:t xml:space="preserve"> д</w:t>
      </w:r>
      <w:r>
        <w:t xml:space="preserve">.м.н., </w:t>
      </w:r>
      <w:r w:rsidRPr="000B0DE9">
        <w:t xml:space="preserve">заместитель директора по лечебной  МРНЦ им. А.Ф. Цыба - филиал ФГБУ </w:t>
      </w:r>
      <w:r>
        <w:t>«</w:t>
      </w:r>
      <w:r w:rsidRPr="000B0DE9">
        <w:t>НМИЦ радиологии</w:t>
      </w:r>
      <w:r>
        <w:t>»</w:t>
      </w:r>
      <w:r w:rsidRPr="000B0DE9">
        <w:t xml:space="preserve"> Минздрава России.</w:t>
      </w:r>
    </w:p>
    <w:p w:rsidR="0030568B" w:rsidRDefault="0030568B" w:rsidP="00EC7B91">
      <w:pPr>
        <w:pStyle w:val="Default"/>
        <w:numPr>
          <w:ilvl w:val="0"/>
          <w:numId w:val="10"/>
        </w:numPr>
        <w:spacing w:before="120" w:line="360" w:lineRule="auto"/>
        <w:ind w:left="714" w:hanging="357"/>
      </w:pPr>
      <w:r w:rsidRPr="00E92FAD">
        <w:rPr>
          <w:b/>
          <w:bCs/>
        </w:rPr>
        <w:t>Иванов Сергей Анатольевич</w:t>
      </w:r>
      <w:r w:rsidRPr="000B0DE9">
        <w:t xml:space="preserve"> </w:t>
      </w:r>
      <w:r>
        <w:t>–</w:t>
      </w:r>
      <w:r w:rsidRPr="000B0DE9">
        <w:t> профессор РАН, д</w:t>
      </w:r>
      <w:r>
        <w:t xml:space="preserve">.м.н., </w:t>
      </w:r>
      <w:r w:rsidRPr="000B0DE9">
        <w:t xml:space="preserve">директор МРНЦ им. А.Ф. Цыба - филиал ФГБУ </w:t>
      </w:r>
      <w:r>
        <w:t>«</w:t>
      </w:r>
      <w:r w:rsidRPr="000B0DE9">
        <w:t>НМИЦ радиологии</w:t>
      </w:r>
      <w:r>
        <w:t>»</w:t>
      </w:r>
      <w:r w:rsidRPr="000B0DE9">
        <w:t xml:space="preserve"> Минздрава России.</w:t>
      </w:r>
    </w:p>
    <w:p w:rsidR="0030568B" w:rsidRDefault="0030568B" w:rsidP="00EC7B91">
      <w:pPr>
        <w:pStyle w:val="Default"/>
        <w:numPr>
          <w:ilvl w:val="0"/>
          <w:numId w:val="10"/>
        </w:numPr>
        <w:spacing w:before="120" w:line="360" w:lineRule="auto"/>
        <w:ind w:left="714" w:hanging="357"/>
      </w:pPr>
      <w:r w:rsidRPr="00E92FAD">
        <w:rPr>
          <w:b/>
          <w:bCs/>
        </w:rPr>
        <w:t>Хайлова Жанна Владимировна</w:t>
      </w:r>
      <w:r w:rsidRPr="000B0DE9">
        <w:t xml:space="preserve"> </w:t>
      </w:r>
      <w:r>
        <w:t>–</w:t>
      </w:r>
      <w:r w:rsidRPr="000B0DE9">
        <w:t xml:space="preserve">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rsidR="0030568B" w:rsidRDefault="0030568B" w:rsidP="00EC7B91">
      <w:pPr>
        <w:pStyle w:val="Default"/>
        <w:numPr>
          <w:ilvl w:val="0"/>
          <w:numId w:val="10"/>
        </w:numPr>
        <w:spacing w:before="120" w:line="360" w:lineRule="auto"/>
        <w:ind w:left="714" w:hanging="357"/>
      </w:pPr>
      <w:r w:rsidRPr="00E92FAD">
        <w:rPr>
          <w:b/>
          <w:bCs/>
          <w:shd w:val="clear" w:color="auto" w:fill="FFFFFF"/>
        </w:rPr>
        <w:t>Геворкян Тигран Гагикович</w:t>
      </w:r>
      <w:r w:rsidRPr="00E92FAD">
        <w:rPr>
          <w:shd w:val="clear" w:color="auto" w:fill="FFFFFF"/>
        </w:rPr>
        <w:t xml:space="preserve"> - заместитель директора НИИ КЭР ФГБУ НМИЦ Онкол</w:t>
      </w:r>
      <w:r>
        <w:rPr>
          <w:shd w:val="clear" w:color="auto" w:fill="FFFFFF"/>
        </w:rPr>
        <w:t>ог</w:t>
      </w:r>
      <w:r w:rsidRPr="00E92FAD">
        <w:rPr>
          <w:shd w:val="clear" w:color="auto" w:fill="FFFFFF"/>
        </w:rPr>
        <w:t>ии им.</w:t>
      </w:r>
      <w:r>
        <w:rPr>
          <w:shd w:val="clear" w:color="auto" w:fill="FFFFFF"/>
        </w:rPr>
        <w:t xml:space="preserve"> </w:t>
      </w:r>
      <w:r w:rsidRPr="00E92FAD">
        <w:rPr>
          <w:shd w:val="clear" w:color="auto" w:fill="FFFFFF"/>
        </w:rPr>
        <w:t>Н.Н. Блохина</w:t>
      </w:r>
    </w:p>
    <w:p w:rsidR="00DB46A1" w:rsidRDefault="00DB46A1" w:rsidP="004D7374">
      <w:pPr>
        <w:ind w:firstLine="709"/>
        <w:rPr>
          <w:b/>
        </w:rPr>
      </w:pPr>
    </w:p>
    <w:p w:rsidR="004D7374" w:rsidRPr="00C512DE" w:rsidRDefault="004D7374" w:rsidP="004D7374">
      <w:pPr>
        <w:ind w:firstLine="709"/>
        <w:rPr>
          <w:b/>
        </w:rPr>
      </w:pPr>
      <w:r w:rsidRPr="00C512DE">
        <w:rPr>
          <w:b/>
        </w:rPr>
        <w:t xml:space="preserve">Конфликт интересов отсутствует. </w:t>
      </w:r>
    </w:p>
    <w:p w:rsidR="004D7374" w:rsidRDefault="004D7374" w:rsidP="004D7374">
      <w:pPr>
        <w:ind w:firstLine="709"/>
      </w:pPr>
    </w:p>
    <w:p w:rsidR="004D7374" w:rsidRDefault="004D7374" w:rsidP="00BE6A1C">
      <w:pPr>
        <w:pStyle w:val="1"/>
      </w:pPr>
      <w:bookmarkStart w:id="78" w:name="_Toc520213131"/>
      <w:bookmarkStart w:id="79" w:name="_Toc24546455"/>
      <w:bookmarkStart w:id="80" w:name="_Toc23601737"/>
      <w:r>
        <w:lastRenderedPageBreak/>
        <w:t>Приложение А2. Методология разработки клинических рекомендаций</w:t>
      </w:r>
      <w:bookmarkEnd w:id="78"/>
      <w:bookmarkEnd w:id="79"/>
      <w:bookmarkEnd w:id="80"/>
    </w:p>
    <w:p w:rsidR="004D7374" w:rsidRDefault="004D7374" w:rsidP="00473776">
      <w:pPr>
        <w:ind w:firstLine="709"/>
        <w:contextualSpacing/>
      </w:pPr>
      <w:r>
        <w:t>Целевая аудитория данных клинических рекомендаций:</w:t>
      </w:r>
    </w:p>
    <w:p w:rsidR="004D7374" w:rsidRDefault="006D00D7" w:rsidP="006D00D7">
      <w:pPr>
        <w:pStyle w:val="a"/>
        <w:numPr>
          <w:ilvl w:val="0"/>
          <w:numId w:val="36"/>
        </w:numPr>
        <w:spacing w:before="0"/>
        <w:contextualSpacing/>
      </w:pPr>
      <w:r>
        <w:t>в</w:t>
      </w:r>
      <w:r w:rsidR="004D7374">
        <w:t>рачи-гематологи</w:t>
      </w:r>
      <w:r w:rsidR="0041352B">
        <w:t>;</w:t>
      </w:r>
    </w:p>
    <w:p w:rsidR="004D7374" w:rsidRPr="009D0A81" w:rsidRDefault="006D00D7" w:rsidP="006D00D7">
      <w:pPr>
        <w:pStyle w:val="a"/>
        <w:numPr>
          <w:ilvl w:val="0"/>
          <w:numId w:val="36"/>
        </w:numPr>
        <w:spacing w:before="0"/>
        <w:contextualSpacing/>
      </w:pPr>
      <w:r>
        <w:t>в</w:t>
      </w:r>
      <w:r w:rsidR="004D7374">
        <w:t>рачи-</w:t>
      </w:r>
      <w:r w:rsidR="004D7374" w:rsidRPr="009D0A81">
        <w:t>онкологи</w:t>
      </w:r>
      <w:r>
        <w:t>;</w:t>
      </w:r>
    </w:p>
    <w:p w:rsidR="006919DC" w:rsidRPr="009D0A81" w:rsidRDefault="006D00D7" w:rsidP="006D00D7">
      <w:pPr>
        <w:pStyle w:val="a"/>
        <w:numPr>
          <w:ilvl w:val="0"/>
          <w:numId w:val="36"/>
        </w:numPr>
        <w:spacing w:before="0"/>
        <w:contextualSpacing/>
      </w:pPr>
      <w:r>
        <w:t>с</w:t>
      </w:r>
      <w:r w:rsidR="006919DC" w:rsidRPr="009D0A81">
        <w:t xml:space="preserve">туденты медицинских </w:t>
      </w:r>
      <w:r>
        <w:t>вуз</w:t>
      </w:r>
      <w:r w:rsidR="006919DC" w:rsidRPr="009D0A81">
        <w:t>ов</w:t>
      </w:r>
      <w:r>
        <w:t>.</w:t>
      </w:r>
    </w:p>
    <w:p w:rsidR="004D7374" w:rsidRPr="00473776" w:rsidRDefault="004D7374" w:rsidP="00473776">
      <w:pPr>
        <w:ind w:firstLine="709"/>
        <w:contextualSpacing/>
        <w:rPr>
          <w:b/>
        </w:rPr>
      </w:pPr>
      <w:r w:rsidRPr="00473776">
        <w:rPr>
          <w:b/>
        </w:rPr>
        <w:t>Методология сбора доказательств</w:t>
      </w:r>
    </w:p>
    <w:p w:rsidR="004D7374" w:rsidRDefault="004D7374" w:rsidP="00473776">
      <w:pPr>
        <w:ind w:firstLine="709"/>
        <w:contextualSpacing/>
      </w:pPr>
      <w:r w:rsidRPr="00C512DE">
        <w:t>Методы, использованные для сбора / селекции доказательств:</w:t>
      </w:r>
      <w:r w:rsidR="006D00D7">
        <w:t xml:space="preserve"> п</w:t>
      </w:r>
      <w:r>
        <w:t>оиск публикаций в специализированных периодических печатн</w:t>
      </w:r>
      <w:r w:rsidR="006D00D7">
        <w:t>ых изданиях с импакт-фактором &gt;</w:t>
      </w:r>
      <w:r>
        <w:t>0</w:t>
      </w:r>
      <w:r w:rsidR="006D00D7">
        <w:t>,3.</w:t>
      </w:r>
    </w:p>
    <w:p w:rsidR="004D7374" w:rsidRPr="00473776" w:rsidRDefault="004D7374" w:rsidP="00473776">
      <w:pPr>
        <w:ind w:firstLine="709"/>
        <w:contextualSpacing/>
        <w:rPr>
          <w:b/>
        </w:rPr>
      </w:pPr>
      <w:r w:rsidRPr="00473776">
        <w:rPr>
          <w:b/>
        </w:rPr>
        <w:t>Поиск в электронных базах данных.</w:t>
      </w:r>
    </w:p>
    <w:p w:rsidR="004D7374" w:rsidRPr="006D00D7" w:rsidRDefault="004D7374" w:rsidP="00473776">
      <w:pPr>
        <w:ind w:firstLine="709"/>
        <w:contextualSpacing/>
        <w:rPr>
          <w:spacing w:val="-4"/>
        </w:rPr>
      </w:pPr>
      <w:r w:rsidRPr="006D00D7">
        <w:rPr>
          <w:spacing w:val="-4"/>
        </w:rPr>
        <w:t>Доказательной базой для рекомендаций являю</w:t>
      </w:r>
      <w:r w:rsidR="006D00D7">
        <w:rPr>
          <w:spacing w:val="-4"/>
        </w:rPr>
        <w:t>тся публикации, вошедшие в Кок</w:t>
      </w:r>
      <w:r w:rsidR="006D00D7">
        <w:rPr>
          <w:spacing w:val="-4"/>
        </w:rPr>
        <w:softHyphen/>
        <w:t>ре</w:t>
      </w:r>
      <w:r w:rsidRPr="006D00D7">
        <w:rPr>
          <w:spacing w:val="-4"/>
        </w:rPr>
        <w:t>йновскую библиотеку, базы данных P</w:t>
      </w:r>
      <w:r w:rsidR="006D00D7" w:rsidRPr="006D00D7">
        <w:rPr>
          <w:spacing w:val="-4"/>
        </w:rPr>
        <w:t>ub</w:t>
      </w:r>
      <w:r w:rsidRPr="006D00D7">
        <w:rPr>
          <w:spacing w:val="-4"/>
        </w:rPr>
        <w:t>M</w:t>
      </w:r>
      <w:r w:rsidR="006D00D7" w:rsidRPr="006D00D7">
        <w:rPr>
          <w:spacing w:val="-4"/>
        </w:rPr>
        <w:t>ed</w:t>
      </w:r>
      <w:r w:rsidRPr="006D00D7">
        <w:rPr>
          <w:spacing w:val="-4"/>
        </w:rPr>
        <w:t xml:space="preserve"> и MEDLINE. Глубина поиска составляла 30 лет.</w:t>
      </w:r>
    </w:p>
    <w:p w:rsidR="004D7374" w:rsidRPr="00C512DE" w:rsidRDefault="004D7374" w:rsidP="00473776">
      <w:pPr>
        <w:ind w:firstLine="709"/>
        <w:contextualSpacing/>
      </w:pPr>
      <w:r w:rsidRPr="00C512DE">
        <w:t>Методы, использованные для анализа доказательств:</w:t>
      </w:r>
    </w:p>
    <w:p w:rsidR="004D7374" w:rsidRDefault="006D00D7" w:rsidP="006D00D7">
      <w:pPr>
        <w:pStyle w:val="a"/>
        <w:numPr>
          <w:ilvl w:val="0"/>
          <w:numId w:val="41"/>
        </w:numPr>
        <w:spacing w:before="0"/>
        <w:contextualSpacing/>
      </w:pPr>
      <w:r>
        <w:t>о</w:t>
      </w:r>
      <w:r w:rsidR="004D7374">
        <w:t xml:space="preserve">бзоры опубликованных </w:t>
      </w:r>
      <w:r>
        <w:t>мета</w:t>
      </w:r>
      <w:r w:rsidR="004D7374">
        <w:t>анализов;</w:t>
      </w:r>
    </w:p>
    <w:p w:rsidR="004D7374" w:rsidRDefault="006D00D7" w:rsidP="006D00D7">
      <w:pPr>
        <w:pStyle w:val="a"/>
        <w:numPr>
          <w:ilvl w:val="0"/>
          <w:numId w:val="41"/>
        </w:numPr>
        <w:spacing w:before="0"/>
        <w:contextualSpacing/>
      </w:pPr>
      <w:r>
        <w:t>с</w:t>
      </w:r>
      <w:r w:rsidR="004D7374">
        <w:t>истематические обзоры с таблицами доказательств.</w:t>
      </w:r>
    </w:p>
    <w:p w:rsidR="006D00D7" w:rsidRDefault="004D7374" w:rsidP="006D00D7">
      <w:pPr>
        <w:ind w:firstLine="709"/>
        <w:contextualSpacing/>
      </w:pPr>
      <w:r w:rsidRPr="00C512DE">
        <w:t>Методы, использованные для качества и силы доказательств:</w:t>
      </w:r>
    </w:p>
    <w:p w:rsidR="006D00D7" w:rsidRDefault="006D00D7" w:rsidP="006D00D7">
      <w:pPr>
        <w:pStyle w:val="a"/>
        <w:numPr>
          <w:ilvl w:val="0"/>
          <w:numId w:val="41"/>
        </w:numPr>
        <w:spacing w:before="0"/>
        <w:contextualSpacing/>
      </w:pPr>
      <w:r>
        <w:t>консенсус экспертов;</w:t>
      </w:r>
    </w:p>
    <w:p w:rsidR="004D7374" w:rsidRDefault="006D00D7" w:rsidP="006D00D7">
      <w:pPr>
        <w:pStyle w:val="a"/>
        <w:numPr>
          <w:ilvl w:val="0"/>
          <w:numId w:val="41"/>
        </w:numPr>
        <w:spacing w:before="0"/>
        <w:contextualSpacing/>
      </w:pPr>
      <w:r>
        <w:t>о</w:t>
      </w:r>
      <w:r w:rsidR="004D7374">
        <w:t>ценка значимости доказательств в соответствии с рейтинговой схемой доказательств (табл.</w:t>
      </w:r>
      <w:r>
        <w:t xml:space="preserve"> А1–</w:t>
      </w:r>
      <w:r w:rsidR="00542928">
        <w:t>А</w:t>
      </w:r>
      <w:r w:rsidR="000A139D">
        <w:t>3</w:t>
      </w:r>
      <w:r w:rsidR="004D7374">
        <w:t>).</w:t>
      </w:r>
    </w:p>
    <w:p w:rsidR="00C512DE" w:rsidRDefault="004D7374" w:rsidP="000B3F2E">
      <w:pPr>
        <w:ind w:firstLine="709"/>
        <w:contextualSpacing/>
      </w:pPr>
      <w:r>
        <w:t>В настоящих клинических рекомендациях приведены уровни д</w:t>
      </w:r>
      <w:r w:rsidR="006D00D7">
        <w:t>остоверности д</w:t>
      </w:r>
      <w:r>
        <w:t>оказатель</w:t>
      </w:r>
      <w:r w:rsidR="006D00D7">
        <w:t>ств и уровни убедительности рекомендаций</w:t>
      </w:r>
      <w:r>
        <w:t xml:space="preserve"> в соответствии </w:t>
      </w:r>
      <w:r w:rsidR="00542928">
        <w:t>рекомендаци</w:t>
      </w:r>
      <w:r w:rsidR="00FD2083">
        <w:t xml:space="preserve">ями </w:t>
      </w:r>
      <w:r w:rsidR="00542928">
        <w:t xml:space="preserve"> </w:t>
      </w:r>
      <w:r w:rsidR="00FD2083" w:rsidRPr="0044241A">
        <w:rPr>
          <w:color w:val="000000"/>
          <w:szCs w:val="24"/>
        </w:rPr>
        <w:t>по разработке и актуализации клинических</w:t>
      </w:r>
      <w:r w:rsidR="00FD2083" w:rsidRPr="005A463A">
        <w:rPr>
          <w:color w:val="000000"/>
        </w:rPr>
        <w:t xml:space="preserve"> рекомендаций </w:t>
      </w:r>
      <w:r w:rsidR="00FD2083" w:rsidRPr="0044241A">
        <w:rPr>
          <w:color w:val="000000"/>
          <w:szCs w:val="24"/>
        </w:rPr>
        <w:t>(приказ</w:t>
      </w:r>
      <w:r w:rsidR="00FD2083" w:rsidRPr="005A463A">
        <w:rPr>
          <w:color w:val="000000"/>
        </w:rPr>
        <w:t xml:space="preserve"> Минздрава России</w:t>
      </w:r>
      <w:r w:rsidR="00FD2083" w:rsidRPr="0044241A">
        <w:rPr>
          <w:color w:val="000000"/>
          <w:szCs w:val="24"/>
        </w:rPr>
        <w:t xml:space="preserve"> от 28.02.2019 г. № 103н)</w:t>
      </w:r>
      <w:r w:rsidR="00542928">
        <w:t xml:space="preserve">. </w:t>
      </w:r>
    </w:p>
    <w:p w:rsidR="00437AD9" w:rsidRDefault="00437AD9" w:rsidP="000A442F">
      <w:pPr>
        <w:rPr>
          <w:b/>
        </w:rPr>
      </w:pPr>
      <w:bookmarkStart w:id="81" w:name="_Ref515967586"/>
    </w:p>
    <w:p w:rsidR="000A442F" w:rsidRPr="000A139D" w:rsidRDefault="000A442F" w:rsidP="000A442F">
      <w:pPr>
        <w:rPr>
          <w:b/>
        </w:rPr>
      </w:pPr>
      <w:r w:rsidRPr="000A139D">
        <w:rPr>
          <w:b/>
        </w:rPr>
        <w:t>Таблица</w:t>
      </w:r>
      <w:r w:rsidR="000A139D">
        <w:rPr>
          <w:b/>
        </w:rPr>
        <w:t xml:space="preserve"> 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9E5D19">
        <w:rPr>
          <w:b/>
          <w:noProof/>
        </w:rPr>
        <w:t>1</w:t>
      </w:r>
      <w:r w:rsidR="000B0AC3" w:rsidRPr="000A139D">
        <w:rPr>
          <w:b/>
        </w:rPr>
        <w:fldChar w:fldCharType="end"/>
      </w:r>
      <w:bookmarkEnd w:id="81"/>
      <w:r w:rsidRPr="000A139D">
        <w:rPr>
          <w:b/>
        </w:rPr>
        <w:t>.</w:t>
      </w:r>
      <w:r w:rsidR="00D4168D" w:rsidRPr="000A139D">
        <w:rPr>
          <w:b/>
        </w:rPr>
        <w:t xml:space="preserve"> </w:t>
      </w:r>
      <w:r w:rsidRPr="000A139D">
        <w:rPr>
          <w:b/>
        </w:rPr>
        <w:t>Шкала оценки уровней достоверности доказательств (УДД)</w:t>
      </w:r>
      <w:r w:rsidR="006D00D7" w:rsidRPr="000A139D">
        <w:rPr>
          <w:b/>
        </w:rPr>
        <w:t xml:space="preserve"> </w:t>
      </w:r>
      <w:r w:rsidRPr="000A139D">
        <w:rPr>
          <w:b/>
        </w:rP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0A442F" w:rsidRPr="005B4606" w:rsidTr="005B4606">
        <w:trPr>
          <w:trHeight w:val="58"/>
        </w:trPr>
        <w:tc>
          <w:tcPr>
            <w:tcW w:w="427" w:type="pct"/>
          </w:tcPr>
          <w:p w:rsidR="000A442F" w:rsidRPr="005B4606" w:rsidRDefault="000A442F" w:rsidP="005B4606">
            <w:pPr>
              <w:spacing w:line="276" w:lineRule="auto"/>
              <w:jc w:val="center"/>
              <w:rPr>
                <w:b/>
                <w:color w:val="000000"/>
                <w:szCs w:val="24"/>
              </w:rPr>
            </w:pPr>
            <w:r w:rsidRPr="005B4606">
              <w:rPr>
                <w:b/>
                <w:color w:val="000000"/>
                <w:szCs w:val="24"/>
              </w:rPr>
              <w:t>УДД</w:t>
            </w:r>
          </w:p>
        </w:tc>
        <w:tc>
          <w:tcPr>
            <w:tcW w:w="4573" w:type="pct"/>
          </w:tcPr>
          <w:p w:rsidR="000A442F" w:rsidRPr="005B4606" w:rsidRDefault="000A442F" w:rsidP="005B4606">
            <w:pPr>
              <w:spacing w:line="276" w:lineRule="auto"/>
              <w:jc w:val="center"/>
              <w:rPr>
                <w:b/>
                <w:color w:val="000000"/>
                <w:szCs w:val="24"/>
              </w:rPr>
            </w:pPr>
            <w:r w:rsidRPr="005B4606">
              <w:rPr>
                <w:b/>
                <w:color w:val="000000"/>
                <w:szCs w:val="24"/>
              </w:rPr>
              <w:t>Расшифровка</w:t>
            </w:r>
          </w:p>
        </w:tc>
      </w:tr>
      <w:tr w:rsidR="000A442F" w:rsidRPr="005B4606" w:rsidTr="005B4606">
        <w:tc>
          <w:tcPr>
            <w:tcW w:w="427" w:type="pct"/>
          </w:tcPr>
          <w:p w:rsidR="000A442F" w:rsidRPr="005B4606" w:rsidRDefault="000A442F" w:rsidP="005B4606">
            <w:pPr>
              <w:spacing w:line="276" w:lineRule="auto"/>
              <w:jc w:val="center"/>
              <w:rPr>
                <w:color w:val="000000"/>
                <w:szCs w:val="24"/>
              </w:rPr>
            </w:pPr>
            <w:r w:rsidRPr="005B4606">
              <w:rPr>
                <w:color w:val="000000"/>
                <w:szCs w:val="24"/>
              </w:rPr>
              <w:t>1</w:t>
            </w:r>
          </w:p>
        </w:tc>
        <w:tc>
          <w:tcPr>
            <w:tcW w:w="4573" w:type="pct"/>
          </w:tcPr>
          <w:p w:rsidR="000A442F" w:rsidRPr="005B4606" w:rsidRDefault="000A442F" w:rsidP="005B4606">
            <w:pPr>
              <w:spacing w:line="276" w:lineRule="auto"/>
              <w:rPr>
                <w:color w:val="000000"/>
                <w:szCs w:val="24"/>
              </w:rPr>
            </w:pPr>
            <w:r w:rsidRPr="005B4606">
              <w:rPr>
                <w:color w:val="000000"/>
                <w:szCs w:val="24"/>
              </w:rPr>
              <w:t>Систематические обзоры исследований с контролем референсным методом</w:t>
            </w:r>
            <w:r w:rsidRPr="005B4606">
              <w:rPr>
                <w:szCs w:val="24"/>
              </w:rPr>
              <w:t xml:space="preserve"> или систематический обзор рандомизированных клинических исс</w:t>
            </w:r>
            <w:r w:rsidR="006D00D7">
              <w:rPr>
                <w:szCs w:val="24"/>
              </w:rPr>
              <w:t>ледований с применением мета</w:t>
            </w:r>
            <w:r w:rsidR="00FD2083">
              <w:rPr>
                <w:szCs w:val="24"/>
              </w:rPr>
              <w:t>-</w:t>
            </w:r>
            <w:r w:rsidRPr="005B4606">
              <w:rPr>
                <w:szCs w:val="24"/>
              </w:rPr>
              <w:t>анализа</w:t>
            </w:r>
          </w:p>
        </w:tc>
      </w:tr>
      <w:tr w:rsidR="000A442F" w:rsidRPr="005B4606" w:rsidTr="005B4606">
        <w:tc>
          <w:tcPr>
            <w:tcW w:w="427" w:type="pct"/>
          </w:tcPr>
          <w:p w:rsidR="000A442F" w:rsidRPr="005B4606" w:rsidRDefault="000A442F" w:rsidP="005B4606">
            <w:pPr>
              <w:spacing w:line="276" w:lineRule="auto"/>
              <w:jc w:val="center"/>
              <w:rPr>
                <w:color w:val="000000"/>
                <w:szCs w:val="24"/>
              </w:rPr>
            </w:pPr>
            <w:r w:rsidRPr="005B4606">
              <w:rPr>
                <w:color w:val="000000"/>
                <w:szCs w:val="24"/>
              </w:rPr>
              <w:t>2</w:t>
            </w:r>
          </w:p>
        </w:tc>
        <w:tc>
          <w:tcPr>
            <w:tcW w:w="4573" w:type="pct"/>
          </w:tcPr>
          <w:p w:rsidR="000A442F" w:rsidRPr="005B4606" w:rsidRDefault="000A442F" w:rsidP="006D00D7">
            <w:pPr>
              <w:spacing w:line="276" w:lineRule="auto"/>
              <w:rPr>
                <w:color w:val="000000"/>
                <w:szCs w:val="24"/>
              </w:rPr>
            </w:pPr>
            <w:r w:rsidRPr="005B4606">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w:t>
            </w:r>
            <w:r w:rsidR="00FD2083">
              <w:rPr>
                <w:color w:val="000000"/>
                <w:szCs w:val="24"/>
              </w:rPr>
              <w:t>-</w:t>
            </w:r>
            <w:r w:rsidRPr="005B4606">
              <w:rPr>
                <w:color w:val="000000"/>
                <w:szCs w:val="24"/>
              </w:rPr>
              <w:t>анализа</w:t>
            </w:r>
          </w:p>
        </w:tc>
      </w:tr>
      <w:tr w:rsidR="000A442F" w:rsidRPr="005B4606" w:rsidTr="005B4606">
        <w:tc>
          <w:tcPr>
            <w:tcW w:w="427" w:type="pct"/>
          </w:tcPr>
          <w:p w:rsidR="000A442F" w:rsidRPr="005B4606" w:rsidRDefault="000A442F" w:rsidP="005B4606">
            <w:pPr>
              <w:spacing w:line="276" w:lineRule="auto"/>
              <w:jc w:val="center"/>
              <w:rPr>
                <w:color w:val="000000"/>
                <w:szCs w:val="24"/>
              </w:rPr>
            </w:pPr>
            <w:r w:rsidRPr="005B4606">
              <w:rPr>
                <w:color w:val="000000"/>
                <w:szCs w:val="24"/>
              </w:rPr>
              <w:t>3</w:t>
            </w:r>
          </w:p>
        </w:tc>
        <w:tc>
          <w:tcPr>
            <w:tcW w:w="4573" w:type="pct"/>
          </w:tcPr>
          <w:p w:rsidR="000A442F" w:rsidRPr="005B4606" w:rsidRDefault="000A442F" w:rsidP="005B4606">
            <w:pPr>
              <w:spacing w:line="276" w:lineRule="auto"/>
              <w:rPr>
                <w:color w:val="000000"/>
                <w:szCs w:val="24"/>
              </w:rPr>
            </w:pPr>
            <w:r w:rsidRPr="005B4606">
              <w:rPr>
                <w:color w:val="000000"/>
                <w:szCs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w:t>
            </w:r>
            <w:r w:rsidRPr="005B4606">
              <w:rPr>
                <w:color w:val="000000"/>
                <w:szCs w:val="24"/>
              </w:rPr>
              <w:lastRenderedPageBreak/>
              <w:t>исследуемого метода</w:t>
            </w:r>
            <w:r w:rsidR="000A139D">
              <w:rPr>
                <w:color w:val="000000"/>
                <w:szCs w:val="24"/>
              </w:rPr>
              <w:t>,</w:t>
            </w:r>
            <w:r w:rsidRPr="005B4606">
              <w:rPr>
                <w:color w:val="000000"/>
                <w:szCs w:val="24"/>
              </w:rPr>
              <w:t xml:space="preserve"> или нерандомизированные сравнительные исследования, в том числе когортные исследования</w:t>
            </w:r>
          </w:p>
        </w:tc>
      </w:tr>
      <w:tr w:rsidR="000A442F" w:rsidRPr="005B4606" w:rsidTr="005B4606">
        <w:tc>
          <w:tcPr>
            <w:tcW w:w="427" w:type="pct"/>
          </w:tcPr>
          <w:p w:rsidR="000A442F" w:rsidRPr="005B4606" w:rsidRDefault="000A442F" w:rsidP="005B4606">
            <w:pPr>
              <w:spacing w:line="276" w:lineRule="auto"/>
              <w:jc w:val="center"/>
              <w:rPr>
                <w:color w:val="000000"/>
                <w:szCs w:val="24"/>
              </w:rPr>
            </w:pPr>
            <w:r w:rsidRPr="005B4606">
              <w:rPr>
                <w:color w:val="000000"/>
                <w:szCs w:val="24"/>
              </w:rPr>
              <w:lastRenderedPageBreak/>
              <w:t>4</w:t>
            </w:r>
          </w:p>
        </w:tc>
        <w:tc>
          <w:tcPr>
            <w:tcW w:w="4573" w:type="pct"/>
          </w:tcPr>
          <w:p w:rsidR="000A442F" w:rsidRPr="005B4606" w:rsidRDefault="000A442F" w:rsidP="005B4606">
            <w:pPr>
              <w:spacing w:line="276" w:lineRule="auto"/>
              <w:rPr>
                <w:color w:val="000000"/>
                <w:szCs w:val="24"/>
              </w:rPr>
            </w:pPr>
            <w:r w:rsidRPr="005B4606">
              <w:rPr>
                <w:color w:val="000000"/>
                <w:szCs w:val="24"/>
              </w:rPr>
              <w:t>Несравнительные исследования, описание клинического случая</w:t>
            </w:r>
          </w:p>
        </w:tc>
      </w:tr>
      <w:tr w:rsidR="000A442F" w:rsidRPr="005B4606" w:rsidTr="005B4606">
        <w:tc>
          <w:tcPr>
            <w:tcW w:w="427" w:type="pct"/>
          </w:tcPr>
          <w:p w:rsidR="000A442F" w:rsidRPr="005B4606" w:rsidRDefault="000A442F" w:rsidP="005B4606">
            <w:pPr>
              <w:spacing w:line="276" w:lineRule="auto"/>
              <w:jc w:val="center"/>
              <w:rPr>
                <w:color w:val="000000"/>
                <w:szCs w:val="24"/>
              </w:rPr>
            </w:pPr>
            <w:r w:rsidRPr="005B4606">
              <w:rPr>
                <w:color w:val="000000"/>
                <w:szCs w:val="24"/>
              </w:rPr>
              <w:t>5</w:t>
            </w:r>
          </w:p>
        </w:tc>
        <w:tc>
          <w:tcPr>
            <w:tcW w:w="4573" w:type="pct"/>
          </w:tcPr>
          <w:p w:rsidR="000A442F" w:rsidRPr="005B4606" w:rsidRDefault="000A442F" w:rsidP="005B4606">
            <w:pPr>
              <w:spacing w:line="276" w:lineRule="auto"/>
              <w:rPr>
                <w:color w:val="000000"/>
                <w:szCs w:val="24"/>
              </w:rPr>
            </w:pPr>
            <w:r w:rsidRPr="005B4606">
              <w:rPr>
                <w:color w:val="000000"/>
                <w:szCs w:val="24"/>
              </w:rPr>
              <w:t>Имеется лишь обоснование механизма действия или мнение экспертов</w:t>
            </w:r>
          </w:p>
        </w:tc>
      </w:tr>
    </w:tbl>
    <w:p w:rsidR="000A442F" w:rsidRDefault="000A442F" w:rsidP="000A442F">
      <w:pPr>
        <w:pStyle w:val="ab"/>
        <w:rPr>
          <w:rStyle w:val="aa"/>
        </w:rPr>
      </w:pPr>
    </w:p>
    <w:p w:rsidR="000A442F" w:rsidRPr="000A139D" w:rsidRDefault="000A442F" w:rsidP="000A442F">
      <w:pPr>
        <w:rPr>
          <w:b/>
        </w:rPr>
      </w:pPr>
      <w:bookmarkStart w:id="82" w:name="_Ref515967623"/>
      <w:r w:rsidRPr="000A139D">
        <w:rPr>
          <w:b/>
        </w:rPr>
        <w:t xml:space="preserve">Таблица </w:t>
      </w:r>
      <w:r w:rsidR="000A139D">
        <w:rPr>
          <w:b/>
        </w:rPr>
        <w:t>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9E5D19">
        <w:rPr>
          <w:b/>
          <w:noProof/>
        </w:rPr>
        <w:t>2</w:t>
      </w:r>
      <w:r w:rsidR="000B0AC3" w:rsidRPr="000A139D">
        <w:rPr>
          <w:b/>
        </w:rPr>
        <w:fldChar w:fldCharType="end"/>
      </w:r>
      <w:bookmarkEnd w:id="82"/>
      <w:r w:rsidRPr="000A139D">
        <w:rPr>
          <w:b/>
        </w:rPr>
        <w:t>.</w:t>
      </w:r>
      <w:r w:rsidR="00D4168D" w:rsidRPr="000A139D">
        <w:rPr>
          <w:b/>
        </w:rPr>
        <w:t xml:space="preserve"> </w:t>
      </w:r>
      <w:r w:rsidRPr="000A139D">
        <w:rPr>
          <w:b/>
        </w:rPr>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0A442F" w:rsidRPr="005B4606" w:rsidTr="005B4606">
        <w:tc>
          <w:tcPr>
            <w:tcW w:w="360" w:type="pct"/>
          </w:tcPr>
          <w:p w:rsidR="000A442F" w:rsidRPr="005B4606" w:rsidRDefault="000A442F" w:rsidP="005B4606">
            <w:pPr>
              <w:spacing w:line="240" w:lineRule="auto"/>
              <w:jc w:val="center"/>
              <w:rPr>
                <w:b/>
                <w:color w:val="000000"/>
                <w:szCs w:val="24"/>
              </w:rPr>
            </w:pPr>
            <w:r w:rsidRPr="005B4606">
              <w:rPr>
                <w:b/>
                <w:color w:val="000000"/>
                <w:szCs w:val="24"/>
              </w:rPr>
              <w:t>УДД</w:t>
            </w:r>
          </w:p>
        </w:tc>
        <w:tc>
          <w:tcPr>
            <w:tcW w:w="4640" w:type="pct"/>
          </w:tcPr>
          <w:p w:rsidR="000A442F" w:rsidRPr="005B4606" w:rsidRDefault="000A442F" w:rsidP="005B4606">
            <w:pPr>
              <w:spacing w:line="240" w:lineRule="auto"/>
              <w:jc w:val="center"/>
              <w:rPr>
                <w:b/>
                <w:color w:val="000000"/>
                <w:szCs w:val="24"/>
              </w:rPr>
            </w:pPr>
            <w:r w:rsidRPr="005B4606">
              <w:rPr>
                <w:b/>
                <w:color w:val="000000"/>
                <w:szCs w:val="24"/>
              </w:rPr>
              <w:t xml:space="preserve">Расшифровка </w:t>
            </w:r>
          </w:p>
        </w:tc>
      </w:tr>
      <w:tr w:rsidR="000A442F" w:rsidRPr="005B4606" w:rsidTr="005B4606">
        <w:tc>
          <w:tcPr>
            <w:tcW w:w="360" w:type="pct"/>
          </w:tcPr>
          <w:p w:rsidR="000A442F" w:rsidRPr="005B4606" w:rsidRDefault="000A442F" w:rsidP="005B4606">
            <w:pPr>
              <w:spacing w:line="240" w:lineRule="auto"/>
              <w:jc w:val="center"/>
              <w:rPr>
                <w:color w:val="000000"/>
                <w:szCs w:val="24"/>
              </w:rPr>
            </w:pPr>
            <w:r w:rsidRPr="005B4606">
              <w:rPr>
                <w:color w:val="000000"/>
                <w:szCs w:val="24"/>
              </w:rPr>
              <w:t>1</w:t>
            </w:r>
          </w:p>
        </w:tc>
        <w:tc>
          <w:tcPr>
            <w:tcW w:w="4640" w:type="pct"/>
          </w:tcPr>
          <w:p w:rsidR="000A442F" w:rsidRPr="005B4606" w:rsidRDefault="000A442F" w:rsidP="005B4606">
            <w:pPr>
              <w:spacing w:line="240" w:lineRule="auto"/>
              <w:rPr>
                <w:color w:val="000000"/>
                <w:szCs w:val="24"/>
              </w:rPr>
            </w:pPr>
            <w:r w:rsidRPr="005B4606">
              <w:rPr>
                <w:color w:val="000000"/>
                <w:szCs w:val="24"/>
              </w:rPr>
              <w:t>Систематическ</w:t>
            </w:r>
            <w:r w:rsidR="000A139D">
              <w:rPr>
                <w:color w:val="000000"/>
                <w:szCs w:val="24"/>
              </w:rPr>
              <w:t>ий обзор РКИ с применением мета</w:t>
            </w:r>
            <w:r w:rsidRPr="005B4606">
              <w:rPr>
                <w:color w:val="000000"/>
                <w:szCs w:val="24"/>
              </w:rPr>
              <w:t>анализа</w:t>
            </w:r>
          </w:p>
        </w:tc>
      </w:tr>
      <w:tr w:rsidR="000A442F" w:rsidRPr="005B4606" w:rsidTr="005B4606">
        <w:tc>
          <w:tcPr>
            <w:tcW w:w="360" w:type="pct"/>
          </w:tcPr>
          <w:p w:rsidR="000A442F" w:rsidRPr="005B4606" w:rsidRDefault="000A442F" w:rsidP="005B4606">
            <w:pPr>
              <w:spacing w:line="240" w:lineRule="auto"/>
              <w:jc w:val="center"/>
              <w:rPr>
                <w:color w:val="000000"/>
                <w:szCs w:val="24"/>
                <w:lang w:val="en-US"/>
              </w:rPr>
            </w:pPr>
            <w:r w:rsidRPr="005B4606">
              <w:rPr>
                <w:color w:val="000000"/>
                <w:szCs w:val="24"/>
              </w:rPr>
              <w:t>2</w:t>
            </w:r>
          </w:p>
        </w:tc>
        <w:tc>
          <w:tcPr>
            <w:tcW w:w="4640" w:type="pct"/>
          </w:tcPr>
          <w:p w:rsidR="000A442F" w:rsidRPr="005B4606" w:rsidRDefault="000A442F" w:rsidP="005B4606">
            <w:pPr>
              <w:spacing w:line="240" w:lineRule="auto"/>
              <w:rPr>
                <w:color w:val="000000"/>
                <w:szCs w:val="24"/>
              </w:rPr>
            </w:pPr>
            <w:r w:rsidRPr="005B4606">
              <w:rPr>
                <w:color w:val="000000"/>
                <w:szCs w:val="24"/>
              </w:rPr>
              <w:t>Отдельные РКИ и систематические обзоры исследований любого дизайна, за исключение</w:t>
            </w:r>
            <w:r w:rsidR="000A139D">
              <w:rPr>
                <w:color w:val="000000"/>
                <w:szCs w:val="24"/>
              </w:rPr>
              <w:t>м РКИ, с применением мета</w:t>
            </w:r>
            <w:r w:rsidR="00FD2083">
              <w:rPr>
                <w:color w:val="000000"/>
                <w:szCs w:val="24"/>
              </w:rPr>
              <w:t>-</w:t>
            </w:r>
            <w:r w:rsidRPr="005B4606">
              <w:rPr>
                <w:color w:val="000000"/>
                <w:szCs w:val="24"/>
              </w:rPr>
              <w:t>анализа</w:t>
            </w:r>
          </w:p>
        </w:tc>
      </w:tr>
      <w:tr w:rsidR="000A442F" w:rsidRPr="005B4606" w:rsidTr="005B4606">
        <w:tc>
          <w:tcPr>
            <w:tcW w:w="360" w:type="pct"/>
          </w:tcPr>
          <w:p w:rsidR="000A442F" w:rsidRPr="005B4606" w:rsidRDefault="000A442F" w:rsidP="005B4606">
            <w:pPr>
              <w:spacing w:line="240" w:lineRule="auto"/>
              <w:jc w:val="center"/>
              <w:rPr>
                <w:color w:val="000000"/>
                <w:szCs w:val="24"/>
              </w:rPr>
            </w:pPr>
            <w:r w:rsidRPr="005B4606">
              <w:rPr>
                <w:color w:val="000000"/>
                <w:szCs w:val="24"/>
              </w:rPr>
              <w:t>3</w:t>
            </w:r>
          </w:p>
        </w:tc>
        <w:tc>
          <w:tcPr>
            <w:tcW w:w="4640" w:type="pct"/>
          </w:tcPr>
          <w:p w:rsidR="000A442F" w:rsidRPr="005B4606" w:rsidRDefault="000A442F" w:rsidP="000A139D">
            <w:pPr>
              <w:spacing w:line="240" w:lineRule="auto"/>
              <w:rPr>
                <w:color w:val="000000"/>
                <w:szCs w:val="24"/>
              </w:rPr>
            </w:pPr>
            <w:r w:rsidRPr="005B4606">
              <w:rPr>
                <w:color w:val="000000"/>
                <w:szCs w:val="24"/>
              </w:rPr>
              <w:t xml:space="preserve">Нерандомизированные </w:t>
            </w:r>
            <w:r w:rsidR="000A139D">
              <w:rPr>
                <w:color w:val="000000"/>
                <w:szCs w:val="24"/>
              </w:rPr>
              <w:t xml:space="preserve">сравнительные исследования, в том </w:t>
            </w:r>
            <w:r w:rsidRPr="005B4606">
              <w:rPr>
                <w:color w:val="000000"/>
                <w:szCs w:val="24"/>
              </w:rPr>
              <w:t>ч</w:t>
            </w:r>
            <w:r w:rsidR="000A139D">
              <w:rPr>
                <w:color w:val="000000"/>
                <w:szCs w:val="24"/>
              </w:rPr>
              <w:t>исле</w:t>
            </w:r>
            <w:r w:rsidRPr="005B4606">
              <w:rPr>
                <w:color w:val="000000"/>
                <w:szCs w:val="24"/>
              </w:rPr>
              <w:t xml:space="preserve"> когортные исследования</w:t>
            </w:r>
          </w:p>
        </w:tc>
      </w:tr>
      <w:tr w:rsidR="000A442F" w:rsidRPr="005B4606" w:rsidTr="005B4606">
        <w:tc>
          <w:tcPr>
            <w:tcW w:w="360" w:type="pct"/>
          </w:tcPr>
          <w:p w:rsidR="000A442F" w:rsidRPr="005B4606" w:rsidRDefault="000A442F" w:rsidP="005B4606">
            <w:pPr>
              <w:spacing w:line="240" w:lineRule="auto"/>
              <w:jc w:val="center"/>
              <w:rPr>
                <w:color w:val="000000"/>
                <w:szCs w:val="24"/>
              </w:rPr>
            </w:pPr>
            <w:r w:rsidRPr="005B4606">
              <w:rPr>
                <w:color w:val="000000"/>
                <w:szCs w:val="24"/>
              </w:rPr>
              <w:t>4</w:t>
            </w:r>
          </w:p>
        </w:tc>
        <w:tc>
          <w:tcPr>
            <w:tcW w:w="4640" w:type="pct"/>
          </w:tcPr>
          <w:p w:rsidR="000A442F" w:rsidRPr="005B4606" w:rsidRDefault="000A442F" w:rsidP="005B4606">
            <w:pPr>
              <w:spacing w:line="240" w:lineRule="auto"/>
              <w:rPr>
                <w:color w:val="000000"/>
                <w:szCs w:val="24"/>
              </w:rPr>
            </w:pPr>
            <w:r w:rsidRPr="005B4606">
              <w:rPr>
                <w:color w:val="000000"/>
                <w:szCs w:val="24"/>
              </w:rPr>
              <w:t>Несравнительные исследования, описание клинического случая или серии случаев, исследования «случай-контроль»</w:t>
            </w:r>
          </w:p>
        </w:tc>
      </w:tr>
      <w:tr w:rsidR="000A442F" w:rsidRPr="005B4606" w:rsidTr="005B4606">
        <w:tc>
          <w:tcPr>
            <w:tcW w:w="360" w:type="pct"/>
          </w:tcPr>
          <w:p w:rsidR="000A442F" w:rsidRPr="005B4606" w:rsidRDefault="000A442F" w:rsidP="005B4606">
            <w:pPr>
              <w:spacing w:line="240" w:lineRule="auto"/>
              <w:jc w:val="center"/>
              <w:rPr>
                <w:color w:val="000000"/>
                <w:szCs w:val="24"/>
              </w:rPr>
            </w:pPr>
            <w:r w:rsidRPr="005B4606">
              <w:rPr>
                <w:color w:val="000000"/>
                <w:szCs w:val="24"/>
              </w:rPr>
              <w:t>5</w:t>
            </w:r>
          </w:p>
        </w:tc>
        <w:tc>
          <w:tcPr>
            <w:tcW w:w="4640" w:type="pct"/>
          </w:tcPr>
          <w:p w:rsidR="000A442F" w:rsidRPr="005B4606" w:rsidRDefault="000A442F" w:rsidP="005B4606">
            <w:pPr>
              <w:spacing w:line="240" w:lineRule="auto"/>
              <w:rPr>
                <w:color w:val="000000"/>
                <w:szCs w:val="24"/>
              </w:rPr>
            </w:pPr>
            <w:r w:rsidRPr="005B4606">
              <w:rPr>
                <w:color w:val="000000"/>
                <w:szCs w:val="24"/>
              </w:rPr>
              <w:t>Имеется лишь обоснование механизма действия вмешательства (доклинические исследования) или мнение экспертов</w:t>
            </w:r>
          </w:p>
        </w:tc>
      </w:tr>
    </w:tbl>
    <w:p w:rsidR="000A442F" w:rsidRDefault="000A442F" w:rsidP="000A442F">
      <w:pPr>
        <w:pStyle w:val="ab"/>
        <w:rPr>
          <w:rStyle w:val="aa"/>
        </w:rPr>
      </w:pPr>
    </w:p>
    <w:p w:rsidR="000A442F" w:rsidRPr="000A139D" w:rsidRDefault="000A442F" w:rsidP="000A442F">
      <w:pPr>
        <w:rPr>
          <w:b/>
        </w:rPr>
      </w:pPr>
      <w:bookmarkStart w:id="83" w:name="_Ref515967732"/>
      <w:r w:rsidRPr="00B15720">
        <w:rPr>
          <w:b/>
        </w:rPr>
        <w:t xml:space="preserve">Таблица </w:t>
      </w:r>
      <w:bookmarkEnd w:id="83"/>
      <w:r w:rsidR="000A139D">
        <w:rPr>
          <w:b/>
        </w:rPr>
        <w:t>А</w:t>
      </w:r>
      <w:r>
        <w:rPr>
          <w:b/>
        </w:rPr>
        <w:t>3</w:t>
      </w:r>
      <w:r w:rsidRPr="00B15720">
        <w:rPr>
          <w:b/>
        </w:rPr>
        <w:t>.</w:t>
      </w:r>
      <w:r w:rsidR="00D4168D" w:rsidRPr="00D4168D">
        <w:rPr>
          <w:b/>
        </w:rPr>
        <w:t xml:space="preserve"> </w:t>
      </w:r>
      <w:r w:rsidRPr="000A139D">
        <w:rPr>
          <w:b/>
        </w:rPr>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0A442F" w:rsidRPr="005B4606" w:rsidTr="005B4606">
        <w:tc>
          <w:tcPr>
            <w:tcW w:w="712" w:type="pct"/>
          </w:tcPr>
          <w:p w:rsidR="000A442F" w:rsidRPr="005B4606" w:rsidRDefault="000A442F" w:rsidP="005B4606">
            <w:pPr>
              <w:spacing w:line="240" w:lineRule="auto"/>
              <w:jc w:val="center"/>
              <w:rPr>
                <w:b/>
                <w:color w:val="000000"/>
                <w:szCs w:val="24"/>
              </w:rPr>
            </w:pPr>
            <w:r w:rsidRPr="005B4606">
              <w:rPr>
                <w:b/>
                <w:color w:val="000000"/>
                <w:szCs w:val="24"/>
              </w:rPr>
              <w:t>УУР</w:t>
            </w:r>
          </w:p>
        </w:tc>
        <w:tc>
          <w:tcPr>
            <w:tcW w:w="4288" w:type="pct"/>
          </w:tcPr>
          <w:p w:rsidR="000A442F" w:rsidRPr="005B4606" w:rsidRDefault="000A442F" w:rsidP="005B4606">
            <w:pPr>
              <w:spacing w:line="240" w:lineRule="auto"/>
              <w:jc w:val="center"/>
              <w:rPr>
                <w:b/>
                <w:color w:val="000000"/>
                <w:szCs w:val="24"/>
              </w:rPr>
            </w:pPr>
            <w:r w:rsidRPr="005B4606">
              <w:rPr>
                <w:b/>
                <w:color w:val="000000"/>
                <w:szCs w:val="24"/>
              </w:rPr>
              <w:t>Расшифровка</w:t>
            </w:r>
          </w:p>
        </w:tc>
      </w:tr>
      <w:tr w:rsidR="000A442F" w:rsidRPr="005B4606" w:rsidTr="005B4606">
        <w:trPr>
          <w:trHeight w:val="1060"/>
        </w:trPr>
        <w:tc>
          <w:tcPr>
            <w:tcW w:w="712" w:type="pct"/>
          </w:tcPr>
          <w:p w:rsidR="000A442F" w:rsidRPr="005B4606" w:rsidRDefault="000A442F" w:rsidP="005B4606">
            <w:pPr>
              <w:spacing w:line="240" w:lineRule="auto"/>
              <w:jc w:val="center"/>
              <w:rPr>
                <w:color w:val="000000"/>
                <w:szCs w:val="24"/>
              </w:rPr>
            </w:pPr>
            <w:r w:rsidRPr="005B4606">
              <w:rPr>
                <w:color w:val="000000"/>
                <w:szCs w:val="24"/>
                <w:lang w:val="en-US"/>
              </w:rPr>
              <w:t>A</w:t>
            </w:r>
          </w:p>
        </w:tc>
        <w:tc>
          <w:tcPr>
            <w:tcW w:w="4288" w:type="pct"/>
          </w:tcPr>
          <w:p w:rsidR="000A442F" w:rsidRPr="005B4606" w:rsidRDefault="000A442F" w:rsidP="005B4606">
            <w:pPr>
              <w:spacing w:line="240" w:lineRule="auto"/>
              <w:rPr>
                <w:color w:val="000000"/>
                <w:szCs w:val="24"/>
              </w:rPr>
            </w:pPr>
            <w:r w:rsidRPr="005B4606">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A442F" w:rsidRPr="005B4606" w:rsidTr="005B4606">
        <w:trPr>
          <w:trHeight w:val="558"/>
        </w:trPr>
        <w:tc>
          <w:tcPr>
            <w:tcW w:w="712" w:type="pct"/>
          </w:tcPr>
          <w:p w:rsidR="000A442F" w:rsidRPr="005B4606" w:rsidRDefault="000A442F" w:rsidP="005B4606">
            <w:pPr>
              <w:spacing w:line="240" w:lineRule="auto"/>
              <w:jc w:val="center"/>
              <w:rPr>
                <w:color w:val="000000"/>
                <w:szCs w:val="24"/>
              </w:rPr>
            </w:pPr>
            <w:r w:rsidRPr="005B4606">
              <w:rPr>
                <w:color w:val="000000"/>
                <w:szCs w:val="24"/>
              </w:rPr>
              <w:t>B</w:t>
            </w:r>
          </w:p>
        </w:tc>
        <w:tc>
          <w:tcPr>
            <w:tcW w:w="4288" w:type="pct"/>
          </w:tcPr>
          <w:p w:rsidR="000A442F" w:rsidRPr="005B4606" w:rsidRDefault="000A442F" w:rsidP="005B4606">
            <w:pPr>
              <w:spacing w:line="240" w:lineRule="auto"/>
              <w:rPr>
                <w:color w:val="000000"/>
                <w:szCs w:val="24"/>
              </w:rPr>
            </w:pPr>
            <w:r w:rsidRPr="005B4606">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A442F" w:rsidRPr="005B4606" w:rsidTr="005B4606">
        <w:trPr>
          <w:trHeight w:val="798"/>
        </w:trPr>
        <w:tc>
          <w:tcPr>
            <w:tcW w:w="712" w:type="pct"/>
          </w:tcPr>
          <w:p w:rsidR="000A442F" w:rsidRPr="005B4606" w:rsidRDefault="000A442F" w:rsidP="005B4606">
            <w:pPr>
              <w:spacing w:line="240" w:lineRule="auto"/>
              <w:jc w:val="center"/>
              <w:rPr>
                <w:color w:val="000000"/>
                <w:szCs w:val="24"/>
              </w:rPr>
            </w:pPr>
            <w:r w:rsidRPr="005B4606">
              <w:rPr>
                <w:color w:val="000000"/>
                <w:szCs w:val="24"/>
              </w:rPr>
              <w:t>C</w:t>
            </w:r>
          </w:p>
        </w:tc>
        <w:tc>
          <w:tcPr>
            <w:tcW w:w="4288" w:type="pct"/>
          </w:tcPr>
          <w:p w:rsidR="000A442F" w:rsidRPr="005B4606" w:rsidRDefault="000A442F" w:rsidP="005B4606">
            <w:pPr>
              <w:spacing w:line="240" w:lineRule="auto"/>
              <w:rPr>
                <w:color w:val="000000"/>
                <w:szCs w:val="24"/>
              </w:rPr>
            </w:pPr>
            <w:r w:rsidRPr="005B4606">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0A139D" w:rsidRDefault="000A139D" w:rsidP="00B93B9E">
      <w:pPr>
        <w:rPr>
          <w:b/>
        </w:rPr>
      </w:pPr>
    </w:p>
    <w:p w:rsidR="004D7374" w:rsidRPr="00B93B9E" w:rsidRDefault="004D7374" w:rsidP="00B93B9E">
      <w:pPr>
        <w:rPr>
          <w:b/>
        </w:rPr>
      </w:pPr>
      <w:r w:rsidRPr="00B93B9E">
        <w:rPr>
          <w:b/>
        </w:rPr>
        <w:t>Методология валидизации рекомендаций</w:t>
      </w:r>
    </w:p>
    <w:p w:rsidR="004D7374" w:rsidRPr="000A139D" w:rsidRDefault="004D7374" w:rsidP="00B93B9E">
      <w:pPr>
        <w:rPr>
          <w:b/>
        </w:rPr>
      </w:pPr>
      <w:r w:rsidRPr="000A139D">
        <w:rPr>
          <w:b/>
        </w:rPr>
        <w:t>Методы валидизации:</w:t>
      </w:r>
    </w:p>
    <w:p w:rsidR="004D7374" w:rsidRDefault="004D7374" w:rsidP="004D7374">
      <w:pPr>
        <w:ind w:firstLine="709"/>
      </w:pPr>
      <w:r>
        <w:t>•</w:t>
      </w:r>
      <w:r>
        <w:tab/>
      </w:r>
      <w:r w:rsidR="000A139D">
        <w:t>в</w:t>
      </w:r>
      <w:r>
        <w:t>нешняя экспертная оценка;</w:t>
      </w:r>
    </w:p>
    <w:p w:rsidR="004D7374" w:rsidRDefault="004D7374" w:rsidP="004D7374">
      <w:pPr>
        <w:ind w:firstLine="709"/>
      </w:pPr>
      <w:r>
        <w:t>•</w:t>
      </w:r>
      <w:r>
        <w:tab/>
      </w:r>
      <w:r w:rsidR="000A139D">
        <w:t>в</w:t>
      </w:r>
      <w:r>
        <w:t>нутренняя экспертная оценка.</w:t>
      </w:r>
    </w:p>
    <w:p w:rsidR="004D7374" w:rsidRPr="000A139D" w:rsidRDefault="004D7374" w:rsidP="00B93B9E">
      <w:pPr>
        <w:contextualSpacing/>
        <w:rPr>
          <w:b/>
        </w:rPr>
      </w:pPr>
      <w:r w:rsidRPr="000A139D">
        <w:rPr>
          <w:b/>
        </w:rPr>
        <w:t>Описание ме</w:t>
      </w:r>
      <w:r w:rsidR="000A139D" w:rsidRPr="000A139D">
        <w:rPr>
          <w:b/>
        </w:rPr>
        <w:t>тодики валидизации рекомендаций</w:t>
      </w:r>
    </w:p>
    <w:p w:rsidR="004D7374" w:rsidRDefault="004D7374" w:rsidP="00B93B9E">
      <w:pPr>
        <w:ind w:firstLine="709"/>
        <w:contextualSpacing/>
      </w:pPr>
      <w:r>
        <w:t xml:space="preserve">Настоящие рекомендации в предварительной версии были рецензированы независимыми экспертами, которых попросили прокомментировать, насколько </w:t>
      </w:r>
      <w:r>
        <w:lastRenderedPageBreak/>
        <w:t>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rsidR="004D7374" w:rsidRDefault="004D7374" w:rsidP="00B93B9E">
      <w:pPr>
        <w:ind w:firstLine="709"/>
        <w:contextualSpacing/>
      </w:pPr>
      <w:r>
        <w:t xml:space="preserve">Рекомендации обсуждены и одобрены ведущими специалистами профильных </w:t>
      </w:r>
      <w:r w:rsidR="000A139D">
        <w:t>ф</w:t>
      </w:r>
      <w:r>
        <w:t>едеральных центров РФ и практическими врачами. Проект клинических рекомендаций был рассмотрен на с</w:t>
      </w:r>
      <w:r w:rsidR="000A139D">
        <w:t>овещаниях рабочей группы в 2017–</w:t>
      </w:r>
      <w:r>
        <w:t xml:space="preserve">2018 гг., на </w:t>
      </w:r>
      <w:r w:rsidR="000A139D">
        <w:t>ф</w:t>
      </w:r>
      <w:r>
        <w:t xml:space="preserve">оруме экспертов по вопросам диагностики и лечения злокачественных лимфопролиферативных заболеваний «Лимфорум», ежегодной </w:t>
      </w:r>
      <w:r w:rsidR="000A139D">
        <w:t>р</w:t>
      </w:r>
      <w:r>
        <w:t>оссийской конференции с международным участием «Злокачественные лимфомы», а также в рамках IV Конгресса гематологов России.</w:t>
      </w:r>
    </w:p>
    <w:p w:rsidR="008F1902" w:rsidRDefault="008F1902" w:rsidP="00D90C34">
      <w:pPr>
        <w:pStyle w:val="ab"/>
        <w:tabs>
          <w:tab w:val="left" w:pos="6073"/>
        </w:tabs>
        <w:contextualSpacing/>
        <w:jc w:val="both"/>
        <w:rPr>
          <w:rFonts w:eastAsia="Times New Roman"/>
        </w:rPr>
      </w:pPr>
      <w:r>
        <w:rPr>
          <w:rStyle w:val="aa"/>
        </w:rPr>
        <w:t>Порядок обно</w:t>
      </w:r>
      <w:r w:rsidR="000A139D">
        <w:rPr>
          <w:rStyle w:val="aa"/>
        </w:rPr>
        <w:t>вления клинических рекомендаций</w:t>
      </w:r>
    </w:p>
    <w:p w:rsidR="002448A6" w:rsidRDefault="001B105B" w:rsidP="001B105B">
      <w:pPr>
        <w:ind w:firstLine="709"/>
      </w:pPr>
      <w:r>
        <w:t xml:space="preserve">Актуализация проводится не реже чем </w:t>
      </w:r>
      <w:r w:rsidR="000A139D">
        <w:t>1</w:t>
      </w:r>
      <w:r>
        <w:t xml:space="preserve"> раз в </w:t>
      </w:r>
      <w:r w:rsidR="000A139D">
        <w:t>3</w:t>
      </w:r>
      <w:r>
        <w:t xml:space="preserve"> </w:t>
      </w:r>
      <w:r w:rsidRPr="009D0A81">
        <w:t xml:space="preserve">года </w:t>
      </w:r>
      <w:r w:rsidR="00AC3B0C" w:rsidRPr="009D0A81">
        <w:t xml:space="preserve">или при появлении </w:t>
      </w:r>
      <w:r w:rsidRPr="009D0A81">
        <w:t>новой информации о диагностике и тактике ведения пациентов, страдающих</w:t>
      </w:r>
      <w:r w:rsidR="00696CC2" w:rsidRPr="009D0A81">
        <w:t xml:space="preserve"> ХЛЛ/ЛМЛ</w:t>
      </w:r>
      <w:r w:rsidR="00FD2083">
        <w:t xml:space="preserve">, </w:t>
      </w:r>
      <w:r w:rsidR="00FD2083" w:rsidRPr="003E3A35">
        <w:t xml:space="preserve">но не чаще </w:t>
      </w:r>
      <w:r w:rsidR="00FD2083">
        <w:t>1</w:t>
      </w:r>
      <w:r w:rsidR="00FD2083" w:rsidRPr="003E3A35">
        <w:t xml:space="preserve"> раза в </w:t>
      </w:r>
      <w:r w:rsidR="00FD2083">
        <w:t>6 месяцев</w:t>
      </w:r>
      <w:r w:rsidRPr="009D0A81">
        <w:t xml:space="preserve">. Решение об обновлении принимает </w:t>
      </w:r>
      <w:r w:rsidR="00696CC2" w:rsidRPr="009D0A81">
        <w:t>Минздрав России</w:t>
      </w:r>
      <w:r w:rsidRPr="009D0A81">
        <w:t xml:space="preserve"> на основе предло</w:t>
      </w:r>
      <w:r>
        <w:t>жений медицински</w:t>
      </w:r>
      <w:r w:rsidR="000A139D">
        <w:t>х</w:t>
      </w:r>
      <w:r>
        <w:t xml:space="preserve"> профессиональны</w:t>
      </w:r>
      <w:r w:rsidR="000A139D">
        <w:t>х</w:t>
      </w:r>
      <w:r>
        <w:t xml:space="preserve"> некоммерчески</w:t>
      </w:r>
      <w:r w:rsidR="000A139D">
        <w:t>х организаций</w:t>
      </w:r>
      <w:r>
        <w:t>.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rsidR="002448A6" w:rsidRPr="00DB46A1" w:rsidRDefault="002448A6" w:rsidP="00D4168D">
      <w:pPr>
        <w:pStyle w:val="aff0"/>
        <w:rPr>
          <w:rFonts w:ascii="Times New Roman" w:hAnsi="Times New Roman"/>
          <w:sz w:val="24"/>
          <w:szCs w:val="24"/>
        </w:rPr>
      </w:pPr>
      <w:r>
        <w:br w:type="page"/>
      </w:r>
      <w:bookmarkStart w:id="84" w:name="_Toc24546456"/>
      <w:bookmarkStart w:id="85" w:name="_Toc23601738"/>
      <w:r w:rsidRPr="00DB46A1">
        <w:rPr>
          <w:rFonts w:ascii="Times New Roman" w:hAnsi="Times New Roman"/>
          <w:sz w:val="24"/>
          <w:szCs w:val="24"/>
        </w:rPr>
        <w:lastRenderedPageBreak/>
        <w:t>Приложение А</w:t>
      </w:r>
      <w:r w:rsidR="00AA4B03" w:rsidRPr="00DB46A1">
        <w:rPr>
          <w:rFonts w:ascii="Times New Roman" w:hAnsi="Times New Roman"/>
          <w:sz w:val="24"/>
          <w:szCs w:val="24"/>
        </w:rPr>
        <w:t>3</w:t>
      </w:r>
      <w:r w:rsidRPr="00DB46A1">
        <w:rPr>
          <w:rFonts w:ascii="Times New Roman" w:hAnsi="Times New Roman"/>
          <w:sz w:val="24"/>
          <w:szCs w:val="24"/>
        </w:rPr>
        <w:t>.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84"/>
      <w:bookmarkEnd w:id="85"/>
    </w:p>
    <w:p w:rsidR="00457002" w:rsidRPr="000A442F" w:rsidRDefault="00D73887" w:rsidP="000A442F">
      <w:pPr>
        <w:pStyle w:val="2"/>
      </w:pPr>
      <w:bookmarkStart w:id="86" w:name="_Toc24546457"/>
      <w:bookmarkStart w:id="87" w:name="_Toc23601739"/>
      <w:r>
        <w:t xml:space="preserve">Приложение </w:t>
      </w:r>
      <w:r w:rsidR="00457002" w:rsidRPr="000A442F">
        <w:t>А3.1</w:t>
      </w:r>
      <w:r w:rsidR="00F07AA9">
        <w:t>.</w:t>
      </w:r>
      <w:r w:rsidR="00457002" w:rsidRPr="000A442F">
        <w:t xml:space="preserve"> Значение маркеров вируса гепатита В при ХЛЛ</w:t>
      </w:r>
      <w:bookmarkEnd w:id="86"/>
      <w:bookmarkEnd w:id="87"/>
    </w:p>
    <w:p w:rsidR="00457002" w:rsidRPr="000A139D" w:rsidRDefault="00457002" w:rsidP="00457002">
      <w:pPr>
        <w:rPr>
          <w:b/>
        </w:rPr>
      </w:pPr>
      <w:r>
        <w:t>Клетки ХЛЛ могут быть дополнительным резервуаром для вируса гепатита В. Латентная инфекция, вызванная HBV, выявляется у пациентов с ХЛЛ чаще. Значение маркеров HBV-инфекции и предполагаем</w:t>
      </w:r>
      <w:r w:rsidR="006B3E67">
        <w:t>ые действия представлены в табл</w:t>
      </w:r>
      <w:r w:rsidRPr="000A139D">
        <w:t>.</w:t>
      </w:r>
      <w:r w:rsidR="006B3E67">
        <w:t xml:space="preserve"> 3.1.</w:t>
      </w:r>
    </w:p>
    <w:p w:rsidR="00457002" w:rsidRPr="000A139D" w:rsidRDefault="006B3E67" w:rsidP="000A139D">
      <w:pPr>
        <w:rPr>
          <w:b/>
        </w:rPr>
      </w:pPr>
      <w:r>
        <w:rPr>
          <w:b/>
        </w:rPr>
        <w:t xml:space="preserve">Таблица А3.1. </w:t>
      </w:r>
      <w:r w:rsidR="00457002" w:rsidRPr="000A139D">
        <w:rPr>
          <w:b/>
        </w:rPr>
        <w:t>Значение маркеров вирусного гепатита B</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730"/>
        <w:gridCol w:w="992"/>
        <w:gridCol w:w="880"/>
        <w:gridCol w:w="879"/>
        <w:gridCol w:w="2948"/>
      </w:tblGrid>
      <w:tr w:rsidR="00457002" w:rsidRPr="000A139D" w:rsidTr="000A139D">
        <w:tc>
          <w:tcPr>
            <w:tcW w:w="2922" w:type="dxa"/>
            <w:shd w:val="clear" w:color="auto" w:fill="auto"/>
            <w:vAlign w:val="center"/>
          </w:tcPr>
          <w:p w:rsidR="00457002" w:rsidRPr="000A139D" w:rsidRDefault="000A139D" w:rsidP="000A139D">
            <w:pPr>
              <w:spacing w:line="240" w:lineRule="auto"/>
              <w:jc w:val="center"/>
              <w:rPr>
                <w:b/>
                <w:szCs w:val="24"/>
              </w:rPr>
            </w:pPr>
            <w:r w:rsidRPr="000A139D">
              <w:rPr>
                <w:b/>
                <w:szCs w:val="24"/>
              </w:rPr>
              <w:t>Расшифровка</w:t>
            </w:r>
          </w:p>
        </w:tc>
        <w:tc>
          <w:tcPr>
            <w:tcW w:w="730" w:type="dxa"/>
            <w:shd w:val="clear" w:color="auto" w:fill="auto"/>
            <w:vAlign w:val="center"/>
          </w:tcPr>
          <w:p w:rsidR="00457002" w:rsidRPr="000A139D" w:rsidRDefault="00457002" w:rsidP="000A139D">
            <w:pPr>
              <w:spacing w:line="240" w:lineRule="auto"/>
              <w:jc w:val="center"/>
              <w:rPr>
                <w:b/>
                <w:szCs w:val="24"/>
              </w:rPr>
            </w:pPr>
            <w:r w:rsidRPr="000A139D">
              <w:rPr>
                <w:b/>
                <w:szCs w:val="24"/>
              </w:rPr>
              <w:t>HBs-Ag</w:t>
            </w:r>
          </w:p>
        </w:tc>
        <w:tc>
          <w:tcPr>
            <w:tcW w:w="992" w:type="dxa"/>
            <w:shd w:val="clear" w:color="auto" w:fill="auto"/>
            <w:vAlign w:val="center"/>
          </w:tcPr>
          <w:p w:rsidR="00457002" w:rsidRPr="000A139D" w:rsidRDefault="00457002" w:rsidP="000A139D">
            <w:pPr>
              <w:spacing w:line="240" w:lineRule="auto"/>
              <w:jc w:val="center"/>
              <w:rPr>
                <w:b/>
                <w:szCs w:val="24"/>
              </w:rPr>
            </w:pPr>
            <w:r w:rsidRPr="000A139D">
              <w:rPr>
                <w:b/>
                <w:szCs w:val="24"/>
              </w:rPr>
              <w:t>Анти-HBc</w:t>
            </w:r>
          </w:p>
        </w:tc>
        <w:tc>
          <w:tcPr>
            <w:tcW w:w="880" w:type="dxa"/>
            <w:shd w:val="clear" w:color="auto" w:fill="auto"/>
            <w:vAlign w:val="center"/>
          </w:tcPr>
          <w:p w:rsidR="00457002" w:rsidRPr="000A139D" w:rsidRDefault="00457002" w:rsidP="000A139D">
            <w:pPr>
              <w:spacing w:line="240" w:lineRule="auto"/>
              <w:jc w:val="center"/>
              <w:rPr>
                <w:b/>
                <w:szCs w:val="24"/>
              </w:rPr>
            </w:pPr>
            <w:r w:rsidRPr="000A139D">
              <w:rPr>
                <w:b/>
                <w:szCs w:val="24"/>
              </w:rPr>
              <w:t>Анти-HBs</w:t>
            </w:r>
          </w:p>
        </w:tc>
        <w:tc>
          <w:tcPr>
            <w:tcW w:w="879" w:type="dxa"/>
            <w:shd w:val="clear" w:color="auto" w:fill="auto"/>
            <w:vAlign w:val="center"/>
          </w:tcPr>
          <w:p w:rsidR="00457002" w:rsidRPr="000A139D" w:rsidRDefault="00457002" w:rsidP="000A139D">
            <w:pPr>
              <w:spacing w:line="240" w:lineRule="auto"/>
              <w:jc w:val="center"/>
              <w:rPr>
                <w:b/>
                <w:szCs w:val="24"/>
              </w:rPr>
            </w:pPr>
            <w:r w:rsidRPr="000A139D">
              <w:rPr>
                <w:b/>
                <w:szCs w:val="24"/>
              </w:rPr>
              <w:t>ДНК HBV</w:t>
            </w:r>
          </w:p>
        </w:tc>
        <w:tc>
          <w:tcPr>
            <w:tcW w:w="2948" w:type="dxa"/>
            <w:shd w:val="clear" w:color="auto" w:fill="auto"/>
            <w:vAlign w:val="center"/>
          </w:tcPr>
          <w:p w:rsidR="00457002" w:rsidRPr="000A139D" w:rsidRDefault="00457002" w:rsidP="000A139D">
            <w:pPr>
              <w:spacing w:line="240" w:lineRule="auto"/>
              <w:jc w:val="center"/>
              <w:rPr>
                <w:b/>
                <w:szCs w:val="24"/>
              </w:rPr>
            </w:pPr>
            <w:r w:rsidRPr="000A139D">
              <w:rPr>
                <w:b/>
                <w:szCs w:val="24"/>
              </w:rPr>
              <w:t>Действия</w:t>
            </w:r>
          </w:p>
        </w:tc>
      </w:tr>
      <w:tr w:rsidR="00457002" w:rsidRPr="005B4606" w:rsidTr="000A139D">
        <w:tc>
          <w:tcPr>
            <w:tcW w:w="2922" w:type="dxa"/>
            <w:shd w:val="clear" w:color="auto" w:fill="auto"/>
          </w:tcPr>
          <w:p w:rsidR="00457002" w:rsidRPr="005B4606" w:rsidRDefault="00457002" w:rsidP="009A0687">
            <w:pPr>
              <w:spacing w:line="240" w:lineRule="auto"/>
              <w:rPr>
                <w:szCs w:val="24"/>
              </w:rPr>
            </w:pPr>
            <w:r w:rsidRPr="005B4606">
              <w:rPr>
                <w:szCs w:val="24"/>
              </w:rPr>
              <w:t>Не контактировал с HBV</w:t>
            </w:r>
          </w:p>
        </w:tc>
        <w:tc>
          <w:tcPr>
            <w:tcW w:w="73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992"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8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79" w:type="dxa"/>
            <w:shd w:val="clear" w:color="auto" w:fill="auto"/>
          </w:tcPr>
          <w:p w:rsidR="00457002" w:rsidRPr="005B4606" w:rsidRDefault="00457002" w:rsidP="009A0687">
            <w:pPr>
              <w:spacing w:line="240" w:lineRule="auto"/>
              <w:jc w:val="center"/>
              <w:rPr>
                <w:szCs w:val="24"/>
              </w:rPr>
            </w:pPr>
            <w:r w:rsidRPr="005B4606">
              <w:rPr>
                <w:szCs w:val="24"/>
              </w:rPr>
              <w:t>–</w:t>
            </w:r>
          </w:p>
        </w:tc>
        <w:tc>
          <w:tcPr>
            <w:tcW w:w="2948" w:type="dxa"/>
            <w:shd w:val="clear" w:color="auto" w:fill="auto"/>
          </w:tcPr>
          <w:p w:rsidR="00457002" w:rsidRPr="005B4606" w:rsidRDefault="00457002" w:rsidP="009A0687">
            <w:pPr>
              <w:spacing w:line="240" w:lineRule="auto"/>
              <w:rPr>
                <w:szCs w:val="24"/>
              </w:rPr>
            </w:pPr>
            <w:r w:rsidRPr="005B4606">
              <w:rPr>
                <w:szCs w:val="24"/>
              </w:rPr>
              <w:t>Провести вакцинацию</w:t>
            </w:r>
            <w:r w:rsidR="000A139D">
              <w:rPr>
                <w:szCs w:val="24"/>
              </w:rPr>
              <w:t>.</w:t>
            </w:r>
          </w:p>
          <w:p w:rsidR="00457002" w:rsidRPr="005B4606" w:rsidRDefault="00457002" w:rsidP="009A0687">
            <w:pPr>
              <w:spacing w:line="240" w:lineRule="auto"/>
              <w:rPr>
                <w:szCs w:val="24"/>
              </w:rPr>
            </w:pPr>
            <w:r w:rsidRPr="005B4606">
              <w:rPr>
                <w:szCs w:val="24"/>
              </w:rPr>
              <w:t xml:space="preserve">Противопоказаний </w:t>
            </w:r>
          </w:p>
          <w:p w:rsidR="00457002" w:rsidRPr="005B4606" w:rsidRDefault="00457002" w:rsidP="009A0687">
            <w:pPr>
              <w:spacing w:line="240" w:lineRule="auto"/>
              <w:rPr>
                <w:szCs w:val="24"/>
              </w:rPr>
            </w:pPr>
            <w:r w:rsidRPr="005B4606">
              <w:rPr>
                <w:szCs w:val="24"/>
              </w:rPr>
              <w:t>к анти-CD20 нет</w:t>
            </w:r>
          </w:p>
        </w:tc>
      </w:tr>
      <w:tr w:rsidR="00457002" w:rsidRPr="005B4606" w:rsidTr="000A139D">
        <w:tc>
          <w:tcPr>
            <w:tcW w:w="2922" w:type="dxa"/>
            <w:shd w:val="clear" w:color="auto" w:fill="auto"/>
          </w:tcPr>
          <w:p w:rsidR="00457002" w:rsidRPr="005B4606" w:rsidRDefault="00457002" w:rsidP="009A0687">
            <w:pPr>
              <w:spacing w:line="240" w:lineRule="auto"/>
              <w:rPr>
                <w:szCs w:val="24"/>
              </w:rPr>
            </w:pPr>
            <w:r w:rsidRPr="005B4606">
              <w:rPr>
                <w:szCs w:val="24"/>
              </w:rPr>
              <w:t>Вакцинация проведена</w:t>
            </w:r>
          </w:p>
        </w:tc>
        <w:tc>
          <w:tcPr>
            <w:tcW w:w="73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992"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8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79" w:type="dxa"/>
            <w:shd w:val="clear" w:color="auto" w:fill="auto"/>
          </w:tcPr>
          <w:p w:rsidR="00457002" w:rsidRPr="005B4606" w:rsidRDefault="00457002" w:rsidP="009A0687">
            <w:pPr>
              <w:spacing w:line="240" w:lineRule="auto"/>
              <w:jc w:val="center"/>
              <w:rPr>
                <w:szCs w:val="24"/>
              </w:rPr>
            </w:pPr>
            <w:r w:rsidRPr="005B4606">
              <w:rPr>
                <w:szCs w:val="24"/>
              </w:rPr>
              <w:t>–</w:t>
            </w:r>
          </w:p>
        </w:tc>
        <w:tc>
          <w:tcPr>
            <w:tcW w:w="2948" w:type="dxa"/>
            <w:shd w:val="clear" w:color="auto" w:fill="auto"/>
          </w:tcPr>
          <w:p w:rsidR="00457002" w:rsidRPr="005B4606" w:rsidRDefault="00457002" w:rsidP="009A0687">
            <w:pPr>
              <w:spacing w:line="240" w:lineRule="auto"/>
              <w:rPr>
                <w:szCs w:val="24"/>
              </w:rPr>
            </w:pPr>
            <w:r w:rsidRPr="005B4606">
              <w:rPr>
                <w:szCs w:val="24"/>
              </w:rPr>
              <w:t xml:space="preserve">Противопоказаний </w:t>
            </w:r>
          </w:p>
          <w:p w:rsidR="00457002" w:rsidRPr="005B4606" w:rsidRDefault="00457002" w:rsidP="009A0687">
            <w:pPr>
              <w:spacing w:line="240" w:lineRule="auto"/>
              <w:rPr>
                <w:szCs w:val="24"/>
              </w:rPr>
            </w:pPr>
            <w:r w:rsidRPr="005B4606">
              <w:rPr>
                <w:szCs w:val="24"/>
              </w:rPr>
              <w:t>к анти-CD20 нет</w:t>
            </w:r>
          </w:p>
        </w:tc>
      </w:tr>
      <w:tr w:rsidR="00457002" w:rsidRPr="005B4606" w:rsidTr="000A139D">
        <w:tc>
          <w:tcPr>
            <w:tcW w:w="2922" w:type="dxa"/>
            <w:shd w:val="clear" w:color="auto" w:fill="auto"/>
          </w:tcPr>
          <w:p w:rsidR="00457002" w:rsidRPr="005B4606" w:rsidRDefault="00457002" w:rsidP="009A0687">
            <w:pPr>
              <w:spacing w:line="240" w:lineRule="auto"/>
              <w:rPr>
                <w:szCs w:val="24"/>
              </w:rPr>
            </w:pPr>
            <w:r w:rsidRPr="005B4606">
              <w:rPr>
                <w:szCs w:val="24"/>
              </w:rPr>
              <w:t>Реконвалесцент</w:t>
            </w:r>
          </w:p>
        </w:tc>
        <w:tc>
          <w:tcPr>
            <w:tcW w:w="73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992"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8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79" w:type="dxa"/>
            <w:shd w:val="clear" w:color="auto" w:fill="auto"/>
          </w:tcPr>
          <w:p w:rsidR="00457002" w:rsidRPr="005B4606" w:rsidRDefault="00457002" w:rsidP="009A0687">
            <w:pPr>
              <w:spacing w:line="240" w:lineRule="auto"/>
              <w:jc w:val="center"/>
              <w:rPr>
                <w:szCs w:val="24"/>
              </w:rPr>
            </w:pPr>
            <w:r w:rsidRPr="005B4606">
              <w:rPr>
                <w:szCs w:val="24"/>
              </w:rPr>
              <w:t>–</w:t>
            </w:r>
          </w:p>
        </w:tc>
        <w:tc>
          <w:tcPr>
            <w:tcW w:w="2948" w:type="dxa"/>
            <w:shd w:val="clear" w:color="auto" w:fill="auto"/>
          </w:tcPr>
          <w:p w:rsidR="00457002" w:rsidRPr="005B4606" w:rsidRDefault="00457002" w:rsidP="009A0687">
            <w:pPr>
              <w:spacing w:line="240" w:lineRule="auto"/>
              <w:rPr>
                <w:szCs w:val="24"/>
              </w:rPr>
            </w:pPr>
            <w:r w:rsidRPr="005B4606">
              <w:rPr>
                <w:szCs w:val="24"/>
              </w:rPr>
              <w:t xml:space="preserve">Противопоказаний </w:t>
            </w:r>
          </w:p>
          <w:p w:rsidR="00457002" w:rsidRPr="005B4606" w:rsidRDefault="00457002" w:rsidP="009A0687">
            <w:pPr>
              <w:spacing w:line="240" w:lineRule="auto"/>
              <w:rPr>
                <w:szCs w:val="24"/>
              </w:rPr>
            </w:pPr>
            <w:r w:rsidRPr="005B4606">
              <w:rPr>
                <w:szCs w:val="24"/>
              </w:rPr>
              <w:t xml:space="preserve">к анти-CD20 нет </w:t>
            </w:r>
          </w:p>
        </w:tc>
      </w:tr>
      <w:tr w:rsidR="00457002" w:rsidRPr="005B4606" w:rsidTr="000A139D">
        <w:tc>
          <w:tcPr>
            <w:tcW w:w="2922" w:type="dxa"/>
            <w:shd w:val="clear" w:color="auto" w:fill="auto"/>
          </w:tcPr>
          <w:p w:rsidR="00457002" w:rsidRPr="005B4606" w:rsidRDefault="00457002" w:rsidP="009A0687">
            <w:pPr>
              <w:spacing w:line="240" w:lineRule="auto"/>
              <w:rPr>
                <w:szCs w:val="24"/>
              </w:rPr>
            </w:pPr>
            <w:r w:rsidRPr="005B4606">
              <w:rPr>
                <w:szCs w:val="24"/>
              </w:rPr>
              <w:t>Возможное латентное носительство HBV</w:t>
            </w:r>
          </w:p>
        </w:tc>
        <w:tc>
          <w:tcPr>
            <w:tcW w:w="73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992"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8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79" w:type="dxa"/>
            <w:shd w:val="clear" w:color="auto" w:fill="auto"/>
          </w:tcPr>
          <w:p w:rsidR="00457002" w:rsidRPr="005B4606" w:rsidRDefault="00457002" w:rsidP="009A0687">
            <w:pPr>
              <w:spacing w:line="240" w:lineRule="auto"/>
              <w:jc w:val="center"/>
              <w:rPr>
                <w:szCs w:val="24"/>
              </w:rPr>
            </w:pPr>
            <w:r w:rsidRPr="005B4606">
              <w:rPr>
                <w:szCs w:val="24"/>
              </w:rPr>
              <w:t>+/-</w:t>
            </w:r>
          </w:p>
        </w:tc>
        <w:tc>
          <w:tcPr>
            <w:tcW w:w="2948" w:type="dxa"/>
            <w:shd w:val="clear" w:color="auto" w:fill="auto"/>
          </w:tcPr>
          <w:p w:rsidR="00457002" w:rsidRPr="005B4606" w:rsidRDefault="00457002" w:rsidP="009A0687">
            <w:pPr>
              <w:spacing w:line="240" w:lineRule="auto"/>
              <w:rPr>
                <w:szCs w:val="24"/>
              </w:rPr>
            </w:pPr>
            <w:r w:rsidRPr="005B4606">
              <w:rPr>
                <w:szCs w:val="24"/>
              </w:rPr>
              <w:t xml:space="preserve">Контроль ДНК HBV каждые 2 </w:t>
            </w:r>
            <w:r w:rsidR="00F07AA9">
              <w:rPr>
                <w:szCs w:val="24"/>
              </w:rPr>
              <w:t>мес.</w:t>
            </w:r>
            <w:r w:rsidRPr="005B4606">
              <w:rPr>
                <w:szCs w:val="24"/>
              </w:rPr>
              <w:t xml:space="preserve"> во время терапии анти-CD20, назначение противовирусной терапии при появлении HBsAg или</w:t>
            </w:r>
            <w:r w:rsidR="00DD3D1E">
              <w:rPr>
                <w:szCs w:val="24"/>
              </w:rPr>
              <w:t xml:space="preserve"> </w:t>
            </w:r>
            <w:r w:rsidRPr="005B4606">
              <w:rPr>
                <w:szCs w:val="24"/>
              </w:rPr>
              <w:t>ДНК HBV</w:t>
            </w:r>
          </w:p>
        </w:tc>
      </w:tr>
      <w:tr w:rsidR="00457002" w:rsidRPr="005B4606" w:rsidTr="000A139D">
        <w:tc>
          <w:tcPr>
            <w:tcW w:w="2922" w:type="dxa"/>
            <w:shd w:val="clear" w:color="auto" w:fill="auto"/>
          </w:tcPr>
          <w:p w:rsidR="00457002" w:rsidRPr="005B4606" w:rsidRDefault="00457002" w:rsidP="009A0687">
            <w:pPr>
              <w:spacing w:line="240" w:lineRule="auto"/>
              <w:rPr>
                <w:szCs w:val="24"/>
              </w:rPr>
            </w:pPr>
            <w:r w:rsidRPr="005B4606">
              <w:rPr>
                <w:szCs w:val="24"/>
              </w:rPr>
              <w:t>Неактивное носительство HBsAg</w:t>
            </w:r>
          </w:p>
        </w:tc>
        <w:tc>
          <w:tcPr>
            <w:tcW w:w="73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992" w:type="dxa"/>
            <w:shd w:val="clear" w:color="auto" w:fill="auto"/>
          </w:tcPr>
          <w:p w:rsidR="00457002" w:rsidRPr="005B4606" w:rsidRDefault="000A139D" w:rsidP="009A0687">
            <w:pPr>
              <w:spacing w:line="240" w:lineRule="auto"/>
              <w:jc w:val="center"/>
              <w:rPr>
                <w:szCs w:val="24"/>
              </w:rPr>
            </w:pPr>
            <w:r>
              <w:rPr>
                <w:szCs w:val="24"/>
              </w:rPr>
              <w:t>±</w:t>
            </w:r>
          </w:p>
        </w:tc>
        <w:tc>
          <w:tcPr>
            <w:tcW w:w="88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79" w:type="dxa"/>
            <w:shd w:val="clear" w:color="auto" w:fill="auto"/>
          </w:tcPr>
          <w:p w:rsidR="00457002" w:rsidRPr="005B4606" w:rsidRDefault="000A139D" w:rsidP="009A0687">
            <w:pPr>
              <w:spacing w:line="240" w:lineRule="auto"/>
              <w:jc w:val="center"/>
              <w:rPr>
                <w:szCs w:val="24"/>
              </w:rPr>
            </w:pPr>
            <w:r>
              <w:rPr>
                <w:szCs w:val="24"/>
              </w:rPr>
              <w:t>±</w:t>
            </w:r>
          </w:p>
        </w:tc>
        <w:tc>
          <w:tcPr>
            <w:tcW w:w="2948" w:type="dxa"/>
            <w:shd w:val="clear" w:color="auto" w:fill="auto"/>
          </w:tcPr>
          <w:p w:rsidR="00457002" w:rsidRPr="005B4606" w:rsidRDefault="00457002" w:rsidP="009A0687">
            <w:pPr>
              <w:spacing w:line="240" w:lineRule="auto"/>
              <w:rPr>
                <w:szCs w:val="24"/>
              </w:rPr>
            </w:pPr>
            <w:r w:rsidRPr="005B4606">
              <w:rPr>
                <w:szCs w:val="24"/>
              </w:rPr>
              <w:t>Назначение противовирусных препаратов во время терапии анти-CD20+ + год после окончания</w:t>
            </w:r>
          </w:p>
        </w:tc>
      </w:tr>
      <w:tr w:rsidR="00457002" w:rsidRPr="005B4606" w:rsidTr="000A139D">
        <w:tc>
          <w:tcPr>
            <w:tcW w:w="2922" w:type="dxa"/>
            <w:shd w:val="clear" w:color="auto" w:fill="auto"/>
          </w:tcPr>
          <w:p w:rsidR="00457002" w:rsidRPr="005B4606" w:rsidRDefault="00457002" w:rsidP="009A0687">
            <w:pPr>
              <w:spacing w:line="240" w:lineRule="auto"/>
              <w:rPr>
                <w:szCs w:val="24"/>
              </w:rPr>
            </w:pPr>
            <w:r w:rsidRPr="005B4606">
              <w:rPr>
                <w:szCs w:val="24"/>
              </w:rPr>
              <w:t>Хронический гепатит B</w:t>
            </w:r>
          </w:p>
        </w:tc>
        <w:tc>
          <w:tcPr>
            <w:tcW w:w="73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992"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80" w:type="dxa"/>
            <w:shd w:val="clear" w:color="auto" w:fill="auto"/>
          </w:tcPr>
          <w:p w:rsidR="00457002" w:rsidRPr="005B4606" w:rsidRDefault="00457002" w:rsidP="009A0687">
            <w:pPr>
              <w:spacing w:line="240" w:lineRule="auto"/>
              <w:jc w:val="center"/>
              <w:rPr>
                <w:szCs w:val="24"/>
              </w:rPr>
            </w:pPr>
            <w:r w:rsidRPr="005B4606">
              <w:rPr>
                <w:szCs w:val="24"/>
              </w:rPr>
              <w:t>*</w:t>
            </w:r>
          </w:p>
        </w:tc>
        <w:tc>
          <w:tcPr>
            <w:tcW w:w="879" w:type="dxa"/>
            <w:shd w:val="clear" w:color="auto" w:fill="auto"/>
          </w:tcPr>
          <w:p w:rsidR="00457002" w:rsidRPr="005B4606" w:rsidRDefault="000A139D" w:rsidP="000A139D">
            <w:pPr>
              <w:spacing w:line="240" w:lineRule="auto"/>
              <w:jc w:val="center"/>
              <w:rPr>
                <w:szCs w:val="24"/>
              </w:rPr>
            </w:pPr>
            <w:r>
              <w:rPr>
                <w:szCs w:val="24"/>
              </w:rPr>
              <w:t>±</w:t>
            </w:r>
          </w:p>
        </w:tc>
        <w:tc>
          <w:tcPr>
            <w:tcW w:w="2948" w:type="dxa"/>
            <w:shd w:val="clear" w:color="auto" w:fill="auto"/>
          </w:tcPr>
          <w:p w:rsidR="00457002" w:rsidRPr="005B4606" w:rsidRDefault="00457002" w:rsidP="000A139D">
            <w:pPr>
              <w:spacing w:line="240" w:lineRule="auto"/>
              <w:jc w:val="left"/>
              <w:rPr>
                <w:szCs w:val="24"/>
              </w:rPr>
            </w:pPr>
            <w:r w:rsidRPr="005B4606">
              <w:rPr>
                <w:szCs w:val="24"/>
              </w:rPr>
              <w:t>Отказаться от анти-CD20 или противо</w:t>
            </w:r>
            <w:r w:rsidR="000A139D">
              <w:rPr>
                <w:szCs w:val="24"/>
              </w:rPr>
              <w:softHyphen/>
            </w:r>
            <w:r w:rsidRPr="005B4606">
              <w:rPr>
                <w:szCs w:val="24"/>
              </w:rPr>
              <w:t xml:space="preserve">вирусная терапия до терапии, весь период лечения + </w:t>
            </w:r>
            <w:r w:rsidR="000A139D">
              <w:rPr>
                <w:szCs w:val="24"/>
              </w:rPr>
              <w:t xml:space="preserve">1 </w:t>
            </w:r>
            <w:r w:rsidRPr="005B4606">
              <w:rPr>
                <w:szCs w:val="24"/>
              </w:rPr>
              <w:t xml:space="preserve">год после окончания* </w:t>
            </w:r>
          </w:p>
        </w:tc>
      </w:tr>
    </w:tbl>
    <w:p w:rsidR="00457002" w:rsidRPr="000A139D" w:rsidRDefault="00457002" w:rsidP="000A139D">
      <w:pPr>
        <w:ind w:firstLine="709"/>
      </w:pPr>
      <w:r>
        <w:t>*</w:t>
      </w:r>
      <w:r w:rsidR="000A139D">
        <w:t> </w:t>
      </w:r>
      <w:r>
        <w:t>При необходимости назначения анти-CD20 показан постоянный прием энтекавира** 0,5 мг/сут.</w:t>
      </w:r>
      <w:r w:rsidR="00DD3D1E">
        <w:t xml:space="preserve"> </w:t>
      </w:r>
      <w:r>
        <w:t>Энтекавир**</w:t>
      </w:r>
      <w:r w:rsidR="00DD3D1E">
        <w:t xml:space="preserve"> </w:t>
      </w:r>
      <w:r>
        <w:t xml:space="preserve">назначают на весь период лечения/поддерживающей терапии и не менее </w:t>
      </w:r>
      <w:r w:rsidR="000A139D">
        <w:t xml:space="preserve">1 </w:t>
      </w:r>
      <w:r>
        <w:t xml:space="preserve">года после завершения иммуносупрессивной терапии при неоднократных отрицательных результатах тестирования </w:t>
      </w:r>
      <w:r w:rsidR="000A139D">
        <w:t xml:space="preserve">на </w:t>
      </w:r>
      <w:r>
        <w:t xml:space="preserve">ДНК вируса гепатита B в крови. Оптимальная продолжительность терапии энтекавиром** после завершения терапии ритуксимабом** не определена. Если пациенту с ХЛЛ специфическая терапия не показана, в профилактическом назначении энтекавира** нет необходимости. Ламивудин не должен применяться у пациентов с ХЛЛ, </w:t>
      </w:r>
      <w:r>
        <w:lastRenderedPageBreak/>
        <w:t xml:space="preserve">поскольку речь всегда идет о длительном приеме противовирусных препаратов. К концу </w:t>
      </w:r>
      <w:r w:rsidR="000A139D">
        <w:t>2-го</w:t>
      </w:r>
      <w:r>
        <w:t xml:space="preserve"> года приема ламивудина к этому препарату устойчиво более 40</w:t>
      </w:r>
      <w:r w:rsidR="00DD3D1E">
        <w:t xml:space="preserve"> %</w:t>
      </w:r>
      <w:r>
        <w:t xml:space="preserve"> штаммов HBV, к концу </w:t>
      </w:r>
      <w:r w:rsidR="000A139D">
        <w:t>4-го</w:t>
      </w:r>
      <w:r>
        <w:t xml:space="preserve"> года приема – 70</w:t>
      </w:r>
      <w:r w:rsidR="00DD3D1E">
        <w:t xml:space="preserve"> %</w:t>
      </w:r>
      <w:r>
        <w:t xml:space="preserve"> штаммов HBV. При развитии устойчивости к энтекавиру** показан переход на</w:t>
      </w:r>
      <w:r w:rsidR="000A139D">
        <w:t xml:space="preserve"> тенофовир**.</w:t>
      </w:r>
    </w:p>
    <w:p w:rsidR="00457002" w:rsidRPr="000A442F" w:rsidRDefault="00D73887" w:rsidP="000A442F">
      <w:pPr>
        <w:pStyle w:val="2"/>
      </w:pPr>
      <w:bookmarkStart w:id="88" w:name="_Toc24546458"/>
      <w:bookmarkStart w:id="89" w:name="_Toc23601740"/>
      <w:r>
        <w:rPr>
          <w:bCs/>
        </w:rPr>
        <w:t xml:space="preserve">Приложение </w:t>
      </w:r>
      <w:r w:rsidR="00457002" w:rsidRPr="000A442F">
        <w:rPr>
          <w:bCs/>
        </w:rPr>
        <w:t>А3.2</w:t>
      </w:r>
      <w:r w:rsidR="00F07AA9">
        <w:rPr>
          <w:bCs/>
        </w:rPr>
        <w:t>.</w:t>
      </w:r>
      <w:r w:rsidR="00457002" w:rsidRPr="000A442F">
        <w:rPr>
          <w:bCs/>
        </w:rPr>
        <w:t xml:space="preserve"> </w:t>
      </w:r>
      <w:r w:rsidR="00457002" w:rsidRPr="000A442F">
        <w:t>Показания к началу лечения ХЛЛ/ЛМЛ</w:t>
      </w:r>
      <w:bookmarkEnd w:id="88"/>
      <w:bookmarkEnd w:id="89"/>
    </w:p>
    <w:p w:rsidR="00457002" w:rsidRPr="0072780B" w:rsidRDefault="00457002" w:rsidP="00457002">
      <w:pPr>
        <w:ind w:firstLine="709"/>
      </w:pPr>
      <w:r>
        <w:t xml:space="preserve">Терапия ХЛЛ/ЛМЛ должна начинаться при наличии как минимум </w:t>
      </w:r>
      <w:r w:rsidR="00F07AA9">
        <w:t>1</w:t>
      </w:r>
      <w:r>
        <w:t xml:space="preserve"> из следующих </w:t>
      </w:r>
      <w:r w:rsidRPr="0072780B">
        <w:t xml:space="preserve">показаний по критериям </w:t>
      </w:r>
      <w:r w:rsidR="008502F5" w:rsidRPr="0072780B">
        <w:t>IWCLL</w:t>
      </w:r>
      <w:r w:rsidRPr="0072780B">
        <w:t xml:space="preserve"> 2018</w:t>
      </w:r>
      <w:r w:rsidR="00D4168D" w:rsidRPr="00D4168D">
        <w:t xml:space="preserve"> </w:t>
      </w:r>
      <w:r w:rsidR="000B0AC3">
        <w:fldChar w:fldCharType="begin" w:fldLock="1"/>
      </w:r>
      <w:r w:rsidR="00DE7500">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4168D" w:rsidRPr="00D4168D">
        <w:rPr>
          <w:noProof/>
        </w:rPr>
        <w:t>[12]</w:t>
      </w:r>
      <w:r w:rsidR="000B0AC3">
        <w:fldChar w:fldCharType="end"/>
      </w:r>
      <w:r w:rsidRPr="0072780B">
        <w:t>:</w:t>
      </w:r>
    </w:p>
    <w:p w:rsidR="00457002" w:rsidRPr="0072780B" w:rsidRDefault="00457002" w:rsidP="000A139D">
      <w:pPr>
        <w:pStyle w:val="a"/>
        <w:numPr>
          <w:ilvl w:val="0"/>
          <w:numId w:val="2"/>
        </w:numPr>
        <w:spacing w:before="120"/>
      </w:pPr>
      <w:r w:rsidRPr="0072780B">
        <w:t>Стадия С по J.L.</w:t>
      </w:r>
      <w:r w:rsidR="000A139D">
        <w:t xml:space="preserve"> </w:t>
      </w:r>
      <w:r w:rsidRPr="0072780B">
        <w:rPr>
          <w:lang w:val="en-US"/>
        </w:rPr>
        <w:t>Binet</w:t>
      </w:r>
      <w:r w:rsidR="000A139D">
        <w:t>.</w:t>
      </w:r>
    </w:p>
    <w:p w:rsidR="00457002" w:rsidRPr="0072780B" w:rsidRDefault="00457002" w:rsidP="000A139D">
      <w:pPr>
        <w:pStyle w:val="a"/>
        <w:numPr>
          <w:ilvl w:val="0"/>
          <w:numId w:val="2"/>
        </w:numPr>
        <w:spacing w:before="120"/>
      </w:pPr>
      <w:r w:rsidRPr="0072780B">
        <w:t>Один или более симптомов интоксикации:</w:t>
      </w:r>
    </w:p>
    <w:p w:rsidR="00457002" w:rsidRPr="0072780B" w:rsidRDefault="00457002" w:rsidP="000A139D">
      <w:pPr>
        <w:pStyle w:val="a"/>
        <w:numPr>
          <w:ilvl w:val="0"/>
          <w:numId w:val="42"/>
        </w:numPr>
        <w:spacing w:before="120"/>
      </w:pPr>
      <w:r w:rsidRPr="0072780B">
        <w:t>потеря &gt;10</w:t>
      </w:r>
      <w:r w:rsidR="00DD3D1E">
        <w:t xml:space="preserve"> %</w:t>
      </w:r>
      <w:r w:rsidRPr="0072780B">
        <w:t xml:space="preserve"> массы тела за 6 мес</w:t>
      </w:r>
      <w:r w:rsidR="000A139D">
        <w:t>.</w:t>
      </w:r>
      <w:r w:rsidRPr="0072780B">
        <w:t xml:space="preserve"> (если пациент не принимал меры </w:t>
      </w:r>
      <w:r w:rsidR="000A139D">
        <w:t xml:space="preserve">для </w:t>
      </w:r>
      <w:r w:rsidRPr="0072780B">
        <w:t>похудани</w:t>
      </w:r>
      <w:r w:rsidR="000A139D">
        <w:t>я</w:t>
      </w:r>
      <w:r w:rsidRPr="0072780B">
        <w:t>);</w:t>
      </w:r>
    </w:p>
    <w:p w:rsidR="00457002" w:rsidRPr="0072780B" w:rsidRDefault="00457002" w:rsidP="000A139D">
      <w:pPr>
        <w:pStyle w:val="a"/>
        <w:numPr>
          <w:ilvl w:val="0"/>
          <w:numId w:val="42"/>
        </w:numPr>
        <w:spacing w:before="120"/>
      </w:pPr>
      <w:r w:rsidRPr="0072780B">
        <w:t>слабость (общее состояние по ECOG ≥2, нетрудоспособность);</w:t>
      </w:r>
    </w:p>
    <w:p w:rsidR="00457002" w:rsidRPr="0072780B" w:rsidRDefault="00457002" w:rsidP="000A139D">
      <w:pPr>
        <w:pStyle w:val="a"/>
        <w:numPr>
          <w:ilvl w:val="0"/>
          <w:numId w:val="42"/>
        </w:numPr>
        <w:spacing w:before="120"/>
      </w:pPr>
      <w:r w:rsidRPr="0072780B">
        <w:t xml:space="preserve">субфебрильная лихорадка в течение </w:t>
      </w:r>
      <w:r w:rsidRPr="0072780B">
        <w:rPr>
          <w:rFonts w:cs="Calibri"/>
        </w:rPr>
        <w:t>≥</w:t>
      </w:r>
      <w:r w:rsidRPr="0072780B">
        <w:t xml:space="preserve">2 </w:t>
      </w:r>
      <w:r w:rsidR="00F07AA9">
        <w:t>нед.</w:t>
      </w:r>
      <w:r w:rsidRPr="0072780B">
        <w:t xml:space="preserve"> без признаков инфекции;</w:t>
      </w:r>
    </w:p>
    <w:p w:rsidR="00457002" w:rsidRPr="0072780B" w:rsidRDefault="00457002" w:rsidP="000A139D">
      <w:pPr>
        <w:pStyle w:val="a"/>
        <w:numPr>
          <w:ilvl w:val="0"/>
          <w:numId w:val="42"/>
        </w:numPr>
        <w:spacing w:before="120"/>
      </w:pPr>
      <w:r w:rsidRPr="0072780B">
        <w:t xml:space="preserve">ночные поты, сохраняющиеся более </w:t>
      </w:r>
      <w:r w:rsidR="000A139D">
        <w:t xml:space="preserve">1 </w:t>
      </w:r>
      <w:r w:rsidRPr="0072780B">
        <w:t>мес</w:t>
      </w:r>
      <w:r w:rsidR="000A139D">
        <w:t>.,</w:t>
      </w:r>
      <w:r w:rsidRPr="0072780B">
        <w:t xml:space="preserve"> без признаков инфекции.</w:t>
      </w:r>
    </w:p>
    <w:p w:rsidR="00457002" w:rsidRPr="0072780B" w:rsidRDefault="00457002" w:rsidP="000A139D">
      <w:pPr>
        <w:pStyle w:val="a"/>
        <w:numPr>
          <w:ilvl w:val="0"/>
          <w:numId w:val="2"/>
        </w:numPr>
        <w:spacing w:before="120"/>
      </w:pPr>
      <w:r w:rsidRPr="0072780B">
        <w:t>Нарастающая анемия и/или тромбоцитопения, обусловленная инфильтрацией костного мозга.</w:t>
      </w:r>
    </w:p>
    <w:p w:rsidR="00457002" w:rsidRPr="0072780B" w:rsidRDefault="00457002" w:rsidP="000A139D">
      <w:pPr>
        <w:pStyle w:val="a"/>
        <w:numPr>
          <w:ilvl w:val="0"/>
          <w:numId w:val="2"/>
        </w:numPr>
        <w:spacing w:before="120"/>
      </w:pPr>
      <w:r w:rsidRPr="0072780B">
        <w:t>Аутоиммунная анемия и/или тромбоцитопения, резистентн</w:t>
      </w:r>
      <w:r w:rsidR="000A139D">
        <w:t>ая</w:t>
      </w:r>
      <w:r w:rsidRPr="0072780B">
        <w:t xml:space="preserve"> к преднизолону.</w:t>
      </w:r>
    </w:p>
    <w:p w:rsidR="00457002" w:rsidRPr="0072780B" w:rsidRDefault="00457002" w:rsidP="000A139D">
      <w:pPr>
        <w:pStyle w:val="a"/>
        <w:numPr>
          <w:ilvl w:val="0"/>
          <w:numId w:val="2"/>
        </w:numPr>
        <w:spacing w:before="120"/>
      </w:pPr>
      <w:r w:rsidRPr="0072780B">
        <w:t>Большие размеры селезенки (&gt;6 см ниже реберной дуги), явное увеличение органа.</w:t>
      </w:r>
    </w:p>
    <w:p w:rsidR="00457002" w:rsidRPr="0072780B" w:rsidRDefault="00457002" w:rsidP="000A139D">
      <w:pPr>
        <w:pStyle w:val="a"/>
        <w:numPr>
          <w:ilvl w:val="0"/>
          <w:numId w:val="2"/>
        </w:numPr>
        <w:spacing w:before="120"/>
      </w:pPr>
      <w:r w:rsidRPr="0072780B">
        <w:t>Массивная (</w:t>
      </w:r>
      <w:r w:rsidRPr="0072780B">
        <w:rPr>
          <w:rFonts w:cs="Calibri"/>
        </w:rPr>
        <w:t>≥</w:t>
      </w:r>
      <w:r w:rsidRPr="0072780B">
        <w:t>10 см в максимальном диаметре) и/или нарастающая лимфаденопатия.</w:t>
      </w:r>
    </w:p>
    <w:p w:rsidR="000A442F" w:rsidRPr="0072780B" w:rsidRDefault="00457002" w:rsidP="000A139D">
      <w:pPr>
        <w:pStyle w:val="a"/>
        <w:numPr>
          <w:ilvl w:val="0"/>
          <w:numId w:val="2"/>
        </w:numPr>
        <w:spacing w:before="120"/>
      </w:pPr>
      <w:r w:rsidRPr="0072780B">
        <w:t xml:space="preserve">Время удвоения </w:t>
      </w:r>
      <w:r w:rsidR="000A139D">
        <w:t xml:space="preserve">числа </w:t>
      </w:r>
      <w:r w:rsidRPr="0072780B">
        <w:t>лимфоцитов менее 6 мес.</w:t>
      </w:r>
    </w:p>
    <w:p w:rsidR="00457002" w:rsidRDefault="00457002" w:rsidP="000A139D">
      <w:pPr>
        <w:pStyle w:val="a"/>
        <w:numPr>
          <w:ilvl w:val="0"/>
          <w:numId w:val="2"/>
        </w:numPr>
        <w:spacing w:before="120"/>
      </w:pPr>
      <w:r w:rsidRPr="0072780B">
        <w:t>Экстранодальное поражение, симптомное или влияющее на функцию пораженного органа.</w:t>
      </w:r>
    </w:p>
    <w:p w:rsidR="00457002" w:rsidRPr="00D4168D" w:rsidRDefault="00D73887" w:rsidP="00D4168D">
      <w:pPr>
        <w:pStyle w:val="2"/>
      </w:pPr>
      <w:bookmarkStart w:id="90" w:name="_Toc24546459"/>
      <w:bookmarkStart w:id="91" w:name="_Toc23601741"/>
      <w:r>
        <w:t xml:space="preserve">Приложение </w:t>
      </w:r>
      <w:r w:rsidR="00AA4B03">
        <w:t>А</w:t>
      </w:r>
      <w:r w:rsidR="00457002" w:rsidRPr="00822273">
        <w:t>3.3</w:t>
      </w:r>
      <w:r w:rsidR="00F07AA9">
        <w:t>.</w:t>
      </w:r>
      <w:r w:rsidR="00457002" w:rsidRPr="00822273">
        <w:t xml:space="preserve"> Режимы лекарственного лечения ХЛЛ</w:t>
      </w:r>
      <w:bookmarkEnd w:id="90"/>
      <w:bookmarkEnd w:id="91"/>
    </w:p>
    <w:p w:rsidR="00457002" w:rsidRPr="00B74F71" w:rsidRDefault="00457002" w:rsidP="00457002">
      <w:pPr>
        <w:contextualSpacing/>
        <w:rPr>
          <w:rFonts w:eastAsia="Times New Roman"/>
          <w:b/>
          <w:i/>
          <w:lang w:eastAsia="ru-RU"/>
        </w:rPr>
      </w:pPr>
      <w:r w:rsidRPr="00B74F71">
        <w:rPr>
          <w:rFonts w:eastAsia="Times New Roman"/>
          <w:b/>
          <w:i/>
          <w:lang w:eastAsia="ru-RU"/>
        </w:rPr>
        <w:t>М</w:t>
      </w:r>
      <w:r>
        <w:rPr>
          <w:rFonts w:eastAsia="Times New Roman"/>
          <w:b/>
          <w:i/>
          <w:lang w:eastAsia="ru-RU"/>
        </w:rPr>
        <w:t>онотерапия</w:t>
      </w:r>
    </w:p>
    <w:p w:rsidR="00457002" w:rsidRPr="009D6AF4" w:rsidRDefault="00457002" w:rsidP="00457002">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курсовой формат</w:t>
      </w:r>
    </w:p>
    <w:p w:rsidR="00457002" w:rsidRPr="009D6AF4" w:rsidRDefault="00457002" w:rsidP="00BE7488">
      <w:pPr>
        <w:numPr>
          <w:ilvl w:val="0"/>
          <w:numId w:val="5"/>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10 мг/м</w:t>
      </w:r>
      <w:r w:rsidRPr="009D6AF4">
        <w:rPr>
          <w:rFonts w:eastAsia="Times New Roman"/>
          <w:vertAlign w:val="superscript"/>
          <w:lang w:eastAsia="ru-RU"/>
        </w:rPr>
        <w:t>2</w:t>
      </w:r>
      <w:r w:rsidRPr="009D6AF4">
        <w:rPr>
          <w:rFonts w:eastAsia="Times New Roman"/>
          <w:lang w:eastAsia="ru-RU"/>
        </w:rPr>
        <w:t xml:space="preserve"> внутрь</w:t>
      </w:r>
      <w:r w:rsidR="000A139D" w:rsidRPr="009D6AF4">
        <w:rPr>
          <w:rFonts w:eastAsia="Times New Roman"/>
          <w:lang w:eastAsia="ru-RU"/>
        </w:rPr>
        <w:t xml:space="preserve"> в</w:t>
      </w:r>
      <w:r w:rsidRPr="009D6AF4">
        <w:rPr>
          <w:rFonts w:eastAsia="Times New Roman"/>
          <w:lang w:eastAsia="ru-RU"/>
        </w:rPr>
        <w:t xml:space="preserve"> 1</w:t>
      </w:r>
      <w:r w:rsidR="000A139D" w:rsidRPr="009D6AF4">
        <w:rPr>
          <w:rFonts w:eastAsia="Times New Roman"/>
          <w:lang w:eastAsia="ru-RU"/>
        </w:rPr>
        <w:t>–</w:t>
      </w:r>
      <w:r w:rsidRPr="009D6AF4">
        <w:rPr>
          <w:rFonts w:eastAsia="Times New Roman"/>
          <w:lang w:eastAsia="ru-RU"/>
        </w:rPr>
        <w:t>7</w:t>
      </w:r>
      <w:r w:rsidR="000A139D" w:rsidRPr="009D6AF4">
        <w:rPr>
          <w:rFonts w:eastAsia="Times New Roman"/>
          <w:lang w:eastAsia="ru-RU"/>
        </w:rPr>
        <w:t>-й дни.</w:t>
      </w:r>
    </w:p>
    <w:p w:rsidR="00457002" w:rsidRPr="009D6AF4" w:rsidRDefault="00457002" w:rsidP="00457002">
      <w:pPr>
        <w:contextualSpacing/>
        <w:rPr>
          <w:rFonts w:eastAsia="Times New Roman"/>
          <w:lang w:eastAsia="ru-RU"/>
        </w:rPr>
      </w:pPr>
      <w:r w:rsidRPr="009D6AF4">
        <w:rPr>
          <w:rFonts w:eastAsia="Times New Roman"/>
          <w:lang w:eastAsia="ru-RU"/>
        </w:rPr>
        <w:t>Лечение возобновляется на 29</w:t>
      </w:r>
      <w:r w:rsidR="000A139D" w:rsidRPr="009D6AF4">
        <w:rPr>
          <w:rFonts w:eastAsia="Times New Roman"/>
          <w:lang w:eastAsia="ru-RU"/>
        </w:rPr>
        <w:t>-й</w:t>
      </w:r>
      <w:r w:rsidRPr="009D6AF4">
        <w:rPr>
          <w:rFonts w:eastAsia="Times New Roman"/>
          <w:lang w:eastAsia="ru-RU"/>
        </w:rPr>
        <w:t xml:space="preserve"> день</w:t>
      </w:r>
      <w:r w:rsidR="000A139D" w:rsidRPr="009D6AF4">
        <w:rPr>
          <w:rFonts w:eastAsia="Times New Roman"/>
          <w:lang w:eastAsia="ru-RU"/>
        </w:rPr>
        <w:t>.</w:t>
      </w:r>
    </w:p>
    <w:p w:rsidR="00457002" w:rsidRPr="009D6AF4" w:rsidRDefault="00457002" w:rsidP="00457002">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постоянный формат</w:t>
      </w:r>
    </w:p>
    <w:p w:rsidR="00457002" w:rsidRPr="009D6AF4" w:rsidRDefault="00457002" w:rsidP="00BE7488">
      <w:pPr>
        <w:numPr>
          <w:ilvl w:val="0"/>
          <w:numId w:val="5"/>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0,07–0,2</w:t>
      </w:r>
      <w:r w:rsidR="000A139D" w:rsidRPr="009D6AF4">
        <w:rPr>
          <w:rFonts w:eastAsia="Times New Roman"/>
          <w:lang w:eastAsia="ru-RU"/>
        </w:rPr>
        <w:t>0</w:t>
      </w:r>
      <w:r w:rsidRPr="009D6AF4">
        <w:rPr>
          <w:rFonts w:eastAsia="Times New Roman"/>
          <w:lang w:eastAsia="ru-RU"/>
        </w:rPr>
        <w:t xml:space="preserve"> мг/кг внутрь ежедневно </w:t>
      </w:r>
      <w:r w:rsidR="000A139D" w:rsidRPr="009D6AF4">
        <w:rPr>
          <w:rFonts w:eastAsia="Times New Roman"/>
          <w:lang w:eastAsia="ru-RU"/>
        </w:rPr>
        <w:t xml:space="preserve">в течение </w:t>
      </w:r>
      <w:r w:rsidRPr="009D6AF4">
        <w:rPr>
          <w:rFonts w:eastAsia="Times New Roman"/>
          <w:lang w:eastAsia="ru-RU"/>
        </w:rPr>
        <w:t>2</w:t>
      </w:r>
      <w:r w:rsidR="000A139D" w:rsidRPr="009D6AF4">
        <w:rPr>
          <w:rFonts w:eastAsia="Times New Roman"/>
          <w:lang w:eastAsia="ru-RU"/>
        </w:rPr>
        <w:t>–</w:t>
      </w:r>
      <w:r w:rsidRPr="009D6AF4">
        <w:rPr>
          <w:rFonts w:eastAsia="Times New Roman"/>
          <w:lang w:eastAsia="ru-RU"/>
        </w:rPr>
        <w:t xml:space="preserve">4 </w:t>
      </w:r>
      <w:r w:rsidR="00F07AA9" w:rsidRPr="009D6AF4">
        <w:rPr>
          <w:rFonts w:eastAsia="Times New Roman"/>
          <w:lang w:eastAsia="ru-RU"/>
        </w:rPr>
        <w:t>нед.</w:t>
      </w:r>
      <w:r w:rsidRPr="009D6AF4">
        <w:rPr>
          <w:rFonts w:eastAsia="Times New Roman"/>
          <w:lang w:eastAsia="ru-RU"/>
        </w:rPr>
        <w:t xml:space="preserve"> с последующим подбором дозы</w:t>
      </w:r>
      <w:r w:rsidR="000A139D" w:rsidRPr="009D6AF4">
        <w:rPr>
          <w:rFonts w:eastAsia="Times New Roman"/>
          <w:lang w:eastAsia="ru-RU"/>
        </w:rPr>
        <w:t>.</w:t>
      </w:r>
    </w:p>
    <w:p w:rsidR="00457002" w:rsidRPr="009D6AF4" w:rsidRDefault="00457002" w:rsidP="00457002">
      <w:pPr>
        <w:contextualSpacing/>
        <w:rPr>
          <w:rFonts w:eastAsia="Times New Roman"/>
          <w:b/>
          <w:lang w:eastAsia="ru-RU"/>
        </w:rPr>
      </w:pPr>
      <w:r w:rsidRPr="009D6AF4">
        <w:rPr>
          <w:rFonts w:eastAsia="Times New Roman"/>
          <w:b/>
          <w:lang w:eastAsia="ru-RU"/>
        </w:rPr>
        <w:lastRenderedPageBreak/>
        <w:t xml:space="preserve">Монотерапия </w:t>
      </w:r>
      <w:r w:rsidR="000B3F2E" w:rsidRPr="009D6AF4">
        <w:rPr>
          <w:rFonts w:eastAsia="Times New Roman"/>
          <w:b/>
          <w:lang w:eastAsia="ru-RU"/>
        </w:rPr>
        <w:t>#</w:t>
      </w:r>
      <w:r w:rsidRPr="009D6AF4">
        <w:rPr>
          <w:rFonts w:eastAsia="Times New Roman"/>
          <w:b/>
          <w:lang w:eastAsia="ru-RU"/>
        </w:rPr>
        <w:t>бендамустином</w:t>
      </w:r>
      <w:r w:rsidR="00884D69" w:rsidRPr="009D6AF4">
        <w:rPr>
          <w:rFonts w:eastAsia="Times New Roman"/>
          <w:b/>
          <w:lang w:eastAsia="ru-RU"/>
        </w:rPr>
        <w:t>**</w:t>
      </w:r>
    </w:p>
    <w:p w:rsidR="00457002" w:rsidRPr="009D6AF4" w:rsidRDefault="000B3F2E" w:rsidP="00BE7488">
      <w:pPr>
        <w:numPr>
          <w:ilvl w:val="0"/>
          <w:numId w:val="5"/>
        </w:numPr>
        <w:contextualSpacing/>
        <w:rPr>
          <w:rFonts w:eastAsia="Times New Roman"/>
          <w:b/>
          <w:lang w:eastAsia="ru-RU"/>
        </w:rPr>
      </w:pPr>
      <w:r w:rsidRPr="009D6AF4">
        <w:rPr>
          <w:rFonts w:eastAsia="Times New Roman"/>
          <w:lang w:eastAsia="ru-RU"/>
        </w:rPr>
        <w:t>#</w:t>
      </w:r>
      <w:r w:rsidR="00457002" w:rsidRPr="009D6AF4">
        <w:rPr>
          <w:rFonts w:eastAsia="Times New Roman"/>
          <w:lang w:eastAsia="ru-RU"/>
        </w:rPr>
        <w:t xml:space="preserve">Бендамустин** </w:t>
      </w:r>
      <w:r w:rsidR="003F18B5" w:rsidRPr="009D6AF4">
        <w:rPr>
          <w:rFonts w:eastAsia="Times New Roman"/>
          <w:lang w:eastAsia="ru-RU"/>
        </w:rPr>
        <w:t xml:space="preserve">– </w:t>
      </w:r>
      <w:r w:rsidR="00457002" w:rsidRPr="009D6AF4">
        <w:rPr>
          <w:rFonts w:eastAsia="Times New Roman"/>
          <w:lang w:eastAsia="ru-RU"/>
        </w:rPr>
        <w:t>90 мг/м</w:t>
      </w:r>
      <w:r w:rsidR="00457002" w:rsidRPr="009D6AF4">
        <w:rPr>
          <w:rFonts w:eastAsia="Times New Roman"/>
          <w:vertAlign w:val="superscript"/>
          <w:lang w:eastAsia="ru-RU"/>
        </w:rPr>
        <w:t>2</w:t>
      </w:r>
      <w:r w:rsidR="003F18B5" w:rsidRPr="009D6AF4">
        <w:rPr>
          <w:rFonts w:eastAsia="Times New Roman"/>
          <w:lang w:eastAsia="ru-RU"/>
        </w:rPr>
        <w:t xml:space="preserve"> в/в в 1-й, 2-й дни.</w:t>
      </w:r>
    </w:p>
    <w:p w:rsidR="00457002" w:rsidRPr="009600FA" w:rsidRDefault="00457002" w:rsidP="003F18B5">
      <w:pPr>
        <w:contextualSpacing/>
        <w:rPr>
          <w:rFonts w:eastAsia="Times New Roman"/>
          <w:lang w:eastAsia="ru-RU"/>
        </w:rPr>
      </w:pPr>
      <w:r w:rsidRPr="009D6AF4">
        <w:rPr>
          <w:rFonts w:eastAsia="Times New Roman"/>
          <w:lang w:eastAsia="ru-RU"/>
        </w:rPr>
        <w:t>Лечение возобновляется на 29</w:t>
      </w:r>
      <w:r w:rsidR="003F18B5" w:rsidRPr="009D6AF4">
        <w:rPr>
          <w:rFonts w:eastAsia="Times New Roman"/>
          <w:lang w:eastAsia="ru-RU"/>
        </w:rPr>
        <w:t>-й</w:t>
      </w:r>
      <w:r w:rsidRPr="009D6AF4">
        <w:rPr>
          <w:rFonts w:eastAsia="Times New Roman"/>
          <w:lang w:eastAsia="ru-RU"/>
        </w:rPr>
        <w:t xml:space="preserve"> день</w:t>
      </w:r>
      <w:r w:rsidR="003F18B5" w:rsidRPr="009D6AF4">
        <w:rPr>
          <w:rFonts w:eastAsia="Times New Roman"/>
          <w:lang w:eastAsia="ru-RU"/>
        </w:rPr>
        <w:t>.</w:t>
      </w:r>
    </w:p>
    <w:p w:rsidR="00457002" w:rsidRPr="009600FA" w:rsidRDefault="00457002" w:rsidP="003F18B5">
      <w:pPr>
        <w:contextualSpacing/>
        <w:rPr>
          <w:rFonts w:eastAsia="Times New Roman"/>
          <w:b/>
          <w:lang w:eastAsia="ru-RU"/>
        </w:rPr>
      </w:pPr>
      <w:r w:rsidRPr="009600FA">
        <w:rPr>
          <w:rFonts w:eastAsia="Times New Roman"/>
          <w:b/>
          <w:lang w:eastAsia="ru-RU"/>
        </w:rPr>
        <w:t>Монотерапия ибрутинибом</w:t>
      </w:r>
      <w:r w:rsidR="00884D69">
        <w:rPr>
          <w:rFonts w:eastAsia="Times New Roman"/>
          <w:b/>
          <w:lang w:eastAsia="ru-RU"/>
        </w:rPr>
        <w:t>**</w:t>
      </w:r>
    </w:p>
    <w:p w:rsidR="00457002" w:rsidRPr="00C26D56" w:rsidRDefault="00457002" w:rsidP="003F18B5">
      <w:pPr>
        <w:pStyle w:val="a"/>
        <w:numPr>
          <w:ilvl w:val="0"/>
          <w:numId w:val="5"/>
        </w:numPr>
        <w:spacing w:before="0"/>
        <w:rPr>
          <w:lang w:eastAsia="ru-RU"/>
        </w:rPr>
      </w:pPr>
      <w:r w:rsidRPr="001811D1">
        <w:rPr>
          <w:lang w:eastAsia="ru-RU"/>
        </w:rPr>
        <w:t xml:space="preserve">Ибрутиниб** </w:t>
      </w:r>
      <w:r w:rsidR="003F18B5" w:rsidRPr="001811D1">
        <w:rPr>
          <w:lang w:eastAsia="ru-RU"/>
        </w:rPr>
        <w:t xml:space="preserve">– </w:t>
      </w:r>
      <w:r w:rsidRPr="001811D1">
        <w:rPr>
          <w:lang w:eastAsia="ru-RU"/>
        </w:rPr>
        <w:t>420 мг/сут (</w:t>
      </w:r>
      <w:r w:rsidR="003F18B5" w:rsidRPr="001811D1">
        <w:rPr>
          <w:lang w:eastAsia="ru-RU"/>
        </w:rPr>
        <w:t>3</w:t>
      </w:r>
      <w:r w:rsidRPr="001811D1">
        <w:rPr>
          <w:lang w:eastAsia="ru-RU"/>
        </w:rPr>
        <w:t xml:space="preserve"> капсулы) внутрь 1 раз в день до прогрессирования или </w:t>
      </w:r>
      <w:r w:rsidR="003F18B5" w:rsidRPr="001811D1">
        <w:rPr>
          <w:lang w:eastAsia="ru-RU"/>
        </w:rPr>
        <w:t xml:space="preserve">развития </w:t>
      </w:r>
      <w:r w:rsidRPr="001811D1">
        <w:rPr>
          <w:lang w:eastAsia="ru-RU"/>
        </w:rPr>
        <w:t>непереносимой</w:t>
      </w:r>
      <w:r w:rsidRPr="009600FA">
        <w:rPr>
          <w:lang w:eastAsia="ru-RU"/>
        </w:rPr>
        <w:t xml:space="preserve"> токсичности</w:t>
      </w:r>
      <w:r w:rsidR="003F18B5">
        <w:rPr>
          <w:lang w:eastAsia="ru-RU"/>
        </w:rPr>
        <w:t>.</w:t>
      </w:r>
    </w:p>
    <w:p w:rsidR="00457002" w:rsidRPr="009600FA" w:rsidRDefault="00457002" w:rsidP="003F18B5">
      <w:pPr>
        <w:contextualSpacing/>
        <w:rPr>
          <w:rFonts w:eastAsia="Times New Roman"/>
          <w:b/>
          <w:lang w:eastAsia="ru-RU"/>
        </w:rPr>
      </w:pPr>
      <w:r w:rsidRPr="009600FA">
        <w:rPr>
          <w:rFonts w:eastAsia="Times New Roman"/>
          <w:b/>
          <w:lang w:eastAsia="ru-RU"/>
        </w:rPr>
        <w:t>Монотерапия</w:t>
      </w:r>
      <w:r w:rsidR="00A24E62">
        <w:rPr>
          <w:rFonts w:eastAsia="Times New Roman"/>
          <w:b/>
          <w:lang w:eastAsia="ru-RU"/>
        </w:rPr>
        <w:t xml:space="preserve"> </w:t>
      </w:r>
      <w:r>
        <w:rPr>
          <w:rFonts w:eastAsia="Times New Roman"/>
          <w:b/>
          <w:lang w:eastAsia="ru-RU"/>
        </w:rPr>
        <w:t>венетоклаксом</w:t>
      </w:r>
    </w:p>
    <w:p w:rsidR="00457002" w:rsidRPr="00C26D56" w:rsidRDefault="00457002" w:rsidP="003F18B5">
      <w:pPr>
        <w:pStyle w:val="a"/>
        <w:numPr>
          <w:ilvl w:val="0"/>
          <w:numId w:val="5"/>
        </w:numPr>
        <w:spacing w:before="0"/>
        <w:rPr>
          <w:lang w:eastAsia="ru-RU"/>
        </w:rPr>
      </w:pPr>
      <w:r>
        <w:rPr>
          <w:lang w:eastAsia="ru-RU"/>
        </w:rPr>
        <w:t xml:space="preserve">Венетоклакс </w:t>
      </w:r>
      <w:r w:rsidR="003F18B5">
        <w:rPr>
          <w:lang w:eastAsia="ru-RU"/>
        </w:rPr>
        <w:t xml:space="preserve">– </w:t>
      </w:r>
      <w:r>
        <w:rPr>
          <w:lang w:eastAsia="ru-RU"/>
        </w:rPr>
        <w:t>20 мг/сут (нед. 1), 50 мг/сут (нед. 2), 100 мг</w:t>
      </w:r>
      <w:r w:rsidR="003F18B5">
        <w:rPr>
          <w:lang w:eastAsia="ru-RU"/>
        </w:rPr>
        <w:t>/сут (нед. 3), 200 мг/сут (нед. </w:t>
      </w:r>
      <w:r>
        <w:rPr>
          <w:lang w:eastAsia="ru-RU"/>
        </w:rPr>
        <w:t xml:space="preserve">4), 400 мг/сут (нед. 5 и далее), до прогрессирования или </w:t>
      </w:r>
      <w:r w:rsidR="003F18B5">
        <w:rPr>
          <w:lang w:eastAsia="ru-RU"/>
        </w:rPr>
        <w:t xml:space="preserve">развития </w:t>
      </w:r>
      <w:r>
        <w:rPr>
          <w:lang w:eastAsia="ru-RU"/>
        </w:rPr>
        <w:t>непереносимой токсичности</w:t>
      </w:r>
      <w:r w:rsidR="003F18B5">
        <w:rPr>
          <w:lang w:eastAsia="ru-RU"/>
        </w:rPr>
        <w:t>.</w:t>
      </w:r>
    </w:p>
    <w:p w:rsidR="00457002" w:rsidRPr="00C26D56" w:rsidRDefault="00457002" w:rsidP="003F18B5">
      <w:pPr>
        <w:contextualSpacing/>
        <w:rPr>
          <w:rFonts w:eastAsia="Times New Roman"/>
          <w:b/>
          <w:i/>
          <w:lang w:eastAsia="ru-RU"/>
        </w:rPr>
      </w:pPr>
      <w:r>
        <w:rPr>
          <w:rFonts w:eastAsia="Times New Roman"/>
          <w:b/>
          <w:i/>
          <w:lang w:eastAsia="ru-RU"/>
        </w:rPr>
        <w:t>Полихимиотерапия</w:t>
      </w:r>
    </w:p>
    <w:p w:rsidR="00457002" w:rsidRPr="009600FA" w:rsidRDefault="00457002" w:rsidP="003F18B5">
      <w:pPr>
        <w:contextualSpacing/>
        <w:rPr>
          <w:rFonts w:eastAsia="Times New Roman"/>
          <w:b/>
          <w:lang w:eastAsia="ru-RU"/>
        </w:rPr>
      </w:pPr>
      <w:r w:rsidRPr="009600FA">
        <w:rPr>
          <w:rFonts w:eastAsia="Times New Roman"/>
          <w:b/>
          <w:lang w:val="en-US" w:eastAsia="ru-RU"/>
        </w:rPr>
        <w:t xml:space="preserve">FCR </w:t>
      </w:r>
      <w:r w:rsidRPr="009600FA">
        <w:rPr>
          <w:rFonts w:eastAsia="Times New Roman"/>
          <w:b/>
          <w:lang w:eastAsia="ru-RU"/>
        </w:rPr>
        <w:t>внутривенный</w:t>
      </w:r>
    </w:p>
    <w:p w:rsidR="00457002" w:rsidRPr="008F1171" w:rsidRDefault="00457002" w:rsidP="003F18B5">
      <w:pPr>
        <w:numPr>
          <w:ilvl w:val="0"/>
          <w:numId w:val="5"/>
        </w:numPr>
        <w:contextualSpacing/>
        <w:rPr>
          <w:rFonts w:eastAsia="Times New Roman"/>
          <w:b/>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0078EC">
        <w:rPr>
          <w:rFonts w:eastAsia="Times New Roman"/>
          <w:lang w:eastAsia="ru-RU"/>
        </w:rPr>
        <w:t xml:space="preserve"> 500 мг/м</w:t>
      </w:r>
      <w:r w:rsidRPr="000078EC">
        <w:rPr>
          <w:rFonts w:eastAsia="Times New Roman"/>
          <w:vertAlign w:val="superscript"/>
          <w:lang w:eastAsia="ru-RU"/>
        </w:rPr>
        <w:t>2</w:t>
      </w:r>
      <w:r w:rsidRPr="009600FA">
        <w:rPr>
          <w:rFonts w:eastAsia="Times New Roman"/>
          <w:lang w:eastAsia="ru-RU"/>
        </w:rPr>
        <w:t xml:space="preserve"> </w:t>
      </w:r>
      <w:r w:rsidRPr="008F1171">
        <w:rPr>
          <w:rFonts w:eastAsia="Times New Roman"/>
          <w:lang w:eastAsia="ru-RU"/>
        </w:rPr>
        <w:t>в/в кап.</w:t>
      </w:r>
      <w:r w:rsidR="00D4168D" w:rsidRPr="008F1171">
        <w:rPr>
          <w:rFonts w:eastAsia="Times New Roman"/>
          <w:lang w:eastAsia="ru-RU"/>
        </w:rPr>
        <w:t xml:space="preserve"> или </w:t>
      </w:r>
      <w:r w:rsidR="00EA3851">
        <w:rPr>
          <w:rFonts w:eastAsia="Times New Roman"/>
          <w:lang w:eastAsia="ru-RU"/>
        </w:rPr>
        <w:t>1400 мг п/к</w:t>
      </w:r>
      <w:r w:rsidRPr="008F1171">
        <w:rPr>
          <w:rFonts w:eastAsia="Times New Roman"/>
          <w:lang w:eastAsia="ru-RU"/>
        </w:rPr>
        <w:t>, день 1</w:t>
      </w:r>
      <w:r w:rsidR="003F18B5" w:rsidRPr="008F1171">
        <w:rPr>
          <w:rFonts w:eastAsia="Times New Roman"/>
          <w:lang w:eastAsia="ru-RU"/>
        </w:rPr>
        <w:t>.</w:t>
      </w:r>
    </w:p>
    <w:p w:rsidR="00457002" w:rsidRPr="008F1171" w:rsidRDefault="00055701" w:rsidP="003F18B5">
      <w:pPr>
        <w:numPr>
          <w:ilvl w:val="0"/>
          <w:numId w:val="5"/>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rsidR="00457002" w:rsidRPr="008F1171" w:rsidRDefault="00055701" w:rsidP="003F18B5">
      <w:pPr>
        <w:numPr>
          <w:ilvl w:val="0"/>
          <w:numId w:val="5"/>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rsidR="00457002" w:rsidRPr="008F1171" w:rsidRDefault="00457002" w:rsidP="003F18B5">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rsidR="00457002" w:rsidRPr="008F1171" w:rsidRDefault="00457002" w:rsidP="003F18B5">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 xml:space="preserve"> пероральный</w:t>
      </w:r>
    </w:p>
    <w:p w:rsidR="00457002" w:rsidRPr="008F1171" w:rsidRDefault="00457002" w:rsidP="003F18B5">
      <w:pPr>
        <w:numPr>
          <w:ilvl w:val="0"/>
          <w:numId w:val="5"/>
        </w:numPr>
        <w:contextualSpacing/>
        <w:rPr>
          <w:rFonts w:eastAsia="Times New Roman"/>
          <w:b/>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EA3851">
        <w:rPr>
          <w:rFonts w:eastAsia="Times New Roman"/>
          <w:lang w:eastAsia="ru-RU"/>
        </w:rPr>
        <w:t>1400 мг п/к</w:t>
      </w:r>
      <w:r w:rsidRPr="008F1171">
        <w:rPr>
          <w:rFonts w:eastAsia="Times New Roman"/>
          <w:lang w:eastAsia="ru-RU"/>
        </w:rPr>
        <w:t>, день 1</w:t>
      </w:r>
      <w:r w:rsidR="003F18B5" w:rsidRPr="008F1171">
        <w:rPr>
          <w:rFonts w:eastAsia="Times New Roman"/>
          <w:lang w:eastAsia="ru-RU"/>
        </w:rPr>
        <w:t>.</w:t>
      </w:r>
    </w:p>
    <w:p w:rsidR="00457002" w:rsidRPr="008F1171" w:rsidRDefault="00055701" w:rsidP="003F18B5">
      <w:pPr>
        <w:numPr>
          <w:ilvl w:val="0"/>
          <w:numId w:val="5"/>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Флударабин**</w:t>
      </w:r>
      <w:r w:rsidR="003F18B5" w:rsidRPr="008F1171">
        <w:rPr>
          <w:rFonts w:eastAsia="Times New Roman"/>
          <w:lang w:eastAsia="ru-RU"/>
        </w:rPr>
        <w:t xml:space="preserve"> – </w:t>
      </w:r>
      <w:r w:rsidR="00457002" w:rsidRPr="008F1171">
        <w:rPr>
          <w:rFonts w:eastAsia="Times New Roman"/>
          <w:lang w:eastAsia="ru-RU"/>
        </w:rPr>
        <w:t>40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rsidR="00457002" w:rsidRPr="008F1171" w:rsidRDefault="00055701" w:rsidP="003F18B5">
      <w:pPr>
        <w:numPr>
          <w:ilvl w:val="0"/>
          <w:numId w:val="5"/>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3F18B5" w:rsidRPr="008F1171">
        <w:rPr>
          <w:rFonts w:eastAsia="Times New Roman"/>
          <w:lang w:eastAsia="ru-RU"/>
        </w:rPr>
        <w:t xml:space="preserve"> внутрь, дни 1–</w:t>
      </w:r>
      <w:r w:rsidR="00457002" w:rsidRPr="008F1171">
        <w:rPr>
          <w:rFonts w:eastAsia="Times New Roman"/>
          <w:lang w:eastAsia="ru-RU"/>
        </w:rPr>
        <w:t>3</w:t>
      </w:r>
      <w:r w:rsidR="003F18B5" w:rsidRPr="008F1171">
        <w:rPr>
          <w:rFonts w:eastAsia="Times New Roman"/>
          <w:lang w:eastAsia="ru-RU"/>
        </w:rPr>
        <w:t>.</w:t>
      </w:r>
    </w:p>
    <w:p w:rsidR="00457002" w:rsidRPr="008F1171" w:rsidRDefault="00457002" w:rsidP="003F18B5">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rsidR="00457002" w:rsidRPr="008F1171" w:rsidRDefault="00457002" w:rsidP="003F18B5">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w:t>
      </w:r>
      <w:r w:rsidRPr="008F1171">
        <w:rPr>
          <w:rFonts w:eastAsia="Times New Roman"/>
          <w:b/>
          <w:lang w:val="en-US" w:eastAsia="ru-RU"/>
        </w:rPr>
        <w:t>Lite</w:t>
      </w:r>
    </w:p>
    <w:p w:rsidR="00457002" w:rsidRPr="008F1171" w:rsidRDefault="00457002" w:rsidP="003F18B5">
      <w:pPr>
        <w:numPr>
          <w:ilvl w:val="0"/>
          <w:numId w:val="5"/>
        </w:numPr>
        <w:contextualSpacing/>
        <w:rPr>
          <w:rFonts w:eastAsia="Times New Roman"/>
          <w:b/>
          <w:lang w:eastAsia="ru-RU"/>
        </w:rPr>
      </w:pPr>
      <w:r w:rsidRPr="008F1171">
        <w:rPr>
          <w:rFonts w:eastAsia="Times New Roman"/>
          <w:lang w:eastAsia="ru-RU"/>
        </w:rPr>
        <w:t>Ритуксимаб**</w:t>
      </w:r>
      <w:r w:rsidR="003F18B5" w:rsidRPr="008F1171">
        <w:rPr>
          <w:rFonts w:eastAsia="Times New Roman"/>
          <w:lang w:eastAsia="ru-RU"/>
        </w:rPr>
        <w:t xml:space="preserve"> –</w:t>
      </w:r>
      <w:r w:rsidRPr="008F1171">
        <w:rPr>
          <w:rFonts w:eastAsia="Times New Roman"/>
          <w:lang w:eastAsia="ru-RU"/>
        </w:rPr>
        <w:t xml:space="preserve"> 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EA3851">
        <w:rPr>
          <w:rFonts w:eastAsia="Times New Roman"/>
          <w:lang w:eastAsia="ru-RU"/>
        </w:rPr>
        <w:t>1400 мг п/к</w:t>
      </w:r>
      <w:r w:rsidRPr="008F1171">
        <w:rPr>
          <w:rFonts w:eastAsia="Times New Roman"/>
          <w:lang w:eastAsia="ru-RU"/>
        </w:rPr>
        <w:t>, дни 1, 5</w:t>
      </w:r>
      <w:r w:rsidR="003F18B5" w:rsidRPr="008F1171">
        <w:rPr>
          <w:rFonts w:eastAsia="Times New Roman"/>
          <w:lang w:eastAsia="ru-RU"/>
        </w:rPr>
        <w:t>.</w:t>
      </w:r>
    </w:p>
    <w:p w:rsidR="00457002" w:rsidRPr="008F1171" w:rsidRDefault="00055701" w:rsidP="003F18B5">
      <w:pPr>
        <w:numPr>
          <w:ilvl w:val="0"/>
          <w:numId w:val="5"/>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rsidR="00457002" w:rsidRPr="008F1171" w:rsidRDefault="00055701" w:rsidP="003F18B5">
      <w:pPr>
        <w:numPr>
          <w:ilvl w:val="0"/>
          <w:numId w:val="5"/>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150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rsidR="00457002" w:rsidRPr="008F1171" w:rsidRDefault="00457002" w:rsidP="003F18B5">
      <w:pPr>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p>
    <w:p w:rsidR="00457002" w:rsidRPr="008F1171" w:rsidRDefault="00457002" w:rsidP="003F18B5">
      <w:pPr>
        <w:contextualSpacing/>
        <w:rPr>
          <w:rFonts w:eastAsia="Times New Roman"/>
          <w:b/>
          <w:lang w:eastAsia="ru-RU"/>
        </w:rPr>
      </w:pPr>
      <w:r w:rsidRPr="008F1171">
        <w:rPr>
          <w:rFonts w:eastAsia="Times New Roman"/>
          <w:b/>
          <w:lang w:val="en-US" w:eastAsia="ru-RU"/>
        </w:rPr>
        <w:t>RB</w:t>
      </w:r>
    </w:p>
    <w:p w:rsidR="00457002" w:rsidRPr="008F1171" w:rsidRDefault="00457002" w:rsidP="003F18B5">
      <w:pPr>
        <w:numPr>
          <w:ilvl w:val="0"/>
          <w:numId w:val="4"/>
        </w:numPr>
        <w:contextualSpacing/>
        <w:rPr>
          <w:rFonts w:eastAsia="Times New Roman"/>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EA3851">
        <w:rPr>
          <w:rFonts w:eastAsia="Times New Roman"/>
          <w:lang w:eastAsia="ru-RU"/>
        </w:rPr>
        <w:t>1400 мг п/к</w:t>
      </w:r>
      <w:r w:rsidRPr="008F1171">
        <w:rPr>
          <w:rFonts w:eastAsia="Times New Roman"/>
          <w:lang w:eastAsia="ru-RU"/>
        </w:rPr>
        <w:t>, день 1</w:t>
      </w:r>
      <w:r w:rsidR="003F18B5" w:rsidRPr="008F1171">
        <w:rPr>
          <w:rFonts w:eastAsia="Times New Roman"/>
          <w:lang w:eastAsia="ru-RU"/>
        </w:rPr>
        <w:t>.</w:t>
      </w:r>
    </w:p>
    <w:p w:rsidR="00457002" w:rsidRPr="008F1171" w:rsidRDefault="000B3F2E" w:rsidP="003F18B5">
      <w:pPr>
        <w:numPr>
          <w:ilvl w:val="0"/>
          <w:numId w:val="4"/>
        </w:numPr>
        <w:contextualSpacing/>
        <w:rPr>
          <w:rFonts w:eastAsia="Times New Roman"/>
          <w:lang w:eastAsia="ru-RU"/>
        </w:rPr>
      </w:pPr>
      <w:r w:rsidRPr="008F1171">
        <w:rPr>
          <w:rFonts w:eastAsia="Times New Roman"/>
          <w:lang w:eastAsia="ru-RU"/>
        </w:rPr>
        <w:t>#</w:t>
      </w:r>
      <w:r w:rsidR="00457002" w:rsidRPr="008F1171">
        <w:rPr>
          <w:rFonts w:eastAsia="Times New Roman"/>
          <w:lang w:eastAsia="ru-RU"/>
        </w:rPr>
        <w:t>Бендамустин</w:t>
      </w:r>
      <w:r w:rsidR="00B90AB1" w:rsidRPr="008F1171">
        <w:rPr>
          <w:rFonts w:eastAsia="Times New Roman"/>
          <w:lang w:eastAsia="ru-RU"/>
        </w:rPr>
        <w:t>**</w:t>
      </w:r>
      <w:r w:rsidR="00457002" w:rsidRPr="008F1171">
        <w:rPr>
          <w:rFonts w:eastAsia="Times New Roman"/>
          <w:lang w:eastAsia="ru-RU"/>
        </w:rPr>
        <w:t xml:space="preserve"> </w:t>
      </w:r>
      <w:r w:rsidR="003F18B5" w:rsidRPr="008F1171">
        <w:rPr>
          <w:rFonts w:eastAsia="Times New Roman"/>
          <w:lang w:eastAsia="ru-RU"/>
        </w:rPr>
        <w:t xml:space="preserve">– </w:t>
      </w:r>
      <w:r w:rsidR="00457002" w:rsidRPr="008F1171">
        <w:rPr>
          <w:rFonts w:eastAsia="Times New Roman"/>
          <w:lang w:eastAsia="ru-RU"/>
        </w:rPr>
        <w:t>90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 2</w:t>
      </w:r>
      <w:r w:rsidR="003F18B5" w:rsidRPr="008F1171">
        <w:rPr>
          <w:rFonts w:eastAsia="Times New Roman"/>
          <w:lang w:eastAsia="ru-RU"/>
        </w:rPr>
        <w:t>.</w:t>
      </w:r>
    </w:p>
    <w:p w:rsidR="00457002" w:rsidRPr="00C26D56" w:rsidRDefault="00457002" w:rsidP="003F18B5">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rsidR="00457002" w:rsidRPr="009600FA" w:rsidRDefault="00457002" w:rsidP="003F18B5">
      <w:pPr>
        <w:contextualSpacing/>
        <w:rPr>
          <w:rFonts w:eastAsia="Times New Roman"/>
          <w:b/>
          <w:lang w:eastAsia="ru-RU"/>
        </w:rPr>
      </w:pPr>
      <w:r w:rsidRPr="009600FA">
        <w:rPr>
          <w:rFonts w:eastAsia="Times New Roman"/>
          <w:b/>
          <w:lang w:val="en-US" w:eastAsia="ru-RU"/>
        </w:rPr>
        <w:lastRenderedPageBreak/>
        <w:t>Chl</w:t>
      </w:r>
      <w:r w:rsidRPr="009600FA">
        <w:rPr>
          <w:rFonts w:eastAsia="Times New Roman"/>
          <w:b/>
          <w:lang w:eastAsia="ru-RU"/>
        </w:rPr>
        <w:t>-</w:t>
      </w:r>
      <w:r w:rsidRPr="009600FA">
        <w:rPr>
          <w:rFonts w:eastAsia="Times New Roman"/>
          <w:b/>
          <w:lang w:val="en-US" w:eastAsia="ru-RU"/>
        </w:rPr>
        <w:t>R</w:t>
      </w:r>
    </w:p>
    <w:p w:rsidR="00457002" w:rsidRPr="009600FA" w:rsidRDefault="00457002" w:rsidP="003F18B5">
      <w:pPr>
        <w:numPr>
          <w:ilvl w:val="0"/>
          <w:numId w:val="6"/>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9600FA">
        <w:rPr>
          <w:rFonts w:eastAsia="Times New Roman"/>
          <w:vertAlign w:val="superscript"/>
          <w:lang w:eastAsia="ru-RU"/>
        </w:rPr>
        <w:t>2</w:t>
      </w:r>
      <w:r w:rsidRPr="009600FA">
        <w:rPr>
          <w:rFonts w:eastAsia="Times New Roman"/>
          <w:lang w:eastAsia="ru-RU"/>
        </w:rPr>
        <w:t xml:space="preserve"> в/в кап.</w:t>
      </w:r>
      <w:r w:rsidR="00D4168D">
        <w:rPr>
          <w:rFonts w:eastAsia="Times New Roman"/>
          <w:lang w:eastAsia="ru-RU"/>
        </w:rPr>
        <w:t xml:space="preserve"> или 1</w:t>
      </w:r>
      <w:r w:rsidR="00EA3851">
        <w:rPr>
          <w:rFonts w:eastAsia="Times New Roman"/>
          <w:lang w:eastAsia="ru-RU"/>
        </w:rPr>
        <w:t>4</w:t>
      </w:r>
      <w:r w:rsidR="00D4168D">
        <w:rPr>
          <w:rFonts w:eastAsia="Times New Roman"/>
          <w:lang w:eastAsia="ru-RU"/>
        </w:rPr>
        <w:t>00 мг п/к</w:t>
      </w:r>
      <w:r w:rsidRPr="009600FA">
        <w:rPr>
          <w:rFonts w:eastAsia="Times New Roman"/>
          <w:lang w:eastAsia="ru-RU"/>
        </w:rPr>
        <w:t>, день 1</w:t>
      </w:r>
      <w:r w:rsidR="003F18B5">
        <w:rPr>
          <w:rFonts w:eastAsia="Times New Roman"/>
          <w:lang w:eastAsia="ru-RU"/>
        </w:rPr>
        <w:t>.</w:t>
      </w:r>
    </w:p>
    <w:p w:rsidR="00457002" w:rsidRPr="00055701" w:rsidRDefault="00457002" w:rsidP="003F18B5">
      <w:pPr>
        <w:numPr>
          <w:ilvl w:val="0"/>
          <w:numId w:val="6"/>
        </w:numPr>
        <w:contextualSpacing/>
        <w:rPr>
          <w:rFonts w:eastAsia="Times New Roman"/>
          <w:lang w:eastAsia="ru-RU"/>
        </w:rPr>
      </w:pPr>
      <w:r w:rsidRPr="00055701">
        <w:rPr>
          <w:rFonts w:eastAsia="Times New Roman"/>
          <w:lang w:eastAsia="ru-RU"/>
        </w:rPr>
        <w:t xml:space="preserve">Хлорамбуцил** </w:t>
      </w:r>
      <w:r w:rsidR="003F18B5" w:rsidRPr="00055701">
        <w:rPr>
          <w:rFonts w:eastAsia="Times New Roman"/>
          <w:lang w:eastAsia="ru-RU"/>
        </w:rPr>
        <w:t xml:space="preserve">– </w:t>
      </w:r>
      <w:r w:rsidRPr="00055701">
        <w:rPr>
          <w:rFonts w:eastAsia="Times New Roman"/>
          <w:lang w:eastAsia="ru-RU"/>
        </w:rPr>
        <w:t>10 мг/м</w:t>
      </w:r>
      <w:r w:rsidRPr="00055701">
        <w:rPr>
          <w:rFonts w:eastAsia="Times New Roman"/>
          <w:vertAlign w:val="superscript"/>
          <w:lang w:eastAsia="ru-RU"/>
        </w:rPr>
        <w:t>2</w:t>
      </w:r>
      <w:r w:rsidR="003F18B5" w:rsidRPr="00055701">
        <w:rPr>
          <w:rFonts w:eastAsia="Times New Roman"/>
          <w:lang w:eastAsia="ru-RU"/>
        </w:rPr>
        <w:t xml:space="preserve"> внутрь, дни 1–</w:t>
      </w:r>
      <w:r w:rsidRPr="00055701">
        <w:rPr>
          <w:rFonts w:eastAsia="Times New Roman"/>
          <w:lang w:eastAsia="ru-RU"/>
        </w:rPr>
        <w:t>7</w:t>
      </w:r>
      <w:r w:rsidR="003F18B5" w:rsidRPr="00055701">
        <w:rPr>
          <w:rFonts w:eastAsia="Times New Roman"/>
          <w:lang w:eastAsia="ru-RU"/>
        </w:rPr>
        <w:t>.</w:t>
      </w:r>
    </w:p>
    <w:p w:rsidR="00457002" w:rsidRPr="009600FA" w:rsidRDefault="00457002" w:rsidP="003F18B5">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rsidR="00457002" w:rsidRPr="009600FA" w:rsidRDefault="00457002" w:rsidP="003F18B5">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G</w:t>
      </w:r>
    </w:p>
    <w:p w:rsidR="00457002" w:rsidRPr="009600FA" w:rsidRDefault="00457002" w:rsidP="003F18B5">
      <w:pPr>
        <w:pStyle w:val="a"/>
        <w:numPr>
          <w:ilvl w:val="0"/>
          <w:numId w:val="9"/>
        </w:numPr>
        <w:spacing w:before="0"/>
        <w:rPr>
          <w:b/>
          <w:lang w:eastAsia="ru-RU"/>
        </w:rPr>
      </w:pPr>
      <w:r w:rsidRPr="009600FA">
        <w:rPr>
          <w:lang w:eastAsia="ru-RU"/>
        </w:rPr>
        <w:t>Обинутузумаб</w:t>
      </w:r>
      <w:r>
        <w:rPr>
          <w:lang w:eastAsia="ru-RU"/>
        </w:rPr>
        <w:t>**</w:t>
      </w:r>
      <w:r w:rsidR="003F18B5">
        <w:rPr>
          <w:lang w:eastAsia="ru-RU"/>
        </w:rPr>
        <w:t xml:space="preserve"> – 1000 мг в/в, день</w:t>
      </w:r>
      <w:r w:rsidRPr="009600FA">
        <w:rPr>
          <w:lang w:eastAsia="ru-RU"/>
        </w:rPr>
        <w:t xml:space="preserve"> 1</w:t>
      </w:r>
      <w:r w:rsidR="003F18B5">
        <w:rPr>
          <w:lang w:eastAsia="ru-RU"/>
        </w:rPr>
        <w:t xml:space="preserve"> </w:t>
      </w:r>
      <w:r w:rsidRPr="009600FA">
        <w:rPr>
          <w:lang w:eastAsia="ru-RU"/>
        </w:rPr>
        <w:t>(100 мг в течение 4 часов)</w:t>
      </w:r>
      <w:r w:rsidR="003F18B5">
        <w:rPr>
          <w:lang w:eastAsia="ru-RU"/>
        </w:rPr>
        <w:t xml:space="preserve">, </w:t>
      </w:r>
      <w:r w:rsidRPr="009600FA">
        <w:rPr>
          <w:lang w:eastAsia="ru-RU"/>
        </w:rPr>
        <w:t>2</w:t>
      </w:r>
      <w:r w:rsidR="003F18B5">
        <w:rPr>
          <w:lang w:eastAsia="ru-RU"/>
        </w:rPr>
        <w:t xml:space="preserve"> </w:t>
      </w:r>
      <w:r w:rsidRPr="009600FA">
        <w:rPr>
          <w:lang w:eastAsia="ru-RU"/>
        </w:rPr>
        <w:t>(900 мг), 8, 15 (цикл</w:t>
      </w:r>
      <w:r w:rsidR="003F18B5">
        <w:rPr>
          <w:lang w:eastAsia="ru-RU"/>
        </w:rPr>
        <w:t> </w:t>
      </w:r>
      <w:r w:rsidRPr="009600FA">
        <w:rPr>
          <w:lang w:eastAsia="ru-RU"/>
        </w:rPr>
        <w:t>1), день 1 (циклы 2</w:t>
      </w:r>
      <w:r w:rsidR="003F18B5">
        <w:rPr>
          <w:lang w:eastAsia="ru-RU"/>
        </w:rPr>
        <w:t>–</w:t>
      </w:r>
      <w:r w:rsidRPr="009600FA">
        <w:rPr>
          <w:lang w:eastAsia="ru-RU"/>
        </w:rPr>
        <w:t>6)</w:t>
      </w:r>
      <w:r w:rsidR="003F18B5">
        <w:rPr>
          <w:lang w:eastAsia="ru-RU"/>
        </w:rPr>
        <w:t>.</w:t>
      </w:r>
    </w:p>
    <w:p w:rsidR="00457002" w:rsidRPr="009600FA" w:rsidRDefault="00457002" w:rsidP="003F18B5">
      <w:pPr>
        <w:pStyle w:val="a"/>
        <w:numPr>
          <w:ilvl w:val="0"/>
          <w:numId w:val="9"/>
        </w:numPr>
        <w:spacing w:before="0"/>
        <w:rPr>
          <w:b/>
          <w:lang w:eastAsia="ru-RU"/>
        </w:rPr>
      </w:pPr>
      <w:r w:rsidRPr="009600FA">
        <w:rPr>
          <w:lang w:eastAsia="ru-RU"/>
        </w:rPr>
        <w:t>Хлорамбуцил</w:t>
      </w:r>
      <w:r>
        <w:rPr>
          <w:lang w:eastAsia="ru-RU"/>
        </w:rPr>
        <w:t>**</w:t>
      </w:r>
      <w:r w:rsidRPr="009600FA">
        <w:rPr>
          <w:lang w:eastAsia="ru-RU"/>
        </w:rPr>
        <w:t xml:space="preserve"> </w:t>
      </w:r>
      <w:r w:rsidR="003F18B5">
        <w:rPr>
          <w:lang w:eastAsia="ru-RU"/>
        </w:rPr>
        <w:t xml:space="preserve">– </w:t>
      </w:r>
      <w:r w:rsidRPr="009600FA">
        <w:rPr>
          <w:lang w:eastAsia="ru-RU"/>
        </w:rPr>
        <w:t>0,5 мг/кг внутрь, дни 1, 15</w:t>
      </w:r>
      <w:r w:rsidR="003F18B5">
        <w:rPr>
          <w:lang w:eastAsia="ru-RU"/>
        </w:rPr>
        <w:t>.</w:t>
      </w:r>
    </w:p>
    <w:p w:rsidR="00457002" w:rsidRPr="009600FA" w:rsidRDefault="00457002" w:rsidP="003F18B5">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rsidR="00457002" w:rsidRPr="009600FA" w:rsidRDefault="00457002" w:rsidP="003F18B5">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HDMP</w:t>
      </w:r>
    </w:p>
    <w:p w:rsidR="00457002" w:rsidRPr="00055701" w:rsidRDefault="00055701" w:rsidP="003F18B5">
      <w:pPr>
        <w:numPr>
          <w:ilvl w:val="0"/>
          <w:numId w:val="8"/>
        </w:numPr>
        <w:contextualSpacing/>
        <w:rPr>
          <w:rFonts w:eastAsia="Times New Roman"/>
          <w:b/>
          <w:lang w:eastAsia="ru-RU"/>
        </w:rPr>
      </w:pPr>
      <w:r w:rsidRPr="0008146B">
        <w:rPr>
          <w:rFonts w:eastAsia="Times New Roman"/>
          <w:lang w:eastAsia="ru-RU"/>
        </w:rPr>
        <w:t>#</w:t>
      </w:r>
      <w:r w:rsidR="00457002" w:rsidRPr="0008146B">
        <w:rPr>
          <w:rFonts w:eastAsia="Times New Roman"/>
          <w:lang w:eastAsia="ru-RU"/>
        </w:rPr>
        <w:t xml:space="preserve">Ритуксимаб** </w:t>
      </w:r>
      <w:r w:rsidR="003F18B5" w:rsidRPr="00055701">
        <w:rPr>
          <w:rFonts w:eastAsia="Times New Roman"/>
          <w:lang w:eastAsia="ru-RU"/>
        </w:rPr>
        <w:t xml:space="preserve">– </w:t>
      </w:r>
      <w:r w:rsidR="00457002" w:rsidRPr="00055701">
        <w:rPr>
          <w:rFonts w:eastAsia="Times New Roman"/>
          <w:lang w:eastAsia="ru-RU"/>
        </w:rPr>
        <w:t>375 мг/м</w:t>
      </w:r>
      <w:r w:rsidR="00457002" w:rsidRPr="00055701">
        <w:rPr>
          <w:rFonts w:eastAsia="Times New Roman"/>
          <w:vertAlign w:val="superscript"/>
          <w:lang w:eastAsia="ru-RU"/>
        </w:rPr>
        <w:t>2</w:t>
      </w:r>
      <w:r w:rsidR="00457002" w:rsidRPr="00055701">
        <w:rPr>
          <w:rFonts w:eastAsia="Times New Roman"/>
          <w:lang w:eastAsia="ru-RU"/>
        </w:rPr>
        <w:t xml:space="preserve"> в/в кап., дни 1, 8, 15, 22</w:t>
      </w:r>
      <w:r w:rsidR="003F18B5" w:rsidRPr="00055701">
        <w:rPr>
          <w:rFonts w:eastAsia="Times New Roman"/>
          <w:lang w:eastAsia="ru-RU"/>
        </w:rPr>
        <w:t>.</w:t>
      </w:r>
    </w:p>
    <w:p w:rsidR="00457002" w:rsidRPr="009600FA" w:rsidRDefault="00457002" w:rsidP="003F18B5">
      <w:pPr>
        <w:numPr>
          <w:ilvl w:val="0"/>
          <w:numId w:val="8"/>
        </w:numPr>
        <w:contextualSpacing/>
        <w:rPr>
          <w:rFonts w:eastAsia="Times New Roman"/>
          <w:b/>
          <w:lang w:eastAsia="ru-RU"/>
        </w:rPr>
      </w:pPr>
      <w:r w:rsidRPr="009600FA">
        <w:rPr>
          <w:rFonts w:eastAsia="Times New Roman"/>
          <w:lang w:eastAsia="ru-RU"/>
        </w:rPr>
        <w:t>Метилпреднизолон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г/м</w:t>
      </w:r>
      <w:r w:rsidRPr="009600FA">
        <w:rPr>
          <w:rFonts w:eastAsia="Times New Roman"/>
          <w:vertAlign w:val="superscript"/>
          <w:lang w:eastAsia="ru-RU"/>
        </w:rPr>
        <w:t>2</w:t>
      </w:r>
      <w:r w:rsidR="003F18B5">
        <w:rPr>
          <w:rFonts w:eastAsia="Times New Roman"/>
          <w:lang w:eastAsia="ru-RU"/>
        </w:rPr>
        <w:t xml:space="preserve"> в/в кап., дни 1–</w:t>
      </w:r>
      <w:r w:rsidRPr="009600FA">
        <w:rPr>
          <w:rFonts w:eastAsia="Times New Roman"/>
          <w:lang w:eastAsia="ru-RU"/>
        </w:rPr>
        <w:t>3</w:t>
      </w:r>
      <w:r w:rsidR="003F18B5">
        <w:rPr>
          <w:rFonts w:eastAsia="Times New Roman"/>
          <w:lang w:eastAsia="ru-RU"/>
        </w:rPr>
        <w:t>.</w:t>
      </w:r>
    </w:p>
    <w:p w:rsidR="00457002" w:rsidRPr="009600FA" w:rsidRDefault="00457002" w:rsidP="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rsidR="00457002" w:rsidRPr="009600FA" w:rsidRDefault="00457002" w:rsidP="00457002">
      <w:pPr>
        <w:contextualSpacing/>
        <w:rPr>
          <w:rFonts w:eastAsia="Times New Roman"/>
          <w:lang w:eastAsia="ru-RU"/>
        </w:rPr>
      </w:pPr>
      <w:r w:rsidRPr="009600FA">
        <w:rPr>
          <w:rFonts w:eastAsia="Times New Roman"/>
          <w:lang w:eastAsia="ru-RU"/>
        </w:rPr>
        <w:t>Пров</w:t>
      </w:r>
      <w:r>
        <w:rPr>
          <w:rFonts w:eastAsia="Times New Roman"/>
          <w:lang w:eastAsia="ru-RU"/>
        </w:rPr>
        <w:t>одят 3 курса</w:t>
      </w:r>
      <w:r w:rsidR="003F18B5">
        <w:rPr>
          <w:rFonts w:eastAsia="Times New Roman"/>
          <w:lang w:eastAsia="ru-RU"/>
        </w:rPr>
        <w:t>.</w:t>
      </w:r>
    </w:p>
    <w:p w:rsidR="00457002" w:rsidRPr="009600FA" w:rsidRDefault="00457002" w:rsidP="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CD</w:t>
      </w:r>
    </w:p>
    <w:p w:rsidR="00457002" w:rsidRPr="009600FA" w:rsidRDefault="00457002" w:rsidP="00BE7488">
      <w:pPr>
        <w:numPr>
          <w:ilvl w:val="0"/>
          <w:numId w:val="7"/>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9600FA">
        <w:rPr>
          <w:rFonts w:eastAsia="Times New Roman"/>
          <w:vertAlign w:val="superscript"/>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EA3851">
        <w:rPr>
          <w:rFonts w:eastAsia="Times New Roman"/>
          <w:lang w:eastAsia="ru-RU"/>
        </w:rPr>
        <w:t>1400 мг п/к</w:t>
      </w:r>
      <w:r w:rsidRPr="009600FA">
        <w:rPr>
          <w:rFonts w:eastAsia="Times New Roman"/>
          <w:lang w:eastAsia="ru-RU"/>
        </w:rPr>
        <w:t>, день 1</w:t>
      </w:r>
      <w:r w:rsidR="003F18B5">
        <w:rPr>
          <w:rFonts w:eastAsia="Times New Roman"/>
          <w:lang w:eastAsia="ru-RU"/>
        </w:rPr>
        <w:t>.</w:t>
      </w:r>
    </w:p>
    <w:p w:rsidR="00457002" w:rsidRPr="009600FA" w:rsidRDefault="00457002" w:rsidP="00BE7488">
      <w:pPr>
        <w:numPr>
          <w:ilvl w:val="0"/>
          <w:numId w:val="7"/>
        </w:numPr>
        <w:contextualSpacing/>
        <w:rPr>
          <w:rFonts w:eastAsia="Times New Roman"/>
          <w:lang w:eastAsia="ru-RU"/>
        </w:rPr>
      </w:pPr>
      <w:r w:rsidRPr="009600FA">
        <w:rPr>
          <w:rFonts w:eastAsia="Times New Roman"/>
          <w:lang w:eastAsia="ru-RU"/>
        </w:rPr>
        <w:t>Циклофосфамид</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750 мг/м</w:t>
      </w:r>
      <w:r w:rsidRPr="009600FA">
        <w:rPr>
          <w:rFonts w:eastAsia="Times New Roman"/>
          <w:vertAlign w:val="superscript"/>
          <w:lang w:eastAsia="ru-RU"/>
        </w:rPr>
        <w:t>2</w:t>
      </w:r>
      <w:r w:rsidRPr="009600FA">
        <w:rPr>
          <w:rFonts w:eastAsia="Times New Roman"/>
          <w:lang w:eastAsia="ru-RU"/>
        </w:rPr>
        <w:t xml:space="preserve"> в/в кап., день 1</w:t>
      </w:r>
      <w:r w:rsidR="003F18B5">
        <w:rPr>
          <w:rFonts w:eastAsia="Times New Roman"/>
          <w:lang w:eastAsia="ru-RU"/>
        </w:rPr>
        <w:t>.</w:t>
      </w:r>
    </w:p>
    <w:p w:rsidR="00457002" w:rsidRPr="009600FA" w:rsidRDefault="00457002" w:rsidP="00BE7488">
      <w:pPr>
        <w:numPr>
          <w:ilvl w:val="0"/>
          <w:numId w:val="7"/>
        </w:numPr>
        <w:contextualSpacing/>
        <w:rPr>
          <w:rFonts w:eastAsia="Times New Roman"/>
          <w:lang w:eastAsia="ru-RU"/>
        </w:rPr>
      </w:pPr>
      <w:r w:rsidRPr="009600FA">
        <w:rPr>
          <w:rFonts w:eastAsia="Times New Roman"/>
          <w:lang w:eastAsia="ru-RU"/>
        </w:rPr>
        <w:t>Дексаметазон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12 мг в/в или внутрь, дни 1</w:t>
      </w:r>
      <w:r w:rsidR="003F18B5">
        <w:rPr>
          <w:rFonts w:eastAsia="Times New Roman"/>
          <w:lang w:eastAsia="ru-RU"/>
        </w:rPr>
        <w:t>–</w:t>
      </w:r>
      <w:r w:rsidRPr="009600FA">
        <w:rPr>
          <w:rFonts w:eastAsia="Times New Roman"/>
          <w:lang w:eastAsia="ru-RU"/>
        </w:rPr>
        <w:t>7</w:t>
      </w:r>
      <w:r w:rsidR="003F18B5">
        <w:rPr>
          <w:rFonts w:eastAsia="Times New Roman"/>
          <w:lang w:eastAsia="ru-RU"/>
        </w:rPr>
        <w:t>.</w:t>
      </w:r>
    </w:p>
    <w:p w:rsidR="00457002" w:rsidRPr="008F1171" w:rsidRDefault="00457002" w:rsidP="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w:t>
      </w:r>
      <w:r w:rsidRPr="008F1171">
        <w:rPr>
          <w:rFonts w:eastAsia="Times New Roman"/>
          <w:lang w:eastAsia="ru-RU"/>
        </w:rPr>
        <w:t xml:space="preserve">возобновляется на </w:t>
      </w:r>
      <w:r w:rsidR="003F18B5" w:rsidRPr="008F1171">
        <w:rPr>
          <w:rFonts w:eastAsia="Times New Roman"/>
          <w:lang w:eastAsia="ru-RU"/>
        </w:rPr>
        <w:t>29-й день.</w:t>
      </w:r>
    </w:p>
    <w:p w:rsidR="00457002" w:rsidRPr="008F1171" w:rsidRDefault="00457002" w:rsidP="00457002">
      <w:pPr>
        <w:contextualSpacing/>
        <w:rPr>
          <w:rFonts w:eastAsia="Times New Roman"/>
          <w:b/>
          <w:lang w:eastAsia="ru-RU"/>
        </w:rPr>
      </w:pPr>
      <w:r w:rsidRPr="008F1171">
        <w:rPr>
          <w:rFonts w:eastAsia="Times New Roman"/>
          <w:b/>
          <w:lang w:eastAsia="ru-RU"/>
        </w:rPr>
        <w:t>Ибрутиниб</w:t>
      </w:r>
      <w:r w:rsidR="00573250" w:rsidRPr="008F1171">
        <w:rPr>
          <w:rFonts w:eastAsia="Times New Roman"/>
          <w:b/>
          <w:lang w:eastAsia="ru-RU"/>
        </w:rPr>
        <w:t>**</w:t>
      </w:r>
      <w:r w:rsidRPr="008F1171">
        <w:rPr>
          <w:rFonts w:eastAsia="Times New Roman"/>
          <w:b/>
          <w:lang w:eastAsia="ru-RU"/>
        </w:rPr>
        <w:t xml:space="preserve"> + ритуксимаб</w:t>
      </w:r>
      <w:r w:rsidR="00573250" w:rsidRPr="008F1171">
        <w:rPr>
          <w:rFonts w:eastAsia="Times New Roman"/>
          <w:b/>
          <w:lang w:eastAsia="ru-RU"/>
        </w:rPr>
        <w:t>**</w:t>
      </w:r>
    </w:p>
    <w:p w:rsidR="00457002" w:rsidRPr="008F1171" w:rsidRDefault="00457002" w:rsidP="003F18B5">
      <w:pPr>
        <w:pStyle w:val="a"/>
        <w:numPr>
          <w:ilvl w:val="0"/>
          <w:numId w:val="5"/>
        </w:numPr>
        <w:spacing w:before="0"/>
        <w:rPr>
          <w:lang w:eastAsia="ru-RU"/>
        </w:rPr>
      </w:pPr>
      <w:r w:rsidRPr="008F1171">
        <w:rPr>
          <w:lang w:eastAsia="ru-RU"/>
        </w:rPr>
        <w:t xml:space="preserve">Ибрутиниб** </w:t>
      </w:r>
      <w:r w:rsidR="003F18B5" w:rsidRPr="008F1171">
        <w:rPr>
          <w:lang w:eastAsia="ru-RU"/>
        </w:rPr>
        <w:t xml:space="preserve">– </w:t>
      </w:r>
      <w:r w:rsidRPr="008F1171">
        <w:rPr>
          <w:lang w:eastAsia="ru-RU"/>
        </w:rPr>
        <w:t>420 мг/сут (</w:t>
      </w:r>
      <w:r w:rsidR="003F18B5" w:rsidRPr="008F1171">
        <w:rPr>
          <w:lang w:eastAsia="ru-RU"/>
        </w:rPr>
        <w:t>3 капсулы) внутрь</w:t>
      </w:r>
      <w:r w:rsidRPr="008F1171">
        <w:rPr>
          <w:lang w:eastAsia="ru-RU"/>
        </w:rPr>
        <w:t xml:space="preserve"> 1 раз в день, ежедневно</w:t>
      </w:r>
      <w:r w:rsidR="003F18B5" w:rsidRPr="008F1171">
        <w:rPr>
          <w:lang w:eastAsia="ru-RU"/>
        </w:rPr>
        <w:t>.</w:t>
      </w:r>
    </w:p>
    <w:p w:rsidR="00457002" w:rsidRPr="008F1171" w:rsidRDefault="00055701" w:rsidP="00BE7488">
      <w:pPr>
        <w:numPr>
          <w:ilvl w:val="0"/>
          <w:numId w:val="5"/>
        </w:numPr>
        <w:contextualSpacing/>
        <w:rPr>
          <w:rFonts w:eastAsia="Times New Roman"/>
          <w:lang w:eastAsia="ru-RU"/>
        </w:rPr>
      </w:pPr>
      <w:r w:rsidRPr="0008146B">
        <w:rPr>
          <w:rFonts w:eastAsia="Times New Roman"/>
          <w:lang w:eastAsia="ru-RU"/>
        </w:rPr>
        <w:t>#</w:t>
      </w:r>
      <w:r w:rsidR="00457002" w:rsidRPr="008F1171">
        <w:rPr>
          <w:rFonts w:eastAsia="Times New Roman"/>
          <w:lang w:eastAsia="ru-RU"/>
        </w:rPr>
        <w:t>Ритуксимаб** – 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день 1 цикла 2; 375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день 2 цикла 2; 500 мг/м</w:t>
      </w:r>
      <w:r w:rsidR="00457002" w:rsidRPr="008F1171">
        <w:rPr>
          <w:rFonts w:eastAsia="Times New Roman"/>
          <w:vertAlign w:val="superscript"/>
          <w:lang w:eastAsia="ru-RU"/>
        </w:rPr>
        <w:t>2</w:t>
      </w:r>
      <w:r w:rsidR="00457002" w:rsidRPr="008F1171">
        <w:rPr>
          <w:rFonts w:eastAsia="Times New Roman"/>
          <w:lang w:eastAsia="ru-RU"/>
        </w:rPr>
        <w:t xml:space="preserve"> в/в кап.</w:t>
      </w:r>
      <w:r w:rsidR="00D4168D" w:rsidRPr="008F1171">
        <w:rPr>
          <w:rFonts w:eastAsia="Times New Roman"/>
          <w:lang w:eastAsia="ru-RU"/>
        </w:rPr>
        <w:t xml:space="preserve"> или 1</w:t>
      </w:r>
      <w:r w:rsidR="00EA3851">
        <w:rPr>
          <w:rFonts w:eastAsia="Times New Roman"/>
          <w:lang w:eastAsia="ru-RU"/>
        </w:rPr>
        <w:t>4</w:t>
      </w:r>
      <w:r w:rsidR="00D4168D" w:rsidRPr="008F1171">
        <w:rPr>
          <w:rFonts w:eastAsia="Times New Roman"/>
          <w:lang w:eastAsia="ru-RU"/>
        </w:rPr>
        <w:t>00 мг п/к</w:t>
      </w:r>
      <w:r w:rsidR="003F18B5" w:rsidRPr="008F1171">
        <w:rPr>
          <w:rFonts w:eastAsia="Times New Roman"/>
          <w:lang w:eastAsia="ru-RU"/>
        </w:rPr>
        <w:t>, день 1 циклов 3–</w:t>
      </w:r>
      <w:r w:rsidR="00457002" w:rsidRPr="008F1171">
        <w:rPr>
          <w:rFonts w:eastAsia="Times New Roman"/>
          <w:lang w:eastAsia="ru-RU"/>
        </w:rPr>
        <w:t>7</w:t>
      </w:r>
      <w:r w:rsidR="003F18B5" w:rsidRPr="008F1171">
        <w:rPr>
          <w:rFonts w:eastAsia="Times New Roman"/>
          <w:lang w:eastAsia="ru-RU"/>
        </w:rPr>
        <w:t>.</w:t>
      </w:r>
    </w:p>
    <w:p w:rsidR="00457002" w:rsidRPr="008F1171" w:rsidRDefault="00457002" w:rsidP="00457002">
      <w:pPr>
        <w:ind w:left="360"/>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r w:rsidRPr="008F1171">
        <w:rPr>
          <w:rFonts w:eastAsia="Times New Roman"/>
          <w:lang w:eastAsia="ru-RU"/>
        </w:rPr>
        <w:t>, всего 7 циклов</w:t>
      </w:r>
      <w:r w:rsidR="003F18B5" w:rsidRPr="008F1171">
        <w:rPr>
          <w:rFonts w:eastAsia="Times New Roman"/>
          <w:lang w:eastAsia="ru-RU"/>
        </w:rPr>
        <w:t>.</w:t>
      </w:r>
    </w:p>
    <w:p w:rsidR="00F21A6F" w:rsidRPr="008F1171" w:rsidRDefault="00F21A6F" w:rsidP="00F21A6F">
      <w:pPr>
        <w:contextualSpacing/>
        <w:rPr>
          <w:rFonts w:eastAsia="Times New Roman"/>
          <w:b/>
          <w:lang w:eastAsia="ru-RU"/>
        </w:rPr>
      </w:pPr>
      <w:r w:rsidRPr="008F1171">
        <w:rPr>
          <w:rFonts w:eastAsia="Times New Roman"/>
          <w:b/>
          <w:lang w:eastAsia="ru-RU"/>
        </w:rPr>
        <w:t>Ибрутиниб</w:t>
      </w:r>
      <w:r w:rsidR="00573250" w:rsidRPr="008F1171">
        <w:rPr>
          <w:rFonts w:eastAsia="Times New Roman"/>
          <w:b/>
          <w:lang w:eastAsia="ru-RU"/>
        </w:rPr>
        <w:t>**</w:t>
      </w:r>
      <w:r w:rsidRPr="008F1171">
        <w:rPr>
          <w:rFonts w:eastAsia="Times New Roman"/>
          <w:b/>
          <w:lang w:eastAsia="ru-RU"/>
        </w:rPr>
        <w:t xml:space="preserve"> + </w:t>
      </w:r>
      <w:r w:rsidRPr="008F1171">
        <w:rPr>
          <w:rFonts w:eastAsia="Times New Roman"/>
          <w:b/>
          <w:lang w:val="en-US" w:eastAsia="ru-RU"/>
        </w:rPr>
        <w:t>BR</w:t>
      </w:r>
    </w:p>
    <w:p w:rsidR="00F21A6F" w:rsidRPr="008F1171" w:rsidRDefault="00F21A6F" w:rsidP="003F18B5">
      <w:pPr>
        <w:pStyle w:val="a"/>
        <w:numPr>
          <w:ilvl w:val="0"/>
          <w:numId w:val="5"/>
        </w:numPr>
        <w:spacing w:before="0"/>
        <w:rPr>
          <w:lang w:eastAsia="ru-RU"/>
        </w:rPr>
      </w:pPr>
      <w:r w:rsidRPr="008F1171">
        <w:rPr>
          <w:lang w:eastAsia="ru-RU"/>
        </w:rPr>
        <w:t xml:space="preserve">Ибрутиниб** </w:t>
      </w:r>
      <w:r w:rsidR="003F18B5" w:rsidRPr="008F1171">
        <w:rPr>
          <w:lang w:eastAsia="ru-RU"/>
        </w:rPr>
        <w:t xml:space="preserve">– </w:t>
      </w:r>
      <w:r w:rsidRPr="008F1171">
        <w:rPr>
          <w:lang w:eastAsia="ru-RU"/>
        </w:rPr>
        <w:t>420 мг/сут (</w:t>
      </w:r>
      <w:r w:rsidR="003F18B5" w:rsidRPr="008F1171">
        <w:rPr>
          <w:lang w:eastAsia="ru-RU"/>
        </w:rPr>
        <w:t>3 капсулы) внутрь 1 раз в день</w:t>
      </w:r>
      <w:r w:rsidRPr="008F1171">
        <w:rPr>
          <w:lang w:eastAsia="ru-RU"/>
        </w:rPr>
        <w:t xml:space="preserve"> </w:t>
      </w:r>
      <w:r w:rsidR="003F18B5" w:rsidRPr="008F1171">
        <w:rPr>
          <w:lang w:eastAsia="ru-RU"/>
        </w:rPr>
        <w:t>ежедневно в течение всего курса</w:t>
      </w:r>
      <w:r w:rsidRPr="008F1171">
        <w:rPr>
          <w:lang w:eastAsia="ru-RU"/>
        </w:rPr>
        <w:t xml:space="preserve"> и далее (после завершения циклов </w:t>
      </w:r>
      <w:r w:rsidRPr="008F1171">
        <w:rPr>
          <w:lang w:val="en-US" w:eastAsia="ru-RU"/>
        </w:rPr>
        <w:t>BR</w:t>
      </w:r>
      <w:r w:rsidRPr="008F1171">
        <w:rPr>
          <w:lang w:eastAsia="ru-RU"/>
        </w:rPr>
        <w:t xml:space="preserve">) – до прогрессирования или </w:t>
      </w:r>
      <w:r w:rsidR="003F18B5" w:rsidRPr="008F1171">
        <w:rPr>
          <w:lang w:eastAsia="ru-RU"/>
        </w:rPr>
        <w:t xml:space="preserve">развития </w:t>
      </w:r>
      <w:r w:rsidRPr="008F1171">
        <w:rPr>
          <w:lang w:eastAsia="ru-RU"/>
        </w:rPr>
        <w:t>неприемлемой токсичности</w:t>
      </w:r>
      <w:r w:rsidR="003F18B5" w:rsidRPr="008F1171">
        <w:rPr>
          <w:lang w:eastAsia="ru-RU"/>
        </w:rPr>
        <w:t>.</w:t>
      </w:r>
    </w:p>
    <w:p w:rsidR="00F21A6F" w:rsidRPr="008F1171" w:rsidRDefault="000B3F2E" w:rsidP="00BE7488">
      <w:pPr>
        <w:numPr>
          <w:ilvl w:val="0"/>
          <w:numId w:val="5"/>
        </w:numPr>
        <w:contextualSpacing/>
        <w:rPr>
          <w:rFonts w:eastAsia="Times New Roman"/>
          <w:lang w:eastAsia="ru-RU"/>
        </w:rPr>
      </w:pPr>
      <w:r w:rsidRPr="008F1171">
        <w:rPr>
          <w:rFonts w:eastAsia="Times New Roman"/>
          <w:lang w:eastAsia="ru-RU"/>
        </w:rPr>
        <w:t>#</w:t>
      </w:r>
      <w:r w:rsidR="00F21A6F" w:rsidRPr="008F1171">
        <w:rPr>
          <w:rFonts w:eastAsia="Times New Roman"/>
          <w:lang w:eastAsia="ru-RU"/>
        </w:rPr>
        <w:t>Бендамустин</w:t>
      </w:r>
      <w:r w:rsidR="00B90AB1" w:rsidRPr="008F1171">
        <w:rPr>
          <w:rFonts w:eastAsia="Times New Roman"/>
          <w:lang w:eastAsia="ru-RU"/>
        </w:rPr>
        <w:t>**</w:t>
      </w:r>
      <w:r w:rsidR="00F21A6F" w:rsidRPr="008F1171">
        <w:rPr>
          <w:rFonts w:eastAsia="Times New Roman"/>
          <w:lang w:eastAsia="ru-RU"/>
        </w:rPr>
        <w:t xml:space="preserve"> </w:t>
      </w:r>
      <w:r w:rsidR="003F18B5" w:rsidRPr="008F1171">
        <w:rPr>
          <w:rFonts w:eastAsia="Times New Roman"/>
          <w:lang w:eastAsia="ru-RU"/>
        </w:rPr>
        <w:t xml:space="preserve">– </w:t>
      </w:r>
      <w:r w:rsidR="00F21A6F" w:rsidRPr="008F1171">
        <w:rPr>
          <w:rFonts w:eastAsia="Times New Roman"/>
          <w:lang w:eastAsia="ru-RU"/>
        </w:rPr>
        <w:t>90 мг/м</w:t>
      </w:r>
      <w:r w:rsidR="00F21A6F" w:rsidRPr="008F1171">
        <w:rPr>
          <w:rFonts w:eastAsia="Times New Roman"/>
          <w:vertAlign w:val="superscript"/>
          <w:lang w:eastAsia="ru-RU"/>
        </w:rPr>
        <w:t>2</w:t>
      </w:r>
      <w:r w:rsidR="00F21A6F" w:rsidRPr="008F1171">
        <w:rPr>
          <w:rFonts w:eastAsia="Times New Roman"/>
          <w:lang w:eastAsia="ru-RU"/>
        </w:rPr>
        <w:t xml:space="preserve"> в/в кап., </w:t>
      </w:r>
      <w:r w:rsidR="003F18B5" w:rsidRPr="008F1171">
        <w:rPr>
          <w:rFonts w:eastAsia="Times New Roman"/>
          <w:lang w:eastAsia="ru-RU"/>
        </w:rPr>
        <w:t>дни 2–</w:t>
      </w:r>
      <w:r w:rsidR="00F21A6F" w:rsidRPr="008F1171">
        <w:rPr>
          <w:rFonts w:eastAsia="Times New Roman"/>
          <w:lang w:eastAsia="ru-RU"/>
        </w:rPr>
        <w:t>3 цикла 1; дни 1, 2</w:t>
      </w:r>
      <w:r w:rsidR="003F18B5" w:rsidRPr="008F1171">
        <w:rPr>
          <w:rFonts w:eastAsia="Times New Roman"/>
          <w:lang w:eastAsia="ru-RU"/>
        </w:rPr>
        <w:t xml:space="preserve"> циклов 2–</w:t>
      </w:r>
      <w:r w:rsidR="00F21A6F" w:rsidRPr="008F1171">
        <w:rPr>
          <w:rFonts w:eastAsia="Times New Roman"/>
          <w:lang w:eastAsia="ru-RU"/>
        </w:rPr>
        <w:t>6</w:t>
      </w:r>
      <w:r w:rsidR="003F18B5" w:rsidRPr="008F1171">
        <w:rPr>
          <w:rFonts w:eastAsia="Times New Roman"/>
          <w:lang w:eastAsia="ru-RU"/>
        </w:rPr>
        <w:t>.</w:t>
      </w:r>
    </w:p>
    <w:p w:rsidR="00F21A6F" w:rsidRDefault="00F21A6F" w:rsidP="00BE7488">
      <w:pPr>
        <w:numPr>
          <w:ilvl w:val="0"/>
          <w:numId w:val="5"/>
        </w:numPr>
        <w:contextualSpacing/>
        <w:rPr>
          <w:rFonts w:eastAsia="Times New Roman"/>
          <w:lang w:eastAsia="ru-RU"/>
        </w:rPr>
      </w:pPr>
      <w:r w:rsidRPr="008F1171">
        <w:rPr>
          <w:rFonts w:eastAsia="Times New Roman"/>
          <w:lang w:eastAsia="ru-RU"/>
        </w:rPr>
        <w:t>Ритуксимаб** –</w:t>
      </w:r>
      <w:r w:rsidR="003F18B5" w:rsidRPr="008F1171">
        <w:rPr>
          <w:rFonts w:eastAsia="Times New Roman"/>
          <w:lang w:eastAsia="ru-RU"/>
        </w:rPr>
        <w:t xml:space="preserve"> </w:t>
      </w:r>
      <w:r w:rsidRPr="008F1171">
        <w:rPr>
          <w:rFonts w:eastAsia="Times New Roman"/>
          <w:lang w:eastAsia="ru-RU"/>
        </w:rPr>
        <w:t>375 мг/м</w:t>
      </w:r>
      <w:r w:rsidRPr="008F1171">
        <w:rPr>
          <w:rFonts w:eastAsia="Times New Roman"/>
          <w:vertAlign w:val="superscript"/>
          <w:lang w:eastAsia="ru-RU"/>
        </w:rPr>
        <w:t>2</w:t>
      </w:r>
      <w:r w:rsidRPr="009600FA">
        <w:rPr>
          <w:rFonts w:eastAsia="Times New Roman"/>
          <w:lang w:eastAsia="ru-RU"/>
        </w:rPr>
        <w:t xml:space="preserve"> в/в кап.</w:t>
      </w:r>
      <w:r w:rsidR="003F18B5">
        <w:rPr>
          <w:rFonts w:eastAsia="Times New Roman"/>
          <w:lang w:eastAsia="ru-RU"/>
        </w:rPr>
        <w:t>,</w:t>
      </w:r>
      <w:r>
        <w:rPr>
          <w:rFonts w:eastAsia="Times New Roman"/>
          <w:lang w:eastAsia="ru-RU"/>
        </w:rPr>
        <w:t xml:space="preserve"> день 1 цикла 1; </w:t>
      </w:r>
      <w:r w:rsidRPr="009600FA">
        <w:rPr>
          <w:rFonts w:eastAsia="Times New Roman"/>
          <w:lang w:eastAsia="ru-RU"/>
        </w:rPr>
        <w:t>500 мг/м</w:t>
      </w:r>
      <w:r w:rsidRPr="009600FA">
        <w:rPr>
          <w:rFonts w:eastAsia="Times New Roman"/>
          <w:vertAlign w:val="superscript"/>
          <w:lang w:eastAsia="ru-RU"/>
        </w:rPr>
        <w:t>2</w:t>
      </w:r>
      <w:r w:rsidRPr="009600FA">
        <w:rPr>
          <w:rFonts w:eastAsia="Times New Roman"/>
          <w:lang w:eastAsia="ru-RU"/>
        </w:rPr>
        <w:t xml:space="preserve"> в/в кап.</w:t>
      </w:r>
      <w:r w:rsidR="00DE7500">
        <w:rPr>
          <w:rFonts w:eastAsia="Times New Roman"/>
          <w:lang w:eastAsia="ru-RU"/>
        </w:rPr>
        <w:t xml:space="preserve"> или </w:t>
      </w:r>
      <w:r w:rsidR="00EA3851">
        <w:rPr>
          <w:rFonts w:eastAsia="Times New Roman"/>
          <w:lang w:eastAsia="ru-RU"/>
        </w:rPr>
        <w:t>1400 мг п/к</w:t>
      </w:r>
      <w:r w:rsidR="003F18B5">
        <w:rPr>
          <w:rFonts w:eastAsia="Times New Roman"/>
          <w:lang w:eastAsia="ru-RU"/>
        </w:rPr>
        <w:t>, день 1 циклов 2–</w:t>
      </w:r>
      <w:r>
        <w:rPr>
          <w:rFonts w:eastAsia="Times New Roman"/>
          <w:lang w:eastAsia="ru-RU"/>
        </w:rPr>
        <w:t>6</w:t>
      </w:r>
      <w:r w:rsidR="003F18B5">
        <w:rPr>
          <w:rFonts w:eastAsia="Times New Roman"/>
          <w:lang w:eastAsia="ru-RU"/>
        </w:rPr>
        <w:t>.</w:t>
      </w:r>
      <w:r w:rsidR="00DE7500">
        <w:rPr>
          <w:rFonts w:eastAsia="Times New Roman"/>
          <w:lang w:eastAsia="ru-RU"/>
        </w:rPr>
        <w:t xml:space="preserve"> </w:t>
      </w:r>
    </w:p>
    <w:p w:rsidR="00F21A6F" w:rsidRDefault="00F21A6F" w:rsidP="00F21A6F">
      <w:pPr>
        <w:ind w:left="360"/>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r>
        <w:rPr>
          <w:rFonts w:eastAsia="Times New Roman"/>
          <w:lang w:eastAsia="ru-RU"/>
        </w:rPr>
        <w:t>, всего 6 циклов</w:t>
      </w:r>
      <w:r w:rsidR="003F18B5">
        <w:rPr>
          <w:rFonts w:eastAsia="Times New Roman"/>
          <w:lang w:eastAsia="ru-RU"/>
        </w:rPr>
        <w:t>.</w:t>
      </w:r>
    </w:p>
    <w:p w:rsidR="00457002" w:rsidRPr="001F4A9B" w:rsidRDefault="00457002" w:rsidP="00457002">
      <w:pPr>
        <w:contextualSpacing/>
        <w:rPr>
          <w:rFonts w:eastAsia="Times New Roman"/>
          <w:b/>
          <w:lang w:val="en-US" w:eastAsia="ru-RU"/>
        </w:rPr>
      </w:pPr>
      <w:r>
        <w:rPr>
          <w:rFonts w:eastAsia="Times New Roman"/>
          <w:b/>
          <w:lang w:eastAsia="ru-RU"/>
        </w:rPr>
        <w:lastRenderedPageBreak/>
        <w:t>Венетоклакс + ритуксимаб</w:t>
      </w:r>
      <w:r w:rsidR="001F4A9B">
        <w:rPr>
          <w:rFonts w:eastAsia="Times New Roman"/>
          <w:b/>
          <w:lang w:val="en-US" w:eastAsia="ru-RU"/>
        </w:rPr>
        <w:t>**</w:t>
      </w:r>
    </w:p>
    <w:p w:rsidR="001D54F2" w:rsidRPr="00822273" w:rsidRDefault="00457002" w:rsidP="003F18B5">
      <w:pPr>
        <w:pStyle w:val="a"/>
        <w:numPr>
          <w:ilvl w:val="0"/>
          <w:numId w:val="5"/>
        </w:numPr>
        <w:spacing w:before="0"/>
      </w:pPr>
      <w:r w:rsidRPr="0040662F">
        <w:rPr>
          <w:lang w:eastAsia="ru-RU"/>
        </w:rPr>
        <w:t xml:space="preserve">Венетоклакс </w:t>
      </w:r>
      <w:r w:rsidR="003F18B5">
        <w:rPr>
          <w:lang w:eastAsia="ru-RU"/>
        </w:rPr>
        <w:t xml:space="preserve">– </w:t>
      </w:r>
      <w:r w:rsidRPr="0040662F">
        <w:rPr>
          <w:lang w:eastAsia="ru-RU"/>
        </w:rPr>
        <w:t>20 мг/сут (нед. 1), 50 мг/сут (нед. 2), 100 мг</w:t>
      </w:r>
      <w:r w:rsidR="003F18B5">
        <w:rPr>
          <w:lang w:eastAsia="ru-RU"/>
        </w:rPr>
        <w:t>/сут (нед. 3), 200 мг/сут (нед. </w:t>
      </w:r>
      <w:r w:rsidRPr="0040662F">
        <w:rPr>
          <w:lang w:eastAsia="ru-RU"/>
        </w:rPr>
        <w:t xml:space="preserve">4), 400 мг/сут (нед. 5 и далее), </w:t>
      </w:r>
      <w:r w:rsidR="0040662F" w:rsidRPr="0040662F">
        <w:rPr>
          <w:szCs w:val="24"/>
        </w:rPr>
        <w:t>прием в течение 24 мес</w:t>
      </w:r>
      <w:r w:rsidR="003F18B5">
        <w:rPr>
          <w:szCs w:val="24"/>
        </w:rPr>
        <w:t>.</w:t>
      </w:r>
      <w:r w:rsidR="0040662F" w:rsidRPr="0040662F">
        <w:rPr>
          <w:szCs w:val="24"/>
        </w:rPr>
        <w:t xml:space="preserve"> начиная с 1-го дня 1-го цикла лечения ритуксимабом</w:t>
      </w:r>
      <w:r w:rsidR="001F4A9B" w:rsidRPr="00397360">
        <w:rPr>
          <w:szCs w:val="24"/>
        </w:rPr>
        <w:t>**</w:t>
      </w:r>
      <w:r w:rsidR="0040662F" w:rsidRPr="0040662F">
        <w:rPr>
          <w:szCs w:val="24"/>
        </w:rPr>
        <w:t xml:space="preserve">. </w:t>
      </w:r>
    </w:p>
    <w:p w:rsidR="00457002" w:rsidRPr="00822273" w:rsidRDefault="00457002" w:rsidP="003F18B5">
      <w:pPr>
        <w:pStyle w:val="a"/>
        <w:numPr>
          <w:ilvl w:val="0"/>
          <w:numId w:val="5"/>
        </w:numPr>
        <w:spacing w:before="0"/>
      </w:pPr>
      <w:r w:rsidRPr="0040662F">
        <w:rPr>
          <w:lang w:eastAsia="ru-RU"/>
        </w:rPr>
        <w:t>Ритуксимаб** – 375 мг/м</w:t>
      </w:r>
      <w:r w:rsidRPr="0040662F">
        <w:rPr>
          <w:vertAlign w:val="superscript"/>
          <w:lang w:eastAsia="ru-RU"/>
        </w:rPr>
        <w:t>2</w:t>
      </w:r>
      <w:r w:rsidRPr="0040662F">
        <w:rPr>
          <w:lang w:eastAsia="ru-RU"/>
        </w:rPr>
        <w:t xml:space="preserve"> в/в кап. через 1 нед. после достижения дозы венетоклакса 400 мг/сут, далее – 500 мг/м</w:t>
      </w:r>
      <w:r w:rsidRPr="0040662F">
        <w:rPr>
          <w:vertAlign w:val="superscript"/>
          <w:lang w:eastAsia="ru-RU"/>
        </w:rPr>
        <w:t>2</w:t>
      </w:r>
      <w:r w:rsidRPr="0040662F">
        <w:rPr>
          <w:lang w:eastAsia="ru-RU"/>
        </w:rPr>
        <w:t xml:space="preserve"> в/в кап.</w:t>
      </w:r>
      <w:r w:rsidR="00DE7500">
        <w:rPr>
          <w:lang w:eastAsia="ru-RU"/>
        </w:rPr>
        <w:t xml:space="preserve"> или 1</w:t>
      </w:r>
      <w:r w:rsidR="00EA3851">
        <w:rPr>
          <w:lang w:eastAsia="ru-RU"/>
        </w:rPr>
        <w:t>4</w:t>
      </w:r>
      <w:r w:rsidR="00DE7500">
        <w:rPr>
          <w:lang w:eastAsia="ru-RU"/>
        </w:rPr>
        <w:t>00 мг п/к</w:t>
      </w:r>
      <w:r w:rsidRPr="0040662F">
        <w:rPr>
          <w:lang w:eastAsia="ru-RU"/>
        </w:rPr>
        <w:t xml:space="preserve"> ежемесячно, всего 6 введений</w:t>
      </w:r>
      <w:r w:rsidR="003F18B5">
        <w:rPr>
          <w:lang w:eastAsia="ru-RU"/>
        </w:rPr>
        <w:t>.</w:t>
      </w:r>
    </w:p>
    <w:p w:rsidR="00FD691F" w:rsidRPr="00822273" w:rsidRDefault="00FD691F" w:rsidP="003F18B5">
      <w:pPr>
        <w:jc w:val="left"/>
        <w:rPr>
          <w:b/>
        </w:rPr>
      </w:pPr>
      <w:r w:rsidRPr="00822273">
        <w:rPr>
          <w:b/>
        </w:rPr>
        <w:t>Венетоклакс + обинутузумаб</w:t>
      </w:r>
      <w:r w:rsidR="00573250">
        <w:rPr>
          <w:b/>
        </w:rPr>
        <w:t>**</w:t>
      </w:r>
    </w:p>
    <w:p w:rsidR="00612DD7" w:rsidRPr="00822273" w:rsidRDefault="00F075CA" w:rsidP="003F18B5">
      <w:pPr>
        <w:pStyle w:val="a"/>
        <w:numPr>
          <w:ilvl w:val="0"/>
          <w:numId w:val="5"/>
        </w:numPr>
        <w:spacing w:before="0"/>
      </w:pPr>
      <w:r w:rsidRPr="001D54F2">
        <w:rPr>
          <w:lang w:eastAsia="ru-RU"/>
        </w:rPr>
        <w:t>Обинутузумаб</w:t>
      </w:r>
      <w:r w:rsidR="00B90AB1" w:rsidRPr="00B33976">
        <w:rPr>
          <w:lang w:eastAsia="ru-RU"/>
        </w:rPr>
        <w:t>**</w:t>
      </w:r>
      <w:r w:rsidRPr="001D54F2">
        <w:rPr>
          <w:lang w:eastAsia="ru-RU"/>
        </w:rPr>
        <w:t xml:space="preserve"> </w:t>
      </w:r>
      <w:r w:rsidR="003F18B5">
        <w:rPr>
          <w:lang w:eastAsia="ru-RU"/>
        </w:rPr>
        <w:t xml:space="preserve">– </w:t>
      </w:r>
      <w:r w:rsidRPr="001D54F2">
        <w:rPr>
          <w:lang w:eastAsia="ru-RU"/>
        </w:rPr>
        <w:t>100 мг</w:t>
      </w:r>
      <w:r w:rsidR="003F18B5">
        <w:rPr>
          <w:lang w:eastAsia="ru-RU"/>
        </w:rPr>
        <w:t>,</w:t>
      </w:r>
      <w:r w:rsidRPr="001D54F2">
        <w:rPr>
          <w:lang w:eastAsia="ru-RU"/>
        </w:rPr>
        <w:t xml:space="preserve"> </w:t>
      </w:r>
      <w:r w:rsidR="00612DD7" w:rsidRPr="00822273">
        <w:rPr>
          <w:lang w:eastAsia="ru-RU"/>
        </w:rPr>
        <w:t>день 1 цикла 1</w:t>
      </w:r>
      <w:r w:rsidR="003F18B5">
        <w:rPr>
          <w:lang w:eastAsia="ru-RU"/>
        </w:rPr>
        <w:t>;</w:t>
      </w:r>
      <w:r w:rsidRPr="001D54F2">
        <w:rPr>
          <w:lang w:eastAsia="ru-RU"/>
        </w:rPr>
        <w:t xml:space="preserve"> 900 мг </w:t>
      </w:r>
      <w:r w:rsidR="00612DD7" w:rsidRPr="00822273">
        <w:rPr>
          <w:lang w:eastAsia="ru-RU"/>
        </w:rPr>
        <w:t>день 2 цикла 1</w:t>
      </w:r>
      <w:r w:rsidR="003F18B5">
        <w:rPr>
          <w:lang w:eastAsia="ru-RU"/>
        </w:rPr>
        <w:t>;</w:t>
      </w:r>
      <w:r w:rsidRPr="001D54F2">
        <w:rPr>
          <w:lang w:eastAsia="ru-RU"/>
        </w:rPr>
        <w:t xml:space="preserve"> </w:t>
      </w:r>
      <w:r w:rsidR="003F18B5">
        <w:rPr>
          <w:lang w:eastAsia="ru-RU"/>
        </w:rPr>
        <w:t>1000 мг день 8 цикла 1; 1000 мг день 15 цикла 1;</w:t>
      </w:r>
      <w:r w:rsidR="00612DD7" w:rsidRPr="00822273">
        <w:rPr>
          <w:lang w:eastAsia="ru-RU"/>
        </w:rPr>
        <w:t xml:space="preserve"> 1000 мг день 1 цикла 2</w:t>
      </w:r>
      <w:r w:rsidR="003F18B5">
        <w:rPr>
          <w:lang w:eastAsia="ru-RU"/>
        </w:rPr>
        <w:t>; 1000 мг день 1 циклов 3–</w:t>
      </w:r>
      <w:r w:rsidR="00612DD7" w:rsidRPr="00822273">
        <w:rPr>
          <w:lang w:eastAsia="ru-RU"/>
        </w:rPr>
        <w:t xml:space="preserve">6. </w:t>
      </w:r>
    </w:p>
    <w:p w:rsidR="00F075CA" w:rsidRPr="000078EC" w:rsidRDefault="00055701" w:rsidP="003F18B5">
      <w:pPr>
        <w:pStyle w:val="a"/>
        <w:numPr>
          <w:ilvl w:val="0"/>
          <w:numId w:val="5"/>
        </w:numPr>
        <w:spacing w:before="0"/>
      </w:pPr>
      <w:r w:rsidRPr="0008146B">
        <w:rPr>
          <w:lang w:eastAsia="ru-RU"/>
        </w:rPr>
        <w:t>#</w:t>
      </w:r>
      <w:r w:rsidR="00F075CA" w:rsidRPr="0008146B">
        <w:rPr>
          <w:lang w:eastAsia="ru-RU"/>
        </w:rPr>
        <w:t xml:space="preserve">Венетоклакс </w:t>
      </w:r>
      <w:r w:rsidR="003F18B5" w:rsidRPr="00055701">
        <w:rPr>
          <w:lang w:eastAsia="ru-RU"/>
        </w:rPr>
        <w:t xml:space="preserve">– </w:t>
      </w:r>
      <w:r w:rsidR="00F075CA" w:rsidRPr="00055701">
        <w:rPr>
          <w:lang w:eastAsia="ru-RU"/>
        </w:rPr>
        <w:t>20 мг/сут</w:t>
      </w:r>
      <w:r w:rsidR="003F18B5" w:rsidRPr="00055701">
        <w:rPr>
          <w:lang w:eastAsia="ru-RU"/>
        </w:rPr>
        <w:t>,</w:t>
      </w:r>
      <w:r w:rsidR="00F21A6F" w:rsidRPr="00055701">
        <w:rPr>
          <w:lang w:eastAsia="ru-RU"/>
        </w:rPr>
        <w:t xml:space="preserve"> </w:t>
      </w:r>
      <w:r w:rsidR="00015858" w:rsidRPr="00055701">
        <w:rPr>
          <w:lang w:eastAsia="ru-RU"/>
        </w:rPr>
        <w:t>дни 22–</w:t>
      </w:r>
      <w:r w:rsidR="00D55FB6" w:rsidRPr="00055701">
        <w:rPr>
          <w:lang w:eastAsia="ru-RU"/>
        </w:rPr>
        <w:t>28 цикла 1</w:t>
      </w:r>
      <w:r w:rsidR="00015858" w:rsidRPr="00055701">
        <w:rPr>
          <w:lang w:eastAsia="ru-RU"/>
        </w:rPr>
        <w:t>;</w:t>
      </w:r>
      <w:r w:rsidR="00F075CA" w:rsidRPr="00055701">
        <w:rPr>
          <w:lang w:eastAsia="ru-RU"/>
        </w:rPr>
        <w:t xml:space="preserve"> 50 мг/сут</w:t>
      </w:r>
      <w:r w:rsidR="00D55FB6" w:rsidRPr="00055701">
        <w:rPr>
          <w:lang w:eastAsia="ru-RU"/>
        </w:rPr>
        <w:t xml:space="preserve"> дни 1</w:t>
      </w:r>
      <w:r w:rsidR="00015858" w:rsidRPr="00055701">
        <w:rPr>
          <w:lang w:eastAsia="ru-RU"/>
        </w:rPr>
        <w:t>–</w:t>
      </w:r>
      <w:r w:rsidR="00D55FB6" w:rsidRPr="00055701">
        <w:rPr>
          <w:lang w:eastAsia="ru-RU"/>
        </w:rPr>
        <w:t>7 цикла 2</w:t>
      </w:r>
      <w:r w:rsidR="00015858" w:rsidRPr="00055701">
        <w:rPr>
          <w:lang w:eastAsia="ru-RU"/>
        </w:rPr>
        <w:t>;</w:t>
      </w:r>
      <w:r w:rsidR="00F075CA" w:rsidRPr="00055701">
        <w:rPr>
          <w:lang w:eastAsia="ru-RU"/>
        </w:rPr>
        <w:t xml:space="preserve"> 100 мг/сут</w:t>
      </w:r>
      <w:r w:rsidR="00D55FB6" w:rsidRPr="00822273">
        <w:rPr>
          <w:lang w:eastAsia="ru-RU"/>
        </w:rPr>
        <w:t xml:space="preserve"> дни 8</w:t>
      </w:r>
      <w:r w:rsidR="00015858">
        <w:rPr>
          <w:lang w:eastAsia="ru-RU"/>
        </w:rPr>
        <w:t>–</w:t>
      </w:r>
      <w:r w:rsidR="00D55FB6" w:rsidRPr="00822273">
        <w:rPr>
          <w:lang w:eastAsia="ru-RU"/>
        </w:rPr>
        <w:t>14 цикла 2</w:t>
      </w:r>
      <w:r w:rsidR="00015858">
        <w:rPr>
          <w:lang w:eastAsia="ru-RU"/>
        </w:rPr>
        <w:t>;</w:t>
      </w:r>
      <w:r w:rsidR="00F075CA" w:rsidRPr="001D54F2">
        <w:rPr>
          <w:lang w:eastAsia="ru-RU"/>
        </w:rPr>
        <w:t xml:space="preserve"> 200 мг/сут</w:t>
      </w:r>
      <w:r w:rsidR="003F18B5">
        <w:rPr>
          <w:lang w:eastAsia="ru-RU"/>
        </w:rPr>
        <w:t xml:space="preserve"> дни 15–</w:t>
      </w:r>
      <w:r w:rsidR="00D55FB6" w:rsidRPr="00822273">
        <w:rPr>
          <w:lang w:eastAsia="ru-RU"/>
        </w:rPr>
        <w:t>21 цикла 2</w:t>
      </w:r>
      <w:r w:rsidR="00015858">
        <w:rPr>
          <w:lang w:eastAsia="ru-RU"/>
        </w:rPr>
        <w:t>;</w:t>
      </w:r>
      <w:r w:rsidR="00F075CA" w:rsidRPr="001D54F2">
        <w:rPr>
          <w:lang w:eastAsia="ru-RU"/>
        </w:rPr>
        <w:t xml:space="preserve"> 400 мг/сут</w:t>
      </w:r>
      <w:r w:rsidR="00015858">
        <w:rPr>
          <w:lang w:eastAsia="ru-RU"/>
        </w:rPr>
        <w:t xml:space="preserve"> дни 22–</w:t>
      </w:r>
      <w:r w:rsidR="00D55FB6" w:rsidRPr="00822273">
        <w:rPr>
          <w:lang w:eastAsia="ru-RU"/>
        </w:rPr>
        <w:t xml:space="preserve">28 цикла 2, далее 400 мг/сут в течение 12 </w:t>
      </w:r>
      <w:r w:rsidR="00F075CA" w:rsidRPr="001D54F2">
        <w:rPr>
          <w:szCs w:val="24"/>
        </w:rPr>
        <w:t>мес</w:t>
      </w:r>
      <w:r w:rsidR="00D55FB6" w:rsidRPr="00822273">
        <w:rPr>
          <w:szCs w:val="24"/>
        </w:rPr>
        <w:t>.</w:t>
      </w:r>
    </w:p>
    <w:p w:rsidR="004D7374" w:rsidRPr="00DB46A1" w:rsidRDefault="004D7374" w:rsidP="00BE6A1C">
      <w:pPr>
        <w:pStyle w:val="1"/>
        <w:rPr>
          <w:sz w:val="24"/>
          <w:szCs w:val="24"/>
        </w:rPr>
      </w:pPr>
      <w:bookmarkStart w:id="92" w:name="_Toc520213132"/>
      <w:bookmarkStart w:id="93" w:name="_Toc24546460"/>
      <w:bookmarkStart w:id="94" w:name="_Toc23601742"/>
      <w:r w:rsidRPr="00DB46A1">
        <w:rPr>
          <w:sz w:val="24"/>
          <w:szCs w:val="24"/>
        </w:rPr>
        <w:t xml:space="preserve">Приложение Б. Алгоритмы </w:t>
      </w:r>
      <w:bookmarkEnd w:id="92"/>
      <w:r w:rsidR="002448A6" w:rsidRPr="00DB46A1">
        <w:rPr>
          <w:sz w:val="24"/>
          <w:szCs w:val="24"/>
        </w:rPr>
        <w:t>действий врача</w:t>
      </w:r>
      <w:bookmarkEnd w:id="93"/>
      <w:bookmarkEnd w:id="94"/>
    </w:p>
    <w:p w:rsidR="004D7374" w:rsidRPr="00CA1B30" w:rsidRDefault="00D73887" w:rsidP="00437AD9">
      <w:pPr>
        <w:pStyle w:val="2"/>
      </w:pPr>
      <w:bookmarkStart w:id="95" w:name="_Toc24546461"/>
      <w:bookmarkStart w:id="96" w:name="_Toc23601743"/>
      <w:r>
        <w:t xml:space="preserve">Приложение </w:t>
      </w:r>
      <w:r w:rsidR="00C87193">
        <w:t>Б1</w:t>
      </w:r>
      <w:r w:rsidR="00F07AA9">
        <w:t>.</w:t>
      </w:r>
      <w:r w:rsidR="00127E46">
        <w:t xml:space="preserve"> </w:t>
      </w:r>
      <w:r w:rsidR="004D7374" w:rsidRPr="0072780B">
        <w:t>Алгоритм выбора первой линии терапии пациента с ХЛЛ</w:t>
      </w:r>
      <w:r w:rsidR="00EB3C81" w:rsidRPr="0072780B">
        <w:t>/ЛМЛ</w:t>
      </w:r>
      <w:bookmarkEnd w:id="95"/>
      <w:bookmarkEnd w:id="96"/>
    </w:p>
    <w:p w:rsidR="008E3AC0" w:rsidRPr="00015858" w:rsidRDefault="00C27E51" w:rsidP="00437AD9">
      <w:pPr>
        <w:rPr>
          <w:b/>
        </w:rPr>
      </w:pPr>
      <w:r w:rsidRPr="0084325C">
        <w:rPr>
          <w:noProof/>
          <w:lang w:eastAsia="ru-RU"/>
        </w:rPr>
        <w:drawing>
          <wp:inline distT="0" distB="0" distL="0" distR="0" wp14:anchorId="639141BD" wp14:editId="5693D723">
            <wp:extent cx="6248400" cy="3708400"/>
            <wp:effectExtent l="0" t="0" r="0" b="0"/>
            <wp:docPr id="1"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8400" cy="3708400"/>
                    </a:xfrm>
                    <a:prstGeom prst="rect">
                      <a:avLst/>
                    </a:prstGeom>
                    <a:noFill/>
                    <a:ln>
                      <a:noFill/>
                    </a:ln>
                  </pic:spPr>
                </pic:pic>
              </a:graphicData>
            </a:graphic>
          </wp:inline>
        </w:drawing>
      </w:r>
      <w:r w:rsidR="00D73887">
        <w:t xml:space="preserve">* </w:t>
      </w:r>
      <w:r w:rsidR="00015858">
        <w:t>М</w:t>
      </w:r>
      <w:r w:rsidR="00D73887">
        <w:t>онотерапия</w:t>
      </w:r>
      <w:r w:rsidR="000078EC">
        <w:t xml:space="preserve"> </w:t>
      </w:r>
      <w:r w:rsidR="00D73887">
        <w:t>венетоклаксом показана пациентам, которым не может быть назначен ибрутиниб</w:t>
      </w:r>
      <w:r w:rsidR="00015858">
        <w:t>.</w:t>
      </w:r>
    </w:p>
    <w:p w:rsidR="00437AD9" w:rsidRDefault="00437AD9" w:rsidP="00437AD9"/>
    <w:p w:rsidR="00F07AA9" w:rsidRDefault="00F07AA9" w:rsidP="00437AD9">
      <w:pPr>
        <w:pStyle w:val="2"/>
      </w:pPr>
      <w:r>
        <w:lastRenderedPageBreak/>
        <w:br w:type="page"/>
      </w:r>
    </w:p>
    <w:p w:rsidR="004D7374" w:rsidRPr="00CA1B30" w:rsidRDefault="00D73887" w:rsidP="00437AD9">
      <w:pPr>
        <w:pStyle w:val="2"/>
      </w:pPr>
      <w:bookmarkStart w:id="97" w:name="_Toc24546462"/>
      <w:bookmarkStart w:id="98" w:name="_Toc23601744"/>
      <w:r>
        <w:lastRenderedPageBreak/>
        <w:t xml:space="preserve">Приложение </w:t>
      </w:r>
      <w:r w:rsidR="00C87193" w:rsidRPr="00D73887">
        <w:t>Б2</w:t>
      </w:r>
      <w:r w:rsidR="00127E46">
        <w:t>.</w:t>
      </w:r>
      <w:r w:rsidR="00AA4B03">
        <w:t xml:space="preserve"> </w:t>
      </w:r>
      <w:r w:rsidR="004D7374" w:rsidRPr="00C87193">
        <w:t>А</w:t>
      </w:r>
      <w:r w:rsidR="004D7374" w:rsidRPr="00CA1B30">
        <w:t>лгоритм выбора терапии рецидива ХЛЛ</w:t>
      </w:r>
      <w:r w:rsidR="00CA1B30" w:rsidRPr="00CA1B30">
        <w:t>/ЛМЛ</w:t>
      </w:r>
      <w:bookmarkEnd w:id="97"/>
      <w:bookmarkEnd w:id="98"/>
    </w:p>
    <w:p w:rsidR="004D7374" w:rsidRDefault="004D7374" w:rsidP="004D7374">
      <w:pPr>
        <w:ind w:firstLine="709"/>
      </w:pPr>
    </w:p>
    <w:p w:rsidR="004D7374" w:rsidRDefault="00C27E51" w:rsidP="00F07AA9">
      <w:pPr>
        <w:ind w:hanging="567"/>
      </w:pPr>
      <w:r w:rsidRPr="0084325C">
        <w:rPr>
          <w:noProof/>
          <w:lang w:eastAsia="ru-RU"/>
        </w:rPr>
        <w:drawing>
          <wp:inline distT="0" distB="0" distL="0" distR="0" wp14:anchorId="00B12DA4" wp14:editId="28308A7A">
            <wp:extent cx="6400800" cy="3429000"/>
            <wp:effectExtent l="0" t="0" r="0" b="0"/>
            <wp:docPr id="2"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0" cy="3429000"/>
                    </a:xfrm>
                    <a:prstGeom prst="rect">
                      <a:avLst/>
                    </a:prstGeom>
                    <a:noFill/>
                    <a:ln>
                      <a:noFill/>
                    </a:ln>
                  </pic:spPr>
                </pic:pic>
              </a:graphicData>
            </a:graphic>
          </wp:inline>
        </w:drawing>
      </w:r>
    </w:p>
    <w:p w:rsidR="00F07AA9" w:rsidRDefault="00F07AA9" w:rsidP="00BE6A1C">
      <w:pPr>
        <w:pStyle w:val="1"/>
      </w:pPr>
      <w:bookmarkStart w:id="99" w:name="_Toc520213133"/>
      <w:r>
        <w:br w:type="page"/>
      </w:r>
    </w:p>
    <w:p w:rsidR="005A463A" w:rsidRPr="00DB46A1" w:rsidRDefault="005A463A" w:rsidP="005A463A">
      <w:pPr>
        <w:pStyle w:val="1"/>
        <w:rPr>
          <w:sz w:val="24"/>
          <w:szCs w:val="24"/>
        </w:rPr>
      </w:pPr>
      <w:bookmarkStart w:id="100" w:name="_Toc24546464"/>
      <w:bookmarkStart w:id="101" w:name="_Toc23601746"/>
      <w:bookmarkEnd w:id="99"/>
      <w:r w:rsidRPr="00DB46A1">
        <w:rPr>
          <w:sz w:val="24"/>
          <w:szCs w:val="24"/>
        </w:rPr>
        <w:lastRenderedPageBreak/>
        <w:t>Приложение В. Информация для пациентов</w:t>
      </w:r>
    </w:p>
    <w:p w:rsidR="005A463A" w:rsidRPr="0072780B" w:rsidRDefault="005A463A" w:rsidP="005A463A">
      <w:pPr>
        <w:ind w:firstLine="709"/>
      </w:pPr>
      <w:r>
        <w:t xml:space="preserve">Хронический лимфоцитарный лейкоз (ХЛЛ) представляет собой онкологическое заболевание, поражающее клетки крови и костного мозга. При хроническом ХЛЛ костный мозг вырабатывает патологически измененные, не способные выполнять свои функции лимфоциты. </w:t>
      </w:r>
      <w:r w:rsidRPr="0072780B">
        <w:t xml:space="preserve">Они накапливаются в крови и различных органах и вытесняют нормальные клетки крови. Слово </w:t>
      </w:r>
      <w:r>
        <w:t>«</w:t>
      </w:r>
      <w:r w:rsidRPr="0072780B">
        <w:t>хронический</w:t>
      </w:r>
      <w:r>
        <w:t>»</w:t>
      </w:r>
      <w:r w:rsidRPr="0072780B">
        <w:t xml:space="preserve"> в названии указывает, что это заболевание протекает доброкачественно.</w:t>
      </w:r>
    </w:p>
    <w:p w:rsidR="005A463A" w:rsidRDefault="005A463A" w:rsidP="005A463A">
      <w:pPr>
        <w:ind w:firstLine="709"/>
      </w:pPr>
      <w:r w:rsidRPr="0072780B">
        <w:t xml:space="preserve">Лимфомой из малых лимфоцитов (ЛМЛ) называется особое проявление хронического ХЛЛ, при котором патологические лимфоциты накапливаются не в крови или костном мозге, а в </w:t>
      </w:r>
      <w:r>
        <w:rPr>
          <w:spacing w:val="-2"/>
        </w:rPr>
        <w:t xml:space="preserve">лимфатических </w:t>
      </w:r>
      <w:r w:rsidRPr="000F2499">
        <w:rPr>
          <w:spacing w:val="-2"/>
        </w:rPr>
        <w:t>узл</w:t>
      </w:r>
      <w:r>
        <w:rPr>
          <w:spacing w:val="-2"/>
        </w:rPr>
        <w:t>ах</w:t>
      </w:r>
      <w:r>
        <w:t>.</w:t>
      </w:r>
    </w:p>
    <w:p w:rsidR="005A463A" w:rsidRDefault="005A463A" w:rsidP="005A463A">
      <w:pPr>
        <w:ind w:firstLine="709"/>
      </w:pPr>
      <w:r>
        <w:t>Еще 10 лет назад считалось, что ХЛЛ/ЛМЛ заболевают в основном пожилые люди. Однако по мере улучшения диагностики оказалось, что это заболевание может возникать и у молодых людей (40–50 лет), причем в этом возрасте оно протекает менее благоприятно.</w:t>
      </w:r>
    </w:p>
    <w:p w:rsidR="005A463A" w:rsidRDefault="005A463A" w:rsidP="005A463A">
      <w:pPr>
        <w:ind w:firstLine="709"/>
      </w:pPr>
      <w:r>
        <w:t xml:space="preserve">Врач может заподозрить ХЛЛ/ЛМЛ, опираясь на Ваши жалобы и обнаружив соответствующие симптомы при осмотре. В этом случае будет необходимо пройти ряд обследований, включая анализ крови и костного мозга. При ХЛЛ самый важный анализ – это анализ крови, без него диагноз не ставится. В анализе крови выявляется увеличение числа лимфоцитов. Диагноз обязательно подтверждается специальным исследованием – иммунофенотипированием лимфоцитов. Могут понадобиться и другие уточняющие диагноз исследования. При ЛМЛ диагноз ставится по результатам гистологического и иммуногистохимического исследования пораженного </w:t>
      </w:r>
      <w:r>
        <w:rPr>
          <w:spacing w:val="-2"/>
        </w:rPr>
        <w:t xml:space="preserve">лимфатического </w:t>
      </w:r>
      <w:r w:rsidRPr="000F2499">
        <w:rPr>
          <w:spacing w:val="-2"/>
        </w:rPr>
        <w:t>узл</w:t>
      </w:r>
      <w:r>
        <w:rPr>
          <w:spacing w:val="-2"/>
        </w:rPr>
        <w:t>а</w:t>
      </w:r>
      <w:r>
        <w:t>.</w:t>
      </w:r>
    </w:p>
    <w:p w:rsidR="005A463A" w:rsidRDefault="005A463A" w:rsidP="005A463A">
      <w:pPr>
        <w:ind w:firstLine="709"/>
      </w:pPr>
      <w:r>
        <w:t>К сожалению, на сегодняшний день ХЛЛ/ЛМЛ неизлечим. Однако у некоторых пациентов необходимость в лечении не возникает никогда – ХЛЛ/ЛМЛ может оставаться в стабильном состоянии в течение многих лет и даже десятилетий. Было проведено много исследований, в которых сравнивалось выжидательное наблюдение и раннее начало терапии (сразу после установления диагноза). Оказалось, что лечение на ранних этапах никакого преимущества не дает, но вызывает токсические эффекты. Поэтому тактика ведения ХЛЛ/ЛМЛ выстраивается с учетом течения этой болезни – лечение применяют по мере необходимости, поскольку оно само по себе небезопасно, и тактика выжидательного наблюдения остается стандартом для многих пациентов.</w:t>
      </w:r>
    </w:p>
    <w:p w:rsidR="005A463A" w:rsidRDefault="005A463A" w:rsidP="005A463A">
      <w:pPr>
        <w:ind w:firstLine="709"/>
      </w:pPr>
      <w:r>
        <w:t xml:space="preserve">Если имеются четкие признаки прогрессирования заболевания – устойчивый рост лимфоцитоза, увеличение </w:t>
      </w:r>
      <w:r>
        <w:rPr>
          <w:spacing w:val="-2"/>
        </w:rPr>
        <w:t xml:space="preserve">лимфатических </w:t>
      </w:r>
      <w:r w:rsidRPr="000F2499">
        <w:rPr>
          <w:spacing w:val="-2"/>
        </w:rPr>
        <w:t>узл</w:t>
      </w:r>
      <w:r>
        <w:rPr>
          <w:spacing w:val="-2"/>
        </w:rPr>
        <w:t>ов</w:t>
      </w:r>
      <w:r>
        <w:t>, селезенки, появление анемии и тромбоцитопении, врач предложит определенный курс лечения.</w:t>
      </w:r>
    </w:p>
    <w:p w:rsidR="005A463A" w:rsidRDefault="005A463A" w:rsidP="005A463A">
      <w:pPr>
        <w:ind w:firstLine="709"/>
      </w:pPr>
    </w:p>
    <w:p w:rsidR="005A463A" w:rsidRDefault="005A463A" w:rsidP="005A463A">
      <w:pPr>
        <w:ind w:firstLine="709"/>
      </w:pPr>
      <w:r>
        <w:t>Выбирая лечение, доктор учитывает:</w:t>
      </w:r>
    </w:p>
    <w:p w:rsidR="005A463A" w:rsidRDefault="005A463A" w:rsidP="005A463A">
      <w:pPr>
        <w:ind w:firstLine="709"/>
      </w:pPr>
      <w:r>
        <w:t>•</w:t>
      </w:r>
      <w:r>
        <w:tab/>
        <w:t>состояние болезни (клиническую картину и прогностические факторы);</w:t>
      </w:r>
    </w:p>
    <w:p w:rsidR="005A463A" w:rsidRDefault="005A463A" w:rsidP="005A463A">
      <w:pPr>
        <w:ind w:firstLine="709"/>
      </w:pPr>
      <w:r>
        <w:t>•</w:t>
      </w:r>
      <w:r>
        <w:tab/>
        <w:t>состояние пациента (возраст, сопутствующие заболевания);</w:t>
      </w:r>
    </w:p>
    <w:p w:rsidR="005A463A" w:rsidRDefault="005A463A" w:rsidP="005A463A">
      <w:pPr>
        <w:ind w:firstLine="709"/>
      </w:pPr>
      <w:r>
        <w:t>•</w:t>
      </w:r>
      <w:r>
        <w:tab/>
        <w:t>какое лечение проводилось раньше и когда наступил рецидив.</w:t>
      </w:r>
    </w:p>
    <w:p w:rsidR="005A463A" w:rsidRDefault="005A463A" w:rsidP="005A463A">
      <w:r>
        <w:t xml:space="preserve">В результате у большинства пациентов заболевание удается эффективно контролировать современными лекарствами. </w:t>
      </w:r>
    </w:p>
    <w:p w:rsidR="00457002" w:rsidRPr="00DB46A1" w:rsidRDefault="005A463A" w:rsidP="005A463A">
      <w:pPr>
        <w:pStyle w:val="aff0"/>
        <w:rPr>
          <w:rFonts w:ascii="Times New Roman" w:hAnsi="Times New Roman"/>
          <w:sz w:val="24"/>
          <w:szCs w:val="24"/>
        </w:rPr>
      </w:pPr>
      <w:r>
        <w:br w:type="page"/>
      </w:r>
      <w:r w:rsidR="00457002" w:rsidRPr="00DB46A1">
        <w:rPr>
          <w:rFonts w:ascii="Times New Roman" w:hAnsi="Times New Roman"/>
          <w:sz w:val="24"/>
          <w:szCs w:val="24"/>
        </w:rPr>
        <w:lastRenderedPageBreak/>
        <w:t xml:space="preserve">Приложение Г. Шкалы оценки, вопросники </w:t>
      </w:r>
      <w:r w:rsidR="00015858" w:rsidRPr="00DB46A1">
        <w:rPr>
          <w:rFonts w:ascii="Times New Roman" w:hAnsi="Times New Roman"/>
          <w:sz w:val="24"/>
          <w:szCs w:val="24"/>
        </w:rPr>
        <w:br/>
      </w:r>
      <w:r w:rsidR="00457002" w:rsidRPr="00DB46A1">
        <w:rPr>
          <w:rFonts w:ascii="Times New Roman" w:hAnsi="Times New Roman"/>
          <w:sz w:val="24"/>
          <w:szCs w:val="24"/>
        </w:rPr>
        <w:t>и другие оценочные инструменты состояния пациента, приведенные в клинических рекомендациях</w:t>
      </w:r>
      <w:bookmarkEnd w:id="100"/>
      <w:bookmarkEnd w:id="101"/>
    </w:p>
    <w:p w:rsidR="00457002" w:rsidRDefault="00457002" w:rsidP="00D73887">
      <w:pPr>
        <w:autoSpaceDE w:val="0"/>
        <w:autoSpaceDN w:val="0"/>
        <w:adjustRightInd w:val="0"/>
        <w:snapToGrid w:val="0"/>
        <w:spacing w:line="240" w:lineRule="auto"/>
        <w:jc w:val="left"/>
      </w:pPr>
    </w:p>
    <w:p w:rsidR="00B93BEE" w:rsidRPr="00D73887" w:rsidRDefault="00B93BEE" w:rsidP="00B93BEE">
      <w:pPr>
        <w:pStyle w:val="2"/>
      </w:pPr>
      <w:bookmarkStart w:id="102" w:name="_Toc24546465"/>
      <w:bookmarkStart w:id="103" w:name="_Toc23601747"/>
      <w:r>
        <w:t xml:space="preserve">Приложение </w:t>
      </w:r>
      <w:r w:rsidRPr="00D73887">
        <w:t>Г</w:t>
      </w:r>
      <w:r w:rsidR="00145A85">
        <w:t>1</w:t>
      </w:r>
      <w:r>
        <w:t>.</w:t>
      </w:r>
      <w:r w:rsidRPr="00D73887">
        <w:t xml:space="preserve"> Шкала оценки общего состояния пациента </w:t>
      </w:r>
      <w:r w:rsidRPr="00D73887">
        <w:rPr>
          <w:lang w:val="en-US"/>
        </w:rPr>
        <w:t>ECOG</w:t>
      </w:r>
      <w:bookmarkEnd w:id="102"/>
    </w:p>
    <w:p w:rsidR="00B93BEE" w:rsidRPr="005A463A" w:rsidRDefault="00B93BEE" w:rsidP="00B93BEE">
      <w:pPr>
        <w:ind w:firstLine="709"/>
      </w:pPr>
      <w:r>
        <w:t xml:space="preserve">Клиническая оценка общего состояния пациента с ХЛЛ/ЛМЛ проводится по шкале, разработанной Восточной объединенной онкологической группой (Eastern Cooperative Oncology Group) </w:t>
      </w:r>
      <w:r w:rsidR="000B0AC3">
        <w:fldChar w:fldCharType="begin" w:fldLock="1"/>
      </w:r>
      <w:r w:rsidR="00055701">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[65]","plainTextFormattedCitation":"[65]","previouslyFormattedCitation":"[64]"},"properties":{"noteIndex":0},"schema":"https://github.com/citation-style-language/schema/raw/master/csl-citation.json"}</w:instrText>
      </w:r>
      <w:r w:rsidR="000B0AC3">
        <w:fldChar w:fldCharType="separate"/>
      </w:r>
      <w:r w:rsidR="00055701" w:rsidRPr="00055701">
        <w:rPr>
          <w:noProof/>
        </w:rPr>
        <w:t>[65]</w:t>
      </w:r>
      <w:r w:rsidR="000B0AC3">
        <w:fldChar w:fldCharType="end"/>
      </w:r>
      <w:bookmarkEnd w:id="103"/>
      <w:r w:rsidR="00953098" w:rsidRPr="005A463A">
        <w:t>.</w:t>
      </w:r>
    </w:p>
    <w:p w:rsidR="00953098" w:rsidRDefault="00953098" w:rsidP="00953098">
      <w:pPr>
        <w:rPr>
          <w:lang w:val="en-US"/>
        </w:rPr>
      </w:pPr>
      <w:bookmarkStart w:id="104" w:name="_Toc16755716"/>
      <w:r>
        <w:t>Ори</w:t>
      </w:r>
      <w:r w:rsidR="00771091">
        <w:t>г</w:t>
      </w:r>
      <w:r>
        <w:t>инальное</w:t>
      </w:r>
      <w:r w:rsidRPr="00217C30">
        <w:rPr>
          <w:lang w:val="en-US"/>
        </w:rPr>
        <w:t xml:space="preserve"> </w:t>
      </w:r>
      <w:r>
        <w:t>название</w:t>
      </w:r>
      <w:r w:rsidRPr="00217C30">
        <w:rPr>
          <w:lang w:val="en-US"/>
        </w:rPr>
        <w:t xml:space="preserve">: </w:t>
      </w:r>
      <w:r>
        <w:rPr>
          <w:lang w:val="en-US"/>
        </w:rPr>
        <w:t>The ECOG Scale of Performance Status</w:t>
      </w:r>
    </w:p>
    <w:p w:rsidR="00953098" w:rsidRPr="00771091" w:rsidRDefault="00953098" w:rsidP="00953098">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000B0AC3" w:rsidRPr="0008146B">
        <w:t xml:space="preserve">. 1982. </w:t>
      </w:r>
      <w:r w:rsidRPr="00217C30">
        <w:t>Vol. 5, № 6. P. 649–65</w:t>
      </w:r>
      <w:r w:rsidRPr="00C47BAB">
        <w:t xml:space="preserve"> </w:t>
      </w:r>
      <w:bookmarkStart w:id="105" w:name="_Toc23601749"/>
      <w:r w:rsidR="000B0AC3">
        <w:fldChar w:fldCharType="begin" w:fldLock="1"/>
      </w:r>
      <w:r w:rsidR="00055701">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[65]","plainTextFormattedCitation":"[65]","previouslyFormattedCitation":"[64]"},"properties":{"noteIndex":0},"schema":"https://github.com/citation-style-language/schema/raw/master/csl-citation.json"}</w:instrText>
      </w:r>
      <w:r w:rsidR="000B0AC3">
        <w:fldChar w:fldCharType="separate"/>
      </w:r>
      <w:r w:rsidR="00055701" w:rsidRPr="00055701">
        <w:rPr>
          <w:noProof/>
        </w:rPr>
        <w:t>[65]</w:t>
      </w:r>
      <w:r w:rsidR="000B0AC3">
        <w:fldChar w:fldCharType="end"/>
      </w:r>
    </w:p>
    <w:bookmarkEnd w:id="105"/>
    <w:p w:rsidR="00953098" w:rsidRDefault="00953098" w:rsidP="00953098">
      <w:r>
        <w:t>Тип: шкала оценки</w:t>
      </w:r>
    </w:p>
    <w:p w:rsidR="00953098" w:rsidRDefault="00953098" w:rsidP="00953098">
      <w:r>
        <w:t xml:space="preserve">Назначение: клиническая оценка общего состояния пациента </w:t>
      </w:r>
    </w:p>
    <w:p w:rsidR="00953098" w:rsidRDefault="00953098" w:rsidP="00953098">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0"/>
        <w:gridCol w:w="7615"/>
      </w:tblGrid>
      <w:tr w:rsidR="00953098" w:rsidRPr="00265449" w:rsidTr="00C47BAB">
        <w:tc>
          <w:tcPr>
            <w:tcW w:w="1950" w:type="dxa"/>
          </w:tcPr>
          <w:p w:rsidR="00953098" w:rsidRPr="00B46C10" w:rsidRDefault="00953098" w:rsidP="005A463A">
            <w:pPr>
              <w:pStyle w:val="aff2"/>
              <w:ind w:firstLine="0"/>
              <w:rPr>
                <w:rStyle w:val="aa"/>
                <w:b w:val="0"/>
              </w:rPr>
            </w:pPr>
            <w:r>
              <w:rPr>
                <w:rStyle w:val="aa"/>
                <w:b w:val="0"/>
              </w:rPr>
              <w:t>С</w:t>
            </w:r>
            <w:r>
              <w:rPr>
                <w:rStyle w:val="aa"/>
              </w:rPr>
              <w:t>татус (баллы)</w:t>
            </w:r>
          </w:p>
        </w:tc>
        <w:tc>
          <w:tcPr>
            <w:tcW w:w="7615" w:type="dxa"/>
          </w:tcPr>
          <w:p w:rsidR="00953098" w:rsidRPr="00265449" w:rsidRDefault="00953098" w:rsidP="005A463A">
            <w:pPr>
              <w:pStyle w:val="aff2"/>
              <w:ind w:firstLine="36"/>
              <w:jc w:val="left"/>
              <w:rPr>
                <w:rStyle w:val="aa"/>
                <w:b w:val="0"/>
              </w:rPr>
            </w:pPr>
            <w:r>
              <w:rPr>
                <w:rStyle w:val="aa"/>
                <w:b w:val="0"/>
              </w:rPr>
              <w:t>О</w:t>
            </w:r>
            <w:r>
              <w:rPr>
                <w:rStyle w:val="aa"/>
              </w:rPr>
              <w:t>писание общего состояния пациента</w:t>
            </w:r>
          </w:p>
        </w:tc>
      </w:tr>
      <w:tr w:rsidR="00953098" w:rsidRPr="00265449" w:rsidTr="00C47BAB">
        <w:tc>
          <w:tcPr>
            <w:tcW w:w="1950" w:type="dxa"/>
            <w:hideMark/>
          </w:tcPr>
          <w:p w:rsidR="00953098" w:rsidRPr="00265449" w:rsidRDefault="00953098" w:rsidP="005A463A">
            <w:pPr>
              <w:pStyle w:val="aff2"/>
              <w:rPr>
                <w:rStyle w:val="aa"/>
                <w:b w:val="0"/>
                <w:lang w:val="en-US"/>
              </w:rPr>
            </w:pPr>
            <w:r w:rsidRPr="00265449">
              <w:rPr>
                <w:rStyle w:val="aa"/>
                <w:b w:val="0"/>
                <w:lang w:val="en-US"/>
              </w:rPr>
              <w:t>0</w:t>
            </w:r>
          </w:p>
        </w:tc>
        <w:tc>
          <w:tcPr>
            <w:tcW w:w="7615" w:type="dxa"/>
            <w:hideMark/>
          </w:tcPr>
          <w:p w:rsidR="00953098" w:rsidRPr="00265449" w:rsidRDefault="00006FC5" w:rsidP="005A463A">
            <w:pPr>
              <w:pStyle w:val="aff2"/>
              <w:ind w:firstLine="36"/>
              <w:jc w:val="left"/>
              <w:rPr>
                <w:rStyle w:val="aa"/>
                <w:b w:val="0"/>
              </w:rPr>
            </w:pPr>
            <w:r w:rsidRPr="00006FC5">
              <w:rPr>
                <w:rStyle w:val="aa"/>
                <w:b w:val="0"/>
              </w:rPr>
              <w:t>Па</w:t>
            </w:r>
            <w:r w:rsidRPr="00C47BAB">
              <w:rPr>
                <w:rStyle w:val="aa"/>
                <w:b w:val="0"/>
              </w:rPr>
              <w:t>циент</w:t>
            </w:r>
            <w:r w:rsidR="00953098" w:rsidRPr="00265449">
              <w:rPr>
                <w:rStyle w:val="aa"/>
                <w:b w:val="0"/>
              </w:rPr>
              <w:t xml:space="preserve"> полностью активен, способен выполнять все, как и до заболевания</w:t>
            </w:r>
          </w:p>
        </w:tc>
      </w:tr>
      <w:tr w:rsidR="00953098" w:rsidRPr="00265449" w:rsidTr="00C47BAB">
        <w:tc>
          <w:tcPr>
            <w:tcW w:w="1950" w:type="dxa"/>
            <w:hideMark/>
          </w:tcPr>
          <w:p w:rsidR="00953098" w:rsidRPr="00265449" w:rsidRDefault="00953098" w:rsidP="005A463A">
            <w:pPr>
              <w:pStyle w:val="aff2"/>
              <w:rPr>
                <w:rStyle w:val="aa"/>
                <w:b w:val="0"/>
              </w:rPr>
            </w:pPr>
            <w:r w:rsidRPr="00265449">
              <w:rPr>
                <w:rStyle w:val="aa"/>
                <w:b w:val="0"/>
              </w:rPr>
              <w:t>1</w:t>
            </w:r>
          </w:p>
        </w:tc>
        <w:tc>
          <w:tcPr>
            <w:tcW w:w="7615" w:type="dxa"/>
            <w:hideMark/>
          </w:tcPr>
          <w:p w:rsidR="00953098" w:rsidRPr="00265449" w:rsidRDefault="00006FC5" w:rsidP="005A463A">
            <w:pPr>
              <w:pStyle w:val="aff2"/>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953098" w:rsidRPr="00265449" w:rsidTr="00C47BAB">
        <w:tc>
          <w:tcPr>
            <w:tcW w:w="1950" w:type="dxa"/>
            <w:hideMark/>
          </w:tcPr>
          <w:p w:rsidR="00953098" w:rsidRPr="00265449" w:rsidRDefault="00953098" w:rsidP="005A463A">
            <w:pPr>
              <w:pStyle w:val="aff2"/>
              <w:rPr>
                <w:rStyle w:val="aa"/>
                <w:b w:val="0"/>
              </w:rPr>
            </w:pPr>
            <w:r w:rsidRPr="00265449">
              <w:rPr>
                <w:rStyle w:val="aa"/>
                <w:b w:val="0"/>
              </w:rPr>
              <w:t>2</w:t>
            </w:r>
          </w:p>
        </w:tc>
        <w:tc>
          <w:tcPr>
            <w:tcW w:w="7615" w:type="dxa"/>
            <w:hideMark/>
          </w:tcPr>
          <w:p w:rsidR="00953098" w:rsidRPr="00265449" w:rsidRDefault="00006FC5" w:rsidP="005A463A">
            <w:pPr>
              <w:pStyle w:val="aff2"/>
              <w:ind w:firstLine="36"/>
              <w:jc w:val="left"/>
              <w:rPr>
                <w:rStyle w:val="aa"/>
                <w:b w:val="0"/>
              </w:rPr>
            </w:pPr>
            <w:r w:rsidRPr="00006FC5">
              <w:rPr>
                <w:rStyle w:val="aa"/>
                <w:b w:val="0"/>
              </w:rPr>
              <w:t>Па</w:t>
            </w:r>
            <w:r w:rsidRPr="00867125">
              <w:rPr>
                <w:rStyle w:val="aa"/>
                <w:b w:val="0"/>
              </w:rPr>
              <w:t>циент</w:t>
            </w:r>
            <w:r w:rsidRPr="00265449">
              <w:rPr>
                <w:rStyle w:val="aa"/>
                <w:b w:val="0"/>
              </w:rPr>
              <w:t xml:space="preserve"> </w:t>
            </w:r>
            <w:r w:rsidR="00953098" w:rsidRPr="00265449">
              <w:rPr>
                <w:rStyle w:val="aa"/>
                <w:b w:val="0"/>
              </w:rPr>
              <w:t>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953098" w:rsidRPr="00265449" w:rsidTr="00C47BAB">
        <w:tc>
          <w:tcPr>
            <w:tcW w:w="1950" w:type="dxa"/>
            <w:hideMark/>
          </w:tcPr>
          <w:p w:rsidR="00953098" w:rsidRPr="00265449" w:rsidRDefault="00953098" w:rsidP="005A463A">
            <w:pPr>
              <w:pStyle w:val="aff2"/>
              <w:rPr>
                <w:rStyle w:val="aa"/>
                <w:b w:val="0"/>
              </w:rPr>
            </w:pPr>
            <w:r w:rsidRPr="00265449">
              <w:rPr>
                <w:rStyle w:val="aa"/>
                <w:b w:val="0"/>
              </w:rPr>
              <w:t>3</w:t>
            </w:r>
          </w:p>
        </w:tc>
        <w:tc>
          <w:tcPr>
            <w:tcW w:w="7615" w:type="dxa"/>
            <w:hideMark/>
          </w:tcPr>
          <w:p w:rsidR="00953098" w:rsidRPr="00265449" w:rsidRDefault="00006FC5" w:rsidP="005A463A">
            <w:pPr>
              <w:pStyle w:val="aff2"/>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способен лишь к ограниченному самообслуживанию, проводит в кресле или постели более 50% времени бодрствования</w:t>
            </w:r>
          </w:p>
        </w:tc>
      </w:tr>
      <w:tr w:rsidR="00953098" w:rsidRPr="00265449" w:rsidTr="00C47BAB">
        <w:tc>
          <w:tcPr>
            <w:tcW w:w="1950" w:type="dxa"/>
            <w:hideMark/>
          </w:tcPr>
          <w:p w:rsidR="00953098" w:rsidRPr="00265449" w:rsidRDefault="00953098" w:rsidP="005A463A">
            <w:pPr>
              <w:pStyle w:val="aff2"/>
              <w:rPr>
                <w:rStyle w:val="aa"/>
                <w:b w:val="0"/>
              </w:rPr>
            </w:pPr>
            <w:r w:rsidRPr="00265449">
              <w:rPr>
                <w:rStyle w:val="aa"/>
                <w:b w:val="0"/>
              </w:rPr>
              <w:t>4</w:t>
            </w:r>
          </w:p>
        </w:tc>
        <w:tc>
          <w:tcPr>
            <w:tcW w:w="7615" w:type="dxa"/>
            <w:hideMark/>
          </w:tcPr>
          <w:p w:rsidR="00953098" w:rsidRPr="00265449" w:rsidRDefault="00953098" w:rsidP="005A463A">
            <w:pPr>
              <w:pStyle w:val="aff2"/>
              <w:ind w:firstLine="36"/>
              <w:jc w:val="left"/>
              <w:rPr>
                <w:rStyle w:val="aa"/>
                <w:b w:val="0"/>
              </w:rPr>
            </w:pPr>
            <w:r w:rsidRPr="00265449">
              <w:rPr>
                <w:rStyle w:val="aa"/>
                <w:b w:val="0"/>
              </w:rPr>
              <w:t>Инвалид, совершенно не способен к самообслуживанию, прикован к креслу или постели</w:t>
            </w:r>
          </w:p>
        </w:tc>
      </w:tr>
      <w:tr w:rsidR="005A463A" w:rsidRPr="00265449" w:rsidTr="00C47BAB">
        <w:tc>
          <w:tcPr>
            <w:tcW w:w="1950" w:type="dxa"/>
          </w:tcPr>
          <w:p w:rsidR="005A463A" w:rsidRPr="00265449" w:rsidRDefault="005A463A" w:rsidP="005A463A">
            <w:pPr>
              <w:pStyle w:val="aff2"/>
              <w:rPr>
                <w:rStyle w:val="aa"/>
                <w:b w:val="0"/>
              </w:rPr>
            </w:pPr>
            <w:r>
              <w:rPr>
                <w:rStyle w:val="aa"/>
                <w:b w:val="0"/>
              </w:rPr>
              <w:t>5</w:t>
            </w:r>
          </w:p>
        </w:tc>
        <w:tc>
          <w:tcPr>
            <w:tcW w:w="7615" w:type="dxa"/>
          </w:tcPr>
          <w:p w:rsidR="005A463A" w:rsidRPr="00265449" w:rsidRDefault="005A463A" w:rsidP="005A463A">
            <w:pPr>
              <w:pStyle w:val="aff2"/>
              <w:ind w:firstLine="36"/>
              <w:jc w:val="left"/>
              <w:rPr>
                <w:rStyle w:val="aa"/>
                <w:b w:val="0"/>
              </w:rPr>
            </w:pPr>
            <w:r>
              <w:rPr>
                <w:rStyle w:val="aa"/>
                <w:b w:val="0"/>
              </w:rPr>
              <w:t>Смерть</w:t>
            </w:r>
          </w:p>
        </w:tc>
      </w:tr>
      <w:bookmarkEnd w:id="104"/>
    </w:tbl>
    <w:p w:rsidR="00953098" w:rsidRDefault="00953098" w:rsidP="00953098">
      <w:pPr>
        <w:rPr>
          <w:lang w:eastAsia="ru-RU" w:bidi="ru-RU"/>
        </w:rPr>
      </w:pPr>
    </w:p>
    <w:p w:rsidR="008F1171" w:rsidRPr="00D73887" w:rsidRDefault="008F1171" w:rsidP="008F1171">
      <w:pPr>
        <w:pStyle w:val="2"/>
      </w:pPr>
      <w:r>
        <w:t xml:space="preserve">Приложение </w:t>
      </w:r>
      <w:r w:rsidRPr="00D73887">
        <w:t>Г</w:t>
      </w:r>
      <w:r>
        <w:t>2.</w:t>
      </w:r>
      <w:r w:rsidRPr="00D73887">
        <w:t xml:space="preserve"> Шкала оценки </w:t>
      </w:r>
      <w:r>
        <w:t xml:space="preserve">коморбидности </w:t>
      </w:r>
      <w:r>
        <w:rPr>
          <w:lang w:val="en-US"/>
        </w:rPr>
        <w:t>CIRS</w:t>
      </w:r>
    </w:p>
    <w:p w:rsidR="008F1171" w:rsidRPr="005A463A" w:rsidRDefault="008F1171" w:rsidP="008F1171">
      <w:pPr>
        <w:ind w:firstLine="709"/>
      </w:pPr>
      <w:r>
        <w:t xml:space="preserve">Клиническая оценка </w:t>
      </w:r>
      <w:r w:rsidR="00086CF8">
        <w:t xml:space="preserve">коморбидности </w:t>
      </w:r>
      <w:r>
        <w:t xml:space="preserve">пациента с ХЛЛ/ЛМЛ </w:t>
      </w:r>
      <w:r w:rsidR="00086CF8">
        <w:t xml:space="preserve">может проводиться по Кумуляционной шкале коморбидности </w:t>
      </w:r>
      <w:r w:rsidR="000B0AC3">
        <w:fldChar w:fldCharType="begin" w:fldLock="1"/>
      </w:r>
      <w:r w:rsidR="00055701">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[66]","plainTextFormattedCitation":"[66]","previouslyFormattedCitation":"[65]"},"properties":{"noteIndex":0},"schema":"https://github.com/citation-style-language/schema/raw/master/csl-citation.json"}</w:instrText>
      </w:r>
      <w:r w:rsidR="000B0AC3">
        <w:fldChar w:fldCharType="separate"/>
      </w:r>
      <w:r w:rsidR="00055701" w:rsidRPr="00055701">
        <w:rPr>
          <w:noProof/>
        </w:rPr>
        <w:t>[66]</w:t>
      </w:r>
      <w:r w:rsidR="000B0AC3">
        <w:fldChar w:fldCharType="end"/>
      </w:r>
      <w:r w:rsidRPr="005A463A">
        <w:t>.</w:t>
      </w:r>
    </w:p>
    <w:p w:rsidR="008F1171" w:rsidRPr="00086CF8" w:rsidRDefault="008F1171" w:rsidP="008F1171">
      <w:pPr>
        <w:rPr>
          <w:lang w:val="en-US"/>
        </w:rPr>
      </w:pPr>
      <w:r>
        <w:t>Оригинальное</w:t>
      </w:r>
      <w:r w:rsidRPr="00086CF8">
        <w:rPr>
          <w:lang w:val="en-US"/>
        </w:rPr>
        <w:t xml:space="preserve"> </w:t>
      </w:r>
      <w:r>
        <w:t>название</w:t>
      </w:r>
      <w:r w:rsidRPr="00086CF8">
        <w:rPr>
          <w:lang w:val="en-US"/>
        </w:rPr>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Rating Scale</w:t>
      </w:r>
    </w:p>
    <w:p w:rsidR="008F1171" w:rsidRPr="0008146B" w:rsidRDefault="008F1171" w:rsidP="00086CF8">
      <w:pPr>
        <w:rPr>
          <w:lang w:val="en-US"/>
        </w:rPr>
      </w:pPr>
      <w:r>
        <w:lastRenderedPageBreak/>
        <w:t>Источник</w:t>
      </w:r>
      <w:r w:rsidR="000B0AC3" w:rsidRPr="0008146B">
        <w:t xml:space="preserve">: </w:t>
      </w:r>
      <w:r w:rsidR="00086CF8">
        <w:rPr>
          <w:lang w:val="en-US"/>
        </w:rPr>
        <w:t>Linn</w:t>
      </w:r>
      <w:r w:rsidR="000B0AC3" w:rsidRPr="0008146B">
        <w:t xml:space="preserve">, </w:t>
      </w:r>
      <w:r w:rsidR="00086CF8">
        <w:rPr>
          <w:lang w:val="en-US"/>
        </w:rPr>
        <w:t>B</w:t>
      </w:r>
      <w:r w:rsidR="000B0AC3" w:rsidRPr="0008146B">
        <w:t xml:space="preserve">. </w:t>
      </w:r>
      <w:r w:rsidRPr="00217C30">
        <w:rPr>
          <w:lang w:val="en-US"/>
        </w:rPr>
        <w:t>et</w:t>
      </w:r>
      <w:r w:rsidR="000B0AC3" w:rsidRPr="0008146B">
        <w:t xml:space="preserve"> </w:t>
      </w:r>
      <w:r w:rsidRPr="00217C30">
        <w:rPr>
          <w:lang w:val="en-US"/>
        </w:rPr>
        <w:t>al</w:t>
      </w:r>
      <w:r w:rsidR="000B0AC3" w:rsidRPr="0008146B">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 xml:space="preserve">Rating Scale. Journal of the American Geriatrics Society </w:t>
      </w:r>
      <w:r w:rsidR="000B0AC3">
        <w:fldChar w:fldCharType="begin" w:fldLock="1"/>
      </w:r>
      <w:r w:rsidR="00055701">
        <w:rPr>
          <w:lang w:val="en-US"/>
        </w:rPr>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[66]","plainTextFormattedCitation":"[66]","previouslyFormattedCitation":"[65]"},"properties":{"noteIndex":0},"schema":"https://github.com/citation-style-language/schema/raw/master/csl-citation.json"}</w:instrText>
      </w:r>
      <w:r w:rsidR="000B0AC3">
        <w:fldChar w:fldCharType="separate"/>
      </w:r>
      <w:r w:rsidR="00055701" w:rsidRPr="00055701">
        <w:rPr>
          <w:noProof/>
          <w:lang w:val="en-US"/>
        </w:rPr>
        <w:t>[66]</w:t>
      </w:r>
      <w:r w:rsidR="000B0AC3">
        <w:fldChar w:fldCharType="end"/>
      </w:r>
      <w:r w:rsidR="00086CF8">
        <w:rPr>
          <w:lang w:val="en-US"/>
        </w:rPr>
        <w:t>.</w:t>
      </w:r>
    </w:p>
    <w:p w:rsidR="008F1171" w:rsidRPr="00086CF8" w:rsidRDefault="008F1171" w:rsidP="008F1171">
      <w:r>
        <w:t>Тип</w:t>
      </w:r>
      <w:r w:rsidRPr="00086CF8">
        <w:t xml:space="preserve">: </w:t>
      </w:r>
      <w:r>
        <w:t>шкала</w:t>
      </w:r>
      <w:r w:rsidRPr="00086CF8">
        <w:t xml:space="preserve"> </w:t>
      </w:r>
      <w:r>
        <w:t>оценки</w:t>
      </w:r>
    </w:p>
    <w:p w:rsidR="008F1171" w:rsidRDefault="008F1171" w:rsidP="008F1171">
      <w:r>
        <w:t>Назначение: клиническая оценка</w:t>
      </w:r>
      <w:r w:rsidR="00086CF8">
        <w:t xml:space="preserve"> коморбидности</w:t>
      </w:r>
      <w:r>
        <w:t xml:space="preserve"> </w:t>
      </w:r>
    </w:p>
    <w:p w:rsidR="008F1171" w:rsidRDefault="008F1171" w:rsidP="008F1171">
      <w:r>
        <w:t xml:space="preserve">Содержание и интерпретация: </w:t>
      </w:r>
    </w:p>
    <w:p w:rsidR="00953098" w:rsidRDefault="00953098" w:rsidP="00B93BEE">
      <w:pPr>
        <w:ind w:firstLine="709"/>
      </w:pPr>
    </w:p>
    <w:tbl>
      <w:tblPr>
        <w:tblStyle w:val="ac"/>
        <w:tblW w:w="0" w:type="auto"/>
        <w:tblLook w:val="04A0" w:firstRow="1" w:lastRow="0" w:firstColumn="1" w:lastColumn="0" w:noHBand="0" w:noVBand="1"/>
      </w:tblPr>
      <w:tblGrid>
        <w:gridCol w:w="6091"/>
        <w:gridCol w:w="650"/>
        <w:gridCol w:w="651"/>
        <w:gridCol w:w="651"/>
        <w:gridCol w:w="651"/>
        <w:gridCol w:w="651"/>
      </w:tblGrid>
      <w:tr w:rsidR="00086CF8" w:rsidTr="00086CF8">
        <w:tc>
          <w:tcPr>
            <w:tcW w:w="6091" w:type="dxa"/>
          </w:tcPr>
          <w:p w:rsidR="00086CF8" w:rsidRDefault="00086CF8" w:rsidP="005A463A">
            <w:pPr>
              <w:keepNext/>
              <w:keepLines/>
              <w:spacing w:before="240"/>
              <w:outlineLvl w:val="1"/>
            </w:pPr>
          </w:p>
        </w:tc>
        <w:tc>
          <w:tcPr>
            <w:tcW w:w="3254" w:type="dxa"/>
            <w:gridSpan w:val="5"/>
          </w:tcPr>
          <w:p w:rsidR="00B078C3" w:rsidRDefault="00086CF8" w:rsidP="0008146B">
            <w:pPr>
              <w:keepNext/>
              <w:keepLines/>
              <w:spacing w:before="240"/>
              <w:jc w:val="center"/>
              <w:outlineLvl w:val="1"/>
            </w:pPr>
            <w:r>
              <w:t>Баллы</w:t>
            </w:r>
          </w:p>
        </w:tc>
      </w:tr>
      <w:tr w:rsidR="00086CF8" w:rsidTr="00086CF8">
        <w:tc>
          <w:tcPr>
            <w:tcW w:w="6091" w:type="dxa"/>
          </w:tcPr>
          <w:p w:rsidR="00086CF8" w:rsidRDefault="00086CF8" w:rsidP="005A463A">
            <w:pPr>
              <w:keepNext/>
              <w:keepLines/>
              <w:spacing w:before="240"/>
              <w:outlineLvl w:val="1"/>
            </w:pPr>
          </w:p>
        </w:tc>
        <w:tc>
          <w:tcPr>
            <w:tcW w:w="650" w:type="dxa"/>
          </w:tcPr>
          <w:p w:rsidR="00B078C3" w:rsidRDefault="00F242FD" w:rsidP="0008146B">
            <w:pPr>
              <w:keepNext/>
              <w:keepLines/>
              <w:spacing w:before="240"/>
              <w:jc w:val="center"/>
              <w:outlineLvl w:val="1"/>
            </w:pPr>
            <w:r>
              <w:t>0</w:t>
            </w:r>
          </w:p>
        </w:tc>
        <w:tc>
          <w:tcPr>
            <w:tcW w:w="651" w:type="dxa"/>
          </w:tcPr>
          <w:p w:rsidR="00B078C3" w:rsidRDefault="00F242FD" w:rsidP="0008146B">
            <w:pPr>
              <w:keepNext/>
              <w:keepLines/>
              <w:spacing w:before="240"/>
              <w:jc w:val="center"/>
              <w:outlineLvl w:val="1"/>
            </w:pPr>
            <w:r>
              <w:t>1</w:t>
            </w:r>
          </w:p>
        </w:tc>
        <w:tc>
          <w:tcPr>
            <w:tcW w:w="651" w:type="dxa"/>
          </w:tcPr>
          <w:p w:rsidR="00B078C3" w:rsidRDefault="00F242FD" w:rsidP="0008146B">
            <w:pPr>
              <w:keepNext/>
              <w:keepLines/>
              <w:spacing w:before="240"/>
              <w:jc w:val="center"/>
              <w:outlineLvl w:val="1"/>
            </w:pPr>
            <w:r>
              <w:t>2</w:t>
            </w:r>
          </w:p>
        </w:tc>
        <w:tc>
          <w:tcPr>
            <w:tcW w:w="651" w:type="dxa"/>
          </w:tcPr>
          <w:p w:rsidR="00B078C3" w:rsidRDefault="00F242FD" w:rsidP="0008146B">
            <w:pPr>
              <w:keepNext/>
              <w:keepLines/>
              <w:spacing w:before="240"/>
              <w:jc w:val="center"/>
              <w:outlineLvl w:val="1"/>
            </w:pPr>
            <w:r>
              <w:t>3</w:t>
            </w:r>
          </w:p>
        </w:tc>
        <w:tc>
          <w:tcPr>
            <w:tcW w:w="651" w:type="dxa"/>
          </w:tcPr>
          <w:p w:rsidR="00B078C3" w:rsidRDefault="00F242FD" w:rsidP="0008146B">
            <w:pPr>
              <w:keepNext/>
              <w:keepLines/>
              <w:spacing w:before="240"/>
              <w:jc w:val="center"/>
              <w:outlineLvl w:val="1"/>
            </w:pPr>
            <w:r>
              <w:t>4</w:t>
            </w:r>
          </w:p>
        </w:tc>
      </w:tr>
      <w:tr w:rsidR="00086CF8" w:rsidTr="00086CF8">
        <w:tc>
          <w:tcPr>
            <w:tcW w:w="6091" w:type="dxa"/>
          </w:tcPr>
          <w:p w:rsidR="00086CF8" w:rsidRDefault="00086CF8" w:rsidP="005A463A">
            <w:pPr>
              <w:keepNext/>
              <w:keepLines/>
              <w:spacing w:before="240"/>
              <w:outlineLvl w:val="1"/>
            </w:pPr>
            <w:r>
              <w:t>Болезни сердца</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086CF8" w:rsidP="005A463A">
            <w:pPr>
              <w:keepNext/>
              <w:keepLines/>
              <w:spacing w:before="240"/>
              <w:outlineLvl w:val="1"/>
            </w:pPr>
            <w:r>
              <w:t>Болезни сосудов (кровеносных и лимфатических)</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086CF8" w:rsidP="005A463A">
            <w:pPr>
              <w:keepNext/>
              <w:keepLines/>
              <w:spacing w:before="240"/>
              <w:outlineLvl w:val="1"/>
            </w:pPr>
            <w:r>
              <w:t>Болезни крови (костного мозга, селезенки и периферической крови</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086CF8" w:rsidP="005A463A">
            <w:pPr>
              <w:keepNext/>
              <w:keepLines/>
              <w:spacing w:before="240"/>
              <w:outlineLvl w:val="1"/>
            </w:pPr>
            <w:r>
              <w:t>Болезни органов дыхательной системы (трахеи, бронхов и легких)</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086CF8" w:rsidP="005A463A">
            <w:pPr>
              <w:keepNext/>
              <w:keepLines/>
              <w:spacing w:before="240"/>
              <w:outlineLvl w:val="1"/>
            </w:pPr>
            <w:r>
              <w:t>Болезни органов чувств (глаз, носа, ушей, глотки и гортани)</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086CF8" w:rsidP="005A463A">
            <w:pPr>
              <w:keepNext/>
              <w:keepLines/>
              <w:spacing w:before="240"/>
              <w:outlineLvl w:val="1"/>
            </w:pPr>
            <w:r>
              <w:t>Болезни органов верхних отделов пищеварительной системы (пищевода, желудка, двенадцатиперстной кишки, поджелудочной железы (не включая СД) и желчного пузыря)</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086CF8" w:rsidP="005A463A">
            <w:pPr>
              <w:keepNext/>
              <w:keepLines/>
              <w:spacing w:before="240"/>
              <w:outlineLvl w:val="1"/>
            </w:pPr>
            <w:r>
              <w:t>Болезни органов нижних отделов пищеварительной системы (тонкого и толстого кишечника)</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F242FD" w:rsidP="005A463A">
            <w:pPr>
              <w:keepNext/>
              <w:keepLines/>
              <w:spacing w:before="240"/>
              <w:outlineLvl w:val="1"/>
            </w:pPr>
            <w:r>
              <w:t>Болезни печени</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F242FD" w:rsidP="005A463A">
            <w:pPr>
              <w:keepNext/>
              <w:keepLines/>
              <w:spacing w:before="240"/>
              <w:outlineLvl w:val="1"/>
            </w:pPr>
            <w:r>
              <w:t>Болезни почек</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F242FD" w:rsidP="005A463A">
            <w:pPr>
              <w:keepNext/>
              <w:keepLines/>
              <w:spacing w:before="240"/>
              <w:outlineLvl w:val="1"/>
            </w:pPr>
            <w:r>
              <w:t>Болезни органов мочеполовой системы (мочеточников, мочевого пузыря, мочеиспускательного канала, предстательной железы и половых органов)</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086CF8" w:rsidTr="00086CF8">
        <w:tc>
          <w:tcPr>
            <w:tcW w:w="6091" w:type="dxa"/>
          </w:tcPr>
          <w:p w:rsidR="00086CF8" w:rsidRDefault="00F242FD" w:rsidP="005A463A">
            <w:pPr>
              <w:keepNext/>
              <w:keepLines/>
              <w:spacing w:before="240"/>
              <w:outlineLvl w:val="1"/>
            </w:pPr>
            <w:r>
              <w:t>Болезни органов опорно-двигательной системы (мышц, суставов, костей) и кожных покровов</w:t>
            </w:r>
          </w:p>
        </w:tc>
        <w:tc>
          <w:tcPr>
            <w:tcW w:w="650"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c>
          <w:tcPr>
            <w:tcW w:w="651" w:type="dxa"/>
          </w:tcPr>
          <w:p w:rsidR="00086CF8" w:rsidRDefault="00086CF8" w:rsidP="005A463A">
            <w:pPr>
              <w:keepNext/>
              <w:keepLines/>
              <w:spacing w:before="240"/>
              <w:outlineLvl w:val="1"/>
            </w:pPr>
          </w:p>
        </w:tc>
      </w:tr>
      <w:tr w:rsidR="00F242FD" w:rsidTr="00086CF8">
        <w:tc>
          <w:tcPr>
            <w:tcW w:w="6091" w:type="dxa"/>
          </w:tcPr>
          <w:p w:rsidR="00F242FD" w:rsidRDefault="00F242FD" w:rsidP="005A463A">
            <w:pPr>
              <w:keepNext/>
              <w:keepLines/>
              <w:spacing w:before="240"/>
              <w:outlineLvl w:val="1"/>
            </w:pPr>
            <w:r>
              <w:t>Болезни органов центральной и периферической нервной системы (головного мозга, спинного мозга и нервов)</w:t>
            </w:r>
          </w:p>
        </w:tc>
        <w:tc>
          <w:tcPr>
            <w:tcW w:w="650"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r>
      <w:tr w:rsidR="00F242FD" w:rsidTr="00086CF8">
        <w:tc>
          <w:tcPr>
            <w:tcW w:w="6091" w:type="dxa"/>
          </w:tcPr>
          <w:p w:rsidR="00F242FD" w:rsidRDefault="00F242FD" w:rsidP="005A463A">
            <w:pPr>
              <w:keepNext/>
              <w:keepLines/>
              <w:spacing w:before="240"/>
              <w:outlineLvl w:val="1"/>
            </w:pPr>
            <w:r>
              <w:lastRenderedPageBreak/>
              <w:t>Болезни органов эндокринной системы и нарушения метаболизма (включая сахарный диабет)</w:t>
            </w:r>
          </w:p>
        </w:tc>
        <w:tc>
          <w:tcPr>
            <w:tcW w:w="650"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r>
      <w:tr w:rsidR="00F242FD" w:rsidTr="00086CF8">
        <w:tc>
          <w:tcPr>
            <w:tcW w:w="6091" w:type="dxa"/>
          </w:tcPr>
          <w:p w:rsidR="00F242FD" w:rsidRDefault="00F242FD" w:rsidP="005A463A">
            <w:pPr>
              <w:keepNext/>
              <w:keepLines/>
              <w:spacing w:before="240"/>
              <w:outlineLvl w:val="1"/>
            </w:pPr>
            <w:r>
              <w:t>Психические нарушения</w:t>
            </w:r>
          </w:p>
        </w:tc>
        <w:tc>
          <w:tcPr>
            <w:tcW w:w="650"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c>
          <w:tcPr>
            <w:tcW w:w="651" w:type="dxa"/>
          </w:tcPr>
          <w:p w:rsidR="00F242FD" w:rsidRDefault="00F242FD" w:rsidP="005A463A">
            <w:pPr>
              <w:keepNext/>
              <w:keepLines/>
              <w:spacing w:before="240"/>
              <w:outlineLvl w:val="1"/>
            </w:pPr>
          </w:p>
        </w:tc>
      </w:tr>
      <w:tr w:rsidR="00F242FD" w:rsidTr="0020308B">
        <w:tc>
          <w:tcPr>
            <w:tcW w:w="6091" w:type="dxa"/>
          </w:tcPr>
          <w:p w:rsidR="00F242FD" w:rsidRDefault="00F242FD" w:rsidP="005A463A">
            <w:pPr>
              <w:keepNext/>
              <w:keepLines/>
              <w:spacing w:before="240"/>
              <w:outlineLvl w:val="1"/>
            </w:pPr>
            <w:r>
              <w:t>Сумма баллов</w:t>
            </w:r>
          </w:p>
        </w:tc>
        <w:tc>
          <w:tcPr>
            <w:tcW w:w="3254" w:type="dxa"/>
            <w:gridSpan w:val="5"/>
          </w:tcPr>
          <w:p w:rsidR="00F242FD" w:rsidRDefault="00F242FD" w:rsidP="005A463A">
            <w:pPr>
              <w:keepNext/>
              <w:keepLines/>
              <w:spacing w:before="240"/>
              <w:outlineLvl w:val="1"/>
            </w:pPr>
          </w:p>
        </w:tc>
      </w:tr>
    </w:tbl>
    <w:p w:rsidR="00B078C3" w:rsidRPr="0008146B" w:rsidRDefault="000B0AC3" w:rsidP="0008146B">
      <w:pPr>
        <w:keepNext/>
        <w:keepLines/>
        <w:outlineLvl w:val="1"/>
        <w:rPr>
          <w:u w:val="single"/>
        </w:rPr>
      </w:pPr>
      <w:r w:rsidRPr="0008146B">
        <w:rPr>
          <w:u w:val="single"/>
        </w:rPr>
        <w:t>Оценка органов и систем:</w:t>
      </w:r>
    </w:p>
    <w:p w:rsidR="00B078C3" w:rsidRDefault="00F242FD" w:rsidP="0008146B">
      <w:pPr>
        <w:keepNext/>
        <w:keepLines/>
        <w:outlineLvl w:val="1"/>
      </w:pPr>
      <w:r w:rsidRPr="00F242FD">
        <w:t>0 баллов</w:t>
      </w:r>
      <w:r>
        <w:t xml:space="preserve">: </w:t>
      </w:r>
      <w:r w:rsidRPr="00F242FD">
        <w:t>отсутстви</w:t>
      </w:r>
      <w:r>
        <w:t>е</w:t>
      </w:r>
      <w:r w:rsidRPr="00F242FD">
        <w:t xml:space="preserve"> заболеваний в этой системе органов или </w:t>
      </w:r>
      <w:r>
        <w:t xml:space="preserve">наличие </w:t>
      </w:r>
      <w:r w:rsidRPr="00F242FD">
        <w:t>патологи</w:t>
      </w:r>
      <w:r>
        <w:t>и</w:t>
      </w:r>
      <w:r w:rsidRPr="00F242FD">
        <w:t>, которая не мешает нормальной жизнедеятельности, не влияет на прогноз и не требует лечения</w:t>
      </w:r>
      <w:r>
        <w:t>.</w:t>
      </w:r>
      <w:r w:rsidRPr="00F242FD">
        <w:t xml:space="preserve"> </w:t>
      </w:r>
    </w:p>
    <w:p w:rsidR="00F242FD" w:rsidRDefault="00F242FD" w:rsidP="00F242FD">
      <w:pPr>
        <w:keepNext/>
        <w:keepLines/>
        <w:outlineLvl w:val="1"/>
      </w:pPr>
      <w:r w:rsidRPr="00F242FD">
        <w:t>1</w:t>
      </w:r>
      <w:r>
        <w:t xml:space="preserve"> балл: </w:t>
      </w:r>
      <w:r w:rsidRPr="00F242FD">
        <w:t>лёгкие отклонения от нормы или перенесенные в прошлом заболевания</w:t>
      </w:r>
      <w:r>
        <w:t>.</w:t>
      </w:r>
      <w:r w:rsidRPr="00F242FD">
        <w:t xml:space="preserve"> </w:t>
      </w:r>
    </w:p>
    <w:p w:rsidR="00F242FD" w:rsidRDefault="00F242FD" w:rsidP="00F242FD">
      <w:pPr>
        <w:keepNext/>
        <w:keepLines/>
        <w:outlineLvl w:val="1"/>
      </w:pPr>
      <w:r w:rsidRPr="00F242FD">
        <w:t>2</w:t>
      </w:r>
      <w:r>
        <w:t xml:space="preserve"> балла: </w:t>
      </w:r>
      <w:r w:rsidRPr="00F242FD">
        <w:t>заболевани</w:t>
      </w:r>
      <w:r>
        <w:t>е</w:t>
      </w:r>
      <w:r w:rsidRPr="00F242FD">
        <w:t>, при котором необходимо назначение медикаментозной терапии</w:t>
      </w:r>
      <w:r>
        <w:t>.</w:t>
      </w:r>
      <w:r w:rsidRPr="00F242FD">
        <w:t xml:space="preserve"> </w:t>
      </w:r>
    </w:p>
    <w:p w:rsidR="00F242FD" w:rsidRDefault="00F242FD" w:rsidP="00F242FD">
      <w:pPr>
        <w:keepNext/>
        <w:keepLines/>
        <w:outlineLvl w:val="1"/>
      </w:pPr>
      <w:r w:rsidRPr="00F242FD">
        <w:t>3 балла</w:t>
      </w:r>
      <w:r>
        <w:t>:</w:t>
      </w:r>
      <w:r w:rsidRPr="00F242FD">
        <w:t xml:space="preserve"> заболевани</w:t>
      </w:r>
      <w:r>
        <w:t>е</w:t>
      </w:r>
      <w:r w:rsidRPr="00F242FD">
        <w:t>, ставше</w:t>
      </w:r>
      <w:r>
        <w:t>е</w:t>
      </w:r>
      <w:r w:rsidRPr="00F242FD">
        <w:t xml:space="preserve"> причиной инвалидности</w:t>
      </w:r>
      <w:r>
        <w:t>.</w:t>
      </w:r>
      <w:r w:rsidRPr="00F242FD">
        <w:t xml:space="preserve"> </w:t>
      </w:r>
    </w:p>
    <w:p w:rsidR="00F242FD" w:rsidRDefault="00F242FD" w:rsidP="00F242FD">
      <w:pPr>
        <w:keepNext/>
        <w:keepLines/>
        <w:outlineLvl w:val="1"/>
      </w:pPr>
      <w:r w:rsidRPr="00F242FD">
        <w:t>4</w:t>
      </w:r>
      <w:r>
        <w:t xml:space="preserve"> балла: жизнеугрожающее </w:t>
      </w:r>
      <w:r w:rsidRPr="00F242FD">
        <w:t>заболевани</w:t>
      </w:r>
      <w:r>
        <w:t xml:space="preserve">е, </w:t>
      </w:r>
      <w:r w:rsidRPr="00F242FD">
        <w:t>требующее проведения неотложной терапии</w:t>
      </w:r>
      <w:r>
        <w:t>.</w:t>
      </w:r>
    </w:p>
    <w:p w:rsidR="00F242FD" w:rsidRPr="00F242FD" w:rsidRDefault="00F242FD" w:rsidP="00F242FD">
      <w:pPr>
        <w:keepNext/>
        <w:keepLines/>
        <w:outlineLvl w:val="1"/>
      </w:pPr>
    </w:p>
    <w:sectPr w:rsidR="00F242FD" w:rsidRPr="00F242FD" w:rsidSect="0038355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16" w:rsidRDefault="00737A16" w:rsidP="00383556">
      <w:pPr>
        <w:spacing w:line="240" w:lineRule="auto"/>
      </w:pPr>
      <w:r>
        <w:separator/>
      </w:r>
    </w:p>
  </w:endnote>
  <w:endnote w:type="continuationSeparator" w:id="0">
    <w:p w:rsidR="00737A16" w:rsidRDefault="00737A16" w:rsidP="00383556">
      <w:pPr>
        <w:spacing w:line="240" w:lineRule="auto"/>
      </w:pPr>
      <w:r>
        <w:continuationSeparator/>
      </w:r>
    </w:p>
  </w:endnote>
  <w:endnote w:type="continuationNotice" w:id="1">
    <w:p w:rsidR="00737A16" w:rsidRDefault="00737A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Sans">
    <w:panose1 w:val="00000000000000000000"/>
    <w:charset w:val="00"/>
    <w:family w:val="roman"/>
    <w:notTrueType/>
    <w:pitch w:val="default"/>
  </w:font>
  <w:font w:name="GalsLight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S PGothic">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F8" w:rsidRDefault="000B0AC3">
    <w:pPr>
      <w:pStyle w:val="a8"/>
      <w:jc w:val="center"/>
    </w:pPr>
    <w:r>
      <w:fldChar w:fldCharType="begin"/>
    </w:r>
    <w:r w:rsidR="00086CF8" w:rsidRPr="00383556">
      <w:instrText>PAGE   \* MERGEFORMAT</w:instrText>
    </w:r>
    <w:r>
      <w:fldChar w:fldCharType="separate"/>
    </w:r>
    <w:r w:rsidR="00255572">
      <w:rPr>
        <w:noProof/>
      </w:rPr>
      <w:t>65</w:t>
    </w:r>
    <w:r>
      <w:fldChar w:fldCharType="end"/>
    </w:r>
  </w:p>
  <w:p w:rsidR="00086CF8" w:rsidRDefault="00086C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16" w:rsidRDefault="00737A16" w:rsidP="00383556">
      <w:pPr>
        <w:spacing w:line="240" w:lineRule="auto"/>
      </w:pPr>
      <w:r>
        <w:separator/>
      </w:r>
    </w:p>
  </w:footnote>
  <w:footnote w:type="continuationSeparator" w:id="0">
    <w:p w:rsidR="00737A16" w:rsidRDefault="00737A16" w:rsidP="00383556">
      <w:pPr>
        <w:spacing w:line="240" w:lineRule="auto"/>
      </w:pPr>
      <w:r>
        <w:continuationSeparator/>
      </w:r>
    </w:p>
  </w:footnote>
  <w:footnote w:type="continuationNotice" w:id="1">
    <w:p w:rsidR="00737A16" w:rsidRDefault="00737A16">
      <w:pPr>
        <w:spacing w:line="240" w:lineRule="auto"/>
      </w:pPr>
    </w:p>
  </w:footnote>
  <w:footnote w:id="2">
    <w:p w:rsidR="00086CF8" w:rsidRPr="00015858" w:rsidRDefault="000B0AC3" w:rsidP="00145A85">
      <w:pPr>
        <w:pStyle w:val="afd"/>
        <w:rPr>
          <w:rFonts w:ascii="Times New Roman" w:hAnsi="Times New Roman"/>
        </w:rPr>
      </w:pPr>
      <w:r w:rsidRPr="0008146B">
        <w:rPr>
          <w:rStyle w:val="aff"/>
        </w:rPr>
        <w:footnoteRef/>
      </w:r>
      <w:r w:rsidR="00086CF8" w:rsidRPr="00015858">
        <w:rPr>
          <w:rFonts w:ascii="Times New Roman" w:hAnsi="Times New Roman"/>
        </w:rPr>
        <w:t xml:space="preserve"> К лимфатическим структурам относят лимфатические узлы, селезенку, вилочковую железу, кольцо Вальдейера, червеобразный отросток, пейеровы бляшки.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8B3"/>
    <w:multiLevelType w:val="hybridMultilevel"/>
    <w:tmpl w:val="0C2C75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294E9D"/>
    <w:multiLevelType w:val="hybridMultilevel"/>
    <w:tmpl w:val="EF4E4C06"/>
    <w:lvl w:ilvl="0" w:tplc="E62A876E">
      <w:start w:val="3"/>
      <w:numFmt w:val="bullet"/>
      <w:lvlText w:val="•"/>
      <w:lvlJc w:val="left"/>
      <w:pPr>
        <w:ind w:left="1417" w:hanging="708"/>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A6917BA"/>
    <w:multiLevelType w:val="hybridMultilevel"/>
    <w:tmpl w:val="D9B4693C"/>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3">
    <w:nsid w:val="0D87190B"/>
    <w:multiLevelType w:val="hybridMultilevel"/>
    <w:tmpl w:val="D914698E"/>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4">
    <w:nsid w:val="0E9F0E99"/>
    <w:multiLevelType w:val="hybridMultilevel"/>
    <w:tmpl w:val="EA7AEDF8"/>
    <w:lvl w:ilvl="0" w:tplc="99D2742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B60142"/>
    <w:multiLevelType w:val="hybridMultilevel"/>
    <w:tmpl w:val="EBB29E38"/>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nsid w:val="11F52288"/>
    <w:multiLevelType w:val="hybridMultilevel"/>
    <w:tmpl w:val="EE80400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92565"/>
    <w:multiLevelType w:val="hybridMultilevel"/>
    <w:tmpl w:val="279CD3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29B7911"/>
    <w:multiLevelType w:val="hybridMultilevel"/>
    <w:tmpl w:val="AC002448"/>
    <w:lvl w:ilvl="0" w:tplc="E62A876E">
      <w:start w:val="3"/>
      <w:numFmt w:val="bullet"/>
      <w:lvlText w:val="•"/>
      <w:lvlJc w:val="left"/>
      <w:pPr>
        <w:ind w:left="1417" w:hanging="708"/>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D32F31"/>
    <w:multiLevelType w:val="hybridMultilevel"/>
    <w:tmpl w:val="550E85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C60378"/>
    <w:multiLevelType w:val="hybridMultilevel"/>
    <w:tmpl w:val="EDF8C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6973B5"/>
    <w:multiLevelType w:val="hybridMultilevel"/>
    <w:tmpl w:val="64CEB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274518"/>
    <w:multiLevelType w:val="hybridMultilevel"/>
    <w:tmpl w:val="B75CE4EE"/>
    <w:lvl w:ilvl="0" w:tplc="04190011">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4">
    <w:nsid w:val="2A6520EC"/>
    <w:multiLevelType w:val="hybridMultilevel"/>
    <w:tmpl w:val="66146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934373"/>
    <w:multiLevelType w:val="hybridMultilevel"/>
    <w:tmpl w:val="9D042492"/>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F1A334D"/>
    <w:multiLevelType w:val="hybridMultilevel"/>
    <w:tmpl w:val="84B81764"/>
    <w:lvl w:ilvl="0" w:tplc="179AE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766C59"/>
    <w:multiLevelType w:val="hybridMultilevel"/>
    <w:tmpl w:val="A192E7A4"/>
    <w:lvl w:ilvl="0" w:tplc="04190003">
      <w:start w:val="1"/>
      <w:numFmt w:val="bullet"/>
      <w:lvlText w:val="o"/>
      <w:lvlJc w:val="left"/>
      <w:pPr>
        <w:ind w:left="1414" w:hanging="705"/>
      </w:pPr>
      <w:rPr>
        <w:rFonts w:ascii="Courier New" w:hAnsi="Courier New" w:cs="Courier New"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0015A8D"/>
    <w:multiLevelType w:val="hybridMultilevel"/>
    <w:tmpl w:val="142E744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34FA05C4"/>
    <w:multiLevelType w:val="hybridMultilevel"/>
    <w:tmpl w:val="9CBE8CCE"/>
    <w:lvl w:ilvl="0" w:tplc="66F4208C">
      <w:start w:val="1"/>
      <w:numFmt w:val="bullet"/>
      <w:lvlText w:val=""/>
      <w:lvlJc w:val="left"/>
      <w:pPr>
        <w:ind w:left="1414" w:hanging="705"/>
      </w:pPr>
      <w:rPr>
        <w:rFonts w:ascii="Symbol" w:hAnsi="Symbol"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353B46F4"/>
    <w:multiLevelType w:val="hybridMultilevel"/>
    <w:tmpl w:val="5E4862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362E36A5"/>
    <w:multiLevelType w:val="hybridMultilevel"/>
    <w:tmpl w:val="CD3C2112"/>
    <w:lvl w:ilvl="0" w:tplc="0419000F">
      <w:start w:val="1"/>
      <w:numFmt w:val="bullet"/>
      <w:lvlText w:val=""/>
      <w:lvlJc w:val="left"/>
      <w:pPr>
        <w:ind w:left="360" w:hanging="360"/>
      </w:pPr>
      <w:rPr>
        <w:rFonts w:ascii="Symbol" w:hAnsi="Symbol" w:hint="default"/>
      </w:rPr>
    </w:lvl>
    <w:lvl w:ilvl="1" w:tplc="EB60626C" w:tentative="1">
      <w:start w:val="1"/>
      <w:numFmt w:val="bullet"/>
      <w:lvlText w:val="o"/>
      <w:lvlJc w:val="left"/>
      <w:pPr>
        <w:ind w:left="1080" w:hanging="360"/>
      </w:pPr>
      <w:rPr>
        <w:rFonts w:ascii="Courier New" w:hAnsi="Courier New" w:hint="default"/>
      </w:rPr>
    </w:lvl>
    <w:lvl w:ilvl="2" w:tplc="EB60626C"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79D3DF9"/>
    <w:multiLevelType w:val="hybridMultilevel"/>
    <w:tmpl w:val="7C6CB1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3A29092D"/>
    <w:multiLevelType w:val="hybridMultilevel"/>
    <w:tmpl w:val="4E06AC02"/>
    <w:lvl w:ilvl="0" w:tplc="04190001">
      <w:start w:val="1"/>
      <w:numFmt w:val="bullet"/>
      <w:lvlText w:val=""/>
      <w:lvlJc w:val="left"/>
      <w:pPr>
        <w:ind w:left="720" w:hanging="360"/>
      </w:pPr>
      <w:rPr>
        <w:rFonts w:ascii="Symbol" w:hAnsi="Symbol" w:hint="default"/>
      </w:rPr>
    </w:lvl>
    <w:lvl w:ilvl="1" w:tplc="F7143DF4"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CA300F4"/>
    <w:multiLevelType w:val="hybridMultilevel"/>
    <w:tmpl w:val="8220932C"/>
    <w:lvl w:ilvl="0" w:tplc="E62A876E">
      <w:start w:val="3"/>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4A4315"/>
    <w:multiLevelType w:val="hybridMultilevel"/>
    <w:tmpl w:val="884E90B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33D3BB2"/>
    <w:multiLevelType w:val="hybridMultilevel"/>
    <w:tmpl w:val="9EEEB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497BE7"/>
    <w:multiLevelType w:val="hybridMultilevel"/>
    <w:tmpl w:val="7A101D74"/>
    <w:lvl w:ilvl="0" w:tplc="66F4208C">
      <w:start w:val="1"/>
      <w:numFmt w:val="bullet"/>
      <w:pStyle w:val="a"/>
      <w:lvlText w:val=""/>
      <w:lvlJc w:val="left"/>
      <w:pPr>
        <w:ind w:left="1414" w:hanging="705"/>
      </w:pPr>
      <w:rPr>
        <w:rFonts w:ascii="Symbol" w:hAnsi="Symbol"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49533624"/>
    <w:multiLevelType w:val="hybridMultilevel"/>
    <w:tmpl w:val="A44C6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16438"/>
    <w:multiLevelType w:val="hybridMultilevel"/>
    <w:tmpl w:val="1C100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2D4474E"/>
    <w:multiLevelType w:val="hybridMultilevel"/>
    <w:tmpl w:val="0D0E3E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E90484"/>
    <w:multiLevelType w:val="hybridMultilevel"/>
    <w:tmpl w:val="C8608998"/>
    <w:lvl w:ilvl="0" w:tplc="04190003">
      <w:start w:val="1"/>
      <w:numFmt w:val="bullet"/>
      <w:lvlText w:val="o"/>
      <w:lvlJc w:val="left"/>
      <w:pPr>
        <w:ind w:left="1068" w:hanging="360"/>
      </w:pPr>
      <w:rPr>
        <w:rFonts w:ascii="Courier New" w:hAnsi="Courier New" w:cs="Courier New" w:hint="default"/>
      </w:rPr>
    </w:lvl>
    <w:lvl w:ilvl="1" w:tplc="04190003">
      <w:start w:val="1"/>
      <w:numFmt w:val="lowerLetter"/>
      <w:lvlText w:val="%2."/>
      <w:lvlJc w:val="left"/>
      <w:pPr>
        <w:ind w:left="1788" w:hanging="360"/>
      </w:pPr>
    </w:lvl>
    <w:lvl w:ilvl="2" w:tplc="E3526D9A">
      <w:start w:val="1"/>
      <w:numFmt w:val="decimal"/>
      <w:lvlText w:val="%3)"/>
      <w:lvlJc w:val="left"/>
      <w:pPr>
        <w:ind w:left="3036" w:hanging="708"/>
      </w:pPr>
      <w:rPr>
        <w:rFonts w:hint="default"/>
      </w:rPr>
    </w:lvl>
    <w:lvl w:ilvl="3" w:tplc="338849D2">
      <w:start w:val="1"/>
      <w:numFmt w:val="decimal"/>
      <w:lvlText w:val="%4."/>
      <w:lvlJc w:val="left"/>
      <w:pPr>
        <w:ind w:left="3576" w:hanging="708"/>
      </w:pPr>
      <w:rPr>
        <w:rFonts w:hint="default"/>
      </w:r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34">
    <w:nsid w:val="590B4210"/>
    <w:multiLevelType w:val="hybridMultilevel"/>
    <w:tmpl w:val="C75A7B30"/>
    <w:lvl w:ilvl="0" w:tplc="04190001">
      <w:start w:val="1"/>
      <w:numFmt w:val="decimal"/>
      <w:lvlText w:val="%1."/>
      <w:lvlJc w:val="left"/>
      <w:pPr>
        <w:tabs>
          <w:tab w:val="num" w:pos="360"/>
        </w:tabs>
        <w:ind w:left="360" w:hanging="360"/>
      </w:pPr>
      <w:rPr>
        <w:rFonts w:hint="default"/>
      </w:r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35">
    <w:nsid w:val="5C7C5815"/>
    <w:multiLevelType w:val="hybridMultilevel"/>
    <w:tmpl w:val="CB7040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44C0821"/>
    <w:multiLevelType w:val="hybridMultilevel"/>
    <w:tmpl w:val="085E818A"/>
    <w:lvl w:ilvl="0" w:tplc="04190003">
      <w:start w:val="1"/>
      <w:numFmt w:val="bullet"/>
      <w:lvlText w:val="o"/>
      <w:lvlJc w:val="left"/>
      <w:pPr>
        <w:ind w:left="1414" w:hanging="705"/>
      </w:pPr>
      <w:rPr>
        <w:rFonts w:ascii="Courier New" w:hAnsi="Courier New" w:cs="Courier New"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69CF7F77"/>
    <w:multiLevelType w:val="hybridMultilevel"/>
    <w:tmpl w:val="9CFC0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212806"/>
    <w:multiLevelType w:val="hybridMultilevel"/>
    <w:tmpl w:val="5C6033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E35428B"/>
    <w:multiLevelType w:val="hybridMultilevel"/>
    <w:tmpl w:val="111816BA"/>
    <w:lvl w:ilvl="0" w:tplc="0419000F">
      <w:start w:val="1"/>
      <w:numFmt w:val="decimal"/>
      <w:lvlText w:val="%1."/>
      <w:lvlJc w:val="left"/>
      <w:pPr>
        <w:ind w:left="1414" w:hanging="705"/>
      </w:pPr>
      <w:rPr>
        <w:rFonts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70750981"/>
    <w:multiLevelType w:val="hybridMultilevel"/>
    <w:tmpl w:val="388496DE"/>
    <w:lvl w:ilvl="0" w:tplc="C6F414D0">
      <w:start w:val="1"/>
      <w:numFmt w:val="bullet"/>
      <w:lvlText w:val=""/>
      <w:lvlJc w:val="left"/>
      <w:pPr>
        <w:ind w:left="360" w:hanging="360"/>
      </w:pPr>
      <w:rPr>
        <w:rFonts w:ascii="Symbol" w:hAnsi="Symbol" w:hint="default"/>
      </w:rPr>
    </w:lvl>
    <w:lvl w:ilvl="1" w:tplc="C0E6D234" w:tentative="1">
      <w:start w:val="1"/>
      <w:numFmt w:val="bullet"/>
      <w:lvlText w:val="o"/>
      <w:lvlJc w:val="left"/>
      <w:pPr>
        <w:ind w:left="1080" w:hanging="360"/>
      </w:pPr>
      <w:rPr>
        <w:rFonts w:ascii="Courier New" w:hAnsi="Courier New" w:hint="default"/>
      </w:rPr>
    </w:lvl>
    <w:lvl w:ilvl="2" w:tplc="C076F468" w:tentative="1">
      <w:start w:val="1"/>
      <w:numFmt w:val="bullet"/>
      <w:lvlText w:val=""/>
      <w:lvlJc w:val="left"/>
      <w:pPr>
        <w:ind w:left="1800" w:hanging="360"/>
      </w:pPr>
      <w:rPr>
        <w:rFonts w:ascii="Wingdings" w:hAnsi="Wingdings" w:hint="default"/>
      </w:rPr>
    </w:lvl>
    <w:lvl w:ilvl="3" w:tplc="E3BC4980" w:tentative="1">
      <w:start w:val="1"/>
      <w:numFmt w:val="bullet"/>
      <w:lvlText w:val=""/>
      <w:lvlJc w:val="left"/>
      <w:pPr>
        <w:ind w:left="2520" w:hanging="360"/>
      </w:pPr>
      <w:rPr>
        <w:rFonts w:ascii="Symbol" w:hAnsi="Symbol" w:hint="default"/>
      </w:rPr>
    </w:lvl>
    <w:lvl w:ilvl="4" w:tplc="277E88FE" w:tentative="1">
      <w:start w:val="1"/>
      <w:numFmt w:val="bullet"/>
      <w:lvlText w:val="o"/>
      <w:lvlJc w:val="left"/>
      <w:pPr>
        <w:ind w:left="3240" w:hanging="360"/>
      </w:pPr>
      <w:rPr>
        <w:rFonts w:ascii="Courier New" w:hAnsi="Courier New" w:hint="default"/>
      </w:rPr>
    </w:lvl>
    <w:lvl w:ilvl="5" w:tplc="0A7A623E" w:tentative="1">
      <w:start w:val="1"/>
      <w:numFmt w:val="bullet"/>
      <w:lvlText w:val=""/>
      <w:lvlJc w:val="left"/>
      <w:pPr>
        <w:ind w:left="3960" w:hanging="360"/>
      </w:pPr>
      <w:rPr>
        <w:rFonts w:ascii="Wingdings" w:hAnsi="Wingdings" w:hint="default"/>
      </w:rPr>
    </w:lvl>
    <w:lvl w:ilvl="6" w:tplc="4A7272AC" w:tentative="1">
      <w:start w:val="1"/>
      <w:numFmt w:val="bullet"/>
      <w:lvlText w:val=""/>
      <w:lvlJc w:val="left"/>
      <w:pPr>
        <w:ind w:left="4680" w:hanging="360"/>
      </w:pPr>
      <w:rPr>
        <w:rFonts w:ascii="Symbol" w:hAnsi="Symbol" w:hint="default"/>
      </w:rPr>
    </w:lvl>
    <w:lvl w:ilvl="7" w:tplc="C5B0A0DA" w:tentative="1">
      <w:start w:val="1"/>
      <w:numFmt w:val="bullet"/>
      <w:lvlText w:val="o"/>
      <w:lvlJc w:val="left"/>
      <w:pPr>
        <w:ind w:left="5400" w:hanging="360"/>
      </w:pPr>
      <w:rPr>
        <w:rFonts w:ascii="Courier New" w:hAnsi="Courier New" w:hint="default"/>
      </w:rPr>
    </w:lvl>
    <w:lvl w:ilvl="8" w:tplc="54465664" w:tentative="1">
      <w:start w:val="1"/>
      <w:numFmt w:val="bullet"/>
      <w:lvlText w:val=""/>
      <w:lvlJc w:val="left"/>
      <w:pPr>
        <w:ind w:left="6120" w:hanging="360"/>
      </w:pPr>
      <w:rPr>
        <w:rFonts w:ascii="Wingdings" w:hAnsi="Wingdings" w:hint="default"/>
      </w:rPr>
    </w:lvl>
  </w:abstractNum>
  <w:abstractNum w:abstractNumId="41">
    <w:nsid w:val="723E776F"/>
    <w:multiLevelType w:val="hybridMultilevel"/>
    <w:tmpl w:val="49EA0992"/>
    <w:lvl w:ilvl="0" w:tplc="E62A876E">
      <w:start w:val="3"/>
      <w:numFmt w:val="bullet"/>
      <w:lvlText w:val="•"/>
      <w:lvlJc w:val="left"/>
      <w:pPr>
        <w:ind w:left="1417" w:hanging="708"/>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D82873"/>
    <w:multiLevelType w:val="hybridMultilevel"/>
    <w:tmpl w:val="EFDA39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4D269A"/>
    <w:multiLevelType w:val="hybridMultilevel"/>
    <w:tmpl w:val="38CA103A"/>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494" w:hanging="705"/>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77C101A"/>
    <w:multiLevelType w:val="hybridMultilevel"/>
    <w:tmpl w:val="D3E8F6D8"/>
    <w:lvl w:ilvl="0" w:tplc="0419000F">
      <w:start w:val="1"/>
      <w:numFmt w:val="decimal"/>
      <w:lvlText w:val="%1."/>
      <w:lvlJc w:val="left"/>
      <w:pPr>
        <w:ind w:left="1414" w:hanging="705"/>
      </w:pPr>
      <w:rPr>
        <w:rFonts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5">
    <w:nsid w:val="7F314CA6"/>
    <w:multiLevelType w:val="hybridMultilevel"/>
    <w:tmpl w:val="815E754E"/>
    <w:lvl w:ilvl="0" w:tplc="04190003">
      <w:start w:val="1"/>
      <w:numFmt w:val="bullet"/>
      <w:lvlText w:val="o"/>
      <w:lvlJc w:val="left"/>
      <w:pPr>
        <w:ind w:left="1414" w:hanging="705"/>
      </w:pPr>
      <w:rPr>
        <w:rFonts w:ascii="Courier New" w:hAnsi="Courier New" w:cs="Courier New" w:hint="default"/>
      </w:rPr>
    </w:lvl>
    <w:lvl w:ilvl="1" w:tplc="04190003">
      <w:start w:val="1"/>
      <w:numFmt w:val="bullet"/>
      <w:lvlText w:val="o"/>
      <w:lvlJc w:val="left"/>
      <w:pPr>
        <w:ind w:left="2134" w:hanging="705"/>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9"/>
  </w:num>
  <w:num w:numId="2">
    <w:abstractNumId w:val="34"/>
  </w:num>
  <w:num w:numId="3">
    <w:abstractNumId w:val="11"/>
  </w:num>
  <w:num w:numId="4">
    <w:abstractNumId w:val="42"/>
  </w:num>
  <w:num w:numId="5">
    <w:abstractNumId w:val="32"/>
  </w:num>
  <w:num w:numId="6">
    <w:abstractNumId w:val="16"/>
  </w:num>
  <w:num w:numId="7">
    <w:abstractNumId w:val="37"/>
  </w:num>
  <w:num w:numId="8">
    <w:abstractNumId w:val="25"/>
  </w:num>
  <w:num w:numId="9">
    <w:abstractNumId w:val="12"/>
  </w:num>
  <w:num w:numId="10">
    <w:abstractNumId w:val="10"/>
  </w:num>
  <w:num w:numId="11">
    <w:abstractNumId w:val="6"/>
  </w:num>
  <w:num w:numId="12">
    <w:abstractNumId w:val="38"/>
  </w:num>
  <w:num w:numId="13">
    <w:abstractNumId w:val="13"/>
  </w:num>
  <w:num w:numId="14">
    <w:abstractNumId w:val="23"/>
  </w:num>
  <w:num w:numId="15">
    <w:abstractNumId w:val="40"/>
  </w:num>
  <w:num w:numId="16">
    <w:abstractNumId w:val="7"/>
  </w:num>
  <w:num w:numId="17">
    <w:abstractNumId w:val="24"/>
  </w:num>
  <w:num w:numId="18">
    <w:abstractNumId w:val="17"/>
  </w:num>
  <w:num w:numId="19">
    <w:abstractNumId w:val="18"/>
  </w:num>
  <w:num w:numId="20">
    <w:abstractNumId w:val="0"/>
  </w:num>
  <w:num w:numId="21">
    <w:abstractNumId w:val="33"/>
  </w:num>
  <w:num w:numId="22">
    <w:abstractNumId w:val="20"/>
  </w:num>
  <w:num w:numId="23">
    <w:abstractNumId w:val="27"/>
  </w:num>
  <w:num w:numId="24">
    <w:abstractNumId w:val="15"/>
  </w:num>
  <w:num w:numId="25">
    <w:abstractNumId w:val="5"/>
  </w:num>
  <w:num w:numId="26">
    <w:abstractNumId w:val="43"/>
  </w:num>
  <w:num w:numId="27">
    <w:abstractNumId w:val="3"/>
  </w:num>
  <w:num w:numId="28">
    <w:abstractNumId w:val="2"/>
  </w:num>
  <w:num w:numId="29">
    <w:abstractNumId w:val="36"/>
  </w:num>
  <w:num w:numId="30">
    <w:abstractNumId w:val="45"/>
  </w:num>
  <w:num w:numId="31">
    <w:abstractNumId w:val="39"/>
  </w:num>
  <w:num w:numId="32">
    <w:abstractNumId w:val="44"/>
  </w:num>
  <w:num w:numId="33">
    <w:abstractNumId w:val="22"/>
  </w:num>
  <w:num w:numId="34">
    <w:abstractNumId w:val="21"/>
  </w:num>
  <w:num w:numId="35">
    <w:abstractNumId w:val="28"/>
  </w:num>
  <w:num w:numId="36">
    <w:abstractNumId w:val="35"/>
  </w:num>
  <w:num w:numId="37">
    <w:abstractNumId w:val="9"/>
  </w:num>
  <w:num w:numId="38">
    <w:abstractNumId w:val="1"/>
  </w:num>
  <w:num w:numId="39">
    <w:abstractNumId w:val="8"/>
  </w:num>
  <w:num w:numId="40">
    <w:abstractNumId w:val="41"/>
  </w:num>
  <w:num w:numId="41">
    <w:abstractNumId w:val="31"/>
  </w:num>
  <w:num w:numId="42">
    <w:abstractNumId w:val="26"/>
  </w:num>
  <w:num w:numId="43">
    <w:abstractNumId w:val="30"/>
  </w:num>
  <w:num w:numId="44">
    <w:abstractNumId w:val="14"/>
  </w:num>
  <w:num w:numId="45">
    <w:abstractNumId w:val="4"/>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5E"/>
    <w:rsid w:val="00005C38"/>
    <w:rsid w:val="00006FC5"/>
    <w:rsid w:val="00007106"/>
    <w:rsid w:val="000078EC"/>
    <w:rsid w:val="00011845"/>
    <w:rsid w:val="000137B7"/>
    <w:rsid w:val="00015814"/>
    <w:rsid w:val="00015858"/>
    <w:rsid w:val="00015C5E"/>
    <w:rsid w:val="00017496"/>
    <w:rsid w:val="00020931"/>
    <w:rsid w:val="000216A8"/>
    <w:rsid w:val="0002391B"/>
    <w:rsid w:val="00024036"/>
    <w:rsid w:val="00025CCB"/>
    <w:rsid w:val="00030520"/>
    <w:rsid w:val="000316F5"/>
    <w:rsid w:val="00032009"/>
    <w:rsid w:val="00032FC0"/>
    <w:rsid w:val="0004059D"/>
    <w:rsid w:val="00040674"/>
    <w:rsid w:val="00041FF6"/>
    <w:rsid w:val="00043EAD"/>
    <w:rsid w:val="000453B0"/>
    <w:rsid w:val="00052F2E"/>
    <w:rsid w:val="000535BB"/>
    <w:rsid w:val="000535C7"/>
    <w:rsid w:val="000536CB"/>
    <w:rsid w:val="000552FF"/>
    <w:rsid w:val="00055701"/>
    <w:rsid w:val="000565F5"/>
    <w:rsid w:val="00063E91"/>
    <w:rsid w:val="000648CB"/>
    <w:rsid w:val="00066F0E"/>
    <w:rsid w:val="00074257"/>
    <w:rsid w:val="00076434"/>
    <w:rsid w:val="000772E3"/>
    <w:rsid w:val="0007733C"/>
    <w:rsid w:val="0008146B"/>
    <w:rsid w:val="00081FA5"/>
    <w:rsid w:val="0008327D"/>
    <w:rsid w:val="000833C3"/>
    <w:rsid w:val="000865D5"/>
    <w:rsid w:val="00086CF8"/>
    <w:rsid w:val="0009076E"/>
    <w:rsid w:val="00092FB2"/>
    <w:rsid w:val="00093475"/>
    <w:rsid w:val="000973F9"/>
    <w:rsid w:val="000A139D"/>
    <w:rsid w:val="000A2B89"/>
    <w:rsid w:val="000A442F"/>
    <w:rsid w:val="000A56B3"/>
    <w:rsid w:val="000A6C90"/>
    <w:rsid w:val="000B0144"/>
    <w:rsid w:val="000B037A"/>
    <w:rsid w:val="000B0AC3"/>
    <w:rsid w:val="000B1751"/>
    <w:rsid w:val="000B196B"/>
    <w:rsid w:val="000B2A21"/>
    <w:rsid w:val="000B309A"/>
    <w:rsid w:val="000B3F2E"/>
    <w:rsid w:val="000B4290"/>
    <w:rsid w:val="000B6073"/>
    <w:rsid w:val="000C05AF"/>
    <w:rsid w:val="000C11C4"/>
    <w:rsid w:val="000C5D87"/>
    <w:rsid w:val="000D26FE"/>
    <w:rsid w:val="000D479B"/>
    <w:rsid w:val="000D5099"/>
    <w:rsid w:val="000E06DC"/>
    <w:rsid w:val="000E1D74"/>
    <w:rsid w:val="000E32C0"/>
    <w:rsid w:val="000E3963"/>
    <w:rsid w:val="000E3DE6"/>
    <w:rsid w:val="000E4A49"/>
    <w:rsid w:val="000E4B68"/>
    <w:rsid w:val="000F0FD9"/>
    <w:rsid w:val="000F2499"/>
    <w:rsid w:val="000F2A44"/>
    <w:rsid w:val="000F6931"/>
    <w:rsid w:val="001018E4"/>
    <w:rsid w:val="00110390"/>
    <w:rsid w:val="00111C80"/>
    <w:rsid w:val="00122E4B"/>
    <w:rsid w:val="0012405A"/>
    <w:rsid w:val="00124E49"/>
    <w:rsid w:val="00127120"/>
    <w:rsid w:val="00127E46"/>
    <w:rsid w:val="00132B9F"/>
    <w:rsid w:val="00136052"/>
    <w:rsid w:val="0013631D"/>
    <w:rsid w:val="00141F87"/>
    <w:rsid w:val="00142726"/>
    <w:rsid w:val="00142938"/>
    <w:rsid w:val="0014361E"/>
    <w:rsid w:val="00145A85"/>
    <w:rsid w:val="0015009B"/>
    <w:rsid w:val="00151710"/>
    <w:rsid w:val="00155A0C"/>
    <w:rsid w:val="00155FD9"/>
    <w:rsid w:val="001565DE"/>
    <w:rsid w:val="00160354"/>
    <w:rsid w:val="0016133E"/>
    <w:rsid w:val="001614D4"/>
    <w:rsid w:val="00163166"/>
    <w:rsid w:val="00165B9C"/>
    <w:rsid w:val="00165FD3"/>
    <w:rsid w:val="0016638B"/>
    <w:rsid w:val="001722D3"/>
    <w:rsid w:val="001724E0"/>
    <w:rsid w:val="00172FA6"/>
    <w:rsid w:val="001732E9"/>
    <w:rsid w:val="00173C4C"/>
    <w:rsid w:val="001761DC"/>
    <w:rsid w:val="00177EFD"/>
    <w:rsid w:val="001811D1"/>
    <w:rsid w:val="001838D7"/>
    <w:rsid w:val="00186DD7"/>
    <w:rsid w:val="001925DA"/>
    <w:rsid w:val="00194677"/>
    <w:rsid w:val="00195396"/>
    <w:rsid w:val="00197D8B"/>
    <w:rsid w:val="001A512C"/>
    <w:rsid w:val="001A5F7C"/>
    <w:rsid w:val="001A7456"/>
    <w:rsid w:val="001A7FF4"/>
    <w:rsid w:val="001B105B"/>
    <w:rsid w:val="001B28D3"/>
    <w:rsid w:val="001C168A"/>
    <w:rsid w:val="001C2A64"/>
    <w:rsid w:val="001C367B"/>
    <w:rsid w:val="001C52DA"/>
    <w:rsid w:val="001C6F06"/>
    <w:rsid w:val="001C74D8"/>
    <w:rsid w:val="001D21C5"/>
    <w:rsid w:val="001D2CBE"/>
    <w:rsid w:val="001D3873"/>
    <w:rsid w:val="001D54F2"/>
    <w:rsid w:val="001D55A6"/>
    <w:rsid w:val="001D75FE"/>
    <w:rsid w:val="001E3D61"/>
    <w:rsid w:val="001E4BB1"/>
    <w:rsid w:val="001F4A9B"/>
    <w:rsid w:val="001F5994"/>
    <w:rsid w:val="001F6DE6"/>
    <w:rsid w:val="001F7596"/>
    <w:rsid w:val="0020365D"/>
    <w:rsid w:val="0020651F"/>
    <w:rsid w:val="002072AF"/>
    <w:rsid w:val="00211CEE"/>
    <w:rsid w:val="00213502"/>
    <w:rsid w:val="00217639"/>
    <w:rsid w:val="00222B3F"/>
    <w:rsid w:val="00222D49"/>
    <w:rsid w:val="00225430"/>
    <w:rsid w:val="00227CA3"/>
    <w:rsid w:val="00230E59"/>
    <w:rsid w:val="00231C54"/>
    <w:rsid w:val="0023210E"/>
    <w:rsid w:val="002358A9"/>
    <w:rsid w:val="00237C55"/>
    <w:rsid w:val="00237E10"/>
    <w:rsid w:val="00240C64"/>
    <w:rsid w:val="00241FDA"/>
    <w:rsid w:val="00242EB0"/>
    <w:rsid w:val="00244421"/>
    <w:rsid w:val="002448A6"/>
    <w:rsid w:val="00247FDA"/>
    <w:rsid w:val="00253083"/>
    <w:rsid w:val="00255572"/>
    <w:rsid w:val="0025616A"/>
    <w:rsid w:val="00256713"/>
    <w:rsid w:val="00261023"/>
    <w:rsid w:val="002660D0"/>
    <w:rsid w:val="002728BA"/>
    <w:rsid w:val="00272B28"/>
    <w:rsid w:val="002735CB"/>
    <w:rsid w:val="002777C4"/>
    <w:rsid w:val="00280391"/>
    <w:rsid w:val="0028354C"/>
    <w:rsid w:val="00291C04"/>
    <w:rsid w:val="00294FDF"/>
    <w:rsid w:val="002A4EE5"/>
    <w:rsid w:val="002B1C5B"/>
    <w:rsid w:val="002C0898"/>
    <w:rsid w:val="002D4BBD"/>
    <w:rsid w:val="002E17F4"/>
    <w:rsid w:val="002E1CB9"/>
    <w:rsid w:val="002E3794"/>
    <w:rsid w:val="002E4F84"/>
    <w:rsid w:val="002F0C58"/>
    <w:rsid w:val="002F1F80"/>
    <w:rsid w:val="002F2298"/>
    <w:rsid w:val="002F6861"/>
    <w:rsid w:val="00300CE8"/>
    <w:rsid w:val="003010EA"/>
    <w:rsid w:val="003019FD"/>
    <w:rsid w:val="003024C3"/>
    <w:rsid w:val="003028FA"/>
    <w:rsid w:val="00302AA4"/>
    <w:rsid w:val="00303C4D"/>
    <w:rsid w:val="00303E7D"/>
    <w:rsid w:val="0030568B"/>
    <w:rsid w:val="00305DDD"/>
    <w:rsid w:val="00312132"/>
    <w:rsid w:val="003134D5"/>
    <w:rsid w:val="0031455F"/>
    <w:rsid w:val="003147A2"/>
    <w:rsid w:val="0031704D"/>
    <w:rsid w:val="0032282D"/>
    <w:rsid w:val="0033039D"/>
    <w:rsid w:val="00331696"/>
    <w:rsid w:val="003322AC"/>
    <w:rsid w:val="003379AE"/>
    <w:rsid w:val="003444D4"/>
    <w:rsid w:val="00345B05"/>
    <w:rsid w:val="0035179C"/>
    <w:rsid w:val="003518E9"/>
    <w:rsid w:val="00351D7B"/>
    <w:rsid w:val="00355F0B"/>
    <w:rsid w:val="00357B92"/>
    <w:rsid w:val="00362D90"/>
    <w:rsid w:val="003647C6"/>
    <w:rsid w:val="00367667"/>
    <w:rsid w:val="00371847"/>
    <w:rsid w:val="00371E34"/>
    <w:rsid w:val="00373AA3"/>
    <w:rsid w:val="00376125"/>
    <w:rsid w:val="00376133"/>
    <w:rsid w:val="00376EFB"/>
    <w:rsid w:val="00383556"/>
    <w:rsid w:val="00386423"/>
    <w:rsid w:val="00387410"/>
    <w:rsid w:val="0039171D"/>
    <w:rsid w:val="003939BB"/>
    <w:rsid w:val="00393E55"/>
    <w:rsid w:val="00397360"/>
    <w:rsid w:val="003A13D2"/>
    <w:rsid w:val="003A1E47"/>
    <w:rsid w:val="003B00B5"/>
    <w:rsid w:val="003B0273"/>
    <w:rsid w:val="003B230C"/>
    <w:rsid w:val="003B302E"/>
    <w:rsid w:val="003B3C73"/>
    <w:rsid w:val="003B4377"/>
    <w:rsid w:val="003B6638"/>
    <w:rsid w:val="003C165C"/>
    <w:rsid w:val="003D069A"/>
    <w:rsid w:val="003D1C3C"/>
    <w:rsid w:val="003D2BFF"/>
    <w:rsid w:val="003D3798"/>
    <w:rsid w:val="003E1C75"/>
    <w:rsid w:val="003E2F52"/>
    <w:rsid w:val="003E3C13"/>
    <w:rsid w:val="003F18B5"/>
    <w:rsid w:val="003F71E8"/>
    <w:rsid w:val="00402C42"/>
    <w:rsid w:val="00405913"/>
    <w:rsid w:val="0040662F"/>
    <w:rsid w:val="00406D38"/>
    <w:rsid w:val="00406E7E"/>
    <w:rsid w:val="00410821"/>
    <w:rsid w:val="0041352B"/>
    <w:rsid w:val="00416F68"/>
    <w:rsid w:val="004263B1"/>
    <w:rsid w:val="004267F5"/>
    <w:rsid w:val="004306A3"/>
    <w:rsid w:val="0043640E"/>
    <w:rsid w:val="0043716B"/>
    <w:rsid w:val="004375FA"/>
    <w:rsid w:val="00437AD9"/>
    <w:rsid w:val="004423D7"/>
    <w:rsid w:val="00443167"/>
    <w:rsid w:val="00444B93"/>
    <w:rsid w:val="00444E42"/>
    <w:rsid w:val="00451C55"/>
    <w:rsid w:val="00456340"/>
    <w:rsid w:val="00457002"/>
    <w:rsid w:val="00461C98"/>
    <w:rsid w:val="0046587A"/>
    <w:rsid w:val="00467947"/>
    <w:rsid w:val="00471AC6"/>
    <w:rsid w:val="00473776"/>
    <w:rsid w:val="004753EB"/>
    <w:rsid w:val="00475D61"/>
    <w:rsid w:val="0048027B"/>
    <w:rsid w:val="00487250"/>
    <w:rsid w:val="004876B6"/>
    <w:rsid w:val="0049013F"/>
    <w:rsid w:val="0049285B"/>
    <w:rsid w:val="00492BAB"/>
    <w:rsid w:val="00493992"/>
    <w:rsid w:val="0049410E"/>
    <w:rsid w:val="004A0625"/>
    <w:rsid w:val="004A0932"/>
    <w:rsid w:val="004A1FA5"/>
    <w:rsid w:val="004A2656"/>
    <w:rsid w:val="004B0584"/>
    <w:rsid w:val="004B19FE"/>
    <w:rsid w:val="004B247C"/>
    <w:rsid w:val="004B284E"/>
    <w:rsid w:val="004B2C00"/>
    <w:rsid w:val="004B53D6"/>
    <w:rsid w:val="004B6318"/>
    <w:rsid w:val="004C0497"/>
    <w:rsid w:val="004C0A84"/>
    <w:rsid w:val="004C2479"/>
    <w:rsid w:val="004C35FE"/>
    <w:rsid w:val="004D0709"/>
    <w:rsid w:val="004D637C"/>
    <w:rsid w:val="004D639D"/>
    <w:rsid w:val="004D6541"/>
    <w:rsid w:val="004D7283"/>
    <w:rsid w:val="004D7374"/>
    <w:rsid w:val="004D75CA"/>
    <w:rsid w:val="004E268D"/>
    <w:rsid w:val="004E40A4"/>
    <w:rsid w:val="004E5EEF"/>
    <w:rsid w:val="004E6BF1"/>
    <w:rsid w:val="004F3187"/>
    <w:rsid w:val="004F4212"/>
    <w:rsid w:val="004F517E"/>
    <w:rsid w:val="004F629D"/>
    <w:rsid w:val="004F6C5C"/>
    <w:rsid w:val="004F78E0"/>
    <w:rsid w:val="005033F1"/>
    <w:rsid w:val="00504D96"/>
    <w:rsid w:val="00510F3E"/>
    <w:rsid w:val="0051376C"/>
    <w:rsid w:val="005163D3"/>
    <w:rsid w:val="00517A9E"/>
    <w:rsid w:val="005208EC"/>
    <w:rsid w:val="005300D6"/>
    <w:rsid w:val="00542928"/>
    <w:rsid w:val="005433D9"/>
    <w:rsid w:val="005438C8"/>
    <w:rsid w:val="00544312"/>
    <w:rsid w:val="00545D5A"/>
    <w:rsid w:val="00551BED"/>
    <w:rsid w:val="00553794"/>
    <w:rsid w:val="00554484"/>
    <w:rsid w:val="00555233"/>
    <w:rsid w:val="005554E5"/>
    <w:rsid w:val="005601BB"/>
    <w:rsid w:val="00560CBA"/>
    <w:rsid w:val="00562AB9"/>
    <w:rsid w:val="005720E9"/>
    <w:rsid w:val="00572422"/>
    <w:rsid w:val="00572797"/>
    <w:rsid w:val="005727F3"/>
    <w:rsid w:val="00572E8D"/>
    <w:rsid w:val="00573250"/>
    <w:rsid w:val="005734CC"/>
    <w:rsid w:val="00573998"/>
    <w:rsid w:val="00575E55"/>
    <w:rsid w:val="00577F69"/>
    <w:rsid w:val="005802F3"/>
    <w:rsid w:val="005845EE"/>
    <w:rsid w:val="0058595A"/>
    <w:rsid w:val="00590CE7"/>
    <w:rsid w:val="00594588"/>
    <w:rsid w:val="00594D35"/>
    <w:rsid w:val="005A0BFC"/>
    <w:rsid w:val="005A277A"/>
    <w:rsid w:val="005A463A"/>
    <w:rsid w:val="005A6B77"/>
    <w:rsid w:val="005B033F"/>
    <w:rsid w:val="005B27A1"/>
    <w:rsid w:val="005B4044"/>
    <w:rsid w:val="005B4606"/>
    <w:rsid w:val="005C5E8F"/>
    <w:rsid w:val="005C6207"/>
    <w:rsid w:val="005C7FBA"/>
    <w:rsid w:val="005D0694"/>
    <w:rsid w:val="005D523C"/>
    <w:rsid w:val="005D6AC4"/>
    <w:rsid w:val="005E0F21"/>
    <w:rsid w:val="005E336A"/>
    <w:rsid w:val="005E5406"/>
    <w:rsid w:val="005F5D15"/>
    <w:rsid w:val="005F63DF"/>
    <w:rsid w:val="005F74E8"/>
    <w:rsid w:val="0060109E"/>
    <w:rsid w:val="00602B3B"/>
    <w:rsid w:val="00606068"/>
    <w:rsid w:val="00607358"/>
    <w:rsid w:val="00610C1C"/>
    <w:rsid w:val="00612DD7"/>
    <w:rsid w:val="0061352E"/>
    <w:rsid w:val="00615859"/>
    <w:rsid w:val="006172FC"/>
    <w:rsid w:val="006211BD"/>
    <w:rsid w:val="00624019"/>
    <w:rsid w:val="00631591"/>
    <w:rsid w:val="006322EB"/>
    <w:rsid w:val="00633330"/>
    <w:rsid w:val="00634703"/>
    <w:rsid w:val="00636656"/>
    <w:rsid w:val="00640800"/>
    <w:rsid w:val="00641F84"/>
    <w:rsid w:val="006422C1"/>
    <w:rsid w:val="00646FFF"/>
    <w:rsid w:val="00650012"/>
    <w:rsid w:val="006600A3"/>
    <w:rsid w:val="00660DEE"/>
    <w:rsid w:val="00660E17"/>
    <w:rsid w:val="00667887"/>
    <w:rsid w:val="0067127E"/>
    <w:rsid w:val="0067498E"/>
    <w:rsid w:val="00680AE5"/>
    <w:rsid w:val="00683CB0"/>
    <w:rsid w:val="00686393"/>
    <w:rsid w:val="006864B8"/>
    <w:rsid w:val="0068690B"/>
    <w:rsid w:val="006919DC"/>
    <w:rsid w:val="00691D0D"/>
    <w:rsid w:val="00693699"/>
    <w:rsid w:val="00694154"/>
    <w:rsid w:val="00696CC2"/>
    <w:rsid w:val="0069767A"/>
    <w:rsid w:val="006A4A6A"/>
    <w:rsid w:val="006A63C1"/>
    <w:rsid w:val="006B1011"/>
    <w:rsid w:val="006B35E5"/>
    <w:rsid w:val="006B39C6"/>
    <w:rsid w:val="006B3E67"/>
    <w:rsid w:val="006B609E"/>
    <w:rsid w:val="006B6A74"/>
    <w:rsid w:val="006B70DB"/>
    <w:rsid w:val="006B7A3E"/>
    <w:rsid w:val="006C1B1B"/>
    <w:rsid w:val="006C4B86"/>
    <w:rsid w:val="006D00D7"/>
    <w:rsid w:val="006D0598"/>
    <w:rsid w:val="006D166E"/>
    <w:rsid w:val="006D1E7B"/>
    <w:rsid w:val="006D2F04"/>
    <w:rsid w:val="006D3EA6"/>
    <w:rsid w:val="006D4884"/>
    <w:rsid w:val="006D567B"/>
    <w:rsid w:val="006D58D5"/>
    <w:rsid w:val="006E031E"/>
    <w:rsid w:val="006F0405"/>
    <w:rsid w:val="006F4703"/>
    <w:rsid w:val="006F547D"/>
    <w:rsid w:val="00700C74"/>
    <w:rsid w:val="00701D11"/>
    <w:rsid w:val="007042DE"/>
    <w:rsid w:val="00704341"/>
    <w:rsid w:val="0071450A"/>
    <w:rsid w:val="00714F21"/>
    <w:rsid w:val="0071737F"/>
    <w:rsid w:val="00717FA6"/>
    <w:rsid w:val="00720884"/>
    <w:rsid w:val="00722FD2"/>
    <w:rsid w:val="00725EA1"/>
    <w:rsid w:val="0072780B"/>
    <w:rsid w:val="007342AB"/>
    <w:rsid w:val="00737A16"/>
    <w:rsid w:val="00741B6B"/>
    <w:rsid w:val="00741BEA"/>
    <w:rsid w:val="0074489F"/>
    <w:rsid w:val="00744A5F"/>
    <w:rsid w:val="0075001D"/>
    <w:rsid w:val="00752513"/>
    <w:rsid w:val="00755147"/>
    <w:rsid w:val="00760E82"/>
    <w:rsid w:val="007629D4"/>
    <w:rsid w:val="00764C3F"/>
    <w:rsid w:val="00771091"/>
    <w:rsid w:val="007756ED"/>
    <w:rsid w:val="00780F52"/>
    <w:rsid w:val="00783B3B"/>
    <w:rsid w:val="00786352"/>
    <w:rsid w:val="00791A83"/>
    <w:rsid w:val="007A35FB"/>
    <w:rsid w:val="007A57F9"/>
    <w:rsid w:val="007A778D"/>
    <w:rsid w:val="007A7B1F"/>
    <w:rsid w:val="007B378F"/>
    <w:rsid w:val="007B532E"/>
    <w:rsid w:val="007B55D5"/>
    <w:rsid w:val="007B5AE5"/>
    <w:rsid w:val="007C0380"/>
    <w:rsid w:val="007C26CE"/>
    <w:rsid w:val="007C4C3E"/>
    <w:rsid w:val="007C602C"/>
    <w:rsid w:val="007D0783"/>
    <w:rsid w:val="007D1103"/>
    <w:rsid w:val="007E1CDD"/>
    <w:rsid w:val="007E288D"/>
    <w:rsid w:val="007F15BE"/>
    <w:rsid w:val="007F2736"/>
    <w:rsid w:val="007F2F09"/>
    <w:rsid w:val="007F43CF"/>
    <w:rsid w:val="007F5246"/>
    <w:rsid w:val="00800DA9"/>
    <w:rsid w:val="00801638"/>
    <w:rsid w:val="00801EC7"/>
    <w:rsid w:val="008027D5"/>
    <w:rsid w:val="00804814"/>
    <w:rsid w:val="008077E8"/>
    <w:rsid w:val="008135E7"/>
    <w:rsid w:val="00815F8E"/>
    <w:rsid w:val="00822273"/>
    <w:rsid w:val="008240EC"/>
    <w:rsid w:val="00824F7E"/>
    <w:rsid w:val="008253CD"/>
    <w:rsid w:val="00826575"/>
    <w:rsid w:val="00830499"/>
    <w:rsid w:val="008311A0"/>
    <w:rsid w:val="00831818"/>
    <w:rsid w:val="008502F5"/>
    <w:rsid w:val="00851664"/>
    <w:rsid w:val="0085183A"/>
    <w:rsid w:val="00855342"/>
    <w:rsid w:val="008602F0"/>
    <w:rsid w:val="00861DE3"/>
    <w:rsid w:val="008620F1"/>
    <w:rsid w:val="0086213E"/>
    <w:rsid w:val="0086332D"/>
    <w:rsid w:val="00866C68"/>
    <w:rsid w:val="00873DA3"/>
    <w:rsid w:val="0087672A"/>
    <w:rsid w:val="00877443"/>
    <w:rsid w:val="00881EA8"/>
    <w:rsid w:val="00883FF1"/>
    <w:rsid w:val="00884D69"/>
    <w:rsid w:val="0088552E"/>
    <w:rsid w:val="00886663"/>
    <w:rsid w:val="008869B0"/>
    <w:rsid w:val="008906CF"/>
    <w:rsid w:val="0089332F"/>
    <w:rsid w:val="0089510D"/>
    <w:rsid w:val="008A183B"/>
    <w:rsid w:val="008A3D3B"/>
    <w:rsid w:val="008A5579"/>
    <w:rsid w:val="008A5D2D"/>
    <w:rsid w:val="008A641C"/>
    <w:rsid w:val="008B02FF"/>
    <w:rsid w:val="008B3AF3"/>
    <w:rsid w:val="008B4141"/>
    <w:rsid w:val="008B64A3"/>
    <w:rsid w:val="008C2C51"/>
    <w:rsid w:val="008C3A74"/>
    <w:rsid w:val="008C576B"/>
    <w:rsid w:val="008D26D4"/>
    <w:rsid w:val="008D4121"/>
    <w:rsid w:val="008D44A6"/>
    <w:rsid w:val="008D7D9E"/>
    <w:rsid w:val="008E011C"/>
    <w:rsid w:val="008E03EC"/>
    <w:rsid w:val="008E17D4"/>
    <w:rsid w:val="008E393B"/>
    <w:rsid w:val="008E3AC0"/>
    <w:rsid w:val="008E45D6"/>
    <w:rsid w:val="008E5B75"/>
    <w:rsid w:val="008E5E58"/>
    <w:rsid w:val="008F1171"/>
    <w:rsid w:val="008F1902"/>
    <w:rsid w:val="008F3621"/>
    <w:rsid w:val="008F42D8"/>
    <w:rsid w:val="008F5956"/>
    <w:rsid w:val="008F62A5"/>
    <w:rsid w:val="008F7D04"/>
    <w:rsid w:val="00900404"/>
    <w:rsid w:val="00902551"/>
    <w:rsid w:val="00904167"/>
    <w:rsid w:val="009055DE"/>
    <w:rsid w:val="00905D08"/>
    <w:rsid w:val="00906D3E"/>
    <w:rsid w:val="00907D07"/>
    <w:rsid w:val="00912FAC"/>
    <w:rsid w:val="00914D5A"/>
    <w:rsid w:val="009214C9"/>
    <w:rsid w:val="00924BCE"/>
    <w:rsid w:val="00926A3F"/>
    <w:rsid w:val="00927936"/>
    <w:rsid w:val="00930B4C"/>
    <w:rsid w:val="00931A0F"/>
    <w:rsid w:val="009334F3"/>
    <w:rsid w:val="00934BAD"/>
    <w:rsid w:val="00943737"/>
    <w:rsid w:val="00943A3B"/>
    <w:rsid w:val="009514ED"/>
    <w:rsid w:val="00951834"/>
    <w:rsid w:val="009520E9"/>
    <w:rsid w:val="0095233F"/>
    <w:rsid w:val="00953066"/>
    <w:rsid w:val="00953098"/>
    <w:rsid w:val="0095309F"/>
    <w:rsid w:val="00953E36"/>
    <w:rsid w:val="00955DB9"/>
    <w:rsid w:val="00964C0B"/>
    <w:rsid w:val="009666FC"/>
    <w:rsid w:val="00971147"/>
    <w:rsid w:val="009856BB"/>
    <w:rsid w:val="00986B62"/>
    <w:rsid w:val="00994323"/>
    <w:rsid w:val="00994EFD"/>
    <w:rsid w:val="0099679A"/>
    <w:rsid w:val="009A0687"/>
    <w:rsid w:val="009B0208"/>
    <w:rsid w:val="009B0864"/>
    <w:rsid w:val="009B2535"/>
    <w:rsid w:val="009B27D2"/>
    <w:rsid w:val="009B309C"/>
    <w:rsid w:val="009B642F"/>
    <w:rsid w:val="009B7DF7"/>
    <w:rsid w:val="009C374B"/>
    <w:rsid w:val="009C76E5"/>
    <w:rsid w:val="009C770D"/>
    <w:rsid w:val="009D0A81"/>
    <w:rsid w:val="009D406D"/>
    <w:rsid w:val="009D6444"/>
    <w:rsid w:val="009D6AF4"/>
    <w:rsid w:val="009E3191"/>
    <w:rsid w:val="009E4C3D"/>
    <w:rsid w:val="009E5D19"/>
    <w:rsid w:val="009F638D"/>
    <w:rsid w:val="00A02B4F"/>
    <w:rsid w:val="00A032CF"/>
    <w:rsid w:val="00A032F4"/>
    <w:rsid w:val="00A04E7F"/>
    <w:rsid w:val="00A069B1"/>
    <w:rsid w:val="00A102BC"/>
    <w:rsid w:val="00A10E2A"/>
    <w:rsid w:val="00A16F3E"/>
    <w:rsid w:val="00A172FA"/>
    <w:rsid w:val="00A223BC"/>
    <w:rsid w:val="00A23292"/>
    <w:rsid w:val="00A24E62"/>
    <w:rsid w:val="00A25D74"/>
    <w:rsid w:val="00A33FC0"/>
    <w:rsid w:val="00A3423A"/>
    <w:rsid w:val="00A34245"/>
    <w:rsid w:val="00A35934"/>
    <w:rsid w:val="00A43693"/>
    <w:rsid w:val="00A4386F"/>
    <w:rsid w:val="00A44DC3"/>
    <w:rsid w:val="00A46563"/>
    <w:rsid w:val="00A65FA3"/>
    <w:rsid w:val="00A7235D"/>
    <w:rsid w:val="00A750EC"/>
    <w:rsid w:val="00A75A11"/>
    <w:rsid w:val="00A75A30"/>
    <w:rsid w:val="00A77001"/>
    <w:rsid w:val="00A81638"/>
    <w:rsid w:val="00A840A1"/>
    <w:rsid w:val="00A86629"/>
    <w:rsid w:val="00A91174"/>
    <w:rsid w:val="00A91EED"/>
    <w:rsid w:val="00AA0E3B"/>
    <w:rsid w:val="00AA43CB"/>
    <w:rsid w:val="00AA4634"/>
    <w:rsid w:val="00AA4B03"/>
    <w:rsid w:val="00AB3D75"/>
    <w:rsid w:val="00AB48FE"/>
    <w:rsid w:val="00AB56FA"/>
    <w:rsid w:val="00AB5DE3"/>
    <w:rsid w:val="00AC0E00"/>
    <w:rsid w:val="00AC39FB"/>
    <w:rsid w:val="00AC3B0C"/>
    <w:rsid w:val="00AC4AA6"/>
    <w:rsid w:val="00AD6066"/>
    <w:rsid w:val="00AD6AE8"/>
    <w:rsid w:val="00AD7318"/>
    <w:rsid w:val="00AE2A88"/>
    <w:rsid w:val="00AE2EE4"/>
    <w:rsid w:val="00AE69C4"/>
    <w:rsid w:val="00AE6C08"/>
    <w:rsid w:val="00AF086E"/>
    <w:rsid w:val="00AF08E3"/>
    <w:rsid w:val="00B0145E"/>
    <w:rsid w:val="00B033C3"/>
    <w:rsid w:val="00B04B70"/>
    <w:rsid w:val="00B078C3"/>
    <w:rsid w:val="00B07BAB"/>
    <w:rsid w:val="00B108D9"/>
    <w:rsid w:val="00B11FF3"/>
    <w:rsid w:val="00B12F40"/>
    <w:rsid w:val="00B139B1"/>
    <w:rsid w:val="00B14A82"/>
    <w:rsid w:val="00B21719"/>
    <w:rsid w:val="00B2204A"/>
    <w:rsid w:val="00B334B7"/>
    <w:rsid w:val="00B33976"/>
    <w:rsid w:val="00B3535C"/>
    <w:rsid w:val="00B378F0"/>
    <w:rsid w:val="00B41E37"/>
    <w:rsid w:val="00B42DDA"/>
    <w:rsid w:val="00B441F4"/>
    <w:rsid w:val="00B4558B"/>
    <w:rsid w:val="00B458B6"/>
    <w:rsid w:val="00B458D2"/>
    <w:rsid w:val="00B46658"/>
    <w:rsid w:val="00B466BF"/>
    <w:rsid w:val="00B50A12"/>
    <w:rsid w:val="00B5142F"/>
    <w:rsid w:val="00B549A0"/>
    <w:rsid w:val="00B57859"/>
    <w:rsid w:val="00B6054C"/>
    <w:rsid w:val="00B63021"/>
    <w:rsid w:val="00B63BF6"/>
    <w:rsid w:val="00B64C45"/>
    <w:rsid w:val="00B65D6D"/>
    <w:rsid w:val="00B6655F"/>
    <w:rsid w:val="00B74F42"/>
    <w:rsid w:val="00B7531C"/>
    <w:rsid w:val="00B76E9B"/>
    <w:rsid w:val="00B806B8"/>
    <w:rsid w:val="00B8212A"/>
    <w:rsid w:val="00B84EFE"/>
    <w:rsid w:val="00B87A3D"/>
    <w:rsid w:val="00B87AA6"/>
    <w:rsid w:val="00B90AB1"/>
    <w:rsid w:val="00B91BC4"/>
    <w:rsid w:val="00B93B9E"/>
    <w:rsid w:val="00B93BEE"/>
    <w:rsid w:val="00BA284D"/>
    <w:rsid w:val="00BA2FBD"/>
    <w:rsid w:val="00BA3B8F"/>
    <w:rsid w:val="00BA4C49"/>
    <w:rsid w:val="00BA5245"/>
    <w:rsid w:val="00BA62E4"/>
    <w:rsid w:val="00BB58D0"/>
    <w:rsid w:val="00BB7621"/>
    <w:rsid w:val="00BC258D"/>
    <w:rsid w:val="00BC524F"/>
    <w:rsid w:val="00BC77DD"/>
    <w:rsid w:val="00BD0784"/>
    <w:rsid w:val="00BD38B2"/>
    <w:rsid w:val="00BD4F28"/>
    <w:rsid w:val="00BE00CA"/>
    <w:rsid w:val="00BE2FF0"/>
    <w:rsid w:val="00BE5B4C"/>
    <w:rsid w:val="00BE6A1C"/>
    <w:rsid w:val="00BE6F76"/>
    <w:rsid w:val="00BE7488"/>
    <w:rsid w:val="00BF0125"/>
    <w:rsid w:val="00BF0941"/>
    <w:rsid w:val="00BF14FC"/>
    <w:rsid w:val="00BF44B8"/>
    <w:rsid w:val="00BF586B"/>
    <w:rsid w:val="00BF5882"/>
    <w:rsid w:val="00C01013"/>
    <w:rsid w:val="00C01401"/>
    <w:rsid w:val="00C0589B"/>
    <w:rsid w:val="00C079D2"/>
    <w:rsid w:val="00C103E3"/>
    <w:rsid w:val="00C20509"/>
    <w:rsid w:val="00C2196E"/>
    <w:rsid w:val="00C2302D"/>
    <w:rsid w:val="00C26D56"/>
    <w:rsid w:val="00C27E51"/>
    <w:rsid w:val="00C3384D"/>
    <w:rsid w:val="00C33E95"/>
    <w:rsid w:val="00C348F4"/>
    <w:rsid w:val="00C37C69"/>
    <w:rsid w:val="00C403C8"/>
    <w:rsid w:val="00C41A30"/>
    <w:rsid w:val="00C41AD2"/>
    <w:rsid w:val="00C47B87"/>
    <w:rsid w:val="00C47BAB"/>
    <w:rsid w:val="00C512DE"/>
    <w:rsid w:val="00C52C85"/>
    <w:rsid w:val="00C53ABD"/>
    <w:rsid w:val="00C606B8"/>
    <w:rsid w:val="00C612AF"/>
    <w:rsid w:val="00C61327"/>
    <w:rsid w:val="00C62230"/>
    <w:rsid w:val="00C65F5B"/>
    <w:rsid w:val="00C679B1"/>
    <w:rsid w:val="00C73BC7"/>
    <w:rsid w:val="00C740F1"/>
    <w:rsid w:val="00C74629"/>
    <w:rsid w:val="00C75BCD"/>
    <w:rsid w:val="00C7670B"/>
    <w:rsid w:val="00C8130E"/>
    <w:rsid w:val="00C848DD"/>
    <w:rsid w:val="00C861EF"/>
    <w:rsid w:val="00C87193"/>
    <w:rsid w:val="00C872CD"/>
    <w:rsid w:val="00C95468"/>
    <w:rsid w:val="00C97509"/>
    <w:rsid w:val="00CA1A56"/>
    <w:rsid w:val="00CA1B30"/>
    <w:rsid w:val="00CA33E6"/>
    <w:rsid w:val="00CA605A"/>
    <w:rsid w:val="00CA6A6D"/>
    <w:rsid w:val="00CB1E71"/>
    <w:rsid w:val="00CB201E"/>
    <w:rsid w:val="00CB2DF7"/>
    <w:rsid w:val="00CB730B"/>
    <w:rsid w:val="00CC2A3D"/>
    <w:rsid w:val="00CD0D99"/>
    <w:rsid w:val="00CD1592"/>
    <w:rsid w:val="00CD364D"/>
    <w:rsid w:val="00CD4079"/>
    <w:rsid w:val="00CD4CDC"/>
    <w:rsid w:val="00CD5B95"/>
    <w:rsid w:val="00CE0696"/>
    <w:rsid w:val="00CE2A4E"/>
    <w:rsid w:val="00CE6AE9"/>
    <w:rsid w:val="00CF0415"/>
    <w:rsid w:val="00CF20D8"/>
    <w:rsid w:val="00CF7503"/>
    <w:rsid w:val="00CF7D57"/>
    <w:rsid w:val="00D012C9"/>
    <w:rsid w:val="00D016A7"/>
    <w:rsid w:val="00D03872"/>
    <w:rsid w:val="00D03D94"/>
    <w:rsid w:val="00D06487"/>
    <w:rsid w:val="00D1497C"/>
    <w:rsid w:val="00D207E2"/>
    <w:rsid w:val="00D226CD"/>
    <w:rsid w:val="00D25605"/>
    <w:rsid w:val="00D33EF1"/>
    <w:rsid w:val="00D346FF"/>
    <w:rsid w:val="00D40529"/>
    <w:rsid w:val="00D4168D"/>
    <w:rsid w:val="00D449BB"/>
    <w:rsid w:val="00D44A1A"/>
    <w:rsid w:val="00D4533A"/>
    <w:rsid w:val="00D459FA"/>
    <w:rsid w:val="00D460B9"/>
    <w:rsid w:val="00D47667"/>
    <w:rsid w:val="00D47F0A"/>
    <w:rsid w:val="00D55FB6"/>
    <w:rsid w:val="00D57E05"/>
    <w:rsid w:val="00D61AB5"/>
    <w:rsid w:val="00D65491"/>
    <w:rsid w:val="00D65D05"/>
    <w:rsid w:val="00D67BFF"/>
    <w:rsid w:val="00D702C2"/>
    <w:rsid w:val="00D71797"/>
    <w:rsid w:val="00D72B88"/>
    <w:rsid w:val="00D73887"/>
    <w:rsid w:val="00D852E2"/>
    <w:rsid w:val="00D8685D"/>
    <w:rsid w:val="00D90C34"/>
    <w:rsid w:val="00D961CE"/>
    <w:rsid w:val="00D97F30"/>
    <w:rsid w:val="00D97FC7"/>
    <w:rsid w:val="00DA3654"/>
    <w:rsid w:val="00DA412A"/>
    <w:rsid w:val="00DA5232"/>
    <w:rsid w:val="00DA6D77"/>
    <w:rsid w:val="00DB1247"/>
    <w:rsid w:val="00DB1C70"/>
    <w:rsid w:val="00DB46A1"/>
    <w:rsid w:val="00DB689F"/>
    <w:rsid w:val="00DB70B8"/>
    <w:rsid w:val="00DC3895"/>
    <w:rsid w:val="00DC7440"/>
    <w:rsid w:val="00DD3D1E"/>
    <w:rsid w:val="00DD5F69"/>
    <w:rsid w:val="00DD7EA6"/>
    <w:rsid w:val="00DE4BB9"/>
    <w:rsid w:val="00DE62FF"/>
    <w:rsid w:val="00DE7500"/>
    <w:rsid w:val="00DF6F54"/>
    <w:rsid w:val="00DF7A39"/>
    <w:rsid w:val="00E005AA"/>
    <w:rsid w:val="00E01809"/>
    <w:rsid w:val="00E01E1F"/>
    <w:rsid w:val="00E02ECB"/>
    <w:rsid w:val="00E03ACF"/>
    <w:rsid w:val="00E0632F"/>
    <w:rsid w:val="00E14FC2"/>
    <w:rsid w:val="00E17610"/>
    <w:rsid w:val="00E20B90"/>
    <w:rsid w:val="00E23C59"/>
    <w:rsid w:val="00E308AD"/>
    <w:rsid w:val="00E30AF3"/>
    <w:rsid w:val="00E31726"/>
    <w:rsid w:val="00E332B4"/>
    <w:rsid w:val="00E36621"/>
    <w:rsid w:val="00E37C35"/>
    <w:rsid w:val="00E44215"/>
    <w:rsid w:val="00E45A5B"/>
    <w:rsid w:val="00E5333E"/>
    <w:rsid w:val="00E56107"/>
    <w:rsid w:val="00E574FF"/>
    <w:rsid w:val="00E603F4"/>
    <w:rsid w:val="00E60AEF"/>
    <w:rsid w:val="00E80717"/>
    <w:rsid w:val="00E851E6"/>
    <w:rsid w:val="00E8707C"/>
    <w:rsid w:val="00E9054B"/>
    <w:rsid w:val="00E90B7E"/>
    <w:rsid w:val="00E91A5E"/>
    <w:rsid w:val="00E94B98"/>
    <w:rsid w:val="00E9771A"/>
    <w:rsid w:val="00E97E28"/>
    <w:rsid w:val="00EA0910"/>
    <w:rsid w:val="00EA156E"/>
    <w:rsid w:val="00EA1C0D"/>
    <w:rsid w:val="00EA1D36"/>
    <w:rsid w:val="00EA3851"/>
    <w:rsid w:val="00EA78A8"/>
    <w:rsid w:val="00EB069B"/>
    <w:rsid w:val="00EB3C81"/>
    <w:rsid w:val="00EB622B"/>
    <w:rsid w:val="00EB79C7"/>
    <w:rsid w:val="00EC320E"/>
    <w:rsid w:val="00EC3642"/>
    <w:rsid w:val="00EC57B9"/>
    <w:rsid w:val="00EC5A18"/>
    <w:rsid w:val="00EC5F15"/>
    <w:rsid w:val="00EC626C"/>
    <w:rsid w:val="00EC7B91"/>
    <w:rsid w:val="00ED272E"/>
    <w:rsid w:val="00ED3E82"/>
    <w:rsid w:val="00ED5B4B"/>
    <w:rsid w:val="00ED7522"/>
    <w:rsid w:val="00EE1493"/>
    <w:rsid w:val="00EE2A4C"/>
    <w:rsid w:val="00EF17E7"/>
    <w:rsid w:val="00EF27D9"/>
    <w:rsid w:val="00EF2F6F"/>
    <w:rsid w:val="00EF5FA4"/>
    <w:rsid w:val="00EF739D"/>
    <w:rsid w:val="00F02312"/>
    <w:rsid w:val="00F0422A"/>
    <w:rsid w:val="00F05FF1"/>
    <w:rsid w:val="00F070A4"/>
    <w:rsid w:val="00F075CA"/>
    <w:rsid w:val="00F07AA9"/>
    <w:rsid w:val="00F07F6F"/>
    <w:rsid w:val="00F109CD"/>
    <w:rsid w:val="00F12C20"/>
    <w:rsid w:val="00F158CF"/>
    <w:rsid w:val="00F168B2"/>
    <w:rsid w:val="00F16D99"/>
    <w:rsid w:val="00F21A6F"/>
    <w:rsid w:val="00F242FD"/>
    <w:rsid w:val="00F2630F"/>
    <w:rsid w:val="00F30B3C"/>
    <w:rsid w:val="00F337EB"/>
    <w:rsid w:val="00F354B5"/>
    <w:rsid w:val="00F37BD0"/>
    <w:rsid w:val="00F37C80"/>
    <w:rsid w:val="00F406A8"/>
    <w:rsid w:val="00F4378F"/>
    <w:rsid w:val="00F46609"/>
    <w:rsid w:val="00F5085D"/>
    <w:rsid w:val="00F53B1D"/>
    <w:rsid w:val="00F56C96"/>
    <w:rsid w:val="00F610C3"/>
    <w:rsid w:val="00F616B7"/>
    <w:rsid w:val="00F63CEF"/>
    <w:rsid w:val="00F66BB8"/>
    <w:rsid w:val="00F7168D"/>
    <w:rsid w:val="00F760FF"/>
    <w:rsid w:val="00F80934"/>
    <w:rsid w:val="00F842BB"/>
    <w:rsid w:val="00F90E5B"/>
    <w:rsid w:val="00F94109"/>
    <w:rsid w:val="00FA1589"/>
    <w:rsid w:val="00FB441E"/>
    <w:rsid w:val="00FC2956"/>
    <w:rsid w:val="00FC663A"/>
    <w:rsid w:val="00FD0C0E"/>
    <w:rsid w:val="00FD132B"/>
    <w:rsid w:val="00FD2083"/>
    <w:rsid w:val="00FD2B3B"/>
    <w:rsid w:val="00FD3D2B"/>
    <w:rsid w:val="00FD5E2A"/>
    <w:rsid w:val="00FD691F"/>
    <w:rsid w:val="00FD6F83"/>
    <w:rsid w:val="00FD7632"/>
    <w:rsid w:val="00FE3B47"/>
    <w:rsid w:val="00FE758C"/>
    <w:rsid w:val="00FF043E"/>
    <w:rsid w:val="00FF3F7D"/>
    <w:rsid w:val="00FF5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27D9"/>
    <w:pPr>
      <w:spacing w:line="360" w:lineRule="auto"/>
      <w:jc w:val="both"/>
    </w:pPr>
    <w:rPr>
      <w:rFonts w:ascii="Times New Roman" w:hAnsi="Times New Roman"/>
      <w:sz w:val="24"/>
      <w:szCs w:val="22"/>
      <w:lang w:eastAsia="en-US"/>
    </w:rPr>
  </w:style>
  <w:style w:type="paragraph" w:styleId="1">
    <w:name w:val="heading 1"/>
    <w:basedOn w:val="a0"/>
    <w:next w:val="a0"/>
    <w:link w:val="10"/>
    <w:uiPriority w:val="9"/>
    <w:qFormat/>
    <w:rsid w:val="00AA4B03"/>
    <w:pPr>
      <w:keepNext/>
      <w:keepLines/>
      <w:spacing w:before="360" w:after="240"/>
      <w:jc w:val="center"/>
      <w:outlineLvl w:val="0"/>
    </w:pPr>
    <w:rPr>
      <w:rFonts w:ascii="Times New Roman CYR" w:eastAsia="Times New Roman" w:hAnsi="Times New Roman CYR" w:cs="Times New Roman CYR"/>
      <w:b/>
      <w:color w:val="000000"/>
      <w:sz w:val="28"/>
      <w:szCs w:val="28"/>
    </w:rPr>
  </w:style>
  <w:style w:type="paragraph" w:styleId="2">
    <w:name w:val="heading 2"/>
    <w:basedOn w:val="a0"/>
    <w:next w:val="a0"/>
    <w:link w:val="20"/>
    <w:uiPriority w:val="9"/>
    <w:unhideWhenUsed/>
    <w:qFormat/>
    <w:rsid w:val="00BE6A1C"/>
    <w:pPr>
      <w:keepNext/>
      <w:keepLines/>
      <w:spacing w:before="240"/>
      <w:outlineLvl w:val="1"/>
    </w:pPr>
    <w:rPr>
      <w:rFonts w:eastAsia="Times New Roman"/>
      <w:b/>
      <w:szCs w:val="26"/>
      <w:u w:val="single"/>
    </w:rPr>
  </w:style>
  <w:style w:type="paragraph" w:styleId="3">
    <w:name w:val="heading 3"/>
    <w:basedOn w:val="a0"/>
    <w:next w:val="a0"/>
    <w:link w:val="30"/>
    <w:uiPriority w:val="9"/>
    <w:unhideWhenUsed/>
    <w:qFormat/>
    <w:rsid w:val="00371E34"/>
    <w:pPr>
      <w:keepNext/>
      <w:keepLines/>
      <w:spacing w:before="240"/>
      <w:jc w:val="left"/>
      <w:outlineLvl w:val="2"/>
    </w:pPr>
    <w:rPr>
      <w:rFonts w:eastAsia="Times New Roman"/>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A4B03"/>
    <w:rPr>
      <w:rFonts w:ascii="Times New Roman CYR" w:eastAsia="Times New Roman" w:hAnsi="Times New Roman CYR" w:cs="Times New Roman CYR"/>
      <w:b/>
      <w:color w:val="000000"/>
      <w:sz w:val="28"/>
      <w:szCs w:val="28"/>
      <w:lang w:eastAsia="en-US"/>
    </w:rPr>
  </w:style>
  <w:style w:type="character" w:customStyle="1" w:styleId="20">
    <w:name w:val="Заголовок 2 Знак"/>
    <w:link w:val="2"/>
    <w:uiPriority w:val="9"/>
    <w:rsid w:val="00BE6A1C"/>
    <w:rPr>
      <w:rFonts w:ascii="Times New Roman" w:eastAsia="Times New Roman" w:hAnsi="Times New Roman"/>
      <w:b/>
      <w:sz w:val="24"/>
      <w:szCs w:val="26"/>
      <w:u w:val="single"/>
      <w:lang w:eastAsia="en-US"/>
    </w:rPr>
  </w:style>
  <w:style w:type="paragraph" w:customStyle="1" w:styleId="11">
    <w:name w:val="Обычный (веб)1"/>
    <w:basedOn w:val="a0"/>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
    <w:name w:val="List Paragraph"/>
    <w:basedOn w:val="a0"/>
    <w:link w:val="a5"/>
    <w:uiPriority w:val="34"/>
    <w:qFormat/>
    <w:rsid w:val="00BE6A1C"/>
    <w:pPr>
      <w:numPr>
        <w:numId w:val="1"/>
      </w:numPr>
      <w:spacing w:before="240"/>
      <w:ind w:left="0" w:hanging="284"/>
    </w:pPr>
  </w:style>
  <w:style w:type="paragraph" w:styleId="a6">
    <w:name w:val="header"/>
    <w:basedOn w:val="a0"/>
    <w:link w:val="a7"/>
    <w:uiPriority w:val="99"/>
    <w:unhideWhenUsed/>
    <w:rsid w:val="00383556"/>
    <w:pPr>
      <w:tabs>
        <w:tab w:val="center" w:pos="4677"/>
        <w:tab w:val="right" w:pos="9355"/>
      </w:tabs>
      <w:spacing w:line="240" w:lineRule="auto"/>
    </w:pPr>
  </w:style>
  <w:style w:type="character" w:customStyle="1" w:styleId="a7">
    <w:name w:val="Верхний колонтитул Знак"/>
    <w:link w:val="a6"/>
    <w:uiPriority w:val="99"/>
    <w:rsid w:val="00383556"/>
    <w:rPr>
      <w:rFonts w:ascii="Times New Roman" w:hAnsi="Times New Roman"/>
      <w:sz w:val="24"/>
    </w:rPr>
  </w:style>
  <w:style w:type="paragraph" w:styleId="a8">
    <w:name w:val="footer"/>
    <w:basedOn w:val="a0"/>
    <w:link w:val="a9"/>
    <w:uiPriority w:val="99"/>
    <w:unhideWhenUsed/>
    <w:rsid w:val="00383556"/>
    <w:pPr>
      <w:tabs>
        <w:tab w:val="center" w:pos="4677"/>
        <w:tab w:val="right" w:pos="9355"/>
      </w:tabs>
      <w:spacing w:line="240" w:lineRule="auto"/>
    </w:pPr>
  </w:style>
  <w:style w:type="character" w:customStyle="1" w:styleId="a9">
    <w:name w:val="Нижний колонтитул Знак"/>
    <w:link w:val="a8"/>
    <w:uiPriority w:val="99"/>
    <w:rsid w:val="00383556"/>
    <w:rPr>
      <w:rFonts w:ascii="Times New Roman" w:hAnsi="Times New Roman"/>
      <w:sz w:val="24"/>
    </w:rPr>
  </w:style>
  <w:style w:type="character" w:styleId="aa">
    <w:name w:val="Strong"/>
    <w:uiPriority w:val="22"/>
    <w:qFormat/>
    <w:rsid w:val="00C512DE"/>
    <w:rPr>
      <w:b/>
      <w:bCs/>
    </w:rPr>
  </w:style>
  <w:style w:type="table" w:customStyle="1" w:styleId="-131">
    <w:name w:val="Список-таблица 1 светлая — акцент 31"/>
    <w:basedOn w:val="a2"/>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8F3621"/>
    <w:pPr>
      <w:widowControl w:val="0"/>
      <w:spacing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b">
    <w:name w:val="Содержимое врезки"/>
    <w:basedOn w:val="a0"/>
    <w:uiPriority w:val="99"/>
    <w:qFormat/>
    <w:rsid w:val="008F3621"/>
    <w:pPr>
      <w:jc w:val="left"/>
    </w:pPr>
  </w:style>
  <w:style w:type="table" w:styleId="ac">
    <w:name w:val="Table Grid"/>
    <w:basedOn w:val="a2"/>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примечания Знак"/>
    <w:uiPriority w:val="99"/>
    <w:semiHidden/>
    <w:qFormat/>
    <w:rsid w:val="008F3621"/>
    <w:rPr>
      <w:rFonts w:ascii="Times New Roman" w:hAnsi="Times New Roman"/>
      <w:sz w:val="20"/>
      <w:szCs w:val="20"/>
    </w:rPr>
  </w:style>
  <w:style w:type="paragraph" w:styleId="ae">
    <w:name w:val="No Spacing"/>
    <w:uiPriority w:val="1"/>
    <w:qFormat/>
    <w:rsid w:val="008F3621"/>
    <w:pPr>
      <w:jc w:val="both"/>
    </w:pPr>
    <w:rPr>
      <w:rFonts w:ascii="Times New Roman" w:hAnsi="Times New Roman"/>
      <w:sz w:val="24"/>
      <w:szCs w:val="22"/>
      <w:lang w:eastAsia="en-US"/>
    </w:rPr>
  </w:style>
  <w:style w:type="paragraph" w:styleId="af">
    <w:name w:val="TOC Heading"/>
    <w:basedOn w:val="1"/>
    <w:next w:val="a0"/>
    <w:uiPriority w:val="39"/>
    <w:unhideWhenUsed/>
    <w:qFormat/>
    <w:rsid w:val="008F3621"/>
    <w:pPr>
      <w:spacing w:after="0" w:line="259" w:lineRule="auto"/>
      <w:jc w:val="left"/>
      <w:outlineLvl w:val="9"/>
    </w:pPr>
    <w:rPr>
      <w:rFonts w:ascii="Calibri Light" w:hAnsi="Calibri Light"/>
      <w:b w:val="0"/>
      <w:color w:val="2F5496"/>
      <w:sz w:val="32"/>
      <w:lang w:eastAsia="ru-RU"/>
    </w:rPr>
  </w:style>
  <w:style w:type="paragraph" w:styleId="12">
    <w:name w:val="toc 1"/>
    <w:basedOn w:val="a0"/>
    <w:next w:val="a0"/>
    <w:autoRedefine/>
    <w:uiPriority w:val="39"/>
    <w:unhideWhenUsed/>
    <w:rsid w:val="008F3621"/>
    <w:pPr>
      <w:spacing w:after="100"/>
    </w:pPr>
  </w:style>
  <w:style w:type="paragraph" w:styleId="21">
    <w:name w:val="toc 2"/>
    <w:basedOn w:val="a0"/>
    <w:next w:val="a0"/>
    <w:autoRedefine/>
    <w:uiPriority w:val="39"/>
    <w:unhideWhenUsed/>
    <w:rsid w:val="008F3621"/>
    <w:pPr>
      <w:spacing w:after="100"/>
      <w:ind w:left="240"/>
    </w:pPr>
  </w:style>
  <w:style w:type="character" w:styleId="af0">
    <w:name w:val="Hyperlink"/>
    <w:uiPriority w:val="99"/>
    <w:unhideWhenUsed/>
    <w:rsid w:val="008F3621"/>
    <w:rPr>
      <w:color w:val="0563C1"/>
      <w:u w:val="single"/>
    </w:rPr>
  </w:style>
  <w:style w:type="character" w:styleId="af1">
    <w:name w:val="annotation reference"/>
    <w:uiPriority w:val="99"/>
    <w:semiHidden/>
    <w:unhideWhenUsed/>
    <w:qFormat/>
    <w:rsid w:val="00EF27D9"/>
    <w:rPr>
      <w:sz w:val="16"/>
      <w:szCs w:val="16"/>
    </w:rPr>
  </w:style>
  <w:style w:type="paragraph" w:styleId="af2">
    <w:name w:val="annotation text"/>
    <w:basedOn w:val="a0"/>
    <w:link w:val="13"/>
    <w:uiPriority w:val="99"/>
    <w:unhideWhenUsed/>
    <w:qFormat/>
    <w:rsid w:val="00EF27D9"/>
    <w:pPr>
      <w:spacing w:line="240" w:lineRule="auto"/>
    </w:pPr>
    <w:rPr>
      <w:sz w:val="20"/>
      <w:szCs w:val="20"/>
    </w:rPr>
  </w:style>
  <w:style w:type="character" w:customStyle="1" w:styleId="13">
    <w:name w:val="Текст примечания Знак1"/>
    <w:link w:val="af2"/>
    <w:uiPriority w:val="99"/>
    <w:rsid w:val="00367667"/>
    <w:rPr>
      <w:rFonts w:ascii="Times New Roman" w:hAnsi="Times New Roman"/>
      <w:lang w:eastAsia="en-US"/>
    </w:rPr>
  </w:style>
  <w:style w:type="paragraph" w:styleId="af3">
    <w:name w:val="annotation subject"/>
    <w:basedOn w:val="af2"/>
    <w:next w:val="af2"/>
    <w:link w:val="af4"/>
    <w:uiPriority w:val="99"/>
    <w:semiHidden/>
    <w:unhideWhenUsed/>
    <w:rsid w:val="00367667"/>
    <w:rPr>
      <w:b/>
      <w:bCs/>
    </w:rPr>
  </w:style>
  <w:style w:type="character" w:customStyle="1" w:styleId="af4">
    <w:name w:val="Тема примечания Знак"/>
    <w:link w:val="af3"/>
    <w:uiPriority w:val="99"/>
    <w:semiHidden/>
    <w:rsid w:val="00367667"/>
    <w:rPr>
      <w:rFonts w:ascii="Times New Roman" w:hAnsi="Times New Roman"/>
      <w:b/>
      <w:bCs/>
      <w:sz w:val="20"/>
      <w:szCs w:val="20"/>
    </w:rPr>
  </w:style>
  <w:style w:type="paragraph" w:styleId="af5">
    <w:name w:val="Balloon Text"/>
    <w:basedOn w:val="a0"/>
    <w:link w:val="af6"/>
    <w:uiPriority w:val="99"/>
    <w:semiHidden/>
    <w:unhideWhenUsed/>
    <w:rsid w:val="00367667"/>
    <w:pPr>
      <w:spacing w:line="240" w:lineRule="auto"/>
    </w:pPr>
    <w:rPr>
      <w:rFonts w:ascii="Segoe UI" w:hAnsi="Segoe UI" w:cs="Segoe UI"/>
      <w:sz w:val="18"/>
      <w:szCs w:val="18"/>
    </w:rPr>
  </w:style>
  <w:style w:type="character" w:customStyle="1" w:styleId="af6">
    <w:name w:val="Текст выноски Знак"/>
    <w:link w:val="af5"/>
    <w:uiPriority w:val="99"/>
    <w:semiHidden/>
    <w:rsid w:val="00367667"/>
    <w:rPr>
      <w:rFonts w:ascii="Segoe UI" w:hAnsi="Segoe UI" w:cs="Segoe UI"/>
      <w:sz w:val="18"/>
      <w:szCs w:val="18"/>
    </w:rPr>
  </w:style>
  <w:style w:type="character" w:customStyle="1" w:styleId="a5">
    <w:name w:val="Абзац списка Знак"/>
    <w:link w:val="a"/>
    <w:uiPriority w:val="34"/>
    <w:rsid w:val="00BE6A1C"/>
    <w:rPr>
      <w:rFonts w:ascii="Times New Roman" w:hAnsi="Times New Roman"/>
      <w:sz w:val="24"/>
      <w:szCs w:val="22"/>
      <w:lang w:eastAsia="en-US"/>
    </w:rPr>
  </w:style>
  <w:style w:type="character" w:customStyle="1" w:styleId="af7">
    <w:name w:val="Памятки Знак"/>
    <w:link w:val="af8"/>
    <w:uiPriority w:val="99"/>
    <w:locked/>
    <w:rsid w:val="00020931"/>
    <w:rPr>
      <w:i/>
      <w:iCs/>
      <w:color w:val="FF0000"/>
    </w:rPr>
  </w:style>
  <w:style w:type="paragraph" w:customStyle="1" w:styleId="af8">
    <w:name w:val="Памятки"/>
    <w:basedOn w:val="a0"/>
    <w:link w:val="af7"/>
    <w:uiPriority w:val="99"/>
    <w:qFormat/>
    <w:rsid w:val="00020931"/>
    <w:pPr>
      <w:ind w:firstLine="709"/>
    </w:pPr>
    <w:rPr>
      <w:rFonts w:ascii="Calibri" w:hAnsi="Calibri"/>
      <w:i/>
      <w:iCs/>
      <w:color w:val="FF0000"/>
      <w:sz w:val="22"/>
    </w:rPr>
  </w:style>
  <w:style w:type="paragraph" w:customStyle="1" w:styleId="14">
    <w:name w:val="Оглавление 1 Знак"/>
    <w:basedOn w:val="a0"/>
    <w:qFormat/>
    <w:rsid w:val="0025616A"/>
    <w:pPr>
      <w:widowControl w:val="0"/>
      <w:ind w:left="709" w:hanging="283"/>
    </w:pPr>
    <w:rPr>
      <w:rFonts w:eastAsia="Times New Roman"/>
      <w:szCs w:val="24"/>
      <w:lang w:eastAsia="ru-RU"/>
    </w:rPr>
  </w:style>
  <w:style w:type="paragraph" w:customStyle="1" w:styleId="af9">
    <w:name w:val="Наим. раздела"/>
    <w:basedOn w:val="a0"/>
    <w:link w:val="afa"/>
    <w:qFormat/>
    <w:rsid w:val="0025616A"/>
    <w:pPr>
      <w:keepNext/>
      <w:keepLines/>
      <w:spacing w:before="240"/>
      <w:contextualSpacing/>
      <w:jc w:val="center"/>
      <w:outlineLvl w:val="0"/>
    </w:pPr>
    <w:rPr>
      <w:rFonts w:eastAsia="Sans"/>
      <w:b/>
      <w:sz w:val="28"/>
    </w:rPr>
  </w:style>
  <w:style w:type="character" w:customStyle="1" w:styleId="afa">
    <w:name w:val="Наим. раздела Знак"/>
    <w:link w:val="af9"/>
    <w:rsid w:val="0025616A"/>
    <w:rPr>
      <w:rFonts w:ascii="Times New Roman" w:eastAsia="Sans" w:hAnsi="Times New Roman"/>
      <w:b/>
      <w:sz w:val="28"/>
    </w:rPr>
  </w:style>
  <w:style w:type="paragraph" w:customStyle="1" w:styleId="15">
    <w:name w:val="Название1"/>
    <w:aliases w:val="Заголовок мой"/>
    <w:basedOn w:val="a0"/>
    <w:next w:val="a0"/>
    <w:link w:val="afb"/>
    <w:qFormat/>
    <w:rsid w:val="00D226CD"/>
    <w:pPr>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15"/>
    <w:rsid w:val="00D226CD"/>
    <w:rPr>
      <w:rFonts w:ascii="Times New Roman" w:eastAsia="Times New Roman" w:hAnsi="Times New Roman" w:cs="Times New Roman"/>
      <w:spacing w:val="-10"/>
      <w:kern w:val="28"/>
      <w:sz w:val="28"/>
      <w:szCs w:val="56"/>
      <w:u w:val="single"/>
    </w:rPr>
  </w:style>
  <w:style w:type="character" w:customStyle="1" w:styleId="jrnl">
    <w:name w:val="jrnl"/>
    <w:basedOn w:val="a1"/>
    <w:rsid w:val="00553794"/>
  </w:style>
  <w:style w:type="character" w:customStyle="1" w:styleId="highlight1">
    <w:name w:val="highlight1"/>
    <w:basedOn w:val="a1"/>
    <w:rsid w:val="00127E46"/>
  </w:style>
  <w:style w:type="table" w:customStyle="1" w:styleId="16">
    <w:name w:val="Сетка таблицы1"/>
    <w:basedOn w:val="a2"/>
    <w:next w:val="ac"/>
    <w:uiPriority w:val="59"/>
    <w:rsid w:val="000A442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ent-citation">
    <w:name w:val="element-citation"/>
    <w:basedOn w:val="a1"/>
    <w:rsid w:val="00025CCB"/>
  </w:style>
  <w:style w:type="character" w:customStyle="1" w:styleId="ref-journal">
    <w:name w:val="ref-journal"/>
    <w:basedOn w:val="a1"/>
    <w:rsid w:val="00025CCB"/>
  </w:style>
  <w:style w:type="character" w:customStyle="1" w:styleId="ref-vol">
    <w:name w:val="ref-vol"/>
    <w:basedOn w:val="a1"/>
    <w:rsid w:val="00025CCB"/>
  </w:style>
  <w:style w:type="character" w:customStyle="1" w:styleId="nowrap">
    <w:name w:val="nowrap"/>
    <w:basedOn w:val="a1"/>
    <w:rsid w:val="00025CCB"/>
  </w:style>
  <w:style w:type="paragraph" w:styleId="afc">
    <w:name w:val="Revision"/>
    <w:hidden/>
    <w:uiPriority w:val="99"/>
    <w:semiHidden/>
    <w:rsid w:val="00D207E2"/>
    <w:rPr>
      <w:rFonts w:ascii="Times New Roman" w:hAnsi="Times New Roman"/>
      <w:sz w:val="24"/>
      <w:szCs w:val="22"/>
      <w:lang w:eastAsia="en-US"/>
    </w:rPr>
  </w:style>
  <w:style w:type="paragraph" w:styleId="afd">
    <w:name w:val="footnote text"/>
    <w:basedOn w:val="a0"/>
    <w:link w:val="afe"/>
    <w:uiPriority w:val="99"/>
    <w:qFormat/>
    <w:rsid w:val="00DE62FF"/>
    <w:pPr>
      <w:spacing w:line="240" w:lineRule="auto"/>
      <w:jc w:val="left"/>
    </w:pPr>
    <w:rPr>
      <w:rFonts w:ascii="Calibri" w:hAnsi="Calibri"/>
      <w:sz w:val="20"/>
      <w:szCs w:val="20"/>
    </w:rPr>
  </w:style>
  <w:style w:type="character" w:customStyle="1" w:styleId="afe">
    <w:name w:val="Текст сноски Знак"/>
    <w:link w:val="afd"/>
    <w:uiPriority w:val="99"/>
    <w:rsid w:val="00DE62FF"/>
    <w:rPr>
      <w:lang w:eastAsia="en-US"/>
    </w:rPr>
  </w:style>
  <w:style w:type="character" w:styleId="aff">
    <w:name w:val="footnote reference"/>
    <w:uiPriority w:val="99"/>
    <w:rsid w:val="00DE62FF"/>
    <w:rPr>
      <w:rFonts w:cs="Times New Roman"/>
      <w:vertAlign w:val="superscript"/>
    </w:rPr>
  </w:style>
  <w:style w:type="paragraph" w:styleId="aff0">
    <w:name w:val="Title"/>
    <w:basedOn w:val="a0"/>
    <w:next w:val="a0"/>
    <w:link w:val="17"/>
    <w:qFormat/>
    <w:rsid w:val="00D4168D"/>
    <w:pPr>
      <w:spacing w:before="240" w:after="60"/>
      <w:jc w:val="center"/>
      <w:outlineLvl w:val="0"/>
    </w:pPr>
    <w:rPr>
      <w:rFonts w:ascii="Calibri Light" w:eastAsia="Times New Roman" w:hAnsi="Calibri Light"/>
      <w:b/>
      <w:bCs/>
      <w:kern w:val="28"/>
      <w:sz w:val="32"/>
      <w:szCs w:val="32"/>
    </w:rPr>
  </w:style>
  <w:style w:type="character" w:customStyle="1" w:styleId="17">
    <w:name w:val="Название Знак1"/>
    <w:link w:val="aff0"/>
    <w:rsid w:val="00D4168D"/>
    <w:rPr>
      <w:rFonts w:ascii="Calibri Light" w:eastAsia="Times New Roman" w:hAnsi="Calibri Light" w:cs="Times New Roman"/>
      <w:b/>
      <w:bCs/>
      <w:kern w:val="28"/>
      <w:sz w:val="32"/>
      <w:szCs w:val="32"/>
      <w:lang w:eastAsia="en-US"/>
    </w:rPr>
  </w:style>
  <w:style w:type="character" w:customStyle="1" w:styleId="30">
    <w:name w:val="Заголовок 3 Знак"/>
    <w:link w:val="3"/>
    <w:uiPriority w:val="9"/>
    <w:rsid w:val="00371E34"/>
    <w:rPr>
      <w:rFonts w:ascii="Times New Roman" w:eastAsia="Times New Roman" w:hAnsi="Times New Roman"/>
      <w:b/>
      <w:sz w:val="24"/>
      <w:szCs w:val="24"/>
      <w:lang w:eastAsia="en-US"/>
    </w:rPr>
  </w:style>
  <w:style w:type="paragraph" w:customStyle="1" w:styleId="Default">
    <w:name w:val="Default"/>
    <w:rsid w:val="0030568B"/>
    <w:pPr>
      <w:autoSpaceDE w:val="0"/>
      <w:autoSpaceDN w:val="0"/>
      <w:adjustRightInd w:val="0"/>
    </w:pPr>
    <w:rPr>
      <w:rFonts w:ascii="Times New Roman" w:hAnsi="Times New Roman"/>
      <w:color w:val="000000"/>
      <w:sz w:val="24"/>
      <w:szCs w:val="24"/>
      <w:lang w:eastAsia="en-US"/>
    </w:rPr>
  </w:style>
  <w:style w:type="character" w:customStyle="1" w:styleId="aff1">
    <w:name w:val="Без интервала Знак"/>
    <w:uiPriority w:val="1"/>
    <w:rsid w:val="00953098"/>
    <w:rPr>
      <w:rFonts w:ascii="Times New Roman" w:hAnsi="Times New Roman" w:cs="Times New Roman"/>
      <w:sz w:val="24"/>
      <w:szCs w:val="24"/>
    </w:rPr>
  </w:style>
  <w:style w:type="character" w:customStyle="1" w:styleId="apple-converted-space">
    <w:name w:val="apple-converted-space"/>
    <w:basedOn w:val="a1"/>
    <w:rsid w:val="00953098"/>
  </w:style>
  <w:style w:type="paragraph" w:customStyle="1" w:styleId="aff2">
    <w:basedOn w:val="a0"/>
    <w:next w:val="aff3"/>
    <w:link w:val="aff4"/>
    <w:uiPriority w:val="99"/>
    <w:unhideWhenUsed/>
    <w:qFormat/>
    <w:rsid w:val="00953098"/>
    <w:pPr>
      <w:ind w:firstLine="709"/>
    </w:pPr>
    <w:rPr>
      <w:rFonts w:eastAsia="Times New Roman"/>
      <w:szCs w:val="24"/>
      <w:lang w:eastAsia="ru-RU"/>
    </w:rPr>
  </w:style>
  <w:style w:type="character" w:customStyle="1" w:styleId="aff4">
    <w:name w:val="Обычный (веб) Знак"/>
    <w:link w:val="aff2"/>
    <w:rsid w:val="00953098"/>
    <w:rPr>
      <w:rFonts w:ascii="Times New Roman" w:eastAsia="Times New Roman" w:hAnsi="Times New Roman"/>
      <w:sz w:val="24"/>
      <w:szCs w:val="24"/>
    </w:rPr>
  </w:style>
  <w:style w:type="paragraph" w:styleId="aff3">
    <w:name w:val="Normal (Web)"/>
    <w:basedOn w:val="a0"/>
    <w:uiPriority w:val="99"/>
    <w:semiHidden/>
    <w:unhideWhenUsed/>
    <w:qFormat/>
    <w:rsid w:val="00953098"/>
    <w:rPr>
      <w:szCs w:val="24"/>
    </w:rPr>
  </w:style>
  <w:style w:type="paragraph" w:customStyle="1" w:styleId="18">
    <w:name w:val="Заголовок оглавления1"/>
    <w:basedOn w:val="1"/>
    <w:rsid w:val="00FD2083"/>
    <w:pPr>
      <w:keepNext w:val="0"/>
      <w:keepLines w:val="0"/>
      <w:spacing w:before="240" w:after="120" w:line="276" w:lineRule="auto"/>
    </w:pPr>
    <w:rPr>
      <w:rFonts w:ascii="Times New Roman" w:hAnsi="Times New Roman" w:cs="Times New Roman"/>
      <w:color w:val="auto"/>
      <w:sz w:val="22"/>
      <w:szCs w:val="20"/>
    </w:rPr>
  </w:style>
  <w:style w:type="paragraph" w:customStyle="1" w:styleId="31">
    <w:name w:val="3"/>
    <w:basedOn w:val="a0"/>
    <w:link w:val="32"/>
    <w:qFormat/>
    <w:rsid w:val="00555233"/>
    <w:pPr>
      <w:ind w:left="142"/>
      <w:contextualSpacing/>
    </w:pPr>
  </w:style>
  <w:style w:type="character" w:customStyle="1" w:styleId="32">
    <w:name w:val="3 Знак"/>
    <w:basedOn w:val="a1"/>
    <w:link w:val="31"/>
    <w:rsid w:val="00555233"/>
    <w:rPr>
      <w:rFonts w:ascii="Times New Roman" w:hAnsi="Times New Roman"/>
      <w:sz w:val="24"/>
      <w:szCs w:val="22"/>
      <w:lang w:eastAsia="en-US"/>
    </w:rPr>
  </w:style>
  <w:style w:type="character" w:styleId="aff5">
    <w:name w:val="endnote reference"/>
    <w:basedOn w:val="a1"/>
    <w:uiPriority w:val="99"/>
    <w:semiHidden/>
    <w:unhideWhenUsed/>
    <w:rsid w:val="000536CB"/>
    <w:rPr>
      <w:vertAlign w:val="superscript"/>
    </w:rPr>
  </w:style>
  <w:style w:type="character" w:customStyle="1" w:styleId="19">
    <w:name w:val="Абзац списка Знак1"/>
    <w:basedOn w:val="a1"/>
    <w:uiPriority w:val="34"/>
    <w:rsid w:val="00ED5B4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F27D9"/>
    <w:pPr>
      <w:spacing w:line="360" w:lineRule="auto"/>
      <w:jc w:val="both"/>
    </w:pPr>
    <w:rPr>
      <w:rFonts w:ascii="Times New Roman" w:hAnsi="Times New Roman"/>
      <w:sz w:val="24"/>
      <w:szCs w:val="22"/>
      <w:lang w:eastAsia="en-US"/>
    </w:rPr>
  </w:style>
  <w:style w:type="paragraph" w:styleId="1">
    <w:name w:val="heading 1"/>
    <w:basedOn w:val="a0"/>
    <w:next w:val="a0"/>
    <w:link w:val="10"/>
    <w:uiPriority w:val="9"/>
    <w:qFormat/>
    <w:rsid w:val="00AA4B03"/>
    <w:pPr>
      <w:keepNext/>
      <w:keepLines/>
      <w:spacing w:before="360" w:after="240"/>
      <w:jc w:val="center"/>
      <w:outlineLvl w:val="0"/>
    </w:pPr>
    <w:rPr>
      <w:rFonts w:ascii="Times New Roman CYR" w:eastAsia="Times New Roman" w:hAnsi="Times New Roman CYR" w:cs="Times New Roman CYR"/>
      <w:b/>
      <w:color w:val="000000"/>
      <w:sz w:val="28"/>
      <w:szCs w:val="28"/>
    </w:rPr>
  </w:style>
  <w:style w:type="paragraph" w:styleId="2">
    <w:name w:val="heading 2"/>
    <w:basedOn w:val="a0"/>
    <w:next w:val="a0"/>
    <w:link w:val="20"/>
    <w:uiPriority w:val="9"/>
    <w:unhideWhenUsed/>
    <w:qFormat/>
    <w:rsid w:val="00BE6A1C"/>
    <w:pPr>
      <w:keepNext/>
      <w:keepLines/>
      <w:spacing w:before="240"/>
      <w:outlineLvl w:val="1"/>
    </w:pPr>
    <w:rPr>
      <w:rFonts w:eastAsia="Times New Roman"/>
      <w:b/>
      <w:szCs w:val="26"/>
      <w:u w:val="single"/>
    </w:rPr>
  </w:style>
  <w:style w:type="paragraph" w:styleId="3">
    <w:name w:val="heading 3"/>
    <w:basedOn w:val="a0"/>
    <w:next w:val="a0"/>
    <w:link w:val="30"/>
    <w:uiPriority w:val="9"/>
    <w:unhideWhenUsed/>
    <w:qFormat/>
    <w:rsid w:val="00371E34"/>
    <w:pPr>
      <w:keepNext/>
      <w:keepLines/>
      <w:spacing w:before="240"/>
      <w:jc w:val="left"/>
      <w:outlineLvl w:val="2"/>
    </w:pPr>
    <w:rPr>
      <w:rFonts w:eastAsia="Times New Roman"/>
      <w:b/>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A4B03"/>
    <w:rPr>
      <w:rFonts w:ascii="Times New Roman CYR" w:eastAsia="Times New Roman" w:hAnsi="Times New Roman CYR" w:cs="Times New Roman CYR"/>
      <w:b/>
      <w:color w:val="000000"/>
      <w:sz w:val="28"/>
      <w:szCs w:val="28"/>
      <w:lang w:eastAsia="en-US"/>
    </w:rPr>
  </w:style>
  <w:style w:type="character" w:customStyle="1" w:styleId="20">
    <w:name w:val="Заголовок 2 Знак"/>
    <w:link w:val="2"/>
    <w:uiPriority w:val="9"/>
    <w:rsid w:val="00BE6A1C"/>
    <w:rPr>
      <w:rFonts w:ascii="Times New Roman" w:eastAsia="Times New Roman" w:hAnsi="Times New Roman"/>
      <w:b/>
      <w:sz w:val="24"/>
      <w:szCs w:val="26"/>
      <w:u w:val="single"/>
      <w:lang w:eastAsia="en-US"/>
    </w:rPr>
  </w:style>
  <w:style w:type="paragraph" w:customStyle="1" w:styleId="11">
    <w:name w:val="Обычный (веб)1"/>
    <w:basedOn w:val="a0"/>
    <w:uiPriority w:val="99"/>
    <w:unhideWhenUsed/>
    <w:qFormat/>
    <w:rsid w:val="00B11FF3"/>
    <w:pPr>
      <w:spacing w:beforeAutospacing="1" w:afterAutospacing="1" w:line="288" w:lineRule="auto"/>
      <w:jc w:val="left"/>
    </w:pPr>
    <w:rPr>
      <w:rFonts w:eastAsia="Times New Roman"/>
      <w:szCs w:val="24"/>
      <w:lang w:eastAsia="ru-RU"/>
    </w:rPr>
  </w:style>
  <w:style w:type="character" w:styleId="a4">
    <w:name w:val="Emphasis"/>
    <w:uiPriority w:val="20"/>
    <w:qFormat/>
    <w:rsid w:val="00B11FF3"/>
    <w:rPr>
      <w:i/>
      <w:iCs/>
    </w:rPr>
  </w:style>
  <w:style w:type="paragraph" w:styleId="a">
    <w:name w:val="List Paragraph"/>
    <w:basedOn w:val="a0"/>
    <w:link w:val="a5"/>
    <w:uiPriority w:val="34"/>
    <w:qFormat/>
    <w:rsid w:val="00BE6A1C"/>
    <w:pPr>
      <w:numPr>
        <w:numId w:val="1"/>
      </w:numPr>
      <w:spacing w:before="240"/>
      <w:ind w:left="0" w:hanging="284"/>
    </w:pPr>
  </w:style>
  <w:style w:type="paragraph" w:styleId="a6">
    <w:name w:val="header"/>
    <w:basedOn w:val="a0"/>
    <w:link w:val="a7"/>
    <w:uiPriority w:val="99"/>
    <w:unhideWhenUsed/>
    <w:rsid w:val="00383556"/>
    <w:pPr>
      <w:tabs>
        <w:tab w:val="center" w:pos="4677"/>
        <w:tab w:val="right" w:pos="9355"/>
      </w:tabs>
      <w:spacing w:line="240" w:lineRule="auto"/>
    </w:pPr>
  </w:style>
  <w:style w:type="character" w:customStyle="1" w:styleId="a7">
    <w:name w:val="Верхний колонтитул Знак"/>
    <w:link w:val="a6"/>
    <w:uiPriority w:val="99"/>
    <w:rsid w:val="00383556"/>
    <w:rPr>
      <w:rFonts w:ascii="Times New Roman" w:hAnsi="Times New Roman"/>
      <w:sz w:val="24"/>
    </w:rPr>
  </w:style>
  <w:style w:type="paragraph" w:styleId="a8">
    <w:name w:val="footer"/>
    <w:basedOn w:val="a0"/>
    <w:link w:val="a9"/>
    <w:uiPriority w:val="99"/>
    <w:unhideWhenUsed/>
    <w:rsid w:val="00383556"/>
    <w:pPr>
      <w:tabs>
        <w:tab w:val="center" w:pos="4677"/>
        <w:tab w:val="right" w:pos="9355"/>
      </w:tabs>
      <w:spacing w:line="240" w:lineRule="auto"/>
    </w:pPr>
  </w:style>
  <w:style w:type="character" w:customStyle="1" w:styleId="a9">
    <w:name w:val="Нижний колонтитул Знак"/>
    <w:link w:val="a8"/>
    <w:uiPriority w:val="99"/>
    <w:rsid w:val="00383556"/>
    <w:rPr>
      <w:rFonts w:ascii="Times New Roman" w:hAnsi="Times New Roman"/>
      <w:sz w:val="24"/>
    </w:rPr>
  </w:style>
  <w:style w:type="character" w:styleId="aa">
    <w:name w:val="Strong"/>
    <w:uiPriority w:val="22"/>
    <w:qFormat/>
    <w:rsid w:val="00C512DE"/>
    <w:rPr>
      <w:b/>
      <w:bCs/>
    </w:rPr>
  </w:style>
  <w:style w:type="table" w:customStyle="1" w:styleId="-131">
    <w:name w:val="Список-таблица 1 светлая — акцент 31"/>
    <w:basedOn w:val="a2"/>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8F3621"/>
    <w:pPr>
      <w:widowControl w:val="0"/>
      <w:spacing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b">
    <w:name w:val="Содержимое врезки"/>
    <w:basedOn w:val="a0"/>
    <w:uiPriority w:val="99"/>
    <w:qFormat/>
    <w:rsid w:val="008F3621"/>
    <w:pPr>
      <w:jc w:val="left"/>
    </w:pPr>
  </w:style>
  <w:style w:type="table" w:styleId="ac">
    <w:name w:val="Table Grid"/>
    <w:basedOn w:val="a2"/>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примечания Знак"/>
    <w:uiPriority w:val="99"/>
    <w:semiHidden/>
    <w:qFormat/>
    <w:rsid w:val="008F3621"/>
    <w:rPr>
      <w:rFonts w:ascii="Times New Roman" w:hAnsi="Times New Roman"/>
      <w:sz w:val="20"/>
      <w:szCs w:val="20"/>
    </w:rPr>
  </w:style>
  <w:style w:type="paragraph" w:styleId="ae">
    <w:name w:val="No Spacing"/>
    <w:uiPriority w:val="1"/>
    <w:qFormat/>
    <w:rsid w:val="008F3621"/>
    <w:pPr>
      <w:jc w:val="both"/>
    </w:pPr>
    <w:rPr>
      <w:rFonts w:ascii="Times New Roman" w:hAnsi="Times New Roman"/>
      <w:sz w:val="24"/>
      <w:szCs w:val="22"/>
      <w:lang w:eastAsia="en-US"/>
    </w:rPr>
  </w:style>
  <w:style w:type="paragraph" w:styleId="af">
    <w:name w:val="TOC Heading"/>
    <w:basedOn w:val="1"/>
    <w:next w:val="a0"/>
    <w:uiPriority w:val="39"/>
    <w:unhideWhenUsed/>
    <w:qFormat/>
    <w:rsid w:val="008F3621"/>
    <w:pPr>
      <w:spacing w:after="0" w:line="259" w:lineRule="auto"/>
      <w:jc w:val="left"/>
      <w:outlineLvl w:val="9"/>
    </w:pPr>
    <w:rPr>
      <w:rFonts w:ascii="Calibri Light" w:hAnsi="Calibri Light"/>
      <w:b w:val="0"/>
      <w:color w:val="2F5496"/>
      <w:sz w:val="32"/>
      <w:lang w:eastAsia="ru-RU"/>
    </w:rPr>
  </w:style>
  <w:style w:type="paragraph" w:styleId="12">
    <w:name w:val="toc 1"/>
    <w:basedOn w:val="a0"/>
    <w:next w:val="a0"/>
    <w:autoRedefine/>
    <w:uiPriority w:val="39"/>
    <w:unhideWhenUsed/>
    <w:rsid w:val="008F3621"/>
    <w:pPr>
      <w:spacing w:after="100"/>
    </w:pPr>
  </w:style>
  <w:style w:type="paragraph" w:styleId="21">
    <w:name w:val="toc 2"/>
    <w:basedOn w:val="a0"/>
    <w:next w:val="a0"/>
    <w:autoRedefine/>
    <w:uiPriority w:val="39"/>
    <w:unhideWhenUsed/>
    <w:rsid w:val="008F3621"/>
    <w:pPr>
      <w:spacing w:after="100"/>
      <w:ind w:left="240"/>
    </w:pPr>
  </w:style>
  <w:style w:type="character" w:styleId="af0">
    <w:name w:val="Hyperlink"/>
    <w:uiPriority w:val="99"/>
    <w:unhideWhenUsed/>
    <w:rsid w:val="008F3621"/>
    <w:rPr>
      <w:color w:val="0563C1"/>
      <w:u w:val="single"/>
    </w:rPr>
  </w:style>
  <w:style w:type="character" w:styleId="af1">
    <w:name w:val="annotation reference"/>
    <w:uiPriority w:val="99"/>
    <w:semiHidden/>
    <w:unhideWhenUsed/>
    <w:qFormat/>
    <w:rsid w:val="00EF27D9"/>
    <w:rPr>
      <w:sz w:val="16"/>
      <w:szCs w:val="16"/>
    </w:rPr>
  </w:style>
  <w:style w:type="paragraph" w:styleId="af2">
    <w:name w:val="annotation text"/>
    <w:basedOn w:val="a0"/>
    <w:link w:val="13"/>
    <w:uiPriority w:val="99"/>
    <w:unhideWhenUsed/>
    <w:qFormat/>
    <w:rsid w:val="00EF27D9"/>
    <w:pPr>
      <w:spacing w:line="240" w:lineRule="auto"/>
    </w:pPr>
    <w:rPr>
      <w:sz w:val="20"/>
      <w:szCs w:val="20"/>
    </w:rPr>
  </w:style>
  <w:style w:type="character" w:customStyle="1" w:styleId="13">
    <w:name w:val="Текст примечания Знак1"/>
    <w:link w:val="af2"/>
    <w:uiPriority w:val="99"/>
    <w:rsid w:val="00367667"/>
    <w:rPr>
      <w:rFonts w:ascii="Times New Roman" w:hAnsi="Times New Roman"/>
      <w:lang w:eastAsia="en-US"/>
    </w:rPr>
  </w:style>
  <w:style w:type="paragraph" w:styleId="af3">
    <w:name w:val="annotation subject"/>
    <w:basedOn w:val="af2"/>
    <w:next w:val="af2"/>
    <w:link w:val="af4"/>
    <w:uiPriority w:val="99"/>
    <w:semiHidden/>
    <w:unhideWhenUsed/>
    <w:rsid w:val="00367667"/>
    <w:rPr>
      <w:b/>
      <w:bCs/>
    </w:rPr>
  </w:style>
  <w:style w:type="character" w:customStyle="1" w:styleId="af4">
    <w:name w:val="Тема примечания Знак"/>
    <w:link w:val="af3"/>
    <w:uiPriority w:val="99"/>
    <w:semiHidden/>
    <w:rsid w:val="00367667"/>
    <w:rPr>
      <w:rFonts w:ascii="Times New Roman" w:hAnsi="Times New Roman"/>
      <w:b/>
      <w:bCs/>
      <w:sz w:val="20"/>
      <w:szCs w:val="20"/>
    </w:rPr>
  </w:style>
  <w:style w:type="paragraph" w:styleId="af5">
    <w:name w:val="Balloon Text"/>
    <w:basedOn w:val="a0"/>
    <w:link w:val="af6"/>
    <w:uiPriority w:val="99"/>
    <w:semiHidden/>
    <w:unhideWhenUsed/>
    <w:rsid w:val="00367667"/>
    <w:pPr>
      <w:spacing w:line="240" w:lineRule="auto"/>
    </w:pPr>
    <w:rPr>
      <w:rFonts w:ascii="Segoe UI" w:hAnsi="Segoe UI" w:cs="Segoe UI"/>
      <w:sz w:val="18"/>
      <w:szCs w:val="18"/>
    </w:rPr>
  </w:style>
  <w:style w:type="character" w:customStyle="1" w:styleId="af6">
    <w:name w:val="Текст выноски Знак"/>
    <w:link w:val="af5"/>
    <w:uiPriority w:val="99"/>
    <w:semiHidden/>
    <w:rsid w:val="00367667"/>
    <w:rPr>
      <w:rFonts w:ascii="Segoe UI" w:hAnsi="Segoe UI" w:cs="Segoe UI"/>
      <w:sz w:val="18"/>
      <w:szCs w:val="18"/>
    </w:rPr>
  </w:style>
  <w:style w:type="character" w:customStyle="1" w:styleId="a5">
    <w:name w:val="Абзац списка Знак"/>
    <w:link w:val="a"/>
    <w:uiPriority w:val="34"/>
    <w:rsid w:val="00BE6A1C"/>
    <w:rPr>
      <w:rFonts w:ascii="Times New Roman" w:hAnsi="Times New Roman"/>
      <w:sz w:val="24"/>
      <w:szCs w:val="22"/>
      <w:lang w:eastAsia="en-US"/>
    </w:rPr>
  </w:style>
  <w:style w:type="character" w:customStyle="1" w:styleId="af7">
    <w:name w:val="Памятки Знак"/>
    <w:link w:val="af8"/>
    <w:uiPriority w:val="99"/>
    <w:locked/>
    <w:rsid w:val="00020931"/>
    <w:rPr>
      <w:i/>
      <w:iCs/>
      <w:color w:val="FF0000"/>
    </w:rPr>
  </w:style>
  <w:style w:type="paragraph" w:customStyle="1" w:styleId="af8">
    <w:name w:val="Памятки"/>
    <w:basedOn w:val="a0"/>
    <w:link w:val="af7"/>
    <w:uiPriority w:val="99"/>
    <w:qFormat/>
    <w:rsid w:val="00020931"/>
    <w:pPr>
      <w:ind w:firstLine="709"/>
    </w:pPr>
    <w:rPr>
      <w:rFonts w:ascii="Calibri" w:hAnsi="Calibri"/>
      <w:i/>
      <w:iCs/>
      <w:color w:val="FF0000"/>
      <w:sz w:val="22"/>
    </w:rPr>
  </w:style>
  <w:style w:type="paragraph" w:customStyle="1" w:styleId="14">
    <w:name w:val="Оглавление 1 Знак"/>
    <w:basedOn w:val="a0"/>
    <w:qFormat/>
    <w:rsid w:val="0025616A"/>
    <w:pPr>
      <w:widowControl w:val="0"/>
      <w:ind w:left="709" w:hanging="283"/>
    </w:pPr>
    <w:rPr>
      <w:rFonts w:eastAsia="Times New Roman"/>
      <w:szCs w:val="24"/>
      <w:lang w:eastAsia="ru-RU"/>
    </w:rPr>
  </w:style>
  <w:style w:type="paragraph" w:customStyle="1" w:styleId="af9">
    <w:name w:val="Наим. раздела"/>
    <w:basedOn w:val="a0"/>
    <w:link w:val="afa"/>
    <w:qFormat/>
    <w:rsid w:val="0025616A"/>
    <w:pPr>
      <w:keepNext/>
      <w:keepLines/>
      <w:spacing w:before="240"/>
      <w:contextualSpacing/>
      <w:jc w:val="center"/>
      <w:outlineLvl w:val="0"/>
    </w:pPr>
    <w:rPr>
      <w:rFonts w:eastAsia="Sans"/>
      <w:b/>
      <w:sz w:val="28"/>
    </w:rPr>
  </w:style>
  <w:style w:type="character" w:customStyle="1" w:styleId="afa">
    <w:name w:val="Наим. раздела Знак"/>
    <w:link w:val="af9"/>
    <w:rsid w:val="0025616A"/>
    <w:rPr>
      <w:rFonts w:ascii="Times New Roman" w:eastAsia="Sans" w:hAnsi="Times New Roman"/>
      <w:b/>
      <w:sz w:val="28"/>
    </w:rPr>
  </w:style>
  <w:style w:type="paragraph" w:customStyle="1" w:styleId="15">
    <w:name w:val="Название1"/>
    <w:aliases w:val="Заголовок мой"/>
    <w:basedOn w:val="a0"/>
    <w:next w:val="a0"/>
    <w:link w:val="afb"/>
    <w:qFormat/>
    <w:rsid w:val="00D226CD"/>
    <w:pPr>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15"/>
    <w:rsid w:val="00D226CD"/>
    <w:rPr>
      <w:rFonts w:ascii="Times New Roman" w:eastAsia="Times New Roman" w:hAnsi="Times New Roman" w:cs="Times New Roman"/>
      <w:spacing w:val="-10"/>
      <w:kern w:val="28"/>
      <w:sz w:val="28"/>
      <w:szCs w:val="56"/>
      <w:u w:val="single"/>
    </w:rPr>
  </w:style>
  <w:style w:type="character" w:customStyle="1" w:styleId="jrnl">
    <w:name w:val="jrnl"/>
    <w:basedOn w:val="a1"/>
    <w:rsid w:val="00553794"/>
  </w:style>
  <w:style w:type="character" w:customStyle="1" w:styleId="highlight1">
    <w:name w:val="highlight1"/>
    <w:basedOn w:val="a1"/>
    <w:rsid w:val="00127E46"/>
  </w:style>
  <w:style w:type="table" w:customStyle="1" w:styleId="16">
    <w:name w:val="Сетка таблицы1"/>
    <w:basedOn w:val="a2"/>
    <w:next w:val="ac"/>
    <w:uiPriority w:val="59"/>
    <w:rsid w:val="000A442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ent-citation">
    <w:name w:val="element-citation"/>
    <w:basedOn w:val="a1"/>
    <w:rsid w:val="00025CCB"/>
  </w:style>
  <w:style w:type="character" w:customStyle="1" w:styleId="ref-journal">
    <w:name w:val="ref-journal"/>
    <w:basedOn w:val="a1"/>
    <w:rsid w:val="00025CCB"/>
  </w:style>
  <w:style w:type="character" w:customStyle="1" w:styleId="ref-vol">
    <w:name w:val="ref-vol"/>
    <w:basedOn w:val="a1"/>
    <w:rsid w:val="00025CCB"/>
  </w:style>
  <w:style w:type="character" w:customStyle="1" w:styleId="nowrap">
    <w:name w:val="nowrap"/>
    <w:basedOn w:val="a1"/>
    <w:rsid w:val="00025CCB"/>
  </w:style>
  <w:style w:type="paragraph" w:styleId="afc">
    <w:name w:val="Revision"/>
    <w:hidden/>
    <w:uiPriority w:val="99"/>
    <w:semiHidden/>
    <w:rsid w:val="00D207E2"/>
    <w:rPr>
      <w:rFonts w:ascii="Times New Roman" w:hAnsi="Times New Roman"/>
      <w:sz w:val="24"/>
      <w:szCs w:val="22"/>
      <w:lang w:eastAsia="en-US"/>
    </w:rPr>
  </w:style>
  <w:style w:type="paragraph" w:styleId="afd">
    <w:name w:val="footnote text"/>
    <w:basedOn w:val="a0"/>
    <w:link w:val="afe"/>
    <w:uiPriority w:val="99"/>
    <w:qFormat/>
    <w:rsid w:val="00DE62FF"/>
    <w:pPr>
      <w:spacing w:line="240" w:lineRule="auto"/>
      <w:jc w:val="left"/>
    </w:pPr>
    <w:rPr>
      <w:rFonts w:ascii="Calibri" w:hAnsi="Calibri"/>
      <w:sz w:val="20"/>
      <w:szCs w:val="20"/>
    </w:rPr>
  </w:style>
  <w:style w:type="character" w:customStyle="1" w:styleId="afe">
    <w:name w:val="Текст сноски Знак"/>
    <w:link w:val="afd"/>
    <w:uiPriority w:val="99"/>
    <w:rsid w:val="00DE62FF"/>
    <w:rPr>
      <w:lang w:eastAsia="en-US"/>
    </w:rPr>
  </w:style>
  <w:style w:type="character" w:styleId="aff">
    <w:name w:val="footnote reference"/>
    <w:uiPriority w:val="99"/>
    <w:rsid w:val="00DE62FF"/>
    <w:rPr>
      <w:rFonts w:cs="Times New Roman"/>
      <w:vertAlign w:val="superscript"/>
    </w:rPr>
  </w:style>
  <w:style w:type="paragraph" w:styleId="aff0">
    <w:name w:val="Title"/>
    <w:basedOn w:val="a0"/>
    <w:next w:val="a0"/>
    <w:link w:val="17"/>
    <w:qFormat/>
    <w:rsid w:val="00D4168D"/>
    <w:pPr>
      <w:spacing w:before="240" w:after="60"/>
      <w:jc w:val="center"/>
      <w:outlineLvl w:val="0"/>
    </w:pPr>
    <w:rPr>
      <w:rFonts w:ascii="Calibri Light" w:eastAsia="Times New Roman" w:hAnsi="Calibri Light"/>
      <w:b/>
      <w:bCs/>
      <w:kern w:val="28"/>
      <w:sz w:val="32"/>
      <w:szCs w:val="32"/>
    </w:rPr>
  </w:style>
  <w:style w:type="character" w:customStyle="1" w:styleId="17">
    <w:name w:val="Название Знак1"/>
    <w:link w:val="aff0"/>
    <w:rsid w:val="00D4168D"/>
    <w:rPr>
      <w:rFonts w:ascii="Calibri Light" w:eastAsia="Times New Roman" w:hAnsi="Calibri Light" w:cs="Times New Roman"/>
      <w:b/>
      <w:bCs/>
      <w:kern w:val="28"/>
      <w:sz w:val="32"/>
      <w:szCs w:val="32"/>
      <w:lang w:eastAsia="en-US"/>
    </w:rPr>
  </w:style>
  <w:style w:type="character" w:customStyle="1" w:styleId="30">
    <w:name w:val="Заголовок 3 Знак"/>
    <w:link w:val="3"/>
    <w:uiPriority w:val="9"/>
    <w:rsid w:val="00371E34"/>
    <w:rPr>
      <w:rFonts w:ascii="Times New Roman" w:eastAsia="Times New Roman" w:hAnsi="Times New Roman"/>
      <w:b/>
      <w:sz w:val="24"/>
      <w:szCs w:val="24"/>
      <w:lang w:eastAsia="en-US"/>
    </w:rPr>
  </w:style>
  <w:style w:type="paragraph" w:customStyle="1" w:styleId="Default">
    <w:name w:val="Default"/>
    <w:rsid w:val="0030568B"/>
    <w:pPr>
      <w:autoSpaceDE w:val="0"/>
      <w:autoSpaceDN w:val="0"/>
      <w:adjustRightInd w:val="0"/>
    </w:pPr>
    <w:rPr>
      <w:rFonts w:ascii="Times New Roman" w:hAnsi="Times New Roman"/>
      <w:color w:val="000000"/>
      <w:sz w:val="24"/>
      <w:szCs w:val="24"/>
      <w:lang w:eastAsia="en-US"/>
    </w:rPr>
  </w:style>
  <w:style w:type="character" w:customStyle="1" w:styleId="aff1">
    <w:name w:val="Без интервала Знак"/>
    <w:uiPriority w:val="1"/>
    <w:rsid w:val="00953098"/>
    <w:rPr>
      <w:rFonts w:ascii="Times New Roman" w:hAnsi="Times New Roman" w:cs="Times New Roman"/>
      <w:sz w:val="24"/>
      <w:szCs w:val="24"/>
    </w:rPr>
  </w:style>
  <w:style w:type="character" w:customStyle="1" w:styleId="apple-converted-space">
    <w:name w:val="apple-converted-space"/>
    <w:basedOn w:val="a1"/>
    <w:rsid w:val="00953098"/>
  </w:style>
  <w:style w:type="paragraph" w:customStyle="1" w:styleId="aff2">
    <w:basedOn w:val="a0"/>
    <w:next w:val="aff3"/>
    <w:link w:val="aff4"/>
    <w:uiPriority w:val="99"/>
    <w:unhideWhenUsed/>
    <w:qFormat/>
    <w:rsid w:val="00953098"/>
    <w:pPr>
      <w:ind w:firstLine="709"/>
    </w:pPr>
    <w:rPr>
      <w:rFonts w:eastAsia="Times New Roman"/>
      <w:szCs w:val="24"/>
      <w:lang w:eastAsia="ru-RU"/>
    </w:rPr>
  </w:style>
  <w:style w:type="character" w:customStyle="1" w:styleId="aff4">
    <w:name w:val="Обычный (веб) Знак"/>
    <w:link w:val="aff2"/>
    <w:rsid w:val="00953098"/>
    <w:rPr>
      <w:rFonts w:ascii="Times New Roman" w:eastAsia="Times New Roman" w:hAnsi="Times New Roman"/>
      <w:sz w:val="24"/>
      <w:szCs w:val="24"/>
    </w:rPr>
  </w:style>
  <w:style w:type="paragraph" w:styleId="aff3">
    <w:name w:val="Normal (Web)"/>
    <w:basedOn w:val="a0"/>
    <w:uiPriority w:val="99"/>
    <w:semiHidden/>
    <w:unhideWhenUsed/>
    <w:qFormat/>
    <w:rsid w:val="00953098"/>
    <w:rPr>
      <w:szCs w:val="24"/>
    </w:rPr>
  </w:style>
  <w:style w:type="paragraph" w:customStyle="1" w:styleId="18">
    <w:name w:val="Заголовок оглавления1"/>
    <w:basedOn w:val="1"/>
    <w:rsid w:val="00FD2083"/>
    <w:pPr>
      <w:keepNext w:val="0"/>
      <w:keepLines w:val="0"/>
      <w:spacing w:before="240" w:after="120" w:line="276" w:lineRule="auto"/>
    </w:pPr>
    <w:rPr>
      <w:rFonts w:ascii="Times New Roman" w:hAnsi="Times New Roman" w:cs="Times New Roman"/>
      <w:color w:val="auto"/>
      <w:sz w:val="22"/>
      <w:szCs w:val="20"/>
    </w:rPr>
  </w:style>
  <w:style w:type="paragraph" w:customStyle="1" w:styleId="31">
    <w:name w:val="3"/>
    <w:basedOn w:val="a0"/>
    <w:link w:val="32"/>
    <w:qFormat/>
    <w:rsid w:val="00555233"/>
    <w:pPr>
      <w:ind w:left="142"/>
      <w:contextualSpacing/>
    </w:pPr>
  </w:style>
  <w:style w:type="character" w:customStyle="1" w:styleId="32">
    <w:name w:val="3 Знак"/>
    <w:basedOn w:val="a1"/>
    <w:link w:val="31"/>
    <w:rsid w:val="00555233"/>
    <w:rPr>
      <w:rFonts w:ascii="Times New Roman" w:hAnsi="Times New Roman"/>
      <w:sz w:val="24"/>
      <w:szCs w:val="22"/>
      <w:lang w:eastAsia="en-US"/>
    </w:rPr>
  </w:style>
  <w:style w:type="character" w:styleId="aff5">
    <w:name w:val="endnote reference"/>
    <w:basedOn w:val="a1"/>
    <w:uiPriority w:val="99"/>
    <w:semiHidden/>
    <w:unhideWhenUsed/>
    <w:rsid w:val="000536CB"/>
    <w:rPr>
      <w:vertAlign w:val="superscript"/>
    </w:rPr>
  </w:style>
  <w:style w:type="character" w:customStyle="1" w:styleId="19">
    <w:name w:val="Абзац списка Знак1"/>
    <w:basedOn w:val="a1"/>
    <w:uiPriority w:val="34"/>
    <w:rsid w:val="00ED5B4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369">
      <w:bodyDiv w:val="1"/>
      <w:marLeft w:val="0"/>
      <w:marRight w:val="0"/>
      <w:marTop w:val="0"/>
      <w:marBottom w:val="0"/>
      <w:divBdr>
        <w:top w:val="none" w:sz="0" w:space="0" w:color="auto"/>
        <w:left w:val="none" w:sz="0" w:space="0" w:color="auto"/>
        <w:bottom w:val="none" w:sz="0" w:space="0" w:color="auto"/>
        <w:right w:val="none" w:sz="0" w:space="0" w:color="auto"/>
      </w:divBdr>
    </w:div>
    <w:div w:id="84347295">
      <w:bodyDiv w:val="1"/>
      <w:marLeft w:val="0"/>
      <w:marRight w:val="0"/>
      <w:marTop w:val="0"/>
      <w:marBottom w:val="0"/>
      <w:divBdr>
        <w:top w:val="none" w:sz="0" w:space="0" w:color="auto"/>
        <w:left w:val="none" w:sz="0" w:space="0" w:color="auto"/>
        <w:bottom w:val="none" w:sz="0" w:space="0" w:color="auto"/>
        <w:right w:val="none" w:sz="0" w:space="0" w:color="auto"/>
      </w:divBdr>
    </w:div>
    <w:div w:id="164243731">
      <w:bodyDiv w:val="1"/>
      <w:marLeft w:val="0"/>
      <w:marRight w:val="0"/>
      <w:marTop w:val="0"/>
      <w:marBottom w:val="0"/>
      <w:divBdr>
        <w:top w:val="none" w:sz="0" w:space="0" w:color="auto"/>
        <w:left w:val="none" w:sz="0" w:space="0" w:color="auto"/>
        <w:bottom w:val="none" w:sz="0" w:space="0" w:color="auto"/>
        <w:right w:val="none" w:sz="0" w:space="0" w:color="auto"/>
      </w:divBdr>
    </w:div>
    <w:div w:id="347874348">
      <w:bodyDiv w:val="1"/>
      <w:marLeft w:val="0"/>
      <w:marRight w:val="0"/>
      <w:marTop w:val="0"/>
      <w:marBottom w:val="0"/>
      <w:divBdr>
        <w:top w:val="none" w:sz="0" w:space="0" w:color="auto"/>
        <w:left w:val="none" w:sz="0" w:space="0" w:color="auto"/>
        <w:bottom w:val="none" w:sz="0" w:space="0" w:color="auto"/>
        <w:right w:val="none" w:sz="0" w:space="0" w:color="auto"/>
      </w:divBdr>
    </w:div>
    <w:div w:id="644972396">
      <w:bodyDiv w:val="1"/>
      <w:marLeft w:val="0"/>
      <w:marRight w:val="0"/>
      <w:marTop w:val="0"/>
      <w:marBottom w:val="0"/>
      <w:divBdr>
        <w:top w:val="none" w:sz="0" w:space="0" w:color="auto"/>
        <w:left w:val="none" w:sz="0" w:space="0" w:color="auto"/>
        <w:bottom w:val="none" w:sz="0" w:space="0" w:color="auto"/>
        <w:right w:val="none" w:sz="0" w:space="0" w:color="auto"/>
      </w:divBdr>
    </w:div>
    <w:div w:id="729423566">
      <w:bodyDiv w:val="1"/>
      <w:marLeft w:val="0"/>
      <w:marRight w:val="0"/>
      <w:marTop w:val="0"/>
      <w:marBottom w:val="0"/>
      <w:divBdr>
        <w:top w:val="none" w:sz="0" w:space="0" w:color="auto"/>
        <w:left w:val="none" w:sz="0" w:space="0" w:color="auto"/>
        <w:bottom w:val="none" w:sz="0" w:space="0" w:color="auto"/>
        <w:right w:val="none" w:sz="0" w:space="0" w:color="auto"/>
      </w:divBdr>
    </w:div>
    <w:div w:id="1241057316">
      <w:bodyDiv w:val="1"/>
      <w:marLeft w:val="0"/>
      <w:marRight w:val="0"/>
      <w:marTop w:val="0"/>
      <w:marBottom w:val="0"/>
      <w:divBdr>
        <w:top w:val="none" w:sz="0" w:space="0" w:color="auto"/>
        <w:left w:val="none" w:sz="0" w:space="0" w:color="auto"/>
        <w:bottom w:val="none" w:sz="0" w:space="0" w:color="auto"/>
        <w:right w:val="none" w:sz="0" w:space="0" w:color="auto"/>
      </w:divBdr>
    </w:div>
    <w:div w:id="2021660190">
      <w:bodyDiv w:val="1"/>
      <w:marLeft w:val="0"/>
      <w:marRight w:val="0"/>
      <w:marTop w:val="0"/>
      <w:marBottom w:val="0"/>
      <w:divBdr>
        <w:top w:val="none" w:sz="0" w:space="0" w:color="auto"/>
        <w:left w:val="none" w:sz="0" w:space="0" w:color="auto"/>
        <w:bottom w:val="none" w:sz="0" w:space="0" w:color="auto"/>
        <w:right w:val="none" w:sz="0" w:space="0" w:color="auto"/>
      </w:divBdr>
    </w:div>
    <w:div w:id="2097676779">
      <w:bodyDiv w:val="1"/>
      <w:marLeft w:val="0"/>
      <w:marRight w:val="0"/>
      <w:marTop w:val="0"/>
      <w:marBottom w:val="0"/>
      <w:divBdr>
        <w:top w:val="none" w:sz="0" w:space="0" w:color="auto"/>
        <w:left w:val="none" w:sz="0" w:space="0" w:color="auto"/>
        <w:bottom w:val="none" w:sz="0" w:space="0" w:color="auto"/>
        <w:right w:val="none" w:sz="0" w:space="0" w:color="auto"/>
      </w:divBdr>
      <w:divsChild>
        <w:div w:id="897939364">
          <w:marLeft w:val="0"/>
          <w:marRight w:val="0"/>
          <w:marTop w:val="166"/>
          <w:marBottom w:val="166"/>
          <w:divBdr>
            <w:top w:val="none" w:sz="0" w:space="0" w:color="auto"/>
            <w:left w:val="none" w:sz="0" w:space="0" w:color="auto"/>
            <w:bottom w:val="none" w:sz="0" w:space="0" w:color="auto"/>
            <w:right w:val="none" w:sz="0" w:space="0" w:color="auto"/>
          </w:divBdr>
        </w:div>
        <w:div w:id="1173295904">
          <w:marLeft w:val="0"/>
          <w:marRight w:val="0"/>
          <w:marTop w:val="166"/>
          <w:marBottom w:val="16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2FF9-9E1E-4718-9ABA-ACE43345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91753</Words>
  <Characters>522995</Characters>
  <Application>Microsoft Office Word</Application>
  <DocSecurity>0</DocSecurity>
  <Lines>4358</Lines>
  <Paragraphs>1227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613521</CharactersWithSpaces>
  <SharedDoc>false</SharedDoc>
  <HLinks>
    <vt:vector size="246" baseType="variant">
      <vt:variant>
        <vt:i4>1245244</vt:i4>
      </vt:variant>
      <vt:variant>
        <vt:i4>242</vt:i4>
      </vt:variant>
      <vt:variant>
        <vt:i4>0</vt:i4>
      </vt:variant>
      <vt:variant>
        <vt:i4>5</vt:i4>
      </vt:variant>
      <vt:variant>
        <vt:lpwstr/>
      </vt:variant>
      <vt:variant>
        <vt:lpwstr>_Toc19629629</vt:lpwstr>
      </vt:variant>
      <vt:variant>
        <vt:i4>1179708</vt:i4>
      </vt:variant>
      <vt:variant>
        <vt:i4>236</vt:i4>
      </vt:variant>
      <vt:variant>
        <vt:i4>0</vt:i4>
      </vt:variant>
      <vt:variant>
        <vt:i4>5</vt:i4>
      </vt:variant>
      <vt:variant>
        <vt:lpwstr/>
      </vt:variant>
      <vt:variant>
        <vt:lpwstr>_Toc19629628</vt:lpwstr>
      </vt:variant>
      <vt:variant>
        <vt:i4>1900604</vt:i4>
      </vt:variant>
      <vt:variant>
        <vt:i4>230</vt:i4>
      </vt:variant>
      <vt:variant>
        <vt:i4>0</vt:i4>
      </vt:variant>
      <vt:variant>
        <vt:i4>5</vt:i4>
      </vt:variant>
      <vt:variant>
        <vt:lpwstr/>
      </vt:variant>
      <vt:variant>
        <vt:lpwstr>_Toc19629627</vt:lpwstr>
      </vt:variant>
      <vt:variant>
        <vt:i4>1835068</vt:i4>
      </vt:variant>
      <vt:variant>
        <vt:i4>224</vt:i4>
      </vt:variant>
      <vt:variant>
        <vt:i4>0</vt:i4>
      </vt:variant>
      <vt:variant>
        <vt:i4>5</vt:i4>
      </vt:variant>
      <vt:variant>
        <vt:lpwstr/>
      </vt:variant>
      <vt:variant>
        <vt:lpwstr>_Toc19629626</vt:lpwstr>
      </vt:variant>
      <vt:variant>
        <vt:i4>2031676</vt:i4>
      </vt:variant>
      <vt:variant>
        <vt:i4>218</vt:i4>
      </vt:variant>
      <vt:variant>
        <vt:i4>0</vt:i4>
      </vt:variant>
      <vt:variant>
        <vt:i4>5</vt:i4>
      </vt:variant>
      <vt:variant>
        <vt:lpwstr/>
      </vt:variant>
      <vt:variant>
        <vt:lpwstr>_Toc19629625</vt:lpwstr>
      </vt:variant>
      <vt:variant>
        <vt:i4>1966140</vt:i4>
      </vt:variant>
      <vt:variant>
        <vt:i4>212</vt:i4>
      </vt:variant>
      <vt:variant>
        <vt:i4>0</vt:i4>
      </vt:variant>
      <vt:variant>
        <vt:i4>5</vt:i4>
      </vt:variant>
      <vt:variant>
        <vt:lpwstr/>
      </vt:variant>
      <vt:variant>
        <vt:lpwstr>_Toc19629624</vt:lpwstr>
      </vt:variant>
      <vt:variant>
        <vt:i4>1638460</vt:i4>
      </vt:variant>
      <vt:variant>
        <vt:i4>206</vt:i4>
      </vt:variant>
      <vt:variant>
        <vt:i4>0</vt:i4>
      </vt:variant>
      <vt:variant>
        <vt:i4>5</vt:i4>
      </vt:variant>
      <vt:variant>
        <vt:lpwstr/>
      </vt:variant>
      <vt:variant>
        <vt:lpwstr>_Toc19629623</vt:lpwstr>
      </vt:variant>
      <vt:variant>
        <vt:i4>1572924</vt:i4>
      </vt:variant>
      <vt:variant>
        <vt:i4>200</vt:i4>
      </vt:variant>
      <vt:variant>
        <vt:i4>0</vt:i4>
      </vt:variant>
      <vt:variant>
        <vt:i4>5</vt:i4>
      </vt:variant>
      <vt:variant>
        <vt:lpwstr/>
      </vt:variant>
      <vt:variant>
        <vt:lpwstr>_Toc19629622</vt:lpwstr>
      </vt:variant>
      <vt:variant>
        <vt:i4>1769532</vt:i4>
      </vt:variant>
      <vt:variant>
        <vt:i4>194</vt:i4>
      </vt:variant>
      <vt:variant>
        <vt:i4>0</vt:i4>
      </vt:variant>
      <vt:variant>
        <vt:i4>5</vt:i4>
      </vt:variant>
      <vt:variant>
        <vt:lpwstr/>
      </vt:variant>
      <vt:variant>
        <vt:lpwstr>_Toc19629621</vt:lpwstr>
      </vt:variant>
      <vt:variant>
        <vt:i4>1703996</vt:i4>
      </vt:variant>
      <vt:variant>
        <vt:i4>188</vt:i4>
      </vt:variant>
      <vt:variant>
        <vt:i4>0</vt:i4>
      </vt:variant>
      <vt:variant>
        <vt:i4>5</vt:i4>
      </vt:variant>
      <vt:variant>
        <vt:lpwstr/>
      </vt:variant>
      <vt:variant>
        <vt:lpwstr>_Toc19629620</vt:lpwstr>
      </vt:variant>
      <vt:variant>
        <vt:i4>1245247</vt:i4>
      </vt:variant>
      <vt:variant>
        <vt:i4>182</vt:i4>
      </vt:variant>
      <vt:variant>
        <vt:i4>0</vt:i4>
      </vt:variant>
      <vt:variant>
        <vt:i4>5</vt:i4>
      </vt:variant>
      <vt:variant>
        <vt:lpwstr/>
      </vt:variant>
      <vt:variant>
        <vt:lpwstr>_Toc19629619</vt:lpwstr>
      </vt:variant>
      <vt:variant>
        <vt:i4>1179711</vt:i4>
      </vt:variant>
      <vt:variant>
        <vt:i4>176</vt:i4>
      </vt:variant>
      <vt:variant>
        <vt:i4>0</vt:i4>
      </vt:variant>
      <vt:variant>
        <vt:i4>5</vt:i4>
      </vt:variant>
      <vt:variant>
        <vt:lpwstr/>
      </vt:variant>
      <vt:variant>
        <vt:lpwstr>_Toc19629618</vt:lpwstr>
      </vt:variant>
      <vt:variant>
        <vt:i4>1900607</vt:i4>
      </vt:variant>
      <vt:variant>
        <vt:i4>170</vt:i4>
      </vt:variant>
      <vt:variant>
        <vt:i4>0</vt:i4>
      </vt:variant>
      <vt:variant>
        <vt:i4>5</vt:i4>
      </vt:variant>
      <vt:variant>
        <vt:lpwstr/>
      </vt:variant>
      <vt:variant>
        <vt:lpwstr>_Toc19629617</vt:lpwstr>
      </vt:variant>
      <vt:variant>
        <vt:i4>1835071</vt:i4>
      </vt:variant>
      <vt:variant>
        <vt:i4>164</vt:i4>
      </vt:variant>
      <vt:variant>
        <vt:i4>0</vt:i4>
      </vt:variant>
      <vt:variant>
        <vt:i4>5</vt:i4>
      </vt:variant>
      <vt:variant>
        <vt:lpwstr/>
      </vt:variant>
      <vt:variant>
        <vt:lpwstr>_Toc19629616</vt:lpwstr>
      </vt:variant>
      <vt:variant>
        <vt:i4>2031679</vt:i4>
      </vt:variant>
      <vt:variant>
        <vt:i4>158</vt:i4>
      </vt:variant>
      <vt:variant>
        <vt:i4>0</vt:i4>
      </vt:variant>
      <vt:variant>
        <vt:i4>5</vt:i4>
      </vt:variant>
      <vt:variant>
        <vt:lpwstr/>
      </vt:variant>
      <vt:variant>
        <vt:lpwstr>_Toc19629615</vt:lpwstr>
      </vt:variant>
      <vt:variant>
        <vt:i4>1966143</vt:i4>
      </vt:variant>
      <vt:variant>
        <vt:i4>152</vt:i4>
      </vt:variant>
      <vt:variant>
        <vt:i4>0</vt:i4>
      </vt:variant>
      <vt:variant>
        <vt:i4>5</vt:i4>
      </vt:variant>
      <vt:variant>
        <vt:lpwstr/>
      </vt:variant>
      <vt:variant>
        <vt:lpwstr>_Toc19629614</vt:lpwstr>
      </vt:variant>
      <vt:variant>
        <vt:i4>1638463</vt:i4>
      </vt:variant>
      <vt:variant>
        <vt:i4>146</vt:i4>
      </vt:variant>
      <vt:variant>
        <vt:i4>0</vt:i4>
      </vt:variant>
      <vt:variant>
        <vt:i4>5</vt:i4>
      </vt:variant>
      <vt:variant>
        <vt:lpwstr/>
      </vt:variant>
      <vt:variant>
        <vt:lpwstr>_Toc19629613</vt:lpwstr>
      </vt:variant>
      <vt:variant>
        <vt:i4>1572927</vt:i4>
      </vt:variant>
      <vt:variant>
        <vt:i4>140</vt:i4>
      </vt:variant>
      <vt:variant>
        <vt:i4>0</vt:i4>
      </vt:variant>
      <vt:variant>
        <vt:i4>5</vt:i4>
      </vt:variant>
      <vt:variant>
        <vt:lpwstr/>
      </vt:variant>
      <vt:variant>
        <vt:lpwstr>_Toc19629612</vt:lpwstr>
      </vt:variant>
      <vt:variant>
        <vt:i4>1769535</vt:i4>
      </vt:variant>
      <vt:variant>
        <vt:i4>134</vt:i4>
      </vt:variant>
      <vt:variant>
        <vt:i4>0</vt:i4>
      </vt:variant>
      <vt:variant>
        <vt:i4>5</vt:i4>
      </vt:variant>
      <vt:variant>
        <vt:lpwstr/>
      </vt:variant>
      <vt:variant>
        <vt:lpwstr>_Toc19629611</vt:lpwstr>
      </vt:variant>
      <vt:variant>
        <vt:i4>1703999</vt:i4>
      </vt:variant>
      <vt:variant>
        <vt:i4>128</vt:i4>
      </vt:variant>
      <vt:variant>
        <vt:i4>0</vt:i4>
      </vt:variant>
      <vt:variant>
        <vt:i4>5</vt:i4>
      </vt:variant>
      <vt:variant>
        <vt:lpwstr/>
      </vt:variant>
      <vt:variant>
        <vt:lpwstr>_Toc19629610</vt:lpwstr>
      </vt:variant>
      <vt:variant>
        <vt:i4>1245246</vt:i4>
      </vt:variant>
      <vt:variant>
        <vt:i4>122</vt:i4>
      </vt:variant>
      <vt:variant>
        <vt:i4>0</vt:i4>
      </vt:variant>
      <vt:variant>
        <vt:i4>5</vt:i4>
      </vt:variant>
      <vt:variant>
        <vt:lpwstr/>
      </vt:variant>
      <vt:variant>
        <vt:lpwstr>_Toc19629609</vt:lpwstr>
      </vt:variant>
      <vt:variant>
        <vt:i4>1179710</vt:i4>
      </vt:variant>
      <vt:variant>
        <vt:i4>116</vt:i4>
      </vt:variant>
      <vt:variant>
        <vt:i4>0</vt:i4>
      </vt:variant>
      <vt:variant>
        <vt:i4>5</vt:i4>
      </vt:variant>
      <vt:variant>
        <vt:lpwstr/>
      </vt:variant>
      <vt:variant>
        <vt:lpwstr>_Toc19629608</vt:lpwstr>
      </vt:variant>
      <vt:variant>
        <vt:i4>1900606</vt:i4>
      </vt:variant>
      <vt:variant>
        <vt:i4>110</vt:i4>
      </vt:variant>
      <vt:variant>
        <vt:i4>0</vt:i4>
      </vt:variant>
      <vt:variant>
        <vt:i4>5</vt:i4>
      </vt:variant>
      <vt:variant>
        <vt:lpwstr/>
      </vt:variant>
      <vt:variant>
        <vt:lpwstr>_Toc19629607</vt:lpwstr>
      </vt:variant>
      <vt:variant>
        <vt:i4>1835070</vt:i4>
      </vt:variant>
      <vt:variant>
        <vt:i4>104</vt:i4>
      </vt:variant>
      <vt:variant>
        <vt:i4>0</vt:i4>
      </vt:variant>
      <vt:variant>
        <vt:i4>5</vt:i4>
      </vt:variant>
      <vt:variant>
        <vt:lpwstr/>
      </vt:variant>
      <vt:variant>
        <vt:lpwstr>_Toc19629606</vt:lpwstr>
      </vt:variant>
      <vt:variant>
        <vt:i4>2031678</vt:i4>
      </vt:variant>
      <vt:variant>
        <vt:i4>98</vt:i4>
      </vt:variant>
      <vt:variant>
        <vt:i4>0</vt:i4>
      </vt:variant>
      <vt:variant>
        <vt:i4>5</vt:i4>
      </vt:variant>
      <vt:variant>
        <vt:lpwstr/>
      </vt:variant>
      <vt:variant>
        <vt:lpwstr>_Toc19629605</vt:lpwstr>
      </vt:variant>
      <vt:variant>
        <vt:i4>1966142</vt:i4>
      </vt:variant>
      <vt:variant>
        <vt:i4>92</vt:i4>
      </vt:variant>
      <vt:variant>
        <vt:i4>0</vt:i4>
      </vt:variant>
      <vt:variant>
        <vt:i4>5</vt:i4>
      </vt:variant>
      <vt:variant>
        <vt:lpwstr/>
      </vt:variant>
      <vt:variant>
        <vt:lpwstr>_Toc19629604</vt:lpwstr>
      </vt:variant>
      <vt:variant>
        <vt:i4>1638462</vt:i4>
      </vt:variant>
      <vt:variant>
        <vt:i4>86</vt:i4>
      </vt:variant>
      <vt:variant>
        <vt:i4>0</vt:i4>
      </vt:variant>
      <vt:variant>
        <vt:i4>5</vt:i4>
      </vt:variant>
      <vt:variant>
        <vt:lpwstr/>
      </vt:variant>
      <vt:variant>
        <vt:lpwstr>_Toc19629603</vt:lpwstr>
      </vt:variant>
      <vt:variant>
        <vt:i4>1572926</vt:i4>
      </vt:variant>
      <vt:variant>
        <vt:i4>80</vt:i4>
      </vt:variant>
      <vt:variant>
        <vt:i4>0</vt:i4>
      </vt:variant>
      <vt:variant>
        <vt:i4>5</vt:i4>
      </vt:variant>
      <vt:variant>
        <vt:lpwstr/>
      </vt:variant>
      <vt:variant>
        <vt:lpwstr>_Toc19629602</vt:lpwstr>
      </vt:variant>
      <vt:variant>
        <vt:i4>1769534</vt:i4>
      </vt:variant>
      <vt:variant>
        <vt:i4>74</vt:i4>
      </vt:variant>
      <vt:variant>
        <vt:i4>0</vt:i4>
      </vt:variant>
      <vt:variant>
        <vt:i4>5</vt:i4>
      </vt:variant>
      <vt:variant>
        <vt:lpwstr/>
      </vt:variant>
      <vt:variant>
        <vt:lpwstr>_Toc19629601</vt:lpwstr>
      </vt:variant>
      <vt:variant>
        <vt:i4>1703998</vt:i4>
      </vt:variant>
      <vt:variant>
        <vt:i4>68</vt:i4>
      </vt:variant>
      <vt:variant>
        <vt:i4>0</vt:i4>
      </vt:variant>
      <vt:variant>
        <vt:i4>5</vt:i4>
      </vt:variant>
      <vt:variant>
        <vt:lpwstr/>
      </vt:variant>
      <vt:variant>
        <vt:lpwstr>_Toc19629600</vt:lpwstr>
      </vt:variant>
      <vt:variant>
        <vt:i4>1048631</vt:i4>
      </vt:variant>
      <vt:variant>
        <vt:i4>62</vt:i4>
      </vt:variant>
      <vt:variant>
        <vt:i4>0</vt:i4>
      </vt:variant>
      <vt:variant>
        <vt:i4>5</vt:i4>
      </vt:variant>
      <vt:variant>
        <vt:lpwstr/>
      </vt:variant>
      <vt:variant>
        <vt:lpwstr>_Toc19629599</vt:lpwstr>
      </vt:variant>
      <vt:variant>
        <vt:i4>1114167</vt:i4>
      </vt:variant>
      <vt:variant>
        <vt:i4>56</vt:i4>
      </vt:variant>
      <vt:variant>
        <vt:i4>0</vt:i4>
      </vt:variant>
      <vt:variant>
        <vt:i4>5</vt:i4>
      </vt:variant>
      <vt:variant>
        <vt:lpwstr/>
      </vt:variant>
      <vt:variant>
        <vt:lpwstr>_Toc19629598</vt:lpwstr>
      </vt:variant>
      <vt:variant>
        <vt:i4>1966135</vt:i4>
      </vt:variant>
      <vt:variant>
        <vt:i4>50</vt:i4>
      </vt:variant>
      <vt:variant>
        <vt:i4>0</vt:i4>
      </vt:variant>
      <vt:variant>
        <vt:i4>5</vt:i4>
      </vt:variant>
      <vt:variant>
        <vt:lpwstr/>
      </vt:variant>
      <vt:variant>
        <vt:lpwstr>_Toc19629597</vt:lpwstr>
      </vt:variant>
      <vt:variant>
        <vt:i4>2031671</vt:i4>
      </vt:variant>
      <vt:variant>
        <vt:i4>44</vt:i4>
      </vt:variant>
      <vt:variant>
        <vt:i4>0</vt:i4>
      </vt:variant>
      <vt:variant>
        <vt:i4>5</vt:i4>
      </vt:variant>
      <vt:variant>
        <vt:lpwstr/>
      </vt:variant>
      <vt:variant>
        <vt:lpwstr>_Toc19629596</vt:lpwstr>
      </vt:variant>
      <vt:variant>
        <vt:i4>1835063</vt:i4>
      </vt:variant>
      <vt:variant>
        <vt:i4>38</vt:i4>
      </vt:variant>
      <vt:variant>
        <vt:i4>0</vt:i4>
      </vt:variant>
      <vt:variant>
        <vt:i4>5</vt:i4>
      </vt:variant>
      <vt:variant>
        <vt:lpwstr/>
      </vt:variant>
      <vt:variant>
        <vt:lpwstr>_Toc19629595</vt:lpwstr>
      </vt:variant>
      <vt:variant>
        <vt:i4>1900599</vt:i4>
      </vt:variant>
      <vt:variant>
        <vt:i4>32</vt:i4>
      </vt:variant>
      <vt:variant>
        <vt:i4>0</vt:i4>
      </vt:variant>
      <vt:variant>
        <vt:i4>5</vt:i4>
      </vt:variant>
      <vt:variant>
        <vt:lpwstr/>
      </vt:variant>
      <vt:variant>
        <vt:lpwstr>_Toc19629594</vt:lpwstr>
      </vt:variant>
      <vt:variant>
        <vt:i4>1703991</vt:i4>
      </vt:variant>
      <vt:variant>
        <vt:i4>26</vt:i4>
      </vt:variant>
      <vt:variant>
        <vt:i4>0</vt:i4>
      </vt:variant>
      <vt:variant>
        <vt:i4>5</vt:i4>
      </vt:variant>
      <vt:variant>
        <vt:lpwstr/>
      </vt:variant>
      <vt:variant>
        <vt:lpwstr>_Toc19629593</vt:lpwstr>
      </vt:variant>
      <vt:variant>
        <vt:i4>1769527</vt:i4>
      </vt:variant>
      <vt:variant>
        <vt:i4>20</vt:i4>
      </vt:variant>
      <vt:variant>
        <vt:i4>0</vt:i4>
      </vt:variant>
      <vt:variant>
        <vt:i4>5</vt:i4>
      </vt:variant>
      <vt:variant>
        <vt:lpwstr/>
      </vt:variant>
      <vt:variant>
        <vt:lpwstr>_Toc19629592</vt:lpwstr>
      </vt:variant>
      <vt:variant>
        <vt:i4>1572919</vt:i4>
      </vt:variant>
      <vt:variant>
        <vt:i4>14</vt:i4>
      </vt:variant>
      <vt:variant>
        <vt:i4>0</vt:i4>
      </vt:variant>
      <vt:variant>
        <vt:i4>5</vt:i4>
      </vt:variant>
      <vt:variant>
        <vt:lpwstr/>
      </vt:variant>
      <vt:variant>
        <vt:lpwstr>_Toc19629591</vt:lpwstr>
      </vt:variant>
      <vt:variant>
        <vt:i4>1638455</vt:i4>
      </vt:variant>
      <vt:variant>
        <vt:i4>8</vt:i4>
      </vt:variant>
      <vt:variant>
        <vt:i4>0</vt:i4>
      </vt:variant>
      <vt:variant>
        <vt:i4>5</vt:i4>
      </vt:variant>
      <vt:variant>
        <vt:lpwstr/>
      </vt:variant>
      <vt:variant>
        <vt:lpwstr>_Toc19629590</vt:lpwstr>
      </vt:variant>
      <vt:variant>
        <vt:i4>1048630</vt:i4>
      </vt:variant>
      <vt:variant>
        <vt:i4>2</vt:i4>
      </vt:variant>
      <vt:variant>
        <vt:i4>0</vt:i4>
      </vt:variant>
      <vt:variant>
        <vt:i4>5</vt:i4>
      </vt:variant>
      <vt:variant>
        <vt:lpwstr/>
      </vt:variant>
      <vt:variant>
        <vt:lpwstr>_Toc19629589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alradi</cp:lastModifiedBy>
  <cp:revision>2</cp:revision>
  <cp:lastPrinted>2019-09-20T07:23:00Z</cp:lastPrinted>
  <dcterms:created xsi:type="dcterms:W3CDTF">2019-11-23T12:35:00Z</dcterms:created>
  <dcterms:modified xsi:type="dcterms:W3CDTF">2019-11-23T12:35:00Z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