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CE" w:rsidRPr="006254F4" w:rsidRDefault="00954E2D" w:rsidP="00EE59C2">
      <w:pPr>
        <w:pStyle w:val="aff7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rect id="Прямоугольник 3" o:spid="_x0000_s1026" style="position:absolute;left:0;text-align:left;margin-left:-4.5pt;margin-top:-97.4pt;width:598.55pt;height:867.8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" fillcolor="#0b595d" stroked="f" strokeweight="1pt">
            <v:fill opacity="6682f"/>
            <v:path arrowok="t"/>
            <w10:wrap anchorx="page"/>
          </v:rect>
        </w:pict>
      </w:r>
    </w:p>
    <w:p w:rsidR="00F479CE" w:rsidRPr="006254F4" w:rsidRDefault="00F479CE" w:rsidP="00EE59C2">
      <w:pPr>
        <w:pStyle w:val="aff7"/>
        <w:rPr>
          <w:color w:val="000000" w:themeColor="text1"/>
        </w:rPr>
      </w:pPr>
    </w:p>
    <w:p w:rsidR="00F479CE" w:rsidRPr="006254F4" w:rsidRDefault="00954E2D" w:rsidP="00EE59C2">
      <w:pPr>
        <w:pStyle w:val="aff7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rect id="_x0000_s1027" style="position:absolute;left:0;text-align:left;margin-left:-62.25pt;margin-top:25.95pt;width:551.25pt;height:665.2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" fillcolor="white [3212]" stroked="f">
            <v:path arrowok="t"/>
            <v:textbox>
              <w:txbxContent>
                <w:p w:rsidR="00E432C6" w:rsidRDefault="00E432C6" w:rsidP="00F8226D">
                  <w:pPr>
                    <w:jc w:val="center"/>
                  </w:pPr>
                  <w:r>
                    <w:t>\9</w:t>
                  </w:r>
                </w:p>
              </w:txbxContent>
            </v:textbox>
          </v:rect>
        </w:pict>
      </w:r>
    </w:p>
    <w:p w:rsidR="00F479CE" w:rsidRPr="006254F4" w:rsidRDefault="00F479CE" w:rsidP="00EE59C2">
      <w:pPr>
        <w:pStyle w:val="aff7"/>
        <w:rPr>
          <w:color w:val="000000" w:themeColor="text1"/>
        </w:rPr>
      </w:pPr>
    </w:p>
    <w:p w:rsidR="00F479CE" w:rsidRPr="006254F4" w:rsidRDefault="00F479CE" w:rsidP="00EE59C2">
      <w:pPr>
        <w:pStyle w:val="aff7"/>
        <w:rPr>
          <w:color w:val="000000" w:themeColor="text1"/>
        </w:rPr>
      </w:pPr>
    </w:p>
    <w:tbl>
      <w:tblPr>
        <w:tblStyle w:val="aff8"/>
        <w:tblpPr w:leftFromText="180" w:rightFromText="180" w:vertAnchor="page" w:horzAnchor="margin" w:tblpXSpec="center" w:tblpY="422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839"/>
      </w:tblGrid>
      <w:tr w:rsidR="006254F4" w:rsidRPr="006254F4" w:rsidTr="00F479CE">
        <w:tc>
          <w:tcPr>
            <w:tcW w:w="9525" w:type="dxa"/>
            <w:gridSpan w:val="2"/>
          </w:tcPr>
          <w:p w:rsidR="00F479CE" w:rsidRPr="006254F4" w:rsidRDefault="00F479CE" w:rsidP="00F479CE">
            <w:pPr>
              <w:tabs>
                <w:tab w:val="left" w:pos="6135"/>
              </w:tabs>
              <w:rPr>
                <w:color w:val="000000" w:themeColor="text1"/>
                <w:sz w:val="28"/>
                <w:szCs w:val="28"/>
              </w:rPr>
            </w:pPr>
            <w:r w:rsidRPr="006254F4">
              <w:rPr>
                <w:color w:val="000000" w:themeColor="text1"/>
              </w:rPr>
              <w:t xml:space="preserve">Клинические </w:t>
            </w:r>
            <w:r w:rsidRPr="006254F4">
              <w:rPr>
                <w:noProof/>
                <w:color w:val="000000" w:themeColor="text1"/>
                <w:lang w:eastAsia="ru-RU"/>
              </w:rPr>
              <w:t>рекомендации</w:t>
            </w:r>
          </w:p>
        </w:tc>
      </w:tr>
      <w:tr w:rsidR="006254F4" w:rsidRPr="006254F4" w:rsidTr="00F479CE">
        <w:trPr>
          <w:trHeight w:val="1907"/>
        </w:trPr>
        <w:tc>
          <w:tcPr>
            <w:tcW w:w="9525" w:type="dxa"/>
            <w:gridSpan w:val="2"/>
          </w:tcPr>
          <w:p w:rsidR="00F479CE" w:rsidRPr="006254F4" w:rsidRDefault="00F479CE" w:rsidP="00F479CE">
            <w:pPr>
              <w:tabs>
                <w:tab w:val="left" w:pos="6135"/>
              </w:tabs>
              <w:ind w:firstLine="0"/>
              <w:rPr>
                <w:color w:val="000000" w:themeColor="text1"/>
                <w:sz w:val="28"/>
                <w:szCs w:val="28"/>
              </w:rPr>
            </w:pPr>
            <w:r w:rsidRPr="006254F4">
              <w:rPr>
                <w:b/>
                <w:color w:val="000000" w:themeColor="text1"/>
                <w:sz w:val="44"/>
                <w:szCs w:val="44"/>
              </w:rPr>
              <w:t>Анемия при хронической болезни почек</w:t>
            </w:r>
          </w:p>
        </w:tc>
      </w:tr>
      <w:tr w:rsidR="006254F4" w:rsidRPr="006254F4" w:rsidTr="00F479CE">
        <w:trPr>
          <w:trHeight w:val="815"/>
        </w:trPr>
        <w:tc>
          <w:tcPr>
            <w:tcW w:w="3686" w:type="dxa"/>
          </w:tcPr>
          <w:p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000000" w:themeColor="text1"/>
                <w:szCs w:val="28"/>
              </w:rPr>
            </w:pPr>
            <w:r w:rsidRPr="006254F4">
              <w:rPr>
                <w:color w:val="000000" w:themeColor="text1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F479CE" w:rsidRPr="006254F4" w:rsidRDefault="00F479CE" w:rsidP="00F479CE">
            <w:pPr>
              <w:pStyle w:val="aff3"/>
              <w:spacing w:line="276" w:lineRule="auto"/>
              <w:ind w:firstLine="0"/>
              <w:jc w:val="right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839" w:type="dxa"/>
          </w:tcPr>
          <w:p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000000" w:themeColor="text1"/>
                <w:szCs w:val="28"/>
                <w:lang w:val="en-US"/>
              </w:rPr>
            </w:pPr>
            <w:r w:rsidRPr="006254F4">
              <w:rPr>
                <w:color w:val="000000" w:themeColor="text1"/>
                <w:szCs w:val="28"/>
                <w:lang w:val="en-US"/>
              </w:rPr>
              <w:t>D63.8</w:t>
            </w:r>
          </w:p>
        </w:tc>
      </w:tr>
      <w:tr w:rsidR="006254F4" w:rsidRPr="006254F4" w:rsidTr="00F479CE">
        <w:trPr>
          <w:trHeight w:val="815"/>
        </w:trPr>
        <w:tc>
          <w:tcPr>
            <w:tcW w:w="3686" w:type="dxa"/>
          </w:tcPr>
          <w:p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000000" w:themeColor="text1"/>
                <w:szCs w:val="28"/>
              </w:rPr>
            </w:pPr>
            <w:r w:rsidRPr="006254F4">
              <w:rPr>
                <w:rStyle w:val="pop-slug-vol"/>
                <w:color w:val="000000" w:themeColor="text1"/>
                <w:szCs w:val="28"/>
              </w:rPr>
              <w:t>Возрастная группа:</w:t>
            </w:r>
          </w:p>
        </w:tc>
        <w:tc>
          <w:tcPr>
            <w:tcW w:w="5839" w:type="dxa"/>
          </w:tcPr>
          <w:p w:rsidR="00F479CE" w:rsidRPr="006254F4" w:rsidRDefault="00E432C6" w:rsidP="00F479C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6254F4">
              <w:rPr>
                <w:color w:val="000000" w:themeColor="text1"/>
                <w:szCs w:val="28"/>
              </w:rPr>
              <w:t xml:space="preserve">взрослые, </w:t>
            </w:r>
            <w:r w:rsidR="00F479CE" w:rsidRPr="006254F4">
              <w:rPr>
                <w:color w:val="000000" w:themeColor="text1"/>
                <w:szCs w:val="28"/>
              </w:rPr>
              <w:t>дети</w:t>
            </w:r>
          </w:p>
        </w:tc>
      </w:tr>
      <w:tr w:rsidR="006254F4" w:rsidRPr="006254F4" w:rsidTr="00F479CE">
        <w:trPr>
          <w:trHeight w:val="815"/>
        </w:trPr>
        <w:tc>
          <w:tcPr>
            <w:tcW w:w="3686" w:type="dxa"/>
          </w:tcPr>
          <w:p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000000" w:themeColor="text1"/>
                <w:szCs w:val="28"/>
              </w:rPr>
            </w:pPr>
            <w:r w:rsidRPr="006254F4">
              <w:rPr>
                <w:color w:val="000000" w:themeColor="text1"/>
              </w:rPr>
              <w:t>Год утверждения:</w:t>
            </w:r>
          </w:p>
        </w:tc>
        <w:tc>
          <w:tcPr>
            <w:tcW w:w="5839" w:type="dxa"/>
          </w:tcPr>
          <w:p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  <w:color w:val="000000" w:themeColor="text1"/>
              </w:rPr>
            </w:pPr>
          </w:p>
        </w:tc>
      </w:tr>
      <w:tr w:rsidR="006254F4" w:rsidRPr="006254F4" w:rsidTr="00F479CE">
        <w:tc>
          <w:tcPr>
            <w:tcW w:w="9525" w:type="dxa"/>
            <w:gridSpan w:val="2"/>
          </w:tcPr>
          <w:p w:rsidR="00F479CE" w:rsidRPr="006254F4" w:rsidRDefault="00F479CE" w:rsidP="00F479CE">
            <w:pPr>
              <w:tabs>
                <w:tab w:val="left" w:pos="6135"/>
              </w:tabs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254F4">
              <w:rPr>
                <w:color w:val="000000" w:themeColor="text1"/>
              </w:rPr>
              <w:t>Разработчик клинической рекомендации:</w:t>
            </w:r>
          </w:p>
        </w:tc>
      </w:tr>
      <w:tr w:rsidR="006254F4" w:rsidRPr="006254F4" w:rsidTr="00F479CE">
        <w:trPr>
          <w:trHeight w:val="1345"/>
        </w:trPr>
        <w:tc>
          <w:tcPr>
            <w:tcW w:w="9525" w:type="dxa"/>
            <w:gridSpan w:val="2"/>
          </w:tcPr>
          <w:p w:rsidR="00F479CE" w:rsidRPr="006254F4" w:rsidRDefault="00F479CE" w:rsidP="00F479CE">
            <w:pPr>
              <w:pStyle w:val="aff7"/>
              <w:numPr>
                <w:ilvl w:val="0"/>
                <w:numId w:val="2"/>
              </w:numPr>
              <w:rPr>
                <w:b/>
                <w:color w:val="000000" w:themeColor="text1"/>
                <w:sz w:val="28"/>
              </w:rPr>
            </w:pPr>
            <w:r w:rsidRPr="006254F4">
              <w:rPr>
                <w:color w:val="000000" w:themeColor="text1"/>
              </w:rPr>
              <w:t>Национальное общество детских гематологов и онкологов</w:t>
            </w:r>
          </w:p>
          <w:p w:rsidR="00E432C6" w:rsidRPr="006254F4" w:rsidRDefault="00E432C6" w:rsidP="00F479CE">
            <w:pPr>
              <w:pStyle w:val="aff7"/>
              <w:numPr>
                <w:ilvl w:val="0"/>
                <w:numId w:val="2"/>
              </w:numPr>
              <w:rPr>
                <w:bCs/>
                <w:color w:val="000000" w:themeColor="text1"/>
                <w:sz w:val="28"/>
              </w:rPr>
            </w:pPr>
            <w:r w:rsidRPr="006254F4">
              <w:rPr>
                <w:bCs/>
                <w:color w:val="000000" w:themeColor="text1"/>
              </w:rPr>
              <w:t>Национальное гематологическое общество</w:t>
            </w:r>
          </w:p>
          <w:p w:rsidR="00F479CE" w:rsidRPr="006254F4" w:rsidRDefault="00F479CE" w:rsidP="00F479CE">
            <w:pPr>
              <w:pStyle w:val="aff7"/>
              <w:rPr>
                <w:b/>
                <w:color w:val="000000" w:themeColor="text1"/>
                <w:sz w:val="28"/>
              </w:rPr>
            </w:pPr>
          </w:p>
          <w:p w:rsidR="00F479CE" w:rsidRPr="006254F4" w:rsidRDefault="00F479CE" w:rsidP="00F479CE">
            <w:pPr>
              <w:pStyle w:val="aff7"/>
              <w:ind w:firstLine="0"/>
              <w:rPr>
                <w:b/>
                <w:color w:val="000000" w:themeColor="text1"/>
                <w:sz w:val="28"/>
              </w:rPr>
            </w:pPr>
          </w:p>
        </w:tc>
      </w:tr>
    </w:tbl>
    <w:p w:rsidR="00EE59C2" w:rsidRPr="006254F4" w:rsidRDefault="00EE59C2" w:rsidP="00EE59C2">
      <w:pPr>
        <w:pStyle w:val="aff7"/>
        <w:rPr>
          <w:color w:val="000000" w:themeColor="text1"/>
        </w:rPr>
      </w:pPr>
    </w:p>
    <w:p w:rsidR="00EE59C2" w:rsidRPr="006254F4" w:rsidRDefault="00EE59C2" w:rsidP="00EE59C2">
      <w:pPr>
        <w:pStyle w:val="aff7"/>
        <w:rPr>
          <w:color w:val="000000" w:themeColor="text1"/>
        </w:rPr>
      </w:pPr>
    </w:p>
    <w:p w:rsidR="002145F1" w:rsidRPr="006254F4" w:rsidRDefault="002145F1" w:rsidP="002145F1">
      <w:pPr>
        <w:rPr>
          <w:color w:val="000000" w:themeColor="text1"/>
        </w:rPr>
      </w:pPr>
    </w:p>
    <w:p w:rsidR="002145F1" w:rsidRPr="006254F4" w:rsidRDefault="002145F1" w:rsidP="002145F1">
      <w:pPr>
        <w:rPr>
          <w:color w:val="000000" w:themeColor="text1"/>
        </w:rPr>
      </w:pPr>
    </w:p>
    <w:p w:rsidR="002145F1" w:rsidRPr="006254F4" w:rsidRDefault="002145F1" w:rsidP="002145F1">
      <w:pPr>
        <w:rPr>
          <w:color w:val="000000" w:themeColor="text1"/>
        </w:rPr>
      </w:pPr>
    </w:p>
    <w:p w:rsidR="00F479CE" w:rsidRPr="006254F4" w:rsidRDefault="00F479CE" w:rsidP="002145F1">
      <w:pPr>
        <w:rPr>
          <w:color w:val="000000" w:themeColor="text1"/>
        </w:rPr>
      </w:pPr>
    </w:p>
    <w:p w:rsidR="00F479CE" w:rsidRPr="006254F4" w:rsidRDefault="00F479CE" w:rsidP="002145F1">
      <w:pPr>
        <w:rPr>
          <w:color w:val="000000" w:themeColor="text1"/>
        </w:rPr>
      </w:pPr>
    </w:p>
    <w:p w:rsidR="00F479CE" w:rsidRPr="006254F4" w:rsidRDefault="00F479CE" w:rsidP="002145F1">
      <w:pPr>
        <w:rPr>
          <w:color w:val="000000" w:themeColor="text1"/>
        </w:rPr>
      </w:pPr>
    </w:p>
    <w:p w:rsidR="00F479CE" w:rsidRPr="006254F4" w:rsidRDefault="00F479CE" w:rsidP="002145F1">
      <w:pPr>
        <w:rPr>
          <w:color w:val="000000" w:themeColor="text1"/>
        </w:rPr>
      </w:pPr>
    </w:p>
    <w:p w:rsidR="00F479CE" w:rsidRPr="006254F4" w:rsidRDefault="00F479CE" w:rsidP="002145F1">
      <w:pPr>
        <w:rPr>
          <w:color w:val="000000" w:themeColor="text1"/>
        </w:rPr>
      </w:pPr>
    </w:p>
    <w:p w:rsidR="002145F1" w:rsidRPr="006254F4" w:rsidRDefault="002145F1" w:rsidP="002145F1">
      <w:pPr>
        <w:rPr>
          <w:color w:val="000000" w:themeColor="text1"/>
        </w:rPr>
      </w:pPr>
    </w:p>
    <w:bookmarkStart w:id="0" w:name="_Toc492379891" w:displacedByCustomXml="next"/>
    <w:sdt>
      <w:sdtPr>
        <w:rPr>
          <w:rFonts w:cstheme="minorBidi"/>
          <w:b w:val="0"/>
          <w:color w:val="000000" w:themeColor="text1"/>
          <w:szCs w:val="22"/>
          <w:u w:val="none"/>
        </w:rPr>
        <w:id w:val="-6068909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4ED6" w:rsidRPr="006254F4" w:rsidRDefault="00094ED6" w:rsidP="00172112">
          <w:pPr>
            <w:pStyle w:val="afe"/>
            <w:jc w:val="center"/>
            <w:rPr>
              <w:rFonts w:cstheme="minorBidi"/>
              <w:b w:val="0"/>
              <w:color w:val="000000" w:themeColor="text1"/>
              <w:szCs w:val="22"/>
              <w:u w:val="none"/>
            </w:rPr>
          </w:pPr>
        </w:p>
        <w:p w:rsidR="00172112" w:rsidRPr="006254F4" w:rsidRDefault="00172112" w:rsidP="00172112">
          <w:pPr>
            <w:pStyle w:val="afe"/>
            <w:jc w:val="center"/>
            <w:rPr>
              <w:color w:val="000000" w:themeColor="text1"/>
              <w:sz w:val="28"/>
              <w:u w:val="none"/>
            </w:rPr>
          </w:pPr>
          <w:bookmarkStart w:id="1" w:name="_Toc46321738"/>
          <w:r w:rsidRPr="006254F4">
            <w:rPr>
              <w:color w:val="000000" w:themeColor="text1"/>
              <w:sz w:val="28"/>
              <w:u w:val="none"/>
            </w:rPr>
            <w:t>Оглавление</w:t>
          </w:r>
          <w:bookmarkEnd w:id="0"/>
          <w:bookmarkEnd w:id="1"/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r w:rsidRPr="00954E2D">
            <w:rPr>
              <w:rFonts w:cs="Times New Roman"/>
              <w:color w:val="000000" w:themeColor="text1"/>
              <w:szCs w:val="24"/>
            </w:rPr>
            <w:fldChar w:fldCharType="begin"/>
          </w:r>
          <w:r w:rsidR="00172112" w:rsidRPr="006254F4">
            <w:rPr>
              <w:rFonts w:cs="Times New Roman"/>
              <w:color w:val="000000" w:themeColor="text1"/>
              <w:szCs w:val="24"/>
            </w:rPr>
            <w:instrText xml:space="preserve"> TOC \o "1-3" \h \z \u </w:instrText>
          </w:r>
          <w:r w:rsidRPr="00954E2D">
            <w:rPr>
              <w:rFonts w:cs="Times New Roman"/>
              <w:color w:val="000000" w:themeColor="text1"/>
              <w:szCs w:val="24"/>
            </w:rPr>
            <w:fldChar w:fldCharType="separate"/>
          </w:r>
          <w:hyperlink w:anchor="_Toc46321738" w:history="1">
            <w:r w:rsidR="00F479CE" w:rsidRPr="006254F4">
              <w:rPr>
                <w:rStyle w:val="affc"/>
                <w:noProof/>
                <w:color w:val="000000" w:themeColor="text1"/>
              </w:rPr>
              <w:t>Оглавление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_Toc46321738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12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39" w:history="1">
            <w:r w:rsidR="00F479CE" w:rsidRPr="006254F4">
              <w:rPr>
                <w:rStyle w:val="affc"/>
                <w:noProof/>
                <w:color w:val="000000" w:themeColor="text1"/>
              </w:rPr>
              <w:t>Список сокращений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_Toc46321739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14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40" w:history="1">
            <w:r w:rsidR="00F479CE" w:rsidRPr="006254F4">
              <w:rPr>
                <w:rStyle w:val="affc"/>
                <w:noProof/>
                <w:color w:val="000000" w:themeColor="text1"/>
              </w:rPr>
              <w:t>Термины и определения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_Toc46321740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15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41" w:history="1">
            <w:r w:rsidR="00F479CE" w:rsidRPr="006254F4">
              <w:rPr>
                <w:rStyle w:val="affc"/>
                <w:noProof/>
                <w:color w:val="000000" w:themeColor="text1"/>
              </w:rPr>
              <w:t>1. Краткая информация по заболеванию или состоянию (группе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_Toc46321741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2" w:history="1">
            <w:r w:rsidR="00F479CE" w:rsidRPr="006254F4">
              <w:rPr>
                <w:rStyle w:val="affc"/>
                <w:noProof/>
                <w:color w:val="000000" w:themeColor="text1"/>
              </w:rPr>
              <w:t>1.1 Определение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_Toc46321742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3" w:history="1">
            <w:r w:rsidR="00F479CE" w:rsidRPr="006254F4">
              <w:rPr>
                <w:rStyle w:val="affc"/>
                <w:noProof/>
                <w:color w:val="000000" w:themeColor="text1"/>
              </w:rPr>
              <w:t>1.2 Этиология и патогенез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_Toc46321743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4" w:history="1">
            <w:r w:rsidR="00F479CE" w:rsidRPr="006254F4">
              <w:rPr>
                <w:rStyle w:val="affc"/>
                <w:noProof/>
                <w:color w:val="000000" w:themeColor="text1"/>
              </w:rPr>
              <w:t>1.3 Эпидемиология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_Toc46321744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5" w:history="1">
            <w:r w:rsidR="00F479CE" w:rsidRPr="006254F4">
              <w:rPr>
                <w:rStyle w:val="affc"/>
                <w:noProof/>
                <w:color w:val="000000" w:themeColor="text1"/>
              </w:rPr>
      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_Toc46321745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6" w:history="1">
            <w:r w:rsidR="00F479CE" w:rsidRPr="006254F4">
              <w:rPr>
                <w:rStyle w:val="affc"/>
                <w:noProof/>
                <w:color w:val="000000" w:themeColor="text1"/>
              </w:rPr>
              <w:t>1.5 Классификация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_Toc46321746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17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47" w:history="1">
            <w:r w:rsidR="00F479CE" w:rsidRPr="006254F4">
              <w:rPr>
                <w:rStyle w:val="affc"/>
                <w:noProof/>
                <w:color w:val="000000" w:themeColor="text1"/>
              </w:rPr>
  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_Toc46321747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17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8" w:history="1">
            <w:r w:rsidR="00F479CE" w:rsidRPr="006254F4">
              <w:rPr>
                <w:rStyle w:val="affc"/>
                <w:noProof/>
                <w:color w:val="000000" w:themeColor="text1"/>
                <w:lang w:eastAsia="ru-RU"/>
              </w:rPr>
              <w:t>2.1 Жалобы и анамнез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_Toc46321748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17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9" w:history="1">
            <w:r w:rsidR="00F479CE" w:rsidRPr="006254F4">
              <w:rPr>
                <w:rStyle w:val="affc"/>
                <w:noProof/>
                <w:color w:val="000000" w:themeColor="text1"/>
                <w:lang w:eastAsia="ru-RU"/>
              </w:rPr>
              <w:t>2.2 Физикальное обследование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_Toc46321749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18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0" w:history="1">
            <w:r w:rsidR="00F479CE" w:rsidRPr="006254F4">
              <w:rPr>
                <w:rStyle w:val="affc"/>
                <w:noProof/>
                <w:color w:val="000000" w:themeColor="text1"/>
              </w:rPr>
              <w:t>2.3 Лабораторные диагностические исследования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_Toc46321750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19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1" w:history="1">
            <w:r w:rsidR="00F479CE" w:rsidRPr="006254F4">
              <w:rPr>
                <w:rStyle w:val="affc"/>
                <w:noProof/>
                <w:color w:val="000000" w:themeColor="text1"/>
              </w:rPr>
              <w:t>2.4 Инструментальные диагностические исследования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_Toc46321751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21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2" w:history="1">
            <w:r w:rsidR="00F479CE" w:rsidRPr="006254F4">
              <w:rPr>
                <w:rStyle w:val="affc"/>
                <w:noProof/>
                <w:color w:val="000000" w:themeColor="text1"/>
              </w:rPr>
              <w:t>2.5 Иные диагностические исследования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_Toc46321752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21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3" w:history="1">
            <w:r w:rsidR="00F479CE" w:rsidRPr="006254F4">
              <w:rPr>
                <w:rStyle w:val="affc"/>
                <w:noProof/>
                <w:color w:val="000000" w:themeColor="text1"/>
              </w:rPr>
  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_Toc46321753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22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4" w:history="1">
            <w:r w:rsidR="00F479CE" w:rsidRPr="006254F4">
              <w:rPr>
                <w:rStyle w:val="affc"/>
                <w:noProof/>
                <w:color w:val="000000" w:themeColor="text1"/>
              </w:rPr>
              <w:t>3.1 Лечение пациентов с ХБП и анемией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_Toc46321754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22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5" w:history="1">
            <w:r w:rsidR="00F479CE" w:rsidRPr="006254F4">
              <w:rPr>
                <w:rStyle w:val="affc"/>
                <w:noProof/>
                <w:color w:val="000000" w:themeColor="text1"/>
              </w:rPr>
              <w:t>3.2 Лечение пациентов с резистентностью к ЭСП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_Toc46321755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24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6" w:history="1">
            <w:r w:rsidR="00F479CE" w:rsidRPr="006254F4">
              <w:rPr>
                <w:rStyle w:val="affc"/>
                <w:noProof/>
                <w:color w:val="000000" w:themeColor="text1"/>
              </w:rPr>
              <w:t>3.3 Гемотрансфузии у пациентов с ХБП и анемией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_Toc46321756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25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7" w:history="1">
            <w:r w:rsidR="00F479CE" w:rsidRPr="006254F4">
              <w:rPr>
                <w:rStyle w:val="affc"/>
                <w:noProof/>
                <w:color w:val="000000" w:themeColor="text1"/>
              </w:rPr>
              <w:t>4. Медицинская реабилитация, медицинские показания и противопоказания к применению методов реабилитации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_Toc46321757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8" w:history="1">
            <w:r w:rsidR="00F479CE" w:rsidRPr="006254F4">
              <w:rPr>
                <w:rStyle w:val="affc"/>
                <w:noProof/>
                <w:color w:val="000000" w:themeColor="text1"/>
              </w:rPr>
              <w:t>5. Профилактика и диспансерное наблюдение, медицинские показания и противопоказания к применению методов профилактики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_Toc46321758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9" w:history="1">
            <w:r w:rsidR="00F479CE" w:rsidRPr="006254F4">
              <w:rPr>
                <w:rStyle w:val="affc"/>
                <w:noProof/>
                <w:color w:val="000000" w:themeColor="text1"/>
              </w:rPr>
              <w:t>6. Организация медицинской помощи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_Toc46321759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0" w:history="1">
            <w:r w:rsidR="00F479CE" w:rsidRPr="006254F4">
              <w:rPr>
                <w:rStyle w:val="affc"/>
                <w:noProof/>
                <w:color w:val="000000" w:themeColor="text1"/>
              </w:rPr>
              <w:t>7. Дополнительная информация (в том числе факторы, влияющие на исход заболевания или состояния)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_Toc46321760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1" w:history="1">
            <w:r w:rsidR="00F479CE" w:rsidRPr="006254F4">
              <w:rPr>
                <w:rStyle w:val="affc"/>
                <w:noProof/>
                <w:color w:val="000000" w:themeColor="text1"/>
              </w:rPr>
              <w:t>Критерии оценки качества медицинской помощи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_Toc46321761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2" w:history="1">
            <w:r w:rsidR="00F479CE" w:rsidRPr="006254F4">
              <w:rPr>
                <w:rStyle w:val="affc"/>
                <w:noProof/>
                <w:color w:val="000000" w:themeColor="text1"/>
              </w:rPr>
              <w:t>Список литературы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_Toc46321762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27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3" w:history="1">
            <w:r w:rsidR="00F479CE" w:rsidRPr="006254F4">
              <w:rPr>
                <w:rStyle w:val="affc"/>
                <w:noProof/>
                <w:color w:val="000000" w:themeColor="text1"/>
              </w:rPr>
              <w:t>Приложение А2. Методология разработки клинических рекомендаций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_Toc46321763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29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4" w:history="1">
            <w:r w:rsidR="00F479CE" w:rsidRPr="006254F4">
              <w:rPr>
                <w:rStyle w:val="affc"/>
                <w:noProof/>
                <w:color w:val="000000" w:themeColor="text1"/>
              </w:rPr>
  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_Toc46321764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31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65" w:history="1">
            <w:r w:rsidR="00F479CE" w:rsidRPr="006254F4">
              <w:rPr>
                <w:rStyle w:val="affc"/>
                <w:noProof/>
                <w:color w:val="000000" w:themeColor="text1"/>
              </w:rPr>
              <w:t>А3.1 Побочное действие ЭСП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_Toc46321765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31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F479CE" w:rsidRPr="006254F4" w:rsidRDefault="00954E2D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6" w:history="1">
            <w:r w:rsidR="00F479CE" w:rsidRPr="006254F4">
              <w:rPr>
                <w:rStyle w:val="affc"/>
                <w:noProof/>
                <w:color w:val="000000" w:themeColor="text1"/>
              </w:rPr>
              <w:t>Приложение Б. Алгоритмы действий врача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_Toc46321766 \h </w:instrText>
            </w:r>
            <w:r w:rsidRPr="006254F4">
              <w:rPr>
                <w:noProof/>
                <w:webHidden/>
                <w:color w:val="000000" w:themeColor="text1"/>
              </w:rPr>
            </w:r>
            <w:r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32</w:t>
            </w:r>
            <w:r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2112" w:rsidRPr="006254F4" w:rsidRDefault="00954E2D" w:rsidP="00A86E5F">
          <w:pPr>
            <w:rPr>
              <w:color w:val="000000" w:themeColor="text1"/>
            </w:rPr>
          </w:pPr>
          <w:r w:rsidRPr="006254F4">
            <w:rPr>
              <w:rFonts w:cs="Times New Roman"/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:rsidR="00172112" w:rsidRPr="006254F4" w:rsidRDefault="00172112" w:rsidP="00172112">
      <w:pPr>
        <w:rPr>
          <w:color w:val="000000" w:themeColor="text1"/>
        </w:rPr>
      </w:pPr>
    </w:p>
    <w:p w:rsidR="00172112" w:rsidRPr="006254F4" w:rsidRDefault="00172112" w:rsidP="00F756F0">
      <w:pPr>
        <w:pStyle w:val="aff9"/>
        <w:rPr>
          <w:color w:val="000000" w:themeColor="text1"/>
          <w:sz w:val="28"/>
        </w:rPr>
      </w:pPr>
      <w:r w:rsidRPr="006254F4">
        <w:rPr>
          <w:color w:val="000000" w:themeColor="text1"/>
        </w:rPr>
        <w:br w:type="page"/>
      </w:r>
    </w:p>
    <w:p w:rsidR="000414F6" w:rsidRPr="006254F4" w:rsidRDefault="00CB71DA" w:rsidP="00C4630C">
      <w:pPr>
        <w:pStyle w:val="afff1"/>
        <w:rPr>
          <w:color w:val="000000" w:themeColor="text1"/>
        </w:rPr>
      </w:pPr>
      <w:bookmarkStart w:id="2" w:name="__RefHeading___doc_abbreviation"/>
      <w:bookmarkStart w:id="3" w:name="_Toc46321739"/>
      <w:r w:rsidRPr="006254F4">
        <w:rPr>
          <w:color w:val="000000" w:themeColor="text1"/>
        </w:rPr>
        <w:lastRenderedPageBreak/>
        <w:t>Список сокращений</w:t>
      </w:r>
      <w:bookmarkEnd w:id="2"/>
      <w:bookmarkEnd w:id="3"/>
    </w:p>
    <w:p w:rsidR="00B46390" w:rsidRPr="006254F4" w:rsidRDefault="00EA0C8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ХБП – хроническая болезнь почек</w:t>
      </w:r>
    </w:p>
    <w:p w:rsidR="00DD07B7" w:rsidRPr="006254F4" w:rsidRDefault="00DD07B7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ГД – гемодиализ</w:t>
      </w:r>
    </w:p>
    <w:p w:rsidR="00DD07B7" w:rsidRPr="006254F4" w:rsidRDefault="00DD07B7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ПД – перитонеальный диализ</w:t>
      </w:r>
    </w:p>
    <w:p w:rsidR="00602D5A" w:rsidRPr="006254F4" w:rsidRDefault="00602D5A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рчЭПО – рекомбинантный человеческий эритропоэтин (группа В03ХА01 по классификации АТХ – этитропоэтин)</w:t>
      </w:r>
    </w:p>
    <w:p w:rsidR="00EA0C8E" w:rsidRPr="006254F4" w:rsidRDefault="00EA0C8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ЭС</w:t>
      </w:r>
      <w:r w:rsidR="00DD07B7" w:rsidRPr="006254F4">
        <w:rPr>
          <w:color w:val="000000" w:themeColor="text1"/>
        </w:rPr>
        <w:t>П</w:t>
      </w:r>
      <w:r w:rsidRPr="006254F4">
        <w:rPr>
          <w:color w:val="000000" w:themeColor="text1"/>
        </w:rPr>
        <w:t xml:space="preserve"> – эритропоэз-стимулирующие </w:t>
      </w:r>
      <w:r w:rsidR="0072649E" w:rsidRPr="006254F4">
        <w:rPr>
          <w:color w:val="000000" w:themeColor="text1"/>
        </w:rPr>
        <w:t>препараты</w:t>
      </w:r>
      <w:r w:rsidR="009E400F" w:rsidRPr="006254F4">
        <w:rPr>
          <w:color w:val="000000" w:themeColor="text1"/>
        </w:rPr>
        <w:t xml:space="preserve"> (группа В03ХА по классификации АТХ – другие антианемические препараты)</w:t>
      </w:r>
    </w:p>
    <w:p w:rsidR="00602D5A" w:rsidRPr="006254F4" w:rsidRDefault="0072649E" w:rsidP="00602D5A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 xml:space="preserve">ЭПО </w:t>
      </w:r>
      <w:r w:rsidR="00FD424E" w:rsidRPr="006254F4">
        <w:rPr>
          <w:color w:val="000000" w:themeColor="text1"/>
        </w:rPr>
        <w:t>–</w:t>
      </w:r>
      <w:r w:rsidRPr="006254F4">
        <w:rPr>
          <w:color w:val="000000" w:themeColor="text1"/>
        </w:rPr>
        <w:t xml:space="preserve"> эритропоэтин</w:t>
      </w:r>
    </w:p>
    <w:p w:rsidR="00EA0C8E" w:rsidRPr="006254F4" w:rsidRDefault="00EA0C8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ПККА – парциальная красноклеточная аплазия</w:t>
      </w:r>
    </w:p>
    <w:p w:rsidR="0072649E" w:rsidRPr="006254F4" w:rsidRDefault="0072649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ОЖСС – общая железосвязывающая способность</w:t>
      </w:r>
    </w:p>
    <w:p w:rsidR="000414F6" w:rsidRPr="006254F4" w:rsidRDefault="00CB71DA" w:rsidP="00D92F35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4" w:name="__RefHeading___doc_terms"/>
      <w:bookmarkStart w:id="5" w:name="_Toc46321740"/>
      <w:r w:rsidRPr="006254F4">
        <w:rPr>
          <w:color w:val="000000" w:themeColor="text1"/>
        </w:rPr>
        <w:lastRenderedPageBreak/>
        <w:t>Термины и определения</w:t>
      </w:r>
      <w:bookmarkEnd w:id="4"/>
      <w:bookmarkEnd w:id="5"/>
    </w:p>
    <w:p w:rsidR="001D40F8" w:rsidRPr="006254F4" w:rsidRDefault="00241008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Эритропоэзстимулирующие препараты (ЭСП) – группа лекарственных средств, стимулирующих процесс образования эритроцитов в костном мозге, которые применяются для лечения анемий</w:t>
      </w:r>
      <w:r w:rsidR="00602D5A" w:rsidRPr="006254F4">
        <w:rPr>
          <w:color w:val="000000" w:themeColor="text1"/>
        </w:rPr>
        <w:t xml:space="preserve"> (группа В03ХА по классификации АТХ – другие антианемические препараты)</w:t>
      </w:r>
      <w:r w:rsidRPr="006254F4">
        <w:rPr>
          <w:color w:val="000000" w:themeColor="text1"/>
        </w:rPr>
        <w:t>.</w:t>
      </w:r>
    </w:p>
    <w:p w:rsidR="00275A41" w:rsidRPr="006254F4" w:rsidRDefault="00CB71DA" w:rsidP="00D92F35">
      <w:pPr>
        <w:pStyle w:val="afb"/>
        <w:divId w:val="576134796"/>
        <w:rPr>
          <w:color w:val="000000" w:themeColor="text1"/>
        </w:rPr>
      </w:pPr>
      <w:r w:rsidRPr="006254F4">
        <w:rPr>
          <w:color w:val="000000" w:themeColor="text1"/>
        </w:rPr>
        <w:t>                                   </w:t>
      </w:r>
    </w:p>
    <w:p w:rsidR="00B8195D" w:rsidRPr="006254F4" w:rsidRDefault="00CB71DA" w:rsidP="00F81854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6" w:name="__RefHeading___doc_1"/>
    </w:p>
    <w:p w:rsidR="000414F6" w:rsidRPr="006254F4" w:rsidRDefault="00CB71DA" w:rsidP="00D92F35">
      <w:pPr>
        <w:pStyle w:val="afff1"/>
        <w:rPr>
          <w:color w:val="000000" w:themeColor="text1"/>
        </w:rPr>
      </w:pPr>
      <w:bookmarkStart w:id="7" w:name="_Toc46321741"/>
      <w:r w:rsidRPr="006254F4">
        <w:rPr>
          <w:color w:val="000000" w:themeColor="text1"/>
        </w:rPr>
        <w:lastRenderedPageBreak/>
        <w:t>1. Краткая информация</w:t>
      </w:r>
      <w:bookmarkEnd w:id="6"/>
      <w:r w:rsidR="00384B6A" w:rsidRPr="006254F4">
        <w:rPr>
          <w:color w:val="000000" w:themeColor="text1"/>
        </w:rPr>
        <w:t xml:space="preserve"> по заболеванию или состоянию (группе заболеваний или состояний)</w:t>
      </w:r>
      <w:bookmarkEnd w:id="7"/>
    </w:p>
    <w:p w:rsidR="00B46390" w:rsidRPr="006254F4" w:rsidRDefault="00B46390" w:rsidP="00D92F35">
      <w:pPr>
        <w:pStyle w:val="2"/>
        <w:rPr>
          <w:color w:val="000000" w:themeColor="text1"/>
        </w:rPr>
      </w:pPr>
      <w:bookmarkStart w:id="8" w:name="_Toc469402330"/>
      <w:bookmarkStart w:id="9" w:name="_Toc468273527"/>
      <w:bookmarkStart w:id="10" w:name="_Toc468273445"/>
      <w:bookmarkStart w:id="11" w:name="_Toc46321742"/>
      <w:bookmarkStart w:id="12" w:name="__RefHeading___doc_2"/>
      <w:bookmarkEnd w:id="8"/>
      <w:bookmarkEnd w:id="9"/>
      <w:bookmarkEnd w:id="10"/>
      <w:r w:rsidRPr="006254F4">
        <w:rPr>
          <w:color w:val="000000" w:themeColor="text1"/>
        </w:rPr>
        <w:t>1.1 Определение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1"/>
    </w:p>
    <w:p w:rsidR="0022110C" w:rsidRPr="006254F4" w:rsidRDefault="0022110C" w:rsidP="00D92F35">
      <w:pPr>
        <w:pStyle w:val="afb"/>
        <w:rPr>
          <w:b/>
          <w:color w:val="000000" w:themeColor="text1"/>
        </w:rPr>
      </w:pPr>
      <w:r w:rsidRPr="006254F4">
        <w:rPr>
          <w:bCs/>
          <w:color w:val="000000" w:themeColor="text1"/>
        </w:rPr>
        <w:t>Анемия</w:t>
      </w:r>
      <w:r w:rsidRPr="006254F4">
        <w:rPr>
          <w:color w:val="000000" w:themeColor="text1"/>
        </w:rPr>
        <w:t> — это синдром, при котором отмечается снижение концентрации гемоглобина в крови, чаще при одновременном уменьшении числа эритроцитов (или общего объёма эритроцитов).</w:t>
      </w:r>
      <w:r w:rsidR="009A3A1C" w:rsidRPr="006254F4">
        <w:rPr>
          <w:color w:val="000000" w:themeColor="text1"/>
        </w:rPr>
        <w:t xml:space="preserve"> Исключением является острая анемия на фоне кровотечения, при которой снижается общий объем крови и количество гемоглобина в организме, но концентрация гемоглобина в крови может некоторое время оставаться нормальной (до наступления гемодилюции). </w:t>
      </w:r>
    </w:p>
    <w:p w:rsidR="00B46390" w:rsidRPr="006254F4" w:rsidRDefault="00B46390" w:rsidP="00D92F35">
      <w:pPr>
        <w:pStyle w:val="2"/>
        <w:rPr>
          <w:color w:val="000000" w:themeColor="text1"/>
        </w:rPr>
      </w:pPr>
      <w:bookmarkStart w:id="13" w:name="_Toc46321743"/>
      <w:r w:rsidRPr="006254F4">
        <w:rPr>
          <w:color w:val="000000" w:themeColor="text1"/>
        </w:rPr>
        <w:t>1.2 Этиология и патогенез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3"/>
    </w:p>
    <w:p w:rsidR="005D3810" w:rsidRPr="006254F4" w:rsidRDefault="005D3810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Развитие анемии при </w:t>
      </w:r>
      <w:r w:rsidR="00E432C6" w:rsidRPr="006254F4">
        <w:rPr>
          <w:color w:val="000000" w:themeColor="text1"/>
        </w:rPr>
        <w:t>хронической почечной недостаточности (</w:t>
      </w:r>
      <w:r w:rsidRPr="006254F4">
        <w:rPr>
          <w:color w:val="000000" w:themeColor="text1"/>
        </w:rPr>
        <w:t>ХПН</w:t>
      </w:r>
      <w:r w:rsidR="00E432C6" w:rsidRPr="006254F4">
        <w:rPr>
          <w:color w:val="000000" w:themeColor="text1"/>
        </w:rPr>
        <w:t>), хронической болезни почек (ХБП)</w:t>
      </w:r>
      <w:r w:rsidRPr="006254F4">
        <w:rPr>
          <w:color w:val="000000" w:themeColor="text1"/>
        </w:rPr>
        <w:t xml:space="preserve"> обусловлено нарушением выработки эритропоэтина (ЭПО) в почках. Тяжесть анемии коррелирует со степенью нарушения функции почек. В патогенезе анемии играют роль дефицит железа и повышенный уровень воспалительных цитокинов. Анемия является предиктором развития гипертрофии левого желудочка, ассоциируется с ухудшением качества жизни, ростом кардиоваскулярных осложнений и увеличением частоты госпитализаций. Повышение нагрузки на сердце за счет тахикардии и увеличения ударного объема, </w:t>
      </w:r>
      <w:r w:rsidR="00E432C6" w:rsidRPr="006254F4">
        <w:rPr>
          <w:color w:val="000000" w:themeColor="text1"/>
        </w:rPr>
        <w:t xml:space="preserve">обусловленных </w:t>
      </w:r>
      <w:r w:rsidRPr="006254F4">
        <w:rPr>
          <w:color w:val="000000" w:themeColor="text1"/>
        </w:rPr>
        <w:t xml:space="preserve">анемией, </w:t>
      </w:r>
      <w:r w:rsidR="00E432C6" w:rsidRPr="006254F4">
        <w:rPr>
          <w:color w:val="000000" w:themeColor="text1"/>
        </w:rPr>
        <w:t xml:space="preserve">вызывает </w:t>
      </w:r>
      <w:r w:rsidRPr="006254F4">
        <w:rPr>
          <w:color w:val="000000" w:themeColor="text1"/>
        </w:rPr>
        <w:t>почечную вазоконстрикцию и задержку жидкости. Таким образом, возникает порочный круг, в котором застойная сердечная недостаточность, заболевание почек и анемия взаимно усугубляют друг друга.</w:t>
      </w:r>
    </w:p>
    <w:p w:rsidR="00B46390" w:rsidRPr="006254F4" w:rsidRDefault="00B46390" w:rsidP="00D92F35">
      <w:pPr>
        <w:pStyle w:val="2"/>
        <w:rPr>
          <w:color w:val="000000" w:themeColor="text1"/>
        </w:rPr>
      </w:pPr>
      <w:bookmarkStart w:id="14" w:name="_Toc46321744"/>
      <w:r w:rsidRPr="006254F4">
        <w:rPr>
          <w:color w:val="000000" w:themeColor="text1"/>
        </w:rPr>
        <w:t>1.3 Эпидемиология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4"/>
    </w:p>
    <w:p w:rsidR="00E81C0D" w:rsidRPr="006254F4" w:rsidRDefault="00E81C0D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Анемия закономерно осложняет хронические заболевания почек. Обычно анемия наблюдается при снижении клиренса креатинина до 40</w:t>
      </w:r>
      <w:r w:rsidR="00FD424E" w:rsidRPr="006254F4">
        <w:rPr>
          <w:color w:val="000000" w:themeColor="text1"/>
        </w:rPr>
        <w:t>-</w:t>
      </w:r>
      <w:r w:rsidRPr="006254F4">
        <w:rPr>
          <w:color w:val="000000" w:themeColor="text1"/>
        </w:rPr>
        <w:t xml:space="preserve">60 мл/мин, но может возникать и на более ранних стадиях заболевания. </w:t>
      </w:r>
      <w:r w:rsidR="00E432C6" w:rsidRPr="006254F4">
        <w:rPr>
          <w:color w:val="000000" w:themeColor="text1"/>
        </w:rPr>
        <w:t xml:space="preserve">Причины приобретенной анемии при болезни почек многочисленны. Наиболее часто анемия </w:t>
      </w:r>
      <w:r w:rsidRPr="006254F4">
        <w:rPr>
          <w:color w:val="000000" w:themeColor="text1"/>
        </w:rPr>
        <w:t xml:space="preserve">при ХБП носит гипорегенераторный характер вследствие нарушения образования эритропоэтина в почках. При дефиците железа анемия будет гипохромной, а при отсутствии дефицита железа – нормохромной. </w:t>
      </w:r>
    </w:p>
    <w:p w:rsidR="00311757" w:rsidRPr="006254F4" w:rsidRDefault="00B46390" w:rsidP="00D92F35">
      <w:pPr>
        <w:pStyle w:val="2"/>
        <w:rPr>
          <w:color w:val="000000" w:themeColor="text1"/>
        </w:rPr>
      </w:pPr>
      <w:bookmarkStart w:id="15" w:name="_Toc46321745"/>
      <w:r w:rsidRPr="006254F4">
        <w:rPr>
          <w:color w:val="000000" w:themeColor="text1"/>
        </w:rPr>
        <w:lastRenderedPageBreak/>
        <w:t xml:space="preserve">1.4 </w:t>
      </w:r>
      <w:r w:rsidR="00311757" w:rsidRPr="006254F4">
        <w:rPr>
          <w:color w:val="000000" w:themeColor="text1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:rsidR="00315A5D" w:rsidRPr="006254F4" w:rsidRDefault="00E81C0D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Код МКБ 10: </w:t>
      </w:r>
      <w:r w:rsidRPr="006254F4">
        <w:rPr>
          <w:color w:val="000000" w:themeColor="text1"/>
          <w:lang w:val="en-US"/>
        </w:rPr>
        <w:t>D</w:t>
      </w:r>
      <w:r w:rsidRPr="006254F4">
        <w:rPr>
          <w:color w:val="000000" w:themeColor="text1"/>
        </w:rPr>
        <w:t>6</w:t>
      </w:r>
      <w:r w:rsidR="003C172B" w:rsidRPr="006254F4">
        <w:rPr>
          <w:color w:val="000000" w:themeColor="text1"/>
        </w:rPr>
        <w:t>3.8 анемия при хронических заболеваниях, классифицированных в других рубриках.</w:t>
      </w:r>
    </w:p>
    <w:p w:rsidR="00B46390" w:rsidRPr="006254F4" w:rsidRDefault="00B46390" w:rsidP="00D92F35">
      <w:pPr>
        <w:pStyle w:val="2"/>
        <w:rPr>
          <w:color w:val="000000" w:themeColor="text1"/>
        </w:rPr>
      </w:pPr>
      <w:bookmarkStart w:id="16" w:name="_Toc46321746"/>
      <w:r w:rsidRPr="006254F4">
        <w:rPr>
          <w:color w:val="000000" w:themeColor="text1"/>
        </w:rPr>
        <w:t>1.5 Классификация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6"/>
    </w:p>
    <w:p w:rsidR="009A3A1C" w:rsidRPr="006254F4" w:rsidRDefault="009A3A1C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В зависимости от выраженности снижения концентрации гемоглобина (Hb) общепризнано выделять три степени тяжести анемии:</w:t>
      </w:r>
    </w:p>
    <w:p w:rsidR="009A3A1C" w:rsidRPr="006254F4" w:rsidRDefault="009A3A1C" w:rsidP="00D92F35">
      <w:pPr>
        <w:pStyle w:val="afb"/>
        <w:numPr>
          <w:ilvl w:val="0"/>
          <w:numId w:val="2"/>
        </w:numPr>
        <w:rPr>
          <w:color w:val="000000" w:themeColor="text1"/>
        </w:rPr>
      </w:pPr>
      <w:r w:rsidRPr="006254F4">
        <w:rPr>
          <w:color w:val="000000" w:themeColor="text1"/>
        </w:rPr>
        <w:t>легкая - концентрация Hb выше 90 г/л;</w:t>
      </w:r>
    </w:p>
    <w:p w:rsidR="009A3A1C" w:rsidRPr="006254F4" w:rsidRDefault="009A3A1C" w:rsidP="00D92F35">
      <w:pPr>
        <w:pStyle w:val="afb"/>
        <w:numPr>
          <w:ilvl w:val="0"/>
          <w:numId w:val="2"/>
        </w:numPr>
        <w:rPr>
          <w:color w:val="000000" w:themeColor="text1"/>
        </w:rPr>
      </w:pPr>
      <w:r w:rsidRPr="006254F4">
        <w:rPr>
          <w:color w:val="000000" w:themeColor="text1"/>
        </w:rPr>
        <w:t>средняя - концентрация Hb в пределах 90-70 г/л;</w:t>
      </w:r>
    </w:p>
    <w:p w:rsidR="009A3A1C" w:rsidRPr="006254F4" w:rsidRDefault="009A3A1C" w:rsidP="00D92F35">
      <w:pPr>
        <w:pStyle w:val="afb"/>
        <w:numPr>
          <w:ilvl w:val="0"/>
          <w:numId w:val="2"/>
        </w:numPr>
        <w:rPr>
          <w:color w:val="000000" w:themeColor="text1"/>
        </w:rPr>
      </w:pPr>
      <w:r w:rsidRPr="006254F4">
        <w:rPr>
          <w:color w:val="000000" w:themeColor="text1"/>
        </w:rPr>
        <w:t>тяжелая - концентрация Hb менее 70 г/л.</w:t>
      </w:r>
    </w:p>
    <w:p w:rsidR="00E432C6" w:rsidRPr="006254F4" w:rsidRDefault="00E432C6" w:rsidP="00E432C6">
      <w:pPr>
        <w:pStyle w:val="2"/>
        <w:rPr>
          <w:color w:val="000000" w:themeColor="text1"/>
        </w:rPr>
      </w:pPr>
      <w:r w:rsidRPr="006254F4">
        <w:rPr>
          <w:color w:val="000000" w:themeColor="text1"/>
        </w:rPr>
        <w:t xml:space="preserve">1.6 Клиническая картина заболевания или состояния (группы заболеваний или состояний) </w:t>
      </w:r>
    </w:p>
    <w:p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Большинство жалоб и симптомов являются неспецифическими признаками анемии, которые накладываются на симптомы основного заболевания.</w:t>
      </w:r>
    </w:p>
    <w:p w:rsidR="00DC2A1F" w:rsidRPr="006254F4" w:rsidRDefault="00DC2A1F" w:rsidP="00DC2A1F">
      <w:pPr>
        <w:pStyle w:val="afd"/>
        <w:ind w:left="0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Наиболее частыми жалобами у пациентов являются: </w:t>
      </w:r>
    </w:p>
    <w:p w:rsidR="00DC2A1F" w:rsidRPr="006254F4" w:rsidRDefault="00DC2A1F" w:rsidP="00DC2A1F">
      <w:pPr>
        <w:pStyle w:val="afb"/>
        <w:numPr>
          <w:ilvl w:val="0"/>
          <w:numId w:val="25"/>
        </w:numPr>
        <w:rPr>
          <w:color w:val="000000" w:themeColor="text1"/>
        </w:rPr>
      </w:pPr>
      <w:r w:rsidRPr="006254F4">
        <w:rPr>
          <w:color w:val="000000" w:themeColor="text1"/>
        </w:rPr>
        <w:t>сердцебиение, одышка, усиливающиеся при физической нагрузке;</w:t>
      </w:r>
    </w:p>
    <w:p w:rsidR="00DC2A1F" w:rsidRPr="006254F4" w:rsidRDefault="00DC2A1F" w:rsidP="00DC2A1F">
      <w:pPr>
        <w:pStyle w:val="afb"/>
        <w:numPr>
          <w:ilvl w:val="0"/>
          <w:numId w:val="25"/>
        </w:numPr>
        <w:rPr>
          <w:color w:val="000000" w:themeColor="text1"/>
        </w:rPr>
      </w:pPr>
      <w:r w:rsidRPr="006254F4">
        <w:rPr>
          <w:color w:val="000000" w:themeColor="text1"/>
        </w:rPr>
        <w:t>головокружение, шум в ушах;</w:t>
      </w:r>
    </w:p>
    <w:p w:rsidR="00E432C6" w:rsidRPr="006254F4" w:rsidRDefault="00DC2A1F" w:rsidP="00C60C42">
      <w:pPr>
        <w:pStyle w:val="afb"/>
        <w:numPr>
          <w:ilvl w:val="0"/>
          <w:numId w:val="25"/>
        </w:numPr>
        <w:rPr>
          <w:color w:val="000000" w:themeColor="text1"/>
        </w:rPr>
      </w:pPr>
      <w:r w:rsidRPr="006254F4">
        <w:rPr>
          <w:color w:val="000000" w:themeColor="text1"/>
        </w:rPr>
        <w:t>слабость, повышенная утомляемость</w:t>
      </w:r>
    </w:p>
    <w:p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При физикальном обследовании могут выявляться следующие признаки:</w:t>
      </w:r>
    </w:p>
    <w:p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бледность кожных покровов, видимых слизистых (желтушность кожи и слизистых при гемолизе);</w:t>
      </w:r>
    </w:p>
    <w:p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тахикардия, тахипноэ;</w:t>
      </w:r>
    </w:p>
    <w:p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приглушенность сердечных тонов, систолический шум на верхушке сердца и над крупными сосудами;</w:t>
      </w:r>
    </w:p>
    <w:p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вялость.</w:t>
      </w:r>
    </w:p>
    <w:p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Следует иметь в виду, что дети могут быть более толерантными к анемии, чем взрослые. Это обусловлено отчасти большим сердечно-легочным резервом и отсутствием коронарных заболеваний, а также сравнительно быстрой компенсацией потери кислородтранспортной способности (смещение кислородтранспортной кривой вправо и снижение сродства гемоглобина к кислороду). Таким образом, компенсаторные механизмы хронической анемии у детей обеспечивают толерантность к очень низким </w:t>
      </w:r>
      <w:r w:rsidRPr="006254F4">
        <w:rPr>
          <w:color w:val="000000" w:themeColor="text1"/>
        </w:rPr>
        <w:lastRenderedPageBreak/>
        <w:t>концентрациям Hb при наличии небольшого количества симптомов или вообще при их отсутствии, особенно если анемия развивается медленно в течение недель или месяцев.</w:t>
      </w:r>
    </w:p>
    <w:p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Многие факторы могут провоцировать декомпенсацию у пациента с анемией и приводить к гипоксии тканей и органов, которая угрожает жизни. Декомпенсация хронической анемии может наблюдаться при инфекциях, острой кровопотере.</w:t>
      </w:r>
    </w:p>
    <w:p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Причины декомпенсации хронической анемии:</w:t>
      </w:r>
    </w:p>
    <w:p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повышенная потребность в кислороде вследствие инфекции, боли, лихорадки;</w:t>
      </w:r>
    </w:p>
    <w:p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дальнейшее снижение снабжения тканей кислородом вследствие острой кровопотери, пневмонии.</w:t>
      </w:r>
    </w:p>
    <w:p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Ранние признаки декомпенсации:</w:t>
      </w:r>
    </w:p>
    <w:p w:rsidR="00DC2A1F" w:rsidRPr="006254F4" w:rsidRDefault="00DC2A1F" w:rsidP="00DC2A1F">
      <w:pPr>
        <w:pStyle w:val="afb"/>
        <w:numPr>
          <w:ilvl w:val="0"/>
          <w:numId w:val="28"/>
        </w:numPr>
        <w:rPr>
          <w:color w:val="000000" w:themeColor="text1"/>
        </w:rPr>
      </w:pPr>
      <w:r w:rsidRPr="006254F4">
        <w:rPr>
          <w:color w:val="000000" w:themeColor="text1"/>
        </w:rPr>
        <w:t>затрудненное, быстрое дыхание с межреберным, подреберным и надгрудинным втяжением (респираторный дистресс);</w:t>
      </w:r>
    </w:p>
    <w:p w:rsidR="00DC2A1F" w:rsidRPr="006254F4" w:rsidRDefault="00DC2A1F" w:rsidP="00DC2A1F">
      <w:pPr>
        <w:pStyle w:val="afb"/>
        <w:numPr>
          <w:ilvl w:val="0"/>
          <w:numId w:val="28"/>
        </w:numPr>
        <w:rPr>
          <w:color w:val="000000" w:themeColor="text1"/>
        </w:rPr>
      </w:pPr>
      <w:r w:rsidRPr="006254F4">
        <w:rPr>
          <w:color w:val="000000" w:themeColor="text1"/>
        </w:rPr>
        <w:t>усиленное использование мышц живота для дыхания;</w:t>
      </w:r>
    </w:p>
    <w:p w:rsidR="00DC2A1F" w:rsidRPr="006254F4" w:rsidRDefault="00DC2A1F" w:rsidP="00DC2A1F">
      <w:pPr>
        <w:pStyle w:val="afb"/>
        <w:numPr>
          <w:ilvl w:val="0"/>
          <w:numId w:val="28"/>
        </w:numPr>
        <w:rPr>
          <w:color w:val="000000" w:themeColor="text1"/>
        </w:rPr>
      </w:pPr>
      <w:r w:rsidRPr="006254F4">
        <w:rPr>
          <w:color w:val="000000" w:themeColor="text1"/>
        </w:rPr>
        <w:t>раздувание крыльев носа.</w:t>
      </w:r>
    </w:p>
    <w:p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Признаки острой декомпенсации:</w:t>
      </w:r>
    </w:p>
    <w:p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форсированный ("стонущий") выдох (респираторный дистресс);</w:t>
      </w:r>
    </w:p>
    <w:p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изменение психического состояния;</w:t>
      </w:r>
    </w:p>
    <w:p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ослабление периферического пульса;</w:t>
      </w:r>
    </w:p>
    <w:p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застойная сердечная недостаточность;</w:t>
      </w:r>
    </w:p>
    <w:p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гепатомегалия;</w:t>
      </w:r>
    </w:p>
    <w:p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плохая периферическая перфузия (время повторного наполнения капилляров больше 2 сек.).</w:t>
      </w:r>
    </w:p>
    <w:p w:rsidR="00DC2A1F" w:rsidRPr="006254F4" w:rsidRDefault="00DC2A1F" w:rsidP="00DC2A1F">
      <w:pPr>
        <w:pStyle w:val="afb"/>
        <w:rPr>
          <w:i/>
          <w:iCs/>
          <w:color w:val="000000" w:themeColor="text1"/>
        </w:rPr>
      </w:pPr>
      <w:r w:rsidRPr="006254F4">
        <w:rPr>
          <w:color w:val="000000" w:themeColor="text1"/>
        </w:rPr>
        <w:t>Пациент с этими клиническими признаками срочно нуждается в терапии, так как имеется высокий риск смерти из-за недостаточной кислородтранспортной способности.</w:t>
      </w:r>
    </w:p>
    <w:p w:rsidR="00DC2A1F" w:rsidRPr="006254F4" w:rsidRDefault="00DC2A1F" w:rsidP="006254F4">
      <w:pPr>
        <w:rPr>
          <w:color w:val="000000" w:themeColor="text1"/>
        </w:rPr>
      </w:pPr>
    </w:p>
    <w:p w:rsidR="000414F6" w:rsidRPr="006254F4" w:rsidRDefault="00B46390" w:rsidP="008437CC">
      <w:pPr>
        <w:pStyle w:val="afff1"/>
        <w:rPr>
          <w:color w:val="000000" w:themeColor="text1"/>
        </w:rPr>
      </w:pPr>
      <w:bookmarkStart w:id="17" w:name="_Toc46321747"/>
      <w:r w:rsidRPr="006254F4">
        <w:rPr>
          <w:color w:val="000000" w:themeColor="text1"/>
        </w:rPr>
        <w:t xml:space="preserve">2. </w:t>
      </w:r>
      <w:r w:rsidR="00CB71DA" w:rsidRPr="006254F4">
        <w:rPr>
          <w:color w:val="000000" w:themeColor="text1"/>
        </w:rPr>
        <w:t>Диагностика</w:t>
      </w:r>
      <w:bookmarkEnd w:id="12"/>
      <w:r w:rsidR="0038545E" w:rsidRPr="006254F4">
        <w:rPr>
          <w:color w:val="000000" w:themeColor="text1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7"/>
    </w:p>
    <w:p w:rsidR="00FD424E" w:rsidRPr="006254F4" w:rsidRDefault="00FD424E" w:rsidP="008437CC">
      <w:pPr>
        <w:pStyle w:val="afb"/>
        <w:rPr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Критерии установления диагноза: </w:t>
      </w:r>
      <w:bookmarkStart w:id="18" w:name="_Toc469402336"/>
      <w:bookmarkStart w:id="19" w:name="_Toc468273531"/>
      <w:bookmarkStart w:id="20" w:name="_Toc468273449"/>
      <w:bookmarkEnd w:id="18"/>
      <w:bookmarkEnd w:id="19"/>
      <w:bookmarkEnd w:id="20"/>
      <w:r w:rsidR="008437CC" w:rsidRPr="006254F4">
        <w:rPr>
          <w:color w:val="000000" w:themeColor="text1"/>
        </w:rPr>
        <w:t xml:space="preserve">анемия </w:t>
      </w:r>
      <w:r w:rsidRPr="006254F4">
        <w:rPr>
          <w:color w:val="000000" w:themeColor="text1"/>
        </w:rPr>
        <w:t xml:space="preserve">диагностируется у детей с хронической болезнью почек (ХБП), если концентрация гемоглобина ниже 110 г/л у детей в возрасте от полугода до 5 лет, ниже 115 г/л у детей в возрасте 5-12 лет и ниже 120 г/л у детей 12 – 15 </w:t>
      </w:r>
      <w:r w:rsidRPr="006254F4">
        <w:rPr>
          <w:color w:val="000000" w:themeColor="text1"/>
        </w:rPr>
        <w:lastRenderedPageBreak/>
        <w:t>лет. В возрасте старше 15 лет анемия диагностируется при гемоглобине менее 130 г/л у пациентов мужского пола и менее 120 г/л у пациентов женского пола.</w:t>
      </w:r>
    </w:p>
    <w:p w:rsidR="00FD424E" w:rsidRPr="006254F4" w:rsidRDefault="00FD424E" w:rsidP="009A3A1C">
      <w:pPr>
        <w:jc w:val="center"/>
        <w:rPr>
          <w:rFonts w:cs="Times New Roman"/>
          <w:b/>
          <w:color w:val="000000" w:themeColor="text1"/>
          <w:szCs w:val="24"/>
          <w:u w:val="single"/>
          <w:lang w:eastAsia="ru-RU"/>
        </w:rPr>
      </w:pPr>
    </w:p>
    <w:p w:rsidR="009A3A1C" w:rsidRPr="006254F4" w:rsidRDefault="009A3A1C" w:rsidP="007C3266">
      <w:pPr>
        <w:pStyle w:val="2"/>
        <w:rPr>
          <w:color w:val="000000" w:themeColor="text1"/>
          <w:lang w:eastAsia="ru-RU"/>
        </w:rPr>
      </w:pPr>
      <w:bookmarkStart w:id="21" w:name="_Toc46321748"/>
      <w:r w:rsidRPr="006254F4">
        <w:rPr>
          <w:color w:val="000000" w:themeColor="text1"/>
          <w:lang w:eastAsia="ru-RU"/>
        </w:rPr>
        <w:t>2.1 Жалобы и анамнез</w:t>
      </w:r>
      <w:bookmarkEnd w:id="21"/>
    </w:p>
    <w:p w:rsidR="00F917AE" w:rsidRPr="006254F4" w:rsidRDefault="00983DA5" w:rsidP="00F81B13">
      <w:pPr>
        <w:pStyle w:val="afd"/>
        <w:numPr>
          <w:ilvl w:val="0"/>
          <w:numId w:val="25"/>
        </w:numPr>
        <w:ind w:left="709"/>
        <w:rPr>
          <w:color w:val="000000" w:themeColor="text1"/>
        </w:rPr>
      </w:pPr>
      <w:r w:rsidRPr="006254F4">
        <w:rPr>
          <w:color w:val="000000" w:themeColor="text1"/>
        </w:rPr>
        <w:t xml:space="preserve">Всем пациентам с </w:t>
      </w:r>
      <w:r w:rsidR="0050363E" w:rsidRPr="006254F4">
        <w:rPr>
          <w:color w:val="000000" w:themeColor="text1"/>
        </w:rPr>
        <w:t>ХБП</w:t>
      </w:r>
      <w:r w:rsidRPr="006254F4">
        <w:rPr>
          <w:color w:val="000000" w:themeColor="text1"/>
        </w:rPr>
        <w:t xml:space="preserve"> с подозрением на анемию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сбор анамнеза и жалоб при заболеваниях органов кроветворения и крови для оценки состояния пациента, а также для исключения возможных других причин анемии </w:t>
      </w:r>
      <w:r w:rsidR="00954E2D"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8869D6" w:rsidRPr="006254F4">
        <w:rPr>
          <w:noProof/>
          <w:color w:val="000000" w:themeColor="text1"/>
        </w:rPr>
        <w:t>[1–3]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 xml:space="preserve">. </w:t>
      </w:r>
    </w:p>
    <w:p w:rsidR="00983DA5" w:rsidRPr="006254F4" w:rsidRDefault="00983DA5" w:rsidP="00983DA5">
      <w:pPr>
        <w:ind w:left="709" w:firstLine="0"/>
        <w:contextualSpacing/>
        <w:rPr>
          <w:b/>
          <w:color w:val="000000" w:themeColor="text1"/>
        </w:rPr>
      </w:pPr>
      <w:r w:rsidRPr="006254F4">
        <w:rPr>
          <w:b/>
          <w:color w:val="000000" w:themeColor="text1"/>
        </w:rPr>
        <w:t>Уровень убедительности рекомендаций С (уровень достоверности доказательств 5).</w:t>
      </w:r>
    </w:p>
    <w:p w:rsidR="009A3A1C" w:rsidRPr="006254F4" w:rsidRDefault="00983DA5" w:rsidP="006254F4">
      <w:pPr>
        <w:pStyle w:val="afd"/>
        <w:ind w:left="0"/>
        <w:rPr>
          <w:i/>
          <w:iCs/>
          <w:color w:val="000000" w:themeColor="text1"/>
        </w:rPr>
      </w:pPr>
      <w:r w:rsidRPr="006254F4">
        <w:rPr>
          <w:b/>
          <w:color w:val="000000" w:themeColor="text1"/>
        </w:rPr>
        <w:t xml:space="preserve">Комментарий: </w:t>
      </w:r>
      <w:r w:rsidRPr="006254F4">
        <w:rPr>
          <w:bCs/>
          <w:i/>
          <w:iCs/>
          <w:color w:val="000000" w:themeColor="text1"/>
        </w:rPr>
        <w:t>при</w:t>
      </w:r>
      <w:r w:rsidR="009A3A1C" w:rsidRPr="006254F4">
        <w:rPr>
          <w:i/>
          <w:iCs/>
          <w:color w:val="000000" w:themeColor="text1"/>
        </w:rPr>
        <w:t>сборе у пациента жалоб выясняют наличие у него симптомов</w:t>
      </w:r>
      <w:r w:rsidR="00DC2A1F" w:rsidRPr="006254F4">
        <w:rPr>
          <w:i/>
          <w:iCs/>
          <w:color w:val="000000" w:themeColor="text1"/>
        </w:rPr>
        <w:t xml:space="preserve"> анемии (см. раздел 1.6). </w:t>
      </w:r>
    </w:p>
    <w:p w:rsidR="009A3A1C" w:rsidRPr="006254F4" w:rsidRDefault="009A3A1C" w:rsidP="00983DA5">
      <w:pPr>
        <w:pStyle w:val="afb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сборе</w:t>
      </w:r>
      <w:r w:rsidR="00DC2A1F" w:rsidRPr="006254F4">
        <w:rPr>
          <w:i/>
          <w:iCs/>
          <w:color w:val="000000" w:themeColor="text1"/>
        </w:rPr>
        <w:t xml:space="preserve"> анамнеза</w:t>
      </w:r>
      <w:r w:rsidR="00E432C6" w:rsidRPr="006254F4">
        <w:rPr>
          <w:i/>
          <w:iCs/>
          <w:color w:val="000000" w:themeColor="text1"/>
        </w:rPr>
        <w:t>обращают внимание на возможные дополнительные причины развития анемии</w:t>
      </w:r>
      <w:r w:rsidRPr="006254F4">
        <w:rPr>
          <w:i/>
          <w:iCs/>
          <w:color w:val="000000" w:themeColor="text1"/>
        </w:rPr>
        <w:t>:</w:t>
      </w:r>
    </w:p>
    <w:p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кровотечения (острые и хронические);</w:t>
      </w:r>
    </w:p>
    <w:p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гемолиз (аутоиммунный, микроангиопатический);</w:t>
      </w:r>
    </w:p>
    <w:p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интеркуррентные заболевания (</w:t>
      </w:r>
      <w:r w:rsidR="00E432C6" w:rsidRPr="006254F4">
        <w:rPr>
          <w:i/>
          <w:iCs/>
          <w:color w:val="000000" w:themeColor="text1"/>
        </w:rPr>
        <w:t>хронические инфекционно-воспалительные заболевания</w:t>
      </w:r>
      <w:r w:rsidRPr="006254F4">
        <w:rPr>
          <w:i/>
          <w:iCs/>
          <w:color w:val="000000" w:themeColor="text1"/>
        </w:rPr>
        <w:t>);</w:t>
      </w:r>
    </w:p>
    <w:p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дефицит железа, фолатов, витамина В12 (алиментарный фактор, нарушенная абсорбция).</w:t>
      </w:r>
    </w:p>
    <w:p w:rsidR="009A3A1C" w:rsidRPr="006254F4" w:rsidRDefault="009A3A1C" w:rsidP="00F81B13">
      <w:pPr>
        <w:pStyle w:val="2"/>
        <w:rPr>
          <w:color w:val="000000" w:themeColor="text1"/>
          <w:lang w:eastAsia="ru-RU"/>
        </w:rPr>
      </w:pPr>
      <w:bookmarkStart w:id="22" w:name="_Toc46321749"/>
      <w:r w:rsidRPr="006254F4">
        <w:rPr>
          <w:color w:val="000000" w:themeColor="text1"/>
          <w:lang w:eastAsia="ru-RU"/>
        </w:rPr>
        <w:t>2.2 Физикальное обследование</w:t>
      </w:r>
      <w:bookmarkEnd w:id="22"/>
    </w:p>
    <w:p w:rsidR="008869D6" w:rsidRPr="006254F4" w:rsidRDefault="008869D6" w:rsidP="00F81B13">
      <w:pPr>
        <w:pStyle w:val="afd"/>
        <w:numPr>
          <w:ilvl w:val="0"/>
          <w:numId w:val="25"/>
        </w:numPr>
        <w:ind w:left="709"/>
        <w:rPr>
          <w:color w:val="000000" w:themeColor="text1"/>
        </w:rPr>
      </w:pPr>
      <w:r w:rsidRPr="006254F4">
        <w:rPr>
          <w:color w:val="000000" w:themeColor="text1"/>
        </w:rPr>
        <w:t>Всем пациентам с хронической болезнью почек с подозрением на анемию</w:t>
      </w:r>
      <w:r w:rsidR="00881BBF" w:rsidRPr="006254F4">
        <w:rPr>
          <w:color w:val="000000" w:themeColor="text1"/>
        </w:rPr>
        <w:t xml:space="preserve">, а также всем пациентам с </w:t>
      </w:r>
      <w:r w:rsidR="0050363E" w:rsidRPr="006254F4">
        <w:rPr>
          <w:color w:val="000000" w:themeColor="text1"/>
        </w:rPr>
        <w:t>установленным диагнозом анемии при ХБП</w:t>
      </w:r>
      <w:r w:rsidR="001C215D" w:rsidRPr="006254F4">
        <w:rPr>
          <w:color w:val="000000" w:themeColor="text1"/>
        </w:rPr>
        <w:t xml:space="preserve"> при каждом врачебном приеме</w:t>
      </w:r>
      <w:r w:rsidRPr="006254F4">
        <w:rPr>
          <w:b/>
          <w:color w:val="000000" w:themeColor="text1"/>
        </w:rPr>
        <w:t>рекомендуется</w:t>
      </w:r>
      <w:r w:rsidR="00734782" w:rsidRPr="006254F4">
        <w:rPr>
          <w:color w:val="000000" w:themeColor="text1"/>
        </w:rPr>
        <w:t>визуальное исследование, пальпация, перкуссия при заболеваниях органов кроветворения и крови</w:t>
      </w:r>
      <w:r w:rsidR="00954E2D"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 xml:space="preserve">. </w:t>
      </w:r>
    </w:p>
    <w:p w:rsidR="008869D6" w:rsidRPr="006254F4" w:rsidRDefault="008869D6" w:rsidP="008869D6">
      <w:pPr>
        <w:ind w:left="709" w:firstLine="0"/>
        <w:contextualSpacing/>
        <w:rPr>
          <w:b/>
          <w:color w:val="000000" w:themeColor="text1"/>
        </w:rPr>
      </w:pPr>
      <w:r w:rsidRPr="006254F4">
        <w:rPr>
          <w:b/>
          <w:color w:val="000000" w:themeColor="text1"/>
        </w:rPr>
        <w:t>Уровень убедительности рекомендаций С (уровень достоверности доказательств 5).</w:t>
      </w:r>
    </w:p>
    <w:p w:rsidR="00DC2A1F" w:rsidRPr="006254F4" w:rsidRDefault="008869D6" w:rsidP="00DC2A1F">
      <w:pPr>
        <w:rPr>
          <w:color w:val="000000" w:themeColor="text1"/>
          <w:lang w:eastAsia="ru-RU"/>
        </w:rPr>
      </w:pPr>
      <w:r w:rsidRPr="006254F4">
        <w:rPr>
          <w:b/>
          <w:color w:val="000000" w:themeColor="text1"/>
        </w:rPr>
        <w:t xml:space="preserve">Комментарий: </w:t>
      </w:r>
      <w:r w:rsidR="00734782" w:rsidRPr="006254F4">
        <w:rPr>
          <w:i/>
          <w:iCs/>
          <w:color w:val="000000" w:themeColor="text1"/>
        </w:rPr>
        <w:t>о</w:t>
      </w:r>
      <w:r w:rsidR="009A3A1C" w:rsidRPr="006254F4">
        <w:rPr>
          <w:i/>
          <w:iCs/>
          <w:color w:val="000000" w:themeColor="text1"/>
        </w:rPr>
        <w:t>бщий осмотр подразумевает оценку общего физического состояния, симптомов гемической гипоксии</w:t>
      </w:r>
      <w:r w:rsidR="00DC2A1F" w:rsidRPr="006254F4">
        <w:rPr>
          <w:i/>
          <w:iCs/>
          <w:color w:val="000000" w:themeColor="text1"/>
        </w:rPr>
        <w:t xml:space="preserve"> (см. раздел 1.6)</w:t>
      </w:r>
      <w:r w:rsidR="009A3A1C" w:rsidRPr="006254F4">
        <w:rPr>
          <w:i/>
          <w:iCs/>
          <w:color w:val="000000" w:themeColor="text1"/>
        </w:rPr>
        <w:t>, возможных признаков декомпенсации анемического синдрома.</w:t>
      </w:r>
      <w:r w:rsidR="00DC2A1F" w:rsidRPr="006254F4">
        <w:rPr>
          <w:i/>
          <w:iCs/>
          <w:color w:val="000000" w:themeColor="text1"/>
        </w:rPr>
        <w:t xml:space="preserve"> При осмотре врач должен оценивать, как объективные физикальные симптомы анемии (бледность кожных покровов и видимых слизистых, тахикардия, тахипноэ), так и субъективные симптомы анемии при активном целенаправленном расспросе самого пациента или (в педиатрической практике) его родителей.</w:t>
      </w:r>
    </w:p>
    <w:p w:rsidR="00094ED6" w:rsidRPr="006254F4" w:rsidRDefault="00B46390" w:rsidP="00E36E64">
      <w:pPr>
        <w:pStyle w:val="2"/>
        <w:divId w:val="266810958"/>
        <w:rPr>
          <w:color w:val="000000" w:themeColor="text1"/>
        </w:rPr>
      </w:pPr>
      <w:bookmarkStart w:id="23" w:name="_Toc46321750"/>
      <w:r w:rsidRPr="006254F4">
        <w:rPr>
          <w:color w:val="000000" w:themeColor="text1"/>
        </w:rPr>
        <w:lastRenderedPageBreak/>
        <w:t>2.3 Лабораторн</w:t>
      </w:r>
      <w:r w:rsidR="00A70F44" w:rsidRPr="006254F4">
        <w:rPr>
          <w:color w:val="000000" w:themeColor="text1"/>
        </w:rPr>
        <w:t>ые диагностические исследования</w:t>
      </w:r>
      <w:bookmarkEnd w:id="23"/>
    </w:p>
    <w:p w:rsidR="009B6BFC" w:rsidRPr="006254F4" w:rsidRDefault="005D3810" w:rsidP="005D3810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rFonts w:cs="Times New Roman"/>
          <w:i/>
          <w:iCs/>
          <w:color w:val="000000" w:themeColor="text1"/>
          <w:spacing w:val="-2"/>
        </w:rPr>
        <w:t xml:space="preserve">Диагностическим триггером для начала гематологического обследования является выявление ХБП. </w:t>
      </w:r>
    </w:p>
    <w:p w:rsidR="00234622" w:rsidRPr="006254F4" w:rsidRDefault="00234622" w:rsidP="00234622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rFonts w:cs="Times New Roman"/>
          <w:i/>
          <w:iCs/>
          <w:color w:val="000000" w:themeColor="text1"/>
          <w:spacing w:val="-2"/>
        </w:rPr>
        <w:t xml:space="preserve">Снижение продукции эндогенного ЭПО наблюдается во всех случаях анемии на фоне ХБП, поэтому определение уровня сывороточного ЭПО не является обязательным. </w:t>
      </w:r>
    </w:p>
    <w:p w:rsidR="00115626" w:rsidRPr="006254F4" w:rsidRDefault="00E432C6" w:rsidP="00234622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rFonts w:cs="Times New Roman"/>
          <w:i/>
          <w:iCs/>
          <w:color w:val="000000" w:themeColor="text1"/>
          <w:spacing w:val="-2"/>
        </w:rPr>
        <w:t xml:space="preserve">Снижение продукции эритропоэтина, дефицит железа и воспалительный процесс являются основными причинами анемии при ХБП. Однако, следует </w:t>
      </w:r>
      <w:r w:rsidR="00115626" w:rsidRPr="006254F4">
        <w:rPr>
          <w:rFonts w:cs="Times New Roman"/>
          <w:i/>
          <w:iCs/>
          <w:color w:val="000000" w:themeColor="text1"/>
          <w:spacing w:val="-2"/>
        </w:rPr>
        <w:t xml:space="preserve">помнить, что 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>неадекватны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>й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 режим программного гемодиализа,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>инфекционные осложнения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,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хронические 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кровопотери,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>вторичный гиперпаратиреоз – частые факторы,  усугубляющие  анемию.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 Кроме того,</w:t>
      </w:r>
      <w:r w:rsidR="00115626" w:rsidRPr="006254F4">
        <w:rPr>
          <w:rFonts w:cs="Times New Roman"/>
          <w:i/>
          <w:iCs/>
          <w:color w:val="000000" w:themeColor="text1"/>
          <w:spacing w:val="-2"/>
        </w:rPr>
        <w:t xml:space="preserve"> у </w:t>
      </w:r>
      <w:r w:rsidRPr="006254F4">
        <w:rPr>
          <w:rFonts w:cs="Times New Roman"/>
          <w:i/>
          <w:iCs/>
          <w:color w:val="000000" w:themeColor="text1"/>
          <w:spacing w:val="-2"/>
        </w:rPr>
        <w:t xml:space="preserve">пациентов </w:t>
      </w:r>
      <w:r w:rsidR="00115626" w:rsidRPr="006254F4">
        <w:rPr>
          <w:rFonts w:cs="Times New Roman"/>
          <w:i/>
          <w:iCs/>
          <w:color w:val="000000" w:themeColor="text1"/>
          <w:spacing w:val="-2"/>
        </w:rPr>
        <w:t>с ХБП может наблюдаться любая другая форма анемии, в том числе гемоглобинопатия, аутоиммунная гемолитическая анемия и т.д.</w:t>
      </w:r>
    </w:p>
    <w:p w:rsidR="00A1759B" w:rsidRPr="006254F4" w:rsidRDefault="00A1759B" w:rsidP="00A1759B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Всем пациентам с ХБП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выполнение общего (клинического) анализа крови, оценка гематокрита (</w:t>
      </w:r>
      <w:r w:rsidRPr="006254F4">
        <w:rPr>
          <w:color w:val="000000" w:themeColor="text1"/>
          <w:lang w:val="en-US"/>
        </w:rPr>
        <w:t>Hct</w:t>
      </w:r>
      <w:r w:rsidRPr="006254F4">
        <w:rPr>
          <w:color w:val="000000" w:themeColor="text1"/>
        </w:rPr>
        <w:t xml:space="preserve">), исследование уровня эритроцитов в крови и исследование уровня ретикулоцитов с целью диагностики и дифференциальной диагностики анемии </w:t>
      </w:r>
      <w:r w:rsidR="00954E2D"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A1759B" w:rsidRPr="006254F4" w:rsidRDefault="00A1759B" w:rsidP="00A1759B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CA0B71" w:rsidRPr="006254F4" w:rsidRDefault="00A1759B" w:rsidP="00CA0B71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b/>
          <w:color w:val="000000" w:themeColor="text1"/>
        </w:rPr>
        <w:t xml:space="preserve">Комментарии: </w:t>
      </w:r>
      <w:r w:rsidR="00CA0B71" w:rsidRPr="006254F4">
        <w:rPr>
          <w:rFonts w:cs="Times New Roman"/>
          <w:i/>
          <w:iCs/>
          <w:color w:val="000000" w:themeColor="text1"/>
        </w:rPr>
        <w:t>анемия диагностируется с учетом возрастных норм. Необходимо проводить коррекцию нормальных величин для детей, живущих в местности, расположенной на больших высотах.</w:t>
      </w:r>
    </w:p>
    <w:p w:rsidR="0074789D" w:rsidRPr="006254F4" w:rsidRDefault="0074789D" w:rsidP="0074789D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Контроль уровня гемоглобина следует проводить один раз в неделю при подборе дозы ЭСП и переводе с</w:t>
      </w:r>
      <w:r w:rsidR="00602D5A" w:rsidRPr="006254F4">
        <w:rPr>
          <w:rFonts w:cs="Times New Roman"/>
          <w:i/>
          <w:iCs/>
          <w:color w:val="000000" w:themeColor="text1"/>
        </w:rPr>
        <w:t xml:space="preserve"> рекомбинантного человеческого эритропоэтина(</w:t>
      </w:r>
      <w:r w:rsidRPr="006254F4">
        <w:rPr>
          <w:rFonts w:cs="Times New Roman"/>
          <w:i/>
          <w:iCs/>
          <w:color w:val="000000" w:themeColor="text1"/>
        </w:rPr>
        <w:t>рчЭПО</w:t>
      </w:r>
      <w:r w:rsidR="00602D5A" w:rsidRPr="006254F4">
        <w:rPr>
          <w:rFonts w:cs="Times New Roman"/>
          <w:i/>
          <w:iCs/>
          <w:color w:val="000000" w:themeColor="text1"/>
        </w:rPr>
        <w:t xml:space="preserve">; </w:t>
      </w:r>
      <w:r w:rsidR="00602D5A" w:rsidRPr="006254F4">
        <w:rPr>
          <w:i/>
          <w:iCs/>
          <w:color w:val="000000" w:themeColor="text1"/>
        </w:rPr>
        <w:t>группа В03ХА01 по классификации АТХ – этитропоэтин)</w:t>
      </w:r>
      <w:r w:rsidRPr="006254F4">
        <w:rPr>
          <w:rFonts w:cs="Times New Roman"/>
          <w:i/>
          <w:iCs/>
          <w:color w:val="000000" w:themeColor="text1"/>
        </w:rPr>
        <w:t xml:space="preserve"> на дарб</w:t>
      </w:r>
      <w:r w:rsidR="00D91D27" w:rsidRPr="006254F4">
        <w:rPr>
          <w:rFonts w:cs="Times New Roman"/>
          <w:i/>
          <w:iCs/>
          <w:color w:val="000000" w:themeColor="text1"/>
        </w:rPr>
        <w:t>эпоэтин альфа**</w:t>
      </w:r>
      <w:r w:rsidRPr="006254F4">
        <w:rPr>
          <w:rFonts w:cs="Times New Roman"/>
          <w:i/>
          <w:iCs/>
          <w:color w:val="000000" w:themeColor="text1"/>
        </w:rPr>
        <w:t>, затем один раз в 2 недели, но не реже одного раза в месяц.</w:t>
      </w:r>
    </w:p>
    <w:p w:rsidR="0074789D" w:rsidRPr="006254F4" w:rsidRDefault="0074789D" w:rsidP="0074789D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У пациентов ХБП, у которых гемодиализ не проводится, контроль уровня гемоглобина на фоне поддерживающего лечения ЭСП следует проводить не реже одного раза в 3 месяца.  </w:t>
      </w:r>
    </w:p>
    <w:p w:rsidR="0074789D" w:rsidRPr="006254F4" w:rsidRDefault="0074789D" w:rsidP="0074789D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У пациентов, которым проводится гемодиализ, уровень гемоглобина на фоне поддерживающего лечения ЭСП следует проводить не реже одного раза в месяц.</w:t>
      </w:r>
    </w:p>
    <w:p w:rsidR="00AE4FC8" w:rsidRPr="006254F4" w:rsidRDefault="00AE4FC8" w:rsidP="00AE4FC8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r w:rsidRPr="006254F4">
        <w:rPr>
          <w:bCs/>
          <w:color w:val="000000" w:themeColor="text1"/>
        </w:rPr>
        <w:t>Пациентам с ХБП</w:t>
      </w:r>
      <w:r w:rsidR="00FA3029" w:rsidRPr="006254F4">
        <w:rPr>
          <w:bCs/>
          <w:color w:val="000000" w:themeColor="text1"/>
        </w:rPr>
        <w:t xml:space="preserve"> и анемией</w:t>
      </w:r>
      <w:r w:rsidRPr="006254F4">
        <w:rPr>
          <w:b/>
          <w:color w:val="000000" w:themeColor="text1"/>
        </w:rPr>
        <w:t>рекомендуется</w:t>
      </w:r>
      <w:r w:rsidR="00431415" w:rsidRPr="006254F4">
        <w:rPr>
          <w:color w:val="000000" w:themeColor="text1"/>
        </w:rPr>
        <w:t xml:space="preserve">исследование уровня железа сыворотки крови, исследование насыщения трансферрина железом, исследование уровня ферритина в крови с целью уточнения характера  анемии </w:t>
      </w:r>
      <w:r w:rsidRPr="006254F4">
        <w:rPr>
          <w:color w:val="000000" w:themeColor="text1"/>
        </w:rPr>
        <w:t xml:space="preserve">и дифференциальной диагностики с железодефицитной анемией </w:t>
      </w:r>
      <w:r w:rsidR="00954E2D"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AE4FC8" w:rsidRPr="006254F4" w:rsidRDefault="00AE4FC8" w:rsidP="00AE4FC8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lastRenderedPageBreak/>
        <w:t>Уровень убедительности рекомендаций С (уровень достоверности доказательств – 5)</w:t>
      </w:r>
    </w:p>
    <w:p w:rsidR="00AE4FC8" w:rsidRPr="006254F4" w:rsidRDefault="00AE4FC8" w:rsidP="00AE4FC8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b/>
          <w:color w:val="000000" w:themeColor="text1"/>
        </w:rPr>
        <w:t xml:space="preserve">Комментарии: </w:t>
      </w:r>
      <w:r w:rsidRPr="006254F4">
        <w:rPr>
          <w:rFonts w:cs="Times New Roman"/>
          <w:i/>
          <w:iCs/>
          <w:color w:val="000000" w:themeColor="text1"/>
          <w:spacing w:val="-2"/>
        </w:rPr>
        <w:t>при ХБП показатели обмена железа (железо сыворотки, ОЖСС, процент насыщения трансферрина) могут быть в пределах нормы, снижены или повышены. При интерпретации уровня ферритина следует помнить, что данный показатель повышается при воспалительном процессе.</w:t>
      </w:r>
    </w:p>
    <w:p w:rsidR="008712F9" w:rsidRPr="006254F4" w:rsidRDefault="008712F9" w:rsidP="008712F9">
      <w:pPr>
        <w:pStyle w:val="afb"/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Поскольку ферритин является острофазным белком, диагностическое значение следует оцениваться отлично от пациентов, не страдающих хроническим заболеванием почек. Железодефицитная анемия диагностируется у пациентов с ХБП при </w:t>
      </w:r>
      <w:r w:rsidR="00601BC7" w:rsidRPr="006254F4">
        <w:rPr>
          <w:i/>
          <w:iCs/>
          <w:color w:val="000000" w:themeColor="text1"/>
        </w:rPr>
        <w:t xml:space="preserve">содержании </w:t>
      </w:r>
      <w:r w:rsidRPr="006254F4">
        <w:rPr>
          <w:i/>
          <w:iCs/>
          <w:color w:val="000000" w:themeColor="text1"/>
        </w:rPr>
        <w:t>ферритина ниже 100 нг/мл.</w:t>
      </w:r>
    </w:p>
    <w:p w:rsidR="00601BC7" w:rsidRPr="006254F4" w:rsidRDefault="00601BC7" w:rsidP="00601BC7">
      <w:pPr>
        <w:pStyle w:val="afb"/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количестве ферритина выше 100 нг/мл проценте гипохромных эритроцитов более 6% или насыщении трансферрина ниже 20%диагностируют функциональный дефицит железа.</w:t>
      </w:r>
    </w:p>
    <w:p w:rsidR="00601BC7" w:rsidRPr="006254F4" w:rsidRDefault="00601BC7" w:rsidP="00601BC7">
      <w:pPr>
        <w:tabs>
          <w:tab w:val="left" w:pos="5812"/>
        </w:tabs>
        <w:divId w:val="266810958"/>
        <w:rPr>
          <w:rFonts w:eastAsia="Times New Roman" w:cs="Times New Roman"/>
          <w:i/>
          <w:iCs/>
          <w:color w:val="000000" w:themeColor="text1"/>
          <w:szCs w:val="24"/>
          <w:lang w:eastAsia="ru-RU"/>
        </w:rPr>
      </w:pPr>
      <w:r w:rsidRPr="006254F4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При назначении ЭСП следует определять насыщение трансферрина и содержания ферритина не реже одного раза в 3 месяца.</w:t>
      </w:r>
    </w:p>
    <w:p w:rsidR="001C57BE" w:rsidRPr="006254F4" w:rsidRDefault="00601BC7" w:rsidP="001C57BE">
      <w:pPr>
        <w:pStyle w:val="afb"/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Более частый мониторинг  насыщения трансферрина и концентрации ферритина показан</w:t>
      </w:r>
      <w:r w:rsidR="001C57BE" w:rsidRPr="006254F4">
        <w:rPr>
          <w:i/>
          <w:iCs/>
          <w:color w:val="000000" w:themeColor="text1"/>
        </w:rPr>
        <w:t>:</w:t>
      </w:r>
    </w:p>
    <w:p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в начальном периоде применения ЭСП</w:t>
      </w:r>
    </w:p>
    <w:p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повышении дозы ЭСП</w:t>
      </w:r>
    </w:p>
    <w:p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если имеется кровопотеря</w:t>
      </w:r>
    </w:p>
    <w:p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контроле ответа на курс внутривенного железа</w:t>
      </w:r>
    </w:p>
    <w:p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при любых ситуациях, когда </w:t>
      </w:r>
      <w:r w:rsidR="00803046" w:rsidRPr="006254F4">
        <w:rPr>
          <w:i/>
          <w:iCs/>
          <w:color w:val="000000" w:themeColor="text1"/>
        </w:rPr>
        <w:t>можно предположить дефицит  железа</w:t>
      </w:r>
      <w:r w:rsidR="009C1978" w:rsidRPr="006254F4">
        <w:rPr>
          <w:i/>
          <w:iCs/>
          <w:color w:val="000000" w:themeColor="text1"/>
        </w:rPr>
        <w:t>.</w:t>
      </w:r>
    </w:p>
    <w:p w:rsidR="00CA586A" w:rsidRPr="006254F4" w:rsidRDefault="00CA586A" w:rsidP="00CA586A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</w:t>
      </w:r>
      <w:r w:rsidR="005515BF" w:rsidRPr="006254F4">
        <w:rPr>
          <w:bCs/>
          <w:color w:val="000000" w:themeColor="text1"/>
        </w:rPr>
        <w:t xml:space="preserve">анемией на фоне ХБП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определение </w:t>
      </w:r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уровня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витамина В12 </w:t>
      </w:r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(цианокобаламина)  в крови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и </w:t>
      </w:r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исследование уровня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>фолиевой кислоты в сыворотке крови</w:t>
      </w:r>
      <w:r w:rsidR="007164B6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с целью исключения </w:t>
      </w:r>
      <w:r w:rsidR="007164B6" w:rsidRPr="006254F4">
        <w:rPr>
          <w:rFonts w:eastAsia="Calibri" w:cs="Times New Roman"/>
          <w:color w:val="000000" w:themeColor="text1"/>
          <w:szCs w:val="24"/>
          <w:lang w:val="en-US" w:eastAsia="ru-RU"/>
        </w:rPr>
        <w:t>B</w:t>
      </w:r>
      <w:r w:rsidR="007164B6" w:rsidRPr="006254F4">
        <w:rPr>
          <w:rFonts w:eastAsia="Calibri" w:cs="Times New Roman"/>
          <w:color w:val="000000" w:themeColor="text1"/>
          <w:szCs w:val="24"/>
          <w:lang w:eastAsia="ru-RU"/>
        </w:rPr>
        <w:t>12-дефицитной или фолиеводефицитной анемии</w:t>
      </w:r>
      <w:r w:rsidR="00954E2D"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CA586A" w:rsidRPr="006254F4" w:rsidRDefault="00CA586A" w:rsidP="00CA586A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115626" w:rsidRPr="006254F4" w:rsidRDefault="00115626" w:rsidP="00115626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ХБП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выполнение биохимического анализа крови </w:t>
      </w:r>
      <w:r w:rsidR="00D91D27" w:rsidRPr="006254F4">
        <w:rPr>
          <w:color w:val="000000" w:themeColor="text1"/>
        </w:rPr>
        <w:t xml:space="preserve">общетерапевтического </w:t>
      </w:r>
      <w:r w:rsidRPr="006254F4">
        <w:rPr>
          <w:color w:val="000000" w:themeColor="text1"/>
        </w:rPr>
        <w:t xml:space="preserve">(определение уровня креатинина, мочевины, общего белка, АЛТ, АСТ) для оценки функции почек и печени </w:t>
      </w:r>
      <w:r w:rsidR="00954E2D"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115626" w:rsidRPr="006254F4" w:rsidRDefault="00115626" w:rsidP="00115626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B46390" w:rsidRPr="006254F4" w:rsidRDefault="00B46390" w:rsidP="00115626">
      <w:pPr>
        <w:pStyle w:val="2"/>
        <w:divId w:val="266810958"/>
        <w:rPr>
          <w:color w:val="000000" w:themeColor="text1"/>
        </w:rPr>
      </w:pPr>
      <w:bookmarkStart w:id="24" w:name="_Toc46321751"/>
      <w:r w:rsidRPr="006254F4">
        <w:rPr>
          <w:color w:val="000000" w:themeColor="text1"/>
        </w:rPr>
        <w:t xml:space="preserve">2.4 </w:t>
      </w:r>
      <w:r w:rsidR="00A70F44" w:rsidRPr="006254F4">
        <w:rPr>
          <w:color w:val="000000" w:themeColor="text1"/>
        </w:rPr>
        <w:t xml:space="preserve">Инструментальные </w:t>
      </w:r>
      <w:r w:rsidRPr="006254F4">
        <w:rPr>
          <w:color w:val="000000" w:themeColor="text1"/>
        </w:rPr>
        <w:t>диагно</w:t>
      </w:r>
      <w:r w:rsidR="00A70F44" w:rsidRPr="006254F4">
        <w:rPr>
          <w:color w:val="000000" w:themeColor="text1"/>
        </w:rPr>
        <w:t>стические исследования</w:t>
      </w:r>
      <w:bookmarkEnd w:id="24"/>
    </w:p>
    <w:p w:rsidR="00F756F0" w:rsidRPr="006254F4" w:rsidRDefault="001C6126" w:rsidP="00115626">
      <w:pPr>
        <w:pStyle w:val="afb"/>
        <w:divId w:val="266810958"/>
        <w:rPr>
          <w:rStyle w:val="affb"/>
          <w:i w:val="0"/>
          <w:iCs w:val="0"/>
          <w:color w:val="000000" w:themeColor="text1"/>
        </w:rPr>
      </w:pPr>
      <w:r w:rsidRPr="006254F4">
        <w:rPr>
          <w:rStyle w:val="affb"/>
          <w:i w:val="0"/>
          <w:iCs w:val="0"/>
          <w:color w:val="000000" w:themeColor="text1"/>
        </w:rPr>
        <w:lastRenderedPageBreak/>
        <w:t>Не предусмотрено</w:t>
      </w:r>
    </w:p>
    <w:p w:rsidR="00B46390" w:rsidRPr="006254F4" w:rsidRDefault="00B46390" w:rsidP="00115626">
      <w:pPr>
        <w:pStyle w:val="2"/>
        <w:divId w:val="266810958"/>
        <w:rPr>
          <w:color w:val="000000" w:themeColor="text1"/>
        </w:rPr>
      </w:pPr>
      <w:bookmarkStart w:id="25" w:name="_Toc46321752"/>
      <w:r w:rsidRPr="006254F4">
        <w:rPr>
          <w:color w:val="000000" w:themeColor="text1"/>
        </w:rPr>
        <w:t>2.5 Ин</w:t>
      </w:r>
      <w:r w:rsidR="00A70F44" w:rsidRPr="006254F4">
        <w:rPr>
          <w:color w:val="000000" w:themeColor="text1"/>
        </w:rPr>
        <w:t>ые диагностические исследования</w:t>
      </w:r>
      <w:bookmarkEnd w:id="25"/>
    </w:p>
    <w:p w:rsidR="00F756F0" w:rsidRPr="006254F4" w:rsidRDefault="00F108F7" w:rsidP="00115626">
      <w:pPr>
        <w:pStyle w:val="afb"/>
        <w:rPr>
          <w:rStyle w:val="affb"/>
          <w:color w:val="000000" w:themeColor="text1"/>
        </w:rPr>
      </w:pPr>
      <w:bookmarkStart w:id="26" w:name="__RefHeading___doc_3"/>
      <w:r w:rsidRPr="006254F4">
        <w:rPr>
          <w:rStyle w:val="affb"/>
          <w:color w:val="000000" w:themeColor="text1"/>
        </w:rPr>
        <w:t>Проводятся при наличии дополнительных показаний, например, данных о патологии желудочно-кишечного тракта, подозрении на скрытые кровотечения из желудочно-кишечного тракта.</w:t>
      </w:r>
    </w:p>
    <w:p w:rsidR="000414F6" w:rsidRPr="006254F4" w:rsidRDefault="00CB71DA" w:rsidP="009048FC">
      <w:pPr>
        <w:pStyle w:val="afff1"/>
        <w:rPr>
          <w:color w:val="000000" w:themeColor="text1"/>
        </w:rPr>
      </w:pPr>
      <w:bookmarkStart w:id="27" w:name="_Toc46321753"/>
      <w:r w:rsidRPr="006254F4">
        <w:rPr>
          <w:color w:val="000000" w:themeColor="text1"/>
        </w:rPr>
        <w:t>3. Лечение</w:t>
      </w:r>
      <w:bookmarkEnd w:id="26"/>
      <w:r w:rsidR="0038545E" w:rsidRPr="006254F4">
        <w:rPr>
          <w:color w:val="000000" w:themeColor="text1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7"/>
    </w:p>
    <w:p w:rsidR="002929B1" w:rsidRPr="006254F4" w:rsidRDefault="004E1288" w:rsidP="009048FC">
      <w:pPr>
        <w:pStyle w:val="2"/>
        <w:divId w:val="1767193717"/>
        <w:rPr>
          <w:color w:val="000000" w:themeColor="text1"/>
        </w:rPr>
      </w:pPr>
      <w:bookmarkStart w:id="28" w:name="_Toc46321754"/>
      <w:r w:rsidRPr="006254F4">
        <w:rPr>
          <w:color w:val="000000" w:themeColor="text1"/>
        </w:rPr>
        <w:t>3.1</w:t>
      </w:r>
      <w:r w:rsidR="00DE20B0" w:rsidRPr="006254F4">
        <w:rPr>
          <w:color w:val="000000" w:themeColor="text1"/>
        </w:rPr>
        <w:t>Лечение пациентов с ХБП и анемией</w:t>
      </w:r>
      <w:bookmarkEnd w:id="28"/>
    </w:p>
    <w:p w:rsidR="00647FB9" w:rsidRPr="006254F4" w:rsidRDefault="00680177" w:rsidP="009048FC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Назначение препаратов железа и ЭСП позволяет </w:t>
      </w:r>
      <w:r w:rsidR="00DD07B7" w:rsidRPr="006254F4">
        <w:rPr>
          <w:i/>
          <w:iCs/>
          <w:color w:val="000000" w:themeColor="text1"/>
        </w:rPr>
        <w:t>повысить уровень гемоглобина</w:t>
      </w:r>
      <w:r w:rsidRPr="006254F4">
        <w:rPr>
          <w:i/>
          <w:iCs/>
          <w:color w:val="000000" w:themeColor="text1"/>
        </w:rPr>
        <w:t xml:space="preserve"> у большинства пациентов с ХБП. </w:t>
      </w:r>
      <w:r w:rsidR="00647FB9" w:rsidRPr="006254F4">
        <w:rPr>
          <w:i/>
          <w:iCs/>
          <w:color w:val="000000" w:themeColor="text1"/>
        </w:rPr>
        <w:t>Лечение анемии при ХБП включает</w:t>
      </w:r>
      <w:r w:rsidRPr="006254F4">
        <w:rPr>
          <w:i/>
          <w:iCs/>
          <w:color w:val="000000" w:themeColor="text1"/>
        </w:rPr>
        <w:t xml:space="preserve"> также</w:t>
      </w:r>
      <w:r w:rsidR="00647FB9" w:rsidRPr="006254F4">
        <w:rPr>
          <w:i/>
          <w:iCs/>
          <w:color w:val="000000" w:themeColor="text1"/>
        </w:rPr>
        <w:t xml:space="preserve"> коррекцию</w:t>
      </w:r>
      <w:r w:rsidRPr="006254F4">
        <w:rPr>
          <w:i/>
          <w:iCs/>
          <w:color w:val="000000" w:themeColor="text1"/>
        </w:rPr>
        <w:t xml:space="preserve"> прочих</w:t>
      </w:r>
      <w:r w:rsidR="00647FB9" w:rsidRPr="006254F4">
        <w:rPr>
          <w:i/>
          <w:iCs/>
          <w:color w:val="000000" w:themeColor="text1"/>
        </w:rPr>
        <w:t xml:space="preserve"> устранимых причин </w:t>
      </w:r>
      <w:r w:rsidRPr="006254F4">
        <w:rPr>
          <w:i/>
          <w:iCs/>
          <w:color w:val="000000" w:themeColor="text1"/>
        </w:rPr>
        <w:t xml:space="preserve">снижения гемоглобина, например, дефицита витамина В12 и </w:t>
      </w:r>
      <w:r w:rsidR="00803046" w:rsidRPr="006254F4">
        <w:rPr>
          <w:i/>
          <w:iCs/>
          <w:color w:val="000000" w:themeColor="text1"/>
        </w:rPr>
        <w:t>фолиевой кислоты</w:t>
      </w:r>
      <w:r w:rsidRPr="006254F4">
        <w:rPr>
          <w:i/>
          <w:iCs/>
          <w:color w:val="000000" w:themeColor="text1"/>
        </w:rPr>
        <w:t>, лечение воспалительного процесса.</w:t>
      </w:r>
    </w:p>
    <w:p w:rsidR="009048FC" w:rsidRPr="006254F4" w:rsidRDefault="00803046" w:rsidP="009048FC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ХБП и анемией при насыщении трансферрина ниже 20% и уровне ферритина ниже 100 нг/мл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назначение препаратов железа для поддержания </w:t>
      </w:r>
      <w:r w:rsidR="00843D3C" w:rsidRPr="006254F4">
        <w:rPr>
          <w:rFonts w:cs="Times New Roman"/>
          <w:bCs/>
          <w:color w:val="000000" w:themeColor="text1"/>
        </w:rPr>
        <w:t>уровня насыщении трансферрина выше 20% и ферритина выше 100 нг/мл</w:t>
      </w:r>
      <w:r w:rsidR="00954E2D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954E2D" w:rsidRPr="006254F4">
        <w:rPr>
          <w:color w:val="000000" w:themeColor="text1"/>
        </w:rPr>
        <w:fldChar w:fldCharType="end"/>
      </w:r>
      <w:r w:rsidR="009048FC" w:rsidRPr="006254F4">
        <w:rPr>
          <w:color w:val="000000" w:themeColor="text1"/>
        </w:rPr>
        <w:t>.</w:t>
      </w:r>
    </w:p>
    <w:p w:rsidR="009048FC" w:rsidRPr="006254F4" w:rsidRDefault="009048FC" w:rsidP="009048FC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5A2B49" w:rsidRPr="006254F4" w:rsidRDefault="005A2B49" w:rsidP="009048FC">
      <w:pPr>
        <w:pStyle w:val="aff1"/>
        <w:ind w:left="0" w:firstLine="709"/>
        <w:divId w:val="1767193717"/>
        <w:rPr>
          <w:b w:val="0"/>
          <w:i/>
          <w:iCs/>
          <w:color w:val="000000" w:themeColor="text1"/>
          <w:spacing w:val="-2"/>
        </w:rPr>
      </w:pPr>
      <w:r w:rsidRPr="006254F4">
        <w:rPr>
          <w:bCs/>
          <w:color w:val="000000" w:themeColor="text1"/>
        </w:rPr>
        <w:t xml:space="preserve">Комментарии: </w:t>
      </w:r>
      <w:r w:rsidR="00F93E3A" w:rsidRPr="006254F4">
        <w:rPr>
          <w:b w:val="0"/>
          <w:i/>
          <w:iCs/>
          <w:color w:val="000000" w:themeColor="text1"/>
          <w:spacing w:val="-2"/>
        </w:rPr>
        <w:t>пациентам в додиализной стадии ХБП или находящимся на перитонеальном диализе следует назначать оральные препараты железа. Пациентам на гемодиализе показаны  внутривенные препараты железа.</w:t>
      </w:r>
    </w:p>
    <w:p w:rsidR="000962D0" w:rsidRPr="006254F4" w:rsidRDefault="000962D0" w:rsidP="000962D0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Препараты железа используются в стандартных дозах, определяемых безопасностью и переносимостью.</w:t>
      </w:r>
    </w:p>
    <w:p w:rsidR="00B77CC0" w:rsidRPr="006254F4" w:rsidRDefault="00B77CC0" w:rsidP="00B77CC0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При проведении гемодиализа поддерживающая доза составляет для внутривенных препаратов железа (сахарат железа) 1 мг элементарного железа на кг </w:t>
      </w:r>
      <w:r w:rsidR="00F93E3A" w:rsidRPr="006254F4">
        <w:rPr>
          <w:i/>
          <w:iCs/>
          <w:color w:val="000000" w:themeColor="text1"/>
        </w:rPr>
        <w:t xml:space="preserve">массы тела </w:t>
      </w:r>
      <w:r w:rsidRPr="006254F4">
        <w:rPr>
          <w:i/>
          <w:iCs/>
          <w:color w:val="000000" w:themeColor="text1"/>
        </w:rPr>
        <w:t>в неделю</w:t>
      </w:r>
      <w:r w:rsidR="009C1978" w:rsidRPr="006254F4">
        <w:rPr>
          <w:i/>
          <w:iCs/>
          <w:color w:val="000000" w:themeColor="text1"/>
        </w:rPr>
        <w:t>.</w:t>
      </w:r>
    </w:p>
    <w:p w:rsidR="009C1978" w:rsidRPr="006254F4" w:rsidRDefault="00FB4213" w:rsidP="009C1978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>При внутривенном введении первой дозы препаратов железа необходимо тщательно наблюдать за пациентом во время введения и не менее 60 минут после введения. Следует обеспечить возможность проведения реанимационных мероприятий в случае развития серьезных побочных эффектов.</w:t>
      </w:r>
    </w:p>
    <w:p w:rsidR="00FB4213" w:rsidRPr="006254F4" w:rsidRDefault="00FB4213" w:rsidP="009C1978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lastRenderedPageBreak/>
        <w:t>Следует избегать назначения внутривенных препаратов железа при активной системной инфекции.</w:t>
      </w:r>
    </w:p>
    <w:p w:rsidR="00AC43F5" w:rsidRPr="006254F4" w:rsidRDefault="00AC43F5" w:rsidP="00AC43F5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t>Пациентам с ХБП и анемией</w:t>
      </w:r>
      <w:r w:rsidR="00856635" w:rsidRPr="006254F4">
        <w:rPr>
          <w:bCs/>
          <w:color w:val="000000" w:themeColor="text1"/>
        </w:rPr>
        <w:t xml:space="preserve"> ниже 100 г/л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назначение </w:t>
      </w:r>
      <w:r w:rsidR="00366290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ЭСП для достижения целевого уровня гемоглобина </w:t>
      </w:r>
      <w:r w:rsidR="00954E2D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W.","non-dropping-particle":"","parse-names":false,"suffix":""},{"dropping-particle":"","family":"Berns","given":"J.S.","non-dropping-particle":"","parse-names":false,"suffix":""},{"dropping-particle":"","family":"White","given":"C. T.","non-dropping-particle":"","parse-names":false,"suffix":""}],"id":"ITEM-5","issued":{"date-parts":[["2007"]]},"title":"KDOQI Clinical Practice Guideline and Clinical Practice Recommendations for Anemia in Chronic Kidney Disease: 2007 Update of Hemoglobin Target","type":"webpage"},"uris":["http://www.mendeley.com/documents/?uuid=649ca10b-7d31-4169-99f9-d0e35cb0d449"]},{"id":"ITEM-6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-6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6]","plainTextFormattedCitation":"[1–6]","previouslyFormattedCitation":"[1–6]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[1–6]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AC43F5" w:rsidRPr="006254F4" w:rsidRDefault="00AC43F5" w:rsidP="00AC43F5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AE6A70" w:rsidRPr="006254F4" w:rsidRDefault="00AC43F5" w:rsidP="00AE6A70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b/>
          <w:bCs/>
          <w:color w:val="000000" w:themeColor="text1"/>
        </w:rPr>
        <w:t>Комментарии:</w:t>
      </w:r>
      <w:r w:rsidR="00AE6A70" w:rsidRPr="006254F4">
        <w:rPr>
          <w:rFonts w:cs="Times New Roman"/>
          <w:i/>
          <w:iCs/>
          <w:color w:val="000000" w:themeColor="text1"/>
        </w:rPr>
        <w:t xml:space="preserve">до </w:t>
      </w:r>
      <w:r w:rsidR="00617AD7" w:rsidRPr="006254F4">
        <w:rPr>
          <w:rFonts w:cs="Times New Roman"/>
          <w:i/>
          <w:iCs/>
          <w:color w:val="000000" w:themeColor="text1"/>
        </w:rPr>
        <w:t>начала лечения следует исключить все корректируемые причины анемии (в том числе дефицит железа и воспалительный процесс).</w:t>
      </w:r>
    </w:p>
    <w:p w:rsidR="00AE6A70" w:rsidRPr="006254F4" w:rsidRDefault="00AE6A70" w:rsidP="00AE6A70">
      <w:pPr>
        <w:tabs>
          <w:tab w:val="left" w:pos="5812"/>
        </w:tabs>
        <w:divId w:val="1767193717"/>
        <w:rPr>
          <w:rFonts w:ascii="Arial" w:hAnsi="Arial"/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Выбор целевого </w:t>
      </w:r>
      <w:r w:rsidR="00F93E3A" w:rsidRPr="006254F4">
        <w:rPr>
          <w:i/>
          <w:iCs/>
          <w:color w:val="000000" w:themeColor="text1"/>
        </w:rPr>
        <w:t xml:space="preserve">значения </w:t>
      </w:r>
      <w:r w:rsidRPr="006254F4">
        <w:rPr>
          <w:i/>
          <w:iCs/>
          <w:color w:val="000000" w:themeColor="text1"/>
        </w:rPr>
        <w:t xml:space="preserve">гемоглобина и </w:t>
      </w:r>
      <w:r w:rsidR="00F93E3A" w:rsidRPr="006254F4">
        <w:rPr>
          <w:i/>
          <w:iCs/>
          <w:color w:val="000000" w:themeColor="text1"/>
        </w:rPr>
        <w:t>параметра</w:t>
      </w:r>
      <w:r w:rsidRPr="006254F4">
        <w:rPr>
          <w:i/>
          <w:iCs/>
          <w:color w:val="000000" w:themeColor="text1"/>
        </w:rPr>
        <w:t xml:space="preserve">, при котором начинается терапия ЭСП, у каждого пациента является индивидуальным и определяется многими клиническими факторами. У детей целевой уровень гемоглобина </w:t>
      </w:r>
      <w:r w:rsidR="00F93E3A" w:rsidRPr="006254F4">
        <w:rPr>
          <w:i/>
          <w:iCs/>
          <w:color w:val="000000" w:themeColor="text1"/>
        </w:rPr>
        <w:t>составляет</w:t>
      </w:r>
      <w:r w:rsidRPr="006254F4">
        <w:rPr>
          <w:i/>
          <w:iCs/>
          <w:color w:val="000000" w:themeColor="text1"/>
        </w:rPr>
        <w:t xml:space="preserve"> от 110 до 120 г/л. </w:t>
      </w:r>
      <w:r w:rsidRPr="006254F4">
        <w:rPr>
          <w:rFonts w:cs="Times New Roman"/>
          <w:i/>
          <w:iCs/>
          <w:color w:val="000000" w:themeColor="text1"/>
        </w:rPr>
        <w:t xml:space="preserve">Следует избегать повышения уровня гемоглобина выше 120 г/л. Более </w:t>
      </w:r>
      <w:r w:rsidR="00F93E3A" w:rsidRPr="006254F4">
        <w:rPr>
          <w:rFonts w:cs="Times New Roman"/>
          <w:i/>
          <w:iCs/>
          <w:color w:val="000000" w:themeColor="text1"/>
        </w:rPr>
        <w:t>высокая концентрация</w:t>
      </w:r>
      <w:r w:rsidRPr="006254F4">
        <w:rPr>
          <w:rFonts w:cs="Times New Roman"/>
          <w:i/>
          <w:iCs/>
          <w:color w:val="000000" w:themeColor="text1"/>
        </w:rPr>
        <w:t xml:space="preserve"> гемоглобина может ассоциироваться с ухудшением почечного и кардиоваскулярного прогноза.</w:t>
      </w:r>
    </w:p>
    <w:p w:rsidR="00AE6A70" w:rsidRPr="006254F4" w:rsidRDefault="00F93E3A" w:rsidP="00AE6A70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Дозу ЭСП подбирают, ориентируясь на  исходное и целевое  значения  гемоглобина,  скорость его повышения уровня  и клиническую ситуацию. </w:t>
      </w:r>
    </w:p>
    <w:p w:rsidR="00AE6A70" w:rsidRPr="006254F4" w:rsidRDefault="003A305E" w:rsidP="00AE6A70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При назначении ЭСП следует взвесить потенциальную пользу (в том числе улучшение качества жизни, посещение школы, отсутствие необходимости в трансфузиях) и потенциальный вред лечения, а также </w:t>
      </w:r>
      <w:r w:rsidR="00AE6A70" w:rsidRPr="006254F4">
        <w:rPr>
          <w:i/>
          <w:iCs/>
          <w:color w:val="000000" w:themeColor="text1"/>
        </w:rPr>
        <w:t>обсудить с пациентом (родителями) возможную пользу и риск относительно высокого или низкого уровня гемоглобина и принять решение о целевом уровне гемоглобина с учетом их мнения.</w:t>
      </w:r>
    </w:p>
    <w:p w:rsidR="00990CB1" w:rsidRPr="006254F4" w:rsidRDefault="00990CB1" w:rsidP="00990CB1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>ЭСП вводятся внутривенно или подкожно у пациентов на гемодиализе. У остальных пациентов (преддиализная стадия, перитонеальный диализ) следует вводить ЭСП подкожно.</w:t>
      </w:r>
    </w:p>
    <w:p w:rsidR="00990CB1" w:rsidRPr="006254F4" w:rsidRDefault="00990CB1" w:rsidP="00990CB1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 xml:space="preserve">Ориентировочная начальная доза ЭСП короткого действия (рекомбинантный человеческий ЭПО) составляет 50-100 Ед/кг 2 раза в неделю. </w:t>
      </w:r>
    </w:p>
    <w:p w:rsidR="00990CB1" w:rsidRPr="006254F4" w:rsidRDefault="00990CB1" w:rsidP="00990CB1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>Для дарб</w:t>
      </w:r>
      <w:r w:rsidR="00D91D27" w:rsidRPr="006254F4">
        <w:rPr>
          <w:i/>
          <w:iCs/>
          <w:color w:val="000000" w:themeColor="text1"/>
          <w:lang w:eastAsia="ru-RU"/>
        </w:rPr>
        <w:t>эпоэтина альфа**</w:t>
      </w:r>
      <w:r w:rsidRPr="006254F4">
        <w:rPr>
          <w:i/>
          <w:iCs/>
          <w:color w:val="000000" w:themeColor="text1"/>
          <w:lang w:eastAsia="ru-RU"/>
        </w:rPr>
        <w:t>начальная доза при п/к или в/в введении препарата составляет 0,45 мкг/кг массы тела один раз в неделю. У пациентов, не получающих диализ, может применяться начальная доза, равная 0,75 мкг/кг, п/к один раз в две недели.</w:t>
      </w:r>
    </w:p>
    <w:p w:rsidR="00990CB1" w:rsidRPr="006254F4" w:rsidRDefault="00990CB1" w:rsidP="00990CB1">
      <w:pPr>
        <w:pStyle w:val="afb"/>
        <w:divId w:val="1767193717"/>
        <w:rPr>
          <w:rFonts w:eastAsiaTheme="minorHAnsi"/>
          <w:i/>
          <w:iCs/>
          <w:color w:val="000000" w:themeColor="text1"/>
        </w:rPr>
      </w:pPr>
      <w:r w:rsidRPr="006254F4">
        <w:rPr>
          <w:rFonts w:eastAsiaTheme="minorHAnsi"/>
          <w:i/>
          <w:iCs/>
          <w:color w:val="000000" w:themeColor="text1"/>
        </w:rPr>
        <w:t xml:space="preserve">При переводе с рчЭПО на </w:t>
      </w:r>
      <w:r w:rsidR="00D91D27" w:rsidRPr="006254F4">
        <w:rPr>
          <w:rFonts w:eastAsiaTheme="minorHAnsi"/>
          <w:i/>
          <w:iCs/>
          <w:color w:val="000000" w:themeColor="text1"/>
        </w:rPr>
        <w:t xml:space="preserve">дарбэпоэтин </w:t>
      </w:r>
      <w:r w:rsidRPr="006254F4">
        <w:rPr>
          <w:rFonts w:eastAsiaTheme="minorHAnsi"/>
          <w:i/>
          <w:iCs/>
          <w:color w:val="000000" w:themeColor="text1"/>
        </w:rPr>
        <w:t>альфа</w:t>
      </w:r>
      <w:r w:rsidR="00D91D27" w:rsidRPr="006254F4">
        <w:rPr>
          <w:rFonts w:eastAsiaTheme="minorHAnsi"/>
          <w:i/>
          <w:iCs/>
          <w:color w:val="000000" w:themeColor="text1"/>
        </w:rPr>
        <w:t>**</w:t>
      </w:r>
      <w:r w:rsidRPr="006254F4">
        <w:rPr>
          <w:rFonts w:eastAsiaTheme="minorHAnsi"/>
          <w:i/>
          <w:iCs/>
          <w:color w:val="000000" w:themeColor="text1"/>
        </w:rPr>
        <w:t xml:space="preserve"> используется коэффициент пересчета равный 240 (недельная доза рчЭПО в международных единицах делится на 240 и получается разовая недельная доза </w:t>
      </w:r>
      <w:r w:rsidR="00D91D27" w:rsidRPr="006254F4">
        <w:rPr>
          <w:rFonts w:eastAsiaTheme="minorHAnsi"/>
          <w:i/>
          <w:iCs/>
          <w:color w:val="000000" w:themeColor="text1"/>
        </w:rPr>
        <w:t xml:space="preserve">дарбэпоэтина </w:t>
      </w:r>
      <w:r w:rsidRPr="006254F4">
        <w:rPr>
          <w:rFonts w:eastAsiaTheme="minorHAnsi"/>
          <w:i/>
          <w:iCs/>
          <w:color w:val="000000" w:themeColor="text1"/>
        </w:rPr>
        <w:t>альфа</w:t>
      </w:r>
      <w:r w:rsidR="00D91D27" w:rsidRPr="006254F4">
        <w:rPr>
          <w:rFonts w:eastAsiaTheme="minorHAnsi"/>
          <w:i/>
          <w:iCs/>
          <w:color w:val="000000" w:themeColor="text1"/>
        </w:rPr>
        <w:t>*</w:t>
      </w:r>
      <w:r w:rsidR="007164B6" w:rsidRPr="006254F4">
        <w:rPr>
          <w:rFonts w:eastAsiaTheme="minorHAnsi"/>
          <w:i/>
          <w:iCs/>
          <w:color w:val="000000" w:themeColor="text1"/>
        </w:rPr>
        <w:t>*</w:t>
      </w:r>
      <w:r w:rsidRPr="006254F4">
        <w:rPr>
          <w:rFonts w:eastAsiaTheme="minorHAnsi"/>
          <w:i/>
          <w:iCs/>
          <w:color w:val="000000" w:themeColor="text1"/>
        </w:rPr>
        <w:t xml:space="preserve"> в мкг).</w:t>
      </w:r>
    </w:p>
    <w:p w:rsidR="009048FC" w:rsidRPr="006254F4" w:rsidRDefault="00990CB1" w:rsidP="00990CB1">
      <w:pPr>
        <w:pStyle w:val="afb"/>
        <w:divId w:val="1767193717"/>
        <w:rPr>
          <w:rFonts w:eastAsiaTheme="minorHAnsi"/>
          <w:i/>
          <w:iCs/>
          <w:color w:val="000000" w:themeColor="text1"/>
        </w:rPr>
      </w:pPr>
      <w:r w:rsidRPr="006254F4">
        <w:rPr>
          <w:rFonts w:eastAsiaTheme="minorHAnsi"/>
          <w:i/>
          <w:iCs/>
          <w:color w:val="000000" w:themeColor="text1"/>
        </w:rPr>
        <w:lastRenderedPageBreak/>
        <w:t>Частота введения ЭСП должна подбираться индивидуально на основе оценки стадии ХБП, режима остального лечения, эффективности, предпочтений пациента и типа ЭСП.</w:t>
      </w:r>
    </w:p>
    <w:p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Целевая скорость повышения уровня гемоглобина составляет 10 г/л за первые 2 недели.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Если увеличение уровня гемоглобина происходит недостаточно быстро (менее 10 г/л за 4-недельный период) следует увеличить дозу препарата примерно на 25%. Увеличение дозы должно проводиться не чаще одного раза в четыре недели. </w:t>
      </w:r>
      <w:r w:rsidRPr="006254F4">
        <w:rPr>
          <w:rFonts w:cs="Times New Roman"/>
          <w:i/>
          <w:iCs/>
          <w:color w:val="000000" w:themeColor="text1"/>
        </w:rPr>
        <w:t xml:space="preserve">У маленьких детей, по сравнению с взрослыми, повышение уровня гемоглобина может начинаться позднее. Поэтому увеличение дозы </w:t>
      </w:r>
      <w:r w:rsidR="00771547" w:rsidRPr="006254F4">
        <w:rPr>
          <w:rFonts w:cs="Times New Roman"/>
          <w:i/>
          <w:iCs/>
          <w:color w:val="000000" w:themeColor="text1"/>
        </w:rPr>
        <w:t>ЭСП</w:t>
      </w:r>
      <w:r w:rsidRPr="006254F4">
        <w:rPr>
          <w:rFonts w:cs="Times New Roman"/>
          <w:i/>
          <w:iCs/>
          <w:color w:val="000000" w:themeColor="text1"/>
        </w:rPr>
        <w:t xml:space="preserve"> проводится, если уровень гемоглобина не повышается на 20 г/л за 8 недель или уровень гемоглобина недостаточен для того, чтобы предотвратить гемотрансфузии.</w:t>
      </w:r>
    </w:p>
    <w:p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Повышение уровня гемоглобина не должно превышать 10 г/л за любой 2 недельный период.</w:t>
      </w:r>
    </w:p>
    <w:p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Снижение дозы проводится при приближении уровня гемоглобина к 120 г/л (110 г/л у детей до 2 лет) или при скорости роста уровня гемоглобина выше, чем 10 г/л за  2 недели.</w:t>
      </w:r>
    </w:p>
    <w:p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Пациенты с сердечно-сосудистыми нарушениями должны наблюдаться особенно тщательно. Артериальная гипертензия не является противопоказанием к терапии </w:t>
      </w:r>
      <w:r w:rsidR="00771547" w:rsidRPr="006254F4">
        <w:rPr>
          <w:rFonts w:cs="Times New Roman"/>
          <w:i/>
          <w:iCs/>
          <w:color w:val="000000" w:themeColor="text1"/>
        </w:rPr>
        <w:t>ЭСП</w:t>
      </w:r>
      <w:r w:rsidRPr="006254F4">
        <w:rPr>
          <w:rFonts w:cs="Times New Roman"/>
          <w:i/>
          <w:iCs/>
          <w:color w:val="000000" w:themeColor="text1"/>
        </w:rPr>
        <w:t>. Если в процессе лечения анемии отмечается повышение уровня АД, следует проводить адекватную гипотензивную терапию.</w:t>
      </w:r>
    </w:p>
    <w:p w:rsidR="00C80D79" w:rsidRPr="006254F4" w:rsidRDefault="00DE20B0" w:rsidP="00C80D79">
      <w:pPr>
        <w:pStyle w:val="2"/>
        <w:divId w:val="1767193717"/>
        <w:rPr>
          <w:color w:val="000000" w:themeColor="text1"/>
        </w:rPr>
      </w:pPr>
      <w:bookmarkStart w:id="29" w:name="_Toc46321755"/>
      <w:r w:rsidRPr="006254F4">
        <w:rPr>
          <w:color w:val="000000" w:themeColor="text1"/>
        </w:rPr>
        <w:t>3.2 Лечение пациентов с резистентностью к ЭСП</w:t>
      </w:r>
      <w:bookmarkEnd w:id="29"/>
    </w:p>
    <w:p w:rsidR="00C80D79" w:rsidRPr="006254F4" w:rsidRDefault="00C80D79" w:rsidP="00C80D79">
      <w:pPr>
        <w:pStyle w:val="afb"/>
        <w:divId w:val="1767193717"/>
        <w:rPr>
          <w:i/>
          <w:color w:val="000000" w:themeColor="text1"/>
        </w:rPr>
      </w:pPr>
      <w:r w:rsidRPr="006254F4">
        <w:rPr>
          <w:i/>
          <w:color w:val="000000" w:themeColor="text1"/>
        </w:rPr>
        <w:t xml:space="preserve">Первичная резистентность к ЭСП констатируется при отсутствии повышения </w:t>
      </w:r>
      <w:r w:rsidR="00F93E3A" w:rsidRPr="006254F4">
        <w:rPr>
          <w:i/>
          <w:color w:val="000000" w:themeColor="text1"/>
        </w:rPr>
        <w:t xml:space="preserve">содержания </w:t>
      </w:r>
      <w:r w:rsidRPr="006254F4">
        <w:rPr>
          <w:i/>
          <w:color w:val="000000" w:themeColor="text1"/>
        </w:rPr>
        <w:t xml:space="preserve">гемоглобина в течение месяца после назначения стандартной, рассчитанной по весу дозировки. Вторичная резистентность к ЭСП констатируется в случае, если после периода стабильного уровня гемоглобина на исходно подобранной дозе возникает необходимость повышения дозы ЭСП на 50% для поддержания такого же </w:t>
      </w:r>
      <w:r w:rsidR="00F93E3A" w:rsidRPr="006254F4">
        <w:rPr>
          <w:i/>
          <w:color w:val="000000" w:themeColor="text1"/>
        </w:rPr>
        <w:t xml:space="preserve">содержания </w:t>
      </w:r>
      <w:r w:rsidRPr="006254F4">
        <w:rPr>
          <w:i/>
          <w:color w:val="000000" w:themeColor="text1"/>
        </w:rPr>
        <w:t>гемоглобина.</w:t>
      </w:r>
    </w:p>
    <w:p w:rsidR="00526538" w:rsidRPr="006254F4" w:rsidRDefault="00C80D79" w:rsidP="00C80D79">
      <w:pPr>
        <w:pStyle w:val="afb"/>
        <w:divId w:val="1767193717"/>
        <w:rPr>
          <w:color w:val="000000" w:themeColor="text1"/>
        </w:rPr>
      </w:pPr>
      <w:r w:rsidRPr="006254F4">
        <w:rPr>
          <w:i/>
          <w:color w:val="000000" w:themeColor="text1"/>
        </w:rPr>
        <w:t xml:space="preserve">У пациентов, которые остаются резистентными к ЭСП, несмотря на устранение поддающихся лечению причин, рекомендуется </w:t>
      </w:r>
      <w:r w:rsidR="00526538" w:rsidRPr="006254F4">
        <w:rPr>
          <w:bCs/>
          <w:color w:val="000000" w:themeColor="text1"/>
        </w:rPr>
        <w:t>Пациентам с ХБП и анемией с резистентно</w:t>
      </w:r>
      <w:r w:rsidRPr="006254F4">
        <w:rPr>
          <w:bCs/>
          <w:color w:val="000000" w:themeColor="text1"/>
        </w:rPr>
        <w:t>с</w:t>
      </w:r>
      <w:r w:rsidR="00526538" w:rsidRPr="006254F4">
        <w:rPr>
          <w:bCs/>
          <w:color w:val="000000" w:themeColor="text1"/>
        </w:rPr>
        <w:t xml:space="preserve">тью к </w:t>
      </w:r>
      <w:r w:rsidRPr="006254F4">
        <w:rPr>
          <w:bCs/>
          <w:color w:val="000000" w:themeColor="text1"/>
        </w:rPr>
        <w:t>ЭСП</w:t>
      </w:r>
      <w:r w:rsidR="00526538" w:rsidRPr="006254F4">
        <w:rPr>
          <w:b/>
          <w:bCs/>
          <w:color w:val="000000" w:themeColor="text1"/>
        </w:rPr>
        <w:t>не</w:t>
      </w:r>
      <w:r w:rsidR="00526538" w:rsidRPr="006254F4">
        <w:rPr>
          <w:b/>
          <w:color w:val="000000" w:themeColor="text1"/>
        </w:rPr>
        <w:t>рекомендуется</w:t>
      </w:r>
      <w:r w:rsidRPr="006254F4">
        <w:rPr>
          <w:rFonts w:eastAsia="Calibri"/>
          <w:color w:val="000000" w:themeColor="text1"/>
        </w:rPr>
        <w:t>увеличивать дозу ЭСП более, чем в два раза от стандартной, рассчитанной по весу дозировки</w:t>
      </w:r>
      <w:r w:rsidR="00954E2D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954E2D" w:rsidRPr="006254F4">
        <w:rPr>
          <w:color w:val="000000" w:themeColor="text1"/>
        </w:rPr>
        <w:fldChar w:fldCharType="end"/>
      </w:r>
      <w:r w:rsidR="00526538" w:rsidRPr="006254F4">
        <w:rPr>
          <w:color w:val="000000" w:themeColor="text1"/>
        </w:rPr>
        <w:t>.</w:t>
      </w:r>
    </w:p>
    <w:p w:rsidR="00526538" w:rsidRPr="006254F4" w:rsidRDefault="00526538" w:rsidP="00526538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C80D79" w:rsidRPr="006254F4" w:rsidRDefault="00C80D79" w:rsidP="00C80D79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lastRenderedPageBreak/>
        <w:t xml:space="preserve">Пациентам с ХБП и анемией с резистентностью к ЭСП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обследование для выявления причин ее развития и устранение поддающихся лечению причин </w:t>
      </w:r>
      <w:r w:rsidR="00954E2D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C80D79" w:rsidRPr="006254F4" w:rsidRDefault="00C80D79" w:rsidP="00C80D79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C80D79" w:rsidRPr="006254F4" w:rsidRDefault="00C80D79" w:rsidP="00C80D79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ХБП и анемией, которые остаются резистентными к ЭСП несмотря на устранение поддающихся лечению причин,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индивидуализация лечения с возможными вариантами </w:t>
      </w:r>
      <w:r w:rsidR="00954E2D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:</w:t>
      </w:r>
    </w:p>
    <w:p w:rsidR="00C80D79" w:rsidRPr="006254F4" w:rsidRDefault="00C80D79" w:rsidP="00C80D79">
      <w:pPr>
        <w:pStyle w:val="afd"/>
        <w:numPr>
          <w:ilvl w:val="1"/>
          <w:numId w:val="30"/>
        </w:numPr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Наблюдение, при допустимом снижении уровня гемоглобина</w:t>
      </w:r>
    </w:p>
    <w:p w:rsidR="00C80D79" w:rsidRPr="006254F4" w:rsidRDefault="00C80D79" w:rsidP="00C80D79">
      <w:pPr>
        <w:pStyle w:val="afd"/>
        <w:numPr>
          <w:ilvl w:val="1"/>
          <w:numId w:val="30"/>
        </w:numPr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Продолжение лечения с помощью ЭСП при наличии хотя бы умеренного положительного эффекта</w:t>
      </w:r>
    </w:p>
    <w:p w:rsidR="00C80D79" w:rsidRPr="006254F4" w:rsidRDefault="00C80D79" w:rsidP="00C80D79">
      <w:pPr>
        <w:pStyle w:val="afd"/>
        <w:numPr>
          <w:ilvl w:val="1"/>
          <w:numId w:val="30"/>
        </w:numPr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Гемотрансфузии.</w:t>
      </w:r>
    </w:p>
    <w:p w:rsidR="00C80D79" w:rsidRPr="006254F4" w:rsidRDefault="00C80D79" w:rsidP="00C80D79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5A1102" w:rsidRPr="006254F4" w:rsidRDefault="005A1102" w:rsidP="005A1102">
      <w:pPr>
        <w:pStyle w:val="2"/>
        <w:divId w:val="1767193717"/>
        <w:rPr>
          <w:color w:val="000000" w:themeColor="text1"/>
        </w:rPr>
      </w:pPr>
      <w:bookmarkStart w:id="30" w:name="_Toc46321756"/>
      <w:r w:rsidRPr="006254F4">
        <w:rPr>
          <w:color w:val="000000" w:themeColor="text1"/>
        </w:rPr>
        <w:t>3.3 Гемотрансфузии у пациентов с ХБП и анемией</w:t>
      </w:r>
      <w:bookmarkEnd w:id="30"/>
    </w:p>
    <w:p w:rsidR="005A1102" w:rsidRPr="006254F4" w:rsidRDefault="0029393E" w:rsidP="005A1102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ХБП при наличии симптомов, вызванных анемией, </w:t>
      </w:r>
      <w:r w:rsidRPr="006254F4">
        <w:rPr>
          <w:rFonts w:cs="Times New Roman"/>
          <w:bCs/>
          <w:color w:val="000000" w:themeColor="text1"/>
        </w:rPr>
        <w:t>для стабилизации состояния пациента (на</w:t>
      </w:r>
      <w:r w:rsidRPr="006254F4">
        <w:rPr>
          <w:rFonts w:cs="Times New Roman"/>
          <w:bCs/>
          <w:color w:val="000000" w:themeColor="text1"/>
        </w:rPr>
        <w:softHyphen/>
        <w:t>пример, острое кровотечение, нестабильная ишемическая болезнь сердца) или необходимости предоперационной подготовки</w:t>
      </w:r>
      <w:r w:rsidR="005A1102" w:rsidRPr="006254F4">
        <w:rPr>
          <w:b/>
          <w:color w:val="000000" w:themeColor="text1"/>
        </w:rPr>
        <w:t>рекомендуется</w:t>
      </w:r>
      <w:r w:rsidR="005A1102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рассмотреть вопрос о переливании эритроцитов </w:t>
      </w:r>
      <w:r w:rsidR="00954E2D" w:rsidRPr="006254F4">
        <w:rPr>
          <w:color w:val="000000" w:themeColor="text1"/>
        </w:rPr>
        <w:fldChar w:fldCharType="begin" w:fldLock="1"/>
      </w:r>
      <w:r w:rsidR="00FA3029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],"mendeley":{"formattedCitation":"[1–4]","plainTextFormattedCitation":"[1–4]","previouslyFormattedCitation":"[1–4]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5A1102" w:rsidRPr="006254F4">
        <w:rPr>
          <w:noProof/>
          <w:color w:val="000000" w:themeColor="text1"/>
        </w:rPr>
        <w:t>[1–4]</w:t>
      </w:r>
      <w:r w:rsidR="00954E2D" w:rsidRPr="006254F4">
        <w:rPr>
          <w:color w:val="000000" w:themeColor="text1"/>
        </w:rPr>
        <w:fldChar w:fldCharType="end"/>
      </w:r>
      <w:r w:rsidR="005A1102" w:rsidRPr="006254F4">
        <w:rPr>
          <w:color w:val="000000" w:themeColor="text1"/>
        </w:rPr>
        <w:t>.</w:t>
      </w:r>
    </w:p>
    <w:p w:rsidR="005A1102" w:rsidRPr="006254F4" w:rsidRDefault="005A1102" w:rsidP="005A1102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5A1102" w:rsidRPr="006254F4" w:rsidRDefault="005A1102" w:rsidP="005A1102">
      <w:pPr>
        <w:pStyle w:val="aff1"/>
        <w:ind w:left="0" w:firstLine="709"/>
        <w:divId w:val="1767193717"/>
        <w:rPr>
          <w:b w:val="0"/>
          <w:i/>
          <w:iCs/>
          <w:color w:val="000000" w:themeColor="text1"/>
        </w:rPr>
      </w:pPr>
      <w:r w:rsidRPr="006254F4">
        <w:rPr>
          <w:bCs/>
          <w:color w:val="000000" w:themeColor="text1"/>
        </w:rPr>
        <w:t>Комментарии:</w:t>
      </w:r>
      <w:r w:rsidR="0029393E" w:rsidRPr="006254F4">
        <w:rPr>
          <w:b w:val="0"/>
          <w:i/>
          <w:iCs/>
          <w:color w:val="000000" w:themeColor="text1"/>
        </w:rPr>
        <w:t>показания к гемотрансфузии при хронической анемии могут возникать в случая неэффективности терапии ЭСП  (например, при наличии сопутствующей гемоглобинопатии, недостаточности костномозгового кроветворения, резистентности к ЭСП).</w:t>
      </w:r>
    </w:p>
    <w:p w:rsidR="005A1102" w:rsidRPr="006254F4" w:rsidRDefault="005A1102" w:rsidP="005A1102">
      <w:pPr>
        <w:pStyle w:val="aff1"/>
        <w:ind w:left="0" w:firstLine="709"/>
        <w:divId w:val="1767193717"/>
        <w:rPr>
          <w:b w:val="0"/>
          <w:color w:val="000000" w:themeColor="text1"/>
        </w:rPr>
      </w:pPr>
      <w:r w:rsidRPr="006254F4">
        <w:rPr>
          <w:b w:val="0"/>
          <w:i/>
          <w:iCs/>
          <w:color w:val="000000" w:themeColor="text1"/>
        </w:rPr>
        <w:t>Решение о проведении гемотрансфузии должно быть основано на появлении симптомов, вызванных анемией, а не на произвольно выбранном критическом уровне гемоглобина.</w:t>
      </w:r>
    </w:p>
    <w:p w:rsidR="005A1102" w:rsidRPr="006254F4" w:rsidRDefault="005A1102" w:rsidP="005A1102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ХБП и анемией при отсутствии симптомов анемии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по возможности избегать переливания эритроцитов для минимизации риска, связанного с их использованием </w:t>
      </w:r>
      <w:r w:rsidR="00954E2D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5A1102" w:rsidRPr="006254F4" w:rsidRDefault="005A1102" w:rsidP="005A1102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C80D79" w:rsidRPr="006254F4" w:rsidRDefault="005A1102" w:rsidP="005A1102">
      <w:pPr>
        <w:pStyle w:val="aff1"/>
        <w:ind w:left="0" w:firstLine="709"/>
        <w:divId w:val="1767193717"/>
        <w:rPr>
          <w:b w:val="0"/>
          <w:bCs/>
          <w:color w:val="000000" w:themeColor="text1"/>
        </w:rPr>
      </w:pPr>
      <w:r w:rsidRPr="006254F4">
        <w:rPr>
          <w:color w:val="000000" w:themeColor="text1"/>
        </w:rPr>
        <w:lastRenderedPageBreak/>
        <w:t>Комментарии:</w:t>
      </w:r>
      <w:r w:rsidRPr="006254F4">
        <w:rPr>
          <w:b w:val="0"/>
          <w:bCs/>
          <w:i/>
          <w:iCs/>
          <w:color w:val="000000" w:themeColor="text1"/>
        </w:rPr>
        <w:t>до начала лечения следует исключить все корректируемые</w:t>
      </w:r>
      <w:r w:rsidR="00DB4875" w:rsidRPr="006254F4">
        <w:rPr>
          <w:b w:val="0"/>
          <w:bCs/>
          <w:i/>
          <w:iCs/>
          <w:color w:val="000000" w:themeColor="text1"/>
        </w:rPr>
        <w:t xml:space="preserve"> причины.</w:t>
      </w:r>
    </w:p>
    <w:p w:rsidR="005A1102" w:rsidRPr="006254F4" w:rsidRDefault="005A1102" w:rsidP="005A1102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ХБП и анемией, подходящих для трансплантации,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особенно избегать, по возможности, гемотрансфузий для минимизации риска аллосенсибилизации </w:t>
      </w:r>
      <w:r w:rsidR="00954E2D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4]"},"properties":{"noteIndex":0},"schema":"https://github.com/citation-style-language/schema/raw/master/csl-citation.json"}</w:instrText>
      </w:r>
      <w:r w:rsidR="00954E2D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954E2D"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:rsidR="005A1102" w:rsidRPr="006254F4" w:rsidRDefault="005A1102" w:rsidP="005A1102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 С (уровень достоверности доказательств – 5)</w:t>
      </w:r>
    </w:p>
    <w:p w:rsidR="005A1102" w:rsidRPr="006254F4" w:rsidRDefault="00CB71DA" w:rsidP="005A1102">
      <w:pPr>
        <w:pStyle w:val="afff1"/>
        <w:rPr>
          <w:color w:val="000000" w:themeColor="text1"/>
        </w:rPr>
      </w:pPr>
      <w:bookmarkStart w:id="31" w:name="__RefHeading___doc_4"/>
      <w:bookmarkStart w:id="32" w:name="_Toc46321757"/>
      <w:r w:rsidRPr="006254F4">
        <w:rPr>
          <w:color w:val="000000" w:themeColor="text1"/>
        </w:rPr>
        <w:t xml:space="preserve">4. </w:t>
      </w:r>
      <w:r w:rsidR="00A43CE5" w:rsidRPr="006254F4">
        <w:rPr>
          <w:color w:val="000000" w:themeColor="text1"/>
        </w:rPr>
        <w:t>Медицинская реабилитация</w:t>
      </w:r>
      <w:bookmarkEnd w:id="31"/>
      <w:r w:rsidR="00A43CE5" w:rsidRPr="006254F4">
        <w:rPr>
          <w:color w:val="000000" w:themeColor="text1"/>
        </w:rPr>
        <w:t>, медицинские показания и противопоказания к применению методов реабилитации</w:t>
      </w:r>
      <w:bookmarkEnd w:id="32"/>
    </w:p>
    <w:p w:rsidR="005A1102" w:rsidRPr="006254F4" w:rsidRDefault="005A1102" w:rsidP="005A1102">
      <w:pPr>
        <w:rPr>
          <w:i/>
          <w:color w:val="000000" w:themeColor="text1"/>
        </w:rPr>
      </w:pPr>
      <w:r w:rsidRPr="006254F4">
        <w:rPr>
          <w:i/>
          <w:color w:val="000000" w:themeColor="text1"/>
        </w:rPr>
        <w:t>Специфическая медицинская реабилитация для детей</w:t>
      </w:r>
      <w:r w:rsidR="00DB4875" w:rsidRPr="006254F4">
        <w:rPr>
          <w:i/>
          <w:color w:val="000000" w:themeColor="text1"/>
        </w:rPr>
        <w:t xml:space="preserve"> и взрослых</w:t>
      </w:r>
      <w:r w:rsidRPr="006254F4">
        <w:rPr>
          <w:i/>
          <w:color w:val="000000" w:themeColor="text1"/>
        </w:rPr>
        <w:t xml:space="preserve"> с ХБП и анемией не разработана.</w:t>
      </w:r>
    </w:p>
    <w:p w:rsidR="00A43CE5" w:rsidRPr="006254F4" w:rsidRDefault="00094ED6" w:rsidP="005A1102">
      <w:pPr>
        <w:pStyle w:val="afff1"/>
        <w:rPr>
          <w:color w:val="000000" w:themeColor="text1"/>
        </w:rPr>
      </w:pPr>
      <w:bookmarkStart w:id="33" w:name="__RefHeading___doc_5"/>
      <w:bookmarkStart w:id="34" w:name="_Toc46321758"/>
      <w:r w:rsidRPr="006254F4">
        <w:rPr>
          <w:color w:val="000000" w:themeColor="text1"/>
        </w:rPr>
        <w:t xml:space="preserve">5. </w:t>
      </w:r>
      <w:r w:rsidR="00CB71DA" w:rsidRPr="006254F4">
        <w:rPr>
          <w:color w:val="000000" w:themeColor="text1"/>
        </w:rPr>
        <w:t>Профилактика</w:t>
      </w:r>
      <w:bookmarkEnd w:id="33"/>
      <w:r w:rsidR="00B104EF" w:rsidRPr="006254F4">
        <w:rPr>
          <w:color w:val="000000" w:themeColor="text1"/>
        </w:rPr>
        <w:t xml:space="preserve"> и диспансерное наблюдение</w:t>
      </w:r>
      <w:r w:rsidR="00A43CE5" w:rsidRPr="006254F4">
        <w:rPr>
          <w:color w:val="000000" w:themeColor="text1"/>
        </w:rPr>
        <w:t>,медицинские показания и противопоказания к применению методов профилактики</w:t>
      </w:r>
      <w:bookmarkEnd w:id="34"/>
    </w:p>
    <w:p w:rsidR="00140786" w:rsidRPr="006254F4" w:rsidRDefault="00140786" w:rsidP="00FA3029">
      <w:pPr>
        <w:pStyle w:val="afb"/>
        <w:rPr>
          <w:color w:val="000000" w:themeColor="text1"/>
        </w:rPr>
      </w:pPr>
      <w:bookmarkStart w:id="35" w:name="__RefHeading___doc_6"/>
      <w:r w:rsidRPr="006254F4">
        <w:rPr>
          <w:color w:val="000000" w:themeColor="text1"/>
        </w:rPr>
        <w:t>Первичная профилактика заключается в рациональном питании, своевременной диагностике и лечении дефицита железа, своевременном начале диализа. Около 47% пациентов уже на предиализной стадии нуждаются в назначении ЭС</w:t>
      </w:r>
      <w:r w:rsidR="0024723C" w:rsidRPr="006254F4">
        <w:rPr>
          <w:color w:val="000000" w:themeColor="text1"/>
        </w:rPr>
        <w:t>П</w:t>
      </w:r>
      <w:r w:rsidRPr="006254F4">
        <w:rPr>
          <w:color w:val="000000" w:themeColor="text1"/>
        </w:rPr>
        <w:t>. После начала гемодиализа и перитонеального диализа практически все пациенты требуют назначения ЭС</w:t>
      </w:r>
      <w:r w:rsidR="0024723C" w:rsidRPr="006254F4">
        <w:rPr>
          <w:color w:val="000000" w:themeColor="text1"/>
        </w:rPr>
        <w:t>П</w:t>
      </w:r>
      <w:r w:rsidRPr="006254F4">
        <w:rPr>
          <w:color w:val="000000" w:themeColor="text1"/>
        </w:rPr>
        <w:t>.</w:t>
      </w:r>
    </w:p>
    <w:p w:rsidR="00140786" w:rsidRPr="006254F4" w:rsidRDefault="00140786" w:rsidP="00FA3029">
      <w:pPr>
        <w:pStyle w:val="afb"/>
        <w:rPr>
          <w:color w:val="000000" w:themeColor="text1"/>
          <w:spacing w:val="-1"/>
        </w:rPr>
      </w:pPr>
      <w:r w:rsidRPr="006254F4">
        <w:rPr>
          <w:color w:val="000000" w:themeColor="text1"/>
          <w:spacing w:val="-1"/>
        </w:rPr>
        <w:t xml:space="preserve">Пациентов с анемией на фоне ХБП следует наблюдать пожизненно. </w:t>
      </w:r>
    </w:p>
    <w:p w:rsidR="009B4039" w:rsidRPr="006254F4" w:rsidRDefault="00C4630C" w:rsidP="00FA3029">
      <w:pPr>
        <w:pStyle w:val="afff1"/>
        <w:rPr>
          <w:color w:val="000000" w:themeColor="text1"/>
        </w:rPr>
      </w:pPr>
      <w:bookmarkStart w:id="36" w:name="_Toc46321759"/>
      <w:r w:rsidRPr="006254F4">
        <w:rPr>
          <w:color w:val="000000" w:themeColor="text1"/>
        </w:rPr>
        <w:t xml:space="preserve">6. </w:t>
      </w:r>
      <w:r w:rsidR="009B4039" w:rsidRPr="006254F4">
        <w:rPr>
          <w:color w:val="000000" w:themeColor="text1"/>
        </w:rPr>
        <w:t>Организация</w:t>
      </w:r>
      <w:r w:rsidR="00D91D27" w:rsidRPr="006254F4">
        <w:rPr>
          <w:color w:val="000000" w:themeColor="text1"/>
        </w:rPr>
        <w:t xml:space="preserve"> оказания</w:t>
      </w:r>
      <w:r w:rsidR="009B4039" w:rsidRPr="006254F4">
        <w:rPr>
          <w:color w:val="000000" w:themeColor="text1"/>
        </w:rPr>
        <w:t xml:space="preserve"> медицинской помощи</w:t>
      </w:r>
      <w:bookmarkEnd w:id="36"/>
    </w:p>
    <w:p w:rsidR="001034AF" w:rsidRPr="006254F4" w:rsidRDefault="001034AF" w:rsidP="00FA3029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Учитывая, что анемия является типичным осложнением ХБП, ее коррекция проводится в рамках лечения основного заболевания.</w:t>
      </w:r>
      <w:r w:rsidRPr="006254F4">
        <w:rPr>
          <w:color w:val="000000" w:themeColor="text1"/>
          <w:lang w:bidi="ru-RU"/>
        </w:rPr>
        <w:t xml:space="preserve">  П</w:t>
      </w:r>
      <w:r w:rsidRPr="006254F4">
        <w:rPr>
          <w:color w:val="000000" w:themeColor="text1"/>
        </w:rPr>
        <w:t>оказаниями к госпитализации будут служить выраженная анемия (Н</w:t>
      </w:r>
      <w:r w:rsidR="00FA3029" w:rsidRPr="006254F4">
        <w:rPr>
          <w:color w:val="000000" w:themeColor="text1"/>
          <w:lang w:val="en-US"/>
        </w:rPr>
        <w:t>b</w:t>
      </w:r>
      <w:r w:rsidRPr="006254F4">
        <w:rPr>
          <w:color w:val="000000" w:themeColor="text1"/>
        </w:rPr>
        <w:t xml:space="preserve"> ≤ 70-75 г/л, Ht ≤ 0,25-0,30 л/л), либо наличие симптомов и признаков анемической гипоксии даже при более высоких показателях концентрации Hb.</w:t>
      </w:r>
    </w:p>
    <w:p w:rsidR="00CB562F" w:rsidRPr="006254F4" w:rsidRDefault="00C4630C" w:rsidP="00FA3029">
      <w:pPr>
        <w:pStyle w:val="afff1"/>
        <w:rPr>
          <w:color w:val="000000" w:themeColor="text1"/>
        </w:rPr>
      </w:pPr>
      <w:bookmarkStart w:id="37" w:name="_Toc46321760"/>
      <w:r w:rsidRPr="006254F4">
        <w:rPr>
          <w:color w:val="000000" w:themeColor="text1"/>
        </w:rPr>
        <w:t xml:space="preserve">7. </w:t>
      </w:r>
      <w:r w:rsidR="00CB71DA" w:rsidRPr="006254F4">
        <w:rPr>
          <w:color w:val="000000" w:themeColor="text1"/>
        </w:rPr>
        <w:t>Дополнительная инфор</w:t>
      </w:r>
      <w:r w:rsidR="009B4039" w:rsidRPr="006254F4">
        <w:rPr>
          <w:color w:val="000000" w:themeColor="text1"/>
        </w:rPr>
        <w:t>мация (</w:t>
      </w:r>
      <w:r w:rsidR="00A43CE5" w:rsidRPr="006254F4">
        <w:rPr>
          <w:color w:val="000000" w:themeColor="text1"/>
        </w:rPr>
        <w:t>в том числе факторы, влияющие на</w:t>
      </w:r>
      <w:r w:rsidR="00CB71DA" w:rsidRPr="006254F4">
        <w:rPr>
          <w:color w:val="000000" w:themeColor="text1"/>
        </w:rPr>
        <w:t xml:space="preserve"> исход заболевания</w:t>
      </w:r>
      <w:bookmarkEnd w:id="35"/>
      <w:r w:rsidR="00A43CE5" w:rsidRPr="006254F4">
        <w:rPr>
          <w:color w:val="000000" w:themeColor="text1"/>
        </w:rPr>
        <w:t>или состояния)</w:t>
      </w:r>
      <w:bookmarkEnd w:id="37"/>
    </w:p>
    <w:p w:rsidR="00FA3029" w:rsidRPr="006254F4" w:rsidRDefault="00FA3029" w:rsidP="00FA3029">
      <w:pPr>
        <w:rPr>
          <w:color w:val="000000" w:themeColor="text1"/>
        </w:rPr>
      </w:pPr>
      <w:r w:rsidRPr="006254F4">
        <w:rPr>
          <w:color w:val="000000" w:themeColor="text1"/>
        </w:rPr>
        <w:t>Нет</w:t>
      </w:r>
    </w:p>
    <w:p w:rsidR="000414F6" w:rsidRPr="006254F4" w:rsidRDefault="00CB71DA" w:rsidP="00FA3029">
      <w:pPr>
        <w:pStyle w:val="afff1"/>
        <w:rPr>
          <w:color w:val="000000" w:themeColor="text1"/>
        </w:rPr>
      </w:pPr>
      <w:bookmarkStart w:id="38" w:name="__RefHeading___doc_criteria"/>
      <w:bookmarkStart w:id="39" w:name="_Toc46321761"/>
      <w:r w:rsidRPr="006254F4">
        <w:rPr>
          <w:color w:val="000000" w:themeColor="text1"/>
        </w:rPr>
        <w:lastRenderedPageBreak/>
        <w:t>Критерии оценки качества медицинской помощи</w:t>
      </w:r>
      <w:bookmarkEnd w:id="38"/>
      <w:bookmarkEnd w:id="39"/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5239"/>
        <w:gridCol w:w="1798"/>
        <w:gridCol w:w="1901"/>
      </w:tblGrid>
      <w:tr w:rsidR="006254F4" w:rsidRPr="006254F4" w:rsidTr="001034AF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№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Критерии качества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Уровень достоверности доказательств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Уровень убедительности рекомендаций</w:t>
            </w:r>
          </w:p>
        </w:tc>
      </w:tr>
      <w:tr w:rsidR="006254F4" w:rsidRPr="006254F4" w:rsidTr="001034AF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1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bCs/>
                <w:color w:val="000000" w:themeColor="text1"/>
              </w:rPr>
              <w:t xml:space="preserve">Пациенту с ХБП </w:t>
            </w:r>
            <w:r w:rsidRPr="006254F4">
              <w:rPr>
                <w:color w:val="000000" w:themeColor="text1"/>
              </w:rPr>
              <w:t>выполнен общий (клинический) анализ крови, оценка гематокрита (</w:t>
            </w:r>
            <w:r w:rsidRPr="006254F4">
              <w:rPr>
                <w:color w:val="000000" w:themeColor="text1"/>
                <w:lang w:val="en-US"/>
              </w:rPr>
              <w:t>Hct</w:t>
            </w:r>
            <w:r w:rsidRPr="006254F4">
              <w:rPr>
                <w:color w:val="000000" w:themeColor="text1"/>
              </w:rPr>
              <w:t>), исследование уровня эритроцитов в крови и исследование уровня ретикулоцитов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  <w:tr w:rsidR="006254F4" w:rsidRPr="006254F4" w:rsidTr="00E477E2">
        <w:trPr>
          <w:divId w:val="129131041"/>
          <w:trHeight w:val="599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1550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2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1550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bCs/>
                <w:color w:val="000000" w:themeColor="text1"/>
              </w:rPr>
              <w:t xml:space="preserve">Пациенту с ХБП и анемией выполнено </w:t>
            </w:r>
            <w:r w:rsidRPr="006254F4">
              <w:rPr>
                <w:color w:val="000000" w:themeColor="text1"/>
              </w:rPr>
              <w:t>исследование статуса железа, включающее исследование уровня железа сыворотки крови, исследование насыщения трансферрина железом исследование уровня ферритина в крови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1550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1550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  <w:tr w:rsidR="006254F4" w:rsidRPr="006254F4" w:rsidTr="00FA3029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3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34AF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bCs/>
                <w:color w:val="000000" w:themeColor="text1"/>
              </w:rPr>
              <w:t xml:space="preserve">Пациенту с ХБП и анемией, который ранее не получал препараты железа, при насыщении трансферрина ниже 20% и уровне ферритина ниже 100 нг/мл </w:t>
            </w:r>
            <w:r w:rsidRPr="006254F4">
              <w:rPr>
                <w:color w:val="000000" w:themeColor="text1"/>
              </w:rPr>
              <w:t>н</w:t>
            </w:r>
            <w:r w:rsidRPr="006254F4">
              <w:rPr>
                <w:rFonts w:eastAsia="Calibri"/>
                <w:color w:val="000000" w:themeColor="text1"/>
              </w:rPr>
              <w:t>азначениы препараты железа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  <w:tr w:rsidR="006254F4" w:rsidRPr="006254F4" w:rsidTr="00FA3029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4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34AF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bCs/>
                <w:color w:val="000000" w:themeColor="text1"/>
              </w:rPr>
              <w:t xml:space="preserve">Пациентау с ХБП и анемией ниже 100 г/л </w:t>
            </w:r>
            <w:r w:rsidRPr="006254F4">
              <w:rPr>
                <w:rFonts w:eastAsia="Calibri"/>
                <w:color w:val="000000" w:themeColor="text1"/>
              </w:rPr>
              <w:t>назначены ЭСП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C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34AF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</w:tbl>
    <w:p w:rsidR="00FA3029" w:rsidRPr="006254F4" w:rsidRDefault="00FA3029" w:rsidP="00FA3029">
      <w:pPr>
        <w:pStyle w:val="afff1"/>
        <w:rPr>
          <w:color w:val="000000" w:themeColor="text1"/>
        </w:rPr>
      </w:pPr>
      <w:bookmarkStart w:id="40" w:name="__RefHeading___doc_bible"/>
    </w:p>
    <w:p w:rsidR="000414F6" w:rsidRPr="006254F4" w:rsidRDefault="00CB71DA" w:rsidP="00FA3029">
      <w:pPr>
        <w:pStyle w:val="afff1"/>
        <w:rPr>
          <w:color w:val="000000" w:themeColor="text1"/>
        </w:rPr>
      </w:pPr>
      <w:bookmarkStart w:id="41" w:name="_Toc46321762"/>
      <w:r w:rsidRPr="006254F4">
        <w:rPr>
          <w:color w:val="000000" w:themeColor="text1"/>
        </w:rPr>
        <w:t>Список литературы</w:t>
      </w:r>
      <w:bookmarkEnd w:id="40"/>
      <w:bookmarkEnd w:id="41"/>
    </w:p>
    <w:p w:rsidR="00696B0F" w:rsidRPr="006254F4" w:rsidRDefault="00954E2D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color w:val="000000" w:themeColor="text1"/>
        </w:rPr>
        <w:fldChar w:fldCharType="begin" w:fldLock="1"/>
      </w:r>
      <w:r w:rsidR="00FA3029" w:rsidRPr="006254F4">
        <w:rPr>
          <w:color w:val="000000" w:themeColor="text1"/>
          <w:lang w:val="en-US"/>
        </w:rPr>
        <w:instrText>ADDINMendeleyBibliographyCSL</w:instrText>
      </w:r>
      <w:r w:rsidR="00FA3029" w:rsidRPr="00BF4CAF">
        <w:rPr>
          <w:color w:val="000000" w:themeColor="text1"/>
          <w:lang w:val="en-US"/>
        </w:rPr>
        <w:instrText>_</w:instrText>
      </w:r>
      <w:r w:rsidR="00FA3029" w:rsidRPr="006254F4">
        <w:rPr>
          <w:color w:val="000000" w:themeColor="text1"/>
          <w:lang w:val="en-US"/>
        </w:rPr>
        <w:instrText>BIBLIOGRAPHY</w:instrText>
      </w:r>
      <w:r w:rsidRPr="006254F4">
        <w:rPr>
          <w:color w:val="000000" w:themeColor="text1"/>
        </w:rPr>
        <w:fldChar w:fldCharType="separate"/>
      </w:r>
      <w:r w:rsidR="00696B0F" w:rsidRPr="00BF4CAF">
        <w:rPr>
          <w:rFonts w:cs="Times New Roman"/>
          <w:noProof/>
          <w:color w:val="000000" w:themeColor="text1"/>
          <w:lang w:val="en-US"/>
        </w:rPr>
        <w:t>1.</w:t>
      </w:r>
      <w:r w:rsidR="00696B0F" w:rsidRPr="00BF4CAF">
        <w:rPr>
          <w:rFonts w:cs="Times New Roman"/>
          <w:noProof/>
          <w:color w:val="000000" w:themeColor="text1"/>
          <w:lang w:val="en-US"/>
        </w:rPr>
        <w:tab/>
      </w:r>
      <w:r w:rsidR="00696B0F" w:rsidRPr="006254F4">
        <w:rPr>
          <w:rFonts w:cs="Times New Roman"/>
          <w:noProof/>
          <w:color w:val="000000" w:themeColor="text1"/>
          <w:lang w:val="en-US"/>
        </w:rPr>
        <w:t>VanWyckD</w:t>
      </w:r>
      <w:r w:rsidR="00696B0F" w:rsidRPr="00BF4CAF">
        <w:rPr>
          <w:rFonts w:cs="Times New Roman"/>
          <w:noProof/>
          <w:color w:val="000000" w:themeColor="text1"/>
          <w:lang w:val="en-US"/>
        </w:rPr>
        <w:t>.</w:t>
      </w:r>
      <w:r w:rsidR="00696B0F" w:rsidRPr="006254F4">
        <w:rPr>
          <w:rFonts w:cs="Times New Roman"/>
          <w:noProof/>
          <w:color w:val="000000" w:themeColor="text1"/>
          <w:lang w:val="en-US"/>
        </w:rPr>
        <w:t>B</w:t>
      </w:r>
      <w:r w:rsidR="00696B0F" w:rsidRPr="00BF4CAF">
        <w:rPr>
          <w:rFonts w:cs="Times New Roman"/>
          <w:noProof/>
          <w:color w:val="000000" w:themeColor="text1"/>
          <w:lang w:val="en-US"/>
        </w:rPr>
        <w:t xml:space="preserve">. </w:t>
      </w:r>
      <w:r w:rsidR="00696B0F" w:rsidRPr="006254F4">
        <w:rPr>
          <w:rFonts w:cs="Times New Roman"/>
          <w:noProof/>
          <w:color w:val="000000" w:themeColor="text1"/>
          <w:lang w:val="en-US"/>
        </w:rPr>
        <w:t>etal</w:t>
      </w:r>
      <w:r w:rsidR="00696B0F" w:rsidRPr="00BF4CAF">
        <w:rPr>
          <w:rFonts w:cs="Times New Roman"/>
          <w:noProof/>
          <w:color w:val="000000" w:themeColor="text1"/>
          <w:lang w:val="en-US"/>
        </w:rPr>
        <w:t xml:space="preserve">. </w:t>
      </w:r>
      <w:r w:rsidR="00696B0F" w:rsidRPr="006254F4">
        <w:rPr>
          <w:rFonts w:cs="Times New Roman"/>
          <w:noProof/>
          <w:color w:val="000000" w:themeColor="text1"/>
          <w:lang w:val="en-US"/>
        </w:rPr>
        <w:t>KDOQI Clinical Practice Guideline and Clinical Practice Recommendations for Anemia in Chronic Kidney Disease (2006) [Electronic resource]. 2006. URL: https://kidneyfoundation.cachefly.net/professionals/KDOQI/guidelines_anemia/index.htm.</w:t>
      </w:r>
    </w:p>
    <w:p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rFonts w:cs="Times New Roman"/>
          <w:noProof/>
          <w:color w:val="000000" w:themeColor="text1"/>
          <w:lang w:val="en-US"/>
        </w:rPr>
        <w:t>2.</w:t>
      </w:r>
      <w:r w:rsidRPr="006254F4">
        <w:rPr>
          <w:rFonts w:cs="Times New Roman"/>
          <w:noProof/>
          <w:color w:val="000000" w:themeColor="text1"/>
          <w:lang w:val="en-US"/>
        </w:rPr>
        <w:tab/>
        <w:t>National Collaborating Centre for Chronic Conditions (UK). Anaemia Management in Chronic Kidney Disease: National Clinical Guideline for Management in Adults and Children [Electronic resource]. 2006. URL: https://pubmed.ncbi.nlm.nih.gov/20945579/ (accessed: 20.07.2020).</w:t>
      </w:r>
    </w:p>
    <w:p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rFonts w:cs="Times New Roman"/>
          <w:noProof/>
          <w:color w:val="000000" w:themeColor="text1"/>
          <w:lang w:val="en-US"/>
        </w:rPr>
        <w:t>3.</w:t>
      </w:r>
      <w:r w:rsidRPr="006254F4">
        <w:rPr>
          <w:rFonts w:cs="Times New Roman"/>
          <w:noProof/>
          <w:color w:val="000000" w:themeColor="text1"/>
          <w:lang w:val="en-US"/>
        </w:rPr>
        <w:tab/>
        <w:t>McMurray J.J. V. et al. KDIGO Clinical Practice Guideline for Anemia in Chronic Kidney Disease // Kidney Int. Suppl. 2012. Vol. 2, № 4. P. 279–331.</w:t>
      </w:r>
    </w:p>
    <w:p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</w:rPr>
      </w:pPr>
      <w:r w:rsidRPr="006254F4">
        <w:rPr>
          <w:rFonts w:cs="Times New Roman"/>
          <w:noProof/>
          <w:color w:val="000000" w:themeColor="text1"/>
          <w:lang w:val="en-US"/>
        </w:rPr>
        <w:t>4.</w:t>
      </w:r>
      <w:r w:rsidRPr="006254F4">
        <w:rPr>
          <w:rFonts w:cs="Times New Roman"/>
          <w:noProof/>
          <w:color w:val="000000" w:themeColor="text1"/>
          <w:lang w:val="en-US"/>
        </w:rPr>
        <w:tab/>
      </w:r>
      <w:r w:rsidRPr="006254F4">
        <w:rPr>
          <w:rFonts w:cs="Times New Roman"/>
          <w:noProof/>
          <w:color w:val="000000" w:themeColor="text1"/>
        </w:rPr>
        <w:t>ПавловА</w:t>
      </w:r>
      <w:r w:rsidRPr="006254F4">
        <w:rPr>
          <w:rFonts w:cs="Times New Roman"/>
          <w:noProof/>
          <w:color w:val="000000" w:themeColor="text1"/>
          <w:lang w:val="en-US"/>
        </w:rPr>
        <w:t>.</w:t>
      </w:r>
      <w:r w:rsidRPr="006254F4">
        <w:rPr>
          <w:rFonts w:cs="Times New Roman"/>
          <w:noProof/>
          <w:color w:val="000000" w:themeColor="text1"/>
        </w:rPr>
        <w:t>Д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., </w:t>
      </w:r>
      <w:r w:rsidRPr="006254F4">
        <w:rPr>
          <w:rFonts w:cs="Times New Roman"/>
          <w:noProof/>
          <w:color w:val="000000" w:themeColor="text1"/>
        </w:rPr>
        <w:t>МорщаковаЕ</w:t>
      </w:r>
      <w:r w:rsidRPr="006254F4">
        <w:rPr>
          <w:rFonts w:cs="Times New Roman"/>
          <w:noProof/>
          <w:color w:val="000000" w:themeColor="text1"/>
          <w:lang w:val="en-US"/>
        </w:rPr>
        <w:t>.</w:t>
      </w:r>
      <w:r w:rsidRPr="006254F4">
        <w:rPr>
          <w:rFonts w:cs="Times New Roman"/>
          <w:noProof/>
          <w:color w:val="000000" w:themeColor="text1"/>
        </w:rPr>
        <w:t>Ф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., </w:t>
      </w:r>
      <w:r w:rsidRPr="006254F4">
        <w:rPr>
          <w:rFonts w:cs="Times New Roman"/>
          <w:noProof/>
          <w:color w:val="000000" w:themeColor="text1"/>
        </w:rPr>
        <w:t>РумянцевА</w:t>
      </w:r>
      <w:r w:rsidRPr="006254F4">
        <w:rPr>
          <w:rFonts w:cs="Times New Roman"/>
          <w:noProof/>
          <w:color w:val="000000" w:themeColor="text1"/>
          <w:lang w:val="en-US"/>
        </w:rPr>
        <w:t>.</w:t>
      </w:r>
      <w:r w:rsidRPr="006254F4">
        <w:rPr>
          <w:rFonts w:cs="Times New Roman"/>
          <w:noProof/>
          <w:color w:val="000000" w:themeColor="text1"/>
        </w:rPr>
        <w:t>Г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 </w:t>
      </w:r>
      <w:r w:rsidRPr="006254F4">
        <w:rPr>
          <w:rFonts w:cs="Times New Roman"/>
          <w:noProof/>
          <w:color w:val="000000" w:themeColor="text1"/>
        </w:rPr>
        <w:t>Эритропоэз</w:t>
      </w:r>
      <w:r w:rsidRPr="006254F4">
        <w:rPr>
          <w:rFonts w:cs="Times New Roman"/>
          <w:noProof/>
          <w:color w:val="000000" w:themeColor="text1"/>
          <w:lang w:val="en-US"/>
        </w:rPr>
        <w:t xml:space="preserve">, </w:t>
      </w:r>
      <w:r w:rsidRPr="006254F4">
        <w:rPr>
          <w:rFonts w:cs="Times New Roman"/>
          <w:noProof/>
          <w:color w:val="000000" w:themeColor="text1"/>
        </w:rPr>
        <w:t>эритропоэтин</w:t>
      </w:r>
      <w:r w:rsidRPr="006254F4">
        <w:rPr>
          <w:rFonts w:cs="Times New Roman"/>
          <w:noProof/>
          <w:color w:val="000000" w:themeColor="text1"/>
          <w:lang w:val="en-US"/>
        </w:rPr>
        <w:t xml:space="preserve">, </w:t>
      </w:r>
      <w:r w:rsidRPr="006254F4">
        <w:rPr>
          <w:rFonts w:cs="Times New Roman"/>
          <w:noProof/>
          <w:color w:val="000000" w:themeColor="text1"/>
        </w:rPr>
        <w:t>железо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 </w:t>
      </w:r>
      <w:r w:rsidRPr="006254F4">
        <w:rPr>
          <w:rFonts w:cs="Times New Roman"/>
          <w:noProof/>
          <w:color w:val="000000" w:themeColor="text1"/>
        </w:rPr>
        <w:t xml:space="preserve">М.: </w:t>
      </w:r>
      <w:r w:rsidRPr="006254F4">
        <w:rPr>
          <w:rFonts w:cs="Times New Roman"/>
          <w:noProof/>
          <w:color w:val="000000" w:themeColor="text1"/>
        </w:rPr>
        <w:lastRenderedPageBreak/>
        <w:t>ГЭОТАР-Медиа, 2011. 304 p.</w:t>
      </w:r>
    </w:p>
    <w:p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rFonts w:cs="Times New Roman"/>
          <w:noProof/>
          <w:color w:val="000000" w:themeColor="text1"/>
        </w:rPr>
        <w:t>5.</w:t>
      </w:r>
      <w:r w:rsidRPr="006254F4">
        <w:rPr>
          <w:rFonts w:cs="Times New Roman"/>
          <w:noProof/>
          <w:color w:val="000000" w:themeColor="text1"/>
        </w:rPr>
        <w:tab/>
        <w:t xml:space="preserve">Шило В.Ю. et al. 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 </w:t>
      </w:r>
      <w:r w:rsidRPr="006254F4">
        <w:rPr>
          <w:rFonts w:cs="Times New Roman"/>
          <w:noProof/>
          <w:color w:val="000000" w:themeColor="text1"/>
          <w:lang w:val="en-US"/>
        </w:rPr>
        <w:t>[Electronic resource]. 2014. URL: http://nonr.ru/wp-content/uploads/2013/11.</w:t>
      </w:r>
    </w:p>
    <w:p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</w:rPr>
      </w:pPr>
      <w:r w:rsidRPr="006254F4">
        <w:rPr>
          <w:rFonts w:cs="Times New Roman"/>
          <w:noProof/>
          <w:color w:val="000000" w:themeColor="text1"/>
          <w:lang w:val="en-US"/>
        </w:rPr>
        <w:t>6.</w:t>
      </w:r>
      <w:r w:rsidRPr="006254F4">
        <w:rPr>
          <w:rFonts w:cs="Times New Roman"/>
          <w:noProof/>
          <w:color w:val="000000" w:themeColor="text1"/>
          <w:lang w:val="en-US"/>
        </w:rPr>
        <w:tab/>
        <w:t xml:space="preserve">Van Wyck D.B. et al. KDOQI Clinical Practice Guideline and Clinical Practice Recommendations for Anemia in Chronic Kidney Disease: 2007 Update of Hemoglobin Target [Electronic resource]. </w:t>
      </w:r>
      <w:r w:rsidRPr="006254F4">
        <w:rPr>
          <w:rFonts w:cs="Times New Roman"/>
          <w:noProof/>
          <w:color w:val="000000" w:themeColor="text1"/>
        </w:rPr>
        <w:t>2007.</w:t>
      </w:r>
    </w:p>
    <w:p w:rsidR="0025228A" w:rsidRPr="006254F4" w:rsidRDefault="00954E2D" w:rsidP="00696B0F">
      <w:pPr>
        <w:widowControl w:val="0"/>
        <w:autoSpaceDE w:val="0"/>
        <w:autoSpaceDN w:val="0"/>
        <w:adjustRightInd w:val="0"/>
        <w:ind w:left="640" w:hanging="640"/>
        <w:rPr>
          <w:color w:val="000000" w:themeColor="text1"/>
        </w:rPr>
      </w:pPr>
      <w:r w:rsidRPr="006254F4">
        <w:rPr>
          <w:color w:val="000000" w:themeColor="text1"/>
        </w:rPr>
        <w:fldChar w:fldCharType="end"/>
      </w:r>
    </w:p>
    <w:p w:rsidR="00B11FB6" w:rsidRPr="006254F4" w:rsidRDefault="00B11FB6" w:rsidP="00B11FB6">
      <w:pPr>
        <w:pStyle w:val="afff1"/>
        <w:outlineLvl w:val="9"/>
        <w:rPr>
          <w:color w:val="000000" w:themeColor="text1"/>
        </w:rPr>
      </w:pPr>
      <w:r w:rsidRPr="006254F4">
        <w:rPr>
          <w:color w:val="000000" w:themeColor="text1"/>
          <w:szCs w:val="28"/>
          <w:lang w:eastAsia="ru-RU"/>
        </w:rPr>
        <w:t>Приложение А1. Состав рабочей группы</w:t>
      </w:r>
      <w:r w:rsidRPr="006254F4">
        <w:rPr>
          <w:color w:val="000000" w:themeColor="text1"/>
        </w:rPr>
        <w:t xml:space="preserve"> по разработке и пересмотру клинических рекомендаций</w:t>
      </w:r>
    </w:p>
    <w:p w:rsidR="00B11FB6" w:rsidRPr="006254F4" w:rsidRDefault="00B11FB6" w:rsidP="00B11FB6">
      <w:pPr>
        <w:rPr>
          <w:rFonts w:cs="Times New Roman"/>
          <w:b/>
          <w:color w:val="000000" w:themeColor="text1"/>
          <w:szCs w:val="24"/>
          <w:lang w:eastAsia="ru-RU"/>
        </w:rPr>
      </w:pPr>
    </w:p>
    <w:p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Румянцев Александр Григорьевич </w:t>
      </w:r>
      <w:r w:rsidR="00BF4F98" w:rsidRPr="006254F4">
        <w:rPr>
          <w:rFonts w:cs="Times New Roman"/>
          <w:color w:val="000000" w:themeColor="text1"/>
          <w:szCs w:val="24"/>
          <w:lang w:eastAsia="ru-RU"/>
        </w:rPr>
        <w:t xml:space="preserve">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>академик РАН, главный детский гематолог Министерства здравоохранения Российской Федерации, генеральный директор ФГБУ ФНКЦ ДГОИ им. Дмитрия Рогачева, профессор кафедры гематологии, онкологии и лучевой терапии педиатрического факультета РНИМУ им. Н.И.Пирогова</w:t>
      </w:r>
    </w:p>
    <w:p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Масчан Алексей Александрович</w:t>
      </w:r>
      <w:r w:rsidR="00BF4F98" w:rsidRPr="006254F4">
        <w:rPr>
          <w:rFonts w:cs="Times New Roman"/>
          <w:color w:val="000000" w:themeColor="text1"/>
          <w:szCs w:val="24"/>
          <w:lang w:eastAsia="ru-RU"/>
        </w:rPr>
        <w:t xml:space="preserve"> 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 xml:space="preserve">зам. генерального директора ФГБУ ФНКЦ ДГОИ им. Дмитрия Рогачева, 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профессор </w:t>
      </w:r>
      <w:r w:rsidRPr="006254F4">
        <w:rPr>
          <w:rFonts w:cs="Times New Roman"/>
          <w:color w:val="000000" w:themeColor="text1"/>
          <w:szCs w:val="24"/>
          <w:lang w:eastAsia="ru-RU"/>
        </w:rPr>
        <w:t>кафедры гематологии, онкологии и лучевой терапии педиатрического факультета РНИМУ им. Н.И.Пирогова, член Европейского общества гематологов</w:t>
      </w:r>
    </w:p>
    <w:p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Демихов Валерий Григорьевич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 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>проф., директор Научно-клинического центра гематологии, онкологии и иммунологии ГБОУ ВПО «Рязанский государственный медицинский университет им. акад. И.П. Павлова» Минздрава России</w:t>
      </w:r>
    </w:p>
    <w:p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Морщакова Елена Федоровна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 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>профессор</w:t>
      </w:r>
    </w:p>
    <w:p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Лунякова Мария Анатольевна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 – к.м.н., </w:t>
      </w:r>
      <w:r w:rsidRPr="006254F4">
        <w:rPr>
          <w:rFonts w:cs="Times New Roman"/>
          <w:color w:val="000000" w:themeColor="text1"/>
          <w:szCs w:val="24"/>
          <w:lang w:eastAsia="ru-RU"/>
        </w:rPr>
        <w:t>зав. отделом гематологии и онкологии Научно-клинического центра гематологии, онкологии и иммунологии ГБОУ ВПО «Рязанский государственный медицинский университет им. акад. И.П. Павлова» Минздрава России</w:t>
      </w:r>
    </w:p>
    <w:p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 xml:space="preserve">Скобин Владимир Борисович 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–к.м.н., </w:t>
      </w:r>
      <w:r w:rsidRPr="006254F4">
        <w:rPr>
          <w:rFonts w:cs="Times New Roman"/>
          <w:color w:val="000000" w:themeColor="text1"/>
          <w:szCs w:val="24"/>
          <w:lang w:eastAsia="ru-RU"/>
        </w:rPr>
        <w:t xml:space="preserve">врач-гематолог отдела гематологии и онкологии Научно-клинического центра гематологии, онкологии и иммунологии </w:t>
      </w:r>
      <w:r w:rsidRPr="006254F4">
        <w:rPr>
          <w:rFonts w:cs="Times New Roman"/>
          <w:color w:val="000000" w:themeColor="text1"/>
          <w:szCs w:val="24"/>
          <w:lang w:eastAsia="ru-RU"/>
        </w:rPr>
        <w:lastRenderedPageBreak/>
        <w:t>ГБОУ ВПО «Рязанский государственный медицинский университет им. акад. И.П. Павлова» Минздрава России</w:t>
      </w:r>
    </w:p>
    <w:p w:rsidR="00DB4875" w:rsidRPr="006254F4" w:rsidRDefault="00DB4875" w:rsidP="00DB4875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Рехтина Ирина Германовна – д.м.н., зав. отделением химиотерапии плазмоклеточных дискразий ФГБУ НМИЦ гематологии МЗ РФ.</w:t>
      </w:r>
    </w:p>
    <w:p w:rsidR="00DB4875" w:rsidRPr="006254F4" w:rsidRDefault="00DB4875" w:rsidP="00DB4875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Денисова Е.Н. – к.м.н., руководитель группы диализа отделения реанимации и интенсивной терапии ФГБУ НМИЦ гематологии МЗ РФ.</w:t>
      </w:r>
    </w:p>
    <w:p w:rsidR="00FA3029" w:rsidRPr="006254F4" w:rsidRDefault="00FA3029" w:rsidP="00FA3029">
      <w:pPr>
        <w:rPr>
          <w:rFonts w:cs="Times New Roman"/>
          <w:color w:val="000000" w:themeColor="text1"/>
          <w:szCs w:val="24"/>
          <w:lang w:eastAsia="ru-RU"/>
        </w:rPr>
      </w:pPr>
    </w:p>
    <w:p w:rsidR="00B11FB6" w:rsidRPr="006254F4" w:rsidRDefault="00B11FB6" w:rsidP="00FA3029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Конфликт интересов: отсутствует.</w:t>
      </w:r>
    </w:p>
    <w:p w:rsidR="0025228A" w:rsidRPr="006254F4" w:rsidRDefault="0025228A" w:rsidP="00AF3168">
      <w:pPr>
        <w:rPr>
          <w:color w:val="000000" w:themeColor="text1"/>
        </w:rPr>
      </w:pPr>
    </w:p>
    <w:p w:rsidR="000414F6" w:rsidRPr="006254F4" w:rsidRDefault="00CB71DA" w:rsidP="00C4630C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42" w:name="__RefHeading___doc_a2"/>
      <w:bookmarkStart w:id="43" w:name="_Toc46321763"/>
      <w:r w:rsidRPr="006254F4">
        <w:rPr>
          <w:color w:val="000000" w:themeColor="text1"/>
        </w:rPr>
        <w:lastRenderedPageBreak/>
        <w:t>Приложение А2. Методология разработки клинических рекомендаций</w:t>
      </w:r>
      <w:bookmarkEnd w:id="42"/>
      <w:bookmarkEnd w:id="43"/>
    </w:p>
    <w:p w:rsidR="00275A41" w:rsidRPr="006254F4" w:rsidRDefault="00CB71DA" w:rsidP="00F756F0">
      <w:pPr>
        <w:pStyle w:val="aff7"/>
        <w:divId w:val="1333020968"/>
        <w:rPr>
          <w:color w:val="000000" w:themeColor="text1"/>
        </w:rPr>
      </w:pPr>
      <w:r w:rsidRPr="006254F4">
        <w:rPr>
          <w:rStyle w:val="affa"/>
          <w:color w:val="000000" w:themeColor="text1"/>
          <w:u w:val="single"/>
        </w:rPr>
        <w:t>Целевая аудитория данных клинических рекомендаций:</w:t>
      </w:r>
    </w:p>
    <w:p w:rsidR="006446FF" w:rsidRPr="006254F4" w:rsidRDefault="00B104EF" w:rsidP="00F756F0">
      <w:pPr>
        <w:pStyle w:val="aff7"/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>1.</w:t>
      </w:r>
      <w:r w:rsidR="00CD5153" w:rsidRPr="006254F4">
        <w:rPr>
          <w:color w:val="000000" w:themeColor="text1"/>
        </w:rPr>
        <w:t xml:space="preserve"> Врачи-нефрологи</w:t>
      </w:r>
    </w:p>
    <w:p w:rsidR="00B104EF" w:rsidRPr="006254F4" w:rsidRDefault="00B104EF" w:rsidP="00F756F0">
      <w:pPr>
        <w:pStyle w:val="aff7"/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>2.</w:t>
      </w:r>
      <w:r w:rsidR="00CD5153" w:rsidRPr="006254F4">
        <w:rPr>
          <w:color w:val="000000" w:themeColor="text1"/>
        </w:rPr>
        <w:t xml:space="preserve"> Врачи-гематологи</w:t>
      </w:r>
    </w:p>
    <w:p w:rsidR="00CD5153" w:rsidRPr="006254F4" w:rsidRDefault="00B104EF" w:rsidP="00CD5153">
      <w:pPr>
        <w:pStyle w:val="aff7"/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 xml:space="preserve">3. </w:t>
      </w:r>
      <w:r w:rsidR="00D91D27" w:rsidRPr="006254F4">
        <w:rPr>
          <w:color w:val="000000" w:themeColor="text1"/>
        </w:rPr>
        <w:t>Врачи-педиатры</w:t>
      </w:r>
    </w:p>
    <w:p w:rsidR="00A91645" w:rsidRPr="006254F4" w:rsidRDefault="00A91645" w:rsidP="00A91645">
      <w:pPr>
        <w:divId w:val="1333020968"/>
        <w:rPr>
          <w:rFonts w:eastAsia="Calibri"/>
          <w:color w:val="000000" w:themeColor="text1"/>
        </w:rPr>
      </w:pPr>
      <w:bookmarkStart w:id="44" w:name="_Ref515967586"/>
      <w:r w:rsidRPr="006254F4">
        <w:rPr>
          <w:b/>
          <w:color w:val="000000" w:themeColor="text1"/>
        </w:rPr>
        <w:t xml:space="preserve">Таблица </w:t>
      </w:r>
      <w:r w:rsidR="00954E2D" w:rsidRPr="006254F4">
        <w:rPr>
          <w:b/>
          <w:color w:val="000000" w:themeColor="text1"/>
        </w:rPr>
        <w:fldChar w:fldCharType="begin"/>
      </w:r>
      <w:r w:rsidRPr="006254F4">
        <w:rPr>
          <w:b/>
          <w:color w:val="000000" w:themeColor="text1"/>
        </w:rPr>
        <w:instrText xml:space="preserve"> SEQ Таблица \* ARABIC </w:instrText>
      </w:r>
      <w:r w:rsidR="00954E2D" w:rsidRPr="006254F4">
        <w:rPr>
          <w:b/>
          <w:color w:val="000000" w:themeColor="text1"/>
        </w:rPr>
        <w:fldChar w:fldCharType="separate"/>
      </w:r>
      <w:r w:rsidRPr="006254F4">
        <w:rPr>
          <w:b/>
          <w:noProof/>
          <w:color w:val="000000" w:themeColor="text1"/>
        </w:rPr>
        <w:t>1</w:t>
      </w:r>
      <w:r w:rsidR="00954E2D" w:rsidRPr="006254F4">
        <w:rPr>
          <w:b/>
          <w:color w:val="000000" w:themeColor="text1"/>
        </w:rPr>
        <w:fldChar w:fldCharType="end"/>
      </w:r>
      <w:bookmarkEnd w:id="44"/>
      <w:r w:rsidRPr="006254F4">
        <w:rPr>
          <w:rFonts w:eastAsia="Calibri"/>
          <w:b/>
          <w:color w:val="000000" w:themeColor="text1"/>
        </w:rPr>
        <w:t>.</w:t>
      </w:r>
      <w:r w:rsidRPr="006254F4">
        <w:rPr>
          <w:rFonts w:eastAsia="Calibri"/>
          <w:color w:val="000000" w:themeColor="text1"/>
        </w:rPr>
        <w:t xml:space="preserve"> Шкала оценки уровней достоверности доказательств (УДД) для методов диагностики</w:t>
      </w:r>
      <w:r w:rsidR="005C7877" w:rsidRPr="006254F4">
        <w:rPr>
          <w:rFonts w:eastAsia="Calibri"/>
          <w:color w:val="000000" w:themeColor="text1"/>
        </w:rPr>
        <w:t xml:space="preserve"> (диагностических вмешательств)</w:t>
      </w:r>
    </w:p>
    <w:tbl>
      <w:tblPr>
        <w:tblStyle w:val="19"/>
        <w:tblW w:w="5000" w:type="pct"/>
        <w:tblLook w:val="04A0"/>
      </w:tblPr>
      <w:tblGrid>
        <w:gridCol w:w="817"/>
        <w:gridCol w:w="8748"/>
      </w:tblGrid>
      <w:tr w:rsidR="006254F4" w:rsidRPr="006254F4" w:rsidTr="00334F6C">
        <w:trPr>
          <w:divId w:val="1333020968"/>
          <w:trHeight w:val="58"/>
        </w:trPr>
        <w:tc>
          <w:tcPr>
            <w:tcW w:w="427" w:type="pct"/>
          </w:tcPr>
          <w:p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УДД</w:t>
            </w:r>
          </w:p>
        </w:tc>
        <w:tc>
          <w:tcPr>
            <w:tcW w:w="4573" w:type="pct"/>
          </w:tcPr>
          <w:p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Расшифровка</w:t>
            </w:r>
          </w:p>
        </w:tc>
      </w:tr>
      <w:tr w:rsidR="006254F4" w:rsidRPr="006254F4" w:rsidTr="00334F6C">
        <w:trPr>
          <w:divId w:val="1333020968"/>
        </w:trPr>
        <w:tc>
          <w:tcPr>
            <w:tcW w:w="427" w:type="pct"/>
          </w:tcPr>
          <w:p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1</w:t>
            </w:r>
          </w:p>
        </w:tc>
        <w:tc>
          <w:tcPr>
            <w:tcW w:w="4573" w:type="pct"/>
          </w:tcPr>
          <w:p w:rsidR="00A91645" w:rsidRPr="006254F4" w:rsidRDefault="00A91645" w:rsidP="00A9164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Систематические обзоры исследований с контролем референсным методом или систематический обзор </w:t>
            </w:r>
            <w:r w:rsidR="005C7877" w:rsidRPr="006254F4">
              <w:rPr>
                <w:color w:val="000000" w:themeColor="text1"/>
              </w:rPr>
              <w:t>рандомизированных клинических исследований с применением мета-анализа</w:t>
            </w:r>
          </w:p>
        </w:tc>
      </w:tr>
      <w:tr w:rsidR="006254F4" w:rsidRPr="006254F4" w:rsidTr="00334F6C">
        <w:trPr>
          <w:divId w:val="1333020968"/>
        </w:trPr>
        <w:tc>
          <w:tcPr>
            <w:tcW w:w="427" w:type="pct"/>
          </w:tcPr>
          <w:p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2</w:t>
            </w:r>
          </w:p>
        </w:tc>
        <w:tc>
          <w:tcPr>
            <w:tcW w:w="4573" w:type="pct"/>
          </w:tcPr>
          <w:p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Отдельные исследования с контролем референсным методом</w:t>
            </w:r>
            <w:r w:rsidR="005C7877" w:rsidRPr="006254F4">
              <w:rPr>
                <w:color w:val="000000" w:themeColor="text1"/>
              </w:rPr>
              <w:t xml:space="preserve">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6254F4" w:rsidRPr="006254F4" w:rsidTr="00334F6C">
        <w:trPr>
          <w:divId w:val="1333020968"/>
        </w:trPr>
        <w:tc>
          <w:tcPr>
            <w:tcW w:w="427" w:type="pct"/>
          </w:tcPr>
          <w:p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3</w:t>
            </w:r>
          </w:p>
        </w:tc>
        <w:tc>
          <w:tcPr>
            <w:tcW w:w="4573" w:type="pct"/>
          </w:tcPr>
          <w:p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</w:t>
            </w:r>
            <w:r w:rsidR="005C7877" w:rsidRPr="006254F4">
              <w:rPr>
                <w:color w:val="000000" w:themeColor="text1"/>
              </w:rPr>
              <w:t xml:space="preserve"> или нерандомизированные сравнительные исследования, в том числе когортные исследования</w:t>
            </w:r>
          </w:p>
        </w:tc>
      </w:tr>
      <w:tr w:rsidR="006254F4" w:rsidRPr="006254F4" w:rsidTr="00334F6C">
        <w:trPr>
          <w:divId w:val="1333020968"/>
        </w:trPr>
        <w:tc>
          <w:tcPr>
            <w:tcW w:w="427" w:type="pct"/>
          </w:tcPr>
          <w:p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4</w:t>
            </w:r>
          </w:p>
        </w:tc>
        <w:tc>
          <w:tcPr>
            <w:tcW w:w="4573" w:type="pct"/>
          </w:tcPr>
          <w:p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Несравнительные исследования, описание клинического случая</w:t>
            </w:r>
          </w:p>
        </w:tc>
      </w:tr>
      <w:tr w:rsidR="00A91645" w:rsidRPr="006254F4" w:rsidTr="00334F6C">
        <w:trPr>
          <w:divId w:val="1333020968"/>
        </w:trPr>
        <w:tc>
          <w:tcPr>
            <w:tcW w:w="427" w:type="pct"/>
          </w:tcPr>
          <w:p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  <w:tc>
          <w:tcPr>
            <w:tcW w:w="4573" w:type="pct"/>
          </w:tcPr>
          <w:p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Pr="006254F4" w:rsidRDefault="00A91645" w:rsidP="00F756F0">
      <w:pPr>
        <w:pStyle w:val="aff7"/>
        <w:divId w:val="1333020968"/>
        <w:rPr>
          <w:rStyle w:val="affa"/>
          <w:color w:val="000000" w:themeColor="text1"/>
        </w:rPr>
      </w:pPr>
    </w:p>
    <w:p w:rsidR="005C7877" w:rsidRPr="006254F4" w:rsidRDefault="00A91645" w:rsidP="005C7877">
      <w:pPr>
        <w:divId w:val="1333020968"/>
        <w:rPr>
          <w:color w:val="000000" w:themeColor="text1"/>
        </w:rPr>
      </w:pPr>
      <w:bookmarkStart w:id="45" w:name="_Ref515967623"/>
      <w:r w:rsidRPr="006254F4">
        <w:rPr>
          <w:b/>
          <w:color w:val="000000" w:themeColor="text1"/>
        </w:rPr>
        <w:t xml:space="preserve">Таблица </w:t>
      </w:r>
      <w:r w:rsidR="00954E2D" w:rsidRPr="006254F4">
        <w:rPr>
          <w:b/>
          <w:color w:val="000000" w:themeColor="text1"/>
        </w:rPr>
        <w:fldChar w:fldCharType="begin"/>
      </w:r>
      <w:r w:rsidRPr="006254F4">
        <w:rPr>
          <w:b/>
          <w:color w:val="000000" w:themeColor="text1"/>
        </w:rPr>
        <w:instrText xml:space="preserve"> SEQ Таблица \* ARABIC </w:instrText>
      </w:r>
      <w:r w:rsidR="00954E2D" w:rsidRPr="006254F4">
        <w:rPr>
          <w:b/>
          <w:color w:val="000000" w:themeColor="text1"/>
        </w:rPr>
        <w:fldChar w:fldCharType="separate"/>
      </w:r>
      <w:r w:rsidRPr="006254F4">
        <w:rPr>
          <w:b/>
          <w:noProof/>
          <w:color w:val="000000" w:themeColor="text1"/>
        </w:rPr>
        <w:t>2</w:t>
      </w:r>
      <w:r w:rsidR="00954E2D" w:rsidRPr="006254F4">
        <w:rPr>
          <w:b/>
          <w:color w:val="000000" w:themeColor="text1"/>
        </w:rPr>
        <w:fldChar w:fldCharType="end"/>
      </w:r>
      <w:bookmarkEnd w:id="45"/>
      <w:r w:rsidRPr="006254F4">
        <w:rPr>
          <w:rFonts w:eastAsia="Calibri"/>
          <w:b/>
          <w:color w:val="000000" w:themeColor="text1"/>
        </w:rPr>
        <w:t>.</w:t>
      </w:r>
      <w:r w:rsidR="005C7877" w:rsidRPr="006254F4">
        <w:rPr>
          <w:color w:val="000000" w:themeColor="text1"/>
        </w:rPr>
        <w:t xml:space="preserve"> Шкала оценки уровней достоверности доказательств (УДД) </w:t>
      </w:r>
      <w:r w:rsidR="005C7877" w:rsidRPr="006254F4">
        <w:rPr>
          <w:rFonts w:eastAsia="Calibri"/>
          <w:color w:val="000000" w:themeColor="text1"/>
        </w:rPr>
        <w:t xml:space="preserve">для методов профилактики, лечения и реабилитации (профилактических, </w:t>
      </w:r>
      <w:r w:rsidR="009C0364" w:rsidRPr="006254F4">
        <w:rPr>
          <w:rFonts w:eastAsia="Calibri"/>
          <w:color w:val="000000" w:themeColor="text1"/>
        </w:rPr>
        <w:t>лечебных, реабилитационных</w:t>
      </w:r>
      <w:r w:rsidR="005C7877" w:rsidRPr="006254F4">
        <w:rPr>
          <w:rFonts w:eastAsia="Calibri"/>
          <w:color w:val="000000" w:themeColor="text1"/>
        </w:rPr>
        <w:t xml:space="preserve"> вмешательств</w:t>
      </w:r>
      <w:r w:rsidR="009C0364" w:rsidRPr="006254F4">
        <w:rPr>
          <w:rFonts w:eastAsia="Calibri"/>
          <w:color w:val="000000" w:themeColor="text1"/>
        </w:rPr>
        <w:t>)</w:t>
      </w:r>
    </w:p>
    <w:tbl>
      <w:tblPr>
        <w:tblStyle w:val="19"/>
        <w:tblW w:w="5074" w:type="pct"/>
        <w:tblLook w:val="04A0"/>
      </w:tblPr>
      <w:tblGrid>
        <w:gridCol w:w="723"/>
        <w:gridCol w:w="8984"/>
      </w:tblGrid>
      <w:tr w:rsidR="006254F4" w:rsidRPr="006254F4" w:rsidTr="005C7877">
        <w:trPr>
          <w:divId w:val="1333020968"/>
        </w:trPr>
        <w:tc>
          <w:tcPr>
            <w:tcW w:w="360" w:type="pct"/>
          </w:tcPr>
          <w:p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УДД</w:t>
            </w:r>
          </w:p>
        </w:tc>
        <w:tc>
          <w:tcPr>
            <w:tcW w:w="4640" w:type="pct"/>
          </w:tcPr>
          <w:p w:rsidR="005C7877" w:rsidRPr="006254F4" w:rsidRDefault="009C0364" w:rsidP="009C036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 xml:space="preserve">Расшифровка </w:t>
            </w:r>
          </w:p>
        </w:tc>
      </w:tr>
      <w:tr w:rsidR="006254F4" w:rsidRPr="006254F4" w:rsidTr="005C7877">
        <w:trPr>
          <w:divId w:val="1333020968"/>
        </w:trPr>
        <w:tc>
          <w:tcPr>
            <w:tcW w:w="360" w:type="pct"/>
          </w:tcPr>
          <w:p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1</w:t>
            </w:r>
          </w:p>
        </w:tc>
        <w:tc>
          <w:tcPr>
            <w:tcW w:w="4640" w:type="pct"/>
          </w:tcPr>
          <w:p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Систематический обзор РКИ с применением мета-анализа</w:t>
            </w:r>
          </w:p>
        </w:tc>
      </w:tr>
      <w:tr w:rsidR="006254F4" w:rsidRPr="006254F4" w:rsidTr="005C7877">
        <w:trPr>
          <w:divId w:val="1333020968"/>
        </w:trPr>
        <w:tc>
          <w:tcPr>
            <w:tcW w:w="360" w:type="pct"/>
          </w:tcPr>
          <w:p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6254F4">
              <w:rPr>
                <w:color w:val="000000" w:themeColor="text1"/>
              </w:rPr>
              <w:t>2</w:t>
            </w:r>
          </w:p>
        </w:tc>
        <w:tc>
          <w:tcPr>
            <w:tcW w:w="4640" w:type="pct"/>
          </w:tcPr>
          <w:p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Отдельные РКИ и систематические обзоры исследований любого </w:t>
            </w:r>
            <w:r w:rsidR="009C0364" w:rsidRPr="006254F4">
              <w:rPr>
                <w:color w:val="000000" w:themeColor="text1"/>
              </w:rPr>
              <w:t xml:space="preserve">дизайна, за исключением РКИ, </w:t>
            </w:r>
            <w:r w:rsidRPr="006254F4">
              <w:rPr>
                <w:color w:val="000000" w:themeColor="text1"/>
              </w:rPr>
              <w:t>с применением мета-анализа</w:t>
            </w:r>
          </w:p>
        </w:tc>
      </w:tr>
      <w:tr w:rsidR="006254F4" w:rsidRPr="006254F4" w:rsidTr="005C7877">
        <w:trPr>
          <w:divId w:val="1333020968"/>
        </w:trPr>
        <w:tc>
          <w:tcPr>
            <w:tcW w:w="360" w:type="pct"/>
          </w:tcPr>
          <w:p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3</w:t>
            </w:r>
          </w:p>
        </w:tc>
        <w:tc>
          <w:tcPr>
            <w:tcW w:w="4640" w:type="pct"/>
          </w:tcPr>
          <w:p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6254F4" w:rsidRPr="006254F4" w:rsidTr="005C7877">
        <w:trPr>
          <w:divId w:val="1333020968"/>
        </w:trPr>
        <w:tc>
          <w:tcPr>
            <w:tcW w:w="360" w:type="pct"/>
          </w:tcPr>
          <w:p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4</w:t>
            </w:r>
          </w:p>
        </w:tc>
        <w:tc>
          <w:tcPr>
            <w:tcW w:w="4640" w:type="pct"/>
          </w:tcPr>
          <w:p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6254F4" w:rsidTr="005C7877">
        <w:trPr>
          <w:divId w:val="1333020968"/>
        </w:trPr>
        <w:tc>
          <w:tcPr>
            <w:tcW w:w="360" w:type="pct"/>
          </w:tcPr>
          <w:p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  <w:tc>
          <w:tcPr>
            <w:tcW w:w="4640" w:type="pct"/>
          </w:tcPr>
          <w:p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Pr="006254F4" w:rsidRDefault="005C7877" w:rsidP="005C7877">
      <w:pPr>
        <w:pStyle w:val="aff7"/>
        <w:divId w:val="1333020968"/>
        <w:rPr>
          <w:rStyle w:val="affa"/>
          <w:color w:val="000000" w:themeColor="text1"/>
        </w:rPr>
      </w:pPr>
    </w:p>
    <w:p w:rsidR="009C0364" w:rsidRPr="006254F4" w:rsidRDefault="009C0364" w:rsidP="009C0364">
      <w:pPr>
        <w:divId w:val="1333020968"/>
        <w:rPr>
          <w:color w:val="000000" w:themeColor="text1"/>
        </w:rPr>
      </w:pPr>
      <w:bookmarkStart w:id="46" w:name="_Ref515967732"/>
      <w:r w:rsidRPr="006254F4">
        <w:rPr>
          <w:b/>
          <w:color w:val="000000" w:themeColor="text1"/>
        </w:rPr>
        <w:t xml:space="preserve">Таблица </w:t>
      </w:r>
      <w:bookmarkEnd w:id="46"/>
      <w:r w:rsidRPr="006254F4">
        <w:rPr>
          <w:b/>
          <w:color w:val="000000" w:themeColor="text1"/>
        </w:rPr>
        <w:t>3.</w:t>
      </w:r>
      <w:r w:rsidRPr="006254F4">
        <w:rPr>
          <w:color w:val="000000" w:themeColor="text1"/>
        </w:rPr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9"/>
        <w:tblW w:w="5000" w:type="pct"/>
        <w:tblLook w:val="04A0"/>
      </w:tblPr>
      <w:tblGrid>
        <w:gridCol w:w="1362"/>
        <w:gridCol w:w="8203"/>
      </w:tblGrid>
      <w:tr w:rsidR="006254F4" w:rsidRPr="006254F4" w:rsidTr="000B7A71">
        <w:trPr>
          <w:divId w:val="1333020968"/>
        </w:trPr>
        <w:tc>
          <w:tcPr>
            <w:tcW w:w="712" w:type="pct"/>
          </w:tcPr>
          <w:p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Расшифровка</w:t>
            </w:r>
          </w:p>
        </w:tc>
      </w:tr>
      <w:tr w:rsidR="006254F4" w:rsidRPr="006254F4" w:rsidTr="000B7A71">
        <w:trPr>
          <w:divId w:val="1333020968"/>
          <w:trHeight w:val="1060"/>
        </w:trPr>
        <w:tc>
          <w:tcPr>
            <w:tcW w:w="712" w:type="pct"/>
          </w:tcPr>
          <w:p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:rsidR="009C0364" w:rsidRPr="006254F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6254F4" w:rsidRPr="006254F4" w:rsidTr="000B7A71">
        <w:trPr>
          <w:divId w:val="1333020968"/>
          <w:trHeight w:val="558"/>
        </w:trPr>
        <w:tc>
          <w:tcPr>
            <w:tcW w:w="712" w:type="pct"/>
          </w:tcPr>
          <w:p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:rsidR="009C0364" w:rsidRPr="006254F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6254F4" w:rsidTr="000B7A71">
        <w:trPr>
          <w:divId w:val="1333020968"/>
          <w:trHeight w:val="798"/>
        </w:trPr>
        <w:tc>
          <w:tcPr>
            <w:tcW w:w="712" w:type="pct"/>
          </w:tcPr>
          <w:p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9C0364" w:rsidRPr="006254F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1D24E4" w:rsidRPr="006254F4" w:rsidRDefault="001D24E4" w:rsidP="00F756F0">
      <w:pPr>
        <w:pStyle w:val="aff7"/>
        <w:divId w:val="1333020968"/>
        <w:rPr>
          <w:rStyle w:val="affa"/>
          <w:color w:val="000000" w:themeColor="text1"/>
        </w:rPr>
      </w:pPr>
    </w:p>
    <w:p w:rsidR="00275A41" w:rsidRPr="006254F4" w:rsidRDefault="00CB71DA" w:rsidP="00F756F0">
      <w:pPr>
        <w:pStyle w:val="aff7"/>
        <w:divId w:val="1333020968"/>
        <w:rPr>
          <w:rFonts w:eastAsiaTheme="minorEastAsia"/>
          <w:color w:val="000000" w:themeColor="text1"/>
        </w:rPr>
      </w:pPr>
      <w:r w:rsidRPr="006254F4">
        <w:rPr>
          <w:rStyle w:val="affa"/>
          <w:color w:val="000000" w:themeColor="text1"/>
        </w:rPr>
        <w:t>Порядок обновления клинических рекомендаций.</w:t>
      </w:r>
    </w:p>
    <w:p w:rsidR="00275A41" w:rsidRPr="006254F4" w:rsidRDefault="00CB71DA" w:rsidP="00F756F0">
      <w:pPr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 w:rsidRPr="006254F4">
        <w:rPr>
          <w:color w:val="000000" w:themeColor="text1"/>
        </w:rPr>
        <w:t xml:space="preserve">года,а также </w:t>
      </w:r>
      <w:r w:rsidRPr="006254F4">
        <w:rPr>
          <w:color w:val="000000" w:themeColor="text1"/>
        </w:rPr>
        <w:t xml:space="preserve">при появлении </w:t>
      </w:r>
      <w:r w:rsidR="00221384" w:rsidRPr="006254F4">
        <w:rPr>
          <w:color w:val="000000" w:themeColor="text1"/>
        </w:rPr>
        <w:t>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КР, но не чаще 1 раза в 6 месяцев.</w:t>
      </w:r>
    </w:p>
    <w:p w:rsidR="000414F6" w:rsidRPr="006254F4" w:rsidRDefault="00CB71DA" w:rsidP="00C80D79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47" w:name="__RefHeading___doc_a3"/>
      <w:bookmarkStart w:id="48" w:name="_Toc46321764"/>
      <w:r w:rsidRPr="006254F4">
        <w:rPr>
          <w:color w:val="000000" w:themeColor="text1"/>
        </w:rPr>
        <w:lastRenderedPageBreak/>
        <w:t xml:space="preserve">Приложение А3. </w:t>
      </w:r>
      <w:bookmarkEnd w:id="47"/>
      <w:r w:rsidR="009C0364" w:rsidRPr="006254F4">
        <w:rPr>
          <w:color w:val="000000" w:themeColor="text1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 w:rsidRPr="006254F4">
        <w:rPr>
          <w:color w:val="000000" w:themeColor="text1"/>
        </w:rPr>
        <w:t>,</w:t>
      </w:r>
      <w:r w:rsidR="009C0364" w:rsidRPr="006254F4">
        <w:rPr>
          <w:color w:val="000000" w:themeColor="text1"/>
        </w:rPr>
        <w:t xml:space="preserve"> инструкции по прим</w:t>
      </w:r>
      <w:r w:rsidR="003527A8" w:rsidRPr="006254F4">
        <w:rPr>
          <w:color w:val="000000" w:themeColor="text1"/>
        </w:rPr>
        <w:t>енению лекарственного препарата</w:t>
      </w:r>
      <w:bookmarkEnd w:id="48"/>
    </w:p>
    <w:p w:rsidR="00C80D79" w:rsidRPr="006254F4" w:rsidRDefault="00C80D79" w:rsidP="00C80D79">
      <w:pPr>
        <w:pStyle w:val="2"/>
        <w:rPr>
          <w:color w:val="000000" w:themeColor="text1"/>
        </w:rPr>
      </w:pPr>
      <w:bookmarkStart w:id="49" w:name="_Toc46321765"/>
      <w:r w:rsidRPr="006254F4">
        <w:rPr>
          <w:color w:val="000000" w:themeColor="text1"/>
        </w:rPr>
        <w:t>А3.1 Побочное действие ЭСП</w:t>
      </w:r>
      <w:bookmarkEnd w:id="49"/>
    </w:p>
    <w:p w:rsidR="00C80D79" w:rsidRPr="006254F4" w:rsidRDefault="00C80D79" w:rsidP="00C80D79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В период повышения </w:t>
      </w:r>
      <w:r w:rsidR="008F604D" w:rsidRPr="006254F4">
        <w:rPr>
          <w:color w:val="000000" w:themeColor="text1"/>
        </w:rPr>
        <w:t xml:space="preserve">содержания </w:t>
      </w:r>
      <w:r w:rsidRPr="006254F4">
        <w:rPr>
          <w:color w:val="000000" w:themeColor="text1"/>
        </w:rPr>
        <w:t xml:space="preserve">гемоглобина может наблюдаться </w:t>
      </w:r>
      <w:r w:rsidR="00696B0F" w:rsidRPr="006254F4">
        <w:rPr>
          <w:color w:val="000000" w:themeColor="text1"/>
        </w:rPr>
        <w:t xml:space="preserve">ухудшение течения </w:t>
      </w:r>
      <w:r w:rsidRPr="006254F4">
        <w:rPr>
          <w:color w:val="000000" w:themeColor="text1"/>
        </w:rPr>
        <w:t xml:space="preserve">артериальной гипертензии. У пациентов с ХБП может наблюдаться гиперкалиемия. Редко </w:t>
      </w:r>
      <w:r w:rsidR="00696B0F" w:rsidRPr="006254F4">
        <w:rPr>
          <w:color w:val="000000" w:themeColor="text1"/>
        </w:rPr>
        <w:t xml:space="preserve">отмечается </w:t>
      </w:r>
      <w:r w:rsidRPr="006254F4">
        <w:rPr>
          <w:color w:val="000000" w:themeColor="text1"/>
        </w:rPr>
        <w:t xml:space="preserve">головная боль, боли в суставах, гриппоподобный синдром, повышение уровня тромбоцитов в крови, аллергические реакции. При подкожном </w:t>
      </w:r>
      <w:r w:rsidR="00696B0F" w:rsidRPr="006254F4">
        <w:rPr>
          <w:color w:val="000000" w:themeColor="text1"/>
        </w:rPr>
        <w:t xml:space="preserve">введении может быть боль в месте </w:t>
      </w:r>
      <w:r w:rsidRPr="006254F4">
        <w:rPr>
          <w:color w:val="000000" w:themeColor="text1"/>
        </w:rPr>
        <w:t xml:space="preserve">инъекции. У детей до 3 лет противопоказано использование лекарственных форм, содержащих бензиловый спирт в качестве консерванта из-за возможного токсического эффекта. </w:t>
      </w:r>
    </w:p>
    <w:p w:rsidR="00C80D79" w:rsidRPr="006254F4" w:rsidRDefault="00C80D79" w:rsidP="00C80D79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Следует учитывать возможность развитие ПККА. </w:t>
      </w:r>
      <w:r w:rsidRPr="006254F4">
        <w:rPr>
          <w:bCs/>
          <w:color w:val="000000" w:themeColor="text1"/>
        </w:rPr>
        <w:t>Следует исключить ПККА при внезапном снижении концентраци</w:t>
      </w:r>
      <w:r w:rsidR="00696B0F" w:rsidRPr="006254F4">
        <w:rPr>
          <w:bCs/>
          <w:color w:val="000000" w:themeColor="text1"/>
        </w:rPr>
        <w:t>и</w:t>
      </w:r>
      <w:r w:rsidRPr="006254F4">
        <w:rPr>
          <w:bCs/>
          <w:color w:val="000000" w:themeColor="text1"/>
        </w:rPr>
        <w:t xml:space="preserve"> гемоглобина </w:t>
      </w:r>
      <w:r w:rsidR="00696B0F" w:rsidRPr="006254F4">
        <w:rPr>
          <w:bCs/>
          <w:color w:val="000000" w:themeColor="text1"/>
        </w:rPr>
        <w:t>на</w:t>
      </w:r>
      <w:r w:rsidRPr="006254F4">
        <w:rPr>
          <w:bCs/>
          <w:color w:val="000000" w:themeColor="text1"/>
        </w:rPr>
        <w:t xml:space="preserve"> 5–10 г/л за неделю </w:t>
      </w:r>
      <w:r w:rsidRPr="006254F4">
        <w:rPr>
          <w:i/>
          <w:iCs/>
          <w:color w:val="000000" w:themeColor="text1"/>
        </w:rPr>
        <w:t xml:space="preserve">или </w:t>
      </w:r>
      <w:r w:rsidR="00696B0F" w:rsidRPr="006254F4">
        <w:rPr>
          <w:bCs/>
          <w:color w:val="000000" w:themeColor="text1"/>
        </w:rPr>
        <w:t xml:space="preserve">увеличении </w:t>
      </w:r>
      <w:r w:rsidRPr="006254F4">
        <w:rPr>
          <w:bCs/>
          <w:color w:val="000000" w:themeColor="text1"/>
        </w:rPr>
        <w:t>потребности в гемотрансфузиях до 1–2 гемотрансфузии в неделю</w:t>
      </w:r>
      <w:r w:rsidR="00696B0F" w:rsidRPr="006254F4">
        <w:rPr>
          <w:bCs/>
          <w:color w:val="000000" w:themeColor="text1"/>
        </w:rPr>
        <w:t xml:space="preserve"> при</w:t>
      </w:r>
      <w:r w:rsidRPr="006254F4">
        <w:rPr>
          <w:bCs/>
          <w:color w:val="000000" w:themeColor="text1"/>
        </w:rPr>
        <w:t xml:space="preserve">абсолютном </w:t>
      </w:r>
      <w:r w:rsidR="00696B0F" w:rsidRPr="006254F4">
        <w:rPr>
          <w:bCs/>
          <w:color w:val="000000" w:themeColor="text1"/>
        </w:rPr>
        <w:t xml:space="preserve">числе </w:t>
      </w:r>
      <w:r w:rsidRPr="006254F4">
        <w:rPr>
          <w:bCs/>
          <w:color w:val="000000" w:themeColor="text1"/>
        </w:rPr>
        <w:t xml:space="preserve">ретикулоцитов менее 10 000/мкл. </w:t>
      </w:r>
    </w:p>
    <w:p w:rsidR="00C80D79" w:rsidRPr="006254F4" w:rsidRDefault="00C80D79" w:rsidP="00C80D79">
      <w:pPr>
        <w:pStyle w:val="afb"/>
        <w:rPr>
          <w:bCs/>
          <w:color w:val="000000" w:themeColor="text1"/>
        </w:rPr>
      </w:pPr>
      <w:r w:rsidRPr="006254F4">
        <w:rPr>
          <w:bCs/>
          <w:color w:val="000000" w:themeColor="text1"/>
        </w:rPr>
        <w:t>При выявлении ПККА следует остановить терапию ЭСП у пациента с ПККА, которая развивается вследствие появления аутоанти</w:t>
      </w:r>
      <w:r w:rsidRPr="006254F4">
        <w:rPr>
          <w:bCs/>
          <w:color w:val="000000" w:themeColor="text1"/>
        </w:rPr>
        <w:softHyphen/>
        <w:t>тел.</w:t>
      </w:r>
    </w:p>
    <w:p w:rsidR="00C80D79" w:rsidRPr="006254F4" w:rsidRDefault="00C80D79" w:rsidP="00C80D79">
      <w:pPr>
        <w:rPr>
          <w:color w:val="000000" w:themeColor="text1"/>
        </w:rPr>
      </w:pPr>
    </w:p>
    <w:p w:rsidR="000414F6" w:rsidRPr="006254F4" w:rsidRDefault="00CB71DA" w:rsidP="009C6A18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50" w:name="__RefHeading___doc_b"/>
      <w:bookmarkStart w:id="51" w:name="_Toc46321766"/>
      <w:r w:rsidRPr="006254F4">
        <w:rPr>
          <w:color w:val="000000" w:themeColor="text1"/>
        </w:rPr>
        <w:lastRenderedPageBreak/>
        <w:t xml:space="preserve">Приложение Б. Алгоритмы </w:t>
      </w:r>
      <w:bookmarkEnd w:id="50"/>
      <w:r w:rsidR="003527A8" w:rsidRPr="006254F4">
        <w:rPr>
          <w:color w:val="000000" w:themeColor="text1"/>
        </w:rPr>
        <w:t>действий врача</w:t>
      </w:r>
      <w:bookmarkEnd w:id="51"/>
    </w:p>
    <w:p w:rsidR="009C6A18" w:rsidRPr="006254F4" w:rsidRDefault="009C6A18" w:rsidP="009C6A18">
      <w:pPr>
        <w:rPr>
          <w:color w:val="000000" w:themeColor="text1"/>
        </w:rPr>
      </w:pPr>
    </w:p>
    <w:p w:rsidR="009C6A18" w:rsidRPr="006254F4" w:rsidRDefault="009C6A18" w:rsidP="009C6A18">
      <w:pPr>
        <w:rPr>
          <w:color w:val="000000" w:themeColor="text1"/>
        </w:rPr>
      </w:pPr>
      <w:r w:rsidRPr="006254F4">
        <w:rPr>
          <w:noProof/>
          <w:color w:val="000000" w:themeColor="text1"/>
          <w:lang w:eastAsia="ru-RU"/>
        </w:rPr>
        <w:drawing>
          <wp:inline distT="0" distB="0" distL="0" distR="0">
            <wp:extent cx="5294471" cy="4189228"/>
            <wp:effectExtent l="0" t="0" r="1905" b="1905"/>
            <wp:docPr id="1" name="Рисунок 1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831" cy="41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CEF" w:rsidRPr="006254F4" w:rsidRDefault="00F76CEF" w:rsidP="00D64B21">
      <w:pPr>
        <w:rPr>
          <w:color w:val="000000" w:themeColor="text1"/>
        </w:rPr>
      </w:pPr>
    </w:p>
    <w:p w:rsidR="00D64B21" w:rsidRPr="006254F4" w:rsidRDefault="00CB71DA" w:rsidP="004F662F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r w:rsidR="00D64B21" w:rsidRPr="006254F4">
        <w:rPr>
          <w:color w:val="000000" w:themeColor="text1"/>
        </w:rPr>
        <w:lastRenderedPageBreak/>
        <w:t>Приложение В. Информация для пациентов</w:t>
      </w:r>
    </w:p>
    <w:p w:rsidR="00D64B21" w:rsidRPr="006254F4" w:rsidRDefault="00D64B21" w:rsidP="00D64B21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Анемия часто сопровождает течение ХБП у детей</w:t>
      </w:r>
      <w:r w:rsidR="00696B0F" w:rsidRPr="006254F4">
        <w:rPr>
          <w:rFonts w:cs="Times New Roman"/>
          <w:color w:val="000000" w:themeColor="text1"/>
          <w:szCs w:val="24"/>
          <w:lang w:eastAsia="ru-RU"/>
        </w:rPr>
        <w:t xml:space="preserve"> и взрослых</w:t>
      </w:r>
      <w:r w:rsidRPr="006254F4">
        <w:rPr>
          <w:rFonts w:cs="Times New Roman"/>
          <w:color w:val="000000" w:themeColor="text1"/>
          <w:szCs w:val="24"/>
          <w:lang w:eastAsia="ru-RU"/>
        </w:rPr>
        <w:t>, являясь следствием угнетения образования эритроцитов в костном мозге и дефицита железа.</w:t>
      </w:r>
    </w:p>
    <w:p w:rsidR="00D64B21" w:rsidRPr="006254F4" w:rsidRDefault="00D64B21" w:rsidP="00D64B21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Основными симптомами анемии являются сердцебиение, одышка, усиливающиеся при физической нагрузке, головокружение, шум в ушах, слабость, повышенная утомляемость, бледность кожных покровов. Следует отметить, что большинство симптомов являются неспецифическими признаками анемии, которые накладываются на симптомы основного заболевания.</w:t>
      </w:r>
    </w:p>
    <w:p w:rsidR="00D64B21" w:rsidRPr="006254F4" w:rsidRDefault="00D64B21" w:rsidP="00D64B21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Всем пациентам с ХБП следует проводить лабораторное обследование для исключения анемии. Имеются эффективные методы коррекции анемии с помощью назначения препаратов железа и препаратов, стимулирующих эритропоэз.</w:t>
      </w:r>
    </w:p>
    <w:p w:rsidR="00D64B21" w:rsidRPr="006254F4" w:rsidRDefault="00D64B21" w:rsidP="00D64B21">
      <w:pPr>
        <w:spacing w:after="160" w:line="256" w:lineRule="auto"/>
        <w:rPr>
          <w:rFonts w:eastAsia="Calibri" w:cs="Times New Roman"/>
          <w:b/>
          <w:color w:val="000000" w:themeColor="text1"/>
          <w:szCs w:val="24"/>
        </w:rPr>
      </w:pPr>
    </w:p>
    <w:p w:rsidR="00431415" w:rsidRPr="006254F4" w:rsidRDefault="00431415" w:rsidP="00431415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t>Приложение Г1 - Г</w:t>
      </w:r>
      <w:r w:rsidRPr="006254F4">
        <w:rPr>
          <w:color w:val="000000" w:themeColor="text1"/>
          <w:lang w:val="en-US"/>
        </w:rPr>
        <w:t>N</w:t>
      </w:r>
      <w:r w:rsidRPr="006254F4">
        <w:rPr>
          <w:color w:val="000000" w:themeColor="text1"/>
        </w:rPr>
        <w:t>. Шкалы оценки, вопросники и другие оценочные инструменты состояния пациента, приведенные в клинических рекомендациях</w:t>
      </w:r>
    </w:p>
    <w:p w:rsidR="00431415" w:rsidRPr="006254F4" w:rsidRDefault="00431415" w:rsidP="00C60C42">
      <w:pPr>
        <w:rPr>
          <w:color w:val="000000" w:themeColor="text1"/>
        </w:rPr>
      </w:pPr>
      <w:r w:rsidRPr="006254F4">
        <w:rPr>
          <w:color w:val="000000" w:themeColor="text1"/>
        </w:rPr>
        <w:t>Нет</w:t>
      </w:r>
    </w:p>
    <w:sectPr w:rsidR="00431415" w:rsidRPr="006254F4" w:rsidSect="00FA3029">
      <w:headerReference w:type="default" r:id="rId9"/>
      <w:footerReference w:type="default" r:id="rId10"/>
      <w:pgSz w:w="11900" w:h="16840"/>
      <w:pgMar w:top="1134" w:right="850" w:bottom="1134" w:left="1701" w:header="711" w:footer="327" w:gutter="0"/>
      <w:pgNumType w:start="1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70B" w:rsidRDefault="004C270B">
      <w:pPr>
        <w:spacing w:line="240" w:lineRule="auto"/>
      </w:pPr>
      <w:r>
        <w:separator/>
      </w:r>
    </w:p>
    <w:p w:rsidR="004C270B" w:rsidRDefault="004C270B"/>
  </w:endnote>
  <w:endnote w:type="continuationSeparator" w:id="1">
    <w:p w:rsidR="004C270B" w:rsidRDefault="004C270B">
      <w:pPr>
        <w:spacing w:line="240" w:lineRule="auto"/>
      </w:pPr>
      <w:r>
        <w:continuationSeparator/>
      </w:r>
    </w:p>
    <w:p w:rsidR="004C270B" w:rsidRDefault="004C27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-Regular"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CTT">
    <w:altName w:val="Times New Roman"/>
    <w:charset w:val="CC"/>
    <w:family w:val="roman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2C6" w:rsidRDefault="00E432C6" w:rsidP="00FA3029">
    <w:pPr>
      <w:pStyle w:val="afa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70B" w:rsidRDefault="004C270B">
      <w:pPr>
        <w:spacing w:line="240" w:lineRule="auto"/>
      </w:pPr>
      <w:r>
        <w:separator/>
      </w:r>
    </w:p>
    <w:p w:rsidR="004C270B" w:rsidRDefault="004C270B"/>
  </w:footnote>
  <w:footnote w:type="continuationSeparator" w:id="1">
    <w:p w:rsidR="004C270B" w:rsidRDefault="004C270B">
      <w:pPr>
        <w:spacing w:line="240" w:lineRule="auto"/>
      </w:pPr>
      <w:r>
        <w:continuationSeparator/>
      </w:r>
    </w:p>
    <w:p w:rsidR="004C270B" w:rsidRDefault="004C27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2C6" w:rsidRDefault="00E432C6" w:rsidP="00186C35">
    <w:pPr>
      <w:pStyle w:val="af9"/>
      <w:ind w:firstLine="0"/>
      <w:rPr>
        <w:i/>
      </w:rPr>
    </w:pPr>
  </w:p>
  <w:p w:rsidR="00E432C6" w:rsidRDefault="00E432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88E"/>
    <w:multiLevelType w:val="hybridMultilevel"/>
    <w:tmpl w:val="EE2EE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9130E6"/>
    <w:multiLevelType w:val="hybridMultilevel"/>
    <w:tmpl w:val="41026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2E27AB"/>
    <w:multiLevelType w:val="hybridMultilevel"/>
    <w:tmpl w:val="0BE83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EC7672"/>
    <w:multiLevelType w:val="multilevel"/>
    <w:tmpl w:val="8C98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7549C"/>
    <w:multiLevelType w:val="hybridMultilevel"/>
    <w:tmpl w:val="6110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E3BD5"/>
    <w:multiLevelType w:val="hybridMultilevel"/>
    <w:tmpl w:val="37F8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434B5"/>
    <w:multiLevelType w:val="hybridMultilevel"/>
    <w:tmpl w:val="607C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C206D"/>
    <w:multiLevelType w:val="hybridMultilevel"/>
    <w:tmpl w:val="4F328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A2FE6"/>
    <w:multiLevelType w:val="hybridMultilevel"/>
    <w:tmpl w:val="D5F82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32F77"/>
    <w:multiLevelType w:val="hybridMultilevel"/>
    <w:tmpl w:val="387EC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35678"/>
    <w:multiLevelType w:val="hybridMultilevel"/>
    <w:tmpl w:val="FF22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A0287"/>
    <w:multiLevelType w:val="hybridMultilevel"/>
    <w:tmpl w:val="554E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740D2"/>
    <w:multiLevelType w:val="hybridMultilevel"/>
    <w:tmpl w:val="E0EC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C5772"/>
    <w:multiLevelType w:val="hybridMultilevel"/>
    <w:tmpl w:val="E5D609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080F88"/>
    <w:multiLevelType w:val="hybridMultilevel"/>
    <w:tmpl w:val="087E1D4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AC5704"/>
    <w:multiLevelType w:val="hybridMultilevel"/>
    <w:tmpl w:val="EB2E09EC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>
    <w:nsid w:val="6DD72A0D"/>
    <w:multiLevelType w:val="hybridMultilevel"/>
    <w:tmpl w:val="E8C0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921B1"/>
    <w:multiLevelType w:val="hybridMultilevel"/>
    <w:tmpl w:val="7A00C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0F7789"/>
    <w:multiLevelType w:val="hybridMultilevel"/>
    <w:tmpl w:val="50B0E91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6C3582B"/>
    <w:multiLevelType w:val="hybridMultilevel"/>
    <w:tmpl w:val="7116C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C0072"/>
    <w:multiLevelType w:val="hybridMultilevel"/>
    <w:tmpl w:val="4F329ED2"/>
    <w:lvl w:ilvl="0" w:tplc="BDD63C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Minion-Regular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55EAC"/>
    <w:multiLevelType w:val="hybridMultilevel"/>
    <w:tmpl w:val="6B4EF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B7352"/>
    <w:multiLevelType w:val="hybridMultilevel"/>
    <w:tmpl w:val="9F4C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7"/>
  </w:num>
  <w:num w:numId="5">
    <w:abstractNumId w:val="3"/>
  </w:num>
  <w:num w:numId="6">
    <w:abstractNumId w:val="22"/>
  </w:num>
  <w:num w:numId="7">
    <w:abstractNumId w:val="18"/>
  </w:num>
  <w:num w:numId="8">
    <w:abstractNumId w:val="14"/>
  </w:num>
  <w:num w:numId="9">
    <w:abstractNumId w:val="21"/>
  </w:num>
  <w:num w:numId="10">
    <w:abstractNumId w:val="5"/>
  </w:num>
  <w:num w:numId="11">
    <w:abstractNumId w:val="13"/>
  </w:num>
  <w:num w:numId="12">
    <w:abstractNumId w:val="23"/>
  </w:num>
  <w:num w:numId="13">
    <w:abstractNumId w:val="4"/>
  </w:num>
  <w:num w:numId="14">
    <w:abstractNumId w:val="12"/>
  </w:num>
  <w:num w:numId="15">
    <w:abstractNumId w:val="6"/>
  </w:num>
  <w:num w:numId="16">
    <w:abstractNumId w:val="21"/>
  </w:num>
  <w:num w:numId="17">
    <w:abstractNumId w:val="5"/>
  </w:num>
  <w:num w:numId="18">
    <w:abstractNumId w:val="13"/>
  </w:num>
  <w:num w:numId="19">
    <w:abstractNumId w:val="23"/>
  </w:num>
  <w:num w:numId="20">
    <w:abstractNumId w:val="4"/>
  </w:num>
  <w:num w:numId="21">
    <w:abstractNumId w:val="1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19"/>
  </w:num>
  <w:num w:numId="27">
    <w:abstractNumId w:val="2"/>
  </w:num>
  <w:num w:numId="28">
    <w:abstractNumId w:val="10"/>
  </w:num>
  <w:num w:numId="29">
    <w:abstractNumId w:val="1"/>
  </w:num>
  <w:num w:numId="30">
    <w:abstractNumId w:val="8"/>
  </w:num>
  <w:num w:numId="31">
    <w:abstractNumId w:val="0"/>
  </w:num>
  <w:num w:numId="32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stylePaneFormatFilter w:val="1728"/>
  <w:stylePaneSortMethod w:val="00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87BA3"/>
    <w:rsid w:val="00001800"/>
    <w:rsid w:val="00015EE5"/>
    <w:rsid w:val="00020713"/>
    <w:rsid w:val="00021FEA"/>
    <w:rsid w:val="000366BC"/>
    <w:rsid w:val="000414F6"/>
    <w:rsid w:val="00044401"/>
    <w:rsid w:val="00051F38"/>
    <w:rsid w:val="00064FEC"/>
    <w:rsid w:val="00065D0C"/>
    <w:rsid w:val="00094ED6"/>
    <w:rsid w:val="000956FC"/>
    <w:rsid w:val="000962D0"/>
    <w:rsid w:val="000A277C"/>
    <w:rsid w:val="000B0DCD"/>
    <w:rsid w:val="000B18B8"/>
    <w:rsid w:val="000B56C7"/>
    <w:rsid w:val="000B7A71"/>
    <w:rsid w:val="000C08B8"/>
    <w:rsid w:val="000E14DB"/>
    <w:rsid w:val="00101216"/>
    <w:rsid w:val="001034AF"/>
    <w:rsid w:val="00107569"/>
    <w:rsid w:val="00115626"/>
    <w:rsid w:val="00122110"/>
    <w:rsid w:val="00123AF6"/>
    <w:rsid w:val="00140786"/>
    <w:rsid w:val="00144C58"/>
    <w:rsid w:val="00146FA3"/>
    <w:rsid w:val="00150FA6"/>
    <w:rsid w:val="00171D80"/>
    <w:rsid w:val="00172112"/>
    <w:rsid w:val="00174593"/>
    <w:rsid w:val="0017531C"/>
    <w:rsid w:val="00175C52"/>
    <w:rsid w:val="00186C35"/>
    <w:rsid w:val="00187BA3"/>
    <w:rsid w:val="00194967"/>
    <w:rsid w:val="001C215D"/>
    <w:rsid w:val="001C57BE"/>
    <w:rsid w:val="001C6126"/>
    <w:rsid w:val="001D04DC"/>
    <w:rsid w:val="001D24E4"/>
    <w:rsid w:val="001D40F8"/>
    <w:rsid w:val="001D484A"/>
    <w:rsid w:val="001F4A3C"/>
    <w:rsid w:val="00207691"/>
    <w:rsid w:val="0020771B"/>
    <w:rsid w:val="002145F1"/>
    <w:rsid w:val="002165EA"/>
    <w:rsid w:val="0021676E"/>
    <w:rsid w:val="0022110C"/>
    <w:rsid w:val="00221384"/>
    <w:rsid w:val="00234622"/>
    <w:rsid w:val="00241008"/>
    <w:rsid w:val="00241550"/>
    <w:rsid w:val="0024723C"/>
    <w:rsid w:val="0025228A"/>
    <w:rsid w:val="00255B40"/>
    <w:rsid w:val="002651E9"/>
    <w:rsid w:val="00272B8D"/>
    <w:rsid w:val="00274EFC"/>
    <w:rsid w:val="002758A4"/>
    <w:rsid w:val="00275A41"/>
    <w:rsid w:val="002929B1"/>
    <w:rsid w:val="0029393E"/>
    <w:rsid w:val="002A0C02"/>
    <w:rsid w:val="002B328D"/>
    <w:rsid w:val="002C165F"/>
    <w:rsid w:val="002C4627"/>
    <w:rsid w:val="002D1F3B"/>
    <w:rsid w:val="002D2CF7"/>
    <w:rsid w:val="002E6C4C"/>
    <w:rsid w:val="002F38B6"/>
    <w:rsid w:val="002F7719"/>
    <w:rsid w:val="00301C01"/>
    <w:rsid w:val="00305DAF"/>
    <w:rsid w:val="00311757"/>
    <w:rsid w:val="00315A5D"/>
    <w:rsid w:val="0032061E"/>
    <w:rsid w:val="00334F6C"/>
    <w:rsid w:val="00337A20"/>
    <w:rsid w:val="00342EE0"/>
    <w:rsid w:val="00347C74"/>
    <w:rsid w:val="003527A8"/>
    <w:rsid w:val="00353B72"/>
    <w:rsid w:val="00354395"/>
    <w:rsid w:val="00360EC3"/>
    <w:rsid w:val="00364741"/>
    <w:rsid w:val="00365FBA"/>
    <w:rsid w:val="00366290"/>
    <w:rsid w:val="0036727F"/>
    <w:rsid w:val="00376AD3"/>
    <w:rsid w:val="0037752C"/>
    <w:rsid w:val="00381476"/>
    <w:rsid w:val="00384B6A"/>
    <w:rsid w:val="0038545E"/>
    <w:rsid w:val="0039143D"/>
    <w:rsid w:val="003959D8"/>
    <w:rsid w:val="003A282F"/>
    <w:rsid w:val="003A305E"/>
    <w:rsid w:val="003B0404"/>
    <w:rsid w:val="003B392D"/>
    <w:rsid w:val="003B3A08"/>
    <w:rsid w:val="003B6E9A"/>
    <w:rsid w:val="003C172B"/>
    <w:rsid w:val="003E29AE"/>
    <w:rsid w:val="003F0349"/>
    <w:rsid w:val="00401CD5"/>
    <w:rsid w:val="00407213"/>
    <w:rsid w:val="00410741"/>
    <w:rsid w:val="00427B0E"/>
    <w:rsid w:val="00431415"/>
    <w:rsid w:val="00444FFA"/>
    <w:rsid w:val="004648F0"/>
    <w:rsid w:val="00467FA0"/>
    <w:rsid w:val="00477E34"/>
    <w:rsid w:val="004914BD"/>
    <w:rsid w:val="0049584C"/>
    <w:rsid w:val="004978B3"/>
    <w:rsid w:val="004A0BA3"/>
    <w:rsid w:val="004C270B"/>
    <w:rsid w:val="004C6DE4"/>
    <w:rsid w:val="004D6B87"/>
    <w:rsid w:val="004E1288"/>
    <w:rsid w:val="004E5E50"/>
    <w:rsid w:val="004F413D"/>
    <w:rsid w:val="004F4F24"/>
    <w:rsid w:val="004F662F"/>
    <w:rsid w:val="005008F9"/>
    <w:rsid w:val="0050363E"/>
    <w:rsid w:val="0052108C"/>
    <w:rsid w:val="0052193F"/>
    <w:rsid w:val="005219AF"/>
    <w:rsid w:val="00526538"/>
    <w:rsid w:val="0052679E"/>
    <w:rsid w:val="00550DBC"/>
    <w:rsid w:val="005515BF"/>
    <w:rsid w:val="005627B3"/>
    <w:rsid w:val="00562845"/>
    <w:rsid w:val="0057109D"/>
    <w:rsid w:val="00583004"/>
    <w:rsid w:val="005A1102"/>
    <w:rsid w:val="005A2B49"/>
    <w:rsid w:val="005B6D15"/>
    <w:rsid w:val="005B7062"/>
    <w:rsid w:val="005C7877"/>
    <w:rsid w:val="005D3810"/>
    <w:rsid w:val="005F668D"/>
    <w:rsid w:val="00601BC7"/>
    <w:rsid w:val="00602D5A"/>
    <w:rsid w:val="00617AD7"/>
    <w:rsid w:val="00624531"/>
    <w:rsid w:val="006254F4"/>
    <w:rsid w:val="00630991"/>
    <w:rsid w:val="00631BC7"/>
    <w:rsid w:val="006364D5"/>
    <w:rsid w:val="006425FF"/>
    <w:rsid w:val="0064427A"/>
    <w:rsid w:val="006446FF"/>
    <w:rsid w:val="00647FB9"/>
    <w:rsid w:val="006534F0"/>
    <w:rsid w:val="00653525"/>
    <w:rsid w:val="00657E0B"/>
    <w:rsid w:val="0066485C"/>
    <w:rsid w:val="0066740A"/>
    <w:rsid w:val="00680177"/>
    <w:rsid w:val="00686302"/>
    <w:rsid w:val="0068676A"/>
    <w:rsid w:val="00690549"/>
    <w:rsid w:val="00693831"/>
    <w:rsid w:val="00693CEA"/>
    <w:rsid w:val="00696B0F"/>
    <w:rsid w:val="006A7633"/>
    <w:rsid w:val="006D3F16"/>
    <w:rsid w:val="006D7422"/>
    <w:rsid w:val="007164B6"/>
    <w:rsid w:val="0072615F"/>
    <w:rsid w:val="0072649E"/>
    <w:rsid w:val="00734782"/>
    <w:rsid w:val="0074789D"/>
    <w:rsid w:val="0075206A"/>
    <w:rsid w:val="00771547"/>
    <w:rsid w:val="007A52E6"/>
    <w:rsid w:val="007B6060"/>
    <w:rsid w:val="007C3266"/>
    <w:rsid w:val="007D42AC"/>
    <w:rsid w:val="007E1018"/>
    <w:rsid w:val="007E429F"/>
    <w:rsid w:val="007F529C"/>
    <w:rsid w:val="008001EB"/>
    <w:rsid w:val="00803046"/>
    <w:rsid w:val="008101AA"/>
    <w:rsid w:val="008141CB"/>
    <w:rsid w:val="00834AEB"/>
    <w:rsid w:val="008358AE"/>
    <w:rsid w:val="008371F9"/>
    <w:rsid w:val="008437CC"/>
    <w:rsid w:val="00843D3C"/>
    <w:rsid w:val="008500C0"/>
    <w:rsid w:val="00856635"/>
    <w:rsid w:val="008679B5"/>
    <w:rsid w:val="008712F9"/>
    <w:rsid w:val="00877EF5"/>
    <w:rsid w:val="00881BBF"/>
    <w:rsid w:val="008869D6"/>
    <w:rsid w:val="00890B9B"/>
    <w:rsid w:val="00890C4B"/>
    <w:rsid w:val="00895771"/>
    <w:rsid w:val="00895A19"/>
    <w:rsid w:val="008A24EB"/>
    <w:rsid w:val="008D67D1"/>
    <w:rsid w:val="008D6C00"/>
    <w:rsid w:val="008D6F8C"/>
    <w:rsid w:val="008E1B7D"/>
    <w:rsid w:val="008F604D"/>
    <w:rsid w:val="008F6ECA"/>
    <w:rsid w:val="009048FC"/>
    <w:rsid w:val="00906A74"/>
    <w:rsid w:val="00906BDC"/>
    <w:rsid w:val="00906FA8"/>
    <w:rsid w:val="00910303"/>
    <w:rsid w:val="009103C4"/>
    <w:rsid w:val="00913EED"/>
    <w:rsid w:val="0091604A"/>
    <w:rsid w:val="00924161"/>
    <w:rsid w:val="00931622"/>
    <w:rsid w:val="009318D0"/>
    <w:rsid w:val="009423C8"/>
    <w:rsid w:val="009470C1"/>
    <w:rsid w:val="00954E2D"/>
    <w:rsid w:val="0097294B"/>
    <w:rsid w:val="00983DA5"/>
    <w:rsid w:val="00985FE3"/>
    <w:rsid w:val="00990CB1"/>
    <w:rsid w:val="00991BF8"/>
    <w:rsid w:val="009A3A1C"/>
    <w:rsid w:val="009B4039"/>
    <w:rsid w:val="009B6BFC"/>
    <w:rsid w:val="009C0364"/>
    <w:rsid w:val="009C1978"/>
    <w:rsid w:val="009C6A18"/>
    <w:rsid w:val="009C6B5A"/>
    <w:rsid w:val="009D073E"/>
    <w:rsid w:val="009E2C2B"/>
    <w:rsid w:val="009E400F"/>
    <w:rsid w:val="009E685D"/>
    <w:rsid w:val="009E73DF"/>
    <w:rsid w:val="009F2091"/>
    <w:rsid w:val="00A054AC"/>
    <w:rsid w:val="00A1759B"/>
    <w:rsid w:val="00A311CB"/>
    <w:rsid w:val="00A43CE5"/>
    <w:rsid w:val="00A53CD4"/>
    <w:rsid w:val="00A5700F"/>
    <w:rsid w:val="00A571EA"/>
    <w:rsid w:val="00A70F44"/>
    <w:rsid w:val="00A71873"/>
    <w:rsid w:val="00A84901"/>
    <w:rsid w:val="00A8531D"/>
    <w:rsid w:val="00A859D3"/>
    <w:rsid w:val="00A86E5F"/>
    <w:rsid w:val="00A91645"/>
    <w:rsid w:val="00AA49EC"/>
    <w:rsid w:val="00AB384B"/>
    <w:rsid w:val="00AC43F5"/>
    <w:rsid w:val="00AD7BE2"/>
    <w:rsid w:val="00AE3406"/>
    <w:rsid w:val="00AE4FC8"/>
    <w:rsid w:val="00AE6A70"/>
    <w:rsid w:val="00AF3168"/>
    <w:rsid w:val="00B0565A"/>
    <w:rsid w:val="00B104EF"/>
    <w:rsid w:val="00B11FB6"/>
    <w:rsid w:val="00B23363"/>
    <w:rsid w:val="00B4076E"/>
    <w:rsid w:val="00B46390"/>
    <w:rsid w:val="00B46A3E"/>
    <w:rsid w:val="00B6445C"/>
    <w:rsid w:val="00B65A2B"/>
    <w:rsid w:val="00B7479D"/>
    <w:rsid w:val="00B77CC0"/>
    <w:rsid w:val="00B8195D"/>
    <w:rsid w:val="00B8218A"/>
    <w:rsid w:val="00B8401B"/>
    <w:rsid w:val="00B8507B"/>
    <w:rsid w:val="00B912A7"/>
    <w:rsid w:val="00BA46B4"/>
    <w:rsid w:val="00BC0F0B"/>
    <w:rsid w:val="00BC2BC0"/>
    <w:rsid w:val="00BD6685"/>
    <w:rsid w:val="00BF1B99"/>
    <w:rsid w:val="00BF3A59"/>
    <w:rsid w:val="00BF4CAF"/>
    <w:rsid w:val="00BF4F98"/>
    <w:rsid w:val="00BF551A"/>
    <w:rsid w:val="00BF7968"/>
    <w:rsid w:val="00C10D41"/>
    <w:rsid w:val="00C20DD2"/>
    <w:rsid w:val="00C22D3F"/>
    <w:rsid w:val="00C34847"/>
    <w:rsid w:val="00C35815"/>
    <w:rsid w:val="00C4630C"/>
    <w:rsid w:val="00C50E9F"/>
    <w:rsid w:val="00C60C42"/>
    <w:rsid w:val="00C76650"/>
    <w:rsid w:val="00C80D79"/>
    <w:rsid w:val="00C85A73"/>
    <w:rsid w:val="00CA0B71"/>
    <w:rsid w:val="00CA586A"/>
    <w:rsid w:val="00CB29F4"/>
    <w:rsid w:val="00CB562F"/>
    <w:rsid w:val="00CB6FFD"/>
    <w:rsid w:val="00CB71DA"/>
    <w:rsid w:val="00CC5156"/>
    <w:rsid w:val="00CC5BAC"/>
    <w:rsid w:val="00CC7701"/>
    <w:rsid w:val="00CD1A3E"/>
    <w:rsid w:val="00CD2797"/>
    <w:rsid w:val="00CD5153"/>
    <w:rsid w:val="00CD58C5"/>
    <w:rsid w:val="00CD75E6"/>
    <w:rsid w:val="00CD77AA"/>
    <w:rsid w:val="00CF0E5A"/>
    <w:rsid w:val="00CF2229"/>
    <w:rsid w:val="00D07C36"/>
    <w:rsid w:val="00D2153B"/>
    <w:rsid w:val="00D2226B"/>
    <w:rsid w:val="00D2285E"/>
    <w:rsid w:val="00D25837"/>
    <w:rsid w:val="00D30EB5"/>
    <w:rsid w:val="00D570F8"/>
    <w:rsid w:val="00D64B21"/>
    <w:rsid w:val="00D74813"/>
    <w:rsid w:val="00D91D27"/>
    <w:rsid w:val="00D92F35"/>
    <w:rsid w:val="00D96EAB"/>
    <w:rsid w:val="00DB4875"/>
    <w:rsid w:val="00DC0C1F"/>
    <w:rsid w:val="00DC1F88"/>
    <w:rsid w:val="00DC2A1F"/>
    <w:rsid w:val="00DC4FB2"/>
    <w:rsid w:val="00DD07B7"/>
    <w:rsid w:val="00DE20B0"/>
    <w:rsid w:val="00DE5DF7"/>
    <w:rsid w:val="00DF6D4F"/>
    <w:rsid w:val="00E0145A"/>
    <w:rsid w:val="00E05F21"/>
    <w:rsid w:val="00E10DBD"/>
    <w:rsid w:val="00E36E64"/>
    <w:rsid w:val="00E4137C"/>
    <w:rsid w:val="00E432C6"/>
    <w:rsid w:val="00E477E2"/>
    <w:rsid w:val="00E55C77"/>
    <w:rsid w:val="00E573FE"/>
    <w:rsid w:val="00E606F0"/>
    <w:rsid w:val="00E65564"/>
    <w:rsid w:val="00E75890"/>
    <w:rsid w:val="00E81C0D"/>
    <w:rsid w:val="00E874A7"/>
    <w:rsid w:val="00E93D31"/>
    <w:rsid w:val="00EA0C8E"/>
    <w:rsid w:val="00EB2B59"/>
    <w:rsid w:val="00EB6E98"/>
    <w:rsid w:val="00EB78B2"/>
    <w:rsid w:val="00ED5598"/>
    <w:rsid w:val="00EE59C2"/>
    <w:rsid w:val="00F108F7"/>
    <w:rsid w:val="00F201E7"/>
    <w:rsid w:val="00F30AC7"/>
    <w:rsid w:val="00F479CE"/>
    <w:rsid w:val="00F756F0"/>
    <w:rsid w:val="00F76439"/>
    <w:rsid w:val="00F76CEF"/>
    <w:rsid w:val="00F80DBE"/>
    <w:rsid w:val="00F81529"/>
    <w:rsid w:val="00F81854"/>
    <w:rsid w:val="00F81B13"/>
    <w:rsid w:val="00F8226D"/>
    <w:rsid w:val="00F917AE"/>
    <w:rsid w:val="00F93E3A"/>
    <w:rsid w:val="00FA0568"/>
    <w:rsid w:val="00FA3029"/>
    <w:rsid w:val="00FB4213"/>
    <w:rsid w:val="00FC31C8"/>
    <w:rsid w:val="00FC49E2"/>
    <w:rsid w:val="00FC7C18"/>
    <w:rsid w:val="00FD424E"/>
    <w:rsid w:val="00FD4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next w:val="a0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aliases w:val="Обычный +"/>
    <w:basedOn w:val="a0"/>
    <w:next w:val="a0"/>
    <w:link w:val="afc"/>
    <w:uiPriority w:val="99"/>
    <w:unhideWhenUsed/>
    <w:qFormat/>
    <w:rsid w:val="00D92F35"/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 w:cs="Times New Roman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spacing w:before="240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1">
    <w:name w:val="Наим. раздела"/>
    <w:basedOn w:val="CustomContentNormal"/>
    <w:next w:val="a0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aliases w:val="Обычный + Знак"/>
    <w:basedOn w:val="a2"/>
    <w:link w:val="afb"/>
    <w:uiPriority w:val="99"/>
    <w:rsid w:val="00D92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qFormat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Pa6">
    <w:name w:val="Pa6"/>
    <w:basedOn w:val="a0"/>
    <w:next w:val="a0"/>
    <w:uiPriority w:val="99"/>
    <w:rsid w:val="00444FFA"/>
    <w:pPr>
      <w:autoSpaceDE w:val="0"/>
      <w:autoSpaceDN w:val="0"/>
      <w:adjustRightInd w:val="0"/>
      <w:spacing w:line="191" w:lineRule="atLeast"/>
      <w:ind w:firstLine="0"/>
      <w:jc w:val="left"/>
    </w:pPr>
    <w:rPr>
      <w:rFonts w:ascii="GaramondCTT" w:eastAsia="Courier New" w:hAnsi="GaramondCTT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415F-03C3-4BFA-8F8A-A50EE825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12938</Words>
  <Characters>73753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PCU</cp:lastModifiedBy>
  <cp:revision>2</cp:revision>
  <cp:lastPrinted>2016-10-07T09:24:00Z</cp:lastPrinted>
  <dcterms:created xsi:type="dcterms:W3CDTF">2020-12-14T11:50:00Z</dcterms:created>
  <dcterms:modified xsi:type="dcterms:W3CDTF">2020-12-14T11:50:00Z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ndeley Document_1">
    <vt:lpwstr>True</vt:lpwstr>
  </property>
  <property fmtid="{D5CDD505-2E9C-101B-9397-08002B2CF9AE}" pid="10" name="Mendeley Unique User Id_1">
    <vt:lpwstr>557ca738-a0c4-3a69-aff2-aa601aaa397d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Id 0_1">
    <vt:lpwstr>http://www.zotero.org/styles/american-medical-association</vt:lpwstr>
  </property>
  <property fmtid="{D5CDD505-2E9C-101B-9397-08002B2CF9AE}" pid="13" name="Mendeley Recent Style Name 0_1">
    <vt:lpwstr>American Medical Association</vt:lpwstr>
  </property>
  <property fmtid="{D5CDD505-2E9C-101B-9397-08002B2CF9AE}" pid="14" name="Mendeley Recent Style Id 1_1">
    <vt:lpwstr>http://www.zotero.org/styles/american-political-science-association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Id 2_1">
    <vt:lpwstr>http://www.zotero.org/styles/american-sociological-association</vt:lpwstr>
  </property>
  <property fmtid="{D5CDD505-2E9C-101B-9397-08002B2CF9AE}" pid="17" name="Mendeley Recent Style Name 2_1">
    <vt:lpwstr>American Sociological Association</vt:lpwstr>
  </property>
  <property fmtid="{D5CDD505-2E9C-101B-9397-08002B2CF9AE}" pid="18" name="Mendeley Recent Style Id 3_1">
    <vt:lpwstr>http://www.zotero.org/styles/chicago-author-date</vt:lpwstr>
  </property>
  <property fmtid="{D5CDD505-2E9C-101B-9397-08002B2CF9AE}" pid="19" name="Mendeley Recent Style Name 3_1">
    <vt:lpwstr>Chicago Manual of Style 17th edition (author-date)</vt:lpwstr>
  </property>
  <property fmtid="{D5CDD505-2E9C-101B-9397-08002B2CF9AE}" pid="20" name="Mendeley Recent Style Id 4_1">
    <vt:lpwstr>http://www.zotero.org/styles/harvard-cite-them-right</vt:lpwstr>
  </property>
  <property fmtid="{D5CDD505-2E9C-101B-9397-08002B2CF9AE}" pid="21" name="Mendeley Recent Style Name 4_1">
    <vt:lpwstr>Cite Them Right 10th edition - Harvard</vt:lpwstr>
  </property>
  <property fmtid="{D5CDD505-2E9C-101B-9397-08002B2CF9AE}" pid="22" name="Mendeley Recent Style Id 5_1">
    <vt:lpwstr>http://www.zotero.org/styles/elsevier-vancouver</vt:lpwstr>
  </property>
  <property fmtid="{D5CDD505-2E9C-101B-9397-08002B2CF9AE}" pid="23" name="Mendeley Recent Style Name 5_1">
    <vt:lpwstr>Elsevier - Vancouver</vt:lpwstr>
  </property>
  <property fmtid="{D5CDD505-2E9C-101B-9397-08002B2CF9AE}" pid="24" name="Mendeley Recent Style Id 6_1">
    <vt:lpwstr>http://csl.mendeley.com/styles/466348871/elsevier-vancouver</vt:lpwstr>
  </property>
  <property fmtid="{D5CDD505-2E9C-101B-9397-08002B2CF9AE}" pid="25" name="Mendeley Recent Style Name 6_1">
    <vt:lpwstr>Elsevier - Vancouver - Vitaly Latyshev</vt:lpwstr>
  </property>
  <property fmtid="{D5CDD505-2E9C-101B-9397-08002B2CF9AE}" pid="26" name="Mendeley Recent Style Id 7_1">
    <vt:lpwstr>http://www.zotero.org/styles/modern-humanities-research-association</vt:lpwstr>
  </property>
  <property fmtid="{D5CDD505-2E9C-101B-9397-08002B2CF9AE}" pid="27" name="Mendeley Recent Style Name 7_1">
    <vt:lpwstr>Modern Humanities Research Association 3rd edition (note with bibliography)</vt:lpwstr>
  </property>
  <property fmtid="{D5CDD505-2E9C-101B-9397-08002B2CF9AE}" pid="28" name="Mendeley Recent Style Id 8_1">
    <vt:lpwstr>http://www.zotero.org/styles/modern-language-association</vt:lpwstr>
  </property>
  <property fmtid="{D5CDD505-2E9C-101B-9397-08002B2CF9AE}" pid="29" name="Mendeley Recent Style Name 8_1">
    <vt:lpwstr>Modern Language Association 8th edition</vt:lpwstr>
  </property>
  <property fmtid="{D5CDD505-2E9C-101B-9397-08002B2CF9AE}" pid="30" name="Mendeley Recent Style Id 9_1">
    <vt:lpwstr>http://www.zotero.org/styles/gost-r-7-0-5-2008-numeric</vt:lpwstr>
  </property>
  <property fmtid="{D5CDD505-2E9C-101B-9397-08002B2CF9AE}" pid="31" name="Mendeley Recent Style Name 9_1">
    <vt:lpwstr>Russian GOST R 7.0.5-2008 (numeric)</vt:lpwstr>
  </property>
</Properties>
</file>