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9C2" w:rsidRPr="00376207" w:rsidRDefault="00583773" w:rsidP="00583773">
      <w:pPr>
        <w:pStyle w:val="aff7"/>
        <w:ind w:firstLine="567"/>
      </w:pPr>
      <w:r>
        <w:rPr>
          <w:noProof/>
          <w:lang w:eastAsia="ru-RU"/>
        </w:rPr>
        <mc:AlternateContent>
          <mc:Choice Requires="wps">
            <w:drawing>
              <wp:anchor distT="0" distB="0" distL="114300" distR="114300" simplePos="0" relativeHeight="251658240" behindDoc="1" locked="0" layoutInCell="1" allowOverlap="1" wp14:anchorId="1BBC87E7">
                <wp:simplePos x="0" y="0"/>
                <wp:positionH relativeFrom="column">
                  <wp:posOffset>-822960</wp:posOffset>
                </wp:positionH>
                <wp:positionV relativeFrom="paragraph">
                  <wp:posOffset>-491490</wp:posOffset>
                </wp:positionV>
                <wp:extent cx="7000875" cy="8448675"/>
                <wp:effectExtent l="0" t="0"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8448675"/>
                        </a:xfrm>
                        <a:prstGeom prst="rect">
                          <a:avLst/>
                        </a:prstGeom>
                        <a:solidFill>
                          <a:srgbClr val="FFFFFF"/>
                        </a:solidFill>
                        <a:ln>
                          <a:noFill/>
                        </a:ln>
                      </wps:spPr>
                      <wps:txbx>
                        <w:txbxContent>
                          <w:p w:rsidR="00957B53" w:rsidRPr="004A5932" w:rsidRDefault="00957B53" w:rsidP="004A5932"/>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BC87E7" id="Rectangle 3" o:spid="_x0000_s1026" style="position:absolute;left:0;text-align:left;margin-left:-64.8pt;margin-top:-38.7pt;width:551.25pt;height:6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" stroked="f">
                <v:path arrowok="t"/>
                <v:textbox>
                  <w:txbxContent>
                    <w:p w:rsidR="00957B53" w:rsidRPr="004A5932" w:rsidRDefault="00957B53" w:rsidP="004A5932"/>
                  </w:txbxContent>
                </v:textbox>
              </v:rect>
            </w:pict>
          </mc:Fallback>
        </mc:AlternateContent>
      </w:r>
      <w:r>
        <w:rPr>
          <w:noProof/>
          <w:lang w:eastAsia="ru-RU"/>
        </w:rPr>
        <mc:AlternateContent>
          <mc:Choice Requires="wps">
            <w:drawing>
              <wp:anchor distT="0" distB="0" distL="114300" distR="114300" simplePos="0" relativeHeight="251657216" behindDoc="1" locked="0" layoutInCell="1" allowOverlap="1" wp14:anchorId="32734FD0">
                <wp:simplePos x="0" y="0"/>
                <wp:positionH relativeFrom="page">
                  <wp:posOffset>-35560</wp:posOffset>
                </wp:positionH>
                <wp:positionV relativeFrom="paragraph">
                  <wp:posOffset>-1113790</wp:posOffset>
                </wp:positionV>
                <wp:extent cx="7601585" cy="11021060"/>
                <wp:effectExtent l="0" t="0" r="0"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rect w14:anchorId="67664859" id="Прямоугольник 1" o:spid="_x0000_s1026" style="position:absolute;margin-left:-2.8pt;margin-top:-87.7pt;width:598.55pt;height:86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" fillcolor="#0b595d" stroked="f" strokeweight="2pt">
                <v:fill opacity="6682f"/>
                <v:path arrowok="t"/>
                <w10:wrap anchorx="page"/>
              </v:rect>
            </w:pict>
          </mc:Fallback>
        </mc:AlternateContent>
      </w:r>
    </w:p>
    <w:p w:rsidR="002145F1" w:rsidRPr="00376207" w:rsidRDefault="002145F1" w:rsidP="002145F1"/>
    <w:p w:rsidR="002145F1" w:rsidRPr="00376207" w:rsidRDefault="002145F1" w:rsidP="002145F1"/>
    <w:p w:rsidR="002145F1" w:rsidRPr="00376207" w:rsidRDefault="002145F1" w:rsidP="002145F1"/>
    <w:p w:rsidR="002145F1" w:rsidRPr="00376207" w:rsidRDefault="002145F1" w:rsidP="002145F1"/>
    <w:tbl>
      <w:tblPr>
        <w:tblpPr w:leftFromText="180" w:rightFromText="180" w:vertAnchor="page" w:horzAnchor="margin" w:tblpXSpec="right" w:tblpY="3781"/>
        <w:tblW w:w="9525" w:type="dxa"/>
        <w:tblLook w:val="04A0" w:firstRow="1" w:lastRow="0" w:firstColumn="1" w:lastColumn="0" w:noHBand="0" w:noVBand="1"/>
      </w:tblPr>
      <w:tblGrid>
        <w:gridCol w:w="3686"/>
        <w:gridCol w:w="5839"/>
      </w:tblGrid>
      <w:tr w:rsidR="00172112" w:rsidRPr="00376207" w:rsidTr="00043A95">
        <w:tc>
          <w:tcPr>
            <w:tcW w:w="9525" w:type="dxa"/>
            <w:gridSpan w:val="2"/>
          </w:tcPr>
          <w:p w:rsidR="00172112" w:rsidRPr="00376207" w:rsidRDefault="00172112" w:rsidP="009759CE">
            <w:pPr>
              <w:tabs>
                <w:tab w:val="left" w:pos="6135"/>
              </w:tabs>
              <w:ind w:firstLine="0"/>
              <w:rPr>
                <w:sz w:val="28"/>
                <w:szCs w:val="28"/>
              </w:rPr>
            </w:pPr>
            <w:r w:rsidRPr="00376207">
              <w:rPr>
                <w:color w:val="808080"/>
              </w:rPr>
              <w:t xml:space="preserve">Клинические </w:t>
            </w:r>
            <w:r w:rsidRPr="00376207">
              <w:rPr>
                <w:noProof/>
                <w:color w:val="767171"/>
                <w:lang w:eastAsia="ru-RU"/>
              </w:rPr>
              <w:t>рекомендации</w:t>
            </w:r>
          </w:p>
        </w:tc>
      </w:tr>
      <w:tr w:rsidR="00172112" w:rsidRPr="00376207" w:rsidTr="00043A95">
        <w:trPr>
          <w:trHeight w:val="1907"/>
        </w:trPr>
        <w:tc>
          <w:tcPr>
            <w:tcW w:w="9525" w:type="dxa"/>
            <w:gridSpan w:val="2"/>
          </w:tcPr>
          <w:p w:rsidR="00172112" w:rsidRPr="00376207" w:rsidRDefault="0011501E" w:rsidP="009759CE">
            <w:pPr>
              <w:tabs>
                <w:tab w:val="left" w:pos="6135"/>
              </w:tabs>
              <w:ind w:firstLine="0"/>
              <w:rPr>
                <w:sz w:val="36"/>
                <w:szCs w:val="36"/>
              </w:rPr>
            </w:pPr>
            <w:r w:rsidRPr="00376207">
              <w:rPr>
                <w:b/>
                <w:color w:val="000000"/>
                <w:sz w:val="36"/>
                <w:szCs w:val="36"/>
              </w:rPr>
              <w:t>Грибовидный микоз</w:t>
            </w:r>
          </w:p>
        </w:tc>
      </w:tr>
      <w:tr w:rsidR="00221384" w:rsidRPr="00376207" w:rsidTr="00043A95">
        <w:trPr>
          <w:trHeight w:val="815"/>
        </w:trPr>
        <w:tc>
          <w:tcPr>
            <w:tcW w:w="3686" w:type="dxa"/>
          </w:tcPr>
          <w:p w:rsidR="00221384" w:rsidRPr="00376207" w:rsidRDefault="00221384" w:rsidP="00F95275">
            <w:pPr>
              <w:tabs>
                <w:tab w:val="left" w:pos="6135"/>
              </w:tabs>
              <w:spacing w:line="276" w:lineRule="auto"/>
              <w:ind w:firstLine="0"/>
              <w:jc w:val="right"/>
              <w:rPr>
                <w:szCs w:val="28"/>
              </w:rPr>
            </w:pPr>
            <w:r w:rsidRPr="00376207">
              <w:rPr>
                <w:color w:val="808080"/>
                <w:szCs w:val="28"/>
              </w:rPr>
              <w:t xml:space="preserve">Кодирование по Международной статистической классификации болезней и проблем, связанных со здоровьем: </w:t>
            </w:r>
          </w:p>
          <w:p w:rsidR="00221384" w:rsidRPr="00376207" w:rsidRDefault="00221384" w:rsidP="00F95275">
            <w:pPr>
              <w:pStyle w:val="aff3"/>
              <w:spacing w:line="276" w:lineRule="auto"/>
              <w:ind w:firstLine="0"/>
              <w:jc w:val="right"/>
              <w:rPr>
                <w:sz w:val="24"/>
                <w:szCs w:val="28"/>
              </w:rPr>
            </w:pPr>
          </w:p>
        </w:tc>
        <w:tc>
          <w:tcPr>
            <w:tcW w:w="5839" w:type="dxa"/>
          </w:tcPr>
          <w:p w:rsidR="00221384" w:rsidRPr="00376207" w:rsidRDefault="0011501E" w:rsidP="00F95275">
            <w:pPr>
              <w:tabs>
                <w:tab w:val="left" w:pos="6135"/>
              </w:tabs>
              <w:spacing w:line="276" w:lineRule="auto"/>
              <w:ind w:firstLine="0"/>
              <w:jc w:val="left"/>
              <w:rPr>
                <w:szCs w:val="28"/>
              </w:rPr>
            </w:pPr>
            <w:r w:rsidRPr="00376207">
              <w:rPr>
                <w:rStyle w:val="pop-slug-vol"/>
                <w:b/>
                <w:szCs w:val="24"/>
              </w:rPr>
              <w:t>С84.0</w:t>
            </w:r>
          </w:p>
        </w:tc>
      </w:tr>
      <w:tr w:rsidR="00221384" w:rsidRPr="00376207" w:rsidTr="00043A95">
        <w:trPr>
          <w:trHeight w:val="815"/>
        </w:trPr>
        <w:tc>
          <w:tcPr>
            <w:tcW w:w="3686" w:type="dxa"/>
          </w:tcPr>
          <w:p w:rsidR="00221384" w:rsidRPr="00376207" w:rsidRDefault="00221384" w:rsidP="00F95275">
            <w:pPr>
              <w:tabs>
                <w:tab w:val="left" w:pos="6135"/>
              </w:tabs>
              <w:spacing w:line="276" w:lineRule="auto"/>
              <w:ind w:firstLine="0"/>
              <w:jc w:val="right"/>
              <w:rPr>
                <w:color w:val="808080"/>
                <w:szCs w:val="28"/>
              </w:rPr>
            </w:pPr>
            <w:r w:rsidRPr="00376207">
              <w:rPr>
                <w:rStyle w:val="pop-slug-vol"/>
                <w:color w:val="767171"/>
                <w:szCs w:val="28"/>
              </w:rPr>
              <w:t>Возрастная группа:</w:t>
            </w:r>
          </w:p>
        </w:tc>
        <w:tc>
          <w:tcPr>
            <w:tcW w:w="5839" w:type="dxa"/>
          </w:tcPr>
          <w:p w:rsidR="00221384" w:rsidRPr="00376207" w:rsidRDefault="0011501E" w:rsidP="00F95275">
            <w:pPr>
              <w:tabs>
                <w:tab w:val="left" w:pos="6135"/>
              </w:tabs>
              <w:spacing w:line="276" w:lineRule="auto"/>
              <w:ind w:firstLine="0"/>
              <w:jc w:val="left"/>
              <w:rPr>
                <w:color w:val="808080"/>
                <w:szCs w:val="28"/>
              </w:rPr>
            </w:pPr>
            <w:r w:rsidRPr="00376207">
              <w:rPr>
                <w:color w:val="808080"/>
                <w:szCs w:val="24"/>
              </w:rPr>
              <w:t>Взрослые и дети</w:t>
            </w:r>
          </w:p>
        </w:tc>
      </w:tr>
      <w:tr w:rsidR="00221384" w:rsidRPr="00376207" w:rsidTr="00043A95">
        <w:trPr>
          <w:trHeight w:val="815"/>
        </w:trPr>
        <w:tc>
          <w:tcPr>
            <w:tcW w:w="3686" w:type="dxa"/>
          </w:tcPr>
          <w:p w:rsidR="00221384" w:rsidRPr="00376207" w:rsidRDefault="00221384" w:rsidP="00F95275">
            <w:pPr>
              <w:tabs>
                <w:tab w:val="left" w:pos="6135"/>
              </w:tabs>
              <w:spacing w:line="276" w:lineRule="auto"/>
              <w:ind w:firstLine="0"/>
              <w:jc w:val="right"/>
              <w:rPr>
                <w:color w:val="808080"/>
                <w:szCs w:val="28"/>
              </w:rPr>
            </w:pPr>
            <w:r w:rsidRPr="00376207">
              <w:rPr>
                <w:color w:val="808080"/>
              </w:rPr>
              <w:t>Год утверждения:</w:t>
            </w:r>
          </w:p>
        </w:tc>
        <w:tc>
          <w:tcPr>
            <w:tcW w:w="5839" w:type="dxa"/>
          </w:tcPr>
          <w:p w:rsidR="00221384" w:rsidRPr="00376207" w:rsidRDefault="00221384" w:rsidP="00F95275">
            <w:pPr>
              <w:tabs>
                <w:tab w:val="left" w:pos="6135"/>
              </w:tabs>
              <w:spacing w:line="276" w:lineRule="auto"/>
              <w:ind w:firstLine="0"/>
              <w:jc w:val="left"/>
              <w:rPr>
                <w:b/>
              </w:rPr>
            </w:pPr>
          </w:p>
        </w:tc>
      </w:tr>
      <w:tr w:rsidR="00172112" w:rsidRPr="00376207" w:rsidTr="00043A95">
        <w:tc>
          <w:tcPr>
            <w:tcW w:w="9525" w:type="dxa"/>
            <w:gridSpan w:val="2"/>
          </w:tcPr>
          <w:p w:rsidR="00172112" w:rsidRPr="00376207" w:rsidRDefault="00301C01" w:rsidP="00F95275">
            <w:pPr>
              <w:tabs>
                <w:tab w:val="left" w:pos="6135"/>
              </w:tabs>
              <w:ind w:firstLine="0"/>
              <w:rPr>
                <w:color w:val="FF0000"/>
                <w:sz w:val="20"/>
                <w:szCs w:val="20"/>
              </w:rPr>
            </w:pPr>
            <w:r w:rsidRPr="00376207">
              <w:rPr>
                <w:color w:val="808080"/>
              </w:rPr>
              <w:t>Разработчик клинической рекомендации</w:t>
            </w:r>
            <w:r w:rsidR="00172112" w:rsidRPr="00376207">
              <w:rPr>
                <w:color w:val="808080"/>
              </w:rPr>
              <w:t>:</w:t>
            </w:r>
          </w:p>
        </w:tc>
      </w:tr>
      <w:tr w:rsidR="00172112" w:rsidRPr="00376207" w:rsidTr="00043A95">
        <w:trPr>
          <w:trHeight w:val="4170"/>
        </w:trPr>
        <w:tc>
          <w:tcPr>
            <w:tcW w:w="9525" w:type="dxa"/>
            <w:gridSpan w:val="2"/>
          </w:tcPr>
          <w:p w:rsidR="00172112" w:rsidRPr="00376207" w:rsidRDefault="0011501E" w:rsidP="00F95275">
            <w:pPr>
              <w:pStyle w:val="aff7"/>
              <w:numPr>
                <w:ilvl w:val="0"/>
                <w:numId w:val="2"/>
              </w:numPr>
              <w:rPr>
                <w:b/>
                <w:sz w:val="28"/>
              </w:rPr>
            </w:pPr>
            <w:r w:rsidRPr="00376207">
              <w:rPr>
                <w:szCs w:val="24"/>
              </w:rPr>
              <w:t>Общероссийская общественная организация «Российское общество дерматовенерологов и косметологов»</w:t>
            </w:r>
          </w:p>
          <w:p w:rsidR="006C0671" w:rsidRPr="00155D15" w:rsidRDefault="006C0671" w:rsidP="00F95275">
            <w:pPr>
              <w:pStyle w:val="aff7"/>
              <w:numPr>
                <w:ilvl w:val="0"/>
                <w:numId w:val="2"/>
              </w:numPr>
              <w:rPr>
                <w:b/>
                <w:sz w:val="28"/>
              </w:rPr>
            </w:pPr>
            <w:r w:rsidRPr="00376207">
              <w:rPr>
                <w:szCs w:val="24"/>
              </w:rPr>
              <w:t>Региональная общественная организация «Общество онкогематологов»</w:t>
            </w:r>
          </w:p>
          <w:p w:rsidR="00155D15" w:rsidRPr="00155D15" w:rsidRDefault="00155D15" w:rsidP="00155D15">
            <w:pPr>
              <w:pStyle w:val="aff7"/>
              <w:numPr>
                <w:ilvl w:val="0"/>
                <w:numId w:val="2"/>
              </w:numPr>
              <w:rPr>
                <w:b/>
                <w:color w:val="000000" w:themeColor="text1"/>
                <w:sz w:val="28"/>
              </w:rPr>
            </w:pPr>
            <w:r w:rsidRPr="00155D15">
              <w:rPr>
                <w:color w:val="000000" w:themeColor="text1"/>
              </w:rPr>
              <w:t>Ассоциация содействия развитию гематологии и трансплантологии костного мозга "Национальное гематологическое общество"</w:t>
            </w:r>
          </w:p>
          <w:p w:rsidR="00155D15" w:rsidRPr="00B06390" w:rsidRDefault="00155D15" w:rsidP="00155D15">
            <w:pPr>
              <w:pStyle w:val="aff7"/>
              <w:ind w:left="1068" w:firstLine="0"/>
              <w:rPr>
                <w:b/>
                <w:sz w:val="28"/>
              </w:rPr>
            </w:pPr>
          </w:p>
          <w:p w:rsidR="00B06390" w:rsidRPr="00957B53" w:rsidRDefault="00B06390" w:rsidP="00014889">
            <w:pPr>
              <w:pStyle w:val="aff7"/>
              <w:rPr>
                <w:b/>
                <w:sz w:val="28"/>
              </w:rPr>
            </w:pPr>
          </w:p>
          <w:p w:rsidR="00174593" w:rsidRPr="00376207" w:rsidRDefault="00174593" w:rsidP="0011501E">
            <w:pPr>
              <w:pStyle w:val="aff7"/>
              <w:ind w:left="1068" w:firstLine="0"/>
              <w:rPr>
                <w:b/>
                <w:sz w:val="28"/>
              </w:rPr>
            </w:pPr>
          </w:p>
          <w:p w:rsidR="00174593" w:rsidRPr="00376207" w:rsidRDefault="00174593" w:rsidP="00F95275">
            <w:pPr>
              <w:pStyle w:val="aff7"/>
              <w:rPr>
                <w:b/>
                <w:sz w:val="28"/>
              </w:rPr>
            </w:pPr>
          </w:p>
          <w:p w:rsidR="00CC5156" w:rsidRPr="00376207" w:rsidRDefault="00CC5156" w:rsidP="00F95275">
            <w:pPr>
              <w:pStyle w:val="aff7"/>
              <w:ind w:firstLine="0"/>
              <w:rPr>
                <w:b/>
                <w:sz w:val="28"/>
              </w:rPr>
            </w:pPr>
          </w:p>
        </w:tc>
      </w:tr>
    </w:tbl>
    <w:p w:rsidR="00094ED6" w:rsidRPr="00376207" w:rsidRDefault="00094ED6" w:rsidP="00172112">
      <w:pPr>
        <w:pStyle w:val="afe"/>
        <w:jc w:val="center"/>
        <w:rPr>
          <w:b w:val="0"/>
          <w:szCs w:val="22"/>
          <w:u w:val="none"/>
        </w:rPr>
      </w:pPr>
      <w:bookmarkStart w:id="0" w:name="_Toc492379891"/>
    </w:p>
    <w:p w:rsidR="00094ED6" w:rsidRPr="00376207" w:rsidRDefault="00094ED6">
      <w:pPr>
        <w:spacing w:line="240" w:lineRule="auto"/>
        <w:ind w:firstLine="0"/>
        <w:jc w:val="left"/>
      </w:pPr>
      <w:r w:rsidRPr="00376207">
        <w:rPr>
          <w:b/>
        </w:rPr>
        <w:br w:type="page"/>
      </w:r>
    </w:p>
    <w:p w:rsidR="00172112" w:rsidRPr="00376207" w:rsidRDefault="00172112" w:rsidP="00172112">
      <w:pPr>
        <w:pStyle w:val="afe"/>
        <w:jc w:val="center"/>
        <w:rPr>
          <w:sz w:val="28"/>
          <w:u w:val="none"/>
        </w:rPr>
      </w:pPr>
      <w:bookmarkStart w:id="1" w:name="_Toc84161263"/>
      <w:r w:rsidRPr="00376207">
        <w:rPr>
          <w:sz w:val="28"/>
          <w:u w:val="none"/>
        </w:rPr>
        <w:lastRenderedPageBreak/>
        <w:t>Оглавление</w:t>
      </w:r>
      <w:bookmarkEnd w:id="0"/>
      <w:bookmarkEnd w:id="1"/>
    </w:p>
    <w:p w:rsidR="00555107" w:rsidRDefault="00062499">
      <w:pPr>
        <w:pStyle w:val="15"/>
        <w:rPr>
          <w:rFonts w:asciiTheme="minorHAnsi" w:eastAsiaTheme="minorEastAsia" w:hAnsiTheme="minorHAnsi" w:cstheme="minorBidi"/>
          <w:noProof/>
          <w:szCs w:val="24"/>
          <w:lang w:eastAsia="ru-RU"/>
        </w:rPr>
      </w:pPr>
      <w:r w:rsidRPr="00376207">
        <w:rPr>
          <w:szCs w:val="24"/>
        </w:rPr>
        <w:fldChar w:fldCharType="begin"/>
      </w:r>
      <w:r w:rsidR="00172112" w:rsidRPr="00376207">
        <w:rPr>
          <w:szCs w:val="24"/>
        </w:rPr>
        <w:instrText xml:space="preserve"> TOC \o "1-3" \h \z \u </w:instrText>
      </w:r>
      <w:r w:rsidRPr="00376207">
        <w:rPr>
          <w:szCs w:val="24"/>
        </w:rPr>
        <w:fldChar w:fldCharType="separate"/>
      </w:r>
      <w:hyperlink w:anchor="_Toc84161263" w:history="1">
        <w:r w:rsidR="00555107" w:rsidRPr="001E0C1D">
          <w:rPr>
            <w:rStyle w:val="affc"/>
            <w:noProof/>
          </w:rPr>
          <w:t>Оглавление</w:t>
        </w:r>
        <w:r w:rsidR="00555107">
          <w:rPr>
            <w:noProof/>
            <w:webHidden/>
          </w:rPr>
          <w:tab/>
        </w:r>
        <w:r>
          <w:rPr>
            <w:noProof/>
            <w:webHidden/>
          </w:rPr>
          <w:fldChar w:fldCharType="begin"/>
        </w:r>
        <w:r w:rsidR="00555107">
          <w:rPr>
            <w:noProof/>
            <w:webHidden/>
          </w:rPr>
          <w:instrText xml:space="preserve"> PAGEREF _Toc84161263 \h </w:instrText>
        </w:r>
        <w:r>
          <w:rPr>
            <w:noProof/>
            <w:webHidden/>
          </w:rPr>
        </w:r>
        <w:r>
          <w:rPr>
            <w:noProof/>
            <w:webHidden/>
          </w:rPr>
          <w:fldChar w:fldCharType="separate"/>
        </w:r>
        <w:r w:rsidR="00555107">
          <w:rPr>
            <w:noProof/>
            <w:webHidden/>
          </w:rPr>
          <w:t>2</w:t>
        </w:r>
        <w:r>
          <w:rPr>
            <w:noProof/>
            <w:webHidden/>
          </w:rPr>
          <w:fldChar w:fldCharType="end"/>
        </w:r>
      </w:hyperlink>
    </w:p>
    <w:p w:rsidR="00555107" w:rsidRDefault="00103F99">
      <w:pPr>
        <w:pStyle w:val="15"/>
        <w:rPr>
          <w:rFonts w:asciiTheme="minorHAnsi" w:eastAsiaTheme="minorEastAsia" w:hAnsiTheme="minorHAnsi" w:cstheme="minorBidi"/>
          <w:noProof/>
          <w:szCs w:val="24"/>
          <w:lang w:eastAsia="ru-RU"/>
        </w:rPr>
      </w:pPr>
      <w:hyperlink w:anchor="_Toc84161264" w:history="1">
        <w:r w:rsidR="00555107" w:rsidRPr="001E0C1D">
          <w:rPr>
            <w:rStyle w:val="affc"/>
            <w:noProof/>
          </w:rPr>
          <w:t>Список сокращений</w:t>
        </w:r>
        <w:r w:rsidR="00555107">
          <w:rPr>
            <w:noProof/>
            <w:webHidden/>
          </w:rPr>
          <w:tab/>
        </w:r>
        <w:r w:rsidR="00062499">
          <w:rPr>
            <w:noProof/>
            <w:webHidden/>
          </w:rPr>
          <w:fldChar w:fldCharType="begin"/>
        </w:r>
        <w:r w:rsidR="00555107">
          <w:rPr>
            <w:noProof/>
            <w:webHidden/>
          </w:rPr>
          <w:instrText xml:space="preserve"> PAGEREF _Toc84161264 \h </w:instrText>
        </w:r>
        <w:r w:rsidR="00062499">
          <w:rPr>
            <w:noProof/>
            <w:webHidden/>
          </w:rPr>
        </w:r>
        <w:r w:rsidR="00062499">
          <w:rPr>
            <w:noProof/>
            <w:webHidden/>
          </w:rPr>
          <w:fldChar w:fldCharType="separate"/>
        </w:r>
        <w:r w:rsidR="00555107">
          <w:rPr>
            <w:noProof/>
            <w:webHidden/>
          </w:rPr>
          <w:t>4</w:t>
        </w:r>
        <w:r w:rsidR="00062499">
          <w:rPr>
            <w:noProof/>
            <w:webHidden/>
          </w:rPr>
          <w:fldChar w:fldCharType="end"/>
        </w:r>
      </w:hyperlink>
    </w:p>
    <w:p w:rsidR="00555107" w:rsidRDefault="00103F99">
      <w:pPr>
        <w:pStyle w:val="15"/>
        <w:rPr>
          <w:rFonts w:asciiTheme="minorHAnsi" w:eastAsiaTheme="minorEastAsia" w:hAnsiTheme="minorHAnsi" w:cstheme="minorBidi"/>
          <w:noProof/>
          <w:szCs w:val="24"/>
          <w:lang w:eastAsia="ru-RU"/>
        </w:rPr>
      </w:pPr>
      <w:hyperlink w:anchor="_Toc84161265" w:history="1">
        <w:r w:rsidR="00555107" w:rsidRPr="001E0C1D">
          <w:rPr>
            <w:rStyle w:val="affc"/>
            <w:noProof/>
          </w:rPr>
          <w:t>Термины и определения</w:t>
        </w:r>
        <w:r w:rsidR="00555107">
          <w:rPr>
            <w:noProof/>
            <w:webHidden/>
          </w:rPr>
          <w:tab/>
        </w:r>
        <w:r w:rsidR="00062499">
          <w:rPr>
            <w:noProof/>
            <w:webHidden/>
          </w:rPr>
          <w:fldChar w:fldCharType="begin"/>
        </w:r>
        <w:r w:rsidR="00555107">
          <w:rPr>
            <w:noProof/>
            <w:webHidden/>
          </w:rPr>
          <w:instrText xml:space="preserve"> PAGEREF _Toc84161265 \h </w:instrText>
        </w:r>
        <w:r w:rsidR="00062499">
          <w:rPr>
            <w:noProof/>
            <w:webHidden/>
          </w:rPr>
        </w:r>
        <w:r w:rsidR="00062499">
          <w:rPr>
            <w:noProof/>
            <w:webHidden/>
          </w:rPr>
          <w:fldChar w:fldCharType="separate"/>
        </w:r>
        <w:r w:rsidR="00555107">
          <w:rPr>
            <w:noProof/>
            <w:webHidden/>
          </w:rPr>
          <w:t>5</w:t>
        </w:r>
        <w:r w:rsidR="00062499">
          <w:rPr>
            <w:noProof/>
            <w:webHidden/>
          </w:rPr>
          <w:fldChar w:fldCharType="end"/>
        </w:r>
      </w:hyperlink>
    </w:p>
    <w:p w:rsidR="00555107" w:rsidRDefault="00103F99">
      <w:pPr>
        <w:pStyle w:val="15"/>
        <w:rPr>
          <w:rFonts w:asciiTheme="minorHAnsi" w:eastAsiaTheme="minorEastAsia" w:hAnsiTheme="minorHAnsi" w:cstheme="minorBidi"/>
          <w:noProof/>
          <w:szCs w:val="24"/>
          <w:lang w:eastAsia="ru-RU"/>
        </w:rPr>
      </w:pPr>
      <w:hyperlink w:anchor="_Toc84161266" w:history="1">
        <w:r w:rsidR="00555107" w:rsidRPr="001E0C1D">
          <w:rPr>
            <w:rStyle w:val="affc"/>
            <w:noProof/>
          </w:rPr>
          <w:t>1. Краткая информация по заболеванию или состоянию (группе заболеваний или состояний)</w:t>
        </w:r>
        <w:r w:rsidR="00555107">
          <w:rPr>
            <w:noProof/>
            <w:webHidden/>
          </w:rPr>
          <w:tab/>
        </w:r>
        <w:r w:rsidR="00062499">
          <w:rPr>
            <w:noProof/>
            <w:webHidden/>
          </w:rPr>
          <w:fldChar w:fldCharType="begin"/>
        </w:r>
        <w:r w:rsidR="00555107">
          <w:rPr>
            <w:noProof/>
            <w:webHidden/>
          </w:rPr>
          <w:instrText xml:space="preserve"> PAGEREF _Toc84161266 \h </w:instrText>
        </w:r>
        <w:r w:rsidR="00062499">
          <w:rPr>
            <w:noProof/>
            <w:webHidden/>
          </w:rPr>
        </w:r>
        <w:r w:rsidR="00062499">
          <w:rPr>
            <w:noProof/>
            <w:webHidden/>
          </w:rPr>
          <w:fldChar w:fldCharType="separate"/>
        </w:r>
        <w:r w:rsidR="00555107">
          <w:rPr>
            <w:noProof/>
            <w:webHidden/>
          </w:rPr>
          <w:t>6</w:t>
        </w:r>
        <w:r w:rsidR="00062499">
          <w:rPr>
            <w:noProof/>
            <w:webHidden/>
          </w:rPr>
          <w:fldChar w:fldCharType="end"/>
        </w:r>
      </w:hyperlink>
    </w:p>
    <w:p w:rsidR="00555107" w:rsidRDefault="00103F99">
      <w:pPr>
        <w:pStyle w:val="21"/>
        <w:rPr>
          <w:rFonts w:asciiTheme="minorHAnsi" w:eastAsiaTheme="minorEastAsia" w:hAnsiTheme="minorHAnsi" w:cstheme="minorBidi"/>
          <w:noProof/>
          <w:sz w:val="24"/>
          <w:szCs w:val="24"/>
          <w:lang w:eastAsia="ru-RU"/>
        </w:rPr>
      </w:pPr>
      <w:hyperlink w:anchor="_Toc84161267" w:history="1">
        <w:r w:rsidR="00555107" w:rsidRPr="001E0C1D">
          <w:rPr>
            <w:rStyle w:val="affc"/>
            <w:noProof/>
          </w:rPr>
          <w:t xml:space="preserve">1.1 Определение </w:t>
        </w:r>
        <w:r w:rsidR="00555107" w:rsidRPr="001E0C1D">
          <w:rPr>
            <w:rStyle w:val="affc"/>
            <w:noProof/>
            <w:shd w:val="clear" w:color="auto" w:fill="FFFFFF"/>
          </w:rPr>
          <w:t>заболевания или состояния (группы заболеваний или состояний)</w:t>
        </w:r>
        <w:r w:rsidR="00555107">
          <w:rPr>
            <w:noProof/>
            <w:webHidden/>
          </w:rPr>
          <w:tab/>
        </w:r>
        <w:r w:rsidR="00062499">
          <w:rPr>
            <w:noProof/>
            <w:webHidden/>
          </w:rPr>
          <w:fldChar w:fldCharType="begin"/>
        </w:r>
        <w:r w:rsidR="00555107">
          <w:rPr>
            <w:noProof/>
            <w:webHidden/>
          </w:rPr>
          <w:instrText xml:space="preserve"> PAGEREF _Toc84161267 \h </w:instrText>
        </w:r>
        <w:r w:rsidR="00062499">
          <w:rPr>
            <w:noProof/>
            <w:webHidden/>
          </w:rPr>
        </w:r>
        <w:r w:rsidR="00062499">
          <w:rPr>
            <w:noProof/>
            <w:webHidden/>
          </w:rPr>
          <w:fldChar w:fldCharType="separate"/>
        </w:r>
        <w:r w:rsidR="00555107">
          <w:rPr>
            <w:noProof/>
            <w:webHidden/>
          </w:rPr>
          <w:t>6</w:t>
        </w:r>
        <w:r w:rsidR="00062499">
          <w:rPr>
            <w:noProof/>
            <w:webHidden/>
          </w:rPr>
          <w:fldChar w:fldCharType="end"/>
        </w:r>
      </w:hyperlink>
    </w:p>
    <w:p w:rsidR="00555107" w:rsidRDefault="00103F99">
      <w:pPr>
        <w:pStyle w:val="21"/>
        <w:rPr>
          <w:rFonts w:asciiTheme="minorHAnsi" w:eastAsiaTheme="minorEastAsia" w:hAnsiTheme="minorHAnsi" w:cstheme="minorBidi"/>
          <w:noProof/>
          <w:sz w:val="24"/>
          <w:szCs w:val="24"/>
          <w:lang w:eastAsia="ru-RU"/>
        </w:rPr>
      </w:pPr>
      <w:hyperlink w:anchor="_Toc84161268" w:history="1">
        <w:r w:rsidR="00555107" w:rsidRPr="001E0C1D">
          <w:rPr>
            <w:rStyle w:val="affc"/>
            <w:noProof/>
          </w:rPr>
          <w:t xml:space="preserve">1.2 Этиология и патогенез </w:t>
        </w:r>
        <w:r w:rsidR="00555107" w:rsidRPr="001E0C1D">
          <w:rPr>
            <w:rStyle w:val="affc"/>
            <w:noProof/>
            <w:shd w:val="clear" w:color="auto" w:fill="FFFFFF"/>
          </w:rPr>
          <w:t>заболевания или состояния (группы заболеваний или состояний)</w:t>
        </w:r>
        <w:r w:rsidR="00555107">
          <w:rPr>
            <w:noProof/>
            <w:webHidden/>
          </w:rPr>
          <w:tab/>
        </w:r>
        <w:r w:rsidR="00062499">
          <w:rPr>
            <w:noProof/>
            <w:webHidden/>
          </w:rPr>
          <w:fldChar w:fldCharType="begin"/>
        </w:r>
        <w:r w:rsidR="00555107">
          <w:rPr>
            <w:noProof/>
            <w:webHidden/>
          </w:rPr>
          <w:instrText xml:space="preserve"> PAGEREF _Toc84161268 \h </w:instrText>
        </w:r>
        <w:r w:rsidR="00062499">
          <w:rPr>
            <w:noProof/>
            <w:webHidden/>
          </w:rPr>
        </w:r>
        <w:r w:rsidR="00062499">
          <w:rPr>
            <w:noProof/>
            <w:webHidden/>
          </w:rPr>
          <w:fldChar w:fldCharType="separate"/>
        </w:r>
        <w:r w:rsidR="00555107">
          <w:rPr>
            <w:noProof/>
            <w:webHidden/>
          </w:rPr>
          <w:t>6</w:t>
        </w:r>
        <w:r w:rsidR="00062499">
          <w:rPr>
            <w:noProof/>
            <w:webHidden/>
          </w:rPr>
          <w:fldChar w:fldCharType="end"/>
        </w:r>
      </w:hyperlink>
    </w:p>
    <w:p w:rsidR="00555107" w:rsidRDefault="00103F99">
      <w:pPr>
        <w:pStyle w:val="21"/>
        <w:rPr>
          <w:rFonts w:asciiTheme="minorHAnsi" w:eastAsiaTheme="minorEastAsia" w:hAnsiTheme="minorHAnsi" w:cstheme="minorBidi"/>
          <w:noProof/>
          <w:sz w:val="24"/>
          <w:szCs w:val="24"/>
          <w:lang w:eastAsia="ru-RU"/>
        </w:rPr>
      </w:pPr>
      <w:hyperlink w:anchor="_Toc84161269" w:history="1">
        <w:r w:rsidR="00555107" w:rsidRPr="001E0C1D">
          <w:rPr>
            <w:rStyle w:val="affc"/>
            <w:noProof/>
          </w:rPr>
          <w:t xml:space="preserve">1.3 Эпидемиология </w:t>
        </w:r>
        <w:r w:rsidR="00555107" w:rsidRPr="001E0C1D">
          <w:rPr>
            <w:rStyle w:val="affc"/>
            <w:noProof/>
            <w:shd w:val="clear" w:color="auto" w:fill="FFFFFF"/>
          </w:rPr>
          <w:t>заболевания или состояния (группы заболеваний или состояний)</w:t>
        </w:r>
        <w:r w:rsidR="00555107">
          <w:rPr>
            <w:noProof/>
            <w:webHidden/>
          </w:rPr>
          <w:tab/>
        </w:r>
        <w:r w:rsidR="00062499">
          <w:rPr>
            <w:noProof/>
            <w:webHidden/>
          </w:rPr>
          <w:fldChar w:fldCharType="begin"/>
        </w:r>
        <w:r w:rsidR="00555107">
          <w:rPr>
            <w:noProof/>
            <w:webHidden/>
          </w:rPr>
          <w:instrText xml:space="preserve"> PAGEREF _Toc84161269 \h </w:instrText>
        </w:r>
        <w:r w:rsidR="00062499">
          <w:rPr>
            <w:noProof/>
            <w:webHidden/>
          </w:rPr>
        </w:r>
        <w:r w:rsidR="00062499">
          <w:rPr>
            <w:noProof/>
            <w:webHidden/>
          </w:rPr>
          <w:fldChar w:fldCharType="separate"/>
        </w:r>
        <w:r w:rsidR="00555107">
          <w:rPr>
            <w:noProof/>
            <w:webHidden/>
          </w:rPr>
          <w:t>6</w:t>
        </w:r>
        <w:r w:rsidR="00062499">
          <w:rPr>
            <w:noProof/>
            <w:webHidden/>
          </w:rPr>
          <w:fldChar w:fldCharType="end"/>
        </w:r>
      </w:hyperlink>
    </w:p>
    <w:p w:rsidR="00555107" w:rsidRDefault="00103F99">
      <w:pPr>
        <w:pStyle w:val="21"/>
        <w:rPr>
          <w:rFonts w:asciiTheme="minorHAnsi" w:eastAsiaTheme="minorEastAsia" w:hAnsiTheme="minorHAnsi" w:cstheme="minorBidi"/>
          <w:noProof/>
          <w:sz w:val="24"/>
          <w:szCs w:val="24"/>
          <w:lang w:eastAsia="ru-RU"/>
        </w:rPr>
      </w:pPr>
      <w:hyperlink w:anchor="_Toc84161270" w:history="1">
        <w:r w:rsidR="00555107" w:rsidRPr="001E0C1D">
          <w:rPr>
            <w:rStyle w:val="affc"/>
            <w:noProof/>
          </w:rPr>
          <w:t xml:space="preserve">1.4 </w:t>
        </w:r>
        <w:r w:rsidR="00555107" w:rsidRPr="001E0C1D">
          <w:rPr>
            <w:rStyle w:val="affc"/>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555107">
          <w:rPr>
            <w:noProof/>
            <w:webHidden/>
          </w:rPr>
          <w:tab/>
        </w:r>
        <w:r w:rsidR="00062499">
          <w:rPr>
            <w:noProof/>
            <w:webHidden/>
          </w:rPr>
          <w:fldChar w:fldCharType="begin"/>
        </w:r>
        <w:r w:rsidR="00555107">
          <w:rPr>
            <w:noProof/>
            <w:webHidden/>
          </w:rPr>
          <w:instrText xml:space="preserve"> PAGEREF _Toc84161270 \h </w:instrText>
        </w:r>
        <w:r w:rsidR="00062499">
          <w:rPr>
            <w:noProof/>
            <w:webHidden/>
          </w:rPr>
        </w:r>
        <w:r w:rsidR="00062499">
          <w:rPr>
            <w:noProof/>
            <w:webHidden/>
          </w:rPr>
          <w:fldChar w:fldCharType="separate"/>
        </w:r>
        <w:r w:rsidR="00555107">
          <w:rPr>
            <w:noProof/>
            <w:webHidden/>
          </w:rPr>
          <w:t>7</w:t>
        </w:r>
        <w:r w:rsidR="00062499">
          <w:rPr>
            <w:noProof/>
            <w:webHidden/>
          </w:rPr>
          <w:fldChar w:fldCharType="end"/>
        </w:r>
      </w:hyperlink>
    </w:p>
    <w:p w:rsidR="00555107" w:rsidRDefault="00103F99">
      <w:pPr>
        <w:pStyle w:val="21"/>
        <w:rPr>
          <w:rFonts w:asciiTheme="minorHAnsi" w:eastAsiaTheme="minorEastAsia" w:hAnsiTheme="minorHAnsi" w:cstheme="minorBidi"/>
          <w:noProof/>
          <w:sz w:val="24"/>
          <w:szCs w:val="24"/>
          <w:lang w:eastAsia="ru-RU"/>
        </w:rPr>
      </w:pPr>
      <w:hyperlink w:anchor="_Toc84161271" w:history="1">
        <w:r w:rsidR="00555107" w:rsidRPr="001E0C1D">
          <w:rPr>
            <w:rStyle w:val="affc"/>
            <w:noProof/>
          </w:rPr>
          <w:t xml:space="preserve">1.5 Классификация </w:t>
        </w:r>
        <w:r w:rsidR="00555107" w:rsidRPr="001E0C1D">
          <w:rPr>
            <w:rStyle w:val="affc"/>
            <w:noProof/>
            <w:shd w:val="clear" w:color="auto" w:fill="FFFFFF"/>
          </w:rPr>
          <w:t>заболевания или состояния (группы заболеваний или состояний)</w:t>
        </w:r>
        <w:r w:rsidR="00555107">
          <w:rPr>
            <w:noProof/>
            <w:webHidden/>
          </w:rPr>
          <w:tab/>
        </w:r>
        <w:r w:rsidR="00062499">
          <w:rPr>
            <w:noProof/>
            <w:webHidden/>
          </w:rPr>
          <w:fldChar w:fldCharType="begin"/>
        </w:r>
        <w:r w:rsidR="00555107">
          <w:rPr>
            <w:noProof/>
            <w:webHidden/>
          </w:rPr>
          <w:instrText xml:space="preserve"> PAGEREF _Toc84161271 \h </w:instrText>
        </w:r>
        <w:r w:rsidR="00062499">
          <w:rPr>
            <w:noProof/>
            <w:webHidden/>
          </w:rPr>
        </w:r>
        <w:r w:rsidR="00062499">
          <w:rPr>
            <w:noProof/>
            <w:webHidden/>
          </w:rPr>
          <w:fldChar w:fldCharType="separate"/>
        </w:r>
        <w:r w:rsidR="00555107">
          <w:rPr>
            <w:noProof/>
            <w:webHidden/>
          </w:rPr>
          <w:t>7</w:t>
        </w:r>
        <w:r w:rsidR="00062499">
          <w:rPr>
            <w:noProof/>
            <w:webHidden/>
          </w:rPr>
          <w:fldChar w:fldCharType="end"/>
        </w:r>
      </w:hyperlink>
    </w:p>
    <w:p w:rsidR="00555107" w:rsidRDefault="00103F99">
      <w:pPr>
        <w:pStyle w:val="21"/>
        <w:rPr>
          <w:rFonts w:asciiTheme="minorHAnsi" w:eastAsiaTheme="minorEastAsia" w:hAnsiTheme="minorHAnsi" w:cstheme="minorBidi"/>
          <w:noProof/>
          <w:sz w:val="24"/>
          <w:szCs w:val="24"/>
          <w:lang w:eastAsia="ru-RU"/>
        </w:rPr>
      </w:pPr>
      <w:hyperlink w:anchor="_Toc84161272" w:history="1">
        <w:r w:rsidR="00555107" w:rsidRPr="001E0C1D">
          <w:rPr>
            <w:rStyle w:val="affc"/>
            <w:noProof/>
          </w:rPr>
          <w:t xml:space="preserve">1.6 Клиническая картина </w:t>
        </w:r>
        <w:r w:rsidR="00555107" w:rsidRPr="001E0C1D">
          <w:rPr>
            <w:rStyle w:val="affc"/>
            <w:noProof/>
            <w:shd w:val="clear" w:color="auto" w:fill="FFFFFF"/>
          </w:rPr>
          <w:t>заболевания или состояния (группы заболеваний или состояний)</w:t>
        </w:r>
        <w:r w:rsidR="00555107">
          <w:rPr>
            <w:noProof/>
            <w:webHidden/>
          </w:rPr>
          <w:tab/>
        </w:r>
        <w:r w:rsidR="00062499">
          <w:rPr>
            <w:noProof/>
            <w:webHidden/>
          </w:rPr>
          <w:fldChar w:fldCharType="begin"/>
        </w:r>
        <w:r w:rsidR="00555107">
          <w:rPr>
            <w:noProof/>
            <w:webHidden/>
          </w:rPr>
          <w:instrText xml:space="preserve"> PAGEREF _Toc84161272 \h </w:instrText>
        </w:r>
        <w:r w:rsidR="00062499">
          <w:rPr>
            <w:noProof/>
            <w:webHidden/>
          </w:rPr>
        </w:r>
        <w:r w:rsidR="00062499">
          <w:rPr>
            <w:noProof/>
            <w:webHidden/>
          </w:rPr>
          <w:fldChar w:fldCharType="separate"/>
        </w:r>
        <w:r w:rsidR="00555107">
          <w:rPr>
            <w:noProof/>
            <w:webHidden/>
          </w:rPr>
          <w:t>7</w:t>
        </w:r>
        <w:r w:rsidR="00062499">
          <w:rPr>
            <w:noProof/>
            <w:webHidden/>
          </w:rPr>
          <w:fldChar w:fldCharType="end"/>
        </w:r>
      </w:hyperlink>
    </w:p>
    <w:p w:rsidR="00555107" w:rsidRDefault="00103F99">
      <w:pPr>
        <w:pStyle w:val="15"/>
        <w:rPr>
          <w:rFonts w:asciiTheme="minorHAnsi" w:eastAsiaTheme="minorEastAsia" w:hAnsiTheme="minorHAnsi" w:cstheme="minorBidi"/>
          <w:noProof/>
          <w:szCs w:val="24"/>
          <w:lang w:eastAsia="ru-RU"/>
        </w:rPr>
      </w:pPr>
      <w:hyperlink w:anchor="_Toc84161273" w:history="1">
        <w:r w:rsidR="00555107" w:rsidRPr="001E0C1D">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555107">
          <w:rPr>
            <w:noProof/>
            <w:webHidden/>
          </w:rPr>
          <w:tab/>
        </w:r>
        <w:r w:rsidR="00062499">
          <w:rPr>
            <w:noProof/>
            <w:webHidden/>
          </w:rPr>
          <w:fldChar w:fldCharType="begin"/>
        </w:r>
        <w:r w:rsidR="00555107">
          <w:rPr>
            <w:noProof/>
            <w:webHidden/>
          </w:rPr>
          <w:instrText xml:space="preserve"> PAGEREF _Toc84161273 \h </w:instrText>
        </w:r>
        <w:r w:rsidR="00062499">
          <w:rPr>
            <w:noProof/>
            <w:webHidden/>
          </w:rPr>
        </w:r>
        <w:r w:rsidR="00062499">
          <w:rPr>
            <w:noProof/>
            <w:webHidden/>
          </w:rPr>
          <w:fldChar w:fldCharType="separate"/>
        </w:r>
        <w:r w:rsidR="00555107">
          <w:rPr>
            <w:noProof/>
            <w:webHidden/>
          </w:rPr>
          <w:t>10</w:t>
        </w:r>
        <w:r w:rsidR="00062499">
          <w:rPr>
            <w:noProof/>
            <w:webHidden/>
          </w:rPr>
          <w:fldChar w:fldCharType="end"/>
        </w:r>
      </w:hyperlink>
    </w:p>
    <w:p w:rsidR="00555107" w:rsidRDefault="00103F99">
      <w:pPr>
        <w:pStyle w:val="21"/>
        <w:rPr>
          <w:rFonts w:asciiTheme="minorHAnsi" w:eastAsiaTheme="minorEastAsia" w:hAnsiTheme="minorHAnsi" w:cstheme="minorBidi"/>
          <w:noProof/>
          <w:sz w:val="24"/>
          <w:szCs w:val="24"/>
          <w:lang w:eastAsia="ru-RU"/>
        </w:rPr>
      </w:pPr>
      <w:hyperlink w:anchor="_Toc84161274" w:history="1">
        <w:r w:rsidR="00555107" w:rsidRPr="001E0C1D">
          <w:rPr>
            <w:rStyle w:val="affc"/>
            <w:noProof/>
          </w:rPr>
          <w:t>2.1 Жалобы и анамнез</w:t>
        </w:r>
        <w:r w:rsidR="00555107">
          <w:rPr>
            <w:noProof/>
            <w:webHidden/>
          </w:rPr>
          <w:tab/>
        </w:r>
        <w:r w:rsidR="00062499">
          <w:rPr>
            <w:noProof/>
            <w:webHidden/>
          </w:rPr>
          <w:fldChar w:fldCharType="begin"/>
        </w:r>
        <w:r w:rsidR="00555107">
          <w:rPr>
            <w:noProof/>
            <w:webHidden/>
          </w:rPr>
          <w:instrText xml:space="preserve"> PAGEREF _Toc84161274 \h </w:instrText>
        </w:r>
        <w:r w:rsidR="00062499">
          <w:rPr>
            <w:noProof/>
            <w:webHidden/>
          </w:rPr>
        </w:r>
        <w:r w:rsidR="00062499">
          <w:rPr>
            <w:noProof/>
            <w:webHidden/>
          </w:rPr>
          <w:fldChar w:fldCharType="separate"/>
        </w:r>
        <w:r w:rsidR="00555107">
          <w:rPr>
            <w:noProof/>
            <w:webHidden/>
          </w:rPr>
          <w:t>11</w:t>
        </w:r>
        <w:r w:rsidR="00062499">
          <w:rPr>
            <w:noProof/>
            <w:webHidden/>
          </w:rPr>
          <w:fldChar w:fldCharType="end"/>
        </w:r>
      </w:hyperlink>
    </w:p>
    <w:p w:rsidR="00555107" w:rsidRDefault="00103F99">
      <w:pPr>
        <w:pStyle w:val="21"/>
        <w:rPr>
          <w:rFonts w:asciiTheme="minorHAnsi" w:eastAsiaTheme="minorEastAsia" w:hAnsiTheme="minorHAnsi" w:cstheme="minorBidi"/>
          <w:noProof/>
          <w:sz w:val="24"/>
          <w:szCs w:val="24"/>
          <w:lang w:eastAsia="ru-RU"/>
        </w:rPr>
      </w:pPr>
      <w:hyperlink w:anchor="_Toc84161275" w:history="1">
        <w:r w:rsidR="00555107" w:rsidRPr="001E0C1D">
          <w:rPr>
            <w:rStyle w:val="affc"/>
            <w:noProof/>
          </w:rPr>
          <w:t>2.2 Физикальное обследование</w:t>
        </w:r>
        <w:r w:rsidR="00555107">
          <w:rPr>
            <w:noProof/>
            <w:webHidden/>
          </w:rPr>
          <w:tab/>
        </w:r>
        <w:r w:rsidR="00062499">
          <w:rPr>
            <w:noProof/>
            <w:webHidden/>
          </w:rPr>
          <w:fldChar w:fldCharType="begin"/>
        </w:r>
        <w:r w:rsidR="00555107">
          <w:rPr>
            <w:noProof/>
            <w:webHidden/>
          </w:rPr>
          <w:instrText xml:space="preserve"> PAGEREF _Toc84161275 \h </w:instrText>
        </w:r>
        <w:r w:rsidR="00062499">
          <w:rPr>
            <w:noProof/>
            <w:webHidden/>
          </w:rPr>
        </w:r>
        <w:r w:rsidR="00062499">
          <w:rPr>
            <w:noProof/>
            <w:webHidden/>
          </w:rPr>
          <w:fldChar w:fldCharType="separate"/>
        </w:r>
        <w:r w:rsidR="00555107">
          <w:rPr>
            <w:noProof/>
            <w:webHidden/>
          </w:rPr>
          <w:t>11</w:t>
        </w:r>
        <w:r w:rsidR="00062499">
          <w:rPr>
            <w:noProof/>
            <w:webHidden/>
          </w:rPr>
          <w:fldChar w:fldCharType="end"/>
        </w:r>
      </w:hyperlink>
    </w:p>
    <w:p w:rsidR="00555107" w:rsidRDefault="00103F99">
      <w:pPr>
        <w:pStyle w:val="21"/>
        <w:rPr>
          <w:rFonts w:asciiTheme="minorHAnsi" w:eastAsiaTheme="minorEastAsia" w:hAnsiTheme="minorHAnsi" w:cstheme="minorBidi"/>
          <w:noProof/>
          <w:sz w:val="24"/>
          <w:szCs w:val="24"/>
          <w:lang w:eastAsia="ru-RU"/>
        </w:rPr>
      </w:pPr>
      <w:hyperlink w:anchor="_Toc84161276" w:history="1">
        <w:r w:rsidR="00555107" w:rsidRPr="001E0C1D">
          <w:rPr>
            <w:rStyle w:val="affc"/>
            <w:noProof/>
            <w:lang w:val="en-US"/>
          </w:rPr>
          <w:t xml:space="preserve">2.3 </w:t>
        </w:r>
        <w:r w:rsidR="00555107" w:rsidRPr="001E0C1D">
          <w:rPr>
            <w:rStyle w:val="affc"/>
            <w:noProof/>
          </w:rPr>
          <w:t>Лабораторные диагностические исследования</w:t>
        </w:r>
        <w:r w:rsidR="00555107">
          <w:rPr>
            <w:noProof/>
            <w:webHidden/>
          </w:rPr>
          <w:tab/>
        </w:r>
        <w:r w:rsidR="00062499">
          <w:rPr>
            <w:noProof/>
            <w:webHidden/>
          </w:rPr>
          <w:fldChar w:fldCharType="begin"/>
        </w:r>
        <w:r w:rsidR="00555107">
          <w:rPr>
            <w:noProof/>
            <w:webHidden/>
          </w:rPr>
          <w:instrText xml:space="preserve"> PAGEREF _Toc84161276 \h </w:instrText>
        </w:r>
        <w:r w:rsidR="00062499">
          <w:rPr>
            <w:noProof/>
            <w:webHidden/>
          </w:rPr>
        </w:r>
        <w:r w:rsidR="00062499">
          <w:rPr>
            <w:noProof/>
            <w:webHidden/>
          </w:rPr>
          <w:fldChar w:fldCharType="separate"/>
        </w:r>
        <w:r w:rsidR="00555107">
          <w:rPr>
            <w:noProof/>
            <w:webHidden/>
          </w:rPr>
          <w:t>12</w:t>
        </w:r>
        <w:r w:rsidR="00062499">
          <w:rPr>
            <w:noProof/>
            <w:webHidden/>
          </w:rPr>
          <w:fldChar w:fldCharType="end"/>
        </w:r>
      </w:hyperlink>
    </w:p>
    <w:p w:rsidR="00555107" w:rsidRDefault="00103F99">
      <w:pPr>
        <w:pStyle w:val="21"/>
        <w:rPr>
          <w:rFonts w:asciiTheme="minorHAnsi" w:eastAsiaTheme="minorEastAsia" w:hAnsiTheme="minorHAnsi" w:cstheme="minorBidi"/>
          <w:noProof/>
          <w:sz w:val="24"/>
          <w:szCs w:val="24"/>
          <w:lang w:eastAsia="ru-RU"/>
        </w:rPr>
      </w:pPr>
      <w:hyperlink w:anchor="_Toc84161277" w:history="1">
        <w:r w:rsidR="00555107" w:rsidRPr="001E0C1D">
          <w:rPr>
            <w:rStyle w:val="affc"/>
            <w:noProof/>
          </w:rPr>
          <w:t>2.4 Инструментальные диагностические исследования</w:t>
        </w:r>
        <w:r w:rsidR="00555107">
          <w:rPr>
            <w:noProof/>
            <w:webHidden/>
          </w:rPr>
          <w:tab/>
        </w:r>
        <w:r w:rsidR="00062499">
          <w:rPr>
            <w:noProof/>
            <w:webHidden/>
          </w:rPr>
          <w:fldChar w:fldCharType="begin"/>
        </w:r>
        <w:r w:rsidR="00555107">
          <w:rPr>
            <w:noProof/>
            <w:webHidden/>
          </w:rPr>
          <w:instrText xml:space="preserve"> PAGEREF _Toc84161277 \h </w:instrText>
        </w:r>
        <w:r w:rsidR="00062499">
          <w:rPr>
            <w:noProof/>
            <w:webHidden/>
          </w:rPr>
        </w:r>
        <w:r w:rsidR="00062499">
          <w:rPr>
            <w:noProof/>
            <w:webHidden/>
          </w:rPr>
          <w:fldChar w:fldCharType="separate"/>
        </w:r>
        <w:r w:rsidR="00555107">
          <w:rPr>
            <w:noProof/>
            <w:webHidden/>
          </w:rPr>
          <w:t>13</w:t>
        </w:r>
        <w:r w:rsidR="00062499">
          <w:rPr>
            <w:noProof/>
            <w:webHidden/>
          </w:rPr>
          <w:fldChar w:fldCharType="end"/>
        </w:r>
      </w:hyperlink>
    </w:p>
    <w:p w:rsidR="00555107" w:rsidRDefault="00103F99">
      <w:pPr>
        <w:pStyle w:val="21"/>
        <w:rPr>
          <w:rFonts w:asciiTheme="minorHAnsi" w:eastAsiaTheme="minorEastAsia" w:hAnsiTheme="minorHAnsi" w:cstheme="minorBidi"/>
          <w:noProof/>
          <w:sz w:val="24"/>
          <w:szCs w:val="24"/>
          <w:lang w:eastAsia="ru-RU"/>
        </w:rPr>
      </w:pPr>
      <w:hyperlink w:anchor="_Toc84161278" w:history="1">
        <w:r w:rsidR="00555107" w:rsidRPr="001E0C1D">
          <w:rPr>
            <w:rStyle w:val="affc"/>
            <w:noProof/>
          </w:rPr>
          <w:t>2.5 Иные диагностические исследования</w:t>
        </w:r>
        <w:r w:rsidR="00555107">
          <w:rPr>
            <w:noProof/>
            <w:webHidden/>
          </w:rPr>
          <w:tab/>
        </w:r>
        <w:r w:rsidR="00062499">
          <w:rPr>
            <w:noProof/>
            <w:webHidden/>
          </w:rPr>
          <w:fldChar w:fldCharType="begin"/>
        </w:r>
        <w:r w:rsidR="00555107">
          <w:rPr>
            <w:noProof/>
            <w:webHidden/>
          </w:rPr>
          <w:instrText xml:space="preserve"> PAGEREF _Toc84161278 \h </w:instrText>
        </w:r>
        <w:r w:rsidR="00062499">
          <w:rPr>
            <w:noProof/>
            <w:webHidden/>
          </w:rPr>
        </w:r>
        <w:r w:rsidR="00062499">
          <w:rPr>
            <w:noProof/>
            <w:webHidden/>
          </w:rPr>
          <w:fldChar w:fldCharType="separate"/>
        </w:r>
        <w:r w:rsidR="00555107">
          <w:rPr>
            <w:noProof/>
            <w:webHidden/>
          </w:rPr>
          <w:t>14</w:t>
        </w:r>
        <w:r w:rsidR="00062499">
          <w:rPr>
            <w:noProof/>
            <w:webHidden/>
          </w:rPr>
          <w:fldChar w:fldCharType="end"/>
        </w:r>
      </w:hyperlink>
    </w:p>
    <w:p w:rsidR="00555107" w:rsidRDefault="00103F99">
      <w:pPr>
        <w:pStyle w:val="15"/>
        <w:rPr>
          <w:rFonts w:asciiTheme="minorHAnsi" w:eastAsiaTheme="minorEastAsia" w:hAnsiTheme="minorHAnsi" w:cstheme="minorBidi"/>
          <w:noProof/>
          <w:szCs w:val="24"/>
          <w:lang w:eastAsia="ru-RU"/>
        </w:rPr>
      </w:pPr>
      <w:hyperlink w:anchor="_Toc84161279" w:history="1">
        <w:r w:rsidR="00555107" w:rsidRPr="001E0C1D">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555107">
          <w:rPr>
            <w:noProof/>
            <w:webHidden/>
          </w:rPr>
          <w:tab/>
        </w:r>
        <w:r w:rsidR="00062499">
          <w:rPr>
            <w:noProof/>
            <w:webHidden/>
          </w:rPr>
          <w:fldChar w:fldCharType="begin"/>
        </w:r>
        <w:r w:rsidR="00555107">
          <w:rPr>
            <w:noProof/>
            <w:webHidden/>
          </w:rPr>
          <w:instrText xml:space="preserve"> PAGEREF _Toc84161279 \h </w:instrText>
        </w:r>
        <w:r w:rsidR="00062499">
          <w:rPr>
            <w:noProof/>
            <w:webHidden/>
          </w:rPr>
        </w:r>
        <w:r w:rsidR="00062499">
          <w:rPr>
            <w:noProof/>
            <w:webHidden/>
          </w:rPr>
          <w:fldChar w:fldCharType="separate"/>
        </w:r>
        <w:r w:rsidR="00555107">
          <w:rPr>
            <w:noProof/>
            <w:webHidden/>
          </w:rPr>
          <w:t>21</w:t>
        </w:r>
        <w:r w:rsidR="00062499">
          <w:rPr>
            <w:noProof/>
            <w:webHidden/>
          </w:rPr>
          <w:fldChar w:fldCharType="end"/>
        </w:r>
      </w:hyperlink>
    </w:p>
    <w:p w:rsidR="00555107" w:rsidRDefault="00103F99">
      <w:pPr>
        <w:pStyle w:val="21"/>
        <w:rPr>
          <w:rFonts w:asciiTheme="minorHAnsi" w:eastAsiaTheme="minorEastAsia" w:hAnsiTheme="minorHAnsi" w:cstheme="minorBidi"/>
          <w:noProof/>
          <w:sz w:val="24"/>
          <w:szCs w:val="24"/>
          <w:lang w:eastAsia="ru-RU"/>
        </w:rPr>
      </w:pPr>
      <w:hyperlink w:anchor="_Toc84161280" w:history="1">
        <w:r w:rsidR="00555107" w:rsidRPr="001E0C1D">
          <w:rPr>
            <w:rStyle w:val="affc"/>
            <w:rFonts w:eastAsia="Times New Roman"/>
            <w:noProof/>
          </w:rPr>
          <w:t>3.1 Лечение пациентов с ранними стадиями грибовидного микоза</w:t>
        </w:r>
        <w:r w:rsidR="00555107">
          <w:rPr>
            <w:noProof/>
            <w:webHidden/>
          </w:rPr>
          <w:tab/>
        </w:r>
        <w:r w:rsidR="00062499">
          <w:rPr>
            <w:noProof/>
            <w:webHidden/>
          </w:rPr>
          <w:fldChar w:fldCharType="begin"/>
        </w:r>
        <w:r w:rsidR="00555107">
          <w:rPr>
            <w:noProof/>
            <w:webHidden/>
          </w:rPr>
          <w:instrText xml:space="preserve"> PAGEREF _Toc84161280 \h </w:instrText>
        </w:r>
        <w:r w:rsidR="00062499">
          <w:rPr>
            <w:noProof/>
            <w:webHidden/>
          </w:rPr>
        </w:r>
        <w:r w:rsidR="00062499">
          <w:rPr>
            <w:noProof/>
            <w:webHidden/>
          </w:rPr>
          <w:fldChar w:fldCharType="separate"/>
        </w:r>
        <w:r w:rsidR="00555107">
          <w:rPr>
            <w:noProof/>
            <w:webHidden/>
          </w:rPr>
          <w:t>21</w:t>
        </w:r>
        <w:r w:rsidR="00062499">
          <w:rPr>
            <w:noProof/>
            <w:webHidden/>
          </w:rPr>
          <w:fldChar w:fldCharType="end"/>
        </w:r>
      </w:hyperlink>
    </w:p>
    <w:p w:rsidR="00555107" w:rsidRDefault="00103F99">
      <w:pPr>
        <w:pStyle w:val="21"/>
        <w:rPr>
          <w:rFonts w:asciiTheme="minorHAnsi" w:eastAsiaTheme="minorEastAsia" w:hAnsiTheme="minorHAnsi" w:cstheme="minorBidi"/>
          <w:noProof/>
          <w:sz w:val="24"/>
          <w:szCs w:val="24"/>
          <w:lang w:eastAsia="ru-RU"/>
        </w:rPr>
      </w:pPr>
      <w:hyperlink w:anchor="_Toc84161281" w:history="1">
        <w:r w:rsidR="00555107" w:rsidRPr="001E0C1D">
          <w:rPr>
            <w:rStyle w:val="affc"/>
            <w:rFonts w:eastAsia="Times New Roman"/>
            <w:noProof/>
          </w:rPr>
          <w:t>3.2 Лечение пациентов с распространенными стадиями грибовидного микоза и рецидивных и рефрактерных форм грибовидного микоза</w:t>
        </w:r>
        <w:r w:rsidR="00555107">
          <w:rPr>
            <w:noProof/>
            <w:webHidden/>
          </w:rPr>
          <w:tab/>
        </w:r>
        <w:r w:rsidR="00062499">
          <w:rPr>
            <w:noProof/>
            <w:webHidden/>
          </w:rPr>
          <w:fldChar w:fldCharType="begin"/>
        </w:r>
        <w:r w:rsidR="00555107">
          <w:rPr>
            <w:noProof/>
            <w:webHidden/>
          </w:rPr>
          <w:instrText xml:space="preserve"> PAGEREF _Toc84161281 \h </w:instrText>
        </w:r>
        <w:r w:rsidR="00062499">
          <w:rPr>
            <w:noProof/>
            <w:webHidden/>
          </w:rPr>
        </w:r>
        <w:r w:rsidR="00062499">
          <w:rPr>
            <w:noProof/>
            <w:webHidden/>
          </w:rPr>
          <w:fldChar w:fldCharType="separate"/>
        </w:r>
        <w:r w:rsidR="00555107">
          <w:rPr>
            <w:noProof/>
            <w:webHidden/>
          </w:rPr>
          <w:t>23</w:t>
        </w:r>
        <w:r w:rsidR="00062499">
          <w:rPr>
            <w:noProof/>
            <w:webHidden/>
          </w:rPr>
          <w:fldChar w:fldCharType="end"/>
        </w:r>
      </w:hyperlink>
    </w:p>
    <w:p w:rsidR="00555107" w:rsidRDefault="00103F99">
      <w:pPr>
        <w:pStyle w:val="21"/>
        <w:rPr>
          <w:rFonts w:asciiTheme="minorHAnsi" w:eastAsiaTheme="minorEastAsia" w:hAnsiTheme="minorHAnsi" w:cstheme="minorBidi"/>
          <w:noProof/>
          <w:sz w:val="24"/>
          <w:szCs w:val="24"/>
          <w:lang w:eastAsia="ru-RU"/>
        </w:rPr>
      </w:pPr>
      <w:hyperlink w:anchor="_Toc84161282" w:history="1">
        <w:r w:rsidR="00555107" w:rsidRPr="001E0C1D">
          <w:rPr>
            <w:rStyle w:val="affc"/>
            <w:noProof/>
          </w:rPr>
          <w:t>3.3 Иное лечение</w:t>
        </w:r>
        <w:r w:rsidR="00555107">
          <w:rPr>
            <w:noProof/>
            <w:webHidden/>
          </w:rPr>
          <w:tab/>
        </w:r>
        <w:r w:rsidR="00062499">
          <w:rPr>
            <w:noProof/>
            <w:webHidden/>
          </w:rPr>
          <w:fldChar w:fldCharType="begin"/>
        </w:r>
        <w:r w:rsidR="00555107">
          <w:rPr>
            <w:noProof/>
            <w:webHidden/>
          </w:rPr>
          <w:instrText xml:space="preserve"> PAGEREF _Toc84161282 \h </w:instrText>
        </w:r>
        <w:r w:rsidR="00062499">
          <w:rPr>
            <w:noProof/>
            <w:webHidden/>
          </w:rPr>
        </w:r>
        <w:r w:rsidR="00062499">
          <w:rPr>
            <w:noProof/>
            <w:webHidden/>
          </w:rPr>
          <w:fldChar w:fldCharType="separate"/>
        </w:r>
        <w:r w:rsidR="00555107">
          <w:rPr>
            <w:noProof/>
            <w:webHidden/>
          </w:rPr>
          <w:t>27</w:t>
        </w:r>
        <w:r w:rsidR="00062499">
          <w:rPr>
            <w:noProof/>
            <w:webHidden/>
          </w:rPr>
          <w:fldChar w:fldCharType="end"/>
        </w:r>
      </w:hyperlink>
    </w:p>
    <w:p w:rsidR="00555107" w:rsidRDefault="00103F99">
      <w:pPr>
        <w:pStyle w:val="15"/>
        <w:rPr>
          <w:rFonts w:asciiTheme="minorHAnsi" w:eastAsiaTheme="minorEastAsia" w:hAnsiTheme="minorHAnsi" w:cstheme="minorBidi"/>
          <w:noProof/>
          <w:szCs w:val="24"/>
          <w:lang w:eastAsia="ru-RU"/>
        </w:rPr>
      </w:pPr>
      <w:hyperlink w:anchor="_Toc84161283" w:history="1">
        <w:r w:rsidR="00555107" w:rsidRPr="001E0C1D">
          <w:rPr>
            <w:rStyle w:val="affc"/>
            <w:noProof/>
          </w:rPr>
          <w:t>4. Медицинская реабилитация</w:t>
        </w:r>
        <w:r w:rsidR="00D51D3C">
          <w:rPr>
            <w:rStyle w:val="affc"/>
            <w:noProof/>
          </w:rPr>
          <w:t xml:space="preserve"> и санитарно-курортное лечение</w:t>
        </w:r>
        <w:r w:rsidR="00555107" w:rsidRPr="001E0C1D">
          <w:rPr>
            <w:rStyle w:val="affc"/>
            <w:noProof/>
          </w:rPr>
          <w:t>, медицинские показания и противопоказания к применению методов реабилитации</w:t>
        </w:r>
        <w:r w:rsidR="00D51D3C">
          <w:rPr>
            <w:rStyle w:val="affc"/>
            <w:noProof/>
          </w:rPr>
          <w:t>, в том числе основанных на использовании природных лечебных факторов</w:t>
        </w:r>
        <w:r w:rsidR="00555107">
          <w:rPr>
            <w:noProof/>
            <w:webHidden/>
          </w:rPr>
          <w:tab/>
        </w:r>
        <w:r w:rsidR="00062499">
          <w:rPr>
            <w:noProof/>
            <w:webHidden/>
          </w:rPr>
          <w:fldChar w:fldCharType="begin"/>
        </w:r>
        <w:r w:rsidR="00555107">
          <w:rPr>
            <w:noProof/>
            <w:webHidden/>
          </w:rPr>
          <w:instrText xml:space="preserve"> PAGEREF _Toc84161283 \h </w:instrText>
        </w:r>
        <w:r w:rsidR="00062499">
          <w:rPr>
            <w:noProof/>
            <w:webHidden/>
          </w:rPr>
        </w:r>
        <w:r w:rsidR="00062499">
          <w:rPr>
            <w:noProof/>
            <w:webHidden/>
          </w:rPr>
          <w:fldChar w:fldCharType="separate"/>
        </w:r>
        <w:r w:rsidR="00555107">
          <w:rPr>
            <w:noProof/>
            <w:webHidden/>
          </w:rPr>
          <w:t>27</w:t>
        </w:r>
        <w:r w:rsidR="00062499">
          <w:rPr>
            <w:noProof/>
            <w:webHidden/>
          </w:rPr>
          <w:fldChar w:fldCharType="end"/>
        </w:r>
      </w:hyperlink>
    </w:p>
    <w:p w:rsidR="00555107" w:rsidRDefault="00103F99">
      <w:pPr>
        <w:pStyle w:val="15"/>
        <w:rPr>
          <w:rFonts w:asciiTheme="minorHAnsi" w:eastAsiaTheme="minorEastAsia" w:hAnsiTheme="minorHAnsi" w:cstheme="minorBidi"/>
          <w:noProof/>
          <w:szCs w:val="24"/>
          <w:lang w:eastAsia="ru-RU"/>
        </w:rPr>
      </w:pPr>
      <w:hyperlink w:anchor="_Toc84161284" w:history="1">
        <w:r w:rsidR="00555107" w:rsidRPr="001E0C1D">
          <w:rPr>
            <w:rStyle w:val="affc"/>
            <w:noProof/>
          </w:rPr>
          <w:t>5. Профилактика и диспансерное наблюдение, медицинские показания и противопоказания к применению методов профилактики</w:t>
        </w:r>
        <w:r w:rsidR="00555107">
          <w:rPr>
            <w:noProof/>
            <w:webHidden/>
          </w:rPr>
          <w:tab/>
        </w:r>
        <w:r w:rsidR="00062499">
          <w:rPr>
            <w:noProof/>
            <w:webHidden/>
          </w:rPr>
          <w:fldChar w:fldCharType="begin"/>
        </w:r>
        <w:r w:rsidR="00555107">
          <w:rPr>
            <w:noProof/>
            <w:webHidden/>
          </w:rPr>
          <w:instrText xml:space="preserve"> PAGEREF _Toc84161284 \h </w:instrText>
        </w:r>
        <w:r w:rsidR="00062499">
          <w:rPr>
            <w:noProof/>
            <w:webHidden/>
          </w:rPr>
        </w:r>
        <w:r w:rsidR="00062499">
          <w:rPr>
            <w:noProof/>
            <w:webHidden/>
          </w:rPr>
          <w:fldChar w:fldCharType="separate"/>
        </w:r>
        <w:r w:rsidR="00555107">
          <w:rPr>
            <w:noProof/>
            <w:webHidden/>
          </w:rPr>
          <w:t>28</w:t>
        </w:r>
        <w:r w:rsidR="00062499">
          <w:rPr>
            <w:noProof/>
            <w:webHidden/>
          </w:rPr>
          <w:fldChar w:fldCharType="end"/>
        </w:r>
      </w:hyperlink>
    </w:p>
    <w:p w:rsidR="00555107" w:rsidRDefault="00103F99">
      <w:pPr>
        <w:pStyle w:val="15"/>
        <w:rPr>
          <w:rFonts w:asciiTheme="minorHAnsi" w:eastAsiaTheme="minorEastAsia" w:hAnsiTheme="minorHAnsi" w:cstheme="minorBidi"/>
          <w:noProof/>
          <w:szCs w:val="24"/>
          <w:lang w:eastAsia="ru-RU"/>
        </w:rPr>
      </w:pPr>
      <w:hyperlink w:anchor="_Toc84161285" w:history="1">
        <w:r w:rsidR="00555107" w:rsidRPr="001E0C1D">
          <w:rPr>
            <w:rStyle w:val="affc"/>
            <w:noProof/>
          </w:rPr>
          <w:t>6. Организация медицинской помощи</w:t>
        </w:r>
        <w:r w:rsidR="00555107">
          <w:rPr>
            <w:noProof/>
            <w:webHidden/>
          </w:rPr>
          <w:tab/>
        </w:r>
        <w:r w:rsidR="00062499">
          <w:rPr>
            <w:noProof/>
            <w:webHidden/>
          </w:rPr>
          <w:fldChar w:fldCharType="begin"/>
        </w:r>
        <w:r w:rsidR="00555107">
          <w:rPr>
            <w:noProof/>
            <w:webHidden/>
          </w:rPr>
          <w:instrText xml:space="preserve"> PAGEREF _Toc84161285 \h </w:instrText>
        </w:r>
        <w:r w:rsidR="00062499">
          <w:rPr>
            <w:noProof/>
            <w:webHidden/>
          </w:rPr>
        </w:r>
        <w:r w:rsidR="00062499">
          <w:rPr>
            <w:noProof/>
            <w:webHidden/>
          </w:rPr>
          <w:fldChar w:fldCharType="separate"/>
        </w:r>
        <w:r w:rsidR="00555107">
          <w:rPr>
            <w:noProof/>
            <w:webHidden/>
          </w:rPr>
          <w:t>28</w:t>
        </w:r>
        <w:r w:rsidR="00062499">
          <w:rPr>
            <w:noProof/>
            <w:webHidden/>
          </w:rPr>
          <w:fldChar w:fldCharType="end"/>
        </w:r>
      </w:hyperlink>
    </w:p>
    <w:p w:rsidR="00555107" w:rsidRDefault="00103F99">
      <w:pPr>
        <w:pStyle w:val="15"/>
        <w:rPr>
          <w:rFonts w:asciiTheme="minorHAnsi" w:eastAsiaTheme="minorEastAsia" w:hAnsiTheme="minorHAnsi" w:cstheme="minorBidi"/>
          <w:noProof/>
          <w:szCs w:val="24"/>
          <w:lang w:eastAsia="ru-RU"/>
        </w:rPr>
      </w:pPr>
      <w:hyperlink w:anchor="_Toc84161286" w:history="1">
        <w:r w:rsidR="00555107" w:rsidRPr="001E0C1D">
          <w:rPr>
            <w:rStyle w:val="affc"/>
            <w:noProof/>
          </w:rPr>
          <w:t>7. Дополнительная информация (в том числе факторы, влияющие на исход заболевания или состояния)</w:t>
        </w:r>
        <w:r w:rsidR="00555107">
          <w:rPr>
            <w:noProof/>
            <w:webHidden/>
          </w:rPr>
          <w:tab/>
        </w:r>
        <w:r w:rsidR="00062499">
          <w:rPr>
            <w:noProof/>
            <w:webHidden/>
          </w:rPr>
          <w:fldChar w:fldCharType="begin"/>
        </w:r>
        <w:r w:rsidR="00555107">
          <w:rPr>
            <w:noProof/>
            <w:webHidden/>
          </w:rPr>
          <w:instrText xml:space="preserve"> PAGEREF _Toc84161286 \h </w:instrText>
        </w:r>
        <w:r w:rsidR="00062499">
          <w:rPr>
            <w:noProof/>
            <w:webHidden/>
          </w:rPr>
        </w:r>
        <w:r w:rsidR="00062499">
          <w:rPr>
            <w:noProof/>
            <w:webHidden/>
          </w:rPr>
          <w:fldChar w:fldCharType="separate"/>
        </w:r>
        <w:r w:rsidR="00555107">
          <w:rPr>
            <w:noProof/>
            <w:webHidden/>
          </w:rPr>
          <w:t>30</w:t>
        </w:r>
        <w:r w:rsidR="00062499">
          <w:rPr>
            <w:noProof/>
            <w:webHidden/>
          </w:rPr>
          <w:fldChar w:fldCharType="end"/>
        </w:r>
      </w:hyperlink>
    </w:p>
    <w:p w:rsidR="00555107" w:rsidRDefault="00103F99">
      <w:pPr>
        <w:pStyle w:val="15"/>
        <w:rPr>
          <w:rFonts w:asciiTheme="minorHAnsi" w:eastAsiaTheme="minorEastAsia" w:hAnsiTheme="minorHAnsi" w:cstheme="minorBidi"/>
          <w:noProof/>
          <w:szCs w:val="24"/>
          <w:lang w:eastAsia="ru-RU"/>
        </w:rPr>
      </w:pPr>
      <w:hyperlink w:anchor="_Toc84161287" w:history="1">
        <w:r w:rsidR="00555107" w:rsidRPr="001E0C1D">
          <w:rPr>
            <w:rStyle w:val="affc"/>
            <w:noProof/>
          </w:rPr>
          <w:t>Критерии оценки качества медицинской помощи</w:t>
        </w:r>
        <w:r w:rsidR="00555107">
          <w:rPr>
            <w:noProof/>
            <w:webHidden/>
          </w:rPr>
          <w:tab/>
        </w:r>
        <w:r w:rsidR="00062499">
          <w:rPr>
            <w:noProof/>
            <w:webHidden/>
          </w:rPr>
          <w:fldChar w:fldCharType="begin"/>
        </w:r>
        <w:r w:rsidR="00555107">
          <w:rPr>
            <w:noProof/>
            <w:webHidden/>
          </w:rPr>
          <w:instrText xml:space="preserve"> PAGEREF _Toc84161287 \h </w:instrText>
        </w:r>
        <w:r w:rsidR="00062499">
          <w:rPr>
            <w:noProof/>
            <w:webHidden/>
          </w:rPr>
        </w:r>
        <w:r w:rsidR="00062499">
          <w:rPr>
            <w:noProof/>
            <w:webHidden/>
          </w:rPr>
          <w:fldChar w:fldCharType="separate"/>
        </w:r>
        <w:r w:rsidR="00555107">
          <w:rPr>
            <w:noProof/>
            <w:webHidden/>
          </w:rPr>
          <w:t>30</w:t>
        </w:r>
        <w:r w:rsidR="00062499">
          <w:rPr>
            <w:noProof/>
            <w:webHidden/>
          </w:rPr>
          <w:fldChar w:fldCharType="end"/>
        </w:r>
      </w:hyperlink>
    </w:p>
    <w:p w:rsidR="00555107" w:rsidRDefault="00103F99">
      <w:pPr>
        <w:pStyle w:val="15"/>
        <w:rPr>
          <w:rFonts w:asciiTheme="minorHAnsi" w:eastAsiaTheme="minorEastAsia" w:hAnsiTheme="minorHAnsi" w:cstheme="minorBidi"/>
          <w:noProof/>
          <w:szCs w:val="24"/>
          <w:lang w:eastAsia="ru-RU"/>
        </w:rPr>
      </w:pPr>
      <w:hyperlink w:anchor="_Toc84161288" w:history="1">
        <w:r w:rsidR="00FE3DBC" w:rsidRPr="001E0C1D">
          <w:rPr>
            <w:rStyle w:val="affc"/>
            <w:noProof/>
          </w:rPr>
          <w:t>Список литературы</w:t>
        </w:r>
        <w:r w:rsidR="00FE3DBC">
          <w:rPr>
            <w:noProof/>
            <w:webHidden/>
          </w:rPr>
          <w:tab/>
        </w:r>
        <w:r w:rsidR="00062499">
          <w:rPr>
            <w:noProof/>
            <w:webHidden/>
          </w:rPr>
          <w:fldChar w:fldCharType="begin"/>
        </w:r>
        <w:r w:rsidR="00FE3DBC">
          <w:rPr>
            <w:noProof/>
            <w:webHidden/>
          </w:rPr>
          <w:instrText xml:space="preserve"> PAGEREF _Toc84161288 \h </w:instrText>
        </w:r>
        <w:r w:rsidR="00062499">
          <w:rPr>
            <w:noProof/>
            <w:webHidden/>
          </w:rPr>
        </w:r>
        <w:r w:rsidR="00062499">
          <w:rPr>
            <w:noProof/>
            <w:webHidden/>
          </w:rPr>
          <w:fldChar w:fldCharType="separate"/>
        </w:r>
        <w:r w:rsidR="00FE3DBC">
          <w:rPr>
            <w:noProof/>
            <w:webHidden/>
          </w:rPr>
          <w:t>33</w:t>
        </w:r>
        <w:r w:rsidR="00062499">
          <w:rPr>
            <w:noProof/>
            <w:webHidden/>
          </w:rPr>
          <w:fldChar w:fldCharType="end"/>
        </w:r>
      </w:hyperlink>
    </w:p>
    <w:p w:rsidR="00555107" w:rsidRDefault="00103F99">
      <w:pPr>
        <w:pStyle w:val="15"/>
        <w:rPr>
          <w:rFonts w:asciiTheme="minorHAnsi" w:eastAsiaTheme="minorEastAsia" w:hAnsiTheme="minorHAnsi" w:cstheme="minorBidi"/>
          <w:noProof/>
          <w:szCs w:val="24"/>
          <w:lang w:eastAsia="ru-RU"/>
        </w:rPr>
      </w:pPr>
      <w:hyperlink w:anchor="_Toc84161289" w:history="1">
        <w:r w:rsidR="00555107" w:rsidRPr="001E0C1D">
          <w:rPr>
            <w:rStyle w:val="affc"/>
            <w:noProof/>
          </w:rPr>
          <w:t>Приложение А1. Состав рабочей группы по разработке и пересмотру клинических рекомендаций</w:t>
        </w:r>
        <w:r w:rsidR="00555107">
          <w:rPr>
            <w:noProof/>
            <w:webHidden/>
          </w:rPr>
          <w:tab/>
        </w:r>
        <w:r w:rsidR="00062499">
          <w:rPr>
            <w:noProof/>
            <w:webHidden/>
          </w:rPr>
          <w:fldChar w:fldCharType="begin"/>
        </w:r>
        <w:r w:rsidR="00555107">
          <w:rPr>
            <w:noProof/>
            <w:webHidden/>
          </w:rPr>
          <w:instrText xml:space="preserve"> PAGEREF _Toc84161289 \h </w:instrText>
        </w:r>
        <w:r w:rsidR="00062499">
          <w:rPr>
            <w:noProof/>
            <w:webHidden/>
          </w:rPr>
        </w:r>
        <w:r w:rsidR="00062499">
          <w:rPr>
            <w:noProof/>
            <w:webHidden/>
          </w:rPr>
          <w:fldChar w:fldCharType="separate"/>
        </w:r>
        <w:r w:rsidR="00555107">
          <w:rPr>
            <w:noProof/>
            <w:webHidden/>
          </w:rPr>
          <w:t>38</w:t>
        </w:r>
        <w:r w:rsidR="00062499">
          <w:rPr>
            <w:noProof/>
            <w:webHidden/>
          </w:rPr>
          <w:fldChar w:fldCharType="end"/>
        </w:r>
      </w:hyperlink>
    </w:p>
    <w:p w:rsidR="00A40003" w:rsidRDefault="00103F99">
      <w:pPr>
        <w:pStyle w:val="15"/>
      </w:pPr>
      <w:hyperlink w:anchor="_Toc84161290" w:history="1">
        <w:r w:rsidR="00555107" w:rsidRPr="001E0C1D">
          <w:rPr>
            <w:rStyle w:val="affc"/>
            <w:noProof/>
          </w:rPr>
          <w:t>Приложение А2. Методология разработки клинических рекомендаций</w:t>
        </w:r>
        <w:r w:rsidR="00555107">
          <w:rPr>
            <w:noProof/>
            <w:webHidden/>
          </w:rPr>
          <w:tab/>
        </w:r>
        <w:r w:rsidR="00062499">
          <w:rPr>
            <w:noProof/>
            <w:webHidden/>
          </w:rPr>
          <w:fldChar w:fldCharType="begin"/>
        </w:r>
        <w:r w:rsidR="00555107">
          <w:rPr>
            <w:noProof/>
            <w:webHidden/>
          </w:rPr>
          <w:instrText xml:space="preserve"> PAGEREF _Toc84161290 \h </w:instrText>
        </w:r>
        <w:r w:rsidR="00062499">
          <w:rPr>
            <w:noProof/>
            <w:webHidden/>
          </w:rPr>
        </w:r>
        <w:r w:rsidR="00062499">
          <w:rPr>
            <w:noProof/>
            <w:webHidden/>
          </w:rPr>
          <w:fldChar w:fldCharType="separate"/>
        </w:r>
        <w:r w:rsidR="00555107">
          <w:rPr>
            <w:noProof/>
            <w:webHidden/>
          </w:rPr>
          <w:t>39</w:t>
        </w:r>
        <w:r w:rsidR="00062499">
          <w:rPr>
            <w:noProof/>
            <w:webHidden/>
          </w:rPr>
          <w:fldChar w:fldCharType="end"/>
        </w:r>
      </w:hyperlink>
      <w:r w:rsidR="00A40003" w:rsidRPr="00A40003">
        <w:t xml:space="preserve"> </w:t>
      </w:r>
    </w:p>
    <w:p w:rsidR="00555107" w:rsidRDefault="00A40003">
      <w:pPr>
        <w:pStyle w:val="15"/>
        <w:rPr>
          <w:rFonts w:asciiTheme="minorHAnsi" w:eastAsiaTheme="minorEastAsia" w:hAnsiTheme="minorHAnsi" w:cstheme="minorBidi"/>
          <w:noProof/>
          <w:szCs w:val="24"/>
          <w:lang w:eastAsia="ru-RU"/>
        </w:rPr>
      </w:pPr>
      <w:r w:rsidRPr="00A40003">
        <w:t>Приложение А</w:t>
      </w:r>
      <w:r>
        <w:t xml:space="preserve">3  </w:t>
      </w:r>
      <w:r w:rsidRPr="00A40003">
        <w:t>Алгоритм диагностики ранних форм грибовидного микоза</w:t>
      </w:r>
      <w:r>
        <w:t xml:space="preserve">                   46</w:t>
      </w:r>
    </w:p>
    <w:p w:rsidR="00555107" w:rsidRDefault="00103F99">
      <w:pPr>
        <w:pStyle w:val="15"/>
        <w:rPr>
          <w:rFonts w:asciiTheme="minorHAnsi" w:eastAsiaTheme="minorEastAsia" w:hAnsiTheme="minorHAnsi" w:cstheme="minorBidi"/>
          <w:noProof/>
          <w:szCs w:val="24"/>
          <w:lang w:eastAsia="ru-RU"/>
        </w:rPr>
      </w:pPr>
      <w:hyperlink w:anchor="_Toc84161291" w:history="1">
        <w:r w:rsidR="00FE3DBC" w:rsidRPr="001E0C1D">
          <w:rPr>
            <w:rStyle w:val="affc"/>
            <w:noProof/>
          </w:rPr>
          <w:t>Приложение Б. Алгоритмы действий врача</w:t>
        </w:r>
        <w:r w:rsidR="00FE3DBC">
          <w:rPr>
            <w:noProof/>
            <w:webHidden/>
          </w:rPr>
          <w:tab/>
        </w:r>
        <w:r w:rsidR="00062499">
          <w:rPr>
            <w:noProof/>
            <w:webHidden/>
          </w:rPr>
          <w:fldChar w:fldCharType="begin"/>
        </w:r>
        <w:r w:rsidR="00FE3DBC">
          <w:rPr>
            <w:noProof/>
            <w:webHidden/>
          </w:rPr>
          <w:instrText xml:space="preserve"> PAGEREF _Toc84161291 \h </w:instrText>
        </w:r>
        <w:r w:rsidR="00062499">
          <w:rPr>
            <w:noProof/>
            <w:webHidden/>
          </w:rPr>
        </w:r>
        <w:r w:rsidR="00062499">
          <w:rPr>
            <w:noProof/>
            <w:webHidden/>
          </w:rPr>
          <w:fldChar w:fldCharType="separate"/>
        </w:r>
        <w:r w:rsidR="00FE3DBC">
          <w:rPr>
            <w:noProof/>
            <w:webHidden/>
          </w:rPr>
          <w:t>47</w:t>
        </w:r>
        <w:r w:rsidR="00062499">
          <w:rPr>
            <w:noProof/>
            <w:webHidden/>
          </w:rPr>
          <w:fldChar w:fldCharType="end"/>
        </w:r>
      </w:hyperlink>
    </w:p>
    <w:p w:rsidR="00555107" w:rsidRDefault="00103F99">
      <w:pPr>
        <w:pStyle w:val="15"/>
      </w:pPr>
      <w:hyperlink w:anchor="_Toc84161292" w:history="1">
        <w:r w:rsidR="00FE3DBC" w:rsidRPr="001E0C1D">
          <w:rPr>
            <w:rStyle w:val="affc"/>
            <w:noProof/>
          </w:rPr>
          <w:t>Приложение В. Информация для пациента</w:t>
        </w:r>
        <w:r w:rsidR="00FE3DBC">
          <w:rPr>
            <w:noProof/>
            <w:webHidden/>
          </w:rPr>
          <w:tab/>
        </w:r>
        <w:r w:rsidR="00062499">
          <w:rPr>
            <w:noProof/>
            <w:webHidden/>
          </w:rPr>
          <w:fldChar w:fldCharType="begin"/>
        </w:r>
        <w:r w:rsidR="00FE3DBC">
          <w:rPr>
            <w:noProof/>
            <w:webHidden/>
          </w:rPr>
          <w:instrText xml:space="preserve"> PAGEREF _Toc84161292 \h </w:instrText>
        </w:r>
        <w:r w:rsidR="00062499">
          <w:rPr>
            <w:noProof/>
            <w:webHidden/>
          </w:rPr>
        </w:r>
        <w:r w:rsidR="00062499">
          <w:rPr>
            <w:noProof/>
            <w:webHidden/>
          </w:rPr>
          <w:fldChar w:fldCharType="separate"/>
        </w:r>
        <w:r w:rsidR="00FE3DBC">
          <w:rPr>
            <w:noProof/>
            <w:webHidden/>
          </w:rPr>
          <w:t>48</w:t>
        </w:r>
        <w:r w:rsidR="00062499">
          <w:rPr>
            <w:noProof/>
            <w:webHidden/>
          </w:rPr>
          <w:fldChar w:fldCharType="end"/>
        </w:r>
      </w:hyperlink>
    </w:p>
    <w:p w:rsidR="00957B53" w:rsidRDefault="00103F99">
      <w:pPr>
        <w:pStyle w:val="afff1"/>
        <w:jc w:val="both"/>
        <w:rPr>
          <w:rFonts w:asciiTheme="minorHAnsi" w:eastAsiaTheme="minorEastAsia" w:hAnsiTheme="minorHAnsi" w:cstheme="minorBidi"/>
          <w:noProof/>
          <w:szCs w:val="24"/>
          <w:lang w:eastAsia="ru-RU"/>
        </w:rPr>
      </w:pPr>
      <w:hyperlink w:anchor="_Toc84161293" w:history="1">
        <w:r w:rsidR="00A627B4">
          <w:rPr>
            <w:rStyle w:val="affc"/>
            <w:noProof/>
          </w:rPr>
          <w:t>Приложение Г1 -</w:t>
        </w:r>
        <w:r w:rsidR="003677E2" w:rsidRPr="001E0C1D">
          <w:rPr>
            <w:rStyle w:val="affc"/>
            <w:noProof/>
          </w:rPr>
          <w:t xml:space="preserve"> </w:t>
        </w:r>
        <w:r w:rsidR="003677E2" w:rsidRPr="00115C61">
          <w:rPr>
            <w:sz w:val="24"/>
            <w:szCs w:val="24"/>
          </w:rPr>
          <w:t>ГN. Шкалы оценки, вопросники и другие оценочные инструменты состояния пациента, приведенные в клинических рекомендациях</w:t>
        </w:r>
        <w:r w:rsidR="00A40003">
          <w:rPr>
            <w:sz w:val="24"/>
            <w:szCs w:val="24"/>
          </w:rPr>
          <w:t xml:space="preserve"> </w:t>
        </w:r>
        <w:r w:rsidR="003677E2">
          <w:rPr>
            <w:noProof/>
            <w:webHidden/>
          </w:rPr>
          <w:tab/>
        </w:r>
        <w:r w:rsidR="00FE3DBC">
          <w:rPr>
            <w:noProof/>
            <w:webHidden/>
          </w:rPr>
          <w:t>50</w:t>
        </w:r>
      </w:hyperlink>
    </w:p>
    <w:p w:rsidR="00555107" w:rsidRDefault="00555107">
      <w:pPr>
        <w:pStyle w:val="15"/>
        <w:rPr>
          <w:rFonts w:asciiTheme="minorHAnsi" w:eastAsiaTheme="minorEastAsia" w:hAnsiTheme="minorHAnsi" w:cstheme="minorBidi"/>
          <w:noProof/>
          <w:szCs w:val="24"/>
          <w:lang w:eastAsia="ru-RU"/>
        </w:rPr>
      </w:pPr>
    </w:p>
    <w:p w:rsidR="00957B53" w:rsidRDefault="00103F99">
      <w:pPr>
        <w:pStyle w:val="15"/>
      </w:pPr>
      <w:hyperlink w:anchor="_Toc84161294" w:history="1">
        <w:r w:rsidR="00555107">
          <w:rPr>
            <w:noProof/>
            <w:webHidden/>
          </w:rPr>
          <w:tab/>
        </w:r>
      </w:hyperlink>
      <w:r w:rsidR="00062499" w:rsidRPr="00376207">
        <w:rPr>
          <w:b/>
          <w:bCs/>
          <w:szCs w:val="24"/>
        </w:rPr>
        <w:fldChar w:fldCharType="end"/>
      </w:r>
    </w:p>
    <w:p w:rsidR="00172112" w:rsidRPr="00376207" w:rsidRDefault="00172112" w:rsidP="00172112"/>
    <w:p w:rsidR="00F01ADE" w:rsidRPr="00376207" w:rsidRDefault="00172112" w:rsidP="00EA610E">
      <w:pPr>
        <w:pStyle w:val="aff9"/>
        <w:rPr>
          <w:sz w:val="28"/>
        </w:rPr>
      </w:pPr>
      <w:r w:rsidRPr="00376207">
        <w:br w:type="page"/>
      </w:r>
    </w:p>
    <w:p w:rsidR="000414F6" w:rsidRPr="00376207" w:rsidRDefault="00CB71DA" w:rsidP="00C4630C">
      <w:pPr>
        <w:pStyle w:val="afff1"/>
      </w:pPr>
      <w:bookmarkStart w:id="2" w:name="__RefHeading___doc_abbreviation"/>
      <w:bookmarkStart w:id="3" w:name="_Toc84161264"/>
      <w:r w:rsidRPr="00376207">
        <w:lastRenderedPageBreak/>
        <w:t>Список сокращений</w:t>
      </w:r>
      <w:bookmarkEnd w:id="2"/>
      <w:bookmarkEnd w:id="3"/>
    </w:p>
    <w:p w:rsidR="0011501E" w:rsidRPr="00376207" w:rsidRDefault="0011501E" w:rsidP="0011501E">
      <w:pPr>
        <w:pStyle w:val="afb"/>
        <w:spacing w:beforeAutospacing="0" w:afterAutospacing="0" w:line="360" w:lineRule="auto"/>
        <w:divId w:val="1653948401"/>
      </w:pPr>
      <w:r w:rsidRPr="00376207">
        <w:t>ВИЧ – вирус иммунодефицита человека</w:t>
      </w:r>
    </w:p>
    <w:p w:rsidR="0011501E" w:rsidRPr="00376207" w:rsidRDefault="0011501E" w:rsidP="0011501E">
      <w:pPr>
        <w:pStyle w:val="afb"/>
        <w:spacing w:beforeAutospacing="0" w:afterAutospacing="0" w:line="360" w:lineRule="auto"/>
        <w:divId w:val="1653948401"/>
      </w:pPr>
      <w:r w:rsidRPr="00376207">
        <w:t>ЛДГ - лактатдегидрогеназа</w:t>
      </w:r>
    </w:p>
    <w:p w:rsidR="0011501E" w:rsidRPr="00376207" w:rsidRDefault="0011501E" w:rsidP="0011501E">
      <w:pPr>
        <w:pStyle w:val="afb"/>
        <w:spacing w:beforeAutospacing="0" w:afterAutospacing="0" w:line="360" w:lineRule="auto"/>
        <w:divId w:val="1653948401"/>
      </w:pPr>
      <w:r w:rsidRPr="00376207">
        <w:t>ЛК – лимфомы кожи</w:t>
      </w:r>
    </w:p>
    <w:p w:rsidR="0011501E" w:rsidRPr="00376207" w:rsidRDefault="0011501E" w:rsidP="0011501E">
      <w:pPr>
        <w:pStyle w:val="afb"/>
        <w:spacing w:beforeAutospacing="0" w:afterAutospacing="0" w:line="360" w:lineRule="auto"/>
        <w:divId w:val="1653948401"/>
      </w:pPr>
      <w:r w:rsidRPr="00376207">
        <w:t>ПУВА (Psoralen + UltraViolet A) – псорален-ультрафиолет А</w:t>
      </w:r>
    </w:p>
    <w:p w:rsidR="0011501E" w:rsidRPr="00376207" w:rsidRDefault="0011501E" w:rsidP="0011501E">
      <w:pPr>
        <w:pStyle w:val="afb"/>
        <w:spacing w:beforeAutospacing="0" w:afterAutospacing="0" w:line="360" w:lineRule="auto"/>
        <w:divId w:val="1653948401"/>
      </w:pPr>
      <w:r w:rsidRPr="00376207">
        <w:t>ПЦР – полимеразная цепная реакция</w:t>
      </w:r>
    </w:p>
    <w:p w:rsidR="0011501E" w:rsidRPr="00376207" w:rsidRDefault="0011501E" w:rsidP="0011501E">
      <w:pPr>
        <w:pStyle w:val="afb"/>
        <w:spacing w:beforeAutospacing="0" w:afterAutospacing="0" w:line="360" w:lineRule="auto"/>
        <w:divId w:val="1653948401"/>
      </w:pPr>
      <w:r w:rsidRPr="00376207">
        <w:t>СОД – суммарная очаговая доза</w:t>
      </w:r>
    </w:p>
    <w:p w:rsidR="0011501E" w:rsidRPr="00376207" w:rsidRDefault="0011501E" w:rsidP="0011501E">
      <w:pPr>
        <w:pStyle w:val="afb"/>
        <w:spacing w:beforeAutospacing="0" w:afterAutospacing="0" w:line="360" w:lineRule="auto"/>
        <w:divId w:val="1653948401"/>
      </w:pPr>
      <w:r w:rsidRPr="00376207">
        <w:t>ТКР – T-клеточный рецептор</w:t>
      </w:r>
    </w:p>
    <w:p w:rsidR="0011501E" w:rsidRPr="00376207" w:rsidRDefault="0011501E" w:rsidP="0011501E">
      <w:pPr>
        <w:pStyle w:val="afb"/>
        <w:spacing w:beforeAutospacing="0" w:afterAutospacing="0" w:line="360" w:lineRule="auto"/>
        <w:divId w:val="1653948401"/>
      </w:pPr>
      <w:r w:rsidRPr="00376207">
        <w:t>ТОК – тотальное облучение кожи</w:t>
      </w:r>
    </w:p>
    <w:p w:rsidR="008A24EB" w:rsidRPr="00376207" w:rsidRDefault="0011501E" w:rsidP="0011501E">
      <w:pPr>
        <w:pStyle w:val="afff"/>
        <w:divId w:val="1653948401"/>
      </w:pPr>
      <w:r w:rsidRPr="00376207">
        <w:t>УЗИ – ультразвуковое исследование</w:t>
      </w:r>
    </w:p>
    <w:p w:rsidR="0016386D" w:rsidRDefault="00CB71DA" w:rsidP="0016386D">
      <w:pPr>
        <w:pStyle w:val="afff1"/>
      </w:pPr>
      <w:r w:rsidRPr="00376207">
        <w:br w:type="page"/>
      </w:r>
      <w:bookmarkStart w:id="4" w:name="__RefHeading___doc_terms"/>
      <w:bookmarkStart w:id="5" w:name="_Toc84161265"/>
      <w:r w:rsidRPr="00376207">
        <w:lastRenderedPageBreak/>
        <w:t>Термины и определения</w:t>
      </w:r>
      <w:bookmarkEnd w:id="4"/>
      <w:bookmarkEnd w:id="5"/>
    </w:p>
    <w:p w:rsidR="001D40F8" w:rsidRPr="00376207" w:rsidRDefault="0011501E" w:rsidP="0021676E">
      <w:r w:rsidRPr="00376207">
        <w:t>Грибовидный микоз (ГМ) – первичная эпидермотропная Т-клеточная лимфома кожи (ЛК), характеризующаяся пролиферацией малых и средних Т-лимфоцитов с церебриформными ядрами.</w:t>
      </w:r>
    </w:p>
    <w:p w:rsidR="009853A9" w:rsidRPr="00376207" w:rsidRDefault="00F40CD1" w:rsidP="00924161">
      <w:pPr>
        <w:rPr>
          <w:szCs w:val="24"/>
        </w:rPr>
      </w:pPr>
      <w:r w:rsidRPr="00376207">
        <w:rPr>
          <w:rFonts w:cs="Calibri"/>
          <w:szCs w:val="24"/>
          <w:lang w:val="en-US"/>
        </w:rPr>
        <w:t>ISLE</w:t>
      </w:r>
      <w:r w:rsidRPr="00376207">
        <w:rPr>
          <w:rFonts w:cs="Calibri"/>
          <w:szCs w:val="24"/>
        </w:rPr>
        <w:t>-</w:t>
      </w:r>
      <w:r w:rsidR="009853A9" w:rsidRPr="00376207">
        <w:rPr>
          <w:szCs w:val="24"/>
        </w:rPr>
        <w:t xml:space="preserve">Международного общества по лимфомам кожи </w:t>
      </w:r>
    </w:p>
    <w:p w:rsidR="001D40F8" w:rsidRPr="00376207" w:rsidRDefault="009853A9" w:rsidP="00924161">
      <w:pPr>
        <w:rPr>
          <w:szCs w:val="24"/>
        </w:rPr>
      </w:pPr>
      <w:r w:rsidRPr="00376207">
        <w:rPr>
          <w:szCs w:val="24"/>
          <w:lang w:val="en-US"/>
        </w:rPr>
        <w:t>EORTC</w:t>
      </w:r>
      <w:r w:rsidRPr="00376207">
        <w:rPr>
          <w:szCs w:val="24"/>
        </w:rPr>
        <w:t xml:space="preserve"> - Европейской организации по изучению и лечению рака </w:t>
      </w:r>
    </w:p>
    <w:p w:rsidR="00275A41" w:rsidRPr="00376207" w:rsidRDefault="00275A41" w:rsidP="00924161">
      <w:pPr>
        <w:pStyle w:val="afb"/>
        <w:spacing w:beforeAutospacing="0" w:afterAutospacing="0" w:line="360" w:lineRule="auto"/>
        <w:divId w:val="576134796"/>
      </w:pPr>
    </w:p>
    <w:p w:rsidR="00B8195D" w:rsidRPr="00376207" w:rsidRDefault="00CB71DA" w:rsidP="00F81854">
      <w:pPr>
        <w:pStyle w:val="afff1"/>
      </w:pPr>
      <w:r w:rsidRPr="00376207">
        <w:br w:type="page"/>
      </w:r>
      <w:bookmarkStart w:id="6" w:name="__RefHeading___doc_1"/>
    </w:p>
    <w:p w:rsidR="000414F6" w:rsidRPr="0073723C" w:rsidRDefault="00CB71DA" w:rsidP="00C4630C">
      <w:pPr>
        <w:pStyle w:val="afff1"/>
      </w:pPr>
      <w:bookmarkStart w:id="7" w:name="_Toc84161266"/>
      <w:r w:rsidRPr="00376207">
        <w:lastRenderedPageBreak/>
        <w:t>1</w:t>
      </w:r>
      <w:r w:rsidRPr="0073723C">
        <w:t>. Краткая информация</w:t>
      </w:r>
      <w:bookmarkEnd w:id="6"/>
      <w:r w:rsidR="00384B6A" w:rsidRPr="0073723C">
        <w:t xml:space="preserve"> по заболеванию или состоянию (группе заболеваний или состояний)</w:t>
      </w:r>
      <w:bookmarkEnd w:id="7"/>
    </w:p>
    <w:p w:rsidR="00B46390" w:rsidRPr="0073723C" w:rsidRDefault="00B46390" w:rsidP="0021676E">
      <w:pPr>
        <w:pStyle w:val="2"/>
      </w:pPr>
      <w:bookmarkStart w:id="8" w:name="_Toc469402330"/>
      <w:bookmarkStart w:id="9" w:name="_Toc468273527"/>
      <w:bookmarkStart w:id="10" w:name="_Toc468273445"/>
      <w:bookmarkStart w:id="11" w:name="_Toc84161267"/>
      <w:bookmarkStart w:id="12" w:name="__RefHeading___doc_2"/>
      <w:bookmarkEnd w:id="8"/>
      <w:bookmarkEnd w:id="9"/>
      <w:bookmarkEnd w:id="10"/>
      <w:r w:rsidRPr="0073723C">
        <w:t>1.1 Определение</w:t>
      </w:r>
      <w:r w:rsidR="00555107" w:rsidRPr="0073723C">
        <w:t xml:space="preserve"> </w:t>
      </w:r>
      <w:r w:rsidR="00311757" w:rsidRPr="0073723C">
        <w:rPr>
          <w:color w:val="333333"/>
          <w:shd w:val="clear" w:color="auto" w:fill="FFFFFF"/>
        </w:rPr>
        <w:t>заболевания или состояния (группы заболеваний или состояний)</w:t>
      </w:r>
      <w:bookmarkEnd w:id="11"/>
    </w:p>
    <w:p w:rsidR="00EE59C2" w:rsidRPr="0073723C" w:rsidRDefault="000C307B" w:rsidP="0021676E">
      <w:pPr>
        <w:pStyle w:val="18"/>
      </w:pPr>
      <w:r>
        <w:t>Грибовидный микоз (ГМ) – первичная эпидермотропная Т-клеточная лимфома кожи (ЛК), характеризующаяся пролиферацией малых и средних Т-лимфоцитов с церебриформными ядрами.</w:t>
      </w:r>
    </w:p>
    <w:p w:rsidR="00B46390" w:rsidRPr="0073723C" w:rsidRDefault="000C307B" w:rsidP="00172112">
      <w:pPr>
        <w:pStyle w:val="2"/>
      </w:pPr>
      <w:bookmarkStart w:id="13" w:name="_Toc84161268"/>
      <w:r>
        <w:t xml:space="preserve">1.2 Этиология и патогенез </w:t>
      </w:r>
      <w:r>
        <w:rPr>
          <w:color w:val="333333"/>
          <w:shd w:val="clear" w:color="auto" w:fill="FFFFFF"/>
        </w:rPr>
        <w:t>заболевания или состояния (группы заболеваний или состояний)</w:t>
      </w:r>
      <w:bookmarkEnd w:id="13"/>
    </w:p>
    <w:p w:rsidR="00E0145A" w:rsidRPr="0073723C" w:rsidRDefault="000C307B" w:rsidP="0021676E">
      <w:pPr>
        <w:pStyle w:val="18"/>
      </w:pPr>
      <w:r>
        <w:t>Этиология заболевания неизвестна. Cчитается, что лимфомы кожи возникают вследствие хронической антигенной стимуляции, что ведет к неконтролируемой клональной пролиферации и накоплению неопластических Т-клеток в коже. Предполагают роль золотистого стафилококка в возникновении лимфом кожи. Некоторые исследователи сообщают о значении вируса Эпштейна-Барр и цитомегаловируса в этиологии заболевания. Есть данные о развитии лимфом кожи у людей, получающих иммуносупрессивную терапию после трансплантации органов и у ВИЧ-инфицированных.</w:t>
      </w:r>
    </w:p>
    <w:p w:rsidR="00B46390" w:rsidRPr="0073723C" w:rsidRDefault="000C307B" w:rsidP="00172112">
      <w:pPr>
        <w:pStyle w:val="2"/>
      </w:pPr>
      <w:bookmarkStart w:id="14" w:name="_Toc84161269"/>
      <w:r>
        <w:t xml:space="preserve">1.3 Эпидемиология </w:t>
      </w:r>
      <w:r>
        <w:rPr>
          <w:color w:val="333333"/>
          <w:shd w:val="clear" w:color="auto" w:fill="FFFFFF"/>
        </w:rPr>
        <w:t>заболевания или состояния (группы заболеваний или состояний)</w:t>
      </w:r>
      <w:bookmarkEnd w:id="14"/>
    </w:p>
    <w:p w:rsidR="00094ED6" w:rsidRPr="0073723C" w:rsidRDefault="000C307B" w:rsidP="00094ED6">
      <w:pPr>
        <w:pStyle w:val="18"/>
      </w:pPr>
      <w:r>
        <w:t>Грибовидный микоз является наиболее часто встречающейся формой кожной Т-клеточной лимфомы и составляет 1% всех неходжкинских лимфом, 50% первичных лимфом кожи и 65% кожных Т-клеточных лимфом. Заболеваемость грибовидным микозом в мире равна 6–7 случаев/10</w:t>
      </w:r>
      <w:r>
        <w:rPr>
          <w:vertAlign w:val="superscript"/>
        </w:rPr>
        <w:t>6</w:t>
      </w:r>
      <w:r>
        <w:t xml:space="preserve"> в год с регулярным повышением в последние десятилетия. Этот показатель значительно варьирует в различных географических регионах: в США заболеваемость грибовидными микозом составляет 0,46 случаев на 100 000 человек, в странах Европы этот показатель колеблется от 0,26 до 1,0 на 100 000 человек в год (55% мужчин и 45% женщин). Более 75% случаев грибовидного микоза наблюдается у пациентов старше 50 лет, средний возраст дебюта заболевания составляет 55–60 лет. Грибовидный микоз может также поражать детей и подростков (1% случаев). Соотношение заболевших мужчин и женщин составляет 2,0:1,0 с преобладанием пациентов с темным цветом кожи (1,7:1) </w:t>
      </w:r>
      <w:r w:rsidR="00062499" w:rsidRPr="0073723C">
        <w:fldChar w:fldCharType="begin" w:fldLock="1"/>
      </w:r>
      <w:r>
        <w:instrText>ADDIN CSL_CITATION {"citationItems":[{"id":"ITEM-1","itemData":{"DOI":"10.1001/jamadermatol.2013.5526","ISSN":"21686068","PMID":"24005876","abstract":"IMPORTANCE: Cutaneous T-cell lymphoma (CTCL) incidence and survival have been increasing steadily for over 25 years. OBJECTIVE: We sought to measure changes in CTCL incidence trends and survival rates. DESIGN, SETTING, AND PARTICIPANTS: Population-based study. The CTCL incidence and survival data were obtained from the 9 original registries (1973-2009) and the 4 additional registries (1992-2009) of the Surveillance, Epidemiology and End Results (SEER) program of the National Cancer Institute (NCI). Trend analysis was performed using the Joinpoint Regression Program provided by the NCI. Survival analysis was performed using the SeerSTAT statistical software of the NCI. The total number of cases of CTCL from 1973 to 2009 was 6230. MAIN OUTCOMES AND MEASURES: Diagnoses of CTCL. RESULTS: Overall CTCL incidence has stabilized since 1998 (95% CI, 1994-2002), with an annual percent change (APC) of 5.7% from 1973 to 1998 (95% CI, 4.9%-6.5%) and an APC of 0.1% from 1998 to 2009 (95% CI, -1.4% to 1.5%). Similar incidence stabilization patterns were found in subgroup analyses of race, sex, age, diagnosis, and registry. Five-year CTCL survival rates increased until 2004. CONCLUSIONS AND RELEVANCE: The incidence of CTCL is no longer increasing. Causes for this trend change may include real incidence stabilization, stabilization of physician detection, or artifact. Copyright 2013 American Medical Association. All rights reserved.","author":[{"dropping-particle":"","family":"Korgavkar","given":"Kaveri","non-dropping-particle":"","parse-names":false,"suffix":""},{"dropping-particle":"","family":"Xiong","given":"Michael","non-dropping-particle":"","parse-names":false,"suffix":""},{"dropping-particle":"","family":"Weinstock","given":"Martin","non-dropping-particle":"","parse-names":false,"suffix":""}],"container-title":"JAMA Dermatology","id":"ITEM-1","issue":"11","issued":{"date-parts":[["2013","11"]]},"page":"1295-1299","publisher":"JAMA Dermatol","title":"Changing incidence trends of cutaneous T-cell lymphoma","type":"article-journal","volume":"149"},"uris":["http://www.mendeley.com/documents/?uuid=6e6368bf-1f43-3b17-9d32-0abaa0e4545c"]},{"id":"ITEM-2","itemData":{"DOI":"10.1038/sj.leu.2403934","ISSN":"0887-6924","PMID":"16151466","abstract":"In this randomized phase III study of the EORTC Leukemia Cooperative Group, patients with myelodysplastic syndromes (MDS) with 10-30% bone marrow blasts and hematopoietic failure were treated with low-dose cytosine arabinoside (LD-AraC) (2 x 10 mg/m2/day subcutaneously (s.c.) days 1-14) either alone or in combination with rhGM-CSF or interleukin-3 (IL-3) both given s.c. at a dose of 150 microg/day from day 8 to 21. A total of 180 evaluable patients with a median age of 65 years and refractory anemia with an excess of blasts (RAEB, n = 107) or RAEB in transformation (RAEBt, n = 73) were randomized. There were no differences among the three treatment regimens with respect to numbers of courses applied or treatment delays. Hemorrhage occurred in approximately 40% in all arms, whereas infection rates were higher in the granulocyte/macrophage colony stimulating factor (GM-CSF)- or IL3-containing arm. The overall response rate was 38.6% with no statistically significant difference among the three arms. In summary, a substantial proportion of patients had achieved relatively durable responses in all the three arms. No influence of either growth factor was detected on the grade of cytopenia. Thus, the combination of LD-AraC with GM-CSF or IL-3 cannot be recommended for routine use in a high-risk MDS population.","author":[{"dropping-particle":"","family":"Zwierzina","given":"H","non-dropping-particle":"","parse-names":false,"suffix":""},{"dropping-particle":"","family":"Suciu","given":"S","non-dropping-particle":"","parse-names":false,"suffix":""},{"dropping-particle":"","family":"Loeffler-Ragg","given":"J","non-dropping-particle":"","parse-names":false,"suffix":""},{"dropping-particle":"","family":"Neuwirtova","given":"R","non-dropping-particle":"","parse-names":false,"suffix":""},{"dropping-particle":"","family":"Fenaux","given":"P","non-dropping-particle":"","parse-names":false,"suffix":""},{"dropping-particle":"","family":"Beksac","given":"M","non-dropping-particle":"","parse-names":false,"suffix":""},{"dropping-particle":"","family":"Harousseau","given":"J","non-dropping-particle":"","parse-names":false,"suffix":""},{"dropping-particle":"","family":"Nuessler","given":"V","non-dropping-particle":"","parse-names":false,"suffix":""},{"dropping-particle":"","family":"Cermak","given":"J","non-dropping-particle":"","parse-names":false,"suffix":""},{"dropping-particle":"","family":"Solbu","given":"G","non-dropping-particle":"","parse-names":false,"suffix":""},{"dropping-particle":"","family":"Willemze","given":"R","non-dropping-particle":"","parse-names":false,"suffix":""},{"dropping-particle":"","family":"Witte","given":"T","non-dropping-particle":"de","parse-names":false,"suffix":""},{"dropping-particle":"","family":"Amadori","given":"S","non-dropping-particle":"","parse-names":false,"suffix":""},{"dropping-particle":"","family":"EORTC Leukemia Cooperative Group","given":"","non-dropping-particle":"","parse-names":false,"suffix":""}],"container-title":"Leukemia","id":"ITEM-2","issue":"11","issued":{"date-parts":[["2005","11"]]},"page":"1929-33","title":"Low-dose cytosine arabinoside (LD-AraC) vs LD-AraC plus granulocyte/macrophage colony stimulating factor vs LD-AraC plus Interleukin-3 for myelodysplastic syndrome patients with a high risk of developing acute leukemia: final results of a randomized phase III study (06903) of the EORTC Leukemia Cooperative Group.","type":"article-journal","volume":"19"},"uris":["http://www.mendeley.com/documents/?uuid=0ffc611e-69e6-3bba-a3f7-9ccd701ac181"]}],"mendeley":{"formattedCitation":"[1,2]","plainTextFormattedCitation":"[1,2]","previouslyFormattedCitation":"[1,2]"},"properties":{"noteIndex":0},"schema":"https://github.com/citation-style-language/schema/raw/master/csl-citation.json"}</w:instrText>
      </w:r>
      <w:r w:rsidR="00062499" w:rsidRPr="0073723C">
        <w:fldChar w:fldCharType="separate"/>
      </w:r>
      <w:r>
        <w:rPr>
          <w:noProof/>
        </w:rPr>
        <w:t>[1,2]</w:t>
      </w:r>
      <w:r w:rsidR="00062499" w:rsidRPr="0073723C">
        <w:fldChar w:fldCharType="end"/>
      </w:r>
      <w:r>
        <w:t>.</w:t>
      </w:r>
    </w:p>
    <w:p w:rsidR="00311757" w:rsidRPr="0073723C" w:rsidRDefault="000C307B" w:rsidP="00311757">
      <w:pPr>
        <w:pStyle w:val="2"/>
      </w:pPr>
      <w:bookmarkStart w:id="15" w:name="_Toc84161270"/>
      <w:r>
        <w:lastRenderedPageBreak/>
        <w:t xml:space="preserve">1.4 </w:t>
      </w:r>
      <w:r>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5"/>
    </w:p>
    <w:p w:rsidR="00315A5D" w:rsidRPr="0073723C" w:rsidRDefault="000C307B" w:rsidP="00A70F44">
      <w:r>
        <w:rPr>
          <w:lang w:val="en-US"/>
        </w:rPr>
        <w:t>C</w:t>
      </w:r>
      <w:r>
        <w:t>84.0 – Грибовидный микоз.</w:t>
      </w:r>
    </w:p>
    <w:p w:rsidR="00B46390" w:rsidRPr="0073723C" w:rsidRDefault="000C307B" w:rsidP="00311757">
      <w:pPr>
        <w:pStyle w:val="2"/>
      </w:pPr>
      <w:bookmarkStart w:id="16" w:name="_Toc84161271"/>
      <w:r>
        <w:t xml:space="preserve">1.5 Классификация </w:t>
      </w:r>
      <w:r>
        <w:rPr>
          <w:color w:val="333333"/>
          <w:shd w:val="clear" w:color="auto" w:fill="FFFFFF"/>
        </w:rPr>
        <w:t>заболевания или состояния (группы заболеваний или состояний)</w:t>
      </w:r>
      <w:bookmarkEnd w:id="16"/>
    </w:p>
    <w:p w:rsidR="0011501E" w:rsidRPr="0073723C" w:rsidRDefault="000C307B" w:rsidP="00B130CB">
      <w:pPr>
        <w:numPr>
          <w:ilvl w:val="0"/>
          <w:numId w:val="5"/>
        </w:numPr>
        <w:ind w:left="714" w:hanging="357"/>
        <w:jc w:val="left"/>
        <w:rPr>
          <w:rFonts w:eastAsia="Times New Roman"/>
        </w:rPr>
      </w:pPr>
      <w:r>
        <w:rPr>
          <w:rFonts w:eastAsia="Times New Roman"/>
        </w:rPr>
        <w:t>Грибовидный микоз (классический трехстадийный вариант)</w:t>
      </w:r>
    </w:p>
    <w:p w:rsidR="0011501E" w:rsidRPr="0073723C" w:rsidRDefault="000C307B" w:rsidP="00B130CB">
      <w:pPr>
        <w:numPr>
          <w:ilvl w:val="0"/>
          <w:numId w:val="5"/>
        </w:numPr>
        <w:ind w:left="714" w:hanging="357"/>
        <w:jc w:val="left"/>
        <w:rPr>
          <w:rFonts w:eastAsia="Times New Roman"/>
        </w:rPr>
      </w:pPr>
      <w:r>
        <w:rPr>
          <w:rFonts w:eastAsia="Times New Roman"/>
        </w:rPr>
        <w:t>Другие формы грибовидного микоза:</w:t>
      </w:r>
    </w:p>
    <w:p w:rsidR="0011501E" w:rsidRPr="0073723C" w:rsidRDefault="000C307B" w:rsidP="00B130CB">
      <w:pPr>
        <w:numPr>
          <w:ilvl w:val="0"/>
          <w:numId w:val="6"/>
        </w:numPr>
        <w:ind w:left="714" w:hanging="357"/>
        <w:jc w:val="left"/>
        <w:rPr>
          <w:rFonts w:eastAsia="Times New Roman"/>
        </w:rPr>
      </w:pPr>
      <w:r>
        <w:rPr>
          <w:rFonts w:eastAsia="Times New Roman"/>
        </w:rPr>
        <w:t>входят в ВОЗ-классификацию опухолей кожи:</w:t>
      </w:r>
    </w:p>
    <w:p w:rsidR="0011501E" w:rsidRPr="0073723C" w:rsidRDefault="000C307B" w:rsidP="00043A95">
      <w:pPr>
        <w:numPr>
          <w:ilvl w:val="0"/>
          <w:numId w:val="54"/>
        </w:numPr>
        <w:jc w:val="left"/>
        <w:rPr>
          <w:rFonts w:eastAsia="Times New Roman"/>
        </w:rPr>
      </w:pPr>
      <w:r>
        <w:rPr>
          <w:rFonts w:eastAsia="Times New Roman"/>
        </w:rPr>
        <w:t>фолликулотропный грибовидный микоз;</w:t>
      </w:r>
    </w:p>
    <w:p w:rsidR="0011501E" w:rsidRPr="0073723C" w:rsidRDefault="000C307B" w:rsidP="00043A95">
      <w:pPr>
        <w:numPr>
          <w:ilvl w:val="0"/>
          <w:numId w:val="54"/>
        </w:numPr>
        <w:jc w:val="left"/>
        <w:rPr>
          <w:rFonts w:eastAsia="Times New Roman"/>
        </w:rPr>
      </w:pPr>
      <w:r>
        <w:rPr>
          <w:rFonts w:eastAsia="Times New Roman"/>
        </w:rPr>
        <w:t>педжетоидный</w:t>
      </w:r>
      <w:r w:rsidR="00BF1B70">
        <w:rPr>
          <w:rFonts w:eastAsia="Times New Roman"/>
          <w:lang w:val="en-US"/>
        </w:rPr>
        <w:t xml:space="preserve"> </w:t>
      </w:r>
      <w:r>
        <w:rPr>
          <w:rFonts w:eastAsia="Times New Roman"/>
        </w:rPr>
        <w:t>ретикулез;</w:t>
      </w:r>
    </w:p>
    <w:p w:rsidR="0011501E" w:rsidRPr="0073723C" w:rsidRDefault="000C307B" w:rsidP="00043A95">
      <w:pPr>
        <w:numPr>
          <w:ilvl w:val="0"/>
          <w:numId w:val="54"/>
        </w:numPr>
        <w:jc w:val="left"/>
        <w:rPr>
          <w:rFonts w:eastAsia="Times New Roman"/>
        </w:rPr>
      </w:pPr>
      <w:r>
        <w:rPr>
          <w:rFonts w:eastAsia="Times New Roman"/>
        </w:rPr>
        <w:t>синдром гранулематозной вялой кожи.</w:t>
      </w:r>
    </w:p>
    <w:p w:rsidR="0011501E" w:rsidRPr="0073723C" w:rsidRDefault="000C307B" w:rsidP="00B130CB">
      <w:pPr>
        <w:numPr>
          <w:ilvl w:val="0"/>
          <w:numId w:val="8"/>
        </w:numPr>
        <w:ind w:left="714" w:hanging="357"/>
        <w:jc w:val="left"/>
        <w:rPr>
          <w:rFonts w:eastAsia="Times New Roman"/>
        </w:rPr>
      </w:pPr>
      <w:r>
        <w:rPr>
          <w:rFonts w:eastAsia="Times New Roman"/>
        </w:rPr>
        <w:t>редко встречающиеся варианты:</w:t>
      </w:r>
    </w:p>
    <w:p w:rsidR="0011501E" w:rsidRPr="0073723C" w:rsidRDefault="000C307B" w:rsidP="00043A95">
      <w:pPr>
        <w:numPr>
          <w:ilvl w:val="0"/>
          <w:numId w:val="55"/>
        </w:numPr>
        <w:jc w:val="left"/>
        <w:rPr>
          <w:rFonts w:eastAsia="Times New Roman"/>
        </w:rPr>
      </w:pPr>
      <w:r>
        <w:rPr>
          <w:rFonts w:eastAsia="Times New Roman"/>
        </w:rPr>
        <w:t>эритродермический;</w:t>
      </w:r>
    </w:p>
    <w:p w:rsidR="0011501E" w:rsidRPr="0073723C" w:rsidRDefault="000C307B" w:rsidP="00043A95">
      <w:pPr>
        <w:numPr>
          <w:ilvl w:val="0"/>
          <w:numId w:val="55"/>
        </w:numPr>
        <w:jc w:val="left"/>
        <w:rPr>
          <w:rFonts w:eastAsia="Times New Roman"/>
        </w:rPr>
      </w:pPr>
      <w:r>
        <w:rPr>
          <w:rFonts w:eastAsia="Times New Roman"/>
        </w:rPr>
        <w:t>фолликулярный;</w:t>
      </w:r>
    </w:p>
    <w:p w:rsidR="0011501E" w:rsidRPr="0073723C" w:rsidRDefault="000C307B" w:rsidP="00043A95">
      <w:pPr>
        <w:numPr>
          <w:ilvl w:val="0"/>
          <w:numId w:val="55"/>
        </w:numPr>
        <w:jc w:val="left"/>
        <w:rPr>
          <w:rFonts w:eastAsia="Times New Roman"/>
        </w:rPr>
      </w:pPr>
      <w:r>
        <w:rPr>
          <w:rFonts w:eastAsia="Times New Roman"/>
        </w:rPr>
        <w:t>сиринготропный;</w:t>
      </w:r>
    </w:p>
    <w:p w:rsidR="0011501E" w:rsidRPr="0073723C" w:rsidRDefault="000C307B" w:rsidP="00043A95">
      <w:pPr>
        <w:numPr>
          <w:ilvl w:val="0"/>
          <w:numId w:val="55"/>
        </w:numPr>
        <w:jc w:val="left"/>
        <w:rPr>
          <w:rFonts w:eastAsia="Times New Roman"/>
        </w:rPr>
      </w:pPr>
      <w:r>
        <w:rPr>
          <w:rFonts w:eastAsia="Times New Roman"/>
        </w:rPr>
        <w:t>буллезный/везикулезный;</w:t>
      </w:r>
    </w:p>
    <w:p w:rsidR="0011501E" w:rsidRPr="0073723C" w:rsidRDefault="000C307B" w:rsidP="00043A95">
      <w:pPr>
        <w:numPr>
          <w:ilvl w:val="0"/>
          <w:numId w:val="55"/>
        </w:numPr>
        <w:jc w:val="left"/>
        <w:rPr>
          <w:rFonts w:eastAsia="Times New Roman"/>
        </w:rPr>
      </w:pPr>
      <w:r>
        <w:rPr>
          <w:rFonts w:eastAsia="Times New Roman"/>
        </w:rPr>
        <w:t>гранулематозный;</w:t>
      </w:r>
    </w:p>
    <w:p w:rsidR="0011501E" w:rsidRPr="0073723C" w:rsidRDefault="000C307B" w:rsidP="00043A95">
      <w:pPr>
        <w:numPr>
          <w:ilvl w:val="0"/>
          <w:numId w:val="55"/>
        </w:numPr>
        <w:jc w:val="left"/>
        <w:rPr>
          <w:rFonts w:eastAsia="Times New Roman"/>
        </w:rPr>
      </w:pPr>
      <w:r>
        <w:rPr>
          <w:rFonts w:eastAsia="Times New Roman"/>
        </w:rPr>
        <w:t>пойкилодермический;</w:t>
      </w:r>
    </w:p>
    <w:p w:rsidR="0011501E" w:rsidRPr="0073723C" w:rsidRDefault="000C307B" w:rsidP="00043A95">
      <w:pPr>
        <w:numPr>
          <w:ilvl w:val="0"/>
          <w:numId w:val="55"/>
        </w:numPr>
        <w:jc w:val="left"/>
        <w:rPr>
          <w:rFonts w:eastAsia="Times New Roman"/>
        </w:rPr>
      </w:pPr>
      <w:r>
        <w:rPr>
          <w:rFonts w:eastAsia="Times New Roman"/>
        </w:rPr>
        <w:t>гиперпигментный;</w:t>
      </w:r>
    </w:p>
    <w:p w:rsidR="0011501E" w:rsidRPr="0073723C" w:rsidRDefault="000C307B" w:rsidP="00043A95">
      <w:pPr>
        <w:numPr>
          <w:ilvl w:val="0"/>
          <w:numId w:val="55"/>
        </w:numPr>
        <w:jc w:val="left"/>
        <w:rPr>
          <w:rFonts w:eastAsia="Times New Roman"/>
        </w:rPr>
      </w:pPr>
      <w:r>
        <w:rPr>
          <w:rFonts w:eastAsia="Times New Roman"/>
        </w:rPr>
        <w:t>гипопигментный;</w:t>
      </w:r>
    </w:p>
    <w:p w:rsidR="0011501E" w:rsidRPr="0073723C" w:rsidRDefault="000C307B" w:rsidP="00043A95">
      <w:pPr>
        <w:numPr>
          <w:ilvl w:val="0"/>
          <w:numId w:val="55"/>
        </w:numPr>
        <w:jc w:val="left"/>
        <w:rPr>
          <w:rFonts w:eastAsia="Times New Roman"/>
        </w:rPr>
      </w:pPr>
      <w:r>
        <w:rPr>
          <w:rFonts w:eastAsia="Times New Roman"/>
        </w:rPr>
        <w:t>одноочаговый;</w:t>
      </w:r>
    </w:p>
    <w:p w:rsidR="0011501E" w:rsidRPr="0073723C" w:rsidRDefault="000C307B" w:rsidP="00043A95">
      <w:pPr>
        <w:numPr>
          <w:ilvl w:val="0"/>
          <w:numId w:val="55"/>
        </w:numPr>
        <w:jc w:val="left"/>
        <w:rPr>
          <w:rFonts w:eastAsia="Times New Roman"/>
        </w:rPr>
      </w:pPr>
      <w:r>
        <w:rPr>
          <w:rFonts w:eastAsia="Times New Roman"/>
        </w:rPr>
        <w:t>ладонно-подошвенный;</w:t>
      </w:r>
    </w:p>
    <w:p w:rsidR="0011501E" w:rsidRPr="0073723C" w:rsidRDefault="000C307B" w:rsidP="00043A95">
      <w:pPr>
        <w:numPr>
          <w:ilvl w:val="0"/>
          <w:numId w:val="55"/>
        </w:numPr>
        <w:jc w:val="left"/>
        <w:rPr>
          <w:rFonts w:eastAsia="Times New Roman"/>
        </w:rPr>
      </w:pPr>
      <w:r>
        <w:rPr>
          <w:rFonts w:eastAsia="Times New Roman"/>
        </w:rPr>
        <w:t>гиперкератотический/веррукозный;</w:t>
      </w:r>
    </w:p>
    <w:p w:rsidR="0011501E" w:rsidRPr="0073723C" w:rsidRDefault="000C307B" w:rsidP="00043A95">
      <w:pPr>
        <w:numPr>
          <w:ilvl w:val="0"/>
          <w:numId w:val="55"/>
        </w:numPr>
        <w:jc w:val="left"/>
        <w:rPr>
          <w:rFonts w:eastAsia="Times New Roman"/>
        </w:rPr>
      </w:pPr>
      <w:r>
        <w:rPr>
          <w:rFonts w:eastAsia="Times New Roman"/>
        </w:rPr>
        <w:t>вегетирующий/папилломатозный;</w:t>
      </w:r>
    </w:p>
    <w:p w:rsidR="0011501E" w:rsidRPr="0073723C" w:rsidRDefault="000C307B" w:rsidP="00043A95">
      <w:pPr>
        <w:numPr>
          <w:ilvl w:val="0"/>
          <w:numId w:val="55"/>
        </w:numPr>
        <w:jc w:val="left"/>
        <w:rPr>
          <w:rFonts w:eastAsia="Times New Roman"/>
        </w:rPr>
      </w:pPr>
      <w:r>
        <w:rPr>
          <w:rFonts w:eastAsia="Times New Roman"/>
        </w:rPr>
        <w:t xml:space="preserve">ихтиозиформный; </w:t>
      </w:r>
    </w:p>
    <w:p w:rsidR="0011501E" w:rsidRPr="0073723C" w:rsidRDefault="000C307B" w:rsidP="00043A95">
      <w:pPr>
        <w:numPr>
          <w:ilvl w:val="0"/>
          <w:numId w:val="55"/>
        </w:numPr>
        <w:jc w:val="left"/>
        <w:rPr>
          <w:rFonts w:eastAsia="Times New Roman"/>
        </w:rPr>
      </w:pPr>
      <w:r>
        <w:rPr>
          <w:rFonts w:eastAsia="Times New Roman"/>
        </w:rPr>
        <w:t>пигментно-пурпурозный;</w:t>
      </w:r>
    </w:p>
    <w:p w:rsidR="0011501E" w:rsidRPr="0073723C" w:rsidRDefault="000C307B" w:rsidP="00043A95">
      <w:pPr>
        <w:numPr>
          <w:ilvl w:val="0"/>
          <w:numId w:val="55"/>
        </w:numPr>
        <w:jc w:val="left"/>
        <w:rPr>
          <w:rFonts w:eastAsia="Times New Roman"/>
        </w:rPr>
      </w:pPr>
      <w:r>
        <w:rPr>
          <w:rFonts w:eastAsia="Times New Roman"/>
        </w:rPr>
        <w:t>пустулезный.</w:t>
      </w:r>
    </w:p>
    <w:p w:rsidR="00A70F44" w:rsidRPr="0073723C" w:rsidRDefault="000C307B" w:rsidP="00A70F44">
      <w:pPr>
        <w:pStyle w:val="2"/>
      </w:pPr>
      <w:bookmarkStart w:id="17" w:name="_Toc84161272"/>
      <w:r>
        <w:t xml:space="preserve">1.6 Клиническая картина </w:t>
      </w:r>
      <w:r>
        <w:rPr>
          <w:color w:val="333333"/>
          <w:shd w:val="clear" w:color="auto" w:fill="FFFFFF"/>
        </w:rPr>
        <w:t>заболевания или состояния (группы заболеваний или состояний)</w:t>
      </w:r>
      <w:bookmarkEnd w:id="17"/>
    </w:p>
    <w:p w:rsidR="003256AD" w:rsidRPr="0073723C" w:rsidRDefault="000C307B" w:rsidP="003256AD">
      <w:pPr>
        <w:pStyle w:val="afb"/>
        <w:spacing w:beforeAutospacing="0" w:afterAutospacing="0" w:line="360" w:lineRule="auto"/>
        <w:ind w:left="357"/>
        <w:rPr>
          <w:rFonts w:eastAsiaTheme="minorEastAsia"/>
        </w:rPr>
      </w:pPr>
      <w:r>
        <w:t>При классическом варианте грибовидного микоза заболевание протекает стадийно с нарастанием распространенности процесса и делится на 3 клинических стадии: пятнистая (эритематозная), бляшечная и опухолевая.</w:t>
      </w:r>
    </w:p>
    <w:p w:rsidR="003256AD" w:rsidRPr="0073723C" w:rsidRDefault="000C307B" w:rsidP="003256AD">
      <w:pPr>
        <w:pStyle w:val="afb"/>
        <w:spacing w:beforeAutospacing="0" w:afterAutospacing="0" w:line="360" w:lineRule="auto"/>
        <w:ind w:left="357"/>
      </w:pPr>
      <w:r>
        <w:lastRenderedPageBreak/>
        <w:t>Заболевание начинается с пятен разных размеров, с четкими краями, которые расположены несимметрично и чаще локализуются на ягодицах и участках кожи, защищенных от солнечного облучения – молочных железах, нижних отделов живота, в подмышечных и паховых складках, на внутренней поверхности бедер и плеч. Цвет пятен варьирует от розовато-красного до желтовато-оранжевого и коричневого оттенков. Поверхность пятен может быть морщинистой (псевдоатрофичной) и слегка лихенифицированной, в случае появления телеангиоэктазий и участков пигментации развивается пойкилодемия. В эритематозной стадии болезнь может проявляться разнообразными и нехарактерными эритемами, уртикароподобными, псориазо- и парапсориазоподобными, экземоподобными высыпаниями.  </w:t>
      </w:r>
    </w:p>
    <w:p w:rsidR="003256AD" w:rsidRPr="0073723C" w:rsidRDefault="000C307B" w:rsidP="003256AD">
      <w:pPr>
        <w:pStyle w:val="afb"/>
        <w:spacing w:beforeAutospacing="0" w:afterAutospacing="0" w:line="360" w:lineRule="auto"/>
      </w:pPr>
      <w:r>
        <w:t>Для бляшечной стадии характерно образование инфильтрированных бляшек различной величины, желтовато-красной или синюшной окраски. Поверхность их может быть гладкой, слегка шелушащейся или лихенифицированной. Образование бляшек протекает бессимптомно или сопровождается очень сильным зудом, иногда их рост идет неравномерно за счет периферической части, в результате чего образуются дугообразные очаги. Разрешаются бляшки медленно и неравномерно, при разрешении в центре они приобретают кольцевидную форму.</w:t>
      </w:r>
    </w:p>
    <w:p w:rsidR="003256AD" w:rsidRPr="0073723C" w:rsidRDefault="000C307B" w:rsidP="003256AD">
      <w:pPr>
        <w:pStyle w:val="afb"/>
        <w:tabs>
          <w:tab w:val="left" w:pos="1134"/>
        </w:tabs>
        <w:spacing w:beforeAutospacing="0" w:afterAutospacing="0" w:line="360" w:lineRule="auto"/>
        <w:rPr>
          <w:rFonts w:eastAsiaTheme="minorEastAsia"/>
        </w:rPr>
      </w:pPr>
      <w:r>
        <w:t>Клиническими симптомами, характерными для ранних стадий грибовидного микоза, являются:</w:t>
      </w:r>
    </w:p>
    <w:p w:rsidR="003256AD" w:rsidRPr="0073723C" w:rsidRDefault="000C307B" w:rsidP="00043A95">
      <w:pPr>
        <w:numPr>
          <w:ilvl w:val="0"/>
          <w:numId w:val="56"/>
        </w:numPr>
        <w:jc w:val="left"/>
        <w:rPr>
          <w:rFonts w:eastAsia="Times New Roman"/>
        </w:rPr>
      </w:pPr>
      <w:r>
        <w:rPr>
          <w:rFonts w:eastAsia="Times New Roman"/>
        </w:rPr>
        <w:t>вариабельность формы, размеров и цвета высыпаний;</w:t>
      </w:r>
    </w:p>
    <w:p w:rsidR="003256AD" w:rsidRPr="0073723C" w:rsidRDefault="000C307B" w:rsidP="00043A95">
      <w:pPr>
        <w:numPr>
          <w:ilvl w:val="0"/>
          <w:numId w:val="56"/>
        </w:numPr>
        <w:jc w:val="left"/>
        <w:rPr>
          <w:rFonts w:eastAsia="Times New Roman"/>
        </w:rPr>
      </w:pPr>
      <w:r>
        <w:rPr>
          <w:rFonts w:eastAsia="Times New Roman"/>
        </w:rPr>
        <w:t>феномен одновременного прогрессирования и регрессирования отдельных высыпаний;</w:t>
      </w:r>
    </w:p>
    <w:p w:rsidR="003256AD" w:rsidRPr="0073723C" w:rsidRDefault="000C307B" w:rsidP="00043A95">
      <w:pPr>
        <w:numPr>
          <w:ilvl w:val="0"/>
          <w:numId w:val="56"/>
        </w:numPr>
        <w:jc w:val="left"/>
        <w:rPr>
          <w:rFonts w:eastAsia="Times New Roman"/>
        </w:rPr>
      </w:pPr>
      <w:r>
        <w:rPr>
          <w:rFonts w:eastAsia="Times New Roman"/>
        </w:rPr>
        <w:t>пойкилодермия (пятнистая пигментация, телеангиоэктазии, атрофия кожи);</w:t>
      </w:r>
    </w:p>
    <w:p w:rsidR="003256AD" w:rsidRPr="0073723C" w:rsidRDefault="000C307B" w:rsidP="00043A95">
      <w:pPr>
        <w:numPr>
          <w:ilvl w:val="0"/>
          <w:numId w:val="56"/>
        </w:numPr>
        <w:jc w:val="left"/>
        <w:rPr>
          <w:rFonts w:eastAsia="Times New Roman"/>
        </w:rPr>
      </w:pPr>
      <w:r>
        <w:rPr>
          <w:rFonts w:eastAsia="Times New Roman"/>
        </w:rPr>
        <w:t>множественные высыпания, несколько зон вовлечения;</w:t>
      </w:r>
    </w:p>
    <w:p w:rsidR="003256AD" w:rsidRPr="0073723C" w:rsidRDefault="000C307B" w:rsidP="00043A95">
      <w:pPr>
        <w:numPr>
          <w:ilvl w:val="0"/>
          <w:numId w:val="56"/>
        </w:numPr>
        <w:jc w:val="left"/>
        <w:rPr>
          <w:rFonts w:eastAsia="Times New Roman"/>
        </w:rPr>
      </w:pPr>
      <w:r>
        <w:rPr>
          <w:rFonts w:eastAsia="Times New Roman"/>
        </w:rPr>
        <w:t>характерная локализация высыпаний на участках кожи, не подвергающихся солнечному облучению;</w:t>
      </w:r>
    </w:p>
    <w:p w:rsidR="003256AD" w:rsidRPr="0073723C" w:rsidRDefault="000C307B" w:rsidP="00043A95">
      <w:pPr>
        <w:numPr>
          <w:ilvl w:val="0"/>
          <w:numId w:val="56"/>
        </w:numPr>
        <w:jc w:val="left"/>
        <w:rPr>
          <w:rFonts w:eastAsia="Times New Roman"/>
        </w:rPr>
      </w:pPr>
      <w:r>
        <w:rPr>
          <w:rFonts w:eastAsia="Times New Roman"/>
        </w:rPr>
        <w:t xml:space="preserve">зуд, сопровождающий высыпания </w:t>
      </w:r>
      <w:r w:rsidR="00062499" w:rsidRPr="0073723C">
        <w:rPr>
          <w:rFonts w:eastAsia="Times New Roman"/>
        </w:rPr>
        <w:fldChar w:fldCharType="begin" w:fldLock="1"/>
      </w:r>
      <w:r>
        <w:rPr>
          <w:rFonts w:eastAsia="Times New Roman"/>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73723C">
        <w:rPr>
          <w:rFonts w:eastAsia="Times New Roman"/>
        </w:rPr>
        <w:fldChar w:fldCharType="separate"/>
      </w:r>
      <w:r>
        <w:rPr>
          <w:rFonts w:eastAsia="Times New Roman"/>
          <w:noProof/>
        </w:rPr>
        <w:t>[3–5]</w:t>
      </w:r>
      <w:r w:rsidR="00062499" w:rsidRPr="0073723C">
        <w:rPr>
          <w:rFonts w:eastAsia="Times New Roman"/>
        </w:rPr>
        <w:fldChar w:fldCharType="end"/>
      </w:r>
      <w:r w:rsidR="003256AD" w:rsidRPr="0073723C">
        <w:rPr>
          <w:rStyle w:val="affa"/>
          <w:rFonts w:eastAsia="Times New Roman"/>
        </w:rPr>
        <w:t>.</w:t>
      </w:r>
    </w:p>
    <w:p w:rsidR="003256AD" w:rsidRPr="0073723C" w:rsidRDefault="003256AD" w:rsidP="003256AD">
      <w:pPr>
        <w:pStyle w:val="afb"/>
        <w:spacing w:beforeAutospacing="0" w:afterAutospacing="0" w:line="360" w:lineRule="auto"/>
        <w:ind w:left="357"/>
      </w:pPr>
      <w:r w:rsidRPr="0073723C">
        <w:t xml:space="preserve">В опухолевой стадии у </w:t>
      </w:r>
      <w:r w:rsidR="009759CE" w:rsidRPr="0073723C">
        <w:t xml:space="preserve">пациента </w:t>
      </w:r>
      <w:r w:rsidRPr="0073723C">
        <w:t>обычно обнаруживается сочетание пятен, бляшек и узлов. Узлы могут формироваться как в области существующих бляшек, так и на непораженной ранее коже. Их локализация и количество могут варьиро</w:t>
      </w:r>
      <w:r w:rsidR="000C307B">
        <w:t xml:space="preserve">вать от единичных до множественных. В опухолевой стадии могут поражаться лимфатические узлы и внутренние органы </w:t>
      </w:r>
      <w:r w:rsidR="00062499" w:rsidRPr="0073723C">
        <w:fldChar w:fldCharType="begin" w:fldLock="1"/>
      </w:r>
      <w:r w:rsidR="000C307B">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mendeley":{"formattedCitation":"[3,4]","plainTextFormattedCitation":"[3,4]","previouslyFormattedCitation":"[3,4]"},"properties":{"noteIndex":0},"schema":"https://github.com/citation-style-language/schema/raw/master/csl-citation.json"}</w:instrText>
      </w:r>
      <w:r w:rsidR="00062499" w:rsidRPr="0073723C">
        <w:fldChar w:fldCharType="separate"/>
      </w:r>
      <w:r w:rsidR="0019731A" w:rsidRPr="0073723C">
        <w:rPr>
          <w:noProof/>
        </w:rPr>
        <w:t>[3,4]</w:t>
      </w:r>
      <w:r w:rsidR="00062499" w:rsidRPr="0073723C">
        <w:fldChar w:fldCharType="end"/>
      </w:r>
      <w:r w:rsidRPr="0073723C">
        <w:t xml:space="preserve">. </w:t>
      </w:r>
    </w:p>
    <w:p w:rsidR="003256AD" w:rsidRPr="0073723C" w:rsidRDefault="003256AD" w:rsidP="003256AD">
      <w:pPr>
        <w:autoSpaceDE w:val="0"/>
        <w:rPr>
          <w:rFonts w:eastAsia="TimesLTStd-Roman"/>
          <w:color w:val="000000"/>
          <w:szCs w:val="24"/>
        </w:rPr>
      </w:pPr>
      <w:r w:rsidRPr="0073723C">
        <w:rPr>
          <w:rFonts w:eastAsia="TimesLTStd-Roman"/>
          <w:color w:val="000000"/>
          <w:szCs w:val="24"/>
        </w:rPr>
        <w:t xml:space="preserve">Фолликулотропный грибовидный микоз является самостоятельным вариантом грибовидного микоза, характеризующимся наличием фолликулотропных инфильтратов, </w:t>
      </w:r>
      <w:r w:rsidRPr="0073723C">
        <w:rPr>
          <w:rFonts w:eastAsia="TimesLTStd-Roman"/>
          <w:color w:val="000000"/>
          <w:szCs w:val="24"/>
        </w:rPr>
        <w:lastRenderedPageBreak/>
        <w:t>часто с сохранением межфолликулярного эпидермиса и преимущественным поражением головы и шеи. Фолликулотропн</w:t>
      </w:r>
      <w:r w:rsidR="000C307B" w:rsidRPr="000C307B">
        <w:rPr>
          <w:rFonts w:eastAsia="TimesLTStd-Roman"/>
          <w:color w:val="000000"/>
          <w:szCs w:val="24"/>
        </w:rPr>
        <w:t>ый грибовидный микоз развивается главным образом у взрослых, но описан также у детей и подростков. Мужчины болеют чаще, чем женщины. Поражение кожи располагается преимущественно на лице и шее, где оно наиболее выражено</w:t>
      </w:r>
      <w:r w:rsidR="007F36A7" w:rsidRPr="007F36A7">
        <w:rPr>
          <w:rFonts w:eastAsia="TimesLTStd-Roman"/>
          <w:color w:val="000000"/>
          <w:szCs w:val="24"/>
        </w:rPr>
        <w:t>.</w:t>
      </w:r>
      <w:r w:rsidR="000C307B" w:rsidRPr="000C307B">
        <w:rPr>
          <w:rFonts w:eastAsia="TimesLTStd-Roman"/>
          <w:color w:val="000000"/>
          <w:szCs w:val="24"/>
        </w:rPr>
        <w:t xml:space="preserve"> Заболевание может проявляться сгруппированными фолликулярными папулами, пятнами, ассоциированными с фолликулами, плотными бляшками или опухолями.</w:t>
      </w:r>
      <w:r w:rsidR="007F36A7" w:rsidRPr="007F36A7">
        <w:rPr>
          <w:rFonts w:eastAsia="TimesLTStd-Roman"/>
          <w:color w:val="000000"/>
          <w:szCs w:val="24"/>
        </w:rPr>
        <w:t xml:space="preserve"> </w:t>
      </w:r>
      <w:r w:rsidR="000C307B" w:rsidRPr="000C307B">
        <w:rPr>
          <w:rFonts w:eastAsia="TimesLTStd-Roman"/>
          <w:color w:val="000000"/>
          <w:szCs w:val="24"/>
        </w:rPr>
        <w:t>Другими клиническими проявлениями являются акнеформные высыпания (комедоны, кисты) и высыпания, напоминающие волосяной кератоз, которые локализуются главным образом на туловище и конечностях. Поражение кожи при фолликулотропном грибовидном микозе часто ассоциировано с алопецией. У детей заболевание чаще всего проявляется гипопигментированными, приуроченными к волосяным фолликулам пятнами, и ассоциированной алопецией. Частым и очень характерным признаком болезни являются инфильтрированные бляшки в области бровей, сопровождающиеся выпадением волос. Зуд зачастую очень интенсивный. Часто наблюдаются вторичные бактериальные инфекции. В редких случаях фолликулотропный грибовидный микоз может проявляться солитарными очагами поражения (солитарный или одноочаговый</w:t>
      </w:r>
      <w:r w:rsidR="007F36A7" w:rsidRPr="007F36A7">
        <w:rPr>
          <w:rFonts w:eastAsia="TimesLTStd-Roman"/>
          <w:color w:val="000000"/>
          <w:szCs w:val="24"/>
        </w:rPr>
        <w:t xml:space="preserve"> </w:t>
      </w:r>
      <w:r w:rsidR="000C307B" w:rsidRPr="000C307B">
        <w:rPr>
          <w:rFonts w:eastAsia="TimesLTStd-Roman"/>
          <w:color w:val="000000"/>
          <w:szCs w:val="24"/>
        </w:rPr>
        <w:t xml:space="preserve">фолликулотропный грибовидный микоз) или эритродермией </w:t>
      </w:r>
      <w:r w:rsidR="00062499" w:rsidRPr="0073723C">
        <w:rPr>
          <w:rFonts w:eastAsia="TimesLTStd-Roman"/>
          <w:color w:val="000000"/>
          <w:szCs w:val="24"/>
        </w:rPr>
        <w:fldChar w:fldCharType="begin" w:fldLock="1"/>
      </w:r>
      <w:r w:rsidR="000C307B" w:rsidRPr="000C307B">
        <w:rPr>
          <w:rFonts w:eastAsia="TimesLTStd-Roman"/>
          <w:color w:val="000000"/>
          <w:szCs w:val="24"/>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rFonts w:eastAsia="TimesLTStd-Roman"/>
          <w:color w:val="000000"/>
          <w:szCs w:val="24"/>
        </w:rPr>
        <w:fldChar w:fldCharType="separate"/>
      </w:r>
      <w:r w:rsidR="0019731A" w:rsidRPr="0073723C">
        <w:rPr>
          <w:rFonts w:eastAsia="TimesLTStd-Roman"/>
          <w:noProof/>
          <w:color w:val="000000"/>
          <w:szCs w:val="24"/>
        </w:rPr>
        <w:t>[5]</w:t>
      </w:r>
      <w:r w:rsidR="00062499" w:rsidRPr="0073723C">
        <w:rPr>
          <w:rFonts w:eastAsia="TimesLTStd-Roman"/>
          <w:color w:val="000000"/>
          <w:szCs w:val="24"/>
        </w:rPr>
        <w:fldChar w:fldCharType="end"/>
      </w:r>
      <w:r w:rsidRPr="0073723C">
        <w:rPr>
          <w:rFonts w:eastAsia="TimesLTStd-Roman"/>
          <w:color w:val="000000"/>
          <w:szCs w:val="24"/>
        </w:rPr>
        <w:t>.</w:t>
      </w:r>
    </w:p>
    <w:p w:rsidR="003256AD" w:rsidRPr="0073723C" w:rsidRDefault="003256AD" w:rsidP="003256AD">
      <w:pPr>
        <w:autoSpaceDE w:val="0"/>
        <w:rPr>
          <w:szCs w:val="24"/>
        </w:rPr>
      </w:pPr>
      <w:r w:rsidRPr="0073723C">
        <w:rPr>
          <w:szCs w:val="24"/>
        </w:rPr>
        <w:t>Сиринготропный грибовидный микоз представляет собой редкий вариант заболевания, имеющим много общего с фолликулотропным грибовидным микозом. Он характеризуется выраженным поражением эккринных желез, часто ассоциируясь с пилотропизмом. Поражения кожи могут быть солитарными или, чаще, генерализованными</w:t>
      </w:r>
      <w:r w:rsidR="0019731A" w:rsidRPr="0073723C">
        <w:rPr>
          <w:szCs w:val="24"/>
        </w:rPr>
        <w:t xml:space="preserve"> </w:t>
      </w:r>
      <w:r w:rsidR="00062499" w:rsidRPr="0073723C">
        <w:rPr>
          <w:szCs w:val="24"/>
        </w:rPr>
        <w:fldChar w:fldCharType="begin" w:fldLock="1"/>
      </w:r>
      <w:r w:rsidR="000C307B">
        <w:rPr>
          <w:szCs w:val="24"/>
        </w:rPr>
        <w:instrText>ADDIN CSL_CITATION {"citationItems":[{"id":"ITEM-1","itemData":{"DOI":"10.12788/j.sder.2018.002","ISSN":"15580768","abstract":"Mycosis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Surgery","id":"ITEM-1","issue":"1","issued":{"date-parts":[["2018","3","1"]]},"page":"2-10","publisher":"Frontline Medical Communications","title":"Mycosis fungoides-clinical and histopathologic features, differential diagnosis, and treatment","type":"article-journal","volume":"37"},"uris":["http://www.mendeley.com/documents/?uuid=0eef9cf6-6919-34c1-a5e7-dca806294a6c"]}],"mendeley":{"formattedCitation":"[4]","plainTextFormattedCitation":"[4]","previouslyFormattedCitation":"[4]"},"properties":{"noteIndex":0},"schema":"https://github.com/citation-style-language/schema/raw/master/csl-citation.json"}</w:instrText>
      </w:r>
      <w:r w:rsidR="00062499" w:rsidRPr="0073723C">
        <w:rPr>
          <w:szCs w:val="24"/>
        </w:rPr>
        <w:fldChar w:fldCharType="separate"/>
      </w:r>
      <w:r w:rsidR="0019731A" w:rsidRPr="0073723C">
        <w:rPr>
          <w:noProof/>
          <w:szCs w:val="24"/>
        </w:rPr>
        <w:t>[4]</w:t>
      </w:r>
      <w:r w:rsidR="00062499" w:rsidRPr="0073723C">
        <w:rPr>
          <w:szCs w:val="24"/>
        </w:rPr>
        <w:fldChar w:fldCharType="end"/>
      </w:r>
      <w:r w:rsidR="0019731A" w:rsidRPr="0073723C">
        <w:rPr>
          <w:szCs w:val="24"/>
        </w:rPr>
        <w:t>.</w:t>
      </w:r>
    </w:p>
    <w:p w:rsidR="003256AD" w:rsidRPr="0073723C" w:rsidRDefault="003256AD" w:rsidP="003256AD">
      <w:pPr>
        <w:autoSpaceDE w:val="0"/>
        <w:rPr>
          <w:rFonts w:eastAsia="TimesLTStd-Roman"/>
          <w:color w:val="000000"/>
          <w:szCs w:val="24"/>
        </w:rPr>
      </w:pPr>
      <w:r w:rsidRPr="0073723C">
        <w:rPr>
          <w:rFonts w:eastAsia="TimesLTStd-Roman"/>
          <w:color w:val="000000"/>
          <w:szCs w:val="24"/>
        </w:rPr>
        <w:t>Педжетоидный</w:t>
      </w:r>
      <w:r w:rsidR="007F36A7" w:rsidRPr="007F36A7">
        <w:rPr>
          <w:rFonts w:eastAsia="TimesLTStd-Roman"/>
          <w:color w:val="000000"/>
          <w:szCs w:val="24"/>
        </w:rPr>
        <w:t xml:space="preserve"> </w:t>
      </w:r>
      <w:r w:rsidRPr="0073723C">
        <w:rPr>
          <w:rFonts w:eastAsia="TimesLTStd-Roman"/>
          <w:color w:val="000000"/>
          <w:szCs w:val="24"/>
        </w:rPr>
        <w:t>ретикулез представляет собой редкий вариант грибовидного микоза, характеризующийся локализованными пятнами или бляшками с интраэпидермальной пролиферацией неопластических Т-лимфоцитов. Термин педжетоидный</w:t>
      </w:r>
      <w:r w:rsidR="007F36A7" w:rsidRPr="007F36A7">
        <w:rPr>
          <w:rFonts w:eastAsia="TimesLTStd-Roman"/>
          <w:color w:val="000000"/>
          <w:szCs w:val="24"/>
        </w:rPr>
        <w:t xml:space="preserve"> </w:t>
      </w:r>
      <w:r w:rsidRPr="0073723C">
        <w:rPr>
          <w:rFonts w:eastAsia="TimesLTStd-Roman"/>
          <w:color w:val="000000"/>
          <w:szCs w:val="24"/>
        </w:rPr>
        <w:t xml:space="preserve">ретикулез следует использовать только для локализованного типа болезни (тип Ворингера-Колоппа), но не для диссеминированного типа (тип Кетрона-Гудмана), так как в настоящее время у большинства пациентов с генерализованными высыпаниями заболевание рассматривают как первичную кожную </w:t>
      </w:r>
      <w:r w:rsidR="000C307B" w:rsidRPr="000C307B">
        <w:rPr>
          <w:rFonts w:eastAsia="TimesLTStd-Roman"/>
          <w:color w:val="000000"/>
          <w:szCs w:val="24"/>
          <w:lang w:val="en-US"/>
        </w:rPr>
        <w:t>CD</w:t>
      </w:r>
      <w:r w:rsidR="000C307B" w:rsidRPr="000C307B">
        <w:rPr>
          <w:rFonts w:eastAsia="TimesLTStd-Roman"/>
          <w:color w:val="000000"/>
          <w:szCs w:val="24"/>
        </w:rPr>
        <w:t xml:space="preserve">8+ агрессивную эпидермотропную цитотоксическую лимфому, первичную кожную </w:t>
      </w:r>
      <w:r w:rsidR="000C307B" w:rsidRPr="000C307B">
        <w:rPr>
          <w:rFonts w:eastAsia="MathematicalPiLTStd"/>
          <w:color w:val="000000"/>
          <w:szCs w:val="24"/>
        </w:rPr>
        <w:t>γ</w:t>
      </w:r>
      <w:r w:rsidR="000C307B" w:rsidRPr="000C307B">
        <w:rPr>
          <w:rFonts w:eastAsia="TimesLTStd-Roman"/>
          <w:color w:val="000000"/>
          <w:szCs w:val="24"/>
        </w:rPr>
        <w:t>/</w:t>
      </w:r>
      <w:r w:rsidR="000C307B" w:rsidRPr="000C307B">
        <w:rPr>
          <w:rFonts w:eastAsia="MathematicalPiLTStd"/>
          <w:color w:val="000000"/>
          <w:szCs w:val="24"/>
        </w:rPr>
        <w:t xml:space="preserve">δ Т-клеточную лимфому или опухолевую стадию грибовидного микоза </w:t>
      </w:r>
      <w:r w:rsidR="00062499" w:rsidRPr="0073723C">
        <w:rPr>
          <w:rFonts w:eastAsia="TimesLTStd-Roman"/>
          <w:color w:val="000000"/>
          <w:szCs w:val="24"/>
        </w:rPr>
        <w:fldChar w:fldCharType="begin" w:fldLock="1"/>
      </w:r>
      <w:r w:rsidR="000C307B" w:rsidRPr="000C307B">
        <w:rPr>
          <w:rFonts w:eastAsia="TimesLTStd-Roman"/>
          <w:color w:val="000000"/>
          <w:szCs w:val="24"/>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rFonts w:eastAsia="TimesLTStd-Roman"/>
          <w:color w:val="000000"/>
          <w:szCs w:val="24"/>
        </w:rPr>
        <w:fldChar w:fldCharType="separate"/>
      </w:r>
      <w:r w:rsidR="0019731A" w:rsidRPr="0073723C">
        <w:rPr>
          <w:rFonts w:eastAsia="TimesLTStd-Roman"/>
          <w:noProof/>
          <w:color w:val="000000"/>
          <w:szCs w:val="24"/>
        </w:rPr>
        <w:t>[5]</w:t>
      </w:r>
      <w:r w:rsidR="00062499" w:rsidRPr="0073723C">
        <w:rPr>
          <w:rFonts w:eastAsia="TimesLTStd-Roman"/>
          <w:color w:val="000000"/>
          <w:szCs w:val="24"/>
        </w:rPr>
        <w:fldChar w:fldCharType="end"/>
      </w:r>
      <w:r w:rsidRPr="0073723C">
        <w:rPr>
          <w:rFonts w:eastAsia="MathematicalPiLTStd"/>
          <w:color w:val="000000"/>
          <w:szCs w:val="24"/>
        </w:rPr>
        <w:t xml:space="preserve">. </w:t>
      </w:r>
      <w:r w:rsidRPr="0073723C">
        <w:rPr>
          <w:rFonts w:eastAsia="TimesLTStd-Roman"/>
          <w:color w:val="000000"/>
          <w:szCs w:val="24"/>
        </w:rPr>
        <w:t>Поражение кожи у пациентов обычно представлено солитарными, медленно прогрессирующими псориазиформными или гиперкератотическими бляшками, которые обычно локализуются на конечностях, чаще всего на кистях и стопах</w:t>
      </w:r>
      <w:r w:rsidR="0019731A" w:rsidRPr="0073723C">
        <w:rPr>
          <w:rFonts w:eastAsia="TimesLTStd-Roman"/>
          <w:color w:val="000000"/>
          <w:szCs w:val="24"/>
        </w:rPr>
        <w:t xml:space="preserve"> </w:t>
      </w:r>
      <w:r w:rsidR="00062499" w:rsidRPr="0073723C">
        <w:rPr>
          <w:rFonts w:eastAsia="TimesLTStd-Roman"/>
          <w:color w:val="000000"/>
          <w:szCs w:val="24"/>
        </w:rPr>
        <w:fldChar w:fldCharType="begin" w:fldLock="1"/>
      </w:r>
      <w:r w:rsidR="000C307B" w:rsidRPr="000C307B">
        <w:rPr>
          <w:rFonts w:eastAsia="TimesLTStd-Roman"/>
          <w:color w:val="000000"/>
          <w:szCs w:val="24"/>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rFonts w:eastAsia="TimesLTStd-Roman"/>
          <w:color w:val="000000"/>
          <w:szCs w:val="24"/>
        </w:rPr>
        <w:fldChar w:fldCharType="separate"/>
      </w:r>
      <w:r w:rsidR="0019731A" w:rsidRPr="0073723C">
        <w:rPr>
          <w:rFonts w:eastAsia="TimesLTStd-Roman"/>
          <w:noProof/>
          <w:color w:val="000000"/>
          <w:szCs w:val="24"/>
        </w:rPr>
        <w:t>[5]</w:t>
      </w:r>
      <w:r w:rsidR="00062499" w:rsidRPr="0073723C">
        <w:rPr>
          <w:rFonts w:eastAsia="TimesLTStd-Roman"/>
          <w:color w:val="000000"/>
          <w:szCs w:val="24"/>
        </w:rPr>
        <w:fldChar w:fldCharType="end"/>
      </w:r>
      <w:r w:rsidRPr="0073723C">
        <w:rPr>
          <w:rFonts w:eastAsia="TimesLTStd-Roman"/>
          <w:color w:val="000000"/>
          <w:szCs w:val="24"/>
        </w:rPr>
        <w:t>.</w:t>
      </w:r>
    </w:p>
    <w:p w:rsidR="003256AD" w:rsidRPr="0073723C" w:rsidRDefault="003256AD" w:rsidP="003256AD">
      <w:pPr>
        <w:autoSpaceDE w:val="0"/>
        <w:rPr>
          <w:rFonts w:eastAsia="TimesLTStd-Roman"/>
          <w:szCs w:val="24"/>
        </w:rPr>
      </w:pPr>
      <w:r w:rsidRPr="0073723C">
        <w:rPr>
          <w:rFonts w:eastAsia="TimesLTStd-Roman"/>
          <w:szCs w:val="24"/>
        </w:rPr>
        <w:lastRenderedPageBreak/>
        <w:t xml:space="preserve">Синдром гранулематозной вялой кожи – это крайне редкий вариант грибовидного микоза, характеризующийся медленным формированием складок вялой кожи и гранулематозным инфильтратом с клональными Т-лимфоцитами. Первоначальным проявлением поражения кожи при синдроме гранулематозной вялой кожи, как и при классическом грибовидном микозе, являются пятна и бляшки, которые трансформируются в крупные, висящие складки атрофичной кожи в области сгибов (подмышки и пах), напоминающие синдром вялой кожи — </w:t>
      </w:r>
      <w:r w:rsidRPr="0073723C">
        <w:rPr>
          <w:rFonts w:eastAsia="TimesLTStd-Roman"/>
          <w:szCs w:val="24"/>
          <w:lang w:val="en-US"/>
        </w:rPr>
        <w:t>cutislaxa</w:t>
      </w:r>
      <w:r w:rsidRPr="0073723C">
        <w:rPr>
          <w:rFonts w:eastAsia="TimesLTStd-Roman"/>
          <w:szCs w:val="24"/>
        </w:rPr>
        <w:t>. Внекожная диссеминация патологического процесса развивается крайне редко, и у большинства</w:t>
      </w:r>
      <w:r w:rsidR="000C307B" w:rsidRPr="000C307B">
        <w:rPr>
          <w:rFonts w:eastAsia="TimesLTStd-Roman"/>
          <w:szCs w:val="24"/>
        </w:rPr>
        <w:t xml:space="preserve"> пациентов заболевание имеет индолентное</w:t>
      </w:r>
      <w:r w:rsidR="007F36A7" w:rsidRPr="007F36A7">
        <w:rPr>
          <w:rFonts w:eastAsia="TimesLTStd-Roman"/>
          <w:szCs w:val="24"/>
        </w:rPr>
        <w:t xml:space="preserve"> </w:t>
      </w:r>
      <w:r w:rsidR="000C307B" w:rsidRPr="000C307B">
        <w:rPr>
          <w:rFonts w:eastAsia="TimesLTStd-Roman"/>
          <w:szCs w:val="24"/>
        </w:rPr>
        <w:t xml:space="preserve">течение </w:t>
      </w:r>
      <w:r w:rsidR="00062499" w:rsidRPr="0073723C">
        <w:rPr>
          <w:rFonts w:eastAsia="TimesLTStd-Roman"/>
          <w:color w:val="000000"/>
          <w:szCs w:val="24"/>
        </w:rPr>
        <w:fldChar w:fldCharType="begin" w:fldLock="1"/>
      </w:r>
      <w:r w:rsidR="000C307B" w:rsidRPr="000C307B">
        <w:rPr>
          <w:rFonts w:eastAsia="TimesLTStd-Roman"/>
          <w:color w:val="000000"/>
          <w:szCs w:val="24"/>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rFonts w:eastAsia="TimesLTStd-Roman"/>
          <w:color w:val="000000"/>
          <w:szCs w:val="24"/>
        </w:rPr>
        <w:fldChar w:fldCharType="separate"/>
      </w:r>
      <w:r w:rsidR="0019731A" w:rsidRPr="0073723C">
        <w:rPr>
          <w:rFonts w:eastAsia="TimesLTStd-Roman"/>
          <w:noProof/>
          <w:color w:val="000000"/>
          <w:szCs w:val="24"/>
        </w:rPr>
        <w:t>[5]</w:t>
      </w:r>
      <w:r w:rsidR="00062499" w:rsidRPr="0073723C">
        <w:rPr>
          <w:rFonts w:eastAsia="TimesLTStd-Roman"/>
          <w:color w:val="000000"/>
          <w:szCs w:val="24"/>
        </w:rPr>
        <w:fldChar w:fldCharType="end"/>
      </w:r>
      <w:r w:rsidRPr="0073723C">
        <w:rPr>
          <w:rFonts w:eastAsia="TimesLTStd-Roman"/>
          <w:szCs w:val="24"/>
        </w:rPr>
        <w:t xml:space="preserve">. </w:t>
      </w:r>
    </w:p>
    <w:p w:rsidR="003256AD" w:rsidRPr="0073723C" w:rsidRDefault="003256AD" w:rsidP="003256AD">
      <w:pPr>
        <w:autoSpaceDE w:val="0"/>
        <w:rPr>
          <w:rFonts w:eastAsia="TimesLTStd-Roman"/>
          <w:color w:val="000000"/>
          <w:szCs w:val="24"/>
        </w:rPr>
      </w:pPr>
      <w:r w:rsidRPr="0073723C">
        <w:rPr>
          <w:rFonts w:eastAsia="TimesLTStd-Roman"/>
          <w:color w:val="000000"/>
          <w:szCs w:val="24"/>
        </w:rPr>
        <w:t xml:space="preserve">Гипопигментный грибовидный микоз часто обнаруживается у людей с темной кожей и часто встречается у детей и подростков. У </w:t>
      </w:r>
      <w:r w:rsidR="009759CE" w:rsidRPr="0073723C">
        <w:rPr>
          <w:rFonts w:eastAsia="TimesLTStd-Roman"/>
          <w:color w:val="000000"/>
          <w:szCs w:val="24"/>
        </w:rPr>
        <w:t xml:space="preserve">пациентов </w:t>
      </w:r>
      <w:r w:rsidRPr="0073723C">
        <w:rPr>
          <w:rFonts w:eastAsia="TimesLTStd-Roman"/>
          <w:color w:val="000000"/>
          <w:szCs w:val="24"/>
        </w:rPr>
        <w:t>с белой кожей гипопигментированные очаги поражения обычно сосуществуют вместе с эритематозными высыпаниями, типичными для кла</w:t>
      </w:r>
      <w:r w:rsidR="000C307B" w:rsidRPr="000C307B">
        <w:rPr>
          <w:rFonts w:eastAsia="TimesLTStd-Roman"/>
          <w:color w:val="000000"/>
          <w:szCs w:val="24"/>
        </w:rPr>
        <w:t xml:space="preserve">ссического грибовидного микоза. Заболевание проявляется гипопигментированными пятнами, которые локализуются преимущественно на туловище и конечностях и не сопровождаются субъективными ощущениями </w:t>
      </w:r>
      <w:r w:rsidR="00062499" w:rsidRPr="0073723C">
        <w:rPr>
          <w:rFonts w:eastAsia="TimesLTStd-Roman"/>
          <w:color w:val="000000"/>
          <w:szCs w:val="24"/>
        </w:rPr>
        <w:fldChar w:fldCharType="begin" w:fldLock="1"/>
      </w:r>
      <w:r w:rsidR="000C307B" w:rsidRPr="000C307B">
        <w:rPr>
          <w:rFonts w:eastAsia="TimesLTStd-Roman"/>
          <w:color w:val="000000"/>
          <w:szCs w:val="24"/>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rFonts w:eastAsia="TimesLTStd-Roman"/>
          <w:color w:val="000000"/>
          <w:szCs w:val="24"/>
        </w:rPr>
        <w:fldChar w:fldCharType="separate"/>
      </w:r>
      <w:r w:rsidR="0019731A" w:rsidRPr="0073723C">
        <w:rPr>
          <w:rFonts w:eastAsia="TimesLTStd-Roman"/>
          <w:noProof/>
          <w:color w:val="000000"/>
          <w:szCs w:val="24"/>
        </w:rPr>
        <w:t>[5]</w:t>
      </w:r>
      <w:r w:rsidR="00062499" w:rsidRPr="0073723C">
        <w:rPr>
          <w:rFonts w:eastAsia="TimesLTStd-Roman"/>
          <w:color w:val="000000"/>
          <w:szCs w:val="24"/>
        </w:rPr>
        <w:fldChar w:fldCharType="end"/>
      </w:r>
      <w:r w:rsidRPr="0073723C">
        <w:rPr>
          <w:rFonts w:eastAsia="TimesLTStd-Roman"/>
          <w:color w:val="000000"/>
          <w:szCs w:val="24"/>
        </w:rPr>
        <w:t xml:space="preserve">. </w:t>
      </w:r>
    </w:p>
    <w:p w:rsidR="00562845" w:rsidRPr="0073723C" w:rsidRDefault="003256AD" w:rsidP="003256AD">
      <w:pPr>
        <w:pStyle w:val="18"/>
      </w:pPr>
      <w:r w:rsidRPr="0073723C">
        <w:rPr>
          <w:rFonts w:eastAsia="TimesLTStd-Roman"/>
          <w:color w:val="000000"/>
        </w:rPr>
        <w:t xml:space="preserve">Помимо вариантов, подробно рассмотренных выше, описано еще несколько клинических вариантов грибовидного микоза. Варианты, подобно гиперпигментному, буллезному/везикулезному, пойкилодермическому, пигментному пурпуроподобному, пустулезному, ихтиозиформному, ладонно-подошвенному грибовидному микозу были названы согласно их характерным клиническим проявлениям. Тем не менее, обычно они характеризуются теми же гистологическими признаками и таким же течением, что и классический грибовидный микоз, и поэтому </w:t>
      </w:r>
      <w:r w:rsidR="000C307B" w:rsidRPr="000C307B">
        <w:rPr>
          <w:rFonts w:eastAsia="TimesLTStd-Roman"/>
          <w:color w:val="000000"/>
        </w:rPr>
        <w:t xml:space="preserve">не включены в последнюю классификацию лимфом кожи как самостоятельные заболевания </w:t>
      </w:r>
      <w:r w:rsidR="00062499" w:rsidRPr="000C307B">
        <w:rPr>
          <w:rFonts w:eastAsia="TimesLTStd-Roman"/>
          <w:color w:val="000000"/>
        </w:rPr>
        <w:fldChar w:fldCharType="begin" w:fldLock="1"/>
      </w:r>
      <w:r w:rsidR="000C307B" w:rsidRPr="000C307B">
        <w:rPr>
          <w:rFonts w:eastAsia="TimesLTStd-Roman"/>
          <w:color w:val="000000"/>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0C307B">
        <w:rPr>
          <w:rFonts w:eastAsia="TimesLTStd-Roman"/>
          <w:color w:val="000000"/>
        </w:rPr>
        <w:fldChar w:fldCharType="separate"/>
      </w:r>
      <w:r w:rsidR="000C307B" w:rsidRPr="000C307B">
        <w:rPr>
          <w:rFonts w:eastAsia="TimesLTStd-Roman"/>
          <w:noProof/>
          <w:color w:val="000000"/>
        </w:rPr>
        <w:t>[5]</w:t>
      </w:r>
      <w:r w:rsidR="00062499" w:rsidRPr="000C307B">
        <w:rPr>
          <w:rFonts w:eastAsia="TimesLTStd-Roman"/>
          <w:color w:val="000000"/>
        </w:rPr>
        <w:fldChar w:fldCharType="end"/>
      </w:r>
      <w:r w:rsidR="000C307B" w:rsidRPr="000C307B">
        <w:rPr>
          <w:rFonts w:eastAsia="TimesLTStd-Roman"/>
          <w:color w:val="000000"/>
        </w:rPr>
        <w:t>.</w:t>
      </w:r>
    </w:p>
    <w:p w:rsidR="000414F6" w:rsidRPr="0073723C" w:rsidRDefault="000C307B" w:rsidP="00C4630C">
      <w:pPr>
        <w:pStyle w:val="afff1"/>
      </w:pPr>
      <w:bookmarkStart w:id="18" w:name="_Toc84161273"/>
      <w:r>
        <w:t>2. Диагностика</w:t>
      </w:r>
      <w:bookmarkEnd w:id="12"/>
      <w:r>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8"/>
    </w:p>
    <w:p w:rsidR="00217187" w:rsidRPr="0073723C" w:rsidRDefault="006C7346" w:rsidP="00217187">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sidRPr="00086340">
        <w:rPr>
          <w:b/>
          <w:i/>
        </w:rPr>
        <w:t xml:space="preserve">Критерии установления диагноза/состояния: </w:t>
      </w:r>
      <w:r w:rsidR="00660D84" w:rsidRPr="0073723C">
        <w:rPr>
          <w:color w:val="000000" w:themeColor="text1"/>
        </w:rPr>
        <w:t>Ди</w:t>
      </w:r>
      <w:r>
        <w:rPr>
          <w:color w:val="000000" w:themeColor="text1"/>
        </w:rPr>
        <w:t xml:space="preserve">агностика грибовидного микоза </w:t>
      </w:r>
      <w:r w:rsidR="00660D84" w:rsidRPr="0073723C">
        <w:rPr>
          <w:color w:val="000000" w:themeColor="text1"/>
        </w:rPr>
        <w:t>базируется на основании комплексной оценки клинической картины заболевания</w:t>
      </w:r>
      <w:r w:rsidR="007F36A7" w:rsidRPr="007F36A7">
        <w:rPr>
          <w:color w:val="000000" w:themeColor="text1"/>
        </w:rPr>
        <w:t xml:space="preserve"> (</w:t>
      </w:r>
      <w:r w:rsidR="00963F97">
        <w:rPr>
          <w:color w:val="000000" w:themeColor="text1"/>
        </w:rPr>
        <w:t>наличия пятен,</w:t>
      </w:r>
      <w:r>
        <w:rPr>
          <w:color w:val="000000" w:themeColor="text1"/>
        </w:rPr>
        <w:t xml:space="preserve"> </w:t>
      </w:r>
      <w:r w:rsidR="00963F97">
        <w:rPr>
          <w:color w:val="000000" w:themeColor="text1"/>
        </w:rPr>
        <w:t>бляшек,</w:t>
      </w:r>
      <w:r>
        <w:rPr>
          <w:color w:val="000000" w:themeColor="text1"/>
        </w:rPr>
        <w:t xml:space="preserve"> </w:t>
      </w:r>
      <w:r w:rsidR="00963F97">
        <w:rPr>
          <w:color w:val="000000" w:themeColor="text1"/>
        </w:rPr>
        <w:t>узлов, изменения пигментации кожи</w:t>
      </w:r>
      <w:r w:rsidR="004C4AEF">
        <w:rPr>
          <w:color w:val="000000" w:themeColor="text1"/>
        </w:rPr>
        <w:t>, появления нетипичных для классического варианта грибовидного микоза высыпаний: пузырей, пустул и др.</w:t>
      </w:r>
      <w:r w:rsidR="00963F97">
        <w:rPr>
          <w:color w:val="000000" w:themeColor="text1"/>
        </w:rPr>
        <w:t>)</w:t>
      </w:r>
      <w:r w:rsidR="00660D84" w:rsidRPr="0073723C">
        <w:rPr>
          <w:color w:val="000000" w:themeColor="text1"/>
        </w:rPr>
        <w:t>, патолог</w:t>
      </w:r>
      <w:r w:rsidR="00C53046" w:rsidRPr="0073723C">
        <w:rPr>
          <w:color w:val="000000" w:themeColor="text1"/>
        </w:rPr>
        <w:t>о-</w:t>
      </w:r>
      <w:r w:rsidR="00660D84" w:rsidRPr="0073723C">
        <w:rPr>
          <w:color w:val="000000" w:themeColor="text1"/>
        </w:rPr>
        <w:t>анатомического исследования биопсийного (операционного) материала кожи</w:t>
      </w:r>
      <w:r w:rsidR="00217187">
        <w:rPr>
          <w:color w:val="000000" w:themeColor="text1"/>
        </w:rPr>
        <w:t xml:space="preserve"> (</w:t>
      </w:r>
      <w:r w:rsidR="00217187" w:rsidRPr="0073723C">
        <w:rPr>
          <w:rStyle w:val="affb"/>
          <w:i w:val="0"/>
          <w:color w:val="000000" w:themeColor="text1"/>
        </w:rPr>
        <w:t>наличие в инфильтрате плеоморфных («церебриформных») лимфоидных клеток малых и средних размеров;</w:t>
      </w:r>
    </w:p>
    <w:p w:rsidR="00217187" w:rsidRPr="0073723C" w:rsidRDefault="00217187" w:rsidP="00217187">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lastRenderedPageBreak/>
        <w:t>наличие лимфоидных клеток, располагающихся цепочкой в базальном ряду эпидермиса (3 и более);</w:t>
      </w:r>
    </w:p>
    <w:p w:rsidR="00217187" w:rsidRPr="0073723C" w:rsidRDefault="00217187" w:rsidP="00217187">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наличие интраэпидермальных лимфоцитов, окруженных светлым перинуклеарным ободком;</w:t>
      </w:r>
    </w:p>
    <w:p w:rsidR="00217187" w:rsidRPr="0073723C" w:rsidRDefault="00217187" w:rsidP="00217187">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повышенное количество интраэпидермальных лимфоцитов при отсутствии спонгиоза («диспропорциональный эпидермотропизм»);</w:t>
      </w:r>
    </w:p>
    <w:p w:rsidR="00217187" w:rsidRPr="0073723C" w:rsidRDefault="00217187" w:rsidP="00217187">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размер эпидермальных лимфоцитов больше, чем дермальных;</w:t>
      </w:r>
    </w:p>
    <w:p w:rsidR="00217187" w:rsidRPr="0073723C" w:rsidRDefault="00217187" w:rsidP="00217187">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внутриэпидермальные скопления лимфоцитов (микроабсцессы Потрие);</w:t>
      </w:r>
    </w:p>
    <w:p w:rsidR="00217187" w:rsidRPr="0073723C" w:rsidRDefault="00217187" w:rsidP="00217187">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rStyle w:val="affb"/>
          <w:color w:val="000000" w:themeColor="text1"/>
          <w:szCs w:val="24"/>
          <w:lang w:eastAsia="ru-RU"/>
        </w:rPr>
      </w:pPr>
      <w:r>
        <w:rPr>
          <w:rStyle w:val="affb"/>
          <w:i w:val="0"/>
          <w:color w:val="000000" w:themeColor="text1"/>
        </w:rPr>
        <w:t>фиброз и/или отек сосочковой части дермы.)</w:t>
      </w:r>
    </w:p>
    <w:p w:rsidR="00217187" w:rsidRPr="0073723C" w:rsidRDefault="00217187" w:rsidP="00217187">
      <w:pPr>
        <w:tabs>
          <w:tab w:val="left" w:pos="1276"/>
          <w:tab w:val="left" w:pos="1418"/>
        </w:tabs>
        <w:ind w:left="709" w:firstLine="0"/>
        <w:divId w:val="266810958"/>
        <w:rPr>
          <w:rStyle w:val="affa"/>
          <w:rFonts w:eastAsia="Times New Roman"/>
          <w:b w:val="0"/>
          <w:bCs w:val="0"/>
          <w:i/>
          <w:color w:val="000000" w:themeColor="text1"/>
        </w:rPr>
      </w:pPr>
      <w:r>
        <w:rPr>
          <w:rStyle w:val="affb"/>
          <w:i w:val="0"/>
          <w:color w:val="000000" w:themeColor="text1"/>
        </w:rPr>
        <w:t>Морфологические особенности, характерные для разных стадий и форм грибовидного микоза, подробно приведены в комментариях</w:t>
      </w:r>
    </w:p>
    <w:p w:rsidR="000F7F7E" w:rsidRPr="0073723C" w:rsidRDefault="00660D84" w:rsidP="000F7F7E">
      <w:pPr>
        <w:pStyle w:val="afff7"/>
        <w:divId w:val="266810958"/>
        <w:rPr>
          <w:rStyle w:val="affa"/>
          <w:b w:val="0"/>
        </w:rPr>
      </w:pPr>
      <w:r w:rsidRPr="0073723C">
        <w:rPr>
          <w:color w:val="000000" w:themeColor="text1"/>
        </w:rPr>
        <w:t>, в том числе с применением иммуногистохимическ</w:t>
      </w:r>
      <w:r w:rsidR="000C307B">
        <w:rPr>
          <w:color w:val="000000" w:themeColor="text1"/>
        </w:rPr>
        <w:t>ого метода</w:t>
      </w:r>
      <w:r w:rsidR="000F7F7E">
        <w:rPr>
          <w:color w:val="000000" w:themeColor="text1"/>
        </w:rPr>
        <w:t xml:space="preserve"> </w:t>
      </w:r>
      <w:r w:rsidR="000F7F7E" w:rsidRPr="001B7F70">
        <w:rPr>
          <w:color w:val="000000" w:themeColor="text1"/>
        </w:rPr>
        <w:t xml:space="preserve">с использованием антител к </w:t>
      </w:r>
      <w:r w:rsidR="000F7F7E" w:rsidRPr="001B7F70">
        <w:t xml:space="preserve">CD2, CD3, CD4, CD5, CD7, CD8, CD20, CD30, </w:t>
      </w:r>
      <w:r w:rsidR="000F7F7E" w:rsidRPr="001B7F70">
        <w:rPr>
          <w:lang w:val="en-US"/>
        </w:rPr>
        <w:t>CD</w:t>
      </w:r>
      <w:r w:rsidR="000F7F7E" w:rsidRPr="001B7F70">
        <w:t xml:space="preserve">56, </w:t>
      </w:r>
      <w:r w:rsidR="000F7F7E" w:rsidRPr="001B7F70">
        <w:rPr>
          <w:lang w:val="en-US"/>
        </w:rPr>
        <w:t>TIA</w:t>
      </w:r>
      <w:r w:rsidR="000F7F7E" w:rsidRPr="001B7F70">
        <w:t xml:space="preserve">1, </w:t>
      </w:r>
      <w:r w:rsidR="000F7F7E" w:rsidRPr="001B7F70">
        <w:rPr>
          <w:lang w:val="en-US"/>
        </w:rPr>
        <w:t>granzyme</w:t>
      </w:r>
      <w:r w:rsidR="000F7F7E" w:rsidRPr="001B7F70">
        <w:t xml:space="preserve"> </w:t>
      </w:r>
      <w:r w:rsidR="000F7F7E" w:rsidRPr="001B7F70">
        <w:rPr>
          <w:lang w:val="en-US"/>
        </w:rPr>
        <w:t>B</w:t>
      </w:r>
      <w:r w:rsidR="000F7F7E" w:rsidRPr="001B7F70">
        <w:t xml:space="preserve">, </w:t>
      </w:r>
      <w:r w:rsidR="000F7F7E" w:rsidRPr="001B7F70">
        <w:rPr>
          <w:lang w:val="en-US"/>
        </w:rPr>
        <w:t>TCR</w:t>
      </w:r>
      <w:r w:rsidR="000F7F7E" w:rsidRPr="001B7F70">
        <w:t xml:space="preserve"> (ß</w:t>
      </w:r>
      <w:r w:rsidR="000F7F7E" w:rsidRPr="001B7F70">
        <w:rPr>
          <w:lang w:val="en-US"/>
        </w:rPr>
        <w:t>F</w:t>
      </w:r>
      <w:r w:rsidR="000F7F7E" w:rsidRPr="001B7F70">
        <w:t xml:space="preserve">1), </w:t>
      </w:r>
      <w:r w:rsidR="000F7F7E" w:rsidRPr="001B7F70">
        <w:rPr>
          <w:lang w:val="en-US"/>
        </w:rPr>
        <w:t>TCR</w:t>
      </w:r>
      <w:r w:rsidR="000F7F7E" w:rsidRPr="001B7F70">
        <w:t xml:space="preserve">-γ, </w:t>
      </w:r>
      <w:r w:rsidR="000F7F7E" w:rsidRPr="001B7F70">
        <w:rPr>
          <w:lang w:val="en-US"/>
        </w:rPr>
        <w:t>CD</w:t>
      </w:r>
      <w:r w:rsidR="000F7F7E" w:rsidRPr="001B7F70">
        <w:t>45</w:t>
      </w:r>
      <w:r w:rsidR="000F7F7E" w:rsidRPr="001B7F70">
        <w:rPr>
          <w:lang w:val="en-US"/>
        </w:rPr>
        <w:t>RO</w:t>
      </w:r>
      <w:r w:rsidR="000F7F7E" w:rsidRPr="001B7F70">
        <w:t xml:space="preserve"> </w:t>
      </w:r>
      <w:r w:rsidR="00062499" w:rsidRPr="001B7F70">
        <w:fldChar w:fldCharType="begin" w:fldLock="1"/>
      </w:r>
      <w:r w:rsidR="000F7F7E" w:rsidRPr="001B7F70">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1B7F70">
        <w:fldChar w:fldCharType="separate"/>
      </w:r>
      <w:r w:rsidR="000F7F7E" w:rsidRPr="001B7F70">
        <w:rPr>
          <w:noProof/>
        </w:rPr>
        <w:t>[3–5]</w:t>
      </w:r>
      <w:r w:rsidR="00062499" w:rsidRPr="001B7F70">
        <w:fldChar w:fldCharType="end"/>
      </w:r>
      <w:r w:rsidR="000F7F7E">
        <w:rPr>
          <w:rStyle w:val="affa"/>
          <w:i/>
          <w:iCs/>
        </w:rPr>
        <w:t>.</w:t>
      </w:r>
    </w:p>
    <w:p w:rsidR="000F7F7E" w:rsidRPr="0073723C" w:rsidRDefault="000F7F7E" w:rsidP="000F7F7E">
      <w:pPr>
        <w:ind w:left="709" w:firstLine="0"/>
        <w:divId w:val="266810958"/>
        <w:rPr>
          <w:rStyle w:val="affa"/>
          <w:rFonts w:eastAsia="Times New Roman"/>
          <w:b w:val="0"/>
          <w:color w:val="000000" w:themeColor="text1"/>
        </w:rPr>
      </w:pPr>
      <w:r>
        <w:rPr>
          <w:rStyle w:val="affa"/>
          <w:rFonts w:eastAsia="Times New Roman"/>
          <w:b w:val="0"/>
          <w:color w:val="000000" w:themeColor="text1"/>
        </w:rPr>
        <w:t>Иммуногистохимические критерии диагностики грибовидного микоза:</w:t>
      </w:r>
    </w:p>
    <w:p w:rsidR="000F7F7E" w:rsidRPr="0073723C" w:rsidRDefault="000F7F7E" w:rsidP="000F7F7E">
      <w:pPr>
        <w:ind w:left="709" w:firstLine="0"/>
        <w:divId w:val="266810958"/>
        <w:rPr>
          <w:rStyle w:val="affb"/>
          <w:i w:val="0"/>
          <w:color w:val="000000" w:themeColor="text1"/>
        </w:rPr>
      </w:pPr>
      <w:r>
        <w:rPr>
          <w:rStyle w:val="affa"/>
          <w:rFonts w:eastAsia="Times New Roman"/>
          <w:b w:val="0"/>
          <w:color w:val="000000" w:themeColor="text1"/>
        </w:rPr>
        <w:t xml:space="preserve">- клетки инфильтрата состоят из </w:t>
      </w:r>
      <w:r>
        <w:rPr>
          <w:rStyle w:val="affb"/>
          <w:color w:val="000000" w:themeColor="text1"/>
        </w:rPr>
        <w:t>α/β</w:t>
      </w:r>
      <w:r>
        <w:rPr>
          <w:rStyle w:val="affb"/>
          <w:i w:val="0"/>
          <w:color w:val="000000" w:themeColor="text1"/>
        </w:rPr>
        <w:t xml:space="preserve"> Т-хелперов – зрелых клеток памяти, которые имеют иммунофенотип: βF1+  </w:t>
      </w:r>
      <w:r>
        <w:rPr>
          <w:rStyle w:val="affb"/>
          <w:i w:val="0"/>
          <w:color w:val="000000" w:themeColor="text1"/>
          <w:lang w:val="en-US"/>
        </w:rPr>
        <w:t>CD</w:t>
      </w:r>
      <w:r>
        <w:rPr>
          <w:rStyle w:val="affb"/>
          <w:i w:val="0"/>
          <w:color w:val="000000" w:themeColor="text1"/>
        </w:rPr>
        <w:t xml:space="preserve">2+ CD3+ CD4+ CD5+ CD7+ CD8- CD45RO+ </w:t>
      </w:r>
      <w:r w:rsidR="00062499" w:rsidRPr="0073723C">
        <w:rPr>
          <w:rFonts w:eastAsia="Times New Roman"/>
        </w:rPr>
        <w:fldChar w:fldCharType="begin" w:fldLock="1"/>
      </w:r>
      <w:r w:rsidRPr="001B7F70">
        <w:rPr>
          <w:rFonts w:eastAsia="Times New Roman"/>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73723C">
        <w:rPr>
          <w:rFonts w:eastAsia="Times New Roman"/>
        </w:rPr>
        <w:fldChar w:fldCharType="separate"/>
      </w:r>
      <w:r w:rsidRPr="0073723C">
        <w:rPr>
          <w:rFonts w:eastAsia="Times New Roman"/>
          <w:noProof/>
        </w:rPr>
        <w:t>[3–5]</w:t>
      </w:r>
      <w:r w:rsidR="00062499" w:rsidRPr="0073723C">
        <w:rPr>
          <w:rFonts w:eastAsia="Times New Roman"/>
        </w:rPr>
        <w:fldChar w:fldCharType="end"/>
      </w:r>
      <w:r w:rsidRPr="0073723C">
        <w:rPr>
          <w:rStyle w:val="affb"/>
          <w:i w:val="0"/>
          <w:color w:val="000000" w:themeColor="text1"/>
        </w:rPr>
        <w:t>;</w:t>
      </w:r>
    </w:p>
    <w:p w:rsidR="000F7F7E" w:rsidRPr="0073723C" w:rsidRDefault="000F7F7E" w:rsidP="000F7F7E">
      <w:pPr>
        <w:autoSpaceDE w:val="0"/>
        <w:autoSpaceDN w:val="0"/>
        <w:adjustRightInd w:val="0"/>
        <w:ind w:left="709" w:firstLine="0"/>
        <w:jc w:val="left"/>
        <w:divId w:val="266810958"/>
        <w:rPr>
          <w:rStyle w:val="affb"/>
          <w:i w:val="0"/>
          <w:iCs w:val="0"/>
          <w:color w:val="FF0000"/>
          <w:sz w:val="16"/>
          <w:szCs w:val="16"/>
          <w:u w:val="single"/>
          <w:lang w:eastAsia="ru-RU"/>
        </w:rPr>
      </w:pPr>
      <w:r w:rsidRPr="0073723C">
        <w:rPr>
          <w:rStyle w:val="affb"/>
          <w:i w:val="0"/>
          <w:color w:val="000000" w:themeColor="text1"/>
        </w:rPr>
        <w:t xml:space="preserve">- потеря экспрессии лимфоцитами маркера </w:t>
      </w:r>
      <w:r w:rsidRPr="0073723C">
        <w:rPr>
          <w:rStyle w:val="affb"/>
          <w:i w:val="0"/>
          <w:color w:val="000000" w:themeColor="text1"/>
          <w:lang w:val="en-US"/>
        </w:rPr>
        <w:t>CD</w:t>
      </w:r>
      <w:r w:rsidRPr="0073723C">
        <w:rPr>
          <w:rStyle w:val="affb"/>
          <w:i w:val="0"/>
          <w:color w:val="000000" w:themeColor="text1"/>
        </w:rPr>
        <w:t xml:space="preserve">7 более чем на 10% </w:t>
      </w:r>
      <w:r w:rsidR="00062499" w:rsidRPr="0073723C">
        <w:rPr>
          <w:rStyle w:val="affb"/>
          <w:i w:val="0"/>
          <w:color w:val="000000" w:themeColor="text1"/>
        </w:rPr>
        <w:fldChar w:fldCharType="begin" w:fldLock="1"/>
      </w:r>
      <w:r>
        <w:rPr>
          <w:rStyle w:val="affb"/>
          <w:i w:val="0"/>
          <w:color w:val="000000" w:themeColor="text1"/>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(EORTC)","type":"article","volume":"110"},"uris":["http://www.mendeley.com/documents/?uuid=5ce55666-1265-39b6-bdc7-8edcb4f47df4"]},{"id":"ITEM-2","itemData":{"DOI":"10.1111/bjh.15258","ISSN":"13652141","PMID":"29672827","abstract":"Different models to investigate the prognosis of peripheral T cell lymphoma not otherwise specified (PTCL-NOS) have been developed by means of retrospective analyses. Here we report on a new model designed on data from the prospective T Cell Project. Twelve covariates collected by the T Cell Project were analysed and a new model (T cell score), based on four covariates (serum albumin, performance status, stage and absolute neutrophil count) that maintained their prognostic value in multiple Cox proportional hazards regression analysis was proposed. Among patients registered in the T Cell Project, 311 PTCL-NOS were retained for study. At a median follow-up of 46 months, the median overall survival (OS) and progression-free survival (PFS) was 20 and 10 months, respectively. Three groups were identified at low risk (LR, 48 patients, 15%, score 0), intermediate risk (IR, 189 patients, 61%, score 1–2), and high risk (HiR, 74 patients, 24%, score 3–4), having a 3-year OS of 76% [95% confidence interval 61–88], 43% [35–51], and 11% [4–21], respectively (P &lt; 0·001). Comparing the performance of the T cell score on OS to that of each of the previously developed models, it emerged that the new score had the best discriminant power. The new T cell score, based on clinical variables, identifies a group with very unfavourable outcomes.","author":[{"dropping-particle":"","family":"Federico","given":"Massimo","non-dropping-particle":"","parse-names":false,"suffix":""},{"dropping-particle":"","family":"Bellei","given":"Monica","non-dropping-particle":"","parse-names":false,"suffix":""},{"dropping-particle":"","family":"Marcheselli","given":"Luigi","non-dropping-particle":"","parse-names":false,"suffix":""},{"dropping-particle":"","family":"Schwartz","given":"Marc","non-dropping-particle":"","parse-names":false,"suffix":""},{"dropping-particle":"","family":"Manni","given":"Martina","non-dropping-particle":"","parse-names":false,"suffix":""},{"dropping-particle":"","family":"Tarantino","given":"Vittoria","non-dropping-particle":"","parse-names":false,"suffix":""},{"dropping-particle":"","family":"Pileri","given":"Stefano","non-dropping-particle":"","parse-names":false,"suffix":""},{"dropping-particle":"","family":"Ko","given":"Young Hyeh","non-dropping-particle":"","parse-names":false,"suffix":""},{"dropping-particle":"","family":"Cabrera","given":"Maria E.","non-dropping-particle":"","parse-names":false,"suffix":""},{"dropping-particle":"","family":"Horwitz","given":"Steven","non-dropping-particle":"","parse-names":false,"suffix":""},{"dropping-particle":"","family":"Kim","given":"Won S.","non-dropping-particle":"","parse-names":false,"suffix":""},{"dropping-particle":"","family":"Shustov","given":"Andrei","non-dropping-particle":"","parse-names":false,"suffix":""},{"dropping-particle":"","family":"Foss","given":"Francine M.","non-dropping-particle":"","parse-names":false,"suffix":""},{"dropping-particle":"","family":"Nagler","given":"Arnon","non-dropping-particle":"","parse-names":false,"suffix":""},{"dropping-particle":"","family":"Carson","given":"Kenneth","non-dropping-particle":"","parse-names":false,"suffix":""},{"dropping-particle":"","family":"Pinter-Brown","given":"Lauren C.","non-dropping-particle":"","parse-names":false,"suffix":""},{"dropping-particle":"","family":"Montoto","given":"Silvia","non-dropping-particle":"","parse-names":false,"suffix":""},{"dropping-particle":"","family":"Spina","given":"Michele","non-dropping-particle":"","parse-names":false,"suffix":""},{"dropping-particle":"","family":"Feldman","given":"Tatyana A.","non-dropping-particle":"","parse-names":false,"suffix":""},{"dropping-particle":"","family":"Lechowicz","given":"Mary J.","non-dropping-particle":"","parse-names":false,"suffix":""},{"dropping-particle":"","family":"Smith","given":"Sonali M.","non-dropping-particle":"","parse-names":false,"suffix":""},{"dropping-particle":"","family":"Lansigan","given":"Frederick","non-dropping-particle":"","parse-names":false,"suffix":""},{"dropping-particle":"","family":"Gabus","given":"Raul","non-dropping-particle":"","parse-names":false,"suffix":""},{"dropping-particle":"","family":"Vose","given":"Julie M.","non-dropping-particle":"","parse-names":false,"suffix":""},{"dropping-particle":"","family":"Advani","given":"Ranjana H.","non-dropping-particle":"","parse-names":false,"suffix":""}],"container-title":"British Journal of Haematology","id":"ITEM-2","issue":"6","issued":{"date-parts":[["2018","6","1"]]},"page":"760-769","publisher":"Blackwell Publishing Ltd","title":"Peripheral T cell lymphoma, not otherwise specified (PTCL-NOS). A new prognostic model developed by the International T cell Project Network","type":"article-journal","volume":"181"},"uris":["http://www.mendeley.com/documents/?uuid=337f5bd5-c94e-3bce-8b99-6e8d9872d3ea"]}],"mendeley":{"formattedCitation":"[6,16]","plainTextFormattedCitation":"[6,16]","previouslyFormattedCitation":"[6,16]"},"properties":{"noteIndex":0},"schema":"https://github.com/citation-style-language/schema/raw/master/csl-citation.json"}</w:instrText>
      </w:r>
      <w:r w:rsidR="00062499" w:rsidRPr="0073723C">
        <w:rPr>
          <w:rStyle w:val="affb"/>
          <w:i w:val="0"/>
          <w:color w:val="000000" w:themeColor="text1"/>
        </w:rPr>
        <w:fldChar w:fldCharType="separate"/>
      </w:r>
      <w:r w:rsidRPr="0073723C">
        <w:rPr>
          <w:rStyle w:val="affb"/>
          <w:i w:val="0"/>
          <w:noProof/>
          <w:color w:val="000000" w:themeColor="text1"/>
        </w:rPr>
        <w:t>[6,16]</w:t>
      </w:r>
      <w:r w:rsidR="00062499" w:rsidRPr="0073723C">
        <w:rPr>
          <w:rStyle w:val="affb"/>
          <w:i w:val="0"/>
          <w:color w:val="000000" w:themeColor="text1"/>
        </w:rPr>
        <w:fldChar w:fldCharType="end"/>
      </w:r>
      <w:r w:rsidRPr="0073723C">
        <w:rPr>
          <w:color w:val="000000" w:themeColor="text1"/>
          <w:szCs w:val="24"/>
          <w:lang w:eastAsia="ru-RU"/>
        </w:rPr>
        <w:t>.</w:t>
      </w:r>
    </w:p>
    <w:p w:rsidR="000F7F7E" w:rsidRPr="0073723C" w:rsidRDefault="000F7F7E" w:rsidP="000F7F7E">
      <w:pPr>
        <w:ind w:left="709" w:firstLine="0"/>
        <w:divId w:val="266810958"/>
        <w:rPr>
          <w:rStyle w:val="affb"/>
          <w:i w:val="0"/>
          <w:color w:val="000000" w:themeColor="text1"/>
        </w:rPr>
      </w:pPr>
      <w:r w:rsidRPr="0073723C">
        <w:rPr>
          <w:rStyle w:val="affb"/>
          <w:i w:val="0"/>
          <w:color w:val="000000" w:themeColor="text1"/>
        </w:rPr>
        <w:t xml:space="preserve">- полная или частичная потеря экспрессии пан-Т-клеточных антигенов CD2, CD3, CD5 и CD7 на поздних стадиях </w:t>
      </w:r>
      <w:r w:rsidR="00062499" w:rsidRPr="0073723C">
        <w:rPr>
          <w:rFonts w:eastAsia="Times New Roman"/>
        </w:rPr>
        <w:fldChar w:fldCharType="begin" w:fldLock="1"/>
      </w:r>
      <w:r w:rsidRPr="001B7F70">
        <w:rPr>
          <w:rFonts w:eastAsia="Times New Roman"/>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73723C">
        <w:rPr>
          <w:rFonts w:eastAsia="Times New Roman"/>
        </w:rPr>
        <w:fldChar w:fldCharType="separate"/>
      </w:r>
      <w:r w:rsidRPr="0073723C">
        <w:rPr>
          <w:rFonts w:eastAsia="Times New Roman"/>
          <w:noProof/>
        </w:rPr>
        <w:t>[3–5]</w:t>
      </w:r>
      <w:r w:rsidR="00062499" w:rsidRPr="0073723C">
        <w:rPr>
          <w:rFonts w:eastAsia="Times New Roman"/>
        </w:rPr>
        <w:fldChar w:fldCharType="end"/>
      </w:r>
      <w:r w:rsidRPr="0073723C">
        <w:rPr>
          <w:rStyle w:val="affb"/>
          <w:i w:val="0"/>
          <w:color w:val="000000" w:themeColor="text1"/>
        </w:rPr>
        <w:t>;</w:t>
      </w:r>
    </w:p>
    <w:p w:rsidR="000F7F7E" w:rsidRPr="0073723C" w:rsidRDefault="000F7F7E" w:rsidP="000F7F7E">
      <w:pPr>
        <w:ind w:left="709" w:firstLine="0"/>
        <w:divId w:val="266810958"/>
        <w:rPr>
          <w:rStyle w:val="affb"/>
          <w:i w:val="0"/>
          <w:color w:val="000000" w:themeColor="text1"/>
        </w:rPr>
      </w:pPr>
      <w:r w:rsidRPr="0073723C">
        <w:rPr>
          <w:iCs/>
          <w:color w:val="000000" w:themeColor="text1"/>
        </w:rPr>
        <w:t xml:space="preserve">-диссоциация иммунофенотипа интраэпидермального и дермального лимфоидного компонента (со слабой экспрессией и утратой экспрессии части антигенов таких как:  </w:t>
      </w:r>
      <w:r w:rsidRPr="0073723C">
        <w:rPr>
          <w:iCs/>
          <w:color w:val="000000" w:themeColor="text1"/>
          <w:lang w:val="en-US"/>
        </w:rPr>
        <w:t>CD</w:t>
      </w:r>
      <w:r w:rsidRPr="0073723C">
        <w:rPr>
          <w:iCs/>
          <w:color w:val="000000" w:themeColor="text1"/>
        </w:rPr>
        <w:t xml:space="preserve">2, </w:t>
      </w:r>
      <w:r w:rsidRPr="0073723C">
        <w:rPr>
          <w:iCs/>
          <w:color w:val="000000" w:themeColor="text1"/>
          <w:lang w:val="en-US"/>
        </w:rPr>
        <w:t>CD</w:t>
      </w:r>
      <w:r w:rsidRPr="0073723C">
        <w:rPr>
          <w:iCs/>
          <w:color w:val="000000" w:themeColor="text1"/>
        </w:rPr>
        <w:t xml:space="preserve">3, </w:t>
      </w:r>
      <w:r w:rsidRPr="0073723C">
        <w:rPr>
          <w:iCs/>
          <w:color w:val="000000" w:themeColor="text1"/>
          <w:lang w:val="en-US"/>
        </w:rPr>
        <w:t>CD</w:t>
      </w:r>
      <w:r w:rsidRPr="001B7F70">
        <w:rPr>
          <w:iCs/>
          <w:color w:val="000000" w:themeColor="text1"/>
        </w:rPr>
        <w:t xml:space="preserve">4, </w:t>
      </w:r>
      <w:r w:rsidRPr="001B7F70">
        <w:rPr>
          <w:iCs/>
          <w:color w:val="000000" w:themeColor="text1"/>
          <w:lang w:val="en-US"/>
        </w:rPr>
        <w:t>CD</w:t>
      </w:r>
      <w:r w:rsidRPr="001B7F70">
        <w:rPr>
          <w:iCs/>
          <w:color w:val="000000" w:themeColor="text1"/>
        </w:rPr>
        <w:t xml:space="preserve">5, </w:t>
      </w:r>
      <w:r w:rsidRPr="001B7F70">
        <w:rPr>
          <w:iCs/>
          <w:color w:val="000000" w:themeColor="text1"/>
          <w:lang w:val="en-US"/>
        </w:rPr>
        <w:t>CD</w:t>
      </w:r>
      <w:r w:rsidRPr="001B7F70">
        <w:rPr>
          <w:iCs/>
          <w:color w:val="000000" w:themeColor="text1"/>
        </w:rPr>
        <w:t>7)</w:t>
      </w:r>
    </w:p>
    <w:p w:rsidR="000F7F7E" w:rsidRPr="0073723C" w:rsidRDefault="000F7F7E" w:rsidP="000F7F7E">
      <w:pPr>
        <w:autoSpaceDE w:val="0"/>
        <w:autoSpaceDN w:val="0"/>
        <w:adjustRightInd w:val="0"/>
        <w:ind w:left="709" w:firstLine="0"/>
        <w:divId w:val="266810958"/>
        <w:rPr>
          <w:color w:val="FF0000"/>
          <w:szCs w:val="24"/>
          <w:u w:val="single"/>
          <w:lang w:eastAsia="ru-RU"/>
        </w:rPr>
      </w:pPr>
      <w:r>
        <w:rPr>
          <w:rStyle w:val="affb"/>
          <w:i w:val="0"/>
          <w:color w:val="000000" w:themeColor="text1"/>
        </w:rPr>
        <w:t xml:space="preserve">- Увеличение соотношения </w:t>
      </w:r>
      <w:r>
        <w:rPr>
          <w:rStyle w:val="affb"/>
          <w:i w:val="0"/>
          <w:color w:val="000000" w:themeColor="text1"/>
          <w:lang w:val="en-US"/>
        </w:rPr>
        <w:t>CD</w:t>
      </w:r>
      <w:r>
        <w:rPr>
          <w:rStyle w:val="affb"/>
          <w:i w:val="0"/>
          <w:color w:val="000000" w:themeColor="text1"/>
        </w:rPr>
        <w:t>4/</w:t>
      </w:r>
      <w:r>
        <w:rPr>
          <w:rStyle w:val="affb"/>
          <w:i w:val="0"/>
          <w:color w:val="000000" w:themeColor="text1"/>
          <w:lang w:val="en-US"/>
        </w:rPr>
        <w:t>CD</w:t>
      </w:r>
      <w:r>
        <w:rPr>
          <w:rStyle w:val="affb"/>
          <w:i w:val="0"/>
          <w:color w:val="000000" w:themeColor="text1"/>
        </w:rPr>
        <w:t xml:space="preserve">8 (более чем 8/1) </w:t>
      </w:r>
      <w:r w:rsidR="00062499" w:rsidRPr="0073723C">
        <w:rPr>
          <w:rStyle w:val="affb"/>
          <w:i w:val="0"/>
          <w:color w:val="000000" w:themeColor="text1"/>
        </w:rPr>
        <w:fldChar w:fldCharType="begin" w:fldLock="1"/>
      </w:r>
      <w:r>
        <w:rPr>
          <w:rStyle w:val="affb"/>
          <w:i w:val="0"/>
          <w:color w:val="000000" w:themeColor="text1"/>
        </w:rPr>
        <w:instrText>ADDIN CSL_CITATION {"citationItems":[{"id":"ITEM-1","itemData":{"DOI":"10.1038/jid.2012.13","ISSN":"15231747","abstract":"The lack of a specific marker differentiating early mycosis fungoides (eMF) from benign inflammatory dermatitis presents significant difficulties in the assessment and management of suspected MF patients, which often leads to delayed diagnosis and improper medical approaches. To address this, an investigation was carried out to characterize positive identification markers for eMF by comparing eMF lesions with healthy skin and benign inflammatory dermatitis, using high-throughput genomic transcription profiling. A total of 349 genes were differentially expressed in eMF lesions compared with normal skin. These genes belong to pathways associated with inflammation, immune activation, and apoptosis regulation. Most of them (N330) also demonstrated significant upregulation in chronic dermatitis, making them nonideal markers for eMF. Among them, 19 genes with specific enrichment in eMF lesions were identified that showed no significant upregulation in chronic dermatitis. Two of them, TOX and PDCD1, showed high discrimination power between eMF lesions and biopsies from benign dermatitis by RNA expression. Furthermore, TOX demonstrated highly specific staining of MF cells in eMF skin biopsies in immunohistochemistry and immunofluorescence, including the early epidermotropic cells in Pautrier's microabscesses. This study demonstrates the potential of eMF-enriched genes, especially TOX, as molecular markers for histological diagnosis of eMF, which currently is a major diagnostic challenge. © 2012 The Society for Investigative Dermatology.","author":[{"dropping-particle":"","family":"Zhang","given":"Yaohua","non-dropping-particle":"","parse-names":false,"suffix":""},{"dropping-particle":"","family":"Wang","given":"Yang","non-dropping-particle":"","parse-names":false,"suffix":""},{"dropping-particle":"","family":"Yu","given":"Richard","non-dropping-particle":"","parse-names":false,"suffix":""},{"dropping-particle":"","family":"Huang","given":"Yuanshen","non-dropping-particle":"","parse-names":false,"suffix":""},{"dropping-particle":"","family":"Su","given":"Mingwan","non-dropping-particle":"","parse-names":false,"suffix":""},{"dropping-particle":"","family":"Xiao","given":"Cheng","non-dropping-particle":"","parse-names":false,"suffix":""},{"dropping-particle":"","family":"Martinka","given":"Magdalena","non-dropping-particle":"","parse-names":false,"suffix":""},{"dropping-particle":"","family":"Dutz","given":"Jan P.","non-dropping-particle":"","parse-names":false,"suffix":""},{"dropping-particle":"","family":"Zhang","given":"Xuejun","non-dropping-particle":"","parse-names":false,"suffix":""},{"dropping-particle":"","family":"Zheng","given":"Zhizhong","non-dropping-particle":"","parse-names":false,"suffix":""},{"dropping-particle":"","family":"Zhou","given":"Youwen","non-dropping-particle":"","parse-names":false,"suffix":""}],"container-title":"Journal of Investigative Dermatology","id":"ITEM-1","issue":"6","issued":{"date-parts":[["2012"]]},"page":"1698-1706","publisher":"Nature Publishing Group","title":"Molecular markers of early-stage mycosis fungoides","type":"article-journal","volume":"132"},"uris":["http://www.mendeley.com/documents/?uuid=babc3db4-d297-3b3a-baee-a15f5bf863e8"]}],"mendeley":{"formattedCitation":"[33]","plainTextFormattedCitation":"[33]","previouslyFormattedCitation":"[33]"},"properties":{"noteIndex":0},"schema":"https://github.com/citation-style-language/schema/raw/master/csl-citation.json"}</w:instrText>
      </w:r>
      <w:r w:rsidR="00062499" w:rsidRPr="0073723C">
        <w:rPr>
          <w:rStyle w:val="affb"/>
          <w:i w:val="0"/>
          <w:color w:val="000000" w:themeColor="text1"/>
        </w:rPr>
        <w:fldChar w:fldCharType="separate"/>
      </w:r>
      <w:r w:rsidRPr="0073723C">
        <w:rPr>
          <w:rStyle w:val="affb"/>
          <w:i w:val="0"/>
          <w:noProof/>
          <w:color w:val="000000" w:themeColor="text1"/>
        </w:rPr>
        <w:t>[33]</w:t>
      </w:r>
      <w:r w:rsidR="00062499" w:rsidRPr="0073723C">
        <w:rPr>
          <w:rStyle w:val="affb"/>
          <w:i w:val="0"/>
          <w:color w:val="000000" w:themeColor="text1"/>
        </w:rPr>
        <w:fldChar w:fldCharType="end"/>
      </w:r>
      <w:r>
        <w:rPr>
          <w:color w:val="000000" w:themeColor="text1"/>
          <w:szCs w:val="24"/>
          <w:lang w:eastAsia="ru-RU"/>
        </w:rPr>
        <w:t>,</w:t>
      </w:r>
    </w:p>
    <w:p w:rsidR="00774F59" w:rsidRPr="0073723C" w:rsidRDefault="000C307B" w:rsidP="00774F59">
      <w:pPr>
        <w:pStyle w:val="afb"/>
        <w:spacing w:beforeAutospacing="0" w:afterAutospacing="0" w:line="360" w:lineRule="auto"/>
        <w:ind w:left="709" w:firstLine="0"/>
        <w:divId w:val="266810958"/>
        <w:rPr>
          <w:b/>
          <w:i/>
          <w:color w:val="000000" w:themeColor="text1"/>
        </w:rPr>
      </w:pPr>
      <w:r>
        <w:rPr>
          <w:color w:val="000000" w:themeColor="text1"/>
        </w:rPr>
        <w:t xml:space="preserve"> определения перестройки гена Т-клеточного рецептора</w:t>
      </w:r>
      <w:r w:rsidR="00774F59">
        <w:rPr>
          <w:color w:val="000000" w:themeColor="text1"/>
        </w:rPr>
        <w:t>(</w:t>
      </w:r>
      <w:r w:rsidR="00774F59" w:rsidRPr="00774F59">
        <w:rPr>
          <w:rStyle w:val="affa"/>
          <w:color w:val="000000" w:themeColor="text1"/>
        </w:rPr>
        <w:t xml:space="preserve"> </w:t>
      </w:r>
      <w:r w:rsidR="00774F59">
        <w:rPr>
          <w:rStyle w:val="affa"/>
          <w:color w:val="000000" w:themeColor="text1"/>
        </w:rPr>
        <w:t xml:space="preserve">: </w:t>
      </w:r>
      <w:r w:rsidR="00774F59">
        <w:rPr>
          <w:rStyle w:val="affb"/>
          <w:color w:val="000000" w:themeColor="text1"/>
        </w:rPr>
        <w:t>исследование методом ПЦР для определения реарранжировки генов цепей Т-клеточного рецептора (ТКР) является вспомогательным методом, так как моноклональность инфильтрата обнаруживается в 90% случаев бляшечной и опухолевой стадий грибовидного микоза и лишь в 50–60% – в</w:t>
      </w:r>
      <w:r w:rsidR="00890D14">
        <w:rPr>
          <w:rStyle w:val="affb"/>
          <w:color w:val="000000" w:themeColor="text1"/>
        </w:rPr>
        <w:t xml:space="preserve"> </w:t>
      </w:r>
      <w:r w:rsidR="00774F59">
        <w:rPr>
          <w:rStyle w:val="affb"/>
          <w:color w:val="000000" w:themeColor="text1"/>
        </w:rPr>
        <w:t xml:space="preserve">пятнистой стадии. Результаты молекулярно-генетического исследования необходимо оценивать в комплексе с другими диагностическими методами, так как доминантный клон Т-лимфоцитов может обнаруживаться в группе так называемых «клональных» дерматозов </w:t>
      </w:r>
      <w:r w:rsidR="00062499" w:rsidRPr="001B7F70">
        <w:fldChar w:fldCharType="begin" w:fldLock="1"/>
      </w:r>
      <w:r w:rsidR="00774F59" w:rsidRPr="001B7F70">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fungoides","type":"article-journal","volume":"14"},"uris":["http://www.mendeley.com/documents/?uuid=60fdb40e-510a-3e65-a5e4-4e7abed6c350"]},{"id":"ITEM-2","itemData":{"DOI":"10.1182/blood.v96.9.2987","ISSN":"0006-4971","abstract":"It is now widely accepted that polymerase chain reaction (PCR) analysis of cutaneous T-cell clonality is of diagnostic value in cutaneous T-cell lymphomas (CTCLs) and most helpful in the diagnosis of mycosis fungoides (MF). However, the diagnostic and prognostic value of circulating clonal T cells remains unclear. We studied T-cell clonality in the peripheral blood (PB) and the cutaneous lesion, sampled at the same time, in 363 consecutively seen patients with a clinical suspicion of cutaneous lymphoma. Using a PCR technique providing a specific imprint of T-cell clones (PCRγ–denaturing gradient gel electrophoresis), we found that detection of identical circulating and cutaneous T-cell clones was associated with the diagnosis of CTCL (P &amp;lt; .001). Detection of circulating tumor cells in patients with MF was infrequent (12.5%), except in those with erythrodermic MF (42%; P = .003). Moreover, among the 46 patients who had identical circulating and cutaneous T-cell clones, 25 (56%) had erythroderma. The finding of a dominant clone in the PB but not in the skin was frequent, regardless of the clinicohistologic classification; it occurred in 30% of patients with CTCL, 41% with non-CTCL malignant infiltrates, and 34% with benign infiltrates. This pattern was significantly more frequent in patients over 60 years of age (P &amp;lt; .002), even in the CTCL group (P &amp;lt; .01). In conclusion, dominant T-cell clones detected in the PB of patients with MF by using a routine PCR technique are rarely tumoral and are more often related to age. A multicenter prospective study is under way to establish the prognostic value of circulating tumor cells.","author":[{"dropping-particle":"","family":"Delfau-Larue","given":"Marie-Hélène","non-dropping-particle":"","parse-names":false,"suffix":""},{"dropping-particle":"","family":"Laroche","given":"Liliane","non-dropping-particle":"","parse-names":false,"suffix":""},{"dropping-particle":"","family":"Wechsler","given":"Janine","non-dropping-particle":"","parse-names":false,"suffix":""},{"dropping-particle":"","family":"Lepage","given":"Eric","non-dropping-particle":"","parse-names":false,"suffix":""},{"dropping-particle":"","family":"Lahet","given":"Chantal","non-dropping-particle":"","parse-names":false,"suffix":""},{"dropping-particle":"","family":"Asso-Bonnet","given":"Marianne","non-dropping-particle":"","parse-names":false,"suffix":""},{"dropping-particle":"","family":"Bagot","given":"Martine","non-dropping-particle":"","parse-names":false,"suffix":""},{"dropping-particle":"","family":"Farcet","given":"Jean-Pierre","non-dropping-particle":"","parse-names":false,"suffix":""}],"container-title":"Blood","id":"ITEM-2","issue":"9","issued":{"date-parts":[["2000","11","1"]]},"page":"2987-2992","publisher":"American Society of Hematology","title":"Diagnostic value of dominant T-cell clones in peripheral blood in 363 patients presenting consecutively with a clinical suspicion of cutaneous lymphoma","type":"article-journal","volume":"96"},"uris":["http://www.mendeley.com/documents/?uuid=d147eb90-73a0-3186-a34a-47ef78e654f3"]},{"id":"ITEM-3","itemData":{"DOI":"10.1111/j.1365-2133.2005.06649.x","ISSN":"00070963","PMID":"16120144","abstract":"Background: A dominant T-cell clone can be detected by polymerase chain reaction (PCR) in 40-90% of cutaneous samples from patients with cutaneous T-cell lymphoma (CTCL). Materials and methods: From 1996 to 2003 we analysed 547 cutaneous biopsies performed to exclude CTCL (mycosis fungoides, MF/Sézary syndrome, SS). The final diagnosis was benign inflammatory disease (BID) in 353 samples (64.5%) and CTCL in 194 (35.5%). T-cell receptor (TCR)-γ gene rearrangement was studied by using a multiplex PCR/heteroduplex (HD) analysis. The PCR results were correlated with the clinical picture, the histological pattern and the presence of T-cell lineage antigen loss, using univariate and multivariate logistic regression analyses. Objective: To determine the sensitivity and specificity of the multiplex PCR/HD analysis and to identify which are the clinical, histopathological or immunophenotypical features significantly associated with a positive T-cell clonality. Results: A clonality was demonstrated in 83.5% of CTCL and in 2.3% of BID (P &lt; 0.001). A significantly higher percentage of clonal cases was associated with the cutaneous T-score (71.4% in T1, 76.1% in T2 and 100% in nodular and erythrodermic MF samples) and with the presence of a T-cell lineage antigen loss (93.9% vs. 77.4%). Moreover, clonality was closely related to an increase in the histopathological score (51.3% in the samples with a score &lt; 5, compared with 92% in the lesions with ≥5). No significant difference in the percentage of clonal cases was found between T1/T2 and T3/T4 lesions with a histopathological score ≥ 5. The multivariate logistic regression showed that the density and extent of the cell infiltrate, the degree of epidermotropism and the presence of cytological atypia share an independent predictive value for clonality in T1/T2 samples, even if the highest odds ratios (3.6) were associated with the density of the cell infiltrate. The disease course of T1/T2 patients was analysed according to the PCR findings. All the PCR-negative patients showed a long-standing stable disease course; on the other hand, a disease progression occurred in 12/87 (13.8%) positive patients. Conclusions: The multiplex PCR/HD analysis is associated with a high diagnostic accuracy (92.7%) in CTCL patients. The finding of a clonal T-cell rearrangement is more closely associated with the histological pattern (in particular with the density and extent of the cell infiltrate) rather than with the MF cutaneous T-sc…","author":[{"dropping-particle":"","family":"Ponti","given":"R.","non-dropping-particle":"","parse-names":false,"suffix":""},{"dropping-particle":"","family":"Quaglino","given":"P.","non-dropping-particle":"","parse-names":false,"suffix":""},{"dropping-particle":"","family":"Novelli","given":"M.","non-dropping-particle":"","parse-names":false,"suffix":""},{"dropping-particle":"","family":"Fierro","given":"M. T.","non-dropping-particle":"","parse-names":false,"suffix":""},{"dropping-particle":"","family":"Comessatti","given":"A.","non-dropping-particle":"","parse-names":false,"suffix":""},{"dropping-particle":"","family":"Peroni","given":"A.","non-dropping-particle":"","parse-names":false,"suffix":""},{"dropping-particle":"","family":"Bonello","given":"L.","non-dropping-particle":"","parse-names":false,"suffix":""},{"dropping-particle":"","family":"Bernengo","given":"Maria Grazia","non-dropping-particle":"","parse-names":false,"suffix":""}],"container-title":"British Journal of Dermatology","id":"ITEM-3","issue":"3","issued":{"date-parts":[["2005","9"]]},"page":"565-573","publisher":"Br J Dermatol","title":"T-cell receptor γ gene rearrangement by multiplex polymerase chain reaction/heteroduplex analysis in patients with cutaneous T-cell lymphoma (mycosis fungoides/Sézary syndrome) and benign inflammatory disease: Correlation with clinical, histological and i","type":"article-journal","volume":"153"},"uris":["http://www.mendeley.com/documents/?uuid=b6123569-6e28-4739-9eb3-02f58e77c988"]},{"id":"ITEM-4","itemData":{"DOI":"10.1126/scitranslmed.aaa9122","ISSN":"19466242","PMID":"26446955","abstract":"Early diagnosis of cutaneous T cell lymphoma (CTCL) is difficult and takes on average 6 years after presentation, in part because the clinical appearance and histopathology of CTCL can resemble that of benign inflammatory skin diseases. Detection of a malignant T cell clone is critical in making the diagnosis of CTCL, but the T cell receptor g (TCRγ) polymerase chain reaction (PCR) analysis in current clinical use detects clones in only a subset of patients. High-throughput TCR sequencing (HTS) detected T cell clones in 46 of 46 CTCL patients, was more sensitive and specific than TCRγ PCR, and successfully discriminated CTCL from benign inflammatory diseases. HTS also accurately assessed responses to therapy and facilitated diagnosis of disease recurrence. In patients with new skin lesions and no involvement of blood by flow cytometry, HTS demonstrated hematogenous spread of small numbers of malignant T cells. Analysis of CTCL TCRγ genes demonstrated that CTCL is a malignancy derived from mature T cells. There was a maximal T cell density in skin in benign inflammatory diseases that was exceeded in CTCL, suggesting that a niche of finite size may exist for benign T cells in skin. Last, immunostaining demonstrated that the malignant T cell clones in mycosis fungoides and leukemic CTCL localized to different anatomic compartments in the skin. In summary, HTS accurately diagnosed CTCL in all stages, discriminated CTCL from benign inflammatory skin diseases, and provided insights into the cell of origin and location of malignant CTCL cells in skin.","author":[{"dropping-particle":"","family":"Kirsch","given":"Ilan R.","non-dropping-particle":"","parse-names":false,"suffix":""},{"dropping-particle":"","family":"Watanabe","given":"Rei","non-dropping-particle":"","parse-names":false,"suffix":""},{"dropping-particle":"","family":"O'Malley","given":"John T.","non-dropping-particle":"","parse-names":false,"suffix":""},{"dropping-particle":"","family":"Williamson","given":"David W.","non-dropping-particle":"","parse-names":false,"suffix":""},{"dropping-particle":"","family":"Scott","given":"Laura Louise","non-dropping-particle":"","parse-names":false,"suffix":""},{"dropping-particle":"","family":"Elco","given":"Christopher P.","non-dropping-particle":"","parse-names":false,"suffix":""},{"dropping-particle":"","family":"Teague","given":"Jessica E.","non-dropping-particle":"","parse-names":false,"suffix":""},{"dropping-particle":"","family":"Gehad","given":"Ahmed","non-dropping-particle":"","parse-names":false,"suffix":""},{"dropping-particle":"","family":"Lowry","given":"Elizabeth L.","non-dropping-particle":"","parse-names":false,"suffix":""},{"dropping-particle":"","family":"Leboeuf","given":"Nicole R.","non-dropping-particle":"","parse-names":false,"suffix":""},{"dropping-particle":"","family":"Krueger","given":"James G.","non-dropping-particle":"","parse-names":false,"suffix":""},{"dropping-particle":"","family":"Robins","given":"Harlan S.","non-dropping-particle":"","parse-names":false,"suffix":""},{"dropping-particle":"","family":"Kupper","given":"Thomas S.","non-dropping-particle":"","parse-names":false,"suffix":""},{"dropping-particle":"","family":"Clark","given":"Rachael A.","non-dropping-particle":"","parse-names":false,"suffix":""}],"container-title":"Science Translational Medicine","id":"ITEM-4","issue":"308","issued":{"date-parts":[["2015","10","7"]]},"publisher":"American Association for the Advancement of Science","title":"TCR sequencing facilitates diagnosis and identifies mature T cells as the cell of origin in CTCL","type":"article-journal","volume":"7"},"uris":["http://www.mendeley.com/documents/?uuid=feb7fdcd-dfdb-48f7-b56e-f3a6e3772e7f"]},{"id":"ITEM-5","itemData":{"DOI":"10.1016/j.jid.2017.04.001","ISSN":"15231747","PMID":"28532760","abstract":"High-throughput sequencing (HTS) of the T-cell receptor (TCR) is a rapidly advancing technique that allows sensitive and accurate identification and quantification of every distinct T-cell clone present within any biological sample. The relative frequency of each individual clone within the full T-cell repertoire can also be studied. HTS is essential to expand our knowledge on the diversity of the TCR repertoire in homeostasis or under pathologic conditions, as well as to understand the kinetics of antigen-specific T-cell responses that lead to protective immunity (i.e., vaccination) or immune-related disorders (i.e., autoimmunity and cancer). HTS can be tailored for personalized medicine, having the potential to monitor individual responses to therapeutic interventions and show prognostic and diagnostic biomarkers. In this article, we briefly review the methodology, advances, and limitations of HTS of the TCR and describe emerging applications of this technique in the field of investigative dermatology. We highlight studying the pathogenesis of T cells in allergic dermatitis and the application of HTS of the TCR in diagnosing, detecting recurrence early, and monitoring responses to therapy in cutaneous T-cell lymphoma.","author":[{"dropping-particle":"","family":"Matos","given":"Tiago R.","non-dropping-particle":"","parse-names":false,"suffix":""},{"dropping-particle":"","family":"Rie","given":"Menno A.","non-dropping-particle":"de","parse-names":false,"suffix":""},{"dropping-particle":"","family":"Teunissen","given":"Marcel B.M.","non-dropping-particle":"","parse-names":false,"suffix":""}],"container-title":"Journal of Investigative Dermatology","id":"ITEM-5","issue":"6","issued":{"date-parts":[["2017","6","1"]]},"page":"e131-e138","publisher":"Elsevier B.V.","title":"Research Techniques Made Simple: High-Throughput Sequencing of the T-Cell Receptor","type":"article","volume":"137"},"uris":["http://www.mendeley.com/documents/?uuid=02393924-e549-3bf1-9b75-48d5f9ae3bdd"]},{"id":"ITEM-6","itemData":{"DOI":"10.1182/blood-2017-03-735639","ISSN":"15280020","PMID":"28600337","abstract":"Noninvasive monitoring of minimal residual disease (MRD) has led to significant advances in personalized management of patients with hematologic malignancies. Improved therapeutic options and prolonged survival have further increased the need for sensitive tumor assessment that can inform treatment decisions and patient outcomes. At diagnosis or relapse of most hematologic neoplasms, malignant cells are often easily accessible in the blood as circulating tumor cells (CTCs), making them ideal targets to noninvasively profile the molecular features of each patient. In other cancer types, CTCs are generally rare and noninvasive molecular detection relies on circulating tumor DNA (ctDNA) shed from tumor deposits into circulation. The ability to precisely detect and quantify CTCs and ctDNA could minimize invasive procedures and improve prediction of clinical outcomes. Technical advances in MRD detection methods in recent years have led to reduced costs and increased sensitivity, specificity, and applicability. Among currently available tests, high-throughput sequencing (HTS)–based approaches are increasingly attractive for noninvasive molecular testing. HTS-based methods can simultaneously identify multiple genetic markers with high sensitivity and specificity without individual optimization. In this review, we present an overview of techniques used for noninvasive molecular disease detection in selected myeloid and lymphoid neoplasms, with a focus on the current and future role of HTS-based assays.","author":[{"dropping-particle":"","family":"Scherer","given":"Florian","non-dropping-particle":"","parse-names":false,"suffix":""},{"dropping-particle":"","family":"Kurtz","given":"David M.","non-dropping-particle":"","parse-names":false,"suffix":""},{"dropping-particle":"","family":"Diehn","given":"Maximilian","non-dropping-particle":"","parse-names":false,"suffix":""},{"dropping-particle":"","family":"Alizadeh","given":"Ash A.","non-dropping-particle":"","parse-names":false,"suffix":""}],"container-title":"Blood","id":"ITEM-6","issue":"4","issued":{"date-parts":[["2017","7","27"]]},"page":"440-452","publisher":"American Society of Hematology","title":"High-throughput sequencing for noninvasive disease detection in hematologic malignancies","type":"article","volume":"130"},"uris":["http://www.mendeley.com/documents/?uuid=ce62204d-0b6f-3c17-a27a-0df243d6d2f5"]},{"id":"ITEM-7","itemData":{"DOI":"10.1016/j.jaad.2013.07.049","ISSN":"10976787","PMID":"24438969","abstract":"Mycosis fungoides (MF) and Sézary syndrome (SS) comprise approximately 53% of cutaneous lymphomas. Both MF and SS may clinically and histologically mimic benign skin conditions, posing a diagnostic challenge to the dermatologist. Precise clinicopathologic correlation is necessary to support a diagnosis, especially in the early stages of disease. In addition to the identification of histopathologic criteria, ancillary studies, including the identification of CD4+ T cells with aberrant immunophenotypes and T-cell receptor gene rearrangements within skin lesions and peripheral blood are used to support the diagnosis. Recent studies evaluating the pathogenesis of MF have found that the skin microenvironment, including immune cells, such as dendritic cells and reactive cytotoxic and regulatory T cells, plays a crucial supporting role in MF. The skin-homing ability of malignant T cells is the result of chemokines, cytokines, adhesion molecules, and defective apoptosis, and is believed to play a role in disease pathogenesis and progression. In addition, recent studies have also suggested that MF and SS arise from distinct memory T cell subsets and advanced/erythrodermic MF and SS may be distinguished by identification of certain molecules, including Programmed-Death-1. © 2013 by the American Academy of Dermatology, Inc.","author":[{"dropping-particle":"","family":"Jawed","given":"Sarah I.","non-dropping-particle":"","parse-names":false,"suffix":""},{"dropping-particle":"","family":"Myskowski","given":"Patricia L.","non-dropping-particle":"","parse-names":false,"suffix":""},{"dropping-particle":"","family":"Horwitz","given":"Steven","non-dropping-particle":"","parse-names":false,"suffix":""},{"dropping-particle":"","family":"Moskowitz","given":"Alison","non-dropping-particle":"","parse-names":false,"suffix":""},{"dropping-particle":"","family":"Querfeld","given":"Christiane","non-dropping-particle":"","parse-names":false,"suffix":""}],"container-title":"Journal of the American Academy of Dermatology","id":"ITEM-7","issue":"2","issued":{"date-parts":[["2014"]]},"page":"205.e1-205.e16","publisher":"Mosby Inc.","title":"Primary cutaneous T-cell lymphoma (mycosis fungoides and Sézary syndrome): Part I. Diagnosis: Clinical and histopathologic features and new molecular and biologic markers","type":"article","volume":"70"},"uris":["http://www.mendeley.com/documents/?uuid=52c0aa5d-b731-3a48-bdab-0eb1df5b0301"]},{"id":"ITEM-8","itemData":{"DOI":"10.1136/jclinpath-2018-205004","ISSN":"14724146","PMID":"29636372","abstract":"Aims Substantial clinicopathological overlap exists between cutaneous T-cell lymphoma (CTCL) and benign conditions, leading to diagnostic difficulties. We sought to delineate the utility of high-throughput sequencing (HTS) across a spectrum of histological findings in CTCL and reactive mimics. Methods One hundred skin biopsies obtained for clinical concern for CTCL were identified, comprising 25 cases each from four histological categories: definitive CTCL', atypical lymphoid infiltrate, concerning for CTCL', atypical lymphoid infiltrate, favour reactive' or reactive lymphoid infiltrate'. T-cell receptor gamma chain gene (TRG) PCR and T-cell receptor beta chain gene HTS were performed on both skin biopsy and concurrently collected peripheral blood; most peripheral blood samples were also analysed by flow cytometry. Results Histologically defined CTCL specimens had significantly higher clonality scores and T-cell fractions via HTS than all other groups (all p&lt;0.002 and p&lt;0.03, respectively). HTS was more diagnostically specific than TRG PCR in skin (100% vs 88%), while diagnostic sensitivity (68% vs 72%) and accuracy (84% vs 80%) were similar. TRG PCR and flow cytometry performed on blood were the least diagnostically useful assays. Some identically sized peaks detected by TRG PCR in concurrent skin and peripheral blood specimens were non-identical by HTS analysis. Conclusions HTS, by assessing both clonality and T-cell fractions in skin biopsies, is a powerful tool to aid in the diagnosis of CTCL. It is more specific than TRG PCR in distinguishing definitive CTCL from reactive and indeterminate histology. Identically sized peaks by TRG PCR, typically interpreted to be clonally related, are not always clonally identical by sequencing.","author":[{"dropping-particle":"","family":"Rea","given":"Bryan","non-dropping-particle":"","parse-names":false,"suffix":""},{"dropping-particle":"","family":"Haun","given":"Paul","non-dropping-particle":"","parse-names":false,"suffix":""},{"dropping-particle":"","family":"Emerson","given":"Ryan","non-dropping-particle":"","parse-names":false,"suffix":""},{"dropping-particle":"","family":"Vignali","given":"Marissa","non-dropping-particle":"","parse-names":false,"suffix":""},{"dropping-particle":"","family":"Farooqi","given":"Midhat","non-dropping-particle":"","parse-names":false,"suffix":""},{"dropping-particle":"","family":"Samimi","given":"Sara","non-dropping-particle":"","parse-names":false,"suffix":""},{"dropping-particle":"","family":"Elenitsas","given":"Rosalie","non-dropping-particle":"","parse-names":false,"suffix":""},{"dropping-particle":"","family":"Kirsch","given":"Ilan","non-dropping-particle":"","parse-names":false,"suffix":""},{"dropping-particle":"","family":"Bagg","given":"Adam","non-dropping-particle":"","parse-names":false,"suffix":""}],"container-title":"Journal of Clinical Pathology","id":"ITEM-8","issue":"9","issued":{"date-parts":[["2018","9","1"]]},"page":"814-820","publisher":"BMJ Publishing Group","title":"Role of high-throughput sequencing in the diagnosis of cutaneous T-cell lymphoma","type":"article-journal","volume":"71"},"uris":["http://www.mendeley.com/documents/?uuid=5072b866-15cc-302c-9da3-b446316f4c0d"]}],"mendeley":{"formattedCitation":"[3,8–14]","plainTextFormattedCitation":"[3,8–14]","previouslyFormattedCitation":"[3,8–14]"},"properties":{"noteIndex":0},"schema":"https://github.com/citation-style-language/schema/raw/master/csl-citation.json"}</w:instrText>
      </w:r>
      <w:r w:rsidR="00062499" w:rsidRPr="001B7F70">
        <w:fldChar w:fldCharType="separate"/>
      </w:r>
      <w:r w:rsidR="00774F59" w:rsidRPr="001B7F70">
        <w:rPr>
          <w:noProof/>
        </w:rPr>
        <w:t>[3,8–14]</w:t>
      </w:r>
      <w:r w:rsidR="00062499" w:rsidRPr="001B7F70">
        <w:fldChar w:fldCharType="end"/>
      </w:r>
      <w:r w:rsidR="00774F59">
        <w:rPr>
          <w:rStyle w:val="affa"/>
          <w:i/>
          <w:color w:val="000000" w:themeColor="text1"/>
        </w:rPr>
        <w:t>)</w:t>
      </w:r>
    </w:p>
    <w:p w:rsidR="00660D84" w:rsidRPr="0073723C" w:rsidRDefault="000C307B" w:rsidP="00EA610E">
      <w:pPr>
        <w:divId w:val="266810958"/>
      </w:pPr>
      <w:r>
        <w:lastRenderedPageBreak/>
        <w:t xml:space="preserve"> согласно рекомендациям Международного общества по лимфомам кожи и Европейской организации по изучению и лечению рака для грибовидного микоза и синдрома Сезари (Приложение Г1) </w:t>
      </w:r>
      <w:r w:rsidR="00062499" w:rsidRPr="0073723C">
        <w:fldChar w:fldCharType="begin" w:fldLock="1"/>
      </w:r>
      <w: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-2","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(EORTC)","type":"article","volume":"110"},"uris":["http://www.mendeley.com/documents/?uuid=5ce55666-1265-39b6-bdc7-8edcb4f47df4"]},{"id":"ITEM-3","itemData":{"DOI":"10.6004/jnccn.2008.0033","ISSN":"15401413","PMID":"18433609","abstract":"The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Network","id":"ITEM-3","issue":"4","issued":{"date-parts":[["2008"]]},"page":"436-442","publisher":"Jones and Bartlett Publishers","title":"Review of the treatment of mycosis fungoides and Sézary syndrome: A stage-based approach","type":"article","volume":"6"},"uris":["http://www.mendeley.com/documents/?uuid=8c24f6d3-1d66-3630-96e4-a59fd5e84bd6"]}],"mendeley":{"formattedCitation":"[3,6,7]","plainTextFormattedCitation":"[3,6,7]","previouslyFormattedCitation":"[3,6,7]"},"properties":{"noteIndex":0},"schema":"https://github.com/citation-style-language/schema/raw/master/csl-citation.json"}</w:instrText>
      </w:r>
      <w:r w:rsidR="00062499" w:rsidRPr="0073723C">
        <w:fldChar w:fldCharType="separate"/>
      </w:r>
      <w:r w:rsidR="0019731A" w:rsidRPr="0073723C">
        <w:rPr>
          <w:noProof/>
        </w:rPr>
        <w:t>[3,6,7]</w:t>
      </w:r>
      <w:r w:rsidR="00062499" w:rsidRPr="0073723C">
        <w:fldChar w:fldCharType="end"/>
      </w:r>
      <w:r w:rsidR="00660D84" w:rsidRPr="0073723C">
        <w:t>.</w:t>
      </w:r>
    </w:p>
    <w:p w:rsidR="00AE3266" w:rsidRPr="0073723C" w:rsidRDefault="00AE3266" w:rsidP="00AE3266">
      <w:pPr>
        <w:divId w:val="266810958"/>
        <w:rPr>
          <w:rStyle w:val="affa"/>
          <w:rFonts w:eastAsia="Times New Roman"/>
          <w:b w:val="0"/>
          <w:bCs w:val="0"/>
        </w:rPr>
      </w:pPr>
    </w:p>
    <w:p w:rsidR="00905047" w:rsidRPr="0073723C" w:rsidRDefault="00660D84" w:rsidP="00EA610E">
      <w:pPr>
        <w:pStyle w:val="afb"/>
        <w:tabs>
          <w:tab w:val="num" w:pos="993"/>
        </w:tabs>
        <w:spacing w:beforeAutospacing="0" w:afterAutospacing="0" w:line="360" w:lineRule="auto"/>
        <w:divId w:val="266810958"/>
      </w:pPr>
      <w:r w:rsidRPr="0073723C">
        <w:rPr>
          <w:rStyle w:val="affa"/>
          <w:b w:val="0"/>
        </w:rPr>
        <w:t>С</w:t>
      </w:r>
      <w:r w:rsidR="00905047" w:rsidRPr="0073723C">
        <w:rPr>
          <w:rStyle w:val="affa"/>
          <w:b w:val="0"/>
        </w:rPr>
        <w:t>огласно</w:t>
      </w:r>
      <w:r w:rsidR="00EA610E" w:rsidRPr="0073723C">
        <w:rPr>
          <w:rStyle w:val="affa"/>
          <w:b w:val="0"/>
        </w:rPr>
        <w:t xml:space="preserve"> </w:t>
      </w:r>
      <w:r w:rsidR="00905047" w:rsidRPr="0073723C">
        <w:t xml:space="preserve">рекомендациям Международного общества по лимфомам кожи и Европейской организации по изучению и лечению рака </w:t>
      </w:r>
      <w:r w:rsidR="00905047" w:rsidRPr="0073723C">
        <w:rPr>
          <w:rStyle w:val="affb"/>
          <w:i w:val="0"/>
        </w:rPr>
        <w:t xml:space="preserve">выделяют 4 стадии грибовидного микоза – </w:t>
      </w:r>
      <w:r w:rsidR="000C307B">
        <w:rPr>
          <w:rStyle w:val="affb"/>
          <w:i w:val="0"/>
          <w:lang w:val="en-US"/>
        </w:rPr>
        <w:t>I</w:t>
      </w:r>
      <w:r w:rsidR="000C307B">
        <w:rPr>
          <w:rStyle w:val="affb"/>
          <w:i w:val="0"/>
        </w:rPr>
        <w:t xml:space="preserve"> стадию, выделяя стадии </w:t>
      </w:r>
      <w:r w:rsidR="000C307B">
        <w:rPr>
          <w:rStyle w:val="affb"/>
          <w:i w:val="0"/>
          <w:lang w:val="en-US"/>
        </w:rPr>
        <w:t>IA</w:t>
      </w:r>
      <w:r w:rsidR="000C307B">
        <w:rPr>
          <w:rStyle w:val="affb"/>
          <w:i w:val="0"/>
        </w:rPr>
        <w:t xml:space="preserve"> и </w:t>
      </w:r>
      <w:r w:rsidR="000C307B">
        <w:rPr>
          <w:rStyle w:val="affb"/>
          <w:i w:val="0"/>
          <w:lang w:val="en-US"/>
        </w:rPr>
        <w:t>IB</w:t>
      </w:r>
      <w:r w:rsidR="000C307B">
        <w:rPr>
          <w:rStyle w:val="affb"/>
          <w:i w:val="0"/>
        </w:rPr>
        <w:t xml:space="preserve">, а также </w:t>
      </w:r>
      <w:r w:rsidR="000C307B">
        <w:rPr>
          <w:rStyle w:val="affb"/>
          <w:i w:val="0"/>
          <w:lang w:val="en-US"/>
        </w:rPr>
        <w:t>II</w:t>
      </w:r>
      <w:r w:rsidR="000C307B">
        <w:rPr>
          <w:rStyle w:val="affb"/>
          <w:i w:val="0"/>
        </w:rPr>
        <w:t xml:space="preserve">, </w:t>
      </w:r>
      <w:r w:rsidR="000C307B">
        <w:rPr>
          <w:rStyle w:val="affb"/>
          <w:i w:val="0"/>
          <w:lang w:val="en-US"/>
        </w:rPr>
        <w:t>III</w:t>
      </w:r>
      <w:r w:rsidR="000C307B">
        <w:rPr>
          <w:rStyle w:val="affb"/>
          <w:i w:val="0"/>
        </w:rPr>
        <w:t xml:space="preserve"> и </w:t>
      </w:r>
      <w:r w:rsidR="000C307B">
        <w:rPr>
          <w:rStyle w:val="affb"/>
          <w:i w:val="0"/>
          <w:lang w:val="en-US"/>
        </w:rPr>
        <w:t>IV</w:t>
      </w:r>
      <w:r w:rsidR="000C307B">
        <w:rPr>
          <w:rStyle w:val="affb"/>
          <w:i w:val="0"/>
        </w:rPr>
        <w:t xml:space="preserve"> стадии. </w:t>
      </w:r>
    </w:p>
    <w:p w:rsidR="001B3808" w:rsidRPr="0073723C" w:rsidRDefault="001B7F70" w:rsidP="00EA610E">
      <w:pPr>
        <w:ind w:firstLine="0"/>
        <w:divId w:val="266810958"/>
      </w:pPr>
      <w:r w:rsidRPr="001B7F70">
        <w:t xml:space="preserve">План обследования варьирует в зависимости от стадии грибовидного микоза: </w:t>
      </w:r>
    </w:p>
    <w:p w:rsidR="00905047" w:rsidRPr="0073723C" w:rsidRDefault="001B7F70" w:rsidP="00905047">
      <w:pPr>
        <w:ind w:left="709" w:firstLine="0"/>
        <w:divId w:val="266810958"/>
      </w:pPr>
      <w:r w:rsidRPr="001B7F70">
        <w:t xml:space="preserve">- при </w:t>
      </w:r>
      <w:r w:rsidR="007F36A7" w:rsidRPr="00957B53">
        <w:t>I</w:t>
      </w:r>
      <w:r w:rsidR="00217187" w:rsidRPr="00957B53">
        <w:t>А</w:t>
      </w:r>
      <w:r w:rsidR="007F36A7" w:rsidRPr="00957B53">
        <w:t xml:space="preserve"> и I</w:t>
      </w:r>
      <w:r w:rsidR="00217187" w:rsidRPr="00957B53">
        <w:t>В</w:t>
      </w:r>
      <w:r w:rsidRPr="001B7F70">
        <w:t xml:space="preserve"> стадиях необходимо проведение физикального осмотра с картированием кожи, прицельная рентгенография органов грудной клетки и УЗИ лимфатических узлов (периферических)</w:t>
      </w:r>
      <w:r w:rsidR="00062499" w:rsidRPr="0073723C">
        <w:fldChar w:fldCharType="begin" w:fldLock="1"/>
      </w:r>
      <w:r w:rsidRPr="001B7F70">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Network","id":"ITEM-2","issue":"4","issued":{"date-parts":[["2008"]]},"page":"436-442","publisher":"Jones and Bartlett Publishers","title":"Review of the treatment of mycosis fungoides and Sézary syndrome: A stage-based approach","type":"article","volume":"6"},"uris":["http://www.mendeley.com/documents/?uuid=8c24f6d3-1d66-3630-96e4-a59fd5e84bd6"]}],"mendeley":{"formattedCitation":"[3,7]","plainTextFormattedCitation":"[3,7]","previouslyFormattedCitation":"[3,7]"},"properties":{"noteIndex":0},"schema":"https://github.com/citation-style-language/schema/raw/master/csl-citation.json"}</w:instrText>
      </w:r>
      <w:r w:rsidR="00062499" w:rsidRPr="0073723C">
        <w:fldChar w:fldCharType="separate"/>
      </w:r>
      <w:r w:rsidR="00C849A4" w:rsidRPr="0073723C">
        <w:rPr>
          <w:noProof/>
        </w:rPr>
        <w:t>[3,7]</w:t>
      </w:r>
      <w:r w:rsidR="00062499" w:rsidRPr="0073723C">
        <w:fldChar w:fldCharType="end"/>
      </w:r>
      <w:r w:rsidR="00905047" w:rsidRPr="0073723C">
        <w:t>.</w:t>
      </w:r>
    </w:p>
    <w:p w:rsidR="001B3808" w:rsidRPr="0073723C" w:rsidRDefault="001B3808" w:rsidP="001B3808">
      <w:pPr>
        <w:ind w:left="709" w:firstLine="0"/>
        <w:divId w:val="266810958"/>
      </w:pPr>
      <w:r w:rsidRPr="0073723C">
        <w:rPr>
          <w:rFonts w:eastAsia="Times New Roman"/>
          <w:lang w:eastAsia="ru-RU"/>
        </w:rPr>
        <w:t xml:space="preserve">- </w:t>
      </w:r>
      <w:r w:rsidRPr="0073723C">
        <w:t xml:space="preserve">Пациенты с II, III и IV </w:t>
      </w:r>
      <w:r w:rsidRPr="0073723C">
        <w:rPr>
          <w:rFonts w:eastAsia="Times New Roman"/>
          <w:lang w:eastAsia="ru-RU"/>
        </w:rPr>
        <w:t>стадиями</w:t>
      </w:r>
      <w:r w:rsidR="00EA610E" w:rsidRPr="0073723C">
        <w:rPr>
          <w:rFonts w:eastAsia="Times New Roman"/>
          <w:lang w:eastAsia="ru-RU"/>
        </w:rPr>
        <w:t xml:space="preserve"> </w:t>
      </w:r>
      <w:r w:rsidRPr="0073723C">
        <w:rPr>
          <w:rFonts w:eastAsia="Times New Roman"/>
          <w:lang w:eastAsia="ru-RU"/>
        </w:rPr>
        <w:t>должны</w:t>
      </w:r>
      <w:r w:rsidR="001B7F70" w:rsidRPr="001B7F70">
        <w:t xml:space="preserve"> быть обследованы в соответствии со стандартами обследования пациентов с нодальными лимфомами. Кроме того, при </w:t>
      </w:r>
      <w:r w:rsidR="007F36A7" w:rsidRPr="007F36A7">
        <w:t>наличии пятен/бляшек необходимо определение площади поражения кожного покрова, при наличии узлов – определение их общего количества, размеров наибольшего узла и вовлеченных областей кожи.</w:t>
      </w:r>
    </w:p>
    <w:p w:rsidR="00905047" w:rsidRPr="0073723C" w:rsidRDefault="000C307B" w:rsidP="00EA610E">
      <w:pPr>
        <w:pStyle w:val="aff2"/>
        <w:ind w:left="0" w:firstLine="709"/>
        <w:divId w:val="266810958"/>
      </w:pPr>
      <w:r>
        <w:rPr>
          <w:rStyle w:val="affb"/>
          <w:i w:val="0"/>
        </w:rPr>
        <w:t>Установление стадии заболевания является важным фактором при планировании лечения и определения прогноза течения заболевания. У большинства пациентов с ранними стадиями средняя выживаемость равна 12 лет. В поздних стадиях у пациентов с узлами, эритродермией, вовлечением л/у и крови, но без поражения внутренних органов средняя выживаемость равна 5 годам. Пациенты с узлами (Т3) имеют более плохой прогноз, чем с эритродермией (Т4). Внутренние органы вовлекаются редко, средняя выживаемость при этом меньше 2,5 лет. Пациенты со стадиями IB/IIA, имеющие фолликулярную форму грибовидного микоза или пациенты с очень «толстыми» бляшками имеют более плохой прогноз из-за сниженной чувствительности к наружным видам терапии, что необходимо учитывать при назначении лечения. В поздних стадиях наличие множественных узлов, крупноклеточной трансформации и снижения количества CD8+Т-клеток в дермальном инфильтрате и/или крови также ассоциировано со снижением выживаемости</w:t>
      </w:r>
      <w:r w:rsidR="001B7F70" w:rsidRPr="001B7F70">
        <w:t>.</w:t>
      </w:r>
    </w:p>
    <w:p w:rsidR="00B46390" w:rsidRPr="0073723C" w:rsidRDefault="001B7F70" w:rsidP="00EA610E">
      <w:pPr>
        <w:pStyle w:val="2"/>
        <w:tabs>
          <w:tab w:val="left" w:pos="8607"/>
        </w:tabs>
        <w:divId w:val="266810958"/>
      </w:pPr>
      <w:bookmarkStart w:id="19" w:name="_Toc84161274"/>
      <w:r w:rsidRPr="001B7F70">
        <w:t>2.1 Жалобы и анамнез</w:t>
      </w:r>
      <w:bookmarkEnd w:id="19"/>
    </w:p>
    <w:p w:rsidR="00F756F0" w:rsidRPr="0073723C" w:rsidRDefault="001B7F70" w:rsidP="00334F6C">
      <w:pPr>
        <w:pStyle w:val="2-6"/>
        <w:divId w:val="266810958"/>
        <w:rPr>
          <w:rStyle w:val="affb"/>
          <w:iCs w:val="0"/>
        </w:rPr>
      </w:pPr>
      <w:r w:rsidRPr="001B7F70">
        <w:t xml:space="preserve">Для грибовидного микоза характерно постепенное начало заболевания и медленное развитие. Высыпания часто спонтанно бесследно разрешаются. Пациенты предъявляют жалобы на высыпания на коже, которые часто сопровождаются чувством зуда </w:t>
      </w:r>
      <w:r w:rsidR="00062499" w:rsidRPr="001B7F70">
        <w:rPr>
          <w:rFonts w:eastAsia="Times New Roman"/>
        </w:rPr>
        <w:fldChar w:fldCharType="begin" w:fldLock="1"/>
      </w:r>
      <w:r w:rsidRPr="001B7F70">
        <w:rPr>
          <w:rFonts w:eastAsia="Times New Roman"/>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1B7F70">
        <w:rPr>
          <w:rFonts w:eastAsia="Times New Roman"/>
        </w:rPr>
        <w:fldChar w:fldCharType="separate"/>
      </w:r>
      <w:r w:rsidRPr="001B7F70">
        <w:rPr>
          <w:rFonts w:eastAsia="Times New Roman"/>
          <w:noProof/>
        </w:rPr>
        <w:t>[3–5]</w:t>
      </w:r>
      <w:r w:rsidR="00062499" w:rsidRPr="001B7F70">
        <w:rPr>
          <w:rFonts w:eastAsia="Times New Roman"/>
        </w:rPr>
        <w:fldChar w:fldCharType="end"/>
      </w:r>
      <w:r w:rsidRPr="001B7F70">
        <w:t>.</w:t>
      </w:r>
    </w:p>
    <w:p w:rsidR="00B46390" w:rsidRPr="0073723C" w:rsidRDefault="001B7F70" w:rsidP="0021676E">
      <w:pPr>
        <w:pStyle w:val="2"/>
        <w:divId w:val="266810958"/>
      </w:pPr>
      <w:bookmarkStart w:id="20" w:name="_Toc84161275"/>
      <w:r w:rsidRPr="001B7F70">
        <w:t>2.2 Физикальное обследование</w:t>
      </w:r>
      <w:bookmarkEnd w:id="20"/>
    </w:p>
    <w:p w:rsidR="00F719A4" w:rsidRPr="0073723C" w:rsidRDefault="001B7F70" w:rsidP="003256AD">
      <w:pPr>
        <w:pStyle w:val="afb"/>
        <w:tabs>
          <w:tab w:val="left" w:pos="1134"/>
        </w:tabs>
        <w:spacing w:beforeAutospacing="0" w:afterAutospacing="0" w:line="360" w:lineRule="auto"/>
        <w:ind w:firstLine="567"/>
        <w:divId w:val="266810958"/>
        <w:rPr>
          <w:color w:val="000000" w:themeColor="text1"/>
        </w:rPr>
      </w:pPr>
      <w:r w:rsidRPr="001B7F70">
        <w:lastRenderedPageBreak/>
        <w:t xml:space="preserve">Клиническое обследование пациента остается основополагающим методом в диагностике начинающегося грибовидного микоза, так как дает возможность не только заподозрить грибовидный микоз, но и определить разновидность и стадию этого заболевания, а также определить оптимальное место для получения биоптата кожи. При клиническом обследовании необходимо оценить вид кожных высыпаний (пятна, бляшки, узлы или их сочетание) и площадь поражения кожных покровов. </w:t>
      </w:r>
      <w:r w:rsidRPr="001B7F70">
        <w:rPr>
          <w:color w:val="000000" w:themeColor="text1"/>
        </w:rPr>
        <w:t>Критерии клинической диагностики ранних стадий грибовидного микоза приведены в разделе 1.6 «Клиническая картина</w:t>
      </w:r>
      <w:r w:rsidR="007F36A7" w:rsidRPr="007F36A7">
        <w:rPr>
          <w:color w:val="000000" w:themeColor="text1"/>
        </w:rPr>
        <w:t xml:space="preserve"> </w:t>
      </w:r>
      <w:r w:rsidRPr="001B7F70">
        <w:rPr>
          <w:color w:val="000000" w:themeColor="text1"/>
          <w:shd w:val="clear" w:color="auto" w:fill="FFFFFF"/>
        </w:rPr>
        <w:t>заболевания или состояния (группы заболеваний или состояний)»</w:t>
      </w:r>
    </w:p>
    <w:p w:rsidR="009853A9" w:rsidRPr="0073723C" w:rsidRDefault="001B7F70" w:rsidP="00CD3932">
      <w:pPr>
        <w:divId w:val="266810958"/>
        <w:rPr>
          <w:sz w:val="28"/>
        </w:rPr>
      </w:pPr>
      <w:r w:rsidRPr="001B7F70">
        <w:t xml:space="preserve">Для установления стадии заболевания согласно рекомендациям </w:t>
      </w:r>
      <w:r w:rsidRPr="001B7F70">
        <w:rPr>
          <w:lang w:val="en-US"/>
        </w:rPr>
        <w:t>ISLE</w:t>
      </w:r>
      <w:r w:rsidRPr="001B7F70">
        <w:t>-</w:t>
      </w:r>
      <w:r w:rsidRPr="001B7F70">
        <w:rPr>
          <w:lang w:val="en-US"/>
        </w:rPr>
        <w:t>EORTC</w:t>
      </w:r>
      <w:r w:rsidRPr="001B7F70">
        <w:t xml:space="preserve"> при наличии пятен/бляшек необходимо определение площади поражения кожного покрова, при наличии узлов – определение их общего количества, размеров наибольшего узла и вовлеченных областей кожи. Необходима также пальпация лимфатических узлов и оценка их размеров, консистенции, подвижности, спаянности с окружающими тканями, болезненности </w:t>
      </w:r>
      <w:r w:rsidR="00062499" w:rsidRPr="001B7F70">
        <w:fldChar w:fldCharType="begin" w:fldLock="1"/>
      </w:r>
      <w:r w:rsidRPr="001B7F70">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062499" w:rsidRPr="001B7F70">
        <w:fldChar w:fldCharType="separate"/>
      </w:r>
      <w:r w:rsidRPr="001B7F70">
        <w:rPr>
          <w:noProof/>
        </w:rPr>
        <w:t>[6]</w:t>
      </w:r>
      <w:r w:rsidR="00062499" w:rsidRPr="001B7F70">
        <w:fldChar w:fldCharType="end"/>
      </w:r>
      <w:r w:rsidR="00CC12E9" w:rsidRPr="0073723C">
        <w:rPr>
          <w:color w:val="000000" w:themeColor="text1"/>
          <w:sz w:val="28"/>
          <w:szCs w:val="28"/>
        </w:rPr>
        <w:t>.</w:t>
      </w:r>
    </w:p>
    <w:p w:rsidR="00B46390" w:rsidRPr="0073723C" w:rsidRDefault="00B46390" w:rsidP="0031061D">
      <w:pPr>
        <w:pStyle w:val="2"/>
        <w:divId w:val="266810958"/>
        <w:rPr>
          <w:lang w:val="en-US"/>
        </w:rPr>
      </w:pPr>
      <w:bookmarkStart w:id="21" w:name="_Toc84161276"/>
      <w:r w:rsidRPr="0073723C">
        <w:rPr>
          <w:lang w:val="en-US"/>
        </w:rPr>
        <w:t xml:space="preserve">2.3 </w:t>
      </w:r>
      <w:r w:rsidRPr="0073723C">
        <w:t>Лабораторн</w:t>
      </w:r>
      <w:r w:rsidR="00A70F44" w:rsidRPr="0073723C">
        <w:t>ые</w:t>
      </w:r>
      <w:r w:rsidR="00C849A4" w:rsidRPr="0073723C">
        <w:t xml:space="preserve"> </w:t>
      </w:r>
      <w:r w:rsidR="00A70F44" w:rsidRPr="0073723C">
        <w:t>диагностические</w:t>
      </w:r>
      <w:r w:rsidR="00C849A4" w:rsidRPr="0073723C">
        <w:t xml:space="preserve"> </w:t>
      </w:r>
      <w:r w:rsidR="001B7F70" w:rsidRPr="001B7F70">
        <w:t>исследования</w:t>
      </w:r>
      <w:bookmarkEnd w:id="21"/>
    </w:p>
    <w:p w:rsidR="008375E6" w:rsidRPr="0073723C" w:rsidRDefault="001B7F70">
      <w:pPr>
        <w:pStyle w:val="afff7"/>
        <w:divId w:val="266810958"/>
      </w:pPr>
      <w:r w:rsidRPr="001B7F70">
        <w:rPr>
          <w:b/>
        </w:rPr>
        <w:t xml:space="preserve">Рекомендуется </w:t>
      </w:r>
      <w:r w:rsidRPr="001B7F70">
        <w:rPr>
          <w:lang w:eastAsia="ru-RU"/>
        </w:rPr>
        <w:t>общий (клинический) анализ крови развернутый</w:t>
      </w:r>
      <w:r w:rsidR="00CE089D" w:rsidRPr="0073723C">
        <w:rPr>
          <w:lang w:eastAsia="zh-CN"/>
        </w:rPr>
        <w:t xml:space="preserve"> для выявления возможных </w:t>
      </w:r>
      <w:r w:rsidR="00CE089D" w:rsidRPr="0073723C">
        <w:rPr>
          <w:color w:val="000000" w:themeColor="text1"/>
          <w:lang w:eastAsia="zh-CN"/>
        </w:rPr>
        <w:t>отклонений</w:t>
      </w:r>
      <w:r w:rsidR="00C849A4" w:rsidRPr="0073723C">
        <w:rPr>
          <w:color w:val="000000" w:themeColor="text1"/>
          <w:lang w:eastAsia="zh-CN"/>
        </w:rPr>
        <w:t xml:space="preserve"> </w:t>
      </w:r>
      <w:r w:rsidR="00062499" w:rsidRPr="001B7F70">
        <w:rPr>
          <w:color w:val="000000" w:themeColor="text1"/>
          <w:lang w:eastAsia="zh-CN"/>
        </w:rPr>
        <w:fldChar w:fldCharType="begin" w:fldLock="1"/>
      </w:r>
      <w:r w:rsidRPr="001B7F70">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062499" w:rsidRPr="001B7F70">
        <w:rPr>
          <w:color w:val="000000" w:themeColor="text1"/>
          <w:lang w:eastAsia="zh-CN"/>
        </w:rPr>
        <w:fldChar w:fldCharType="separate"/>
      </w:r>
      <w:r w:rsidRPr="001B7F70">
        <w:rPr>
          <w:noProof/>
          <w:color w:val="000000" w:themeColor="text1"/>
          <w:lang w:eastAsia="zh-CN"/>
        </w:rPr>
        <w:t>[6]</w:t>
      </w:r>
      <w:r w:rsidR="00062499" w:rsidRPr="001B7F70">
        <w:rPr>
          <w:color w:val="000000" w:themeColor="text1"/>
          <w:lang w:eastAsia="zh-CN"/>
        </w:rPr>
        <w:fldChar w:fldCharType="end"/>
      </w:r>
      <w:r w:rsidRPr="001B7F70">
        <w:rPr>
          <w:color w:val="000000" w:themeColor="text1"/>
          <w:lang w:eastAsia="zh-CN"/>
        </w:rPr>
        <w:t xml:space="preserve"> </w:t>
      </w:r>
      <w:r w:rsidRPr="001B7F70">
        <w:rPr>
          <w:lang w:eastAsia="zh-CN"/>
        </w:rPr>
        <w:t xml:space="preserve">и состояний, являющихся противопоказаниями к назначению системной терапии грибовидного микоза и для контроля безопасности проводимой системной терапии </w:t>
      </w:r>
      <w:r w:rsidRPr="001B7F70">
        <w:t xml:space="preserve">или фототерапии </w:t>
      </w:r>
      <w:r w:rsidR="00062499" w:rsidRPr="001B7F70">
        <w:fldChar w:fldCharType="begin" w:fldLock="1"/>
      </w:r>
      <w:r w:rsidRPr="001B7F70">
        <w:instrText>ADDIN CSL_CITATION {"citationItems":[{"id":"ITEM-1","itemData":{"DOI":"10.1111/ced.12572","ISSN":"13652230","PMID":"25622648","abstract":"Adverse drug reactions (ADRs) - that is, unintended and harmful responses to medicines - are important to dermatologists because many present with cutaneous signs and because dermatological treatments can cause serious ADRs. The detection of ADRs to new drugs is often delayed because they have a long latency or are rare or unexpected. This means that ADRs to newer agents emerge only slowly after marketing. ADRs are part of the differential diagnosis of unusual rashes. A good drug history that includes details of drug dose, time-course of the reaction and factors that may make the patient more susceptible, will help. For example, Stevens-Johnson syndrome with abacavir is much commoner in patients with HLA-B</w:instrText>
      </w:r>
      <w:r w:rsidRPr="001B7F70">
        <w:rPr>
          <w:rFonts w:ascii="Cambria Math" w:hAnsi="Cambria Math"/>
        </w:rPr>
        <w:instrText>∗</w:instrText>
      </w:r>
      <w:r w:rsidRPr="001B7F70">
        <w:instrText>5701, and has a characteristic time course. Newer agents have brought newer reactions; for example, acneiform rashes associated with epidermal growth factor receptor inhibitors such as erlotinib. Older systemic agents used to treat skin disease, including corticosteroids and methotrexate, cause important ADRs. The adverse effects of newer biological agents used in dermatology are becoming clearer; for example, hypersensitivity reactions or loss of efficacy from antibody formation and progressive multifocal leucoencephalopathy due to reactivation of latent JC (John Cunningham) virus infections during efalizumab treatment. Unusual or serious harm from medicines, including ADRs, medication errors and overdose, should be reported. The UK Yellow Card scheme is online, and patients can report their own ADRs.","author":[{"dropping-particle":"","family":"Ferner","given":"R. E.","non-dropping-particle":"","parse-names":false,"suffix":""}],"container-title":"Clinical and Experimental Dermatology","id":"ITEM-1","issue":"2","issued":{"date-parts":[["2015","3","1"]]},"page":"105-110","publisher":"Blackwell Publishing Ltd","title":"Adverse drug reactions in dermatology","type":"article","volume":"40"},"uris":["http://www.mendeley.com/documents/?uuid=9ca54e2b-524d-390a-8a82-dfd9690144e6"]},{"id":"ITEM-2","itemData":{"DOI":"10.1111/bjh.15258","ISSN":"13652141","PMID":"29672827","abstract":"Different models to investigate the prognosis of peripheral T cell lymphoma not otherwise specified (PTCL-NOS) have been developed by means of retrospective analyses. Here we report on a new model designed on data from the prospective T Cell Project. Twelve covariates collected by the T Cell Project were analysed and a new model (T cell score), based on four covariates (serum albumin, performance status, stage and absolute neutrophil count) that maintained their prognostic value in multiple Cox proportional hazards regression analysis was proposed. Among patients registered in the T Cell Project, 311 PTCL-NOS were retained for study. At a median follow-up of 46 months, the median overall survival (OS) and progression-free survival (PFS) was 20 and 10 months, respectively. Three groups were identified at low risk (LR, 48 patients, 15%, score 0), intermediate risk (IR, 189 patients, 61%, score 1–2), and high risk (HiR, 74 patients, 24%, score 3–4), having a 3-year OS of 76% [95% confidence interval 61–88], 43% [35–51], and 11% [4–21], respectively (P &lt; 0·001). Comparing the performance of the T cell score on OS to that of each of the previously developed models, it emerged that the new score had the best discriminant power. The new T cell score, based on clinical variables, identifies a group with very unfavourable outcomes.","author":[{"dropping-particle":"","family":"Federico","given":"Massimo","non-dropping-particle":"","parse-names":false,"suffix":""},{"dropping-particle":"","family":"Bellei","given":"Monica","non-dropping-particle":"","parse-names":false,"suffix":""},{"dropping-particle":"","family":"Marcheselli","given":"Luigi","non-dropping-particle":"","parse-names":false,"suffix":""},{"dropping-particle":"","family":"Schwartz","given":"Marc","non-dropping-particle":"","parse-names":false,"suffix":""},{"dropping-particle":"","family":"Manni","given":"Martina","non-dropping-particle":"","parse-names":false,"suffix":""},{"dropping-particle":"","family":"Tarantino","given":"Vittoria","non-dropping-particle":"","parse-names":false,"suffix":""},{"dropping-particle":"","family":"Pileri","given":"Stefano","non-dropping-particle":"","parse-names":false,"suffix":""},{"dropping-particle":"","family":"Ko","given":"Young Hyeh","non-dropping-particle":"","parse-names":false,"suffix":""},{"dropping-particle":"","family":"Cabrera","given":"Maria E.","non-dropping-particle":"","parse-names":false,"suffix":""},{"dropping-particle":"","family":"Horwitz","given":"Steven","non-dropping-particle":"","parse-names":false,"suffix":""},{"dropping-particle":"","family":"Kim","given":"Won S.","non-dropping-particle":"","parse-names":false,"suffix":""},{"dropping-particle":"","family":"Shustov","given":"Andrei","non-dropping-particle":"","parse-names":false,"suffix":""},{"dropping-particle":"","family":"Foss","given":"Francine M.","non-dropping-particle":"","parse-names":false,"suffix":""},{"dropping-particle":"","family":"Nagler","given":"Arnon","non-dropping-particle":"","parse-names":false,"suffix":""},{"dropping-particle":"","family":"Carson","given":"Kenneth","non-dropping-particle":"","parse-names":false,"suffix":""},{"dropping-particle":"","family":"Pinter-Brown","given":"Lauren C.","non-dropping-particle":"","parse-names":false,"suffix":""},{"dropping-particle":"","family":"Montoto","given":"Silvia","non-dropping-particle":"","parse-names":false,"suffix":""},{"dropping-particle":"","family":"Spina","given":"Michele","non-dropping-particle":"","parse-names":false,"suffix":""},{"dropping-particle":"","family":"Feldman","given":"Tatyana A.","non-dropping-particle":"","parse-names":false,"suffix":""},{"dropping-particle":"","family":"Lechowicz","given":"Mary J.","non-dropping-particle":"","parse-names":false,"suffix":""},{"dropping-particle":"","family":"Smith","given":"Sonali M.","non-dropping-particle":"","parse-names":false,"suffix":""},{"dropping-particle":"","family":"Lansigan","given":"Frederick","non-dropping-particle":"","parse-names":false,"suffix":""},{"dropping-particle":"","family":"Gabus","given":"Raul","non-dropping-particle":"","parse-names":false,"suffix":""},{"dropping-particle":"","family":"Vose","given":"Julie M.","non-dropping-particle":"","parse-names":false,"suffix":""},{"dropping-particle":"","family":"Advani","given":"Ranjana H.","non-dropping-particle":"","parse-names":false,"suffix":""}],"container-title":"British Journal of Haematology","id":"ITEM-2","issue":"6","issued":{"date-parts":[["2018","6","1"]]},"page":"760-769","publisher":"Blackwell Publishing Ltd","title":"Peripheral T cell lymphoma, not otherwise specified (PTCL-NOS). A new prognostic model developed by the International T cell Project Network","type":"article-journal","volume":"181"},"uris":["http://www.mendeley.com/documents/?uuid=337f5bd5-c94e-3bce-8b99-6e8d9872d3ea"]},{"id":"ITEM-3","itemData":{"DOI":"10.1097/CM9.0000000000000088","ISSN":"25425641","PMID":"30681495","abstract":"Background: Non-Hodgkin T/NK cell lymphoma is a rare and widely variable type of lymphoma with the most dismal prognosis. This study aimed to investigate varied impact of the clinical indicators to the overall survival (OS). Methods: We conducted a retrospective study to identify the non-invasive clinical features of T cell lymphoma that can predict prognosis with an innovative analysis method using quantile regression. A total of 183 patients who visited a top-tier hospital in Beijing, China, were enrolled from January 2006 to December 2015. Demographic information and main clinical indicators were collected including age, erythrocyte sedimentation rate (ESR), survival status, and international prognostic index (IPI) score. Results: The median age of the patients at diagnosis was 45 years. Approximately 80% of patients were at an advanced stage, and the median survival time after diagnosis was 5.1 months. Multivariable analysis of the prognostic factors for inferior OS associated with advanced clinical staging [HR=3.16, 95%CI (1.39–7.2)], lower platelet count [HR = 2.57, 95%CI (1.57–4.19), P &lt; 0.001] and higher IPI score [HR = 1.29, 95%CI (1.01–1.66), P = 0.043]. Meanwhile, T cell lymphoblastic lymphoma [HR = 0.40, 95%CI (0.20–0.80), P = 0.010], higher white blood cell counts [HR = 0.57, 95%CI (0.34–0.96), P = 0.033], higher serum albumin level [HR = 0.6, 95%CI (0.37–0.97), P = 0.039], and higher ESR [HR = 0.53, 95%CI (0.33–0.87), P = 0.011] were protective factors for OS when stratified by hemophagocytic lymphohistiocytosis (HLH). Multivariable quantile regression between the OS rate and each predictor at quartiles 0.25, 0.5, 0.75, and 0.95 showed that the coefficients of serum b2-microglobulin level and serum ESR were statistically significant in the middle of the coefficient curve (quartile 0.25–0.75). The coefficient of IPI was negatively associated with OS. The coefficients of hematopoietic stem cell transplantation (HSCT) and no clinical symptoms were higher at the middle of the quartile level curve but were not statistically significant. Conclusions: The IPI score is a comparatively robust indicator of prognosis at 3 quartiles, and serum ESR is stable at the middle 2 quartiles section when adjusted for HLH. Quantile regression can be used to observe detailed impacts of the predictors on OS.","author":[{"dropping-particle":"","family":"Huang","given":"Da Yong","non-dropping-particle":"","parse-names":false,"suffix":""},{"dropping-particle":"","family":"Hu","given":"Yi Fei","non-dropping-particle":"","parse-names":false,"suffix":""},{"dropping-particle":"","family":"Wei","given":"Na","non-dropping-particle":"","parse-names":false,"suffix":""},{"dropping-particle":"","family":"Fu","given":"Li","non-dropping-particle":"","parse-names":false,"suffix":""},{"dropping-particle":"","family":"Wu","given":"Lin","non-dropping-particle":"","parse-names":false,"suffix":""},{"dropping-particle":"","family":"Shen","given":"Jing","non-dropping-particle":"","parse-names":false,"suffix":""},{"dropping-particle":"","family":"Wang","given":"Jing Shi","non-dropping-particle":"","parse-names":false,"suffix":""},{"dropping-particle":"","family":"Wang","given":"Zhao","non-dropping-particle":"","parse-names":false,"suffix":""}],"container-title":"Chinese Medical Journal","id":"ITEM-3","issue":"3","issued":{"date-parts":[["2019"]]},"page":"294-301","publisher":"Lippincott Williams and Wilkins","title":"Innovative analysis of predictors for overall survival from systemic non-Hodgkin T cell lymphoma using quantile regression analysis","type":"article-journal","volume":"132"},"uris":["http://www.mendeley.com/documents/?uuid=ae5c2f99-7916-3504-91a9-2fbbc3d61159"]}],"mendeley":{"formattedCitation":"[15–17]","plainTextFormattedCitation":"[15–17]","previouslyFormattedCitation":"[15–17]"},"properties":{"noteIndex":0},"schema":"https://github.com/citation-style-language/schema/raw/master/csl-citation.json"}</w:instrText>
      </w:r>
      <w:r w:rsidR="00062499" w:rsidRPr="001B7F70">
        <w:fldChar w:fldCharType="separate"/>
      </w:r>
      <w:r w:rsidRPr="001B7F70">
        <w:rPr>
          <w:noProof/>
        </w:rPr>
        <w:t>[15–17]</w:t>
      </w:r>
      <w:r w:rsidR="00062499" w:rsidRPr="001B7F70">
        <w:fldChar w:fldCharType="end"/>
      </w:r>
      <w:r w:rsidRPr="001B7F70">
        <w:t>.</w:t>
      </w:r>
    </w:p>
    <w:p w:rsidR="00D02831" w:rsidRPr="0073723C" w:rsidRDefault="001B7F70" w:rsidP="00FD1C29">
      <w:pPr>
        <w:pStyle w:val="aff1"/>
        <w:divId w:val="266810958"/>
      </w:pPr>
      <w:r w:rsidRPr="001B7F70">
        <w:t>Уровень убедительности рекомендаций С (уровень достоверности доказательств – 5)</w:t>
      </w:r>
    </w:p>
    <w:p w:rsidR="00D02831" w:rsidRPr="0073723C" w:rsidRDefault="001B7F70" w:rsidP="00DD28D5">
      <w:pPr>
        <w:autoSpaceDE w:val="0"/>
        <w:autoSpaceDN w:val="0"/>
        <w:adjustRightInd w:val="0"/>
        <w:ind w:left="709" w:firstLine="0"/>
        <w:divId w:val="266810958"/>
        <w:rPr>
          <w:i/>
          <w:color w:val="FF0000"/>
          <w:szCs w:val="24"/>
        </w:rPr>
      </w:pPr>
      <w:r w:rsidRPr="001B7F70">
        <w:rPr>
          <w:b/>
        </w:rPr>
        <w:t xml:space="preserve">Комментарии: </w:t>
      </w:r>
      <w:r w:rsidR="000C307B" w:rsidRPr="000C307B">
        <w:rPr>
          <w:i/>
          <w:color w:val="000000" w:themeColor="text1"/>
        </w:rPr>
        <w:t xml:space="preserve">лекарственные препараты, используемые для системной терапии грибовидного микоза, обладают нежелательными явлениями, отражающиеся в изменениях показателей крови, выявление которых требует проведения общего (клинического) анализа крови </w:t>
      </w:r>
      <w:r w:rsidR="00062499" w:rsidRPr="001B7F70">
        <w:fldChar w:fldCharType="begin" w:fldLock="1"/>
      </w:r>
      <w:r w:rsidRPr="001B7F70">
        <w:instrText>ADDIN CSL_CITATION {"citationItems":[{"id":"ITEM-1","itemData":{"DOI":"10.1111/ced.12572","ISSN":"13652230","PMID":"25622648","abstract":"Adverse drug reactions (ADRs) - that is, unintended and harmful responses to medicines - are important to dermatologists because many present with cutaneous signs and because dermatological treatments can cause serious ADRs. The detection of ADRs to new drugs is often delayed because they have a long latency or are rare or unexpected. This means that ADRs to newer agents emerge only slowly after marketing. ADRs are part of the differential diagnosis of unusual rashes. A good drug history that includes details of drug dose, time-course of the reaction and factors that may make the patient more susceptible, will help. For example, Stevens-Johnson syndrome with abacavir is much commoner in patients with HLA-B</w:instrText>
      </w:r>
      <w:r w:rsidRPr="001B7F70">
        <w:rPr>
          <w:rFonts w:hAnsi="Cambria Math"/>
        </w:rPr>
        <w:instrText>∗</w:instrText>
      </w:r>
      <w:r w:rsidRPr="001B7F70">
        <w:instrText>5701, and has a characteristic time course. Newer agents have brought newer reactions; for example, acneiform rashes associated with epidermal growth factor receptor inhibitors such as erlotinib. Older systemic agents used to treat skin disease, including corticosteroids and methotrexate, cause important ADRs. The adverse effects of newer biological agents used in dermatology are becoming clearer; for example, hypersensitivity reactions or loss of efficacy from antibody formation and progressive multifocal leucoencephalopathy due to reactivation of latent JC (John Cunningham) virus infections during efalizumab treatment. Unusual or serious harm from medicines, including ADRs, medication errors and overdose, should be reported. The UK Yellow Card scheme is online, and patients can report their own ADRs.","author":[{"dropping-particle":"","family":"Ferner","given":"R. E.","non-dropping-particle":"","parse-names":false,"suffix":""}],"container-title":"Clinical and Experimental Dermatology","id":"ITEM-1","issue":"2","issued":{"date-parts":[["2015","3","1"]]},"page":"105-110","publisher":"Blackwell Publishing Ltd","title":"Adverse drug reactions in dermatology","type":"article","volume":"40"},"uris":["http://www.mendeley.com/documents/?uuid=9ca54e2b-524d-390a-8a82-dfd9690144e6"]}],"mendeley":{"formattedCitation":"[15]","plainTextFormattedCitation":"[15]","previouslyFormattedCitation":"[15]"},"properties":{"noteIndex":0},"schema":"https://github.com/citation-style-language/schema/raw/master/csl-citation.json"}</w:instrText>
      </w:r>
      <w:r w:rsidR="00062499" w:rsidRPr="001B7F70">
        <w:fldChar w:fldCharType="separate"/>
      </w:r>
      <w:r w:rsidRPr="001B7F70">
        <w:rPr>
          <w:noProof/>
        </w:rPr>
        <w:t>[15]</w:t>
      </w:r>
      <w:r w:rsidR="00062499" w:rsidRPr="001B7F70">
        <w:fldChar w:fldCharType="end"/>
      </w:r>
      <w:r w:rsidR="00CE089D" w:rsidRPr="0073723C">
        <w:rPr>
          <w:i/>
          <w:color w:val="000000" w:themeColor="text1"/>
        </w:rPr>
        <w:t xml:space="preserve">. На фоне системной терапии может наблюдаться развитие тромбоцитопении, анемии, нейтропении и </w:t>
      </w:r>
      <w:r w:rsidR="004C4AEF">
        <w:rPr>
          <w:i/>
          <w:color w:val="000000" w:themeColor="text1"/>
        </w:rPr>
        <w:t xml:space="preserve">изменение </w:t>
      </w:r>
      <w:r w:rsidR="00CE089D" w:rsidRPr="0073723C">
        <w:rPr>
          <w:i/>
          <w:color w:val="000000" w:themeColor="text1"/>
        </w:rPr>
        <w:t>других показателей</w:t>
      </w:r>
      <w:r w:rsidR="00B84337" w:rsidRPr="0073723C">
        <w:rPr>
          <w:i/>
          <w:color w:val="000000" w:themeColor="text1"/>
        </w:rPr>
        <w:t xml:space="preserve"> </w:t>
      </w:r>
      <w:r w:rsidR="00062499" w:rsidRPr="000C307B">
        <w:rPr>
          <w:i/>
          <w:color w:val="000000" w:themeColor="text1"/>
        </w:rPr>
        <w:fldChar w:fldCharType="begin" w:fldLock="1"/>
      </w:r>
      <w:r w:rsidRPr="001B7F70">
        <w:rPr>
          <w:i/>
          <w:color w:val="000000" w:themeColor="text1"/>
        </w:rPr>
        <w:instrText>ADDIN CSL_CITATION {"citationItems":[{"id":"ITEM-1","itemData":{"DOI":"10.1111/j.1396-0296.2003.01643.x","ISSN":"13960296","PMID":"14686974","abstract":"Interferons are polypeptides with a broad range of in vivo effects that have shown efficacy in cutaneous T-cell lymphoma (CTCL). Particularly useful is alfa interferon (IFN) which, as a single agent, has shown partial remission rates of &gt; 50% and complete responses of &gt; 20%. Side-effects are predictable, generally well tolerated and dose-related. The efficacy of IFN has increased with combination therapy without any significant increase in attendant side-effects. An update on the specifics of the different IFN subtypes, their inherent biologic activity, pharmacokinetics, efficacy and safety in CTCL is presented in this paper.","author":[{"dropping-particle":"","family":"Olsen","given":"Elise A.","non-dropping-particle":"","parse-names":false,"suffix":""}],"container-title":"Dermatologic Therapy","id":"ITEM-1","issue":"4","issued":{"date-parts":[["2003"]]},"page":"311-321","publisher":"Dermatol Ther","title":"Interferon in the treatment of cutaneous T-cell lymphoma","type":"article","volume":"16"},"uris":["http://www.mendeley.com/documents/?uuid=ab8a433e-5050-333a-88f9-6308f8021cb6"]},{"id":"ITEM-2","itemData":{"DOI":"10.1007/s00280-016-3043-5","ISSN":"14320843","PMID":"27142726","abstract":"Purpose: Methotrexate chemotherapy is associated with various toxicities which can result in the interruption or discontinuation of treatment and a subsequently raised risk of relapse. This umbrella systematic review was conducted to synthesize the results of all existing systematic reviews that investigate the pharmacogenetics of methotrexate-induced toxicity, with the aim of developing a comprehensive reference for personalized medicine. Methods: Databases searched were PubMed, Embase, JBI Database of Systematic Reviews and Implementation Reports, DARE, and ProQuest. Papers were critically appraised by two reviewers, and data were extracted using a standardized tool. Results: Three systematic reviews on methotrexate-induced toxicity were included in the review. Meta-analyses were reported across Asian, Caucasian, pediatric and adult patients for the MTHFR C677T and A1298C polymorphisms. Toxicity outcomes included different forms of hematologic, ectodermal and hepatic toxicities. Results varied considerably depending on the patient groups and subgroups investigated in the different systematic reviews, as well as the genetic models utilized. However, significant associations were found between the MTHFR C677T allele and; hepatic toxicity, myelosuppression, oral mucositis, gastrointestinal toxicity, and skin toxicity. Additionally, limited evidence suggests that the MTHFR A1298C polymorphism may be associated with decreased risk of skin toxicity and leukopenia. Conclusion: This umbrella systematic review has synthesized the best available evidence on the pharmacogenetics of methotrexate toxicity. The next step in making personalized medicine for methotrexate therapy a clinical reality is research on the effectiveness and cost-effectiveness of MTHFR genotype testing to enable the close monitoring of at-risk patients for the timely initiation of rescue therapies.","author":[{"dropping-particle":"","family":"Campbell","given":"Jared M.","non-dropping-particle":"","parse-names":false,"suffix":""},{"dropping-particle":"","family":"Bateman","given":"Emma","non-dropping-particle":"","parse-names":false,"suffix":""},{"dropping-particle":"","family":"Stephenson","given":"Matthew D.","non-dropping-particle":"","parse-names":false,"suffix":""},{"dropping-particle":"","family":"Bowen","given":"Joanne M.","non-dropping-particle":"","parse-names":false,"suffix":""},{"dropping-particle":"","family":"Keefe","given":"Dorothy M.","non-dropping-particle":"","parse-names":false,"suffix":""},{"dropping-particle":"","family":"Peters","given":"Micah D.J.","non-dropping-particle":"","parse-names":false,"suffix":""}],"container-title":"Cancer Chemotherapy and Pharmacology","id":"ITEM-2","issue":"1","issued":{"date-parts":[["2016","7","1"]]},"page":"27-39","publisher":"Springer Verlag","title":"Methotrexate-induced toxicity pharmacogenetics: an umbrella review of systematic reviews and meta-analyses","type":"article","volume":"78"},"uris":["http://www.mendeley.com/documents/?uuid=ccaf774a-6f06-39d6-9e18-30d58c8adc43"]},{"id":"ITEM-3","itemData":{"DOI":"10.1634/theoncologist.12-10-1247","ISSN":"1083-7159","PMID":"17962618","abstract":"On October 6, 2006, the U.S. Food and Drug Administration granted regular approval to vorinostat (Zolinza(R); Merck &amp; Co., Inc., Whitehouse Station, NJ), a histone deacetylase inhibitor, for the treatment of cutaneous manifestations of cutaneous T-cell lymphoma (CTCL) in patients with progressive, persistent, or recurrent disease on or following two systemic therapies. The pivotal study supporting approval was a single-arm open-label phase II trial that enrolled 74 patients with stage IB and higher CTCL who had failed two systemic therapies (one of which must have contained bexarotene). Patients received vorinostat at a dose of 400 mg orally once daily, which could be reduced for toxicity to 300 mg daily or 300 mg 5 days a week. The median age of patients was 61 years. Sixty-one patients (82%) had stage IIB or higher CTCL and 30 patients (41%) had Sézary syndrome. The median duration of protocol treatment was 118 days. The primary efficacy endpoint was objective response assessed by the Severity-Weighted Assessment Tool. The objective response rate was 30% (95% confidence interval [CI], 19.7%-41.5%), the estimated median response duration was 168 days, and the median time to tumor progression was 202 days. An additional single-center study enrolled 33 patients with similar baseline and demographic features as the pivotal trial. Thirteen of the 33 received vorinostat (400 mg/day). The response rate in these 13 patients was 31% (95% CI, 9.1%-61.4%). The most common clinical adverse events (AEs) of any grade were diarrhea (52%), fatigue (52%), nausea (41%), and anorexia (24%). Grade 3 or 4 clinical AEs included fatigue (4%) and pulmonary embolism (5%). Hematologic laboratory abnormalities included thrombocytopenia (26%) and anemia (14%). Chemistry laboratory abnormalities included increased creatinine (16%), increased serum glucose (69%), and proteinuria (51%). Most abnormalities were National Cancer Institute Common Terminology Criteria for Adverse Events grade 1 or 2. Grade 3 or greater chemistry abnormalities included hyperglycemia, hypertriglyceridemia, and hyperuricemia, hypoglycemia, hypokalemia, hyponatremia, hyperkalemia, hypercholesterolemia, hypophosphatemia, and increased creatinine.","author":[{"dropping-particle":"","family":"Mann","given":"Bhupinder S.","non-dropping-particle":"","parse-names":false,"suffix":""},{"dropping-particle":"","family":"Johnson","given":"John R.","non-dropping-particle":"","parse-names":false,"suffix":""},{"dropping-particle":"","family":"Cohen","given":"Martin H.","non-dropping-particle":"","parse-names":false,"suffix":""},{"dropping-particle":"","family":"Justice","given":"Robert","non-dropping-particle":"","parse-names":false,"suffix":""},{"dropping-particle":"","family":"Pazdur","given":"Richard","non-dropping-particle":"","parse-names":false,"suffix":""}],"container-title":"The Oncologist","id":"ITEM-3","issue":"10","issued":{"date-parts":[["2007","10"]]},"page":"1247-1252","publisher":"Wiley","title":"FDA Approval Summary: Vorinostat for Treatment of Advanced Primary Cutaneous T‐Cell Lymphoma","type":"article-journal","volume":"12"},"uris":["http://www.mendeley.com/documents/?uuid=06d55968-0a58-3fe0-b758-b48bfd9e87a8"]},{"id":"ITEM-4","itemData":{"DOI":"10.1016/S0140-6736(17)31266-7","ISSN":"1474547X","PMID":"28600132","abstract":"Background Cutaneous T-cell lymphomas are rare, generally incurable, and associated with reduced quality of life. Present systemic therapies rarely provide reliable and durable responses. We aimed to assess efficacy and safety of brentuximab vedotin versus conventional therapy for previously treated patients with CD30-positive cutaneous T-cell lymphomas. Methods In this international, open-label, randomised, phase 3, multicentre trial, we enrolled adult patients with CD30-positive mycosis fungoides or primary cutaneous anaplastic large-cell lymphoma who had been previously treated. Patients were enrolled across 52 centres in 13 countries. Patients were randomly assigned (1:1) centrally by an interactive voice and web response system to receive intravenous brentuximab vedotin 1·8 mg/kg once every 3 weeks, for up to 16 3-week cycles, or physician's choice (oral methotrexate 5–50 mg once per week or oral bexarotene 300 mg/m2 once per day) for up to 48 weeks. The primary endpoint was the proportion of patients in the intention-to-treat population achieving an objective global response lasting at least 4 months per independent review facility. Safety analyses were done in all patients who received at least one dose of study drug. This trial was registered with ClinicalTrials.gov, number NCT01578499. Findings Between Aug 13, 2012, and July 31, 2015, 131 patients were enrolled and randomly assigned to a group (66 to brentuximab vedotin and 65 to physician's choice), with 128 analysed in the intention-to-treat population (64 in each group). At a median follow-up of 22·9 months (95% CI 18·4–26·1), the proportion of patients achieving an objective global response lasting at least 4 months was 56·3% (36 of 64 patients) with brentuximab vedotin versus 12·5% (eight of 64) with physician's choice, resulting in a between-group difference of 43·8% (95% CI 29·1–58·4; p&lt;0·0001). Grade 3–4 adverse events were reported in 27 (41%) of 66 patients in the brentuximab vedotin group and 29 (47%) of 62 patients in the physician's choice group. Peripheral neuropathy was seen in 44 (67%) of 66 patients in the brentuximab vedotin group (n=21 grade 2, n=6 grade 3) and four (6%) of 62 patients in the physician's choice group. One of the four on-treatment deaths was deemed by the investigator to be treatment-related in the brentuximab vedotin group; no on-treatment deaths were reported in the physician's choice group. Interpretation Significant improvement in objective response lastin…","author":[{"dropping-particle":"","family":"Prince","given":"H. Miles","non-dropping-particle":"","parse-names":false,"suffix":""},{"dropping-particle":"","family":"Kim","given":"Youn H.","non-dropping-particle":"","parse-names":false,"suffix":""},{"dropping-particle":"","family":"Horwitz","given":"Steve","non-dropping-particle":"","parse-names":false,"suffix":""},{"dropping-particle":"","family":"Dummer","given":"Reinhard","non-dropping-particle":"","parse-names":false,"suffix":""},{"dropping-particle":"","family":"Scarisbrick","given":"Julia","non-dropping-particle":"","parse-names":false,"suffix":""},{"dropping-particle":"","family":"Quaglino","given":"Pietro","non-dropping-particle":"","parse-names":false,"suffix":""},{"dropping-particle":"","family":"Zinzani","given":"Pier Luigi","non-dropping-particle":"","parse-names":false,"suffix":""},{"dropping-particle":"","family":"Wolter","given":"Pascal","non-dropping-particle":"","parse-names":false,"suffix":""},{"dropping-particle":"","family":"Sanches","given":"Jose Antonio","non-dropping-particle":"","parse-names":false,"suffix":""},{"dropping-particle":"","family":"Ortiz-Romero","given":"Pablo L.","non-dropping-particle":"","parse-names":false,"suffix":""},{"dropping-particle":"","family":"Akilov","given":"Oleg","non-dropping-particle":"","parse-names":false,"suffix":""},{"dropping-particle":"","family":"Geskin","given":"Larisa","non-dropping-particle":"","parse-names":false,"suffix":""},{"dropping-particle":"","family":"Trotman","given":"Judith","non-dropping-particle":"","parse-names":false,"suffix":""},{"dropping-particle":"","family":"Taylor","given":"Kerry","non-dropping-particle":"","parse-names":false,"suffix":""},{"dropping-particle":"","family":"Dalle","given":"Stephane","non-dropping-particle":"","parse-names":false,"suffix":""},{"dropping-particle":"","family":"Weichenthal","given":"Michael","non-dropping-particle":"","parse-names":false,"suffix":""},{"dropping-particle":"","family":"Walewski","given":"Jan","non-dropping-particle":"","parse-names":false,"suffix":""},{"dropping-particle":"","family":"Fisher","given":"David C.","non-dropping-particle":"","parse-names":false,"suffix":""},{"dropping-particle":"","family":"Dréno","given":"Brigitte","non-dropping-particle":"","parse-names":false,"suffix":""},{"dropping-particle":"","family":"Stadler","given":"Rudolf","non-dropping-particle":"","parse-names":false,"suffix":""},{"dropping-particle":"","family":"Feldman","given":"Tatyana","non-dropping-particle":"","parse-names":false,"suffix":""},{"dropping-particle":"","family":"Kuzel","given":"Timothy","non-dropping-particle":"","parse-names":false,"suffix":""},{"dropping-particle":"","family":"Wang","given":"Yinghui","non-dropping-particle":"","parse-names":false,"suffix":""},{"dropping-particle":"","family":"Palanca-Wessels","given":"Maria Corinna","non-dropping-particle":"","parse-names":false,"suffix":""},{"dropping-particle":"","family":"Zagadailov","given":"Erin","non-dropping-particle":"","parse-names":false,"suffix":""},{"dropping-particle":"","family":"Trepicchio","given":"William L.","non-dropping-particle":"","parse-names":false,"suffix":""},{"dropping-particle":"","family":"Zhang","given":"Wenwen","non-dropping-particle":"","parse-names":false,"suffix":""},{"dropping-particle":"","family":"Lin","given":"Hui Min","non-dropping-particle":"","parse-names":false,"suffix":""},{"dropping-particle":"","family":"Liu","given":"Yi","non-dropping-particle":"","parse-names":false,"suffix":""},{"dropping-particle":"","family":"Huebner","given":"Dirk","non-dropping-particle":"","parse-names":false,"suffix":""},{"dropping-particle":"","family":"Little","given":"Meredith","non-dropping-particle":"","parse-names":false,"suffix":""},{"dropping-particle":"","family":"Whittaker","given":"Sean","non-dropping-particle":"","parse-names":false,"suffix":""},{"dropping-particle":"","family":"Duvic","given":"Madeleine","non-dropping-particle":"","parse-names":false,"suffix":""},{"dropping-particle":"","family":"Joske","given":"David","non-dropping-particle":"","parse-names":false,"suffix":""},{"dropping-particle":"","family":"Lewis","given":"Ian D.","non-dropping-particle":"","parse-names":false,"suffix":""},{"dropping-particle":"","family":"Jonak","given":"Constanze","non-dropping-particle":"","parse-names":false,"suffix":""},{"dropping-particle":"","family":"Trautinger","given":"Franz","non-dropping-particle":"","parse-names":false,"suffix":""},{"dropping-particle":"","family":"Bechter","given":"Oliver","non-dropping-particle":"","parse-names":false,"suffix":""},{"dropping-particle":"","family":"Bron","given":"Dominique","non-dropping-particle":"","parse-names":false,"suffix":""},{"dropping-particle":"","family":"Lima","given":"Vladmir Claudio C.","non-dropping-particle":"de","parse-names":false,"suffix":""},{"dropping-particle":"","family":"Klasa","given":"Richard","non-dropping-particle":"","parse-names":false,"suffix":""},{"dropping-particle":"","family":"Bagot","given":"Martine","non-dropping-particle":"","parse-names":false,"suffix":""},{"dropping-particle":"","family":"Beylot-Barry","given":"Marie","non-dropping-particle":"","parse-names":false,"suffix":""},{"dropping-particle":"","family":"D'Incan","given":"Michel","non-dropping-particle":"","parse-names":false,"suffix":""},{"dropping-particle":"","family":"Dreno","given":"Brigitte","non-dropping-particle":"","parse-names":false,"suffix":""},{"dropping-particle":"","family":"Grange","given":"Florent","non-dropping-particle":"","parse-names":false,"suffix":""},{"dropping-particle":"","family":"Nicolay","given":"Jan","non-dropping-particle":"","parse-names":false,"suffix":""},{"dropping-particle":"","family":"Wobser","given":"Marion","non-dropping-particle":"","parse-names":false,"suffix":""},{"dropping-particle":"","family":"Assaf","given":"Chalid","non-dropping-particle":"","parse-names":false,"suffix":""},{"dropping-particle":"","family":"Loquai","given":"Carmen","non-dropping-particle":"","parse-names":false,"suffix":""},{"dropping-particle":"","family":"Spina","given":"Michele","non-dropping-particle":"","parse-names":false,"suffix":""},{"dropping-particle":"","family":"Bosi","given":"Alberto","non-dropping-particle":"","parse-names":false,"suffix":""},{"dropping-particle":"","family":"Fattori","given":"Pier Paolo","non-dropping-particle":"","parse-names":false,"suffix":""},{"dropping-particle":"","family":"Grzanka","given":"Aleksandra","non-dropping-particle":"","parse-names":false,"suffix":""},{"dropping-particle":"","family":"Lopez-Hernandez","given":"Andres","non-dropping-particle":"","parse-names":false,"suffix":""},{"dropping-particle":"","family":"Roca","given":"Jose Juan Rifon","non-dropping-particle":"","parse-names":false,"suffix":""},{"dropping-particle":"","family":"Canales","given":"Silvana Novelli","non-dropping-particle":"","parse-names":false,"suffix":""},{"dropping-particle":"","family":"Illidge","given":"Timothy","non-dropping-particle":"","parse-names":false,"suffix":""},{"dropping-particle":"","family":"Johnson","given":"Rod","non-dropping-particle":"","parse-names":false,"suffix":""},{"dropping-particle":"","family":"Morris","given":"Stephen","non-dropping-particle":"","parse-names":false,"suffix":""},{"dropping-particle":"","family":"McKay","given":"Pam","non-dropping-particle":"","parse-names":false,"suffix":""},{"dropping-particle":"","family":"Pro","given":"Barbara","non-dropping-particle":"","parse-names":false,"suffix":""},{"dropping-particle":"","family":"Lerner","given":"Adam","non-dropping-particle":"","parse-names":false,"suffix":""},{"dropping-particle":"","family":"Eradat","given":"Herbert","non-dropping-particle":"","parse-names":false,"suffix":""},{"dropping-particle":"","family":"Sokol","given":"Lubomir","non-dropping-particle":"","parse-names":false,"suffix":""},{"dropping-particle":"","family":"Hughey","given":"Sarah","non-dropping-particle":"","parse-names":false,"suffix":""}],"container-title":"The Lancet","id":"ITEM-4","issue":"10094","issued":{"date-parts":[["2017","8","1"]]},"page":"555-566","publisher":"Lancet Publishing Group","title":"Brentuximab vedotin or physician's choice in CD30-positive cutaneous T-cell lymphoma (ALCANZA): an international, open-label, randomised, phase 3, multicentre trial","type":"article-journal","volume":"390"},"uris":["http://www.mendeley.com/documents/?uuid=05f771dd-9ba8-3cfb-9e88-6cfd962496e8"]}],"mendeley":{"formattedCitation":"[18–21]","plainTextFormattedCitation":"[18–21]","previouslyFormattedCitation":"[18–21]"},"properties":{"noteIndex":0},"schema":"https://github.com/citation-style-language/schema/raw/master/csl-citation.json"}</w:instrText>
      </w:r>
      <w:r w:rsidR="00062499" w:rsidRPr="000C307B">
        <w:rPr>
          <w:i/>
          <w:color w:val="000000" w:themeColor="text1"/>
        </w:rPr>
        <w:fldChar w:fldCharType="separate"/>
      </w:r>
      <w:r w:rsidRPr="001B7F70">
        <w:rPr>
          <w:noProof/>
          <w:color w:val="000000" w:themeColor="text1"/>
        </w:rPr>
        <w:t>[18–21]</w:t>
      </w:r>
      <w:r w:rsidR="00062499" w:rsidRPr="000C307B">
        <w:rPr>
          <w:i/>
          <w:color w:val="000000" w:themeColor="text1"/>
        </w:rPr>
        <w:fldChar w:fldCharType="end"/>
      </w:r>
      <w:r w:rsidR="00CE089D" w:rsidRPr="0073723C">
        <w:rPr>
          <w:rStyle w:val="A00"/>
          <w:rFonts w:cs="Times New Roman"/>
          <w:b w:val="0"/>
          <w:i/>
          <w:color w:val="000000" w:themeColor="text1"/>
          <w:sz w:val="24"/>
          <w:szCs w:val="24"/>
        </w:rPr>
        <w:t>.</w:t>
      </w:r>
    </w:p>
    <w:p w:rsidR="008375E6" w:rsidRPr="0073723C" w:rsidRDefault="00CE089D">
      <w:pPr>
        <w:pStyle w:val="afff7"/>
        <w:divId w:val="266810958"/>
      </w:pPr>
      <w:r w:rsidRPr="0073723C">
        <w:rPr>
          <w:b/>
        </w:rPr>
        <w:t>Рекомендуется</w:t>
      </w:r>
      <w:r w:rsidRPr="0073723C">
        <w:t xml:space="preserve"> проведение </w:t>
      </w:r>
      <w:r w:rsidR="001B7F70" w:rsidRPr="001B7F70">
        <w:rPr>
          <w:sz w:val="28"/>
          <w:szCs w:val="28"/>
          <w:lang w:eastAsia="ru-RU"/>
        </w:rPr>
        <w:t>анализа крови биохимического общетерапевтического с включением показателей</w:t>
      </w:r>
      <w:r w:rsidR="001B7F70" w:rsidRPr="001B7F70">
        <w:rPr>
          <w:sz w:val="28"/>
          <w:szCs w:val="28"/>
        </w:rPr>
        <w:t xml:space="preserve"> лактатдегидрогеназы </w:t>
      </w:r>
      <w:r w:rsidR="001B7F70" w:rsidRPr="001B7F70">
        <w:rPr>
          <w:color w:val="000000"/>
          <w:spacing w:val="2"/>
          <w:sz w:val="28"/>
          <w:szCs w:val="28"/>
          <w:lang w:eastAsia="zh-CN"/>
        </w:rPr>
        <w:t xml:space="preserve">и </w:t>
      </w:r>
      <w:r w:rsidR="001B7F70" w:rsidRPr="001B7F70">
        <w:rPr>
          <w:sz w:val="28"/>
          <w:szCs w:val="28"/>
          <w:lang w:eastAsia="ru-RU"/>
        </w:rPr>
        <w:t>мочевой кислоты</w:t>
      </w:r>
      <w:r w:rsidR="001B7F70" w:rsidRPr="001B7F70">
        <w:rPr>
          <w:lang w:eastAsia="ru-RU"/>
        </w:rPr>
        <w:t xml:space="preserve"> </w:t>
      </w:r>
      <w:r w:rsidR="00062499" w:rsidRPr="001B7F70">
        <w:rPr>
          <w:sz w:val="28"/>
          <w:szCs w:val="28"/>
          <w:lang w:eastAsia="ru-RU"/>
        </w:rPr>
        <w:fldChar w:fldCharType="begin" w:fldLock="1"/>
      </w:r>
      <w:r w:rsidR="001B7F70" w:rsidRPr="001B7F70">
        <w:rPr>
          <w:sz w:val="28"/>
          <w:szCs w:val="28"/>
          <w:lang w:eastAsia="ru-RU"/>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fungoides","type":"article-journal","volume":"14"},"uris":["http://www.mendeley.com/documents/?uuid=60fdb40e-510a-3e65-a5e4-4e7abed6c350"]},{"id":"ITEM-2","itemData":{"DOI":"10.1097/PAS.0b013e3180439bdc","ISSN":"01475185","PMID":"17721200","abstract":"BACKGROUND: Since the original designation of folliculotropic mycosis fungoides (FMF) as a distinct entity, there has been an increasing appreciation of the broad clinical and histopathologic spectrum with which this disease can present. However, there have been few large histologic studies characterizing the various histopathologic patterns. OBJECTIVE: In this study, we attempt to describe the histopathologic and immunohistochemical features of 47 biopsy specimens from 34 patients with FMF. METHODS: We searched our lymphoma database for patients with FMF in which detailed histopathologic information and slides as well as clinical information was available for review. Additionally, immunohistochemical studies for CD4, CD8, and CD1a were performed in all cases in which the block was available. RESULTS: In addition to the prototypical pattern of a folliculotropic lypmphoid infiltrate with or without mucinosis, the histologic features of follicular mycosis fungoides may include a granulomatous reaction, cystic and comedonal changes, an eosinophilic folliculitis pattern and basaloid folliculolymphoid hyperplasia as well as pustular changes, interface dermatitis and an interstitial dermatitislike pattern. Unlike conventional mycosis fungoides, eosinophils and plasma cells are conspicuous within the accompanying reactive infiltrate. We have also noted an exceedingly high number of Langerhans cells within the follicular epithelium. The CD4:CD8 ratio frequently is 10:1 or greater and the follicles show abundant CD1a positive cells. CONCLUSIONS: FMF may present with a broad spectrum of histopathologic changes including interstitial, granulomatous, fibrotic and acneiform reactions that may lack the typical histologic attributes of a cutaneous T-cell lymphoma. Recognition of these myriad of histologic presentations can be of great diagnostic utility. © 2007 Lippincott Williams &amp; Wilkins, Inc.","author":[{"dropping-particle":"","family":"Gerami","given":"Pedram","non-dropping-particle":"","parse-names":false,"suffix":""},{"dropping-particle":"","family":"Guitart","given":"Joan","non-dropping-particle":"","parse-names":false,"suffix":""}],"container-title":"American Journal of Surgical Pathology","id":"ITEM-2","issue":"9","issued":{"date-parts":[["2007","9"]]},"page":"1430-1438","publisher":"Am J Surg Pathol","title":"The spectrum of histopathologic and immunohistochemical findings in folliculotropic mycosis fungoides","type":"article-journal","volume":"31"},"uris":["http://www.mendeley.com/documents/?uuid=afb70574-25e6-3042-9250-aaa9440002ed"]}],"mendeley":{"formattedCitation":"[3,22]","plainTextFormattedCitation":"[3,22]","previouslyFormattedCitation":"[3,22]"},"properties":{"noteIndex":0},"schema":"https://github.com/citation-style-language/schema/raw/master/csl-citation.json"}</w:instrText>
      </w:r>
      <w:r w:rsidR="00062499" w:rsidRPr="001B7F70">
        <w:rPr>
          <w:sz w:val="28"/>
          <w:szCs w:val="28"/>
          <w:lang w:eastAsia="ru-RU"/>
        </w:rPr>
        <w:fldChar w:fldCharType="separate"/>
      </w:r>
      <w:r w:rsidR="001B7F70" w:rsidRPr="001B7F70">
        <w:rPr>
          <w:noProof/>
          <w:sz w:val="28"/>
          <w:szCs w:val="28"/>
          <w:lang w:eastAsia="ru-RU"/>
        </w:rPr>
        <w:t>[3,22]</w:t>
      </w:r>
      <w:r w:rsidR="00062499" w:rsidRPr="001B7F70">
        <w:rPr>
          <w:sz w:val="28"/>
          <w:szCs w:val="28"/>
          <w:lang w:eastAsia="ru-RU"/>
        </w:rPr>
        <w:fldChar w:fldCharType="end"/>
      </w:r>
      <w:r w:rsidR="001B7F70" w:rsidRPr="001B7F70">
        <w:rPr>
          <w:sz w:val="28"/>
          <w:szCs w:val="28"/>
        </w:rPr>
        <w:t>,</w:t>
      </w:r>
      <w:r w:rsidRPr="0073723C">
        <w:t xml:space="preserve"> а также </w:t>
      </w:r>
      <w:r w:rsidRPr="0073723C">
        <w:rPr>
          <w:color w:val="000000"/>
          <w:spacing w:val="2"/>
          <w:lang w:eastAsia="zh-CN"/>
        </w:rPr>
        <w:t>для выявления возможных отклонений</w:t>
      </w:r>
      <w:r w:rsidR="001F1175" w:rsidRPr="0073723C">
        <w:rPr>
          <w:color w:val="000000"/>
          <w:spacing w:val="2"/>
          <w:lang w:eastAsia="zh-CN"/>
        </w:rPr>
        <w:t xml:space="preserve"> </w:t>
      </w:r>
      <w:r w:rsidR="00062499" w:rsidRPr="001B7F70">
        <w:rPr>
          <w:color w:val="000000" w:themeColor="text1"/>
          <w:lang w:eastAsia="zh-CN"/>
        </w:rPr>
        <w:fldChar w:fldCharType="begin" w:fldLock="1"/>
      </w:r>
      <w:r w:rsidR="001B7F70" w:rsidRPr="001B7F70">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062499" w:rsidRPr="001B7F70">
        <w:rPr>
          <w:color w:val="000000" w:themeColor="text1"/>
          <w:lang w:eastAsia="zh-CN"/>
        </w:rPr>
        <w:fldChar w:fldCharType="separate"/>
      </w:r>
      <w:r w:rsidR="001B7F70" w:rsidRPr="001B7F70">
        <w:rPr>
          <w:noProof/>
          <w:color w:val="000000" w:themeColor="text1"/>
          <w:lang w:eastAsia="zh-CN"/>
        </w:rPr>
        <w:t>[6]</w:t>
      </w:r>
      <w:r w:rsidR="00062499" w:rsidRPr="001B7F70">
        <w:rPr>
          <w:color w:val="000000" w:themeColor="text1"/>
          <w:lang w:eastAsia="zh-CN"/>
        </w:rPr>
        <w:fldChar w:fldCharType="end"/>
      </w:r>
      <w:r w:rsidR="001B7F70" w:rsidRPr="001B7F70">
        <w:rPr>
          <w:color w:val="000000"/>
          <w:spacing w:val="2"/>
          <w:lang w:eastAsia="zh-CN"/>
        </w:rPr>
        <w:t xml:space="preserve"> и состояний, являющихся противопоказаниями к назначению системной терапии </w:t>
      </w:r>
      <w:r w:rsidR="001B7F70" w:rsidRPr="001B7F70">
        <w:rPr>
          <w:color w:val="000000"/>
          <w:spacing w:val="2"/>
          <w:lang w:eastAsia="zh-CN"/>
        </w:rPr>
        <w:lastRenderedPageBreak/>
        <w:t xml:space="preserve">грибовидного микоза и для контроля безопасности проводимой системной терапии </w:t>
      </w:r>
      <w:r w:rsidR="001B7F70" w:rsidRPr="001B7F70">
        <w:t xml:space="preserve">или фототерапии кожи </w:t>
      </w:r>
      <w:r w:rsidR="00062499" w:rsidRPr="001B7F70">
        <w:fldChar w:fldCharType="begin" w:fldLock="1"/>
      </w:r>
      <w:r w:rsidR="001B7F70" w:rsidRPr="001B7F70">
        <w:instrText>ADDIN CSL_CITATION {"citationItems":[{"id":"ITEM-1","itemData":{"DOI":"10.1111/ced.12572","ISSN":"13652230","PMID":"25622648","abstract":"Adverse drug reactions (ADRs) - that is, unintended and harmful responses to medicines - are important to dermatologists because many present with cutaneous signs and because dermatological treatments can cause serious ADRs. The detection of ADRs to new drugs is often delayed because they have a long latency or are rare or unexpected. This means that ADRs to newer agents emerge only slowly after marketing. ADRs are part of the differential diagnosis of unusual rashes. A good drug history that includes details of drug dose, time-course of the reaction and factors that may make the patient more susceptible, will help. For example, Stevens-Johnson syndrome with abacavir is much commoner in patients with HLA-B</w:instrText>
      </w:r>
      <w:r w:rsidR="001B7F70" w:rsidRPr="001B7F70">
        <w:rPr>
          <w:rFonts w:ascii="Cambria Math" w:hAnsi="Cambria Math"/>
        </w:rPr>
        <w:instrText>∗</w:instrText>
      </w:r>
      <w:r w:rsidR="001B7F70" w:rsidRPr="001B7F70">
        <w:instrText>5701, and has a characteristic time course. Newer agents have brought newer reactions; for example, acneiform rashes associated with epidermal growth factor receptor inhibitors such as erlotinib. Older systemic agents used to treat skin disease, including corticosteroids and methotrexate, cause important ADRs. The adverse effects of newer biological agents used in dermatology are becoming clearer; for example, hypersensitivity reactions or loss of efficacy from antibody formation and progressive multifocal leucoencephalopathy due to reactivation of latent JC (John Cunningham) virus infections during efalizumab treatment. Unusual or serious harm from medicines, including ADRs, medication errors and overdose, should be reported. The UK Yellow Card scheme is online, and patients can report their own ADRs.","author":[{"dropping-particle":"","family":"Ferner","given":"R. E.","non-dropping-particle":"","parse-names":false,"suffix":""}],"container-title":"Clinical and Experimental Dermatology","id":"ITEM-1","issue":"2","issued":{"date-parts":[["2015","3","1"]]},"page":"105-110","publisher":"Blackwell Publishing Ltd","title":"Adverse drug reactions in dermatology","type":"article","volume":"40"},"uris":["http://www.mendeley.com/documents/?uuid=9ca54e2b-524d-390a-8a82-dfd9690144e6"]},{"id":"ITEM-2","itemData":{"DOI":"10.1111/bjh.15258","ISSN":"13652141","PMID":"29672827","abstract":"Different models to investigate the prognosis of peripheral T cell lymphoma not otherwise specified (PTCL-NOS) have been developed by means of retrospective analyses. Here we report on a new model designed on data from the prospective T Cell Project. Twelve covariates collected by the T Cell Project were analysed and a new model (T cell score), based on four covariates (serum albumin, performance status, stage and absolute neutrophil count) that maintained their prognostic value in multiple Cox proportional hazards regression analysis was proposed. Among patients registered in the T Cell Project, 311 PTCL-NOS were retained for study. At a median follow-up of 46 months, the median overall survival (OS) and progression-free survival (PFS) was 20 and 10 months, respectively. Three groups were identified at low risk (LR, 48 patients, 15%, score 0), intermediate risk (IR, 189 patients, 61%, score 1–2), and high risk (HiR, 74 patients, 24%, score 3–4), having a 3-year OS of 76% [95% confidence interval 61–88], 43% [35–51], and 11% [4–21], respectively (P &lt; 0·001). Comparing the performance of the T cell score on OS to that of each of the previously developed models, it emerged that the new score had the best discriminant power. The new T cell score, based on clinical variables, identifies a group with very unfavourable outcomes.","author":[{"dropping-particle":"","family":"Federico","given":"Massimo","non-dropping-particle":"","parse-names":false,"suffix":""},{"dropping-particle":"","family":"Bellei","given":"Monica","non-dropping-particle":"","parse-names":false,"suffix":""},{"dropping-particle":"","family":"Marcheselli","given":"Luigi","non-dropping-particle":"","parse-names":false,"suffix":""},{"dropping-particle":"","family":"Schwartz","given":"Marc","non-dropping-particle":"","parse-names":false,"suffix":""},{"dropping-particle":"","family":"Manni","given":"Martina","non-dropping-particle":"","parse-names":false,"suffix":""},{"dropping-particle":"","family":"Tarantino","given":"Vittoria","non-dropping-particle":"","parse-names":false,"suffix":""},{"dropping-particle":"","family":"Pileri","given":"Stefano","non-dropping-particle":"","parse-names":false,"suffix":""},{"dropping-particle":"","family":"Ko","given":"Young Hyeh","non-dropping-particle":"","parse-names":false,"suffix":""},{"dropping-particle":"","family":"Cabrera","given":"Maria E.","non-dropping-particle":"","parse-names":false,"suffix":""},{"dropping-particle":"","family":"Horwitz","given":"Steven","non-dropping-particle":"","parse-names":false,"suffix":""},{"dropping-particle":"","family":"Kim","given":"Won S.","non-dropping-particle":"","parse-names":false,"suffix":""},{"dropping-particle":"","family":"Shustov","given":"Andrei","non-dropping-particle":"","parse-names":false,"suffix":""},{"dropping-particle":"","family":"Foss","given":"Francine M.","non-dropping-particle":"","parse-names":false,"suffix":""},{"dropping-particle":"","family":"Nagler","given":"Arnon","non-dropping-particle":"","parse-names":false,"suffix":""},{"dropping-particle":"","family":"Carson","given":"Kenneth","non-dropping-particle":"","parse-names":false,"suffix":""},{"dropping-particle":"","family":"Pinter-Brown","given":"Lauren C.","non-dropping-particle":"","parse-names":false,"suffix":""},{"dropping-particle":"","family":"Montoto","given":"Silvia","non-dropping-particle":"","parse-names":false,"suffix":""},{"dropping-particle":"","family":"Spina","given":"Michele","non-dropping-particle":"","parse-names":false,"suffix":""},{"dropping-particle":"","family":"Feldman","given":"Tatyana A.","non-dropping-particle":"","parse-names":false,"suffix":""},{"dropping-particle":"","family":"Lechowicz","given":"Mary J.","non-dropping-particle":"","parse-names":false,"suffix":""},{"dropping-particle":"","family":"Smith","given":"Sonali M.","non-dropping-particle":"","parse-names":false,"suffix":""},{"dropping-particle":"","family":"Lansigan","given":"Frederick","non-dropping-particle":"","parse-names":false,"suffix":""},{"dropping-particle":"","family":"Gabus","given":"Raul","non-dropping-particle":"","parse-names":false,"suffix":""},{"dropping-particle":"","family":"Vose","given":"Julie M.","non-dropping-particle":"","parse-names":false,"suffix":""},{"dropping-particle":"","family":"Advani","given":"Ranjana H.","non-dropping-particle":"","parse-names":false,"suffix":""}],"container-title":"British Journal of Haematology","id":"ITEM-2","issue":"6","issued":{"date-parts":[["2018","6","1"]]},"page":"760-769","publisher":"Blackwell Publishing Ltd","title":"Peripheral T cell lymphoma, not otherwise specified (PTCL-NOS). A new prognostic model developed by the International T cell Project Network","type":"article-journal","volume":"181"},"uris":["http://www.mendeley.com/documents/?uuid=337f5bd5-c94e-3bce-8b99-6e8d9872d3ea"]},{"id":"ITEM-3","itemData":{"DOI":"10.1097/CM9.0000000000000088","ISSN":"25425641","PMID":"30681495","abstract":"Background: Non-Hodgkin T/NK cell lymphoma is a rare and widely variable type of lymphoma with the most dismal prognosis. This study aimed to investigate varied impact of the clinical indicators to the overall survival (OS). Methods: We conducted a retrospective study to identify the non-invasive clinical features of T cell lymphoma that can predict prognosis with an innovative analysis method using quantile regression. A total of 183 patients who visited a top-tier hospital in Beijing, China, were enrolled from January 2006 to December 2015. Demographic information and main clinical indicators were collected including age, erythrocyte sedimentation rate (ESR), survival status, and international prognostic index (IPI) score. Results: The median age of the patients at diagnosis was 45 years. Approximately 80% of patients were at an advanced stage, and the median survival time after diagnosis was 5.1 months. Multivariable analysis of the prognostic factors for inferior OS associated with advanced clinical staging [HR=3.16, 95%CI (1.39–7.2)], lower platelet count [HR = 2.57, 95%CI (1.57–4.19), P &lt; 0.001] and higher IPI score [HR = 1.29, 95%CI (1.01–1.66), P = 0.043]. Meanwhile, T cell lymphoblastic lymphoma [HR = 0.40, 95%CI (0.20–0.80), P = 0.010], higher white blood cell counts [HR = 0.57, 95%CI (0.34–0.96), P = 0.033], higher serum albumin level [HR = 0.6, 95%CI (0.37–0.97), P = 0.039], and higher ESR [HR = 0.53, 95%CI (0.33–0.87), P = 0.011] were protective factors for OS when stratified by hemophagocytic lymphohistiocytosis (HLH). Multivariable quantile regression between the OS rate and each predictor at quartiles 0.25, 0.5, 0.75, and 0.95 showed that the coefficients of serum b2-microglobulin level and serum ESR were statistically significant in the middle of the coefficient curve (quartile 0.25–0.75). The coefficient of IPI was negatively associated with OS. The coefficients of hematopoietic stem cell transplantation (HSCT) and no clinical symptoms were higher at the middle of the quartile level curve but were not statistically significant. Conclusions: The IPI score is a comparatively robust indicator of prognosis at 3 quartiles, and serum ESR is stable at the middle 2 quartiles section when adjusted for HLH. Quantile regression can be used to observe detailed impacts of the predictors on OS.","author":[{"dropping-particle":"","family":"Huang","given":"Da Yong","non-dropping-particle":"","parse-names":false,"suffix":""},{"dropping-particle":"","family":"Hu","given":"Yi Fei","non-dropping-particle":"","parse-names":false,"suffix":""},{"dropping-particle":"","family":"Wei","given":"Na","non-dropping-particle":"","parse-names":false,"suffix":""},{"dropping-particle":"","family":"Fu","given":"Li","non-dropping-particle":"","parse-names":false,"suffix":""},{"dropping-particle":"","family":"Wu","given":"Lin","non-dropping-particle":"","parse-names":false,"suffix":""},{"dropping-particle":"","family":"Shen","given":"Jing","non-dropping-particle":"","parse-names":false,"suffix":""},{"dropping-particle":"","family":"Wang","given":"Jing Shi","non-dropping-particle":"","parse-names":false,"suffix":""},{"dropping-particle":"","family":"Wang","given":"Zhao","non-dropping-particle":"","parse-names":false,"suffix":""}],"container-title":"Chinese Medical Journal","id":"ITEM-3","issue":"3","issued":{"date-parts":[["2019"]]},"page":"294-301","publisher":"Lippincott Williams and Wilkins","title":"Innovative analysis of predictors for overall survival from systemic non-Hodgkin T cell lymphoma using quantile regression analysis","type":"article-journal","volume":"132"},"uris":["http://www.mendeley.com/documents/?uuid=ae5c2f99-7916-3504-91a9-2fbbc3d61159"]}],"mendeley":{"formattedCitation":"[15–17]","plainTextFormattedCitation":"[15–17]","previouslyFormattedCitation":"[15–17]"},"properties":{"noteIndex":0},"schema":"https://github.com/citation-style-language/schema/raw/master/csl-citation.json"}</w:instrText>
      </w:r>
      <w:r w:rsidR="00062499" w:rsidRPr="001B7F70">
        <w:fldChar w:fldCharType="separate"/>
      </w:r>
      <w:r w:rsidR="001B7F70" w:rsidRPr="001B7F70">
        <w:rPr>
          <w:noProof/>
        </w:rPr>
        <w:t>[15–17]</w:t>
      </w:r>
      <w:r w:rsidR="00062499" w:rsidRPr="001B7F70">
        <w:fldChar w:fldCharType="end"/>
      </w:r>
      <w:r w:rsidR="001B7F70" w:rsidRPr="001B7F70">
        <w:t>.</w:t>
      </w:r>
    </w:p>
    <w:p w:rsidR="00D02831" w:rsidRPr="0073723C" w:rsidRDefault="001B7F70" w:rsidP="00FD1C29">
      <w:pPr>
        <w:pStyle w:val="1"/>
        <w:numPr>
          <w:ilvl w:val="0"/>
          <w:numId w:val="0"/>
        </w:numPr>
        <w:spacing w:before="0"/>
        <w:ind w:left="709"/>
        <w:divId w:val="266810958"/>
        <w:rPr>
          <w:b/>
        </w:rPr>
      </w:pPr>
      <w:r w:rsidRPr="001B7F70">
        <w:rPr>
          <w:b/>
        </w:rPr>
        <w:t>Уровень убедительности рекомендаций С (уровень достоверности доказательств – 5)</w:t>
      </w:r>
    </w:p>
    <w:p w:rsidR="00341F20" w:rsidRPr="0073723C" w:rsidRDefault="001B7F70" w:rsidP="00F91582">
      <w:pPr>
        <w:pStyle w:val="aff2"/>
        <w:divId w:val="266810958"/>
        <w:rPr>
          <w:i/>
        </w:rPr>
      </w:pPr>
      <w:r w:rsidRPr="001B7F70">
        <w:rPr>
          <w:b/>
        </w:rPr>
        <w:t xml:space="preserve">Комментарии: </w:t>
      </w:r>
      <w:r w:rsidR="000C307B" w:rsidRPr="000C307B">
        <w:rPr>
          <w:i/>
          <w:color w:val="000000" w:themeColor="text1"/>
        </w:rPr>
        <w:t xml:space="preserve">повышение уровня </w:t>
      </w:r>
      <w:r w:rsidRPr="001B7F70">
        <w:rPr>
          <w:i/>
          <w:color w:val="000000" w:themeColor="text1"/>
        </w:rPr>
        <w:t xml:space="preserve">лактатдегидрогеназы и </w:t>
      </w:r>
      <w:r w:rsidR="00CE089D" w:rsidRPr="0073723C">
        <w:rPr>
          <w:i/>
          <w:color w:val="000000" w:themeColor="text1"/>
        </w:rPr>
        <w:t>мочевой кислоты</w:t>
      </w:r>
      <w:r w:rsidR="00F70149" w:rsidRPr="0073723C">
        <w:rPr>
          <w:i/>
          <w:color w:val="000000" w:themeColor="text1"/>
        </w:rPr>
        <w:t xml:space="preserve"> </w:t>
      </w:r>
      <w:r w:rsidR="00CE089D" w:rsidRPr="0073723C">
        <w:rPr>
          <w:i/>
          <w:color w:val="000000" w:themeColor="text1"/>
        </w:rPr>
        <w:t>в</w:t>
      </w:r>
      <w:r w:rsidR="00F70149" w:rsidRPr="0073723C">
        <w:rPr>
          <w:i/>
          <w:color w:val="000000" w:themeColor="text1"/>
        </w:rPr>
        <w:t xml:space="preserve"> </w:t>
      </w:r>
      <w:r w:rsidR="00CE089D" w:rsidRPr="0073723C">
        <w:rPr>
          <w:i/>
          <w:color w:val="000000" w:themeColor="text1"/>
        </w:rPr>
        <w:t>крови указывает на прогрессирование и агрессивное течение грибовидного микоза</w:t>
      </w:r>
      <w:r w:rsidR="00F70149" w:rsidRPr="0073723C">
        <w:rPr>
          <w:i/>
          <w:color w:val="000000" w:themeColor="text1"/>
        </w:rPr>
        <w:t xml:space="preserve"> </w:t>
      </w:r>
      <w:r w:rsidR="00062499" w:rsidRPr="000C307B">
        <w:rPr>
          <w:i/>
          <w:color w:val="000000" w:themeColor="text1"/>
        </w:rPr>
        <w:fldChar w:fldCharType="begin" w:fldLock="1"/>
      </w:r>
      <w:r w:rsidRPr="001B7F70">
        <w:rPr>
          <w:i/>
          <w:color w:val="000000" w:themeColor="text1"/>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Network","id":"ITEM-2","issue":"4","issued":{"date-parts":[["2008"]]},"page":"436-442","publisher":"Jones and Bartlett Publishers","title":"Review of the treatment of mycosis fungoides and Sézary syndrome: A stage-based approach","type":"article","volume":"6"},"uris":["http://www.mendeley.com/documents/?uuid=8c24f6d3-1d66-3630-96e4-a59fd5e84bd6"]}],"mendeley":{"formattedCitation":"[3,7]","plainTextFormattedCitation":"[3,7]","previouslyFormattedCitation":"[3,7]"},"properties":{"noteIndex":0},"schema":"https://github.com/citation-style-language/schema/raw/master/csl-citation.json"}</w:instrText>
      </w:r>
      <w:r w:rsidR="00062499" w:rsidRPr="000C307B">
        <w:rPr>
          <w:i/>
          <w:color w:val="000000" w:themeColor="text1"/>
        </w:rPr>
        <w:fldChar w:fldCharType="separate"/>
      </w:r>
      <w:r w:rsidRPr="001B7F70">
        <w:rPr>
          <w:noProof/>
          <w:color w:val="000000" w:themeColor="text1"/>
        </w:rPr>
        <w:t>[3,7]</w:t>
      </w:r>
      <w:r w:rsidR="00062499" w:rsidRPr="000C307B">
        <w:rPr>
          <w:i/>
          <w:color w:val="000000" w:themeColor="text1"/>
        </w:rPr>
        <w:fldChar w:fldCharType="end"/>
      </w:r>
      <w:r w:rsidR="000C307B" w:rsidRPr="000C307B">
        <w:rPr>
          <w:i/>
          <w:color w:val="000000" w:themeColor="text1"/>
        </w:rPr>
        <w:t>. Лекарственные препараты, используемые для системной терапии грибовидного микоза, обладают нежелательными явлениями, отражающиеся в изменениях биохимических показателей крови, выявление которых требует п</w:t>
      </w:r>
      <w:r w:rsidRPr="001B7F70">
        <w:rPr>
          <w:i/>
          <w:color w:val="000000" w:themeColor="text1"/>
        </w:rPr>
        <w:t xml:space="preserve">роведения биохимического анализа крови </w:t>
      </w:r>
      <w:r w:rsidR="00062499" w:rsidRPr="001B7F70">
        <w:rPr>
          <w:i/>
          <w:color w:val="000000" w:themeColor="text1"/>
        </w:rPr>
        <w:fldChar w:fldCharType="begin" w:fldLock="1"/>
      </w:r>
      <w:r w:rsidRPr="001B7F70">
        <w:rPr>
          <w:i/>
          <w:color w:val="000000" w:themeColor="text1"/>
        </w:rPr>
        <w:instrText>ADDIN CSL_CITATION {"citationItems":[{"id":"ITEM-1","itemData":{"DOI":"10.1111/ced.12572","ISSN":"13652230","PMID":"25622648","abstract":"Adverse drug reactions (ADRs) - that is, unintended and harmful responses to medicines - are important to dermatologists because many present with cutaneous signs and because dermatological treatments can cause serious ADRs. The detection of ADRs to new drugs is often delayed because they have a long latency or are rare or unexpected. This means that ADRs to newer agents emerge only slowly after marketing. ADRs are part of the differential diagnosis of unusual rashes. A good drug history that includes details of drug dose, time-course of the reaction and factors that may make the patient more susceptible, will help. For example, Stevens-Johnson syndrome with abacavir is much commoner in patients with HLA-B</w:instrText>
      </w:r>
      <w:r w:rsidRPr="001B7F70">
        <w:rPr>
          <w:rFonts w:hAnsi="Cambria Math"/>
          <w:i/>
          <w:color w:val="000000" w:themeColor="text1"/>
        </w:rPr>
        <w:instrText>∗</w:instrText>
      </w:r>
      <w:r w:rsidRPr="001B7F70">
        <w:rPr>
          <w:i/>
          <w:color w:val="000000" w:themeColor="text1"/>
        </w:rPr>
        <w:instrText>5701, and has a characteristic time course. Newer agents have brought newer reactions; for example, acneiform rashes associated with epidermal growth factor receptor inhibitors such as erlotinib. Older systemic agents used to treat skin disease, including corticosteroids and methotrexate, cause important ADRs. The adverse effects of newer biological agents used in dermatology are becoming clearer; for example, hypersensitivity reactions or loss of efficacy from antibody formation and progressive multifocal leucoencephalopathy due to reactivation of latent JC (John Cunningham) virus infections during efalizumab treatment. Unusual or serious harm from medicines, including ADRs, medication errors and overdose, should be reported. The UK Yellow Card scheme is online, and patients can report their own ADRs.","author":[{"dropping-particle":"","family":"Ferner","given":"R. E.","non-dropping-particle":"","parse-names":false,"suffix":""}],"container-title":"Clinical and Experimental Dermatology","id":"ITEM-1","issue":"2","issued":{"date-parts":[["2015","3","1"]]},"page":"105-110","publisher":"Blackwell Publishing Ltd","title":"Adverse drug reactions in dermatology","type":"article","volume":"40"},"uris":["http://www.mendeley.com/documents/?uuid=9ca54e2b-524d-390a-8a82-dfd9690144e6"]}],"mendeley":{"formattedCitation":"[15]","plainTextFormattedCitation":"[15]","previouslyFormattedCitation":"[15]"},"properties":{"noteIndex":0},"schema":"https://github.com/citation-style-language/schema/raw/master/csl-citation.json"}</w:instrText>
      </w:r>
      <w:r w:rsidR="00062499" w:rsidRPr="001B7F70">
        <w:rPr>
          <w:i/>
          <w:color w:val="000000" w:themeColor="text1"/>
        </w:rPr>
        <w:fldChar w:fldCharType="separate"/>
      </w:r>
      <w:r w:rsidRPr="001B7F70">
        <w:rPr>
          <w:noProof/>
          <w:color w:val="000000" w:themeColor="text1"/>
        </w:rPr>
        <w:t>[15]</w:t>
      </w:r>
      <w:r w:rsidR="00062499" w:rsidRPr="001B7F70">
        <w:rPr>
          <w:i/>
          <w:color w:val="000000" w:themeColor="text1"/>
        </w:rPr>
        <w:fldChar w:fldCharType="end"/>
      </w:r>
      <w:r w:rsidRPr="001B7F70">
        <w:rPr>
          <w:i/>
          <w:color w:val="000000" w:themeColor="text1"/>
        </w:rPr>
        <w:t xml:space="preserve">. На фоне системной терапии может наблюдаться увеличение показателей креатинина </w:t>
      </w:r>
      <w:r w:rsidR="00062499" w:rsidRPr="001B7F70">
        <w:rPr>
          <w:i/>
          <w:color w:val="000000" w:themeColor="text1"/>
        </w:rPr>
        <w:fldChar w:fldCharType="begin" w:fldLock="1"/>
      </w:r>
      <w:r w:rsidRPr="001B7F70">
        <w:rPr>
          <w:i/>
          <w:color w:val="000000" w:themeColor="text1"/>
        </w:rPr>
        <w:instrText>ADDIN CSL_CITATION {"citationItems":[{"id":"ITEM-1","itemData":{"DOI":"10.1634/theoncologist.12-10-1247","ISSN":"1083-7159","PMID":"17962618","abstract":"On October 6, 2006, the U.S. Food and Drug Administration granted regular approval to vorinostat (Zolinza(R); Merck &amp; Co., Inc., Whitehouse Station, NJ), a histone deacetylase inhibitor, for the treatment of cutaneous manifestations of cutaneous T-cell lymphoma (CTCL) in patients with progressive, persistent, or recurrent disease on or following two systemic therapies. The pivotal study supporting approval was a single-arm open-label phase II trial that enrolled 74 patients with stage IB and higher CTCL who had failed two systemic therapies (one of which must have contained bexarotene). Patients received vorinostat at a dose of 400 mg orally once daily, which could be reduced for toxicity to 300 mg daily or 300 mg 5 days a week. The median age of patients was 61 years. Sixty-one patients (82%) had stage IIB or higher CTCL and 30 patients (41%) had Sézary syndrome. The median duration of protocol treatment was 118 days. The primary efficacy endpoint was objective response assessed by the Severity-Weighted Assessment Tool. The objective response rate was 30% (95% confidence interval [CI], 19.7%-41.5%), the estimated median response duration was 168 days, and the median time to tumor progression was 202 days. An additional single-center study enrolled 33 patients with similar baseline and demographic features as the pivotal trial. Thirteen of the 33 received vorinostat (400 mg/day). The response rate in these 13 patients was 31% (95% CI, 9.1%-61.4%). The most common clinical adverse events (AEs) of any grade were diarrhea (52%), fatigue (52%), nausea (41%), and anorexia (24%). Grade 3 or 4 clinical AEs included fatigue (4%) and pulmonary embolism (5%). Hematologic laboratory abnormalities included thrombocytopenia (26%) and anemia (14%). Chemistry laboratory abnormalities included increased creatinine (16%), increased serum glucose (69%), and proteinuria (51%). Most abnormalities were National Cancer Institute Common Terminology Criteria for Adverse Events grade 1 or 2. Grade 3 or greater chemistry abnormalities included hyperglycemia, hypertriglyceridemia, and hyperuricemia, hypoglycemia, hypokalemia, hyponatremia, hyperkalemia, hypercholesterolemia, hypophosphatemia, and increased creatinine.","author":[{"dropping-particle":"","family":"Mann","given":"Bhupinder S.","non-dropping-particle":"","parse-names":false,"suffix":""},{"dropping-particle":"","family":"Johnson","given":"John R.","non-dropping-particle":"","parse-names":false,"suffix":""},{"dropping-particle":"","family":"Cohen","given":"Martin H.","non-dropping-particle":"","parse-names":false,"suffix":""},{"dropping-particle":"","family":"Justice","given":"Robert","non-dropping-particle":"","parse-names":false,"suffix":""},{"dropping-particle":"","family":"Pazdur","given":"Richard","non-dropping-particle":"","parse-names":false,"suffix":""}],"container-title":"The Oncologist","id":"ITEM-1","issue":"10","issued":{"date-parts":[["2007","10"]]},"page":"1247-1252","publisher":"Wiley","title":"FDA Approval Summary: Vorinostat for Treatment of Advanced Primary Cutaneous T‐Cell Lymphoma","type":"article-journal","volume":"12"},"uris":["http://www.mendeley.com/documents/?uuid=06d55968-0a58-3fe0-b758-b48bfd9e87a8"]}],"mendeley":{"formattedCitation":"[20]","plainTextFormattedCitation":"[20]","previouslyFormattedCitation":"[20]"},"properties":{"noteIndex":0},"schema":"https://github.com/citation-style-language/schema/raw/master/csl-citation.json"}</w:instrText>
      </w:r>
      <w:r w:rsidR="00062499" w:rsidRPr="001B7F70">
        <w:rPr>
          <w:i/>
          <w:color w:val="000000" w:themeColor="text1"/>
        </w:rPr>
        <w:fldChar w:fldCharType="separate"/>
      </w:r>
      <w:r w:rsidRPr="001B7F70">
        <w:rPr>
          <w:noProof/>
          <w:color w:val="000000" w:themeColor="text1"/>
        </w:rPr>
        <w:t>[20]</w:t>
      </w:r>
      <w:r w:rsidR="00062499" w:rsidRPr="001B7F70">
        <w:rPr>
          <w:i/>
          <w:color w:val="000000" w:themeColor="text1"/>
        </w:rPr>
        <w:fldChar w:fldCharType="end"/>
      </w:r>
      <w:r w:rsidRPr="001B7F70">
        <w:rPr>
          <w:i/>
          <w:color w:val="000000" w:themeColor="text1"/>
        </w:rPr>
        <w:t>, триглицеридов</w:t>
      </w:r>
      <w:r w:rsidRPr="001B7F70">
        <w:rPr>
          <w:i/>
          <w:color w:val="000000" w:themeColor="text1"/>
          <w:lang w:val="en-US"/>
        </w:rPr>
        <w:t xml:space="preserve"> </w:t>
      </w:r>
      <w:r w:rsidR="00062499" w:rsidRPr="001B7F70">
        <w:rPr>
          <w:i/>
          <w:color w:val="000000" w:themeColor="text1"/>
          <w:lang w:val="en-US"/>
        </w:rPr>
        <w:fldChar w:fldCharType="begin" w:fldLock="1"/>
      </w:r>
      <w:r w:rsidRPr="001B7F70">
        <w:rPr>
          <w:i/>
          <w:color w:val="000000" w:themeColor="text1"/>
          <w:lang w:val="en-US"/>
        </w:rPr>
        <w:instrText>ADDIN CSL_CITATION {"citationItems":[{"id":"ITEM-1","itemData":{"DOI":"10.1016/S0140-6736(17)31266-7","ISSN":"1474547X","PMID":"28600132","abstract":"Background Cutaneous T-cell lymphomas are rare, generally incurable, and associated with reduced quality of life. Present systemic therapies rarely provide reliable and durable responses. We aimed to assess efficacy and safety of brentuximab vedotin versus conventional therapy for previously treated patients with CD30-positive cutaneous T-cell lymphomas. Methods In this international, open-label, randomised, phase 3, multicentre trial, we enrolled adult patients with CD30-positive mycosis fungoides or primary cutaneous anaplastic large-cell lymphoma who had been previously treated. Patients were enrolled across 52 centres in 13 countries. Patients were randomly assigned (1:1) centrally by an interactive voice and web response system to receive intravenous brentuximab vedotin 1·8 mg/kg once every 3 weeks, for up to 16 3-week cycles, or physician's choice (oral methotrexate 5–50 mg once per week or oral bexarotene 300 mg/m2 once per day) for up to 48 weeks. The primary endpoint was the proportion of patients in the intention-to-treat population achieving an objective global response lasting at least 4 months per independent review facility. Safety analyses were done in all patients who received at least one dose of study drug. This trial was registered with ClinicalTrials.gov, number NCT01578499. Findings Between Aug 13, 2012, and July 31, 2015, 131 patients were enrolled and randomly assigned to a group (66 to brentuximab vedotin and 65 to physician's choice), with 128 analysed in the intention-to-treat population (64 in each group). At a median follow-up of 22·9 months (95% CI 18·4–26·1), the proportion of patients achieving an objective global response lasting at least 4 months was 56·3% (36 of 64 patients) with brentuximab vedotin versus 12·5% (eight of 64) with physician's choice, resulting in a between-group difference of 43·8% (95% CI 29·1–58·4; p&lt;0·0001). Grade 3–4 adverse events were reported in 27 (41%) of 66 patients in the brentuximab vedotin group and 29 (47%) of 62 patients in the physician's choice group. Peripheral neuropathy was seen in 44 (67%) of 66 patients in the brentuximab vedotin group (n=21 grade 2, n=6 grade 3) and four (6%) of 62 patients in the physician's choice group. One of the four on-treatment deaths was deemed by the investigator to be treatment-related in the brentuximab vedotin group; no on-treatment deaths were reported in the physician's choice group. Interpretation Significant improvement in objective response lastin…","author":[{"dropping-particle":"","family":"Prince","given":"H. Miles","non-dropping-particle":"","parse-names":false,"suffix":""},{"dropping-particle":"","family":"Kim","given":"Youn H.","non-dropping-particle":"","parse-names":false,"suffix":""},{"dropping-particle":"","family":"Horwitz","given":"Steve","non-dropping-particle":"","parse-names":false,"suffix":""},{"dropping-particle":"","family":"Dummer","given":"Reinhard","non-dropping-particle":"","parse-names":false,"suffix":""},{"dropping-particle":"","family":"Scarisbrick","given":"Julia","non-dropping-particle":"","parse-names":false,"suffix":""},{"dropping-particle":"","family":"Quaglino","given":"Pietro","non-dropping-particle":"","parse-names":false,"suffix":""},{"dropping-particle":"","family":"Zinzani","given":"Pier Luigi","non-dropping-particle":"","parse-names":false,"suffix":""},{"dropping-particle":"","family":"Wolter","given":"Pascal","non-dropping-particle":"","parse-names":false,"suffix":""},{"dropping-particle":"","family":"Sanches","given":"Jose Antonio","non-dropping-particle":"","parse-names":false,"suffix":""},{"dropping-particle":"","family":"Ortiz-Romero","given":"Pablo L.","non-dropping-particle":"","parse-names":false,"suffix":""},{"dropping-particle":"","family":"Akilov","given":"Oleg","non-dropping-particle":"","parse-names":false,"suffix":""},{"dropping-particle":"","family":"Geskin","given":"Larisa","non-dropping-particle":"","parse-names":false,"suffix":""},{"dropping-particle":"","family":"Trotman","given":"Judith","non-dropping-particle":"","parse-names":false,"suffix":""},{"dropping-particle":"","family":"Taylor","given":"Kerry","non-dropping-particle":"","parse-names":false,"suffix":""},{"dropping-particle":"","family":"Dalle","given":"Stephane","non-dropping-particle":"","parse-names":false,"suffix":""},{"dropping-particle":"","family":"Weichenthal","given":"Michael","non-dropping-particle":"","parse-names":false,"suffix":""},{"dropping-particle":"","family":"Walewski","given":"Jan","non-dropping-particle":"","parse-names":false,"suffix":""},{"dropping-particle":"","family":"Fisher","given":"David C.","non-dropping-particle":"","parse-names":false,"suffix":""},{"dropping-particle":"","family":"Dréno","given":"Brigitte","non-dropping-particle":"","parse-names":false,"suffix":""},{"dropping-particle":"","family":"Stadler","given":"Rudolf","non-dropping-particle":"","parse-names":false,"suffix":""},{"dropping-particle":"","family":"Feldman","given":"Tatyana","non-dropping-particle":"","parse-names":false,"suffix":""},{"dropping-particle":"","family":"Kuzel","given":"Timothy","non-dropping-particle":"","parse-names":false,"suffix":""},{"dropping-particle":"","family":"Wang","given":"Yinghui","non-dropping-particle":"","parse-names":false,"suffix":""},{"dropping-particle":"","family":"Palanca-Wessels","given":"Maria Corinna","non-dropping-particle":"","parse-names":false,"suffix":""},{"dropping-particle":"","family":"Zagadailov","given":"Erin","non-dropping-particle":"","parse-names":false,"suffix":""},{"dropping-particle":"","family":"Trepicchio","given":"William L.","non-dropping-particle":"","parse-names":false,"suffix":""},{"dropping-particle":"","family":"Zhang","given":"Wenwen","non-dropping-particle":"","parse-names":false,"suffix":""},{"dropping-particle":"","family":"Lin","given":"Hui Min","non-dropping-particle":"","parse-names":false,"suffix":""},{"dropping-particle":"","family":"Liu","given":"Yi","non-dropping-particle":"","parse-names":false,"suffix":""},{"dropping-particle":"","family":"Huebner","given":"Dirk","non-dropping-particle":"","parse-names":false,"suffix":""},{"dropping-particle":"","family":"Little","given":"Meredith","non-dropping-particle":"","parse-names":false,"suffix":""},{"dropping-particle":"","family":"Whittaker","given":"Sean","non-dropping-particle":"","parse-names":false,"suffix":""},{"dropping-particle":"","family":"Duvic","given":"Madeleine","non-dropping-particle":"","parse-names":false,"suffix":""},{"dropping-particle":"","family":"Joske","given":"David","non-dropping-particle":"","parse-names":false,"suffix":""},{"dropping-particle":"","family":"Lewis","given":"Ian D.","non-dropping-particle":"","parse-names":false,"suffix":""},{"dropping-particle":"","family":"Jonak","given":"Constanze","non-dropping-particle":"","parse-names":false,"suffix":""},{"dropping-particle":"","family":"Trautinger","given":"Franz","non-dropping-particle":"","parse-names":false,"suffix":""},{"dropping-particle":"","family":"Bechter","given":"Oliver","non-dropping-particle":"","parse-names":false,"suffix":""},{"dropping-particle":"","family":"Bron","given":"Dominique","non-dropping-particle":"","parse-names":false,"suffix":""},{"dropping-particle":"","family":"Lima","given":"Vladmir Claudio C.","non-dropping-particle":"de","parse-names":false,"suffix":""},{"dropping-particle":"","family":"Klasa","given":"Richard","non-dropping-particle":"","parse-names":false,"suffix":""},{"dropping-particle":"","family":"Bagot","given":"Martine","non-dropping-particle":"","parse-names":false,"suffix":""},{"dropping-particle":"","family":"Beylot-Barry","given":"Marie","non-dropping-particle":"","parse-names":false,"suffix":""},{"dropping-particle":"","family":"D'Incan","given":"Michel","non-dropping-particle":"","parse-names":false,"suffix":""},{"dropping-particle":"","family":"Dreno","given":"Brigitte","non-dropping-particle":"","parse-names":false,"suffix":""},{"dropping-particle":"","family":"Grange","given":"Florent","non-dropping-particle":"","parse-names":false,"suffix":""},{"dropping-particle":"","family":"Nicolay","given":"Jan","non-dropping-particle":"","parse-names":false,"suffix":""},{"dropping-particle":"","family":"Wobser","given":"Marion","non-dropping-particle":"","parse-names":false,"suffix":""},{"dropping-particle":"","family":"Assaf","given":"Chalid","non-dropping-particle":"","parse-names":false,"suffix":""},{"dropping-particle":"","family":"Loquai","given":"Carmen","non-dropping-particle":"","parse-names":false,"suffix":""},{"dropping-particle":"","family":"Spina","given":"Michele","non-dropping-particle":"","parse-names":false,"suffix":""},{"dropping-particle":"","family":"Bosi","given":"Alberto","non-dropping-particle":"","parse-names":false,"suffix":""},{"dropping-particle":"","family":"Fattori","given":"Pier Paolo","non-dropping-particle":"","parse-names":false,"suffix":""},{"dropping-particle":"","family":"Grzanka","given":"Aleksandra","non-dropping-particle":"","parse-names":false,"suffix":""},{"dropping-particle":"","family":"Lopez-Hernandez","given":"Andres","non-dropping-particle":"","parse-names":false,"suffix":""},{"dropping-particle":"","family":"Roca","given":"Jose Juan Rifon","non-dropping-particle":"","parse-names":false,"suffix":""},{"dropping-particle":"","family":"Canales","given":"Silvana Novelli","non-dropping-particle":"","parse-names":false,"suffix":""},{"dropping-particle":"","family":"Illidge","given":"Timothy","non-dropping-particle":"","parse-names":false,"suffix":""},{"dropping-particle":"","family":"Johnson","given":"Rod","non-dropping-particle":"","parse-names":false,"suffix":""},{"dropping-particle":"","family</w:instrText>
      </w:r>
      <w:r w:rsidRPr="001B7F70">
        <w:rPr>
          <w:i/>
          <w:color w:val="000000" w:themeColor="text1"/>
        </w:rPr>
        <w:instrText>":"</w:instrText>
      </w:r>
      <w:r w:rsidRPr="001B7F70">
        <w:rPr>
          <w:i/>
          <w:color w:val="000000" w:themeColor="text1"/>
          <w:lang w:val="en-US"/>
        </w:rPr>
        <w:instrText>Morris</w:instrText>
      </w:r>
      <w:r w:rsidRPr="001B7F70">
        <w:rPr>
          <w:i/>
          <w:color w:val="000000" w:themeColor="text1"/>
        </w:rPr>
        <w:instrText>","</w:instrText>
      </w:r>
      <w:r w:rsidRPr="001B7F70">
        <w:rPr>
          <w:i/>
          <w:color w:val="000000" w:themeColor="text1"/>
          <w:lang w:val="en-US"/>
        </w:rPr>
        <w:instrText>given</w:instrText>
      </w:r>
      <w:r w:rsidRPr="001B7F70">
        <w:rPr>
          <w:i/>
          <w:color w:val="000000" w:themeColor="text1"/>
        </w:rPr>
        <w:instrText>":"</w:instrText>
      </w:r>
      <w:r w:rsidRPr="001B7F70">
        <w:rPr>
          <w:i/>
          <w:color w:val="000000" w:themeColor="text1"/>
          <w:lang w:val="en-US"/>
        </w:rPr>
        <w:instrText>Stephen</w:instrText>
      </w:r>
      <w:r w:rsidRPr="001B7F70">
        <w:rPr>
          <w:i/>
          <w:color w:val="000000" w:themeColor="text1"/>
        </w:rPr>
        <w:instrText>","</w:instrText>
      </w:r>
      <w:r w:rsidRPr="001B7F70">
        <w:rPr>
          <w:i/>
          <w:color w:val="000000" w:themeColor="text1"/>
          <w:lang w:val="en-US"/>
        </w:rPr>
        <w:instrText>non</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parse</w:instrText>
      </w:r>
      <w:r w:rsidRPr="001B7F70">
        <w:rPr>
          <w:i/>
          <w:color w:val="000000" w:themeColor="text1"/>
        </w:rPr>
        <w:instrText>-</w:instrText>
      </w:r>
      <w:r w:rsidRPr="001B7F70">
        <w:rPr>
          <w:i/>
          <w:color w:val="000000" w:themeColor="text1"/>
          <w:lang w:val="en-US"/>
        </w:rPr>
        <w:instrText>names</w:instrText>
      </w:r>
      <w:r w:rsidRPr="001B7F70">
        <w:rPr>
          <w:i/>
          <w:color w:val="000000" w:themeColor="text1"/>
        </w:rPr>
        <w:instrText>":</w:instrText>
      </w:r>
      <w:r w:rsidRPr="001B7F70">
        <w:rPr>
          <w:i/>
          <w:color w:val="000000" w:themeColor="text1"/>
          <w:lang w:val="en-US"/>
        </w:rPr>
        <w:instrText>false</w:instrText>
      </w:r>
      <w:r w:rsidRPr="001B7F70">
        <w:rPr>
          <w:i/>
          <w:color w:val="000000" w:themeColor="text1"/>
        </w:rPr>
        <w:instrText>,"</w:instrText>
      </w:r>
      <w:r w:rsidRPr="001B7F70">
        <w:rPr>
          <w:i/>
          <w:color w:val="000000" w:themeColor="text1"/>
          <w:lang w:val="en-US"/>
        </w:rPr>
        <w:instrText>suffix</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family</w:instrText>
      </w:r>
      <w:r w:rsidRPr="001B7F70">
        <w:rPr>
          <w:i/>
          <w:color w:val="000000" w:themeColor="text1"/>
        </w:rPr>
        <w:instrText>":"</w:instrText>
      </w:r>
      <w:r w:rsidRPr="001B7F70">
        <w:rPr>
          <w:i/>
          <w:color w:val="000000" w:themeColor="text1"/>
          <w:lang w:val="en-US"/>
        </w:rPr>
        <w:instrText>McKay</w:instrText>
      </w:r>
      <w:r w:rsidRPr="001B7F70">
        <w:rPr>
          <w:i/>
          <w:color w:val="000000" w:themeColor="text1"/>
        </w:rPr>
        <w:instrText>","</w:instrText>
      </w:r>
      <w:r w:rsidRPr="001B7F70">
        <w:rPr>
          <w:i/>
          <w:color w:val="000000" w:themeColor="text1"/>
          <w:lang w:val="en-US"/>
        </w:rPr>
        <w:instrText>given</w:instrText>
      </w:r>
      <w:r w:rsidRPr="001B7F70">
        <w:rPr>
          <w:i/>
          <w:color w:val="000000" w:themeColor="text1"/>
        </w:rPr>
        <w:instrText>":"</w:instrText>
      </w:r>
      <w:r w:rsidRPr="001B7F70">
        <w:rPr>
          <w:i/>
          <w:color w:val="000000" w:themeColor="text1"/>
          <w:lang w:val="en-US"/>
        </w:rPr>
        <w:instrText>Pam</w:instrText>
      </w:r>
      <w:r w:rsidRPr="001B7F70">
        <w:rPr>
          <w:i/>
          <w:color w:val="000000" w:themeColor="text1"/>
        </w:rPr>
        <w:instrText>","</w:instrText>
      </w:r>
      <w:r w:rsidRPr="001B7F70">
        <w:rPr>
          <w:i/>
          <w:color w:val="000000" w:themeColor="text1"/>
          <w:lang w:val="en-US"/>
        </w:rPr>
        <w:instrText>non</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parse</w:instrText>
      </w:r>
      <w:r w:rsidRPr="001B7F70">
        <w:rPr>
          <w:i/>
          <w:color w:val="000000" w:themeColor="text1"/>
        </w:rPr>
        <w:instrText>-</w:instrText>
      </w:r>
      <w:r w:rsidRPr="001B7F70">
        <w:rPr>
          <w:i/>
          <w:color w:val="000000" w:themeColor="text1"/>
          <w:lang w:val="en-US"/>
        </w:rPr>
        <w:instrText>names</w:instrText>
      </w:r>
      <w:r w:rsidRPr="001B7F70">
        <w:rPr>
          <w:i/>
          <w:color w:val="000000" w:themeColor="text1"/>
        </w:rPr>
        <w:instrText>":</w:instrText>
      </w:r>
      <w:r w:rsidRPr="001B7F70">
        <w:rPr>
          <w:i/>
          <w:color w:val="000000" w:themeColor="text1"/>
          <w:lang w:val="en-US"/>
        </w:rPr>
        <w:instrText>false</w:instrText>
      </w:r>
      <w:r w:rsidRPr="001B7F70">
        <w:rPr>
          <w:i/>
          <w:color w:val="000000" w:themeColor="text1"/>
        </w:rPr>
        <w:instrText>,"</w:instrText>
      </w:r>
      <w:r w:rsidRPr="001B7F70">
        <w:rPr>
          <w:i/>
          <w:color w:val="000000" w:themeColor="text1"/>
          <w:lang w:val="en-US"/>
        </w:rPr>
        <w:instrText>suffix</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family</w:instrText>
      </w:r>
      <w:r w:rsidRPr="001B7F70">
        <w:rPr>
          <w:i/>
          <w:color w:val="000000" w:themeColor="text1"/>
        </w:rPr>
        <w:instrText>":"</w:instrText>
      </w:r>
      <w:r w:rsidRPr="001B7F70">
        <w:rPr>
          <w:i/>
          <w:color w:val="000000" w:themeColor="text1"/>
          <w:lang w:val="en-US"/>
        </w:rPr>
        <w:instrText>Pro</w:instrText>
      </w:r>
      <w:r w:rsidRPr="001B7F70">
        <w:rPr>
          <w:i/>
          <w:color w:val="000000" w:themeColor="text1"/>
        </w:rPr>
        <w:instrText>","</w:instrText>
      </w:r>
      <w:r w:rsidRPr="001B7F70">
        <w:rPr>
          <w:i/>
          <w:color w:val="000000" w:themeColor="text1"/>
          <w:lang w:val="en-US"/>
        </w:rPr>
        <w:instrText>given</w:instrText>
      </w:r>
      <w:r w:rsidRPr="001B7F70">
        <w:rPr>
          <w:i/>
          <w:color w:val="000000" w:themeColor="text1"/>
        </w:rPr>
        <w:instrText>":"</w:instrText>
      </w:r>
      <w:r w:rsidRPr="001B7F70">
        <w:rPr>
          <w:i/>
          <w:color w:val="000000" w:themeColor="text1"/>
          <w:lang w:val="en-US"/>
        </w:rPr>
        <w:instrText>Barbara</w:instrText>
      </w:r>
      <w:r w:rsidRPr="001B7F70">
        <w:rPr>
          <w:i/>
          <w:color w:val="000000" w:themeColor="text1"/>
        </w:rPr>
        <w:instrText>","</w:instrText>
      </w:r>
      <w:r w:rsidRPr="001B7F70">
        <w:rPr>
          <w:i/>
          <w:color w:val="000000" w:themeColor="text1"/>
          <w:lang w:val="en-US"/>
        </w:rPr>
        <w:instrText>non</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parse</w:instrText>
      </w:r>
      <w:r w:rsidRPr="001B7F70">
        <w:rPr>
          <w:i/>
          <w:color w:val="000000" w:themeColor="text1"/>
        </w:rPr>
        <w:instrText>-</w:instrText>
      </w:r>
      <w:r w:rsidRPr="001B7F70">
        <w:rPr>
          <w:i/>
          <w:color w:val="000000" w:themeColor="text1"/>
          <w:lang w:val="en-US"/>
        </w:rPr>
        <w:instrText>names</w:instrText>
      </w:r>
      <w:r w:rsidRPr="001B7F70">
        <w:rPr>
          <w:i/>
          <w:color w:val="000000" w:themeColor="text1"/>
        </w:rPr>
        <w:instrText>":</w:instrText>
      </w:r>
      <w:r w:rsidRPr="001B7F70">
        <w:rPr>
          <w:i/>
          <w:color w:val="000000" w:themeColor="text1"/>
          <w:lang w:val="en-US"/>
        </w:rPr>
        <w:instrText>false</w:instrText>
      </w:r>
      <w:r w:rsidRPr="001B7F70">
        <w:rPr>
          <w:i/>
          <w:color w:val="000000" w:themeColor="text1"/>
        </w:rPr>
        <w:instrText>,"</w:instrText>
      </w:r>
      <w:r w:rsidRPr="001B7F70">
        <w:rPr>
          <w:i/>
          <w:color w:val="000000" w:themeColor="text1"/>
          <w:lang w:val="en-US"/>
        </w:rPr>
        <w:instrText>suffix</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family</w:instrText>
      </w:r>
      <w:r w:rsidRPr="001B7F70">
        <w:rPr>
          <w:i/>
          <w:color w:val="000000" w:themeColor="text1"/>
        </w:rPr>
        <w:instrText>":"</w:instrText>
      </w:r>
      <w:r w:rsidRPr="001B7F70">
        <w:rPr>
          <w:i/>
          <w:color w:val="000000" w:themeColor="text1"/>
          <w:lang w:val="en-US"/>
        </w:rPr>
        <w:instrText>Lerner</w:instrText>
      </w:r>
      <w:r w:rsidRPr="001B7F70">
        <w:rPr>
          <w:i/>
          <w:color w:val="000000" w:themeColor="text1"/>
        </w:rPr>
        <w:instrText>","</w:instrText>
      </w:r>
      <w:r w:rsidRPr="001B7F70">
        <w:rPr>
          <w:i/>
          <w:color w:val="000000" w:themeColor="text1"/>
          <w:lang w:val="en-US"/>
        </w:rPr>
        <w:instrText>given</w:instrText>
      </w:r>
      <w:r w:rsidRPr="001B7F70">
        <w:rPr>
          <w:i/>
          <w:color w:val="000000" w:themeColor="text1"/>
        </w:rPr>
        <w:instrText>":"</w:instrText>
      </w:r>
      <w:r w:rsidRPr="001B7F70">
        <w:rPr>
          <w:i/>
          <w:color w:val="000000" w:themeColor="text1"/>
          <w:lang w:val="en-US"/>
        </w:rPr>
        <w:instrText>Adam</w:instrText>
      </w:r>
      <w:r w:rsidRPr="001B7F70">
        <w:rPr>
          <w:i/>
          <w:color w:val="000000" w:themeColor="text1"/>
        </w:rPr>
        <w:instrText>","</w:instrText>
      </w:r>
      <w:r w:rsidRPr="001B7F70">
        <w:rPr>
          <w:i/>
          <w:color w:val="000000" w:themeColor="text1"/>
          <w:lang w:val="en-US"/>
        </w:rPr>
        <w:instrText>non</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parse</w:instrText>
      </w:r>
      <w:r w:rsidRPr="001B7F70">
        <w:rPr>
          <w:i/>
          <w:color w:val="000000" w:themeColor="text1"/>
        </w:rPr>
        <w:instrText>-</w:instrText>
      </w:r>
      <w:r w:rsidRPr="001B7F70">
        <w:rPr>
          <w:i/>
          <w:color w:val="000000" w:themeColor="text1"/>
          <w:lang w:val="en-US"/>
        </w:rPr>
        <w:instrText>names</w:instrText>
      </w:r>
      <w:r w:rsidRPr="001B7F70">
        <w:rPr>
          <w:i/>
          <w:color w:val="000000" w:themeColor="text1"/>
        </w:rPr>
        <w:instrText>":</w:instrText>
      </w:r>
      <w:r w:rsidRPr="001B7F70">
        <w:rPr>
          <w:i/>
          <w:color w:val="000000" w:themeColor="text1"/>
          <w:lang w:val="en-US"/>
        </w:rPr>
        <w:instrText>false</w:instrText>
      </w:r>
      <w:r w:rsidRPr="001B7F70">
        <w:rPr>
          <w:i/>
          <w:color w:val="000000" w:themeColor="text1"/>
        </w:rPr>
        <w:instrText>,"</w:instrText>
      </w:r>
      <w:r w:rsidRPr="001B7F70">
        <w:rPr>
          <w:i/>
          <w:color w:val="000000" w:themeColor="text1"/>
          <w:lang w:val="en-US"/>
        </w:rPr>
        <w:instrText>suffix</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family</w:instrText>
      </w:r>
      <w:r w:rsidRPr="001B7F70">
        <w:rPr>
          <w:i/>
          <w:color w:val="000000" w:themeColor="text1"/>
        </w:rPr>
        <w:instrText>":"</w:instrText>
      </w:r>
      <w:r w:rsidRPr="001B7F70">
        <w:rPr>
          <w:i/>
          <w:color w:val="000000" w:themeColor="text1"/>
          <w:lang w:val="en-US"/>
        </w:rPr>
        <w:instrText>Eradat</w:instrText>
      </w:r>
      <w:r w:rsidRPr="001B7F70">
        <w:rPr>
          <w:i/>
          <w:color w:val="000000" w:themeColor="text1"/>
        </w:rPr>
        <w:instrText>","</w:instrText>
      </w:r>
      <w:r w:rsidRPr="001B7F70">
        <w:rPr>
          <w:i/>
          <w:color w:val="000000" w:themeColor="text1"/>
          <w:lang w:val="en-US"/>
        </w:rPr>
        <w:instrText>given</w:instrText>
      </w:r>
      <w:r w:rsidRPr="001B7F70">
        <w:rPr>
          <w:i/>
          <w:color w:val="000000" w:themeColor="text1"/>
        </w:rPr>
        <w:instrText>":"</w:instrText>
      </w:r>
      <w:r w:rsidRPr="001B7F70">
        <w:rPr>
          <w:i/>
          <w:color w:val="000000" w:themeColor="text1"/>
          <w:lang w:val="en-US"/>
        </w:rPr>
        <w:instrText>Herbert</w:instrText>
      </w:r>
      <w:r w:rsidRPr="001B7F70">
        <w:rPr>
          <w:i/>
          <w:color w:val="000000" w:themeColor="text1"/>
        </w:rPr>
        <w:instrText>","</w:instrText>
      </w:r>
      <w:r w:rsidRPr="001B7F70">
        <w:rPr>
          <w:i/>
          <w:color w:val="000000" w:themeColor="text1"/>
          <w:lang w:val="en-US"/>
        </w:rPr>
        <w:instrText>non</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parse</w:instrText>
      </w:r>
      <w:r w:rsidRPr="001B7F70">
        <w:rPr>
          <w:i/>
          <w:color w:val="000000" w:themeColor="text1"/>
        </w:rPr>
        <w:instrText>-</w:instrText>
      </w:r>
      <w:r w:rsidRPr="001B7F70">
        <w:rPr>
          <w:i/>
          <w:color w:val="000000" w:themeColor="text1"/>
          <w:lang w:val="en-US"/>
        </w:rPr>
        <w:instrText>names</w:instrText>
      </w:r>
      <w:r w:rsidRPr="001B7F70">
        <w:rPr>
          <w:i/>
          <w:color w:val="000000" w:themeColor="text1"/>
        </w:rPr>
        <w:instrText>":</w:instrText>
      </w:r>
      <w:r w:rsidRPr="001B7F70">
        <w:rPr>
          <w:i/>
          <w:color w:val="000000" w:themeColor="text1"/>
          <w:lang w:val="en-US"/>
        </w:rPr>
        <w:instrText>false</w:instrText>
      </w:r>
      <w:r w:rsidRPr="001B7F70">
        <w:rPr>
          <w:i/>
          <w:color w:val="000000" w:themeColor="text1"/>
        </w:rPr>
        <w:instrText>,"</w:instrText>
      </w:r>
      <w:r w:rsidRPr="001B7F70">
        <w:rPr>
          <w:i/>
          <w:color w:val="000000" w:themeColor="text1"/>
          <w:lang w:val="en-US"/>
        </w:rPr>
        <w:instrText>suffix</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family</w:instrText>
      </w:r>
      <w:r w:rsidRPr="001B7F70">
        <w:rPr>
          <w:i/>
          <w:color w:val="000000" w:themeColor="text1"/>
        </w:rPr>
        <w:instrText>":"</w:instrText>
      </w:r>
      <w:r w:rsidRPr="001B7F70">
        <w:rPr>
          <w:i/>
          <w:color w:val="000000" w:themeColor="text1"/>
          <w:lang w:val="en-US"/>
        </w:rPr>
        <w:instrText>Sokol</w:instrText>
      </w:r>
      <w:r w:rsidRPr="001B7F70">
        <w:rPr>
          <w:i/>
          <w:color w:val="000000" w:themeColor="text1"/>
        </w:rPr>
        <w:instrText>","</w:instrText>
      </w:r>
      <w:r w:rsidRPr="001B7F70">
        <w:rPr>
          <w:i/>
          <w:color w:val="000000" w:themeColor="text1"/>
          <w:lang w:val="en-US"/>
        </w:rPr>
        <w:instrText>given</w:instrText>
      </w:r>
      <w:r w:rsidRPr="001B7F70">
        <w:rPr>
          <w:i/>
          <w:color w:val="000000" w:themeColor="text1"/>
        </w:rPr>
        <w:instrText>":"</w:instrText>
      </w:r>
      <w:r w:rsidRPr="001B7F70">
        <w:rPr>
          <w:i/>
          <w:color w:val="000000" w:themeColor="text1"/>
          <w:lang w:val="en-US"/>
        </w:rPr>
        <w:instrText>Lubomir</w:instrText>
      </w:r>
      <w:r w:rsidRPr="001B7F70">
        <w:rPr>
          <w:i/>
          <w:color w:val="000000" w:themeColor="text1"/>
        </w:rPr>
        <w:instrText>","</w:instrText>
      </w:r>
      <w:r w:rsidRPr="001B7F70">
        <w:rPr>
          <w:i/>
          <w:color w:val="000000" w:themeColor="text1"/>
          <w:lang w:val="en-US"/>
        </w:rPr>
        <w:instrText>non</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parse</w:instrText>
      </w:r>
      <w:r w:rsidRPr="001B7F70">
        <w:rPr>
          <w:i/>
          <w:color w:val="000000" w:themeColor="text1"/>
        </w:rPr>
        <w:instrText>-</w:instrText>
      </w:r>
      <w:r w:rsidRPr="001B7F70">
        <w:rPr>
          <w:i/>
          <w:color w:val="000000" w:themeColor="text1"/>
          <w:lang w:val="en-US"/>
        </w:rPr>
        <w:instrText>names</w:instrText>
      </w:r>
      <w:r w:rsidRPr="001B7F70">
        <w:rPr>
          <w:i/>
          <w:color w:val="000000" w:themeColor="text1"/>
        </w:rPr>
        <w:instrText>":</w:instrText>
      </w:r>
      <w:r w:rsidRPr="001B7F70">
        <w:rPr>
          <w:i/>
          <w:color w:val="000000" w:themeColor="text1"/>
          <w:lang w:val="en-US"/>
        </w:rPr>
        <w:instrText>false</w:instrText>
      </w:r>
      <w:r w:rsidRPr="001B7F70">
        <w:rPr>
          <w:i/>
          <w:color w:val="000000" w:themeColor="text1"/>
        </w:rPr>
        <w:instrText>,"</w:instrText>
      </w:r>
      <w:r w:rsidRPr="001B7F70">
        <w:rPr>
          <w:i/>
          <w:color w:val="000000" w:themeColor="text1"/>
          <w:lang w:val="en-US"/>
        </w:rPr>
        <w:instrText>suffix</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family</w:instrText>
      </w:r>
      <w:r w:rsidRPr="001B7F70">
        <w:rPr>
          <w:i/>
          <w:color w:val="000000" w:themeColor="text1"/>
        </w:rPr>
        <w:instrText>":"</w:instrText>
      </w:r>
      <w:r w:rsidRPr="001B7F70">
        <w:rPr>
          <w:i/>
          <w:color w:val="000000" w:themeColor="text1"/>
          <w:lang w:val="en-US"/>
        </w:rPr>
        <w:instrText>Hughey</w:instrText>
      </w:r>
      <w:r w:rsidRPr="001B7F70">
        <w:rPr>
          <w:i/>
          <w:color w:val="000000" w:themeColor="text1"/>
        </w:rPr>
        <w:instrText>","</w:instrText>
      </w:r>
      <w:r w:rsidRPr="001B7F70">
        <w:rPr>
          <w:i/>
          <w:color w:val="000000" w:themeColor="text1"/>
          <w:lang w:val="en-US"/>
        </w:rPr>
        <w:instrText>given</w:instrText>
      </w:r>
      <w:r w:rsidRPr="001B7F70">
        <w:rPr>
          <w:i/>
          <w:color w:val="000000" w:themeColor="text1"/>
        </w:rPr>
        <w:instrText>":"</w:instrText>
      </w:r>
      <w:r w:rsidRPr="001B7F70">
        <w:rPr>
          <w:i/>
          <w:color w:val="000000" w:themeColor="text1"/>
          <w:lang w:val="en-US"/>
        </w:rPr>
        <w:instrText>Sarah</w:instrText>
      </w:r>
      <w:r w:rsidRPr="001B7F70">
        <w:rPr>
          <w:i/>
          <w:color w:val="000000" w:themeColor="text1"/>
        </w:rPr>
        <w:instrText>","</w:instrText>
      </w:r>
      <w:r w:rsidRPr="001B7F70">
        <w:rPr>
          <w:i/>
          <w:color w:val="000000" w:themeColor="text1"/>
          <w:lang w:val="en-US"/>
        </w:rPr>
        <w:instrText>non</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parse</w:instrText>
      </w:r>
      <w:r w:rsidRPr="001B7F70">
        <w:rPr>
          <w:i/>
          <w:color w:val="000000" w:themeColor="text1"/>
        </w:rPr>
        <w:instrText>-</w:instrText>
      </w:r>
      <w:r w:rsidRPr="001B7F70">
        <w:rPr>
          <w:i/>
          <w:color w:val="000000" w:themeColor="text1"/>
          <w:lang w:val="en-US"/>
        </w:rPr>
        <w:instrText>names</w:instrText>
      </w:r>
      <w:r w:rsidRPr="001B7F70">
        <w:rPr>
          <w:i/>
          <w:color w:val="000000" w:themeColor="text1"/>
        </w:rPr>
        <w:instrText>":</w:instrText>
      </w:r>
      <w:r w:rsidRPr="001B7F70">
        <w:rPr>
          <w:i/>
          <w:color w:val="000000" w:themeColor="text1"/>
          <w:lang w:val="en-US"/>
        </w:rPr>
        <w:instrText>false</w:instrText>
      </w:r>
      <w:r w:rsidRPr="001B7F70">
        <w:rPr>
          <w:i/>
          <w:color w:val="000000" w:themeColor="text1"/>
        </w:rPr>
        <w:instrText>,"</w:instrText>
      </w:r>
      <w:r w:rsidRPr="001B7F70">
        <w:rPr>
          <w:i/>
          <w:color w:val="000000" w:themeColor="text1"/>
          <w:lang w:val="en-US"/>
        </w:rPr>
        <w:instrText>suffix</w:instrText>
      </w:r>
      <w:r w:rsidRPr="001B7F70">
        <w:rPr>
          <w:i/>
          <w:color w:val="000000" w:themeColor="text1"/>
        </w:rPr>
        <w:instrText>":""}],"</w:instrText>
      </w:r>
      <w:r w:rsidRPr="001B7F70">
        <w:rPr>
          <w:i/>
          <w:color w:val="000000" w:themeColor="text1"/>
          <w:lang w:val="en-US"/>
        </w:rPr>
        <w:instrText>container</w:instrText>
      </w:r>
      <w:r w:rsidRPr="001B7F70">
        <w:rPr>
          <w:i/>
          <w:color w:val="000000" w:themeColor="text1"/>
        </w:rPr>
        <w:instrText>-</w:instrText>
      </w:r>
      <w:r w:rsidRPr="001B7F70">
        <w:rPr>
          <w:i/>
          <w:color w:val="000000" w:themeColor="text1"/>
          <w:lang w:val="en-US"/>
        </w:rPr>
        <w:instrText>title</w:instrText>
      </w:r>
      <w:r w:rsidRPr="001B7F70">
        <w:rPr>
          <w:i/>
          <w:color w:val="000000" w:themeColor="text1"/>
        </w:rPr>
        <w:instrText>":"</w:instrText>
      </w:r>
      <w:r w:rsidRPr="001B7F70">
        <w:rPr>
          <w:i/>
          <w:color w:val="000000" w:themeColor="text1"/>
          <w:lang w:val="en-US"/>
        </w:rPr>
        <w:instrText>The</w:instrText>
      </w:r>
      <w:r w:rsidRPr="001B7F70">
        <w:rPr>
          <w:i/>
          <w:color w:val="000000" w:themeColor="text1"/>
        </w:rPr>
        <w:instrText xml:space="preserve"> </w:instrText>
      </w:r>
      <w:r w:rsidRPr="001B7F70">
        <w:rPr>
          <w:i/>
          <w:color w:val="000000" w:themeColor="text1"/>
          <w:lang w:val="en-US"/>
        </w:rPr>
        <w:instrText>Lancet</w:instrText>
      </w:r>
      <w:r w:rsidRPr="001B7F70">
        <w:rPr>
          <w:i/>
          <w:color w:val="000000" w:themeColor="text1"/>
        </w:rPr>
        <w:instrText>","</w:instrText>
      </w:r>
      <w:r w:rsidRPr="001B7F70">
        <w:rPr>
          <w:i/>
          <w:color w:val="000000" w:themeColor="text1"/>
          <w:lang w:val="en-US"/>
        </w:rPr>
        <w:instrText>id</w:instrText>
      </w:r>
      <w:r w:rsidRPr="001B7F70">
        <w:rPr>
          <w:i/>
          <w:color w:val="000000" w:themeColor="text1"/>
        </w:rPr>
        <w:instrText>":"</w:instrText>
      </w:r>
      <w:r w:rsidRPr="001B7F70">
        <w:rPr>
          <w:i/>
          <w:color w:val="000000" w:themeColor="text1"/>
          <w:lang w:val="en-US"/>
        </w:rPr>
        <w:instrText>ITEM</w:instrText>
      </w:r>
      <w:r w:rsidRPr="001B7F70">
        <w:rPr>
          <w:i/>
          <w:color w:val="000000" w:themeColor="text1"/>
        </w:rPr>
        <w:instrText>-1","</w:instrText>
      </w:r>
      <w:r w:rsidRPr="001B7F70">
        <w:rPr>
          <w:i/>
          <w:color w:val="000000" w:themeColor="text1"/>
          <w:lang w:val="en-US"/>
        </w:rPr>
        <w:instrText>issue</w:instrText>
      </w:r>
      <w:r w:rsidRPr="001B7F70">
        <w:rPr>
          <w:i/>
          <w:color w:val="000000" w:themeColor="text1"/>
        </w:rPr>
        <w:instrText>":"10094","</w:instrText>
      </w:r>
      <w:r w:rsidRPr="001B7F70">
        <w:rPr>
          <w:i/>
          <w:color w:val="000000" w:themeColor="text1"/>
          <w:lang w:val="en-US"/>
        </w:rPr>
        <w:instrText>issued</w:instrText>
      </w:r>
      <w:r w:rsidRPr="001B7F70">
        <w:rPr>
          <w:i/>
          <w:color w:val="000000" w:themeColor="text1"/>
        </w:rPr>
        <w:instrText>":{"</w:instrText>
      </w:r>
      <w:r w:rsidRPr="001B7F70">
        <w:rPr>
          <w:i/>
          <w:color w:val="000000" w:themeColor="text1"/>
          <w:lang w:val="en-US"/>
        </w:rPr>
        <w:instrText>date</w:instrText>
      </w:r>
      <w:r w:rsidRPr="001B7F70">
        <w:rPr>
          <w:i/>
          <w:color w:val="000000" w:themeColor="text1"/>
        </w:rPr>
        <w:instrText>-</w:instrText>
      </w:r>
      <w:r w:rsidRPr="001B7F70">
        <w:rPr>
          <w:i/>
          <w:color w:val="000000" w:themeColor="text1"/>
          <w:lang w:val="en-US"/>
        </w:rPr>
        <w:instrText>parts</w:instrText>
      </w:r>
      <w:r w:rsidRPr="001B7F70">
        <w:rPr>
          <w:i/>
          <w:color w:val="000000" w:themeColor="text1"/>
        </w:rPr>
        <w:instrText>":[["2017","8","1"]]},"</w:instrText>
      </w:r>
      <w:r w:rsidRPr="001B7F70">
        <w:rPr>
          <w:i/>
          <w:color w:val="000000" w:themeColor="text1"/>
          <w:lang w:val="en-US"/>
        </w:rPr>
        <w:instrText>page</w:instrText>
      </w:r>
      <w:r w:rsidRPr="001B7F70">
        <w:rPr>
          <w:i/>
          <w:color w:val="000000" w:themeColor="text1"/>
        </w:rPr>
        <w:instrText>":"555-566","</w:instrText>
      </w:r>
      <w:r w:rsidRPr="001B7F70">
        <w:rPr>
          <w:i/>
          <w:color w:val="000000" w:themeColor="text1"/>
          <w:lang w:val="en-US"/>
        </w:rPr>
        <w:instrText>publisher</w:instrText>
      </w:r>
      <w:r w:rsidRPr="001B7F70">
        <w:rPr>
          <w:i/>
          <w:color w:val="000000" w:themeColor="text1"/>
        </w:rPr>
        <w:instrText>":"</w:instrText>
      </w:r>
      <w:r w:rsidRPr="001B7F70">
        <w:rPr>
          <w:i/>
          <w:color w:val="000000" w:themeColor="text1"/>
          <w:lang w:val="en-US"/>
        </w:rPr>
        <w:instrText>Lancet</w:instrText>
      </w:r>
      <w:r w:rsidRPr="001B7F70">
        <w:rPr>
          <w:i/>
          <w:color w:val="000000" w:themeColor="text1"/>
        </w:rPr>
        <w:instrText xml:space="preserve"> </w:instrText>
      </w:r>
      <w:r w:rsidRPr="001B7F70">
        <w:rPr>
          <w:i/>
          <w:color w:val="000000" w:themeColor="text1"/>
          <w:lang w:val="en-US"/>
        </w:rPr>
        <w:instrText>Publishing</w:instrText>
      </w:r>
      <w:r w:rsidRPr="001B7F70">
        <w:rPr>
          <w:i/>
          <w:color w:val="000000" w:themeColor="text1"/>
        </w:rPr>
        <w:instrText xml:space="preserve"> </w:instrText>
      </w:r>
      <w:r w:rsidRPr="001B7F70">
        <w:rPr>
          <w:i/>
          <w:color w:val="000000" w:themeColor="text1"/>
          <w:lang w:val="en-US"/>
        </w:rPr>
        <w:instrText>Group</w:instrText>
      </w:r>
      <w:r w:rsidRPr="001B7F70">
        <w:rPr>
          <w:i/>
          <w:color w:val="000000" w:themeColor="text1"/>
        </w:rPr>
        <w:instrText>","</w:instrText>
      </w:r>
      <w:r w:rsidRPr="001B7F70">
        <w:rPr>
          <w:i/>
          <w:color w:val="000000" w:themeColor="text1"/>
          <w:lang w:val="en-US"/>
        </w:rPr>
        <w:instrText>title</w:instrText>
      </w:r>
      <w:r w:rsidRPr="001B7F70">
        <w:rPr>
          <w:i/>
          <w:color w:val="000000" w:themeColor="text1"/>
        </w:rPr>
        <w:instrText>":"</w:instrText>
      </w:r>
      <w:r w:rsidRPr="001B7F70">
        <w:rPr>
          <w:i/>
          <w:color w:val="000000" w:themeColor="text1"/>
          <w:lang w:val="en-US"/>
        </w:rPr>
        <w:instrText>Brentuximab</w:instrText>
      </w:r>
      <w:r w:rsidRPr="001B7F70">
        <w:rPr>
          <w:i/>
          <w:color w:val="000000" w:themeColor="text1"/>
        </w:rPr>
        <w:instrText xml:space="preserve"> </w:instrText>
      </w:r>
      <w:r w:rsidRPr="001B7F70">
        <w:rPr>
          <w:i/>
          <w:color w:val="000000" w:themeColor="text1"/>
          <w:lang w:val="en-US"/>
        </w:rPr>
        <w:instrText>vedotin</w:instrText>
      </w:r>
      <w:r w:rsidRPr="001B7F70">
        <w:rPr>
          <w:i/>
          <w:color w:val="000000" w:themeColor="text1"/>
        </w:rPr>
        <w:instrText xml:space="preserve"> </w:instrText>
      </w:r>
      <w:r w:rsidRPr="001B7F70">
        <w:rPr>
          <w:i/>
          <w:color w:val="000000" w:themeColor="text1"/>
          <w:lang w:val="en-US"/>
        </w:rPr>
        <w:instrText>or</w:instrText>
      </w:r>
      <w:r w:rsidRPr="001B7F70">
        <w:rPr>
          <w:i/>
          <w:color w:val="000000" w:themeColor="text1"/>
        </w:rPr>
        <w:instrText xml:space="preserve"> </w:instrText>
      </w:r>
      <w:r w:rsidRPr="001B7F70">
        <w:rPr>
          <w:i/>
          <w:color w:val="000000" w:themeColor="text1"/>
          <w:lang w:val="en-US"/>
        </w:rPr>
        <w:instrText>physician</w:instrText>
      </w:r>
      <w:r w:rsidRPr="001B7F70">
        <w:rPr>
          <w:i/>
          <w:color w:val="000000" w:themeColor="text1"/>
        </w:rPr>
        <w:instrText>'</w:instrText>
      </w:r>
      <w:r w:rsidRPr="001B7F70">
        <w:rPr>
          <w:i/>
          <w:color w:val="000000" w:themeColor="text1"/>
          <w:lang w:val="en-US"/>
        </w:rPr>
        <w:instrText>s</w:instrText>
      </w:r>
      <w:r w:rsidRPr="001B7F70">
        <w:rPr>
          <w:i/>
          <w:color w:val="000000" w:themeColor="text1"/>
        </w:rPr>
        <w:instrText xml:space="preserve"> </w:instrText>
      </w:r>
      <w:r w:rsidRPr="001B7F70">
        <w:rPr>
          <w:i/>
          <w:color w:val="000000" w:themeColor="text1"/>
          <w:lang w:val="en-US"/>
        </w:rPr>
        <w:instrText>choice</w:instrText>
      </w:r>
      <w:r w:rsidRPr="001B7F70">
        <w:rPr>
          <w:i/>
          <w:color w:val="000000" w:themeColor="text1"/>
        </w:rPr>
        <w:instrText xml:space="preserve"> </w:instrText>
      </w:r>
      <w:r w:rsidRPr="001B7F70">
        <w:rPr>
          <w:i/>
          <w:color w:val="000000" w:themeColor="text1"/>
          <w:lang w:val="en-US"/>
        </w:rPr>
        <w:instrText>in</w:instrText>
      </w:r>
      <w:r w:rsidRPr="001B7F70">
        <w:rPr>
          <w:i/>
          <w:color w:val="000000" w:themeColor="text1"/>
        </w:rPr>
        <w:instrText xml:space="preserve"> </w:instrText>
      </w:r>
      <w:r w:rsidRPr="001B7F70">
        <w:rPr>
          <w:i/>
          <w:color w:val="000000" w:themeColor="text1"/>
          <w:lang w:val="en-US"/>
        </w:rPr>
        <w:instrText>CD</w:instrText>
      </w:r>
      <w:r w:rsidRPr="001B7F70">
        <w:rPr>
          <w:i/>
          <w:color w:val="000000" w:themeColor="text1"/>
        </w:rPr>
        <w:instrText>30-</w:instrText>
      </w:r>
      <w:r w:rsidRPr="001B7F70">
        <w:rPr>
          <w:i/>
          <w:color w:val="000000" w:themeColor="text1"/>
          <w:lang w:val="en-US"/>
        </w:rPr>
        <w:instrText>positive</w:instrText>
      </w:r>
      <w:r w:rsidRPr="001B7F70">
        <w:rPr>
          <w:i/>
          <w:color w:val="000000" w:themeColor="text1"/>
        </w:rPr>
        <w:instrText xml:space="preserve"> </w:instrText>
      </w:r>
      <w:r w:rsidRPr="001B7F70">
        <w:rPr>
          <w:i/>
          <w:color w:val="000000" w:themeColor="text1"/>
          <w:lang w:val="en-US"/>
        </w:rPr>
        <w:instrText>cutaneous</w:instrText>
      </w:r>
      <w:r w:rsidRPr="001B7F70">
        <w:rPr>
          <w:i/>
          <w:color w:val="000000" w:themeColor="text1"/>
        </w:rPr>
        <w:instrText xml:space="preserve"> </w:instrText>
      </w:r>
      <w:r w:rsidRPr="001B7F70">
        <w:rPr>
          <w:i/>
          <w:color w:val="000000" w:themeColor="text1"/>
          <w:lang w:val="en-US"/>
        </w:rPr>
        <w:instrText>T</w:instrText>
      </w:r>
      <w:r w:rsidRPr="001B7F70">
        <w:rPr>
          <w:i/>
          <w:color w:val="000000" w:themeColor="text1"/>
        </w:rPr>
        <w:instrText>-</w:instrText>
      </w:r>
      <w:r w:rsidRPr="001B7F70">
        <w:rPr>
          <w:i/>
          <w:color w:val="000000" w:themeColor="text1"/>
          <w:lang w:val="en-US"/>
        </w:rPr>
        <w:instrText>cell</w:instrText>
      </w:r>
      <w:r w:rsidRPr="001B7F70">
        <w:rPr>
          <w:i/>
          <w:color w:val="000000" w:themeColor="text1"/>
        </w:rPr>
        <w:instrText xml:space="preserve"> </w:instrText>
      </w:r>
      <w:r w:rsidRPr="001B7F70">
        <w:rPr>
          <w:i/>
          <w:color w:val="000000" w:themeColor="text1"/>
          <w:lang w:val="en-US"/>
        </w:rPr>
        <w:instrText>lymphoma</w:instrText>
      </w:r>
      <w:r w:rsidRPr="001B7F70">
        <w:rPr>
          <w:i/>
          <w:color w:val="000000" w:themeColor="text1"/>
        </w:rPr>
        <w:instrText xml:space="preserve"> (</w:instrText>
      </w:r>
      <w:r w:rsidRPr="001B7F70">
        <w:rPr>
          <w:i/>
          <w:color w:val="000000" w:themeColor="text1"/>
          <w:lang w:val="en-US"/>
        </w:rPr>
        <w:instrText>ALCANZA</w:instrText>
      </w:r>
      <w:r w:rsidRPr="001B7F70">
        <w:rPr>
          <w:i/>
          <w:color w:val="000000" w:themeColor="text1"/>
        </w:rPr>
        <w:instrText xml:space="preserve">): </w:instrText>
      </w:r>
      <w:r w:rsidRPr="001B7F70">
        <w:rPr>
          <w:i/>
          <w:color w:val="000000" w:themeColor="text1"/>
          <w:lang w:val="en-US"/>
        </w:rPr>
        <w:instrText>an</w:instrText>
      </w:r>
      <w:r w:rsidRPr="001B7F70">
        <w:rPr>
          <w:i/>
          <w:color w:val="000000" w:themeColor="text1"/>
        </w:rPr>
        <w:instrText xml:space="preserve"> </w:instrText>
      </w:r>
      <w:r w:rsidRPr="001B7F70">
        <w:rPr>
          <w:i/>
          <w:color w:val="000000" w:themeColor="text1"/>
          <w:lang w:val="en-US"/>
        </w:rPr>
        <w:instrText>international</w:instrText>
      </w:r>
      <w:r w:rsidRPr="001B7F70">
        <w:rPr>
          <w:i/>
          <w:color w:val="000000" w:themeColor="text1"/>
        </w:rPr>
        <w:instrText xml:space="preserve">, </w:instrText>
      </w:r>
      <w:r w:rsidRPr="001B7F70">
        <w:rPr>
          <w:i/>
          <w:color w:val="000000" w:themeColor="text1"/>
          <w:lang w:val="en-US"/>
        </w:rPr>
        <w:instrText>open</w:instrText>
      </w:r>
      <w:r w:rsidRPr="001B7F70">
        <w:rPr>
          <w:i/>
          <w:color w:val="000000" w:themeColor="text1"/>
        </w:rPr>
        <w:instrText>-</w:instrText>
      </w:r>
      <w:r w:rsidRPr="001B7F70">
        <w:rPr>
          <w:i/>
          <w:color w:val="000000" w:themeColor="text1"/>
          <w:lang w:val="en-US"/>
        </w:rPr>
        <w:instrText>label</w:instrText>
      </w:r>
      <w:r w:rsidRPr="001B7F70">
        <w:rPr>
          <w:i/>
          <w:color w:val="000000" w:themeColor="text1"/>
        </w:rPr>
        <w:instrText xml:space="preserve">, </w:instrText>
      </w:r>
      <w:r w:rsidRPr="001B7F70">
        <w:rPr>
          <w:i/>
          <w:color w:val="000000" w:themeColor="text1"/>
          <w:lang w:val="en-US"/>
        </w:rPr>
        <w:instrText>randomised</w:instrText>
      </w:r>
      <w:r w:rsidRPr="001B7F70">
        <w:rPr>
          <w:i/>
          <w:color w:val="000000" w:themeColor="text1"/>
        </w:rPr>
        <w:instrText xml:space="preserve">, </w:instrText>
      </w:r>
      <w:r w:rsidRPr="001B7F70">
        <w:rPr>
          <w:i/>
          <w:color w:val="000000" w:themeColor="text1"/>
          <w:lang w:val="en-US"/>
        </w:rPr>
        <w:instrText>phase</w:instrText>
      </w:r>
      <w:r w:rsidRPr="001B7F70">
        <w:rPr>
          <w:i/>
          <w:color w:val="000000" w:themeColor="text1"/>
        </w:rPr>
        <w:instrText xml:space="preserve"> 3, </w:instrText>
      </w:r>
      <w:r w:rsidRPr="001B7F70">
        <w:rPr>
          <w:i/>
          <w:color w:val="000000" w:themeColor="text1"/>
          <w:lang w:val="en-US"/>
        </w:rPr>
        <w:instrText>multicentre</w:instrText>
      </w:r>
      <w:r w:rsidRPr="001B7F70">
        <w:rPr>
          <w:i/>
          <w:color w:val="000000" w:themeColor="text1"/>
        </w:rPr>
        <w:instrText xml:space="preserve"> </w:instrText>
      </w:r>
      <w:r w:rsidRPr="001B7F70">
        <w:rPr>
          <w:i/>
          <w:color w:val="000000" w:themeColor="text1"/>
          <w:lang w:val="en-US"/>
        </w:rPr>
        <w:instrText>trial</w:instrText>
      </w:r>
      <w:r w:rsidRPr="001B7F70">
        <w:rPr>
          <w:i/>
          <w:color w:val="000000" w:themeColor="text1"/>
        </w:rPr>
        <w:instrText>","</w:instrText>
      </w:r>
      <w:r w:rsidRPr="001B7F70">
        <w:rPr>
          <w:i/>
          <w:color w:val="000000" w:themeColor="text1"/>
          <w:lang w:val="en-US"/>
        </w:rPr>
        <w:instrText>type</w:instrText>
      </w:r>
      <w:r w:rsidRPr="001B7F70">
        <w:rPr>
          <w:i/>
          <w:color w:val="000000" w:themeColor="text1"/>
        </w:rPr>
        <w:instrText>":"</w:instrText>
      </w:r>
      <w:r w:rsidRPr="001B7F70">
        <w:rPr>
          <w:i/>
          <w:color w:val="000000" w:themeColor="text1"/>
          <w:lang w:val="en-US"/>
        </w:rPr>
        <w:instrText>article</w:instrText>
      </w:r>
      <w:r w:rsidRPr="001B7F70">
        <w:rPr>
          <w:i/>
          <w:color w:val="000000" w:themeColor="text1"/>
        </w:rPr>
        <w:instrText>-</w:instrText>
      </w:r>
      <w:r w:rsidRPr="001B7F70">
        <w:rPr>
          <w:i/>
          <w:color w:val="000000" w:themeColor="text1"/>
          <w:lang w:val="en-US"/>
        </w:rPr>
        <w:instrText>journal</w:instrText>
      </w:r>
      <w:r w:rsidRPr="001B7F70">
        <w:rPr>
          <w:i/>
          <w:color w:val="000000" w:themeColor="text1"/>
        </w:rPr>
        <w:instrText>","</w:instrText>
      </w:r>
      <w:r w:rsidRPr="001B7F70">
        <w:rPr>
          <w:i/>
          <w:color w:val="000000" w:themeColor="text1"/>
          <w:lang w:val="en-US"/>
        </w:rPr>
        <w:instrText>volume</w:instrText>
      </w:r>
      <w:r w:rsidRPr="001B7F70">
        <w:rPr>
          <w:i/>
          <w:color w:val="000000" w:themeColor="text1"/>
        </w:rPr>
        <w:instrText>":"390"},"</w:instrText>
      </w:r>
      <w:r w:rsidRPr="001B7F70">
        <w:rPr>
          <w:i/>
          <w:color w:val="000000" w:themeColor="text1"/>
          <w:lang w:val="en-US"/>
        </w:rPr>
        <w:instrText>uris</w:instrText>
      </w:r>
      <w:r w:rsidRPr="001B7F70">
        <w:rPr>
          <w:i/>
          <w:color w:val="000000" w:themeColor="text1"/>
        </w:rPr>
        <w:instrText>":["</w:instrText>
      </w:r>
      <w:r w:rsidRPr="001B7F70">
        <w:rPr>
          <w:i/>
          <w:color w:val="000000" w:themeColor="text1"/>
          <w:lang w:val="en-US"/>
        </w:rPr>
        <w:instrText>http</w:instrText>
      </w:r>
      <w:r w:rsidRPr="001B7F70">
        <w:rPr>
          <w:i/>
          <w:color w:val="000000" w:themeColor="text1"/>
        </w:rPr>
        <w:instrText>://</w:instrText>
      </w:r>
      <w:r w:rsidRPr="001B7F70">
        <w:rPr>
          <w:i/>
          <w:color w:val="000000" w:themeColor="text1"/>
          <w:lang w:val="en-US"/>
        </w:rPr>
        <w:instrText>www</w:instrText>
      </w:r>
      <w:r w:rsidRPr="001B7F70">
        <w:rPr>
          <w:i/>
          <w:color w:val="000000" w:themeColor="text1"/>
        </w:rPr>
        <w:instrText>.</w:instrText>
      </w:r>
      <w:r w:rsidRPr="001B7F70">
        <w:rPr>
          <w:i/>
          <w:color w:val="000000" w:themeColor="text1"/>
          <w:lang w:val="en-US"/>
        </w:rPr>
        <w:instrText>mendeley</w:instrText>
      </w:r>
      <w:r w:rsidRPr="001B7F70">
        <w:rPr>
          <w:i/>
          <w:color w:val="000000" w:themeColor="text1"/>
        </w:rPr>
        <w:instrText>.</w:instrText>
      </w:r>
      <w:r w:rsidRPr="001B7F70">
        <w:rPr>
          <w:i/>
          <w:color w:val="000000" w:themeColor="text1"/>
          <w:lang w:val="en-US"/>
        </w:rPr>
        <w:instrText>com</w:instrText>
      </w:r>
      <w:r w:rsidRPr="001B7F70">
        <w:rPr>
          <w:i/>
          <w:color w:val="000000" w:themeColor="text1"/>
        </w:rPr>
        <w:instrText>/</w:instrText>
      </w:r>
      <w:r w:rsidRPr="001B7F70">
        <w:rPr>
          <w:i/>
          <w:color w:val="000000" w:themeColor="text1"/>
          <w:lang w:val="en-US"/>
        </w:rPr>
        <w:instrText>documents</w:instrText>
      </w:r>
      <w:r w:rsidRPr="001B7F70">
        <w:rPr>
          <w:i/>
          <w:color w:val="000000" w:themeColor="text1"/>
        </w:rPr>
        <w:instrText>/?</w:instrText>
      </w:r>
      <w:r w:rsidRPr="001B7F70">
        <w:rPr>
          <w:i/>
          <w:color w:val="000000" w:themeColor="text1"/>
          <w:lang w:val="en-US"/>
        </w:rPr>
        <w:instrText>uuid</w:instrText>
      </w:r>
      <w:r w:rsidRPr="001B7F70">
        <w:rPr>
          <w:i/>
          <w:color w:val="000000" w:themeColor="text1"/>
        </w:rPr>
        <w:instrText>=05</w:instrText>
      </w:r>
      <w:r w:rsidRPr="001B7F70">
        <w:rPr>
          <w:i/>
          <w:color w:val="000000" w:themeColor="text1"/>
          <w:lang w:val="en-US"/>
        </w:rPr>
        <w:instrText>f</w:instrText>
      </w:r>
      <w:r w:rsidRPr="001B7F70">
        <w:rPr>
          <w:i/>
          <w:color w:val="000000" w:themeColor="text1"/>
        </w:rPr>
        <w:instrText>771</w:instrText>
      </w:r>
      <w:r w:rsidRPr="001B7F70">
        <w:rPr>
          <w:i/>
          <w:color w:val="000000" w:themeColor="text1"/>
          <w:lang w:val="en-US"/>
        </w:rPr>
        <w:instrText>dd</w:instrText>
      </w:r>
      <w:r w:rsidRPr="001B7F70">
        <w:rPr>
          <w:i/>
          <w:color w:val="000000" w:themeColor="text1"/>
        </w:rPr>
        <w:instrText>-9</w:instrText>
      </w:r>
      <w:r w:rsidRPr="001B7F70">
        <w:rPr>
          <w:i/>
          <w:color w:val="000000" w:themeColor="text1"/>
          <w:lang w:val="en-US"/>
        </w:rPr>
        <w:instrText>ba</w:instrText>
      </w:r>
      <w:r w:rsidRPr="001B7F70">
        <w:rPr>
          <w:i/>
          <w:color w:val="000000" w:themeColor="text1"/>
        </w:rPr>
        <w:instrText>8-3</w:instrText>
      </w:r>
      <w:r w:rsidRPr="001B7F70">
        <w:rPr>
          <w:i/>
          <w:color w:val="000000" w:themeColor="text1"/>
          <w:lang w:val="en-US"/>
        </w:rPr>
        <w:instrText>cfb</w:instrText>
      </w:r>
      <w:r w:rsidRPr="001B7F70">
        <w:rPr>
          <w:i/>
          <w:color w:val="000000" w:themeColor="text1"/>
        </w:rPr>
        <w:instrText>-9</w:instrText>
      </w:r>
      <w:r w:rsidRPr="001B7F70">
        <w:rPr>
          <w:i/>
          <w:color w:val="000000" w:themeColor="text1"/>
          <w:lang w:val="en-US"/>
        </w:rPr>
        <w:instrText>e</w:instrText>
      </w:r>
      <w:r w:rsidRPr="001B7F70">
        <w:rPr>
          <w:i/>
          <w:color w:val="000000" w:themeColor="text1"/>
        </w:rPr>
        <w:instrText>88-6</w:instrText>
      </w:r>
      <w:r w:rsidRPr="001B7F70">
        <w:rPr>
          <w:i/>
          <w:color w:val="000000" w:themeColor="text1"/>
          <w:lang w:val="en-US"/>
        </w:rPr>
        <w:instrText>cfd</w:instrText>
      </w:r>
      <w:r w:rsidRPr="001B7F70">
        <w:rPr>
          <w:i/>
          <w:color w:val="000000" w:themeColor="text1"/>
        </w:rPr>
        <w:instrText>962496</w:instrText>
      </w:r>
      <w:r w:rsidRPr="001B7F70">
        <w:rPr>
          <w:i/>
          <w:color w:val="000000" w:themeColor="text1"/>
          <w:lang w:val="en-US"/>
        </w:rPr>
        <w:instrText>e</w:instrText>
      </w:r>
      <w:r w:rsidRPr="001B7F70">
        <w:rPr>
          <w:i/>
          <w:color w:val="000000" w:themeColor="text1"/>
        </w:rPr>
        <w:instrText>8"]}],"</w:instrText>
      </w:r>
      <w:r w:rsidRPr="001B7F70">
        <w:rPr>
          <w:i/>
          <w:color w:val="000000" w:themeColor="text1"/>
          <w:lang w:val="en-US"/>
        </w:rPr>
        <w:instrText>mendeley</w:instrText>
      </w:r>
      <w:r w:rsidRPr="001B7F70">
        <w:rPr>
          <w:i/>
          <w:color w:val="000000" w:themeColor="text1"/>
        </w:rPr>
        <w:instrText>":{"</w:instrText>
      </w:r>
      <w:r w:rsidRPr="001B7F70">
        <w:rPr>
          <w:i/>
          <w:color w:val="000000" w:themeColor="text1"/>
          <w:lang w:val="en-US"/>
        </w:rPr>
        <w:instrText>formattedCitation</w:instrText>
      </w:r>
      <w:r w:rsidRPr="001B7F70">
        <w:rPr>
          <w:i/>
          <w:color w:val="000000" w:themeColor="text1"/>
        </w:rPr>
        <w:instrText>":"[21]","</w:instrText>
      </w:r>
      <w:r w:rsidRPr="001B7F70">
        <w:rPr>
          <w:i/>
          <w:color w:val="000000" w:themeColor="text1"/>
          <w:lang w:val="en-US"/>
        </w:rPr>
        <w:instrText>plainTextFormattedCitation</w:instrText>
      </w:r>
      <w:r w:rsidRPr="001B7F70">
        <w:rPr>
          <w:i/>
          <w:color w:val="000000" w:themeColor="text1"/>
        </w:rPr>
        <w:instrText>":"[21]","</w:instrText>
      </w:r>
      <w:r w:rsidRPr="001B7F70">
        <w:rPr>
          <w:i/>
          <w:color w:val="000000" w:themeColor="text1"/>
          <w:lang w:val="en-US"/>
        </w:rPr>
        <w:instrText>previouslyFormattedCitation</w:instrText>
      </w:r>
      <w:r w:rsidRPr="001B7F70">
        <w:rPr>
          <w:i/>
          <w:color w:val="000000" w:themeColor="text1"/>
        </w:rPr>
        <w:instrText>":"[21]"},"</w:instrText>
      </w:r>
      <w:r w:rsidRPr="001B7F70">
        <w:rPr>
          <w:i/>
          <w:color w:val="000000" w:themeColor="text1"/>
          <w:lang w:val="en-US"/>
        </w:rPr>
        <w:instrText>properties</w:instrText>
      </w:r>
      <w:r w:rsidRPr="001B7F70">
        <w:rPr>
          <w:i/>
          <w:color w:val="000000" w:themeColor="text1"/>
        </w:rPr>
        <w:instrText>":{"</w:instrText>
      </w:r>
      <w:r w:rsidRPr="001B7F70">
        <w:rPr>
          <w:i/>
          <w:color w:val="000000" w:themeColor="text1"/>
          <w:lang w:val="en-US"/>
        </w:rPr>
        <w:instrText>noteIndex</w:instrText>
      </w:r>
      <w:r w:rsidRPr="001B7F70">
        <w:rPr>
          <w:i/>
          <w:color w:val="000000" w:themeColor="text1"/>
        </w:rPr>
        <w:instrText>":0},"</w:instrText>
      </w:r>
      <w:r w:rsidRPr="001B7F70">
        <w:rPr>
          <w:i/>
          <w:color w:val="000000" w:themeColor="text1"/>
          <w:lang w:val="en-US"/>
        </w:rPr>
        <w:instrText>schema</w:instrText>
      </w:r>
      <w:r w:rsidRPr="001B7F70">
        <w:rPr>
          <w:i/>
          <w:color w:val="000000" w:themeColor="text1"/>
        </w:rPr>
        <w:instrText>":"</w:instrText>
      </w:r>
      <w:r w:rsidRPr="001B7F70">
        <w:rPr>
          <w:i/>
          <w:color w:val="000000" w:themeColor="text1"/>
          <w:lang w:val="en-US"/>
        </w:rPr>
        <w:instrText>https</w:instrText>
      </w:r>
      <w:r w:rsidRPr="001B7F70">
        <w:rPr>
          <w:i/>
          <w:color w:val="000000" w:themeColor="text1"/>
        </w:rPr>
        <w:instrText>://</w:instrText>
      </w:r>
      <w:r w:rsidRPr="001B7F70">
        <w:rPr>
          <w:i/>
          <w:color w:val="000000" w:themeColor="text1"/>
          <w:lang w:val="en-US"/>
        </w:rPr>
        <w:instrText>github</w:instrText>
      </w:r>
      <w:r w:rsidRPr="001B7F70">
        <w:rPr>
          <w:i/>
          <w:color w:val="000000" w:themeColor="text1"/>
        </w:rPr>
        <w:instrText>.</w:instrText>
      </w:r>
      <w:r w:rsidRPr="001B7F70">
        <w:rPr>
          <w:i/>
          <w:color w:val="000000" w:themeColor="text1"/>
          <w:lang w:val="en-US"/>
        </w:rPr>
        <w:instrText>com</w:instrText>
      </w:r>
      <w:r w:rsidRPr="001B7F70">
        <w:rPr>
          <w:i/>
          <w:color w:val="000000" w:themeColor="text1"/>
        </w:rPr>
        <w:instrText>/</w:instrText>
      </w:r>
      <w:r w:rsidRPr="001B7F70">
        <w:rPr>
          <w:i/>
          <w:color w:val="000000" w:themeColor="text1"/>
          <w:lang w:val="en-US"/>
        </w:rPr>
        <w:instrText>citation</w:instrText>
      </w:r>
      <w:r w:rsidRPr="001B7F70">
        <w:rPr>
          <w:i/>
          <w:color w:val="000000" w:themeColor="text1"/>
        </w:rPr>
        <w:instrText>-</w:instrText>
      </w:r>
      <w:r w:rsidRPr="001B7F70">
        <w:rPr>
          <w:i/>
          <w:color w:val="000000" w:themeColor="text1"/>
          <w:lang w:val="en-US"/>
        </w:rPr>
        <w:instrText>style</w:instrText>
      </w:r>
      <w:r w:rsidRPr="001B7F70">
        <w:rPr>
          <w:i/>
          <w:color w:val="000000" w:themeColor="text1"/>
        </w:rPr>
        <w:instrText>-</w:instrText>
      </w:r>
      <w:r w:rsidRPr="001B7F70">
        <w:rPr>
          <w:i/>
          <w:color w:val="000000" w:themeColor="text1"/>
          <w:lang w:val="en-US"/>
        </w:rPr>
        <w:instrText>language</w:instrText>
      </w:r>
      <w:r w:rsidRPr="001B7F70">
        <w:rPr>
          <w:i/>
          <w:color w:val="000000" w:themeColor="text1"/>
        </w:rPr>
        <w:instrText>/</w:instrText>
      </w:r>
      <w:r w:rsidRPr="001B7F70">
        <w:rPr>
          <w:i/>
          <w:color w:val="000000" w:themeColor="text1"/>
          <w:lang w:val="en-US"/>
        </w:rPr>
        <w:instrText>schema</w:instrText>
      </w:r>
      <w:r w:rsidRPr="001B7F70">
        <w:rPr>
          <w:i/>
          <w:color w:val="000000" w:themeColor="text1"/>
        </w:rPr>
        <w:instrText>/</w:instrText>
      </w:r>
      <w:r w:rsidRPr="001B7F70">
        <w:rPr>
          <w:i/>
          <w:color w:val="000000" w:themeColor="text1"/>
          <w:lang w:val="en-US"/>
        </w:rPr>
        <w:instrText>raw</w:instrText>
      </w:r>
      <w:r w:rsidRPr="001B7F70">
        <w:rPr>
          <w:i/>
          <w:color w:val="000000" w:themeColor="text1"/>
        </w:rPr>
        <w:instrText>/</w:instrText>
      </w:r>
      <w:r w:rsidRPr="001B7F70">
        <w:rPr>
          <w:i/>
          <w:color w:val="000000" w:themeColor="text1"/>
          <w:lang w:val="en-US"/>
        </w:rPr>
        <w:instrText>master</w:instrText>
      </w:r>
      <w:r w:rsidRPr="001B7F70">
        <w:rPr>
          <w:i/>
          <w:color w:val="000000" w:themeColor="text1"/>
        </w:rPr>
        <w:instrText>/</w:instrText>
      </w:r>
      <w:r w:rsidRPr="001B7F70">
        <w:rPr>
          <w:i/>
          <w:color w:val="000000" w:themeColor="text1"/>
          <w:lang w:val="en-US"/>
        </w:rPr>
        <w:instrText>csl</w:instrText>
      </w:r>
      <w:r w:rsidRPr="001B7F70">
        <w:rPr>
          <w:i/>
          <w:color w:val="000000" w:themeColor="text1"/>
        </w:rPr>
        <w:instrText>-</w:instrText>
      </w:r>
      <w:r w:rsidRPr="001B7F70">
        <w:rPr>
          <w:i/>
          <w:color w:val="000000" w:themeColor="text1"/>
          <w:lang w:val="en-US"/>
        </w:rPr>
        <w:instrText>citation</w:instrText>
      </w:r>
      <w:r w:rsidRPr="001B7F70">
        <w:rPr>
          <w:i/>
          <w:color w:val="000000" w:themeColor="text1"/>
        </w:rPr>
        <w:instrText>.</w:instrText>
      </w:r>
      <w:r w:rsidRPr="001B7F70">
        <w:rPr>
          <w:i/>
          <w:color w:val="000000" w:themeColor="text1"/>
          <w:lang w:val="en-US"/>
        </w:rPr>
        <w:instrText>json</w:instrText>
      </w:r>
      <w:r w:rsidRPr="001B7F70">
        <w:rPr>
          <w:i/>
          <w:color w:val="000000" w:themeColor="text1"/>
        </w:rPr>
        <w:instrText>"}</w:instrText>
      </w:r>
      <w:r w:rsidR="00062499" w:rsidRPr="001B7F70">
        <w:rPr>
          <w:i/>
          <w:color w:val="000000" w:themeColor="text1"/>
          <w:lang w:val="en-US"/>
        </w:rPr>
        <w:fldChar w:fldCharType="separate"/>
      </w:r>
      <w:r w:rsidRPr="001B7F70">
        <w:rPr>
          <w:noProof/>
          <w:color w:val="000000" w:themeColor="text1"/>
          <w:lang w:val="en-US"/>
        </w:rPr>
        <w:t>[21]</w:t>
      </w:r>
      <w:r w:rsidR="00062499" w:rsidRPr="001B7F70">
        <w:rPr>
          <w:i/>
          <w:color w:val="000000" w:themeColor="text1"/>
          <w:lang w:val="en-US"/>
        </w:rPr>
        <w:fldChar w:fldCharType="end"/>
      </w:r>
      <w:r w:rsidR="000C307B">
        <w:rPr>
          <w:rStyle w:val="A00"/>
          <w:rFonts w:cs="Times New Roman"/>
          <w:b w:val="0"/>
          <w:i/>
          <w:color w:val="000000" w:themeColor="text1"/>
          <w:sz w:val="24"/>
          <w:szCs w:val="24"/>
        </w:rPr>
        <w:t>, повышения</w:t>
      </w:r>
      <w:r w:rsidR="000C307B">
        <w:rPr>
          <w:rStyle w:val="A00"/>
          <w:rFonts w:cs="Times New Roman"/>
          <w:b w:val="0"/>
          <w:i/>
          <w:color w:val="000000" w:themeColor="text1"/>
          <w:sz w:val="24"/>
          <w:szCs w:val="24"/>
          <w:lang w:val="en-US"/>
        </w:rPr>
        <w:t xml:space="preserve"> </w:t>
      </w:r>
      <w:r w:rsidR="000C307B">
        <w:rPr>
          <w:rStyle w:val="A00"/>
          <w:rFonts w:cs="Times New Roman"/>
          <w:b w:val="0"/>
          <w:i/>
          <w:color w:val="000000" w:themeColor="text1"/>
          <w:sz w:val="24"/>
          <w:szCs w:val="24"/>
        </w:rPr>
        <w:t>печеночных</w:t>
      </w:r>
      <w:r w:rsidR="000C307B">
        <w:rPr>
          <w:rStyle w:val="A00"/>
          <w:rFonts w:cs="Times New Roman"/>
          <w:b w:val="0"/>
          <w:i/>
          <w:color w:val="000000" w:themeColor="text1"/>
          <w:sz w:val="24"/>
          <w:szCs w:val="24"/>
          <w:lang w:val="en-US"/>
        </w:rPr>
        <w:t xml:space="preserve"> </w:t>
      </w:r>
      <w:r w:rsidR="000C307B">
        <w:rPr>
          <w:rStyle w:val="A00"/>
          <w:rFonts w:cs="Times New Roman"/>
          <w:b w:val="0"/>
          <w:i/>
          <w:color w:val="000000" w:themeColor="text1"/>
          <w:sz w:val="24"/>
          <w:szCs w:val="24"/>
        </w:rPr>
        <w:t>трансаминаз</w:t>
      </w:r>
      <w:r w:rsidR="00062499" w:rsidRPr="0073723C">
        <w:rPr>
          <w:rStyle w:val="A00"/>
          <w:rFonts w:cs="Times New Roman"/>
          <w:b w:val="0"/>
          <w:i/>
          <w:color w:val="000000" w:themeColor="text1"/>
          <w:sz w:val="24"/>
          <w:szCs w:val="24"/>
          <w:lang w:val="en-US"/>
        </w:rPr>
        <w:fldChar w:fldCharType="begin" w:fldLock="1"/>
      </w:r>
      <w:r w:rsidR="000C307B">
        <w:rPr>
          <w:rStyle w:val="A00"/>
          <w:rFonts w:cs="Times New Roman"/>
          <w:b w:val="0"/>
          <w:i/>
          <w:color w:val="000000" w:themeColor="text1"/>
          <w:sz w:val="24"/>
          <w:szCs w:val="24"/>
          <w:lang w:val="en-US"/>
        </w:rPr>
        <w:instrText>ADDIN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CSL</w:instrText>
      </w:r>
      <w:r w:rsidRPr="001B7F70">
        <w:rPr>
          <w:rStyle w:val="A00"/>
          <w:rFonts w:cs="Times New Roman"/>
          <w:b w:val="0"/>
          <w:i/>
          <w:color w:val="000000" w:themeColor="text1"/>
          <w:sz w:val="24"/>
          <w:szCs w:val="24"/>
        </w:rPr>
        <w:instrText>_</w:instrText>
      </w:r>
      <w:r w:rsidR="000C307B">
        <w:rPr>
          <w:rStyle w:val="A00"/>
          <w:rFonts w:cs="Times New Roman"/>
          <w:b w:val="0"/>
          <w:i/>
          <w:color w:val="000000" w:themeColor="text1"/>
          <w:sz w:val="24"/>
          <w:szCs w:val="24"/>
          <w:lang w:val="en-US"/>
        </w:rPr>
        <w:instrText>CITATION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citationItems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id</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ITEM</w:instrText>
      </w:r>
      <w:r w:rsidRPr="001B7F70">
        <w:rPr>
          <w:rStyle w:val="A00"/>
          <w:rFonts w:cs="Times New Roman"/>
          <w:b w:val="0"/>
          <w:i/>
          <w:color w:val="000000" w:themeColor="text1"/>
          <w:sz w:val="24"/>
          <w:szCs w:val="24"/>
        </w:rPr>
        <w:instrText>-1","</w:instrText>
      </w:r>
      <w:r w:rsidR="000C307B">
        <w:rPr>
          <w:rStyle w:val="A00"/>
          <w:rFonts w:cs="Times New Roman"/>
          <w:b w:val="0"/>
          <w:i/>
          <w:color w:val="000000" w:themeColor="text1"/>
          <w:sz w:val="24"/>
          <w:szCs w:val="24"/>
          <w:lang w:val="en-US"/>
        </w:rPr>
        <w:instrText>itemData</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DOI</w:instrText>
      </w:r>
      <w:r w:rsidRPr="001B7F70">
        <w:rPr>
          <w:rStyle w:val="A00"/>
          <w:rFonts w:cs="Times New Roman"/>
          <w:b w:val="0"/>
          <w:i/>
          <w:color w:val="000000" w:themeColor="text1"/>
          <w:sz w:val="24"/>
          <w:szCs w:val="24"/>
        </w:rPr>
        <w:instrText>":"10.21037/</w:instrText>
      </w:r>
      <w:r w:rsidR="000C307B">
        <w:rPr>
          <w:rStyle w:val="A00"/>
          <w:rFonts w:cs="Times New Roman"/>
          <w:b w:val="0"/>
          <w:i/>
          <w:color w:val="000000" w:themeColor="text1"/>
          <w:sz w:val="24"/>
          <w:szCs w:val="24"/>
          <w:lang w:val="en-US"/>
        </w:rPr>
        <w:instrText>cco</w:instrText>
      </w:r>
      <w:r w:rsidRPr="001B7F70">
        <w:rPr>
          <w:rStyle w:val="A00"/>
          <w:rFonts w:cs="Times New Roman"/>
          <w:b w:val="0"/>
          <w:i/>
          <w:color w:val="000000" w:themeColor="text1"/>
          <w:sz w:val="24"/>
          <w:szCs w:val="24"/>
        </w:rPr>
        <w:instrText>.2019.01.02","</w:instrText>
      </w:r>
      <w:r w:rsidR="000C307B">
        <w:rPr>
          <w:rStyle w:val="A00"/>
          <w:rFonts w:cs="Times New Roman"/>
          <w:b w:val="0"/>
          <w:i/>
          <w:color w:val="000000" w:themeColor="text1"/>
          <w:sz w:val="24"/>
          <w:szCs w:val="24"/>
          <w:lang w:val="en-US"/>
        </w:rPr>
        <w:instrText>ISSN</w:instrText>
      </w:r>
      <w:r w:rsidRPr="001B7F70">
        <w:rPr>
          <w:rStyle w:val="A00"/>
          <w:rFonts w:cs="Times New Roman"/>
          <w:b w:val="0"/>
          <w:i/>
          <w:color w:val="000000" w:themeColor="text1"/>
          <w:sz w:val="24"/>
          <w:szCs w:val="24"/>
        </w:rPr>
        <w:instrText>":"23043873","</w:instrText>
      </w:r>
      <w:r w:rsidR="000C307B">
        <w:rPr>
          <w:rStyle w:val="A00"/>
          <w:rFonts w:cs="Times New Roman"/>
          <w:b w:val="0"/>
          <w:i/>
          <w:color w:val="000000" w:themeColor="text1"/>
          <w:sz w:val="24"/>
          <w:szCs w:val="24"/>
          <w:lang w:val="en-US"/>
        </w:rPr>
        <w:instrText>PMID</w:instrText>
      </w:r>
      <w:r w:rsidRPr="001B7F70">
        <w:rPr>
          <w:rStyle w:val="A00"/>
          <w:rFonts w:cs="Times New Roman"/>
          <w:b w:val="0"/>
          <w:i/>
          <w:color w:val="000000" w:themeColor="text1"/>
          <w:sz w:val="24"/>
          <w:szCs w:val="24"/>
        </w:rPr>
        <w:instrText>":"30818958","</w:instrText>
      </w:r>
      <w:r w:rsidR="000C307B">
        <w:rPr>
          <w:rStyle w:val="A00"/>
          <w:rFonts w:cs="Times New Roman"/>
          <w:b w:val="0"/>
          <w:i/>
          <w:color w:val="000000" w:themeColor="text1"/>
          <w:sz w:val="24"/>
          <w:szCs w:val="24"/>
          <w:lang w:val="en-US"/>
        </w:rPr>
        <w:instrText>abstract</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Cutaneous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cell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lymphomas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CTCLs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are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heterogeneous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relatively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rare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family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extranodal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non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Hodgkin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lymphomas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NHL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that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are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primarily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localized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to</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skin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Most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patients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present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with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cutaneous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patches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plaques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tumors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more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rarely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with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erythroderma</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type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skin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lesions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surface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extent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skin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involvement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well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presence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extracutaneous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disease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are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most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important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prognostic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factors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patients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with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CTCL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Patients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with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early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stage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disease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can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be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effectively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treated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with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skin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directed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therapies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only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disease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progresses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systemic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therapy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often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becomes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necessary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this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review</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will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provide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overview</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systemic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treatment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options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for</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CTCL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including</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mechanism</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action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efficacy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side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effects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discuss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current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principles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for</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rational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combination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therapy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sequential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use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Systemic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therapy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strategies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have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been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evolving</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with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recent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FDA</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approval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new</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monoclonal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antibodies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such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brentuximab</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vedotin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mogamulizumab</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to</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established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drugs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such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retinoids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interferons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IFNs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HDAC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inhibitors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Numerous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new</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agents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are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currently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being</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studied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clinical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trials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Identifying</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genetic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molecular</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immunologic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features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CTCL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that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are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associated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with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disease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progression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drug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resistance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immune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impairment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will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optimize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utilization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existing</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therapies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facilitate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development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new</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ones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author</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family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Alpdogan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given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Onder</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names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false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suffix</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family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Kartan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given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Saritha</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names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false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suffix</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family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Johnson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given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William</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names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false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suffix</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family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Sokol</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given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Kelsey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names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false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suffix</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family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Porcu</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given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Pierluigi</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names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false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suffix</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container</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title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Chinese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Clinical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Oncology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id</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ITEM</w:instrText>
      </w:r>
      <w:r w:rsidRPr="001B7F70">
        <w:rPr>
          <w:rStyle w:val="A00"/>
          <w:rFonts w:cs="Times New Roman"/>
          <w:b w:val="0"/>
          <w:i/>
          <w:color w:val="000000" w:themeColor="text1"/>
          <w:sz w:val="24"/>
          <w:szCs w:val="24"/>
        </w:rPr>
        <w:instrText>-1","</w:instrText>
      </w:r>
      <w:r w:rsidR="000C307B">
        <w:rPr>
          <w:rStyle w:val="A00"/>
          <w:rFonts w:cs="Times New Roman"/>
          <w:b w:val="0"/>
          <w:i/>
          <w:color w:val="000000" w:themeColor="text1"/>
          <w:sz w:val="24"/>
          <w:szCs w:val="24"/>
          <w:lang w:val="en-US"/>
        </w:rPr>
        <w:instrText>issue</w:instrText>
      </w:r>
      <w:r w:rsidRPr="001B7F70">
        <w:rPr>
          <w:rStyle w:val="A00"/>
          <w:rFonts w:cs="Times New Roman"/>
          <w:b w:val="0"/>
          <w:i/>
          <w:color w:val="000000" w:themeColor="text1"/>
          <w:sz w:val="24"/>
          <w:szCs w:val="24"/>
        </w:rPr>
        <w:instrText>":"1","</w:instrText>
      </w:r>
      <w:r w:rsidR="000C307B">
        <w:rPr>
          <w:rStyle w:val="A00"/>
          <w:rFonts w:cs="Times New Roman"/>
          <w:b w:val="0"/>
          <w:i/>
          <w:color w:val="000000" w:themeColor="text1"/>
          <w:sz w:val="24"/>
          <w:szCs w:val="24"/>
          <w:lang w:val="en-US"/>
        </w:rPr>
        <w:instrText>issued</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date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parts</w:instrText>
      </w:r>
      <w:r w:rsidRPr="001B7F70">
        <w:rPr>
          <w:rStyle w:val="A00"/>
          <w:rFonts w:cs="Times New Roman"/>
          <w:b w:val="0"/>
          <w:i/>
          <w:color w:val="000000" w:themeColor="text1"/>
          <w:sz w:val="24"/>
          <w:szCs w:val="24"/>
        </w:rPr>
        <w:instrText>":[["2019","2","1"]]},"</w:instrText>
      </w:r>
      <w:r w:rsidR="000C307B">
        <w:rPr>
          <w:rStyle w:val="A00"/>
          <w:rFonts w:cs="Times New Roman"/>
          <w:b w:val="0"/>
          <w:i/>
          <w:color w:val="000000" w:themeColor="text1"/>
          <w:sz w:val="24"/>
          <w:szCs w:val="24"/>
          <w:lang w:val="en-US"/>
        </w:rPr>
        <w:instrText>publisher</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AME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Publishing</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Company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title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Systemic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therapy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cutaneous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cell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lymphoma</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CTCL</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type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volume</w:instrText>
      </w:r>
      <w:r w:rsidRPr="001B7F70">
        <w:rPr>
          <w:rStyle w:val="A00"/>
          <w:rFonts w:cs="Times New Roman"/>
          <w:b w:val="0"/>
          <w:i/>
          <w:color w:val="000000" w:themeColor="text1"/>
          <w:sz w:val="24"/>
          <w:szCs w:val="24"/>
        </w:rPr>
        <w:instrText>":"8"},"</w:instrText>
      </w:r>
      <w:r w:rsidR="000C307B">
        <w:rPr>
          <w:rStyle w:val="A00"/>
          <w:rFonts w:cs="Times New Roman"/>
          <w:b w:val="0"/>
          <w:i/>
          <w:color w:val="000000" w:themeColor="text1"/>
          <w:sz w:val="24"/>
          <w:szCs w:val="24"/>
          <w:lang w:val="en-US"/>
        </w:rPr>
        <w:instrText>uris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http</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www</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mendeley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com</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documents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uuid</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ea</w:instrText>
      </w:r>
      <w:r w:rsidRPr="001B7F70">
        <w:rPr>
          <w:rStyle w:val="A00"/>
          <w:rFonts w:cs="Times New Roman"/>
          <w:b w:val="0"/>
          <w:i/>
          <w:color w:val="000000" w:themeColor="text1"/>
          <w:sz w:val="24"/>
          <w:szCs w:val="24"/>
        </w:rPr>
        <w:instrText>636674-932</w:instrText>
      </w:r>
      <w:r w:rsidR="000C307B">
        <w:rPr>
          <w:rStyle w:val="A00"/>
          <w:rFonts w:cs="Times New Roman"/>
          <w:b w:val="0"/>
          <w:i/>
          <w:color w:val="000000" w:themeColor="text1"/>
          <w:sz w:val="24"/>
          <w:szCs w:val="24"/>
          <w:lang w:val="en-US"/>
        </w:rPr>
        <w:instrText>b</w:instrText>
      </w:r>
      <w:r w:rsidRPr="001B7F70">
        <w:rPr>
          <w:rStyle w:val="A00"/>
          <w:rFonts w:cs="Times New Roman"/>
          <w:b w:val="0"/>
          <w:i/>
          <w:color w:val="000000" w:themeColor="text1"/>
          <w:sz w:val="24"/>
          <w:szCs w:val="24"/>
        </w:rPr>
        <w:instrText>-3</w:instrText>
      </w:r>
      <w:r w:rsidR="000C307B">
        <w:rPr>
          <w:rStyle w:val="A00"/>
          <w:rFonts w:cs="Times New Roman"/>
          <w:b w:val="0"/>
          <w:i/>
          <w:color w:val="000000" w:themeColor="text1"/>
          <w:sz w:val="24"/>
          <w:szCs w:val="24"/>
          <w:lang w:val="en-US"/>
        </w:rPr>
        <w:instrText>f</w:instrText>
      </w:r>
      <w:r w:rsidRPr="001B7F70">
        <w:rPr>
          <w:rStyle w:val="A00"/>
          <w:rFonts w:cs="Times New Roman"/>
          <w:b w:val="0"/>
          <w:i/>
          <w:color w:val="000000" w:themeColor="text1"/>
          <w:sz w:val="24"/>
          <w:szCs w:val="24"/>
        </w:rPr>
        <w:instrText>54-8538-555</w:instrText>
      </w:r>
      <w:r w:rsidR="000C307B">
        <w:rPr>
          <w:rStyle w:val="A00"/>
          <w:rFonts w:cs="Times New Roman"/>
          <w:b w:val="0"/>
          <w:i/>
          <w:color w:val="000000" w:themeColor="text1"/>
          <w:sz w:val="24"/>
          <w:szCs w:val="24"/>
          <w:lang w:val="en-US"/>
        </w:rPr>
        <w:instrText>e</w:instrText>
      </w:r>
      <w:r w:rsidRPr="001B7F70">
        <w:rPr>
          <w:rStyle w:val="A00"/>
          <w:rFonts w:cs="Times New Roman"/>
          <w:b w:val="0"/>
          <w:i/>
          <w:color w:val="000000" w:themeColor="text1"/>
          <w:sz w:val="24"/>
          <w:szCs w:val="24"/>
        </w:rPr>
        <w:instrText>536</w:instrText>
      </w:r>
      <w:r w:rsidR="000C307B">
        <w:rPr>
          <w:rStyle w:val="A00"/>
          <w:rFonts w:cs="Times New Roman"/>
          <w:b w:val="0"/>
          <w:i/>
          <w:color w:val="000000" w:themeColor="text1"/>
          <w:sz w:val="24"/>
          <w:szCs w:val="24"/>
          <w:lang w:val="en-US"/>
        </w:rPr>
        <w:instrText>a</w:instrText>
      </w:r>
      <w:r w:rsidRPr="001B7F70">
        <w:rPr>
          <w:rStyle w:val="A00"/>
          <w:rFonts w:cs="Times New Roman"/>
          <w:b w:val="0"/>
          <w:i/>
          <w:color w:val="000000" w:themeColor="text1"/>
          <w:sz w:val="24"/>
          <w:szCs w:val="24"/>
        </w:rPr>
        <w:instrText>261</w:instrText>
      </w:r>
      <w:r w:rsidR="000C307B">
        <w:rPr>
          <w:rStyle w:val="A00"/>
          <w:rFonts w:cs="Times New Roman"/>
          <w:b w:val="0"/>
          <w:i/>
          <w:color w:val="000000" w:themeColor="text1"/>
          <w:sz w:val="24"/>
          <w:szCs w:val="24"/>
          <w:lang w:val="en-US"/>
        </w:rPr>
        <w:instrText>f</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mendeley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formattedCitation</w:instrText>
      </w:r>
      <w:r w:rsidRPr="001B7F70">
        <w:rPr>
          <w:rStyle w:val="A00"/>
          <w:rFonts w:cs="Times New Roman"/>
          <w:b w:val="0"/>
          <w:i/>
          <w:color w:val="000000" w:themeColor="text1"/>
          <w:sz w:val="24"/>
          <w:szCs w:val="24"/>
        </w:rPr>
        <w:instrText>":"[23]","</w:instrText>
      </w:r>
      <w:r w:rsidR="000C307B">
        <w:rPr>
          <w:rStyle w:val="A00"/>
          <w:rFonts w:cs="Times New Roman"/>
          <w:b w:val="0"/>
          <w:i/>
          <w:color w:val="000000" w:themeColor="text1"/>
          <w:sz w:val="24"/>
          <w:szCs w:val="24"/>
          <w:lang w:val="en-US"/>
        </w:rPr>
        <w:instrText>plainTextFormattedCitation</w:instrText>
      </w:r>
      <w:r w:rsidRPr="001B7F70">
        <w:rPr>
          <w:rStyle w:val="A00"/>
          <w:rFonts w:cs="Times New Roman"/>
          <w:b w:val="0"/>
          <w:i/>
          <w:color w:val="000000" w:themeColor="text1"/>
          <w:sz w:val="24"/>
          <w:szCs w:val="24"/>
        </w:rPr>
        <w:instrText>":"[23]","</w:instrText>
      </w:r>
      <w:r w:rsidR="000C307B">
        <w:rPr>
          <w:rStyle w:val="A00"/>
          <w:rFonts w:cs="Times New Roman"/>
          <w:b w:val="0"/>
          <w:i/>
          <w:color w:val="000000" w:themeColor="text1"/>
          <w:sz w:val="24"/>
          <w:szCs w:val="24"/>
          <w:lang w:val="en-US"/>
        </w:rPr>
        <w:instrText>previouslyFormattedCitation</w:instrText>
      </w:r>
      <w:r w:rsidRPr="001B7F70">
        <w:rPr>
          <w:rStyle w:val="A00"/>
          <w:rFonts w:cs="Times New Roman"/>
          <w:b w:val="0"/>
          <w:i/>
          <w:color w:val="000000" w:themeColor="text1"/>
          <w:sz w:val="24"/>
          <w:szCs w:val="24"/>
        </w:rPr>
        <w:instrText>":"[23]"},"</w:instrText>
      </w:r>
      <w:r w:rsidR="000C307B">
        <w:rPr>
          <w:rStyle w:val="A00"/>
          <w:rFonts w:cs="Times New Roman"/>
          <w:b w:val="0"/>
          <w:i/>
          <w:color w:val="000000" w:themeColor="text1"/>
          <w:sz w:val="24"/>
          <w:szCs w:val="24"/>
          <w:lang w:val="en-US"/>
        </w:rPr>
        <w:instrText>properties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noteIndex</w:instrText>
      </w:r>
      <w:r w:rsidRPr="001B7F70">
        <w:rPr>
          <w:rStyle w:val="A00"/>
          <w:rFonts w:cs="Times New Roman"/>
          <w:b w:val="0"/>
          <w:i/>
          <w:color w:val="000000" w:themeColor="text1"/>
          <w:sz w:val="24"/>
          <w:szCs w:val="24"/>
        </w:rPr>
        <w:instrText>":0},"</w:instrText>
      </w:r>
      <w:r w:rsidR="000C307B">
        <w:rPr>
          <w:rStyle w:val="A00"/>
          <w:rFonts w:cs="Times New Roman"/>
          <w:b w:val="0"/>
          <w:i/>
          <w:color w:val="000000" w:themeColor="text1"/>
          <w:sz w:val="24"/>
          <w:szCs w:val="24"/>
          <w:lang w:val="en-US"/>
        </w:rPr>
        <w:instrText>schema</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https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github</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com</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citation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style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language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schema</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raw</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master</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csl</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citation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json</w:instrText>
      </w:r>
      <w:r w:rsidRPr="001B7F70">
        <w:rPr>
          <w:rStyle w:val="A00"/>
          <w:rFonts w:cs="Times New Roman"/>
          <w:b w:val="0"/>
          <w:i/>
          <w:color w:val="000000" w:themeColor="text1"/>
          <w:sz w:val="24"/>
          <w:szCs w:val="24"/>
        </w:rPr>
        <w:instrText>"}</w:instrText>
      </w:r>
      <w:r w:rsidR="00062499" w:rsidRPr="0073723C">
        <w:rPr>
          <w:rStyle w:val="A00"/>
          <w:rFonts w:cs="Times New Roman"/>
          <w:b w:val="0"/>
          <w:i/>
          <w:color w:val="000000" w:themeColor="text1"/>
          <w:sz w:val="24"/>
          <w:szCs w:val="24"/>
          <w:lang w:val="en-US"/>
        </w:rPr>
        <w:fldChar w:fldCharType="separate"/>
      </w:r>
      <w:r w:rsidR="000C307B">
        <w:rPr>
          <w:rStyle w:val="A00"/>
          <w:rFonts w:cs="Times New Roman"/>
          <w:b w:val="0"/>
          <w:noProof/>
          <w:color w:val="000000" w:themeColor="text1"/>
          <w:sz w:val="24"/>
          <w:szCs w:val="24"/>
          <w:lang w:val="en-US"/>
        </w:rPr>
        <w:t>[23]</w:t>
      </w:r>
      <w:r w:rsidR="00062499" w:rsidRPr="0073723C">
        <w:rPr>
          <w:rStyle w:val="A00"/>
          <w:rFonts w:cs="Times New Roman"/>
          <w:b w:val="0"/>
          <w:i/>
          <w:color w:val="000000" w:themeColor="text1"/>
          <w:sz w:val="24"/>
          <w:szCs w:val="24"/>
          <w:lang w:val="en-US"/>
        </w:rPr>
        <w:fldChar w:fldCharType="end"/>
      </w:r>
      <w:r w:rsidRPr="001B7F70">
        <w:rPr>
          <w:i/>
          <w:color w:val="000000" w:themeColor="text1"/>
        </w:rPr>
        <w:t>.</w:t>
      </w:r>
    </w:p>
    <w:p w:rsidR="00B46390" w:rsidRPr="0073723C" w:rsidRDefault="001B7F70" w:rsidP="0021676E">
      <w:pPr>
        <w:pStyle w:val="2"/>
        <w:divId w:val="266810958"/>
      </w:pPr>
      <w:bookmarkStart w:id="22" w:name="_Toc84161277"/>
      <w:r w:rsidRPr="001B7F70">
        <w:t>2.4 Инструментальные диагностические исследования</w:t>
      </w:r>
      <w:bookmarkEnd w:id="22"/>
    </w:p>
    <w:p w:rsidR="005C6F8A" w:rsidRPr="0073723C" w:rsidRDefault="001B7F70" w:rsidP="00387631">
      <w:pPr>
        <w:pStyle w:val="afff7"/>
        <w:divId w:val="266810958"/>
      </w:pPr>
      <w:r w:rsidRPr="001B7F70">
        <w:rPr>
          <w:b/>
        </w:rPr>
        <w:t xml:space="preserve">Рекомендуется </w:t>
      </w:r>
      <w:r w:rsidRPr="001B7F70">
        <w:t>всем пациентам с грибовидным микозом</w:t>
      </w:r>
      <w:r w:rsidR="004C4AEF">
        <w:t xml:space="preserve"> </w:t>
      </w:r>
      <w:r w:rsidRPr="001B7F70">
        <w:rPr>
          <w:bCs/>
        </w:rPr>
        <w:t xml:space="preserve">проведение </w:t>
      </w:r>
      <w:r w:rsidRPr="001B7F70">
        <w:t xml:space="preserve">ультразвукового </w:t>
      </w:r>
      <w:r w:rsidR="00CE089D" w:rsidRPr="0073723C">
        <w:t>исследования лимфатических узлов</w:t>
      </w:r>
      <w:r w:rsidR="0017134D" w:rsidRPr="0073723C">
        <w:t xml:space="preserve"> (периферически</w:t>
      </w:r>
      <w:r w:rsidR="004C4AEF">
        <w:t>х</w:t>
      </w:r>
      <w:r w:rsidR="0017134D" w:rsidRPr="0073723C">
        <w:t>)</w:t>
      </w:r>
      <w:r w:rsidR="00CE089D" w:rsidRPr="0073723C">
        <w:t xml:space="preserve"> для определения степени их вовлеченности в патологический процесс и стадии заболевания</w:t>
      </w:r>
      <w:r w:rsidR="00F70149" w:rsidRPr="0073723C">
        <w:t xml:space="preserve"> </w:t>
      </w:r>
      <w:r w:rsidR="00062499" w:rsidRPr="001B7F70">
        <w:rPr>
          <w:i/>
          <w:color w:val="000000" w:themeColor="text1"/>
        </w:rPr>
        <w:fldChar w:fldCharType="begin" w:fldLock="1"/>
      </w:r>
      <w:r w:rsidRPr="001B7F70">
        <w:rPr>
          <w:i/>
          <w:color w:val="000000" w:themeColor="text1"/>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Network","id":"ITEM-2","issue":"4","issued":{"date-parts":[["2008"]]},"page":"436-442","publisher":"Jones and Bartlett Publishers","title":"Review of the treatment of mycosis fungoides and Sézary syndrome: A stage-based approach","type":"article","volume":"6"},"uris":["http://www.mendeley.com/documents/?uuid=8c24f6d3-1d66-3630-96e4-a59fd5e84bd6"]},{"id":"ITEM-3","itemData":{"DOI":"10.1182/blood-2007-03-055749","ISSN":"00064971","PMID":"17540844","abstract":"The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-3","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[3,6,7]","plainTextFormattedCitation":"[3,6,7]","previouslyFormattedCitation":"[3,6,7]"},"properties":{"noteIndex":0},"schema":"https://github.com/citation-style-language/schema/raw/master/csl-citation.json"}</w:instrText>
      </w:r>
      <w:r w:rsidR="00062499" w:rsidRPr="001B7F70">
        <w:rPr>
          <w:i/>
          <w:color w:val="000000" w:themeColor="text1"/>
        </w:rPr>
        <w:fldChar w:fldCharType="separate"/>
      </w:r>
      <w:r w:rsidRPr="001B7F70">
        <w:rPr>
          <w:noProof/>
          <w:color w:val="000000" w:themeColor="text1"/>
        </w:rPr>
        <w:t>[3,6,7]</w:t>
      </w:r>
      <w:r w:rsidR="00062499" w:rsidRPr="001B7F70">
        <w:rPr>
          <w:i/>
          <w:color w:val="000000" w:themeColor="text1"/>
        </w:rPr>
        <w:fldChar w:fldCharType="end"/>
      </w:r>
      <w:r w:rsidRPr="001B7F70">
        <w:rPr>
          <w:szCs w:val="24"/>
        </w:rPr>
        <w:t>.</w:t>
      </w:r>
    </w:p>
    <w:p w:rsidR="005C6F8A" w:rsidRPr="0073723C" w:rsidRDefault="000C307B">
      <w:pPr>
        <w:pStyle w:val="afff9"/>
        <w:divId w:val="266810958"/>
      </w:pPr>
      <w:r>
        <w:rPr>
          <w:rStyle w:val="affa"/>
          <w:b/>
          <w:bCs w:val="0"/>
        </w:rPr>
        <w:t xml:space="preserve">Уровень убедительности рекомендаций </w:t>
      </w:r>
      <w:r>
        <w:rPr>
          <w:rStyle w:val="affa"/>
          <w:b/>
          <w:bCs w:val="0"/>
        </w:rPr>
        <w:softHyphen/>
        <w:t xml:space="preserve">С </w:t>
      </w:r>
      <w:r w:rsidR="001B7F70" w:rsidRPr="001B7F70">
        <w:t>(уровень достоверности доказательств – 5)</w:t>
      </w:r>
    </w:p>
    <w:p w:rsidR="009F210E" w:rsidRPr="0073723C" w:rsidRDefault="000C307B" w:rsidP="009F210E">
      <w:pPr>
        <w:pStyle w:val="afb"/>
        <w:spacing w:beforeAutospacing="0" w:afterAutospacing="0" w:line="360" w:lineRule="auto"/>
        <w:ind w:left="709" w:firstLine="0"/>
        <w:divId w:val="266810958"/>
        <w:rPr>
          <w:i/>
        </w:rPr>
      </w:pPr>
      <w:r w:rsidRPr="000C307B">
        <w:rPr>
          <w:b/>
        </w:rPr>
        <w:t xml:space="preserve">Комментарии: </w:t>
      </w:r>
      <w:r w:rsidR="001B7F70" w:rsidRPr="001B7F70">
        <w:rPr>
          <w:i/>
          <w:color w:val="000000" w:themeColor="text1"/>
        </w:rPr>
        <w:t>данный метод исследования применяется с целью подтверждения  или выявления лимфаденопатии и/или мониторинга состояния у пациентов с ранними стадиями грибовидного микоза (</w:t>
      </w:r>
      <w:r>
        <w:rPr>
          <w:rStyle w:val="tlid-translation"/>
          <w:color w:val="000000" w:themeColor="text1"/>
        </w:rPr>
        <w:t>T1N0B0, T2N0B0).</w:t>
      </w:r>
      <w:r>
        <w:rPr>
          <w:i/>
          <w:color w:val="000000" w:themeColor="text1"/>
        </w:rPr>
        <w:t xml:space="preserve"> Выявление изменений лимфатических узлов, обусловленных патологической пролиферацией Т-лимфоцитов, свидетельствует о прогрессировании грибовидного микоза и необходимости проведения дополнительных исследований </w:t>
      </w:r>
      <w:r w:rsidR="00062499" w:rsidRPr="0073723C">
        <w:rPr>
          <w:color w:val="000000" w:themeColor="text1"/>
          <w:lang w:eastAsia="zh-CN"/>
        </w:rPr>
        <w:fldChar w:fldCharType="begin" w:fldLock="1"/>
      </w:r>
      <w:r>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062499" w:rsidRPr="0073723C">
        <w:rPr>
          <w:color w:val="000000" w:themeColor="text1"/>
          <w:lang w:eastAsia="zh-CN"/>
        </w:rPr>
        <w:fldChar w:fldCharType="separate"/>
      </w:r>
      <w:r w:rsidR="00F70149" w:rsidRPr="0073723C">
        <w:rPr>
          <w:noProof/>
          <w:color w:val="000000" w:themeColor="text1"/>
          <w:lang w:eastAsia="zh-CN"/>
        </w:rPr>
        <w:t>[6]</w:t>
      </w:r>
      <w:r w:rsidR="00062499" w:rsidRPr="0073723C">
        <w:rPr>
          <w:color w:val="000000" w:themeColor="text1"/>
          <w:lang w:eastAsia="zh-CN"/>
        </w:rPr>
        <w:fldChar w:fldCharType="end"/>
      </w:r>
      <w:r w:rsidR="00CE089D" w:rsidRPr="0073723C">
        <w:rPr>
          <w:i/>
        </w:rPr>
        <w:t>.</w:t>
      </w:r>
    </w:p>
    <w:p w:rsidR="005C6F8A" w:rsidRPr="0073723C" w:rsidRDefault="00CE089D" w:rsidP="00DA504B">
      <w:pPr>
        <w:numPr>
          <w:ilvl w:val="0"/>
          <w:numId w:val="16"/>
        </w:numPr>
        <w:tabs>
          <w:tab w:val="num" w:pos="1134"/>
        </w:tabs>
        <w:ind w:left="709" w:hanging="709"/>
        <w:divId w:val="266810958"/>
      </w:pPr>
      <w:r w:rsidRPr="0073723C">
        <w:rPr>
          <w:b/>
        </w:rPr>
        <w:t xml:space="preserve">Рекомендуется </w:t>
      </w:r>
      <w:r w:rsidRPr="0073723C">
        <w:t>всем пациентам с грибовидным микозом</w:t>
      </w:r>
      <w:r w:rsidR="00734E29" w:rsidRPr="0073723C">
        <w:t xml:space="preserve"> </w:t>
      </w:r>
      <w:r w:rsidRPr="0073723C">
        <w:t>проведение</w:t>
      </w:r>
      <w:r w:rsidR="0017134D" w:rsidRPr="0073723C">
        <w:t xml:space="preserve"> прицельной</w:t>
      </w:r>
      <w:r w:rsidRPr="0073723C">
        <w:t xml:space="preserve"> рентгенографии органов грудной клетки </w:t>
      </w:r>
      <w:r w:rsidR="00062499" w:rsidRPr="0073723C">
        <w:rPr>
          <w:i/>
          <w:color w:val="000000" w:themeColor="text1"/>
        </w:rPr>
        <w:fldChar w:fldCharType="begin" w:fldLock="1"/>
      </w:r>
      <w:r w:rsidR="000C307B">
        <w:rPr>
          <w:i/>
          <w:color w:val="000000" w:themeColor="text1"/>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Network","id":"ITEM-2","issue":"4","issued":{"date-parts":[["2008"]]},"page":"436-442","publisher":"Jones and Bartlett Publishers","title":"Review of the treatment of mycosis fungoides and Sézary syndrome: A stage-based approach","type":"article","volume":"6"},"uris":["http://www.mendeley.com/documents/?uuid=8c24f6d3-1d66-3630-96e4-a59fd5e84bd6"]},{"id":"ITEM-3","itemData":{"DOI":"10.1182/blood-2007-03-055749","ISSN":"00064971","PMID":"17540844","abstract":"The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-3","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[3,6,7]","plainTextFormattedCitation":"[3,6,7]","previouslyFormattedCitation":"[3,6,7]"},"properties":{"noteIndex":0},"schema":"https://github.com/citation-style-language/schema/raw/master/csl-citation.json"}</w:instrText>
      </w:r>
      <w:r w:rsidR="00062499" w:rsidRPr="0073723C">
        <w:rPr>
          <w:i/>
          <w:color w:val="000000" w:themeColor="text1"/>
        </w:rPr>
        <w:fldChar w:fldCharType="separate"/>
      </w:r>
      <w:r w:rsidR="00734E29" w:rsidRPr="0073723C">
        <w:rPr>
          <w:noProof/>
          <w:color w:val="000000" w:themeColor="text1"/>
        </w:rPr>
        <w:t>[3,6,7]</w:t>
      </w:r>
      <w:r w:rsidR="00062499" w:rsidRPr="0073723C">
        <w:rPr>
          <w:i/>
          <w:color w:val="000000" w:themeColor="text1"/>
        </w:rPr>
        <w:fldChar w:fldCharType="end"/>
      </w:r>
      <w:r w:rsidRPr="0073723C">
        <w:rPr>
          <w:szCs w:val="24"/>
        </w:rPr>
        <w:t>.</w:t>
      </w:r>
    </w:p>
    <w:p w:rsidR="00795281" w:rsidRPr="0073723C" w:rsidRDefault="00CE089D" w:rsidP="00795281">
      <w:pPr>
        <w:pStyle w:val="afb"/>
        <w:tabs>
          <w:tab w:val="num" w:pos="1134"/>
        </w:tabs>
        <w:spacing w:beforeAutospacing="0" w:afterAutospacing="0" w:line="360" w:lineRule="auto"/>
        <w:ind w:left="709" w:firstLine="0"/>
        <w:divId w:val="266810958"/>
        <w:rPr>
          <w:b/>
        </w:rPr>
      </w:pPr>
      <w:r w:rsidRPr="0073723C">
        <w:rPr>
          <w:rStyle w:val="affa"/>
        </w:rPr>
        <w:t xml:space="preserve">Уровень убедительности рекомендаций </w:t>
      </w:r>
      <w:r w:rsidRPr="0073723C">
        <w:rPr>
          <w:rStyle w:val="affa"/>
        </w:rPr>
        <w:softHyphen/>
        <w:t>С</w:t>
      </w:r>
      <w:r w:rsidR="00734E29" w:rsidRPr="0073723C">
        <w:rPr>
          <w:rStyle w:val="affa"/>
        </w:rPr>
        <w:t xml:space="preserve"> </w:t>
      </w:r>
      <w:r w:rsidRPr="0073723C">
        <w:rPr>
          <w:b/>
        </w:rPr>
        <w:t>(уровень достоверности доказательств – 5)</w:t>
      </w:r>
    </w:p>
    <w:p w:rsidR="009F210E" w:rsidRPr="0073723C" w:rsidRDefault="000C307B" w:rsidP="00795281">
      <w:pPr>
        <w:pStyle w:val="afb"/>
        <w:spacing w:beforeAutospacing="0" w:afterAutospacing="0" w:line="360" w:lineRule="auto"/>
        <w:ind w:left="709" w:firstLine="0"/>
        <w:divId w:val="266810958"/>
        <w:rPr>
          <w:i/>
        </w:rPr>
      </w:pPr>
      <w:r>
        <w:rPr>
          <w:b/>
        </w:rPr>
        <w:t xml:space="preserve">Комментарии: </w:t>
      </w:r>
      <w:r>
        <w:rPr>
          <w:i/>
          <w:color w:val="000000" w:themeColor="text1"/>
        </w:rPr>
        <w:t>данный метод исследования применяется с целью подтверждения отсутствия или наличия лимфаденопатии и/или мониторинга состояния у пациентов с ранними стадиями грибовидного микоза (</w:t>
      </w:r>
      <w:r>
        <w:rPr>
          <w:rStyle w:val="tlid-translation"/>
          <w:color w:val="000000" w:themeColor="text1"/>
        </w:rPr>
        <w:t>T1N0B0, T2N0B0).</w:t>
      </w:r>
      <w:r>
        <w:rPr>
          <w:i/>
          <w:color w:val="000000" w:themeColor="text1"/>
        </w:rPr>
        <w:t xml:space="preserve"> Выявление изменений лимфатических узлов, обусловленных патологической пролиферацией Т-</w:t>
      </w:r>
      <w:r>
        <w:rPr>
          <w:i/>
          <w:color w:val="000000" w:themeColor="text1"/>
        </w:rPr>
        <w:lastRenderedPageBreak/>
        <w:t xml:space="preserve">лимфоцитов, свидетельствует о прогрессировании грибовидного микоза и необходимости проведения дополнительных исследований </w:t>
      </w:r>
      <w:r w:rsidR="00062499" w:rsidRPr="0073723C">
        <w:rPr>
          <w:color w:val="000000" w:themeColor="text1"/>
          <w:lang w:eastAsia="zh-CN"/>
        </w:rPr>
        <w:fldChar w:fldCharType="begin" w:fldLock="1"/>
      </w:r>
      <w:r>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062499" w:rsidRPr="0073723C">
        <w:rPr>
          <w:color w:val="000000" w:themeColor="text1"/>
          <w:lang w:eastAsia="zh-CN"/>
        </w:rPr>
        <w:fldChar w:fldCharType="separate"/>
      </w:r>
      <w:r w:rsidR="00734E29" w:rsidRPr="0073723C">
        <w:rPr>
          <w:noProof/>
          <w:color w:val="000000" w:themeColor="text1"/>
          <w:lang w:eastAsia="zh-CN"/>
        </w:rPr>
        <w:t>[6]</w:t>
      </w:r>
      <w:r w:rsidR="00062499" w:rsidRPr="0073723C">
        <w:rPr>
          <w:color w:val="000000" w:themeColor="text1"/>
          <w:lang w:eastAsia="zh-CN"/>
        </w:rPr>
        <w:fldChar w:fldCharType="end"/>
      </w:r>
      <w:r w:rsidR="00CE089D" w:rsidRPr="0073723C">
        <w:rPr>
          <w:i/>
        </w:rPr>
        <w:t xml:space="preserve">. </w:t>
      </w:r>
    </w:p>
    <w:p w:rsidR="004102DD" w:rsidRPr="0073723C" w:rsidRDefault="00CE089D" w:rsidP="00FD1C29">
      <w:pPr>
        <w:pStyle w:val="afff7"/>
        <w:divId w:val="266810958"/>
      </w:pPr>
      <w:r w:rsidRPr="0073723C">
        <w:rPr>
          <w:b/>
        </w:rPr>
        <w:t xml:space="preserve">Рекомендуется </w:t>
      </w:r>
      <w:r w:rsidRPr="0073723C">
        <w:t>проведение магнитно-резонансной томографии или позитронно-эмиссионной томографии, совмещенной с компьютерной томографией (ПЭТ/КТ), органов грудной полости, брюшной полости и малого таза для выявления потенциальной вовлеченности в патологический процесс</w:t>
      </w:r>
      <w:r w:rsidR="00734E29" w:rsidRPr="0073723C">
        <w:t xml:space="preserve"> </w:t>
      </w:r>
      <w:r w:rsidRPr="0073723C">
        <w:t>лимфатических узлов и внутренних органов у пациентов с грибовидным микозом на поздних стадиях и/или обнаружении измененных периферических лимфатических узлов при обследовании</w:t>
      </w:r>
      <w:r w:rsidR="000C307B">
        <w:t xml:space="preserve"> </w:t>
      </w:r>
      <w:r w:rsidR="00062499" w:rsidRPr="0073723C">
        <w:rPr>
          <w:i/>
          <w:color w:val="000000" w:themeColor="text1"/>
        </w:rPr>
        <w:fldChar w:fldCharType="begin" w:fldLock="1"/>
      </w:r>
      <w:r w:rsidR="000C307B">
        <w:rPr>
          <w:i/>
          <w:color w:val="000000" w:themeColor="text1"/>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Network","id":"ITEM-2","issue":"4","issued":{"date-parts":[["2008"]]},"page":"436-442","publisher":"Jones and Bartlett Publishers","title":"Review of the treatment of mycosis fungoides and Sézary syndrome: A stage-based approach","type":"article","volume":"6"},"uris":["http://www.mendeley.com/documents/?uuid=8c24f6d3-1d66-3630-96e4-a59fd5e84bd6"]},{"id":"ITEM-3","itemData":{"DOI":"10.1182/blood-2007-03-055749","ISSN":"00064971","PMID":"17540844","abstract":"The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-3","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[3,6,7]","plainTextFormattedCitation":"[3,6,7]","previouslyFormattedCitation":"[3,6,7]"},"properties":{"noteIndex":0},"schema":"https://github.com/citation-style-language/schema/raw/master/csl-citation.json"}</w:instrText>
      </w:r>
      <w:r w:rsidR="00062499" w:rsidRPr="0073723C">
        <w:rPr>
          <w:i/>
          <w:color w:val="000000" w:themeColor="text1"/>
        </w:rPr>
        <w:fldChar w:fldCharType="separate"/>
      </w:r>
      <w:r w:rsidR="000C307B">
        <w:rPr>
          <w:noProof/>
          <w:color w:val="000000" w:themeColor="text1"/>
        </w:rPr>
        <w:t>[3,6,7]</w:t>
      </w:r>
      <w:r w:rsidR="00062499" w:rsidRPr="0073723C">
        <w:rPr>
          <w:i/>
          <w:color w:val="000000" w:themeColor="text1"/>
        </w:rPr>
        <w:fldChar w:fldCharType="end"/>
      </w:r>
      <w:r w:rsidR="000C307B">
        <w:rPr>
          <w:szCs w:val="24"/>
        </w:rPr>
        <w:t>.</w:t>
      </w:r>
    </w:p>
    <w:p w:rsidR="004102DD" w:rsidRPr="0073723C" w:rsidRDefault="000C307B" w:rsidP="00FD1C29">
      <w:pPr>
        <w:pStyle w:val="afb"/>
        <w:tabs>
          <w:tab w:val="num" w:pos="1134"/>
        </w:tabs>
        <w:spacing w:beforeAutospacing="0" w:afterAutospacing="0" w:line="360" w:lineRule="auto"/>
        <w:ind w:left="709" w:firstLine="0"/>
        <w:divId w:val="266810958"/>
        <w:rPr>
          <w:b/>
        </w:rPr>
      </w:pPr>
      <w:r>
        <w:rPr>
          <w:rStyle w:val="affa"/>
        </w:rPr>
        <w:t xml:space="preserve">Уровень убедительности рекомендаций С </w:t>
      </w:r>
      <w:r w:rsidRPr="000C307B">
        <w:rPr>
          <w:b/>
        </w:rPr>
        <w:t>(уровень достоверности доказательств – 5)</w:t>
      </w:r>
    </w:p>
    <w:p w:rsidR="00B30A33" w:rsidRPr="0073723C" w:rsidRDefault="000C307B" w:rsidP="00795281">
      <w:pPr>
        <w:pStyle w:val="afb"/>
        <w:tabs>
          <w:tab w:val="num" w:pos="1134"/>
        </w:tabs>
        <w:spacing w:beforeAutospacing="0" w:afterAutospacing="0" w:line="360" w:lineRule="auto"/>
        <w:ind w:left="709" w:firstLine="0"/>
        <w:divId w:val="266810958"/>
        <w:rPr>
          <w:i/>
        </w:rPr>
      </w:pPr>
      <w:r w:rsidRPr="000C307B">
        <w:rPr>
          <w:b/>
        </w:rPr>
        <w:t xml:space="preserve">Комментарии: </w:t>
      </w:r>
      <w:r w:rsidR="001B7F70" w:rsidRPr="001B7F70">
        <w:rPr>
          <w:i/>
        </w:rPr>
        <w:t xml:space="preserve">выявление изменений лимфатических узлов или внутренних органов, обусловленных патологической пролиферацией Т-лимфоцитов, свидетельствует о </w:t>
      </w:r>
      <w:r w:rsidR="001B7F70" w:rsidRPr="001B7F70">
        <w:rPr>
          <w:i/>
          <w:color w:val="000000" w:themeColor="text1"/>
        </w:rPr>
        <w:t xml:space="preserve">развитии поздних стадий </w:t>
      </w:r>
      <w:r w:rsidR="001B7F70" w:rsidRPr="001B7F70">
        <w:rPr>
          <w:i/>
        </w:rPr>
        <w:t>грибовидного микоза.</w:t>
      </w:r>
    </w:p>
    <w:p w:rsidR="00B46390" w:rsidRPr="0073723C" w:rsidRDefault="001B7F70" w:rsidP="00B104EF">
      <w:pPr>
        <w:pStyle w:val="2"/>
        <w:divId w:val="266810958"/>
      </w:pPr>
      <w:bookmarkStart w:id="23" w:name="_Toc84161278"/>
      <w:r w:rsidRPr="001B7F70">
        <w:t>2.5 Иные диагностические исследования</w:t>
      </w:r>
      <w:bookmarkEnd w:id="23"/>
    </w:p>
    <w:p w:rsidR="00660D84" w:rsidRPr="0073723C" w:rsidRDefault="000C307B" w:rsidP="00660D84">
      <w:pPr>
        <w:pStyle w:val="afb"/>
        <w:numPr>
          <w:ilvl w:val="0"/>
          <w:numId w:val="14"/>
        </w:numPr>
        <w:tabs>
          <w:tab w:val="left" w:pos="709"/>
          <w:tab w:val="left" w:pos="1418"/>
        </w:tabs>
        <w:spacing w:beforeAutospacing="0" w:afterAutospacing="0" w:line="360" w:lineRule="auto"/>
        <w:ind w:left="709" w:hanging="709"/>
        <w:divId w:val="266810958"/>
        <w:rPr>
          <w:rStyle w:val="affb"/>
          <w:b/>
          <w:i w:val="0"/>
        </w:rPr>
      </w:pPr>
      <w:r>
        <w:rPr>
          <w:rStyle w:val="affa"/>
        </w:rPr>
        <w:t xml:space="preserve">Рекомендуется </w:t>
      </w:r>
      <w:r>
        <w:rPr>
          <w:rStyle w:val="affa"/>
          <w:b w:val="0"/>
        </w:rPr>
        <w:t xml:space="preserve">всем пациентам с подозрением на грибовидный микоз проведение </w:t>
      </w:r>
      <w:r w:rsidR="001B7F70" w:rsidRPr="001B7F70">
        <w:rPr>
          <w:color w:val="000000" w:themeColor="text1"/>
        </w:rPr>
        <w:t xml:space="preserve">патолого-анатомического исследования биопсийного (операционного) материала кожи </w:t>
      </w:r>
      <w:r>
        <w:rPr>
          <w:rStyle w:val="affa"/>
          <w:b w:val="0"/>
        </w:rPr>
        <w:t xml:space="preserve">из очага поражения для верификации диагноза </w:t>
      </w:r>
      <w:r w:rsidR="00062499" w:rsidRPr="0073723C">
        <w:rPr>
          <w:color w:val="000000" w:themeColor="text1"/>
          <w:lang w:eastAsia="zh-CN"/>
        </w:rPr>
        <w:fldChar w:fldCharType="begin" w:fldLock="1"/>
      </w:r>
      <w:r w:rsidR="001B7F70" w:rsidRPr="001B7F70">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S.","non-dropping-particle":"","parse-names":false,"suffix":""}],"container-title":"Blood","id":"ITEM-2","issued":{"date-parts":[["2016"]]},"title":"The 2016 revision of the World Health Organization classification of lymphoid neoplasms","type":"article"},"uris":["http://www.mendeley.com/documents/?uuid=2e1bb83c-740d-40bd-94c4-e417b27d8e8e"]},{"id":"ITEM-3","itemData":{"DOI":"10.1034/j.1600-0560.2001.028004174.x","ISSN":"03036987","PMID":"11426824","abstract":"Background: The histological diagnosis of early lesions of mycosis fungoides (MF) is often difficult for dermatopathologists and prior studies have shown a low agreement rate among pathologists. An important reason for such difficulty may be the lack of specific histological criteria. Methods: We tested a new method to interpret and report biopsies suspicious for MF. The method is based on a grading system reflecting the pathologist's degree of diagnostic certainty. A panel of four pathologists independently assessed a set of 50 biopsies suspicious for MF first without (Phase I) and subsequently with specific histological criteria (Phase II). A third Phase was carried out after a training session, using a new set of cases with corresponding immunophenotyping and gene rearrangement analysis. Weighted and unweighted kappa statistics were used to assess inter- and intra-pathologist variation. Results: The consensus rate among pathologists improved from 48% in Phase I to 76% in Phase III. Overall precision weighted kappas increased from 0.630 in Phase I to 0.854 in Phase III, indicating excellent inter-pathologist agreement by Phase III. There was a significant association between the presence of an abnormal phenotype and/or T-cell clonality and a higher diagnostic score. Conclusions: The use of uniform criteria and training sessions can substantially improve the consensus rate among pathologists in the diagnosis of MF.","author":[{"dropping-particle":"","family":"Guitart","given":"Joan","non-dropping-particle":"","parse-names":false,"suffix":""},{"dropping-particle":"","family":"Kennedy","given":"John","non-dropping-particle":"","parse-names":false,"suffix":""},{"dropping-particle":"","family":"Ronan","given":"Salve","non-dropping-particle":"","parse-names":false,"suffix":""},{"dropping-particle":"","family":"Chmiel","given":"Joan S.","non-dropping-particle":"","parse-names":false,"suffix":""},{"dropping-particle":"","family":"Hsiegh","given":"Yi Ching","non-dropping-particle":"","parse-names":false,"suffix":""},{"dropping-particle":"","family":"Variakojis","given":"Daina","non-dropping-particle":"","parse-names":false,"suffix":""}],"container-title":"Journal of Cutaneous Pathology","id":"ITEM-3","issue":"4","issued":{"date-parts":[["2001"]]},"page":"174-183","publisher":"J Cutan Pathol","title":"Histologic criteria for the diagnosis of mycosis fungoides: Proposal for a grading system to standardize pathology reporting","type":"article-journal","volume":"28"},"uris":["http://www.mendeley.com/documents/?uuid=d2364a0b-31c8-358e-9e50-d9800e4005c2"]},{"id":"ITEM-4","itemData":{"DOI":"10.12788/j.sder.2018.003","ISBN":"10855629/13","author":[{"dropping-particle":"","family":"Raghavan","given":"Shyam S","non-dropping-particle":"","parse-names":false,"suffix":""},{"dropping-particle":"","family":"Kim","given":"Jinah","non-dropping-particle":"","parse-names":false,"suffix":""}],"id":"ITEM-4","issued":{"date-parts":[["2018"]]},"title":"Histopathologic approach to epidermotropic lymphocytic infiltrates","type":"article-journal"},"uris":["http://www.mendeley.com/documents/?uuid=50aa02cc-168f-3d69-8a69-a0fdb9b2b8f3"]},{"id":"ITEM-5","itemData":{"DOI":"10.12788/j.sder.2018.015","ISSN":"15580768","abstract":"The histopathological diagnosis of dermal-based lymphoid infiltrates and proliferations is often challenging due to the vast list of biologically diverse entities that archetypally or occasionally center in the mid-dermis, especially because significant overlap exists in their clinical, histopathologic, and immunophenotypic features. The differential diagnosis includes reactive infiltrates in common and rare inflammatory dermatoses, benign conditions that may mimic lymphoid neoplasms (pseudolymphomas), and true clonal proliferations arising either primarily in the skin or rarely in extracutaneous tissues with secondary cutaneous dissemination. While numerous histopathological and immunophenotypic features have been reported to support a definitive diagnosis, no single ancillary test is sufficient for their distinction. Therefore, in this review we advocate a stepped histopathological approach for dermalbased lymphoid infiltrations, employing as key elements the general lymphocytic composition (relative B- versus T-cell ratio), coupled with the predominant cytomorphology (cell size) present. Following this strategy, the relative incidence of cutaneous involvement by each disease should always be considered, as well as the notion that a definitive diagnosis must be founded on a multiparameter approach integrating all clinical, histopathologic, immunophenotypic, and-in selected cases-molecular features.","author":[{"dropping-particle":"","family":"Charli-Joseph","given":"Yann","non-dropping-particle":"","parse-names":false,"suffix":""},{"dropping-particle":"","family":"Toussaint-Caire","given":"Sonia","non-dropping-particle":"","parse-names":false,"suffix":""},{"dropping-particle":"","family":"Lome-Maldonado","given":"Carmen","non-dropping-particle":"","parse-names":false,"suffix":""},{"dropping-particle":"","family":"Oca","given":"Daniel Montante Montes","non-dropping-particle":"de","parse-names":false,"suffix":""},{"dropping-particle":"","family":"Ortiz-Hidalgo","given":"Carlos","non-dropping-particle":"","parse-names":false,"suffix":""}],"container-title":"Seminars in Cutaneous Medicine and Surgery","id":"ITEM-5","issue":"1","issued":{"date-parts":[["2018","3","1"]]},"page":"61-74","publisher":"Frontline Medical Communications","title":"Approach to dermal-based lymphoid infiltrates and proliferations","type":"article-journal","volume":"37"},"uris":["http://www.mendeley.com/documents/?uuid=6eb7352d-e131-324d-a2f0-1279c8ea017c"]}],"mendeley":{"formattedCitation":"[6,24–27]","plainTextFormattedCitation":"[6,24–27]","previouslyFormattedCitation":"[6,24–27]"},"properties":{"noteIndex":0},"schema":"https://github.com/citation-style-language/schema/raw/master/csl-citation.json"}</w:instrText>
      </w:r>
      <w:r w:rsidR="00062499" w:rsidRPr="0073723C">
        <w:rPr>
          <w:color w:val="000000" w:themeColor="text1"/>
          <w:lang w:eastAsia="zh-CN"/>
        </w:rPr>
        <w:fldChar w:fldCharType="separate"/>
      </w:r>
      <w:r w:rsidR="000D098F" w:rsidRPr="0073723C">
        <w:rPr>
          <w:noProof/>
          <w:color w:val="000000" w:themeColor="text1"/>
          <w:lang w:eastAsia="zh-CN"/>
        </w:rPr>
        <w:t>[6,24–27]</w:t>
      </w:r>
      <w:r w:rsidR="00062499" w:rsidRPr="0073723C">
        <w:rPr>
          <w:color w:val="000000" w:themeColor="text1"/>
          <w:lang w:eastAsia="zh-CN"/>
        </w:rPr>
        <w:fldChar w:fldCharType="end"/>
      </w:r>
      <w:r w:rsidR="00CE089D" w:rsidRPr="0073723C">
        <w:rPr>
          <w:rStyle w:val="affb"/>
          <w:i w:val="0"/>
        </w:rPr>
        <w:t>.</w:t>
      </w:r>
    </w:p>
    <w:p w:rsidR="00660D84" w:rsidRPr="0073723C" w:rsidRDefault="00CE089D" w:rsidP="00660D84">
      <w:pPr>
        <w:pStyle w:val="afb"/>
        <w:tabs>
          <w:tab w:val="left" w:pos="1276"/>
          <w:tab w:val="left" w:pos="1418"/>
        </w:tabs>
        <w:spacing w:beforeAutospacing="0" w:afterAutospacing="0" w:line="360" w:lineRule="auto"/>
        <w:ind w:left="709" w:firstLine="0"/>
        <w:divId w:val="266810958"/>
        <w:rPr>
          <w:i/>
          <w:color w:val="000000" w:themeColor="text1"/>
        </w:rPr>
      </w:pPr>
      <w:r w:rsidRPr="0073723C">
        <w:rPr>
          <w:rStyle w:val="affb"/>
          <w:i w:val="0"/>
          <w:color w:val="000000" w:themeColor="text1"/>
        </w:rPr>
        <w:t xml:space="preserve">При проведении </w:t>
      </w:r>
      <w:r w:rsidRPr="0073723C">
        <w:rPr>
          <w:color w:val="000000" w:themeColor="text1"/>
        </w:rPr>
        <w:t>патолого-анатомического исследования</w:t>
      </w:r>
      <w:r w:rsidRPr="0073723C">
        <w:rPr>
          <w:rStyle w:val="affb"/>
          <w:i w:val="0"/>
          <w:color w:val="000000" w:themeColor="text1"/>
        </w:rPr>
        <w:t xml:space="preserve"> необходимо учитывать клеточный состав дермального инфильтрата и его расположение. Основными диагностическими критериями являются</w:t>
      </w:r>
      <w:r w:rsidR="000D098F" w:rsidRPr="0073723C">
        <w:rPr>
          <w:rStyle w:val="affb"/>
          <w:i w:val="0"/>
          <w:color w:val="000000" w:themeColor="text1"/>
        </w:rPr>
        <w:t xml:space="preserve"> </w:t>
      </w:r>
      <w:r w:rsidR="00062499" w:rsidRPr="0073723C">
        <w:rPr>
          <w:color w:val="000000" w:themeColor="text1"/>
          <w:lang w:eastAsia="zh-CN"/>
        </w:rPr>
        <w:fldChar w:fldCharType="begin" w:fldLock="1"/>
      </w:r>
      <w:r w:rsidR="001B7F70" w:rsidRPr="001B7F70">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S.","non-dropping-particle":"","parse-names":false,"suffix":""}],"container-title":"Blood","id":"ITEM-2","issued":{"date-parts":[["2016"]]},"title":"The 2016 revision of the World Health Organization classification of lymphoid neoplasms","type":"article"},"uris":["http://www.mendeley.com/documents/?uuid=2e1bb83c-740d-40bd-94c4-e417b27d8e8e"]},{"id":"ITEM-3","itemData":{"DOI":"10.1034/j.1600-0560.2001.028004174.x","ISSN":"03036987","PMID":"11426824","abstract":"Background: The histological diagnosis of early lesions of mycosis fungoides (MF) is often difficult for dermatopathologists and prior studies have shown a low agreement rate among pathologists. An important reason for such difficulty may be the lack of specific histological criteria. Methods: We tested a new method to interpret and report biopsies suspicious for MF. The method is based on a grading system reflecting the pathologist's degree of diagnostic certainty. A panel of four pathologists independently assessed a set of 50 biopsies suspicious for MF first without (Phase I) and subsequently with specific histological criteria (Phase II). A third Phase was carried out after a training session, using a new set of cases with corresponding immunophenotyping and gene rearrangement analysis. Weighted and unweighted kappa statistics were used to assess inter- and intra-pathologist variation. Results: The consensus rate among pathologists improved from 48% in Phase I to 76% in Phase III. Overall precision weighted kappas increased from 0.630 in Phase I to 0.854 in Phase III, indicating excellent inter-pathologist agreement by Phase III. There was a significant association between the presence of an abnormal phenotype and/or T-cell clonality and a higher diagnostic score. Conclusions: The use of uniform criteria and training sessions can substantially improve the consensus rate among pathologists in the diagnosis of MF.","author":[{"dropping-particle":"","family":"Guitart","given":"Joan","non-dropping-particle":"","parse-names":false,"suffix":""},{"dropping-particle":"","family":"Kennedy","given":"John","non-dropping-particle":"","parse-names":false,"suffix":""},{"dropping-particle":"","family":"Ronan","given":"Salve","non-dropping-particle":"","parse-names":false,"suffix":""},{"dropping-particle":"","family":"Chmiel","given":"Joan S.","non-dropping-particle":"","parse-names":false,"suffix":""},{"dropping-particle":"","family":"Hsiegh","given":"Yi Ching","non-dropping-particle":"","parse-names":false,"suffix":""},{"dropping-particle":"","family":"Variakojis","given":"Daina","non-dropping-particle":"","parse-names":false,"suffix":""}],"container-title":"Journal of Cutaneous Pathology","id":"ITEM-3","issue":"4","issued":{"date-parts":[["2001"]]},"page":"174-183","publisher":"J Cutan Pathol","title":"Histologic criteria for the diagnosis of mycosis fungoides: Proposal for a grading system to standardize pathology reporting","type":"article-journal","volume":"28"},"uris":["http://www.mendeley.com/documents/?uuid=d2364a0b-31c8-358e-9e50-d9800e4005c2"]},{"id":"ITEM-4","itemData":{"DOI":"10.12788/j.sder.2018.003","ISBN":"10855629/13","author":[{"dropping-particle":"","family":"Raghavan","given":"Shyam S","non-dropping-particle":"","parse-names":false,"suffix":""},{"dropping-particle":"","family":"Kim","given":"Jinah","non-dropping-particle":"","parse-names":false,"suffix":""}],"id":"ITEM-4","issued":{"date-parts":[["2018"]]},"title":"Histopathologic approach to epidermotropic lymphocytic infiltrates","type":"article-journal"},"uris":["http://www.mendeley.com/documents/?uuid=50aa02cc-168f-3d69-8a69-a0fdb9b2b8f3"]},{"id":"ITEM-5","itemData":{"DOI":"10.12788/j.sder.2018.015","ISSN":"15580768","abstract":"The histopathological diagnosis of dermal-based lymphoid infiltrates and proliferations is often challenging due to the vast list of biologically diverse entities that archetypally or occasionally center in the mid-dermis, especially because significant overlap exists in their clinical, histopathologic, and immunophenotypic features. The differential diagnosis includes reactive infiltrates in common and rare inflammatory dermatoses, benign conditions that may mimic lymphoid neoplasms (pseudolymphomas), and true clonal proliferations arising either primarily in the skin or rarely in extracutaneous tissues with secondary cutaneous dissemination. While numerous histopathological and immunophenotypic features have been reported to support a definitive diagnosis, no single ancillary test is sufficient for their distinction. Therefore, in this review we advocate a stepped histopathological approach for dermalbased lymphoid infiltrations, employing as key elements the general lymphocytic composition (relative B- versus T-cell ratio), coupled with the predominant cytomorphology (cell size) present. Following this strategy, the relative incidence of cutaneous involvement by each disease should always be considered, as well as the notion that a definitive diagnosis must be founded on a multiparameter approach integrating all clinical, histopathologic, immunophenotypic, and-in selected cases-molecular features.","author":[{"dropping-particle":"","family":"Charli-Joseph","given":"Yann","non-dropping-particle":"","parse-names":false,"suffix":""},{"dropping-particle":"","family":"Toussaint-Caire","given":"Sonia","non-dropping-particle":"","parse-names":false,"suffix":""},{"dropping-particle":"","family":"Lome-Maldonado","given":"Carmen","non-dropping-particle":"","parse-names":false,"suffix":""},{"dropping-particle":"","family":"Oca","given":"Daniel Montante Montes","non-dropping-particle":"de","parse-names":false,"suffix":""},{"dropping-particle":"","family":"Ortiz-Hidalgo","given":"Carlos","non-dropping-particle":"","parse-names":false,"suffix":""}],"container-title":"Seminars in Cutaneous Medicine and Surgery","id":"ITEM-5","issue":"1","issued":{"date-parts":[["2018","3","1"]]},"page":"61-74","publisher":"Frontline Medical Communications","title":"Approach to dermal-based lymphoid infiltrates and proliferations","type":"article-journal","volume":"37"},"uris":["http://www.mendeley.com/documents/?uuid=6eb7352d-e131-324d-a2f0-1279c8ea017c"]}],"mendeley":{"formattedCitation":"[6,24–27]","plainTextFormattedCitation":"[6,24–27]","previouslyFormattedCitation":"[6,24–27]"},"properties":{"noteIndex":0},"schema":"https://github.com/citation-style-language/schema/raw/master/csl-citation.json"}</w:instrText>
      </w:r>
      <w:r w:rsidR="00062499" w:rsidRPr="0073723C">
        <w:rPr>
          <w:color w:val="000000" w:themeColor="text1"/>
          <w:lang w:eastAsia="zh-CN"/>
        </w:rPr>
        <w:fldChar w:fldCharType="separate"/>
      </w:r>
      <w:r w:rsidR="000D098F" w:rsidRPr="0073723C">
        <w:rPr>
          <w:noProof/>
          <w:color w:val="000000" w:themeColor="text1"/>
          <w:lang w:eastAsia="zh-CN"/>
        </w:rPr>
        <w:t>[6,24–27]</w:t>
      </w:r>
      <w:r w:rsidR="00062499" w:rsidRPr="0073723C">
        <w:rPr>
          <w:color w:val="000000" w:themeColor="text1"/>
          <w:lang w:eastAsia="zh-CN"/>
        </w:rPr>
        <w:fldChar w:fldCharType="end"/>
      </w:r>
      <w:r w:rsidRPr="0073723C">
        <w:rPr>
          <w:rStyle w:val="affb"/>
          <w:i w:val="0"/>
          <w:color w:val="000000" w:themeColor="text1"/>
        </w:rPr>
        <w:t>:</w:t>
      </w:r>
    </w:p>
    <w:p w:rsidR="00660D84" w:rsidRPr="0073723C" w:rsidRDefault="00CE089D" w:rsidP="00660D84">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sidRPr="0073723C">
        <w:rPr>
          <w:rStyle w:val="affb"/>
          <w:i w:val="0"/>
          <w:color w:val="000000" w:themeColor="text1"/>
        </w:rPr>
        <w:t>наличие в инфильтрате плеоморфных («церебриформных») лимфоидных клеток малых и средних размеров;</w:t>
      </w:r>
    </w:p>
    <w:p w:rsidR="00660D84" w:rsidRPr="0073723C" w:rsidRDefault="000C307B" w:rsidP="00660D84">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наличие лимфоидных клеток, располагающихся цепочкой в базальном ряду эпидермиса (3 и более);</w:t>
      </w:r>
    </w:p>
    <w:p w:rsidR="00660D84" w:rsidRPr="0073723C" w:rsidRDefault="000C307B" w:rsidP="00660D84">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наличие интраэпидермальных лимфоцитов, окруженных светлым перинуклеарным ободком;</w:t>
      </w:r>
    </w:p>
    <w:p w:rsidR="00660D84" w:rsidRPr="0073723C" w:rsidRDefault="000C307B" w:rsidP="00660D84">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повышенное количество интраэпидермальных лимфоцитов при отсутствии спонгиоза («диспропорциональный эпидермотропизм»);</w:t>
      </w:r>
    </w:p>
    <w:p w:rsidR="00660D84" w:rsidRPr="0073723C" w:rsidRDefault="000C307B" w:rsidP="00660D84">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размер эпидермальных лимфоцитов больше, чем дермальных;</w:t>
      </w:r>
    </w:p>
    <w:p w:rsidR="00660D84" w:rsidRPr="0073723C" w:rsidRDefault="000C307B" w:rsidP="00660D84">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внутриэпидермальные скопления лимфоцитов (микроабсцессы Потрие);</w:t>
      </w:r>
    </w:p>
    <w:p w:rsidR="00660D84" w:rsidRPr="0073723C" w:rsidRDefault="000C307B" w:rsidP="00660D84">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rStyle w:val="affb"/>
          <w:color w:val="000000" w:themeColor="text1"/>
          <w:szCs w:val="24"/>
          <w:lang w:eastAsia="ru-RU"/>
        </w:rPr>
      </w:pPr>
      <w:r>
        <w:rPr>
          <w:rStyle w:val="affb"/>
          <w:i w:val="0"/>
          <w:color w:val="000000" w:themeColor="text1"/>
        </w:rPr>
        <w:t>фиброз и/или отек сосочковой части дермы.</w:t>
      </w:r>
    </w:p>
    <w:p w:rsidR="00660D84" w:rsidRPr="0073723C" w:rsidRDefault="000C307B" w:rsidP="00660D84">
      <w:pPr>
        <w:tabs>
          <w:tab w:val="left" w:pos="1276"/>
          <w:tab w:val="left" w:pos="1418"/>
        </w:tabs>
        <w:ind w:left="709" w:firstLine="0"/>
        <w:divId w:val="266810958"/>
        <w:rPr>
          <w:rStyle w:val="affa"/>
          <w:rFonts w:eastAsia="Times New Roman"/>
          <w:b w:val="0"/>
          <w:bCs w:val="0"/>
          <w:i/>
          <w:color w:val="000000" w:themeColor="text1"/>
        </w:rPr>
      </w:pPr>
      <w:r>
        <w:rPr>
          <w:rStyle w:val="affb"/>
          <w:i w:val="0"/>
          <w:color w:val="000000" w:themeColor="text1"/>
        </w:rPr>
        <w:lastRenderedPageBreak/>
        <w:t>Морфологические особенности, характерные для разных стадий и форм грибовидного микоза, подробно приведены в комментариях</w:t>
      </w:r>
    </w:p>
    <w:p w:rsidR="00660D84" w:rsidRPr="0073723C" w:rsidRDefault="000C307B" w:rsidP="00660D84">
      <w:pPr>
        <w:pStyle w:val="afb"/>
        <w:tabs>
          <w:tab w:val="left" w:pos="1276"/>
          <w:tab w:val="left" w:pos="1418"/>
        </w:tabs>
        <w:spacing w:beforeAutospacing="0" w:afterAutospacing="0" w:line="360" w:lineRule="auto"/>
        <w:ind w:left="709" w:firstLine="0"/>
        <w:divId w:val="266810958"/>
        <w:rPr>
          <w:rStyle w:val="affa"/>
        </w:rPr>
      </w:pPr>
      <w:r>
        <w:rPr>
          <w:rStyle w:val="affa"/>
        </w:rPr>
        <w:t>Уровень убедительности рекомендаций</w:t>
      </w:r>
      <w:r>
        <w:rPr>
          <w:rStyle w:val="affa"/>
        </w:rPr>
        <w:softHyphen/>
        <w:t xml:space="preserve"> С </w:t>
      </w:r>
      <w:r w:rsidRPr="000C307B">
        <w:rPr>
          <w:b/>
        </w:rPr>
        <w:t>(уровень достоверности доказательств – 4)</w:t>
      </w:r>
    </w:p>
    <w:p w:rsidR="00660D84" w:rsidRPr="0073723C" w:rsidRDefault="000C307B" w:rsidP="00660D84">
      <w:pPr>
        <w:pStyle w:val="afb"/>
        <w:tabs>
          <w:tab w:val="left" w:pos="1276"/>
          <w:tab w:val="left" w:pos="1418"/>
        </w:tabs>
        <w:spacing w:beforeAutospacing="0" w:afterAutospacing="0" w:line="360" w:lineRule="auto"/>
        <w:ind w:left="709" w:firstLine="0"/>
        <w:divId w:val="266810958"/>
        <w:rPr>
          <w:rStyle w:val="affb"/>
          <w:i w:val="0"/>
          <w:iCs w:val="0"/>
          <w:strike/>
          <w:color w:val="FF0000"/>
        </w:rPr>
      </w:pPr>
      <w:r>
        <w:rPr>
          <w:rStyle w:val="affa"/>
        </w:rPr>
        <w:t xml:space="preserve">Комментарии: </w:t>
      </w:r>
      <w:r>
        <w:rPr>
          <w:rStyle w:val="affb"/>
        </w:rPr>
        <w:t>для повышения достоверности патолого-анатомического исследования необходимо отмена лечения любыми наружными препаратами, особенно содержащими кортикостероиды</w:t>
      </w:r>
      <w:r w:rsidR="00CE089D" w:rsidRPr="0073723C">
        <w:rPr>
          <w:rStyle w:val="affb"/>
        </w:rPr>
        <w:t xml:space="preserve">, а также </w:t>
      </w:r>
      <w:r w:rsidR="00F66EC3" w:rsidRPr="0073723C">
        <w:rPr>
          <w:rStyle w:val="affb"/>
        </w:rPr>
        <w:t xml:space="preserve">кортикостероиды системного действия </w:t>
      </w:r>
      <w:r w:rsidR="00CE089D" w:rsidRPr="0073723C">
        <w:rPr>
          <w:rStyle w:val="affb"/>
        </w:rPr>
        <w:t>и иммуно</w:t>
      </w:r>
      <w:r w:rsidR="00F66EC3" w:rsidRPr="0073723C">
        <w:rPr>
          <w:rStyle w:val="affb"/>
        </w:rPr>
        <w:t>де</w:t>
      </w:r>
      <w:r w:rsidR="00CE089D" w:rsidRPr="0073723C">
        <w:rPr>
          <w:rStyle w:val="affb"/>
        </w:rPr>
        <w:t>прессантами за 2 недели до проведения биопсии, в неясных случаях рекомендуется проведение нескольких биопсий из разных очагов и повторных биопсий через 2–4 недели (без назначения наружной терапии)</w:t>
      </w:r>
      <w:r w:rsidR="000D098F" w:rsidRPr="0073723C">
        <w:rPr>
          <w:rStyle w:val="affb"/>
        </w:rPr>
        <w:t xml:space="preserve"> </w:t>
      </w:r>
      <w:r w:rsidR="00062499" w:rsidRPr="0073723C">
        <w:rPr>
          <w:rStyle w:val="affb"/>
        </w:rPr>
        <w:fldChar w:fldCharType="begin" w:fldLock="1"/>
      </w:r>
      <w:r>
        <w:rPr>
          <w:rStyle w:val="affb"/>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mendeley":{"formattedCitation":"[3,4]","plainTextFormattedCitation":"[3,4]","previouslyFormattedCitation":"[3,4]"},"properties":{"noteIndex":0},"schema":"https://github.com/citation-style-language/schema/raw/master/csl-citation.json"}</w:instrText>
      </w:r>
      <w:r w:rsidR="00062499" w:rsidRPr="0073723C">
        <w:rPr>
          <w:rStyle w:val="affb"/>
        </w:rPr>
        <w:fldChar w:fldCharType="separate"/>
      </w:r>
      <w:r w:rsidR="000D098F" w:rsidRPr="0073723C">
        <w:rPr>
          <w:rStyle w:val="affb"/>
          <w:i w:val="0"/>
          <w:noProof/>
        </w:rPr>
        <w:t>[3,4]</w:t>
      </w:r>
      <w:r w:rsidR="00062499" w:rsidRPr="0073723C">
        <w:rPr>
          <w:rStyle w:val="affb"/>
        </w:rPr>
        <w:fldChar w:fldCharType="end"/>
      </w:r>
      <w:r w:rsidR="00CE089D" w:rsidRPr="0073723C">
        <w:rPr>
          <w:rStyle w:val="affb"/>
        </w:rPr>
        <w:t>.</w:t>
      </w:r>
    </w:p>
    <w:p w:rsidR="00660D84" w:rsidRPr="0073723C" w:rsidRDefault="00CE089D" w:rsidP="00660D84">
      <w:pPr>
        <w:pStyle w:val="afb"/>
        <w:spacing w:beforeAutospacing="0" w:afterAutospacing="0" w:line="360" w:lineRule="auto"/>
        <w:ind w:left="709" w:firstLine="0"/>
        <w:divId w:val="266810958"/>
        <w:rPr>
          <w:rFonts w:eastAsiaTheme="minorEastAsia"/>
        </w:rPr>
      </w:pPr>
      <w:r w:rsidRPr="0073723C">
        <w:rPr>
          <w:rStyle w:val="affb"/>
        </w:rPr>
        <w:t>При патолого-анатомическом исследовании для пятнистой (эритематозной) стадии характерны эпидермотропные поверхностные мелкоочаговые периваскулярные инфильтраты, для бляшечной – эпидермотропный плотный полосовидный инфильтрат в верхней части дермы, для опухолевой – плотный очаговый или диффузный инфильтрат, занимающий всю дерму и проникающий в подкожную жировую клетчатку, эпидермотропизм может отсутствовать</w:t>
      </w:r>
      <w:r w:rsidR="000D098F" w:rsidRPr="0073723C">
        <w:rPr>
          <w:rStyle w:val="affb"/>
        </w:rPr>
        <w:t xml:space="preserve"> </w:t>
      </w:r>
      <w:r w:rsidR="00062499" w:rsidRPr="0073723C">
        <w:rPr>
          <w:rStyle w:val="affb"/>
        </w:rPr>
        <w:fldChar w:fldCharType="begin" w:fldLock="1"/>
      </w:r>
      <w:r w:rsidR="000C307B">
        <w:rPr>
          <w:rStyle w:val="affb"/>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S.","non-dropping-particle":"","parse-names":false,"suffix":""}],"container-title":"Blood","id":"ITEM-3","issued":{"date-parts":[["2016"]]},"title":"The 2016 revision of the World Health Organization classification of lymphoid neoplasms","type":"article"},"uris":["http://www.mendeley.com/documents/?uuid=2e1bb83c-740d-40bd-94c4-e417b27d8e8e"]},{"id":"ITEM-4","itemData":{"DOI":"10.1034/j.1600-0560.2001.028004174.x","ISSN":"03036987","PMID":"11426824","abstract":"Background: The histological diagnosis of early lesions of mycosis fungoides (MF) is often difficult for dermatopathologists and prior studies have shown a low agreement rate among pathologists. An important reason for such difficulty may be the lack of specific histological criteria. Methods: We tested a new method to interpret and report biopsies suspicious for MF. The method is based on a grading system reflecting the pathologist's degree of diagnostic certainty. A panel of four pathologists independently assessed a set of 50 biopsies suspicious for MF first without (Phase I) and subsequently with specific histological criteria (Phase II). A third Phase was carried out after a training session, using a new set of cases with corresponding immunophenotyping and gene rearrangement analysis. Weighted and unweighted kappa statistics were used to assess inter- and intra-pathologist variation. Results: The consensus rate among pathologists improved from 48% in Phase I to 76% in Phase III. Overall precision weighted kappas increased from 0.630 in Phase I to 0.854 in Phase III, indicating excellent inter-pathologist agreement by Phase III. There was a significant association between the presence of an abnormal phenotype and/or T-cell clonality and a higher diagnostic score. Conclusions: The use of uniform criteria and training sessions can substantially improve the consensus rate among pathologists in the diagnosis of MF.","author":[{"dropping-particle":"","family":"Guitart","given":"Joan","non-dropping-particle":"","parse-names":false,"suffix":""},{"dropping-particle":"","family":"Kennedy","given":"John","non-dropping-particle":"","parse-names":false,"suffix":""},{"dropping-particle":"","family":"Ronan","given":"Salve","non-dropping-particle":"","parse-names":false,"suffix":""},{"dropping-particle":"","family":"Chmiel","given":"Joan S.","non-dropping-particle":"","parse-names":false,"suffix":""},{"dropping-particle":"","family":"Hsiegh","given":"Yi Ching","non-dropping-particle":"","parse-names":false,"suffix":""},{"dropping-particle":"","family":"Variakojis","given":"Daina","non-dropping-particle":"","parse-names":false,"suffix":""}],"container-title":"Journal of Cutaneous Pathology","id":"ITEM-4","issue":"4","issued":{"date-parts":[["2001"]]},"page":"174-183","publisher":"J Cutan Pathol","title":"Histologic criteria for the diagnosis of mycosis fungoides: Proposal for a grading system to standardize pathology reporting","type":"article-journal","volume":"28"},"uris":["http://www.mendeley.com/documents/?uuid=d2364a0b-31c8-358e-9e50-d9800e4005c2"]},{"id":"ITEM-5","itemData":{"DOI":"10.12788/j.sder.2018.003","ISBN":"10855629/13","author":[{"dropping-particle":"","family":"Raghavan","given":"Shyam S","non-dropping-particle":"","parse-names":false,"suffix":""},{"dropping-particle":"","family":"Kim","given":"Jinah","non-dropping-particle":"","parse-names":false,"suffix":""}],"id":"ITEM-5","issued":{"date-parts":[["2018"]]},"title":"Histopathologic approach to epidermotropic lymphocytic infiltrates","type":"article-journal"},"uris":["http://www.mendeley.com/documents/?uuid=50aa02cc-168f-3d69-8a69-a0fdb9b2b8f3"]},{"id":"ITEM-6","itemData":{"DOI":"10.12788/j.sder.2018.015","ISSN":"15580768","abstract":"The histopathological diagnosis of dermal-based lymphoid infiltrates and proliferations is often challenging due to the vast list of biologically diverse entities that archetypally or occasionally center in the mid-dermis, especially because significant overlap exists in their clinical, histopathologic, and immunophenotypic features. The differential diagnosis includes reactive infiltrates in common and rare inflammatory dermatoses, benign conditions that may mimic lymphoid neoplasms (pseudolymphomas), and true clonal proliferations arising either primarily in the skin or rarely in extracutaneous tissues with secondary cutaneous dissemination. While numerous histopathological and immunophenotypic features have been reported to support a definitive diagnosis, no single ancillary test is sufficient for their distinction. Therefore, in this review we advocate a stepped histopathological approach for dermalbased lymphoid infiltrations, employing as key elements the general lymphocytic composition (relative B- versus T-cell ratio), coupled with the predominant cytomorphology (cell size) present. Following this strategy, the relative incidence of cutaneous involvement by each disease should always be considered, as well as the notion that a definitive diagnosis must be founded on a multiparameter approach integrating all clinical, histopathologic, immunophenotypic, and-in selected cases-molecular features.","author":[{"dropping-particle":"","family":"Charli-Joseph","given":"Yann","non-dropping-particle":"","parse-names":false,"suffix":""},{"dropping-particle":"","family":"Toussaint-Caire","given":"Sonia","non-dropping-particle":"","parse-names":false,"suffix":""},{"dropping-particle":"","family":"Lome-Maldonado","given":"Carmen","non-dropping-particle":"","parse-names":false,"suffix":""},{"dropping-particle":"","family":"Oca","given":"Daniel Montante Montes","non-dropping-particle":"de","parse-names":false,"suffix":""},{"dropping-particle":"","family":"Ortiz-Hidalgo","given":"Carlos","non-dropping-particle":"","parse-names":false,"suffix":""}],"container-title":"Seminars in Cutaneous Medicine and Surgery","id":"ITEM-6","issue":"1","issued":{"date-parts":[["2018","3","1"]]},"page":"61-74","publisher":"Frontline Medical Communications","title":"Approach to dermal-based lymphoid infiltrates and proliferations","type":"article-journal","volume":"37"},"uris":["http://www.mendeley.com/documents/?uuid=6eb7352d-e131-324d-a2f0-1279c8ea017c"]},{"id":"ITEM-7","itemData":{"DOI":"10.1016/j.det.2015.05.002","ISSN":"15580520","PMID":"26433840","author":[{"dropping-particle":"","family":"Kempf","given":"Werner","non-dropping-particle":"","parse-names":false,"suffix":""},{"dropping-particle":"","family":"Mitteldorf","given":"Christina","non-dropping-particle":"","parse-names":false,"suffix":""}],"container-title":"Dermatologic Clinics","id":"ITEM-7","issue":"4","issued":{"date-parts":[["2015","10","1"]]},"page":"655-681","publisher":"W.B. Saunders","title":"Pathologic Diagnosis of Cutaneous Lymphomas","type":"article","volume":"33"},"uris":["http://www.mendeley.com/documents/?uuid=fe7d2b41-d59d-35b5-8d2f-b1289bc3f213"]},{"id":"ITEM-8","itemData":{"DOI":"10.1111/cup.12470","ISSN":"16000560","PMID":"25721994","abstract":"Background Mycosis fungoides (MF) is the most common subtype of cutaneous T-cell lymphoma and is often difficult to diagnose. Early-stage disease is particularly challenging and requires clinical and histopathologic correlation to make an accurate diagnosis. In order to facilitate the diagnosis of early MF, an algorithm has been proposed by the International Society for Cutaneous Lymphomas (ISCL) whereby clinical and histopathologic characteristics as well as immunohistochemistry and T-cell receptor gene rearrangement studies may be applied to suspected cases of MF. The diagnostic utility of this algorithm has not yet been validated. We sought to determine the validity of the proposed algorithm via an investigator-blinded, retrospective, case-control study. Methods A total of 34 cases were randomly selected from the database of a clinic for cutaneous T-cell lymphomas and included patients with MF and patients with clinicopathologic mimics. The proposed diagnostic algorithm was systematically applied to the entire cohort. Each case was assigned a composite score based on the parameters in the proposed algorithm. Results Among the 24 cases of MF, 21 cases achieved four or more points through application of the algorithm. Among the 10 cases of MF mimics, only four achieved four or more points. This difference was significant (Fisher's exact test, p=0.009). The sensitivity of the 4-point threshold for a diagnosis of MF was 87.5% and the specificity was 60%. Conclusions The diagnostic algorithm proposed by the ISCL is a statistically valid method for defining cases of early MF and distinguishing these cases from other benign dermatoses. However, the clinical utility of the algorithm may be limited by its low specificity. Further refinement of the algorithm may improve its accuracy.","author":[{"dropping-particle":"","family":"Vandergriff","given":"Travis","non-dropping-particle":"","parse-names":false,"suffix":""},{"dropping-particle":"","family":"Nezafati","given":"Kaveh A.","non-dropping-particle":"","parse-names":false,"suffix":""},{"dropping-particle":"","family":"Susa","given":"Joseph","non-dropping-particle":"","parse-names":false,"suffix":""},{"dropping-particle":"","family":"Karai","given":"Laszlo","non-dropping-particle":"","parse-names":false,"suffix":""},{"dropping-particle":"","family":"Sanguinetti","given":"Amy","non-dropping-particle":"","parse-names":false,"suffix":""},{"dropping-particle":"","family":"Hynan","given":"Linda S.","non-dropping-particle":"","parse-names":false,"suffix":""},{"dropping-particle":"","family":"Ambruzs","given":"Josephine M.","non-dropping-particle":"","parse-names":false,"suffix":""},{"dropping-particle":"","family":"Oliver","given":"Dwight H.","non-dropping-particle":"","parse-names":false,"suffix":""},{"dropping-particle":"","family":"Pandya","given":"Amit G.","non-dropping-particle":"","parse-names":false,"suffix":""}],"container-title":"Journal of Cutaneous Pathology","id":"ITEM-8","issue":"5","issued":{"date-parts":[["2015","5","1"]]},"page":"318-328","publisher":"Blackwell Publishing Ltd","title":"Defining early mycosis fungoides: Validation of a diagnostic algorithm proposed by the International Society for Cutaneous Lymphomas","type":"article-journal","volume":"42"},"uris":["http://www.mendeley.com/documents/?uuid=37688763-e0c4-3a93-acd6-bea5e4a9d172"]},{"id":"ITEM-9","itemData":{"DOI":"10.1016/j.jaad.2005.08.057","ISSN":"01909622","PMID":"16310068","abstract":"This editorial review summarizes the results of 5 meetings sponsored by the International Society for Cutaneous Lymphoma at which the clinicopathologic and ancillary features of early mycosis fungoides were critically examined. Based on this analysis, an algorithm was developed for the diagnosis of early mycosis fungoides involving a holistic integration of clinical, histopathologic, immunopathologic, and molecular biological characteristics. A novel aspect of this algorithm is that it relies on multiple types of criteria rather than just one, for example, histopathology. Before its finalization, the proposed diagnostic algorithm will require validation and possibly further refinement at multiple centers during the next several years. It is anticipated that a more standardized approach to the diagnosis of early mycosis fungoides will have a beneficial impact on the epidemiology, prognostication, treatment, and analysis of clinical trials pertaining to this most common type of cutaneous lymphoma. © 2005 by the American Academy of Dermatology, Inc.","author":[{"dropping-particle":"","family":"Pimpinelli","given":"Nicola","non-dropping-particle":"","parse-names":false,"suffix":""},{"dropping-particle":"","family":"Olsen","given":"Elise A.","non-dropping-particle":"","parse-names":false,"suffix":""},{"dropping-particle":"","family":"Santucci","given":"Marco","non-dropping-particle":"","parse-names":false,"suffix":""},{"dropping-particle":"","family":"Vonderheid","given":"Eric","non-dropping-particle":"","parse-names":false,"suffix":""},{"dropping-particle":"","family":"Haeffner","given":"Andreas C.","non-dropping-particle":"","parse-names":false,"suffix":""},{"dropping-particle":"","family":"Stevens","given":"Seth","non-dropping-particle":"","parse-names":false,"suffix":""},{"dropping-particle":"","family":"Burg","given":"Guenter","non-dropping-particle":"","parse-names":false,"suffix":""},{"dropping-particle":"","family":"Cerroni","given":"Lorenzo","non-dropping-particle":"","parse-names":false,"suffix":""},{"dropping-particle":"","family":"Dreno","given":"Brigitte","non-dropping-particle":"","parse-names":false,"suffix":""},{"dropping-particle":"","family":"Glusac","given":"Earl","non-dropping-particle":"","parse-names":false,"suffix":""},{"dropping-particle":"","family":"Guitart","given":"Joan","non-dropping-particle":"","parse-names":false,"suffix":""},{"dropping-particle":"","family":"Heald","given":"Peter W.","non-dropping-particle":"","parse-names":false,"suffix":""},{"dropping-particle":"","family":"Kempf","given":"Werner","non-dropping-particle":"","parse-names":false,"suffix":""},{"dropping-particle":"","family":"Knobler","given":"Robert","non-dropping-particle":"","parse-names":false,"suffix":""},{"dropping-particle":"","family":"Lessin","given":"Stuart","non-dropping-particle":"","parse-names":false,"suffix":""},{"dropping-particle":"","family":"Sander","given":"Christian","non-dropping-particle":"","parse-names":false,"suffix":""},{"dropping-particle":"","family":"Smoller","given":"Bruce S.","non-dropping-particle":"","parse-names":false,"suffix":""},{"dropping-particle":"","family":"Telang","given":"Gladys","non-dropping-particle":"","parse-names":false,"suffix":""},{"dropping-particle":"","family":"Whittaker","given":"Sean","non-dropping-particle":"","parse-names":false,"suffix":""},{"dropping-particle":"","family":"Iwatsuki","given":"Keiji","non-dropping-particle":"","parse-names":false,"suffix":""},{"dropping-particle":"","family":"Obitz","given":"Erik","non-dropping-particle":"","parse-names":false,"suffix":""},{"dropping-particle":"","family":"Takigawa","given":"Masahiro","non-dropping-particle":"","parse-names":false,"suffix":""},{"dropping-particle":"","family":"Turner","given":"Maria L.","non-dropping-particle":"","parse-names":false,"suffix":""},{"dropping-particle":"","family":"Wood","given":"Gary S.","non-dropping-particle":"","parse-names":false,"suffix":""}],"container-title":"Journal of the American Academy of Dermatology","id":"ITEM-9","issue":"6","issued":{"date-parts":[["2005"]]},"page":"1053-1063","publisher":"Mosby Inc.","title":"Defining early mycosis fungoides","type":"article-journal","volume":"53"},"uris":["http://www.mendeley.com/documents/?uuid=c1cd70a6-df34-320f-9e55-3fe36b49c678"]},{"id":"ITEM-10","itemData":{"DOI":"10.1097/DAD.0000000000000493","ISSN":"15330311","PMID":"26885605","abstract":"Phenotypic variants of mycosis fungoides (MF) include mainly the expression of cytotoxic markers by neoplastic cells (either a/b or g/d cytotoxic). To manage the patient properly, distinction from other cutaneous cytotoxic natural killer/T-cell lymphomas is paramount. Particularly for cutaneous γ/δ T-cell lymphoma, distinction is often based on clinicopathologic correlation (presence of tumors at first diagnosis as opposed to patches only in MF). The authors report a case of cytotoxic MF characterized by expression of;TCRγ in two of three biopsies performed within a time frame of 1 week. The patient presented with patches, plaques, and 1 tumor at the time of first diagnosis; thus, distinction from cutaneous γ/δ T-cell lymphoma was not possible on clinical grounds alone. The diagnosis of MF was established, thanks to the phenotypic variations revealed by the three biopsies, with 1 lacking expression of cytotoxic proteins (TIA-1 and granzyme B) and of TCRγ. This case shows the importance to perform several biopsies in cases of cutaneous lymphoma, as morphologic and phenotypic features are variable and information gathered from a single biopsy may result in a wrong diagnosis.","author":[{"dropping-particle":"","family":"Kash","given":"Natalie","non-dropping-particle":"","parse-names":false,"suffix":""},{"dropping-particle":"","family":"Massone","given":"Cesare","non-dropping-particle":"","parse-names":false,"suffix":""},{"dropping-particle":"","family":"Fink-Puches","given":"Regina","non-dropping-particle":"","parse-names":false,"suffix":""},{"dropping-particle":"","family":"Cerroni","given":"Lorenzo","non-dropping-particle":"","parse-names":false,"suffix":""}],"container-title":"American Journal of Dermatopathology","id":"ITEM-10","issue":"7","issued":{"date-parts":[["2016","7","1"]]},"page":"541-545","publisher":"Lippincott Williams and Wilkins","title":"Phenotypic variation in different lesions of mycosis fungoides biopsied within a short period of time from the same patient","type":"article-journal","volume":"38"},"uris":["http://www.mendeley.com/documents/?uuid=99c49a33-1869-38e7-86f7-3b0cedd74821"]}],"mendeley":{"formattedCitation":"[3,4,24–31]","plainTextFormattedCitation":"[3,4,24–31]","previouslyFormattedCitation":"[3,4,24–31]"},"properties":{"noteIndex":0},"schema":"https://github.com/citation-style-language/schema/raw/master/csl-citation.json"}</w:instrText>
      </w:r>
      <w:r w:rsidR="00062499" w:rsidRPr="0073723C">
        <w:rPr>
          <w:rStyle w:val="affb"/>
        </w:rPr>
        <w:fldChar w:fldCharType="separate"/>
      </w:r>
      <w:r w:rsidR="000D098F" w:rsidRPr="0073723C">
        <w:rPr>
          <w:rStyle w:val="affb"/>
          <w:i w:val="0"/>
          <w:noProof/>
        </w:rPr>
        <w:t>[3,4,24–31]</w:t>
      </w:r>
      <w:r w:rsidR="00062499" w:rsidRPr="0073723C">
        <w:rPr>
          <w:rStyle w:val="affb"/>
        </w:rPr>
        <w:fldChar w:fldCharType="end"/>
      </w:r>
      <w:r w:rsidRPr="0073723C">
        <w:rPr>
          <w:rStyle w:val="affb"/>
        </w:rPr>
        <w:t xml:space="preserve">. </w:t>
      </w:r>
    </w:p>
    <w:p w:rsidR="00660D84" w:rsidRPr="0073723C" w:rsidRDefault="00CE089D" w:rsidP="00660D84">
      <w:pPr>
        <w:pStyle w:val="afb"/>
        <w:spacing w:beforeAutospacing="0" w:afterAutospacing="0" w:line="360" w:lineRule="auto"/>
        <w:ind w:left="709" w:firstLine="0"/>
        <w:divId w:val="266810958"/>
        <w:rPr>
          <w:i/>
          <w:iCs/>
        </w:rPr>
      </w:pPr>
      <w:r w:rsidRPr="0073723C">
        <w:rPr>
          <w:i/>
          <w:iCs/>
        </w:rPr>
        <w:t>Фолликулотропный грибовидный микоз морфологически характеризуется перифолликулярным или диффузным лимфоцитарным инфильтратом дермы с различной степени выраженности инфильтрацией фолликулярного эпителия мелкими, среднего размера и иногда крупными Т-</w:t>
      </w:r>
      <w:r w:rsidR="00A112DF" w:rsidRPr="0073723C">
        <w:rPr>
          <w:i/>
          <w:iCs/>
        </w:rPr>
        <w:t xml:space="preserve">клетками </w:t>
      </w:r>
      <w:r w:rsidRPr="0073723C">
        <w:rPr>
          <w:i/>
          <w:iCs/>
        </w:rPr>
        <w:t>с церебриформными гиперхромными ядрами. Во мног</w:t>
      </w:r>
      <w:r w:rsidR="000C307B">
        <w:rPr>
          <w:i/>
          <w:iCs/>
        </w:rPr>
        <w:t xml:space="preserve">их случаях обнаруживается муцинозная дегенерация фолликулярного эпителия (фолликулярный муциноз), которая может быть визуализирована окраской альциановым синим или коллоидным железом, однако были также описаны случаи без фолликулярного муциноза. Инфильтрация фолликулярного эпителия может сопровождаться инфильтрацией эккринных потовых желез (сиринготропизм), комбинацию которых часто называют аднексотропным грибовидным микозом </w:t>
      </w:r>
      <w:r w:rsidR="00062499" w:rsidRPr="0073723C">
        <w:rPr>
          <w:i/>
          <w:iCs/>
        </w:rPr>
        <w:fldChar w:fldCharType="begin" w:fldLock="1"/>
      </w:r>
      <w:r w:rsidR="000C307B">
        <w:rPr>
          <w:i/>
          <w:iCs/>
        </w:rPr>
        <w:instrText>ADDIN CSL_CITATION {"citationItems":[{"id":"ITEM-1","itemData":{"DOI":"10.1016/j.jaad.2014.06.033","ISSN":"10976787","PMID":"25044343","abstract":"Background: A rare variant of mycosis fungoides (MF), syringotropic MF (STMF) is characterized by a particular tropism of the lymphocytic infiltrate for the eccrine structures, and included in the follicular subtype of MF in the World Health OrganizationeEuropean Organization for Research and Treatment of Cancer classification of cutaneous lymphomas. Objective: We sought to determine the clinicopathologic features and disease course of patients with STMF. Methods: A retrospective study was conducted to identify patients with STMF from 1998 to 2013. Results: Nineteen patients were included: 15 men and 4 women, mean age 55 years (range, 24-86). Most had multiple lesions (n = 16, 84%) with associated alopecia (n = 12, 63%) and/or punctuated aspect (n = 12, 63%). Palms or soles were involved in 10 cases (53%). Folliculotropism was found in 13 cases (68%). After a median follow-up of 70 months (range, 2-140), 3 patients died, 1 from disease-related death. The 5-year overall and disease-specific survival were 100%. The disease-specific survival was significantly higher than in 54 patients with folliculotropic MF without syringotropism (5-year disease-specific survival, 74%; 95% confidence interval, 58%-94%, P =.02). Limitations: Retrospective setting is a limitation. Conclusions: In the spectrum of adnexotropic MF, STMF appears as a distinct entity from follicular MF, with peculiar clinical characteristics and natural history.","author":[{"dropping-particle":"","family":"Masson","given":"Adèle","non-dropping-particle":"De","parse-names":false,"suffix":""},{"dropping-particle":"","family":"Battistella","given":"Maxime","non-dropping-particle":"","parse-names":false,"suffix":""},{"dropping-particle":"","family":"Vignon-Pennamen","given":"Marie Dominique","non-dropping-particle":"","parse-names":false,"suffix":""},{"dropping-particle":"","family":"Cavelier-Balloy","given":"Bénédicte","non-dropping-particle":"","parse-names":false,"suffix":""},{"dropping-particle":"","family":"Mouly","given":"Frédéric","non-dropping-particle":"","parse-names":false,"suffix":""},{"dropping-particle":"","family":"Rybojad","given":"Michel","non-dropping-particle":"","parse-names":false,"suffix":""},{"dropping-particle":"","family":"Bouaziz","given":"Jean David","non-dropping-particle":"","parse-names":false,"suffix":""},{"dropping-particle":"","family":"Petit","given":"Antoine","non-dropping-particle":"","parse-names":false,"suffix":""},{"dropping-particle":"","family":"Saussine","given":"Anne","non-dropping-particle":"","parse-names":false,"suffix":""},{"dropping-particle":"","family":"Ronceray","given":"Sophie","non-dropping-particle":"","parse-names":false,"suffix":""},{"dropping-particle":"","family":"Gall","given":"François","non-dropping-particle":"Le","parse-names":false,"suffix":""},{"dropping-particle":"","family":"Ram-Wolff","given":"Caroline","non-dropping-particle":"","parse-names":false,"suffix":""},{"dropping-particle":"","family":"Assouly","given":"Philippe","non-dropping-particle":"","parse-names":false,"suffix":""},{"dropping-particle":"","family":"Dereure","given":"Olivier","non-dropping-particle":"","parse-names":false,"suffix":""},{"dropping-particle":"","family":"Joly","given":"Pascal","non-dropping-particle":"","parse-names":false,"suffix":""},{"dropping-particle":"","family":"Dallot","given":"Alexiane","non-dropping-particle":"","parse-names":false,"suffix":""},{"dropping-particle":"","family":"Dupuy","given":"Alain","non-dropping-particle":"","parse-names":false,"suffix":""},{"dropping-particle":"","family":"Lebbé","given":"Céleste","non-dropping-particle":"","parse-names":false,"suffix":""},{"dropping-particle":"","family":"Moulonguet","given":"Isabelle","non-dropping-particle":"","parse-names":false,"suffix":""},{"dropping-particle":"","family":"Rivet","given":"Jacqueline","non-dropping-particle":"","parse-names":false,"suffix":""},{"dropping-particle":"","family":"Janin","given":"Anne","non-dropping-particle":"","parse-names":false,"suffix":""},{"dropping-particle":"","family":"Bagot","given":"Martine","non-dropping-particle":"","parse-names":false,"suffix":""}],"container-title":"Journal of the American Academy of Dermatology","id":"ITEM-1","issue":"5","issued":{"date-parts":[["2014"]]},"page":"926-934","publisher":"Mosby Inc.","title":"Syringotropic mycosis fungoides: Clinical and histologic features, response to treatment, and outcome in 19 patients","type":"article-journal","volume":"71"},"uris":["http://www.mendeley.com/documents/?uuid=d66e490c-cead-393e-ab13-51f1c5d8419c"]}],"mendeley":{"formattedCitation":"[32]","plainTextFormattedCitation":"[32]","previouslyFormattedCitation":"[32]"},"properties":{"noteIndex":0},"schema":"https://github.com/citation-style-language/schema/raw/master/csl-citation.json"}</w:instrText>
      </w:r>
      <w:r w:rsidR="00062499" w:rsidRPr="0073723C">
        <w:rPr>
          <w:i/>
          <w:iCs/>
        </w:rPr>
        <w:fldChar w:fldCharType="separate"/>
      </w:r>
      <w:r w:rsidR="000D098F" w:rsidRPr="0073723C">
        <w:rPr>
          <w:iCs/>
          <w:noProof/>
        </w:rPr>
        <w:t>[32]</w:t>
      </w:r>
      <w:r w:rsidR="00062499" w:rsidRPr="0073723C">
        <w:rPr>
          <w:i/>
          <w:iCs/>
        </w:rPr>
        <w:fldChar w:fldCharType="end"/>
      </w:r>
      <w:r w:rsidRPr="0073723C">
        <w:rPr>
          <w:i/>
          <w:iCs/>
        </w:rPr>
        <w:t>. Тем не менее, одновременная инфильтрация интерфолликулярного эпидермиса (эпидермотропизм), характеризующая ранние стадии классического грибовидного микоза, встречается редко. В ранних поражениях, клинически характеризующихся приуроченными к фолликулам пятнами или акнеформными высыпаниями или высыпаниями, подобными волосяному кератозу, перифолликулярный инфильтрат обычно скудный и содержит помимо атипичных Т-</w:t>
      </w:r>
      <w:r w:rsidR="00A112DF" w:rsidRPr="0073723C">
        <w:rPr>
          <w:i/>
          <w:iCs/>
        </w:rPr>
        <w:t xml:space="preserve">клеток </w:t>
      </w:r>
      <w:r w:rsidRPr="0073723C">
        <w:rPr>
          <w:i/>
          <w:iCs/>
        </w:rPr>
        <w:t>различное количество мелких реактивных Т-</w:t>
      </w:r>
      <w:r w:rsidR="00A112DF" w:rsidRPr="0073723C">
        <w:rPr>
          <w:i/>
          <w:iCs/>
        </w:rPr>
        <w:t>клеток]</w:t>
      </w:r>
      <w:r w:rsidRPr="0073723C">
        <w:rPr>
          <w:i/>
          <w:iCs/>
        </w:rPr>
        <w:t xml:space="preserve">, гистиоцитов и иногда – </w:t>
      </w:r>
      <w:r w:rsidRPr="0073723C">
        <w:rPr>
          <w:i/>
          <w:iCs/>
        </w:rPr>
        <w:lastRenderedPageBreak/>
        <w:t xml:space="preserve">эозинофилов. При прогрессировании поражения кожи до более инфильтрированных бляшек или опухолей дермальные инфильтраты становятся более диффузными и могут содержать большее количество </w:t>
      </w:r>
      <w:r w:rsidR="000C307B">
        <w:rPr>
          <w:i/>
          <w:iCs/>
        </w:rPr>
        <w:t>крупных  клеток или среднего размера клеток с тонкодисперсным хроматином. Часто наблюдается значительная примесь эозинофилов и особенно в случаях вторичной бактериальной инфекции – плазматических клеток. В некоторых случаях могут присутствовать кластеры мелких В-лимфоцитов. В случаях разрушения эпителия волосяных фолликулов может наблюдаться гранулематозная реакция. В случаях с диффузными дермальными инфильтратами с частичным или даже полным разрушением эпителиальных структур дифференциальная диагностика между фолликулярным грибовидным микозом и другими типами ТКЛК может быть сложной.</w:t>
      </w:r>
    </w:p>
    <w:p w:rsidR="00660D84" w:rsidRPr="0073723C" w:rsidRDefault="000C307B" w:rsidP="00660D84">
      <w:pPr>
        <w:pStyle w:val="afb"/>
        <w:spacing w:beforeAutospacing="0" w:afterAutospacing="0" w:line="360" w:lineRule="auto"/>
        <w:ind w:left="709" w:firstLine="0"/>
        <w:divId w:val="266810958"/>
        <w:rPr>
          <w:i/>
          <w:iCs/>
        </w:rPr>
      </w:pPr>
      <w:r>
        <w:rPr>
          <w:i/>
          <w:iCs/>
        </w:rPr>
        <w:t xml:space="preserve">Крупноклеточная трансформация, которую определяют по присутствию более 25% бластных клеток или присутствию кластеров бластных клеток, была описана более, чем в 20% случаев фолликулотропного грибовидного микоза, и наблюдается чаще, чем при классическом грибовидном микозе </w:t>
      </w:r>
      <w:r w:rsidR="00062499" w:rsidRPr="0073723C">
        <w:rPr>
          <w:i/>
          <w:iCs/>
        </w:rPr>
        <w:fldChar w:fldCharType="begin" w:fldLock="1"/>
      </w:r>
      <w:r>
        <w:rPr>
          <w:i/>
          <w:iCs/>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i/>
          <w:iCs/>
        </w:rPr>
        <w:fldChar w:fldCharType="separate"/>
      </w:r>
      <w:r w:rsidR="001B7F70" w:rsidRPr="001B7F70">
        <w:rPr>
          <w:iCs/>
          <w:noProof/>
        </w:rPr>
        <w:t>[5]</w:t>
      </w:r>
      <w:r w:rsidR="00062499" w:rsidRPr="0073723C">
        <w:rPr>
          <w:i/>
          <w:iCs/>
        </w:rPr>
        <w:fldChar w:fldCharType="end"/>
      </w:r>
      <w:r>
        <w:rPr>
          <w:i/>
          <w:iCs/>
        </w:rPr>
        <w:t>.</w:t>
      </w:r>
    </w:p>
    <w:p w:rsidR="00660D84" w:rsidRPr="0073723C" w:rsidRDefault="000C307B" w:rsidP="00660D84">
      <w:pPr>
        <w:pStyle w:val="afb"/>
        <w:spacing w:beforeAutospacing="0" w:afterAutospacing="0" w:line="360" w:lineRule="auto"/>
        <w:ind w:left="709" w:firstLine="0"/>
        <w:divId w:val="266810958"/>
        <w:rPr>
          <w:i/>
          <w:iCs/>
        </w:rPr>
      </w:pPr>
      <w:r>
        <w:rPr>
          <w:i/>
          <w:iCs/>
        </w:rPr>
        <w:t xml:space="preserve">Типичная гистологическая картина представлена гиперплазией эпидермиса с выраженной инфильтрацией мелкими и среднего размера атипичными клетками, расположенными по отдельности или гнездами или кластерами. Атипичные клетки имеют среднего размера или крупные церебриформные ядра и обильную вакуолизированную цитоплазму. В поверхностной дерме может присутствовать инфильтрат, состоящий преимущественно из мелких лимфоцитов, но изредка он содержит неопластические Т-лимфоциты </w:t>
      </w:r>
      <w:r w:rsidR="00062499" w:rsidRPr="0073723C">
        <w:rPr>
          <w:i/>
          <w:iCs/>
        </w:rPr>
        <w:fldChar w:fldCharType="begin" w:fldLock="1"/>
      </w:r>
      <w:r>
        <w:rPr>
          <w:i/>
          <w:iCs/>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i/>
          <w:iCs/>
        </w:rPr>
        <w:fldChar w:fldCharType="separate"/>
      </w:r>
      <w:r w:rsidR="001B7F70" w:rsidRPr="001B7F70">
        <w:rPr>
          <w:iCs/>
          <w:noProof/>
        </w:rPr>
        <w:t>[5]</w:t>
      </w:r>
      <w:r w:rsidR="00062499" w:rsidRPr="0073723C">
        <w:rPr>
          <w:i/>
          <w:iCs/>
        </w:rPr>
        <w:fldChar w:fldCharType="end"/>
      </w:r>
      <w:r>
        <w:rPr>
          <w:i/>
          <w:iCs/>
        </w:rPr>
        <w:t>.</w:t>
      </w:r>
    </w:p>
    <w:p w:rsidR="00660D84" w:rsidRPr="0073723C" w:rsidRDefault="000C307B" w:rsidP="00660D84">
      <w:pPr>
        <w:pStyle w:val="afb"/>
        <w:spacing w:beforeAutospacing="0" w:afterAutospacing="0" w:line="360" w:lineRule="auto"/>
        <w:ind w:left="709" w:firstLine="0"/>
        <w:divId w:val="266810958"/>
        <w:rPr>
          <w:i/>
          <w:iCs/>
        </w:rPr>
      </w:pPr>
      <w:r>
        <w:rPr>
          <w:i/>
          <w:iCs/>
        </w:rPr>
        <w:t xml:space="preserve">Гистологически синдром гранулематозной вялой кожи характеризуется плотным инфильтратом по всей толщине дермы из мелких и среднего размера Т-лимфоцитов с примесью многочисленных макрофагов и множества рассеянных многоядерных гигантских клеток. Присутствие многоядерных гигантских клеток, содержащих более 10 ядер на клетку, считается характерной особенностью заболевания, но наблюдалось также и в случаях гранулематозного грибовидного микоза. Обычно наблюдаются потеря эластических волокон, эластофагоцитоз и эмпериполез (поглощение лимфоцитов) многоядерными клетками. Эпидермис может быть инфильтрирован мелкими атипичными Т-лимфоцитами с церебриформными ядрами, как и при классическом грибовидном микозе </w:t>
      </w:r>
      <w:r w:rsidR="00062499" w:rsidRPr="0073723C">
        <w:rPr>
          <w:i/>
          <w:iCs/>
        </w:rPr>
        <w:fldChar w:fldCharType="begin" w:fldLock="1"/>
      </w:r>
      <w:r>
        <w:rPr>
          <w:i/>
          <w:iCs/>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i/>
          <w:iCs/>
        </w:rPr>
        <w:fldChar w:fldCharType="separate"/>
      </w:r>
      <w:r w:rsidR="001B7F70" w:rsidRPr="001B7F70">
        <w:rPr>
          <w:iCs/>
          <w:noProof/>
        </w:rPr>
        <w:t>[5]</w:t>
      </w:r>
      <w:r w:rsidR="00062499" w:rsidRPr="0073723C">
        <w:rPr>
          <w:i/>
          <w:iCs/>
        </w:rPr>
        <w:fldChar w:fldCharType="end"/>
      </w:r>
      <w:r>
        <w:rPr>
          <w:i/>
          <w:iCs/>
        </w:rPr>
        <w:t>.</w:t>
      </w:r>
    </w:p>
    <w:p w:rsidR="00660D84" w:rsidRPr="0073723C" w:rsidRDefault="000C307B" w:rsidP="00660D84">
      <w:pPr>
        <w:pStyle w:val="afb"/>
        <w:spacing w:beforeAutospacing="0" w:afterAutospacing="0" w:line="360" w:lineRule="auto"/>
        <w:ind w:left="709" w:firstLine="0"/>
        <w:divId w:val="266810958"/>
        <w:rPr>
          <w:rStyle w:val="affb"/>
        </w:rPr>
      </w:pPr>
      <w:r>
        <w:rPr>
          <w:i/>
          <w:iCs/>
        </w:rPr>
        <w:t xml:space="preserve">При гипопигментном грибовидном микозе обнаруживаются типичная гистологическом картина ранней пятнистой стадии грибовидного микоза. Такие </w:t>
      </w:r>
      <w:r>
        <w:rPr>
          <w:i/>
          <w:iCs/>
        </w:rPr>
        <w:lastRenderedPageBreak/>
        <w:t xml:space="preserve">варианты грибовидного микоза как гиперпигментный, буллезный/везикулезный, пойкилодермический, пигментный пурпуроподобный, пустулезный, ихтиозиформный, ладонно-подошвенный характеризуются теми же гистологическими признаками, что и классический грибовидный микоз </w:t>
      </w:r>
      <w:r w:rsidR="00062499" w:rsidRPr="0073723C">
        <w:rPr>
          <w:i/>
          <w:iCs/>
        </w:rPr>
        <w:fldChar w:fldCharType="begin" w:fldLock="1"/>
      </w:r>
      <w:r>
        <w:rPr>
          <w:i/>
          <w:iCs/>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i/>
          <w:iCs/>
        </w:rPr>
        <w:fldChar w:fldCharType="separate"/>
      </w:r>
      <w:r w:rsidR="001B7F70" w:rsidRPr="001B7F70">
        <w:rPr>
          <w:iCs/>
          <w:noProof/>
        </w:rPr>
        <w:t>[5]</w:t>
      </w:r>
      <w:r w:rsidR="00062499" w:rsidRPr="0073723C">
        <w:rPr>
          <w:i/>
          <w:iCs/>
        </w:rPr>
        <w:fldChar w:fldCharType="end"/>
      </w:r>
      <w:r>
        <w:rPr>
          <w:i/>
          <w:iCs/>
        </w:rPr>
        <w:t>.</w:t>
      </w:r>
    </w:p>
    <w:p w:rsidR="00660D84" w:rsidRPr="0073723C" w:rsidRDefault="000C307B" w:rsidP="00EA610E">
      <w:pPr>
        <w:pStyle w:val="afff7"/>
        <w:divId w:val="266810958"/>
        <w:rPr>
          <w:rStyle w:val="affa"/>
          <w:b w:val="0"/>
        </w:rPr>
      </w:pPr>
      <w:r>
        <w:rPr>
          <w:rStyle w:val="affa"/>
        </w:rPr>
        <w:t>Рекомендуется</w:t>
      </w:r>
      <w:r w:rsidR="001B7F70" w:rsidRPr="001B7F70">
        <w:t xml:space="preserve"> при наличии гистологических признаков грибовидного микоза (лимфопролиферативного заболевания) в морфологической картине </w:t>
      </w:r>
      <w:r w:rsidR="001B7F70" w:rsidRPr="001B7F70">
        <w:rPr>
          <w:color w:val="000000" w:themeColor="text1"/>
        </w:rPr>
        <w:t xml:space="preserve">применение иммуногистохимического метода исследования с использованием антител к </w:t>
      </w:r>
      <w:r w:rsidR="001B7F70" w:rsidRPr="001B7F70">
        <w:t xml:space="preserve">CD2, CD3, CD4, CD5, CD7, CD8, CD20, CD30, </w:t>
      </w:r>
      <w:r w:rsidR="001B7F70" w:rsidRPr="001B7F70">
        <w:rPr>
          <w:lang w:val="en-US"/>
        </w:rPr>
        <w:t>CD</w:t>
      </w:r>
      <w:r w:rsidR="001B7F70" w:rsidRPr="001B7F70">
        <w:t xml:space="preserve">56, </w:t>
      </w:r>
      <w:r w:rsidR="001B7F70" w:rsidRPr="001B7F70">
        <w:rPr>
          <w:lang w:val="en-US"/>
        </w:rPr>
        <w:t>TIA</w:t>
      </w:r>
      <w:r w:rsidR="001B7F70" w:rsidRPr="001B7F70">
        <w:t xml:space="preserve">1, </w:t>
      </w:r>
      <w:r w:rsidR="001B7F70" w:rsidRPr="001B7F70">
        <w:rPr>
          <w:lang w:val="en-US"/>
        </w:rPr>
        <w:t>granzyme</w:t>
      </w:r>
      <w:r w:rsidR="001B7F70" w:rsidRPr="001B7F70">
        <w:t xml:space="preserve"> </w:t>
      </w:r>
      <w:r w:rsidR="001B7F70" w:rsidRPr="001B7F70">
        <w:rPr>
          <w:lang w:val="en-US"/>
        </w:rPr>
        <w:t>B</w:t>
      </w:r>
      <w:r w:rsidR="001B7F70" w:rsidRPr="001B7F70">
        <w:t xml:space="preserve">, </w:t>
      </w:r>
      <w:r w:rsidR="001B7F70" w:rsidRPr="001B7F70">
        <w:rPr>
          <w:lang w:val="en-US"/>
        </w:rPr>
        <w:t>TCR</w:t>
      </w:r>
      <w:r w:rsidR="001B7F70" w:rsidRPr="001B7F70">
        <w:t xml:space="preserve"> (ß</w:t>
      </w:r>
      <w:r w:rsidR="001B7F70" w:rsidRPr="001B7F70">
        <w:rPr>
          <w:lang w:val="en-US"/>
        </w:rPr>
        <w:t>F</w:t>
      </w:r>
      <w:r w:rsidR="001B7F70" w:rsidRPr="001B7F70">
        <w:t xml:space="preserve">1), </w:t>
      </w:r>
      <w:r w:rsidR="001B7F70" w:rsidRPr="001B7F70">
        <w:rPr>
          <w:lang w:val="en-US"/>
        </w:rPr>
        <w:t>TCR</w:t>
      </w:r>
      <w:r w:rsidR="001B7F70" w:rsidRPr="001B7F70">
        <w:t xml:space="preserve">-γ, </w:t>
      </w:r>
      <w:r w:rsidR="001B7F70" w:rsidRPr="001B7F70">
        <w:rPr>
          <w:lang w:val="en-US"/>
        </w:rPr>
        <w:t>CD</w:t>
      </w:r>
      <w:r w:rsidR="001B7F70" w:rsidRPr="001B7F70">
        <w:t>45</w:t>
      </w:r>
      <w:r w:rsidR="001B7F70" w:rsidRPr="001B7F70">
        <w:rPr>
          <w:lang w:val="en-US"/>
        </w:rPr>
        <w:t>RO</w:t>
      </w:r>
      <w:r w:rsidR="001B7F70" w:rsidRPr="001B7F70">
        <w:t xml:space="preserve"> </w:t>
      </w:r>
      <w:r w:rsidR="00062499" w:rsidRPr="001B7F70">
        <w:fldChar w:fldCharType="begin" w:fldLock="1"/>
      </w:r>
      <w:r w:rsidR="001B7F70" w:rsidRPr="001B7F70">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1B7F70">
        <w:fldChar w:fldCharType="separate"/>
      </w:r>
      <w:r w:rsidR="001B7F70" w:rsidRPr="001B7F70">
        <w:rPr>
          <w:noProof/>
        </w:rPr>
        <w:t>[3–5]</w:t>
      </w:r>
      <w:r w:rsidR="00062499" w:rsidRPr="001B7F70">
        <w:fldChar w:fldCharType="end"/>
      </w:r>
      <w:r>
        <w:rPr>
          <w:rStyle w:val="affa"/>
          <w:i/>
          <w:iCs/>
        </w:rPr>
        <w:t>.</w:t>
      </w:r>
    </w:p>
    <w:p w:rsidR="00660D84" w:rsidRPr="0073723C" w:rsidRDefault="000C307B" w:rsidP="00660D84">
      <w:pPr>
        <w:ind w:left="709" w:firstLine="0"/>
        <w:divId w:val="266810958"/>
        <w:rPr>
          <w:rStyle w:val="affa"/>
          <w:rFonts w:eastAsia="Times New Roman"/>
          <w:b w:val="0"/>
          <w:color w:val="000000" w:themeColor="text1"/>
        </w:rPr>
      </w:pPr>
      <w:r>
        <w:rPr>
          <w:rStyle w:val="affa"/>
          <w:rFonts w:eastAsia="Times New Roman"/>
          <w:b w:val="0"/>
          <w:color w:val="000000" w:themeColor="text1"/>
        </w:rPr>
        <w:t>Иммуногистохимические критерии диагностики грибовидного микоза:</w:t>
      </w:r>
    </w:p>
    <w:p w:rsidR="00660D84" w:rsidRPr="0073723C" w:rsidRDefault="000C307B" w:rsidP="00660D84">
      <w:pPr>
        <w:ind w:left="709" w:firstLine="0"/>
        <w:divId w:val="266810958"/>
        <w:rPr>
          <w:rStyle w:val="affb"/>
          <w:i w:val="0"/>
          <w:color w:val="000000" w:themeColor="text1"/>
        </w:rPr>
      </w:pPr>
      <w:r>
        <w:rPr>
          <w:rStyle w:val="affa"/>
          <w:rFonts w:eastAsia="Times New Roman"/>
          <w:b w:val="0"/>
          <w:color w:val="000000" w:themeColor="text1"/>
        </w:rPr>
        <w:t xml:space="preserve">- клетки инфильтрата состоят из </w:t>
      </w:r>
      <w:r>
        <w:rPr>
          <w:rStyle w:val="affb"/>
          <w:color w:val="000000" w:themeColor="text1"/>
        </w:rPr>
        <w:t>α/β</w:t>
      </w:r>
      <w:r>
        <w:rPr>
          <w:rStyle w:val="affb"/>
          <w:i w:val="0"/>
          <w:color w:val="000000" w:themeColor="text1"/>
        </w:rPr>
        <w:t xml:space="preserve"> Т-хелперов – зрелых клеток памяти, которые имеют иммунофенотип: βF1+  </w:t>
      </w:r>
      <w:r>
        <w:rPr>
          <w:rStyle w:val="affb"/>
          <w:i w:val="0"/>
          <w:color w:val="000000" w:themeColor="text1"/>
          <w:lang w:val="en-US"/>
        </w:rPr>
        <w:t>CD</w:t>
      </w:r>
      <w:r>
        <w:rPr>
          <w:rStyle w:val="affb"/>
          <w:i w:val="0"/>
          <w:color w:val="000000" w:themeColor="text1"/>
        </w:rPr>
        <w:t xml:space="preserve">2+ CD3+ CD4+ CD5+ CD7+ CD8- CD45RO+ </w:t>
      </w:r>
      <w:r w:rsidR="00062499" w:rsidRPr="0073723C">
        <w:rPr>
          <w:rFonts w:eastAsia="Times New Roman"/>
        </w:rPr>
        <w:fldChar w:fldCharType="begin" w:fldLock="1"/>
      </w:r>
      <w:r w:rsidR="001B7F70" w:rsidRPr="001B7F70">
        <w:rPr>
          <w:rFonts w:eastAsia="Times New Roman"/>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73723C">
        <w:rPr>
          <w:rFonts w:eastAsia="Times New Roman"/>
        </w:rPr>
        <w:fldChar w:fldCharType="separate"/>
      </w:r>
      <w:r w:rsidR="000D098F" w:rsidRPr="0073723C">
        <w:rPr>
          <w:rFonts w:eastAsia="Times New Roman"/>
          <w:noProof/>
        </w:rPr>
        <w:t>[3–5]</w:t>
      </w:r>
      <w:r w:rsidR="00062499" w:rsidRPr="0073723C">
        <w:rPr>
          <w:rFonts w:eastAsia="Times New Roman"/>
        </w:rPr>
        <w:fldChar w:fldCharType="end"/>
      </w:r>
      <w:r w:rsidR="00CE089D" w:rsidRPr="0073723C">
        <w:rPr>
          <w:rStyle w:val="affb"/>
          <w:i w:val="0"/>
          <w:color w:val="000000" w:themeColor="text1"/>
        </w:rPr>
        <w:t>;</w:t>
      </w:r>
    </w:p>
    <w:p w:rsidR="00660D84" w:rsidRPr="0073723C" w:rsidRDefault="00CE089D" w:rsidP="00660D84">
      <w:pPr>
        <w:autoSpaceDE w:val="0"/>
        <w:autoSpaceDN w:val="0"/>
        <w:adjustRightInd w:val="0"/>
        <w:ind w:left="709" w:firstLine="0"/>
        <w:jc w:val="left"/>
        <w:divId w:val="266810958"/>
        <w:rPr>
          <w:rStyle w:val="affb"/>
          <w:i w:val="0"/>
          <w:iCs w:val="0"/>
          <w:color w:val="FF0000"/>
          <w:sz w:val="16"/>
          <w:szCs w:val="16"/>
          <w:u w:val="single"/>
          <w:lang w:eastAsia="ru-RU"/>
        </w:rPr>
      </w:pPr>
      <w:r w:rsidRPr="0073723C">
        <w:rPr>
          <w:rStyle w:val="affb"/>
          <w:i w:val="0"/>
          <w:color w:val="000000" w:themeColor="text1"/>
        </w:rPr>
        <w:t xml:space="preserve">- </w:t>
      </w:r>
      <w:r w:rsidR="004112F1" w:rsidRPr="0073723C">
        <w:rPr>
          <w:rStyle w:val="affb"/>
          <w:i w:val="0"/>
          <w:color w:val="000000" w:themeColor="text1"/>
        </w:rPr>
        <w:t xml:space="preserve">потеря </w:t>
      </w:r>
      <w:r w:rsidRPr="0073723C">
        <w:rPr>
          <w:rStyle w:val="affb"/>
          <w:i w:val="0"/>
          <w:color w:val="000000" w:themeColor="text1"/>
        </w:rPr>
        <w:t xml:space="preserve">экспрессии лимфоцитами маркера </w:t>
      </w:r>
      <w:r w:rsidRPr="0073723C">
        <w:rPr>
          <w:rStyle w:val="affb"/>
          <w:i w:val="0"/>
          <w:color w:val="000000" w:themeColor="text1"/>
          <w:lang w:val="en-US"/>
        </w:rPr>
        <w:t>CD</w:t>
      </w:r>
      <w:r w:rsidRPr="0073723C">
        <w:rPr>
          <w:rStyle w:val="affb"/>
          <w:i w:val="0"/>
          <w:color w:val="000000" w:themeColor="text1"/>
        </w:rPr>
        <w:t>7 более чем на 10%</w:t>
      </w:r>
      <w:r w:rsidR="000D098F" w:rsidRPr="0073723C">
        <w:rPr>
          <w:rStyle w:val="affb"/>
          <w:i w:val="0"/>
          <w:color w:val="000000" w:themeColor="text1"/>
        </w:rPr>
        <w:t xml:space="preserve"> </w:t>
      </w:r>
      <w:r w:rsidR="00062499" w:rsidRPr="0073723C">
        <w:rPr>
          <w:rStyle w:val="affb"/>
          <w:i w:val="0"/>
          <w:color w:val="000000" w:themeColor="text1"/>
        </w:rPr>
        <w:fldChar w:fldCharType="begin" w:fldLock="1"/>
      </w:r>
      <w:r w:rsidR="000C307B">
        <w:rPr>
          <w:rStyle w:val="affb"/>
          <w:i w:val="0"/>
          <w:color w:val="000000" w:themeColor="text1"/>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(EORTC)","type":"article","volume":"110"},"uris":["http://www.mendeley.com/documents/?uuid=5ce55666-1265-39b6-bdc7-8edcb4f47df4"]},{"id":"ITEM-2","itemData":{"DOI":"10.1111/bjh.15258","ISSN":"13652141","PMID":"29672827","abstract":"Different models to investigate the prognosis of peripheral T cell lymphoma not otherwise specified (PTCL-NOS) have been developed by means of retrospective analyses. Here we report on a new model designed on data from the prospective T Cell Project. Twelve covariates collected by the T Cell Project were analysed and a new model (T cell score), based on four covariates (serum albumin, performance status, stage and absolute neutrophil count) that maintained their prognostic value in multiple Cox proportional hazards regression analysis was proposed. Among patients registered in the T Cell Project, 311 PTCL-NOS were retained for study. At a median follow-up of 46 months, the median overall survival (OS) and progression-free survival (PFS) was 20 and 10 months, respectively. Three groups were identified at low risk (LR, 48 patients, 15%, score 0), intermediate risk (IR, 189 patients, 61%, score 1–2), and high risk (HiR, 74 patients, 24%, score 3–4), having a 3-year OS of 76% [95% confidence interval 61–88], 43% [35–51], and 11% [4–21], respectively (P &lt; 0·001). Comparing the performance of the T cell score on OS to that of each of the previously developed models, it emerged that the new score had the best discriminant power. The new T cell score, based on clinical variables, identifies a group with very unfavourable outcomes.","author":[{"dropping-particle":"","family":"Federico","given":"Massimo","non-dropping-particle":"","parse-names":false,"suffix":""},{"dropping-particle":"","family":"Bellei","given":"Monica","non-dropping-particle":"","parse-names":false,"suffix":""},{"dropping-particle":"","family":"Marcheselli","given":"Luigi","non-dropping-particle":"","parse-names":false,"suffix":""},{"dropping-particle":"","family":"Schwartz","given":"Marc","non-dropping-particle":"","parse-names":false,"suffix":""},{"dropping-particle":"","family":"Manni","given":"Martina","non-dropping-particle":"","parse-names":false,"suffix":""},{"dropping-particle":"","family":"Tarantino","given":"Vittoria","non-dropping-particle":"","parse-names":false,"suffix":""},{"dropping-particle":"","family":"Pileri","given":"Stefano","non-dropping-particle":"","parse-names":false,"suffix":""},{"dropping-particle":"","family":"Ko","given":"Young Hyeh","non-dropping-particle":"","parse-names":false,"suffix":""},{"dropping-particle":"","family":"Cabrera","given":"Maria E.","non-dropping-particle":"","parse-names":false,"suffix":""},{"dropping-particle":"","family":"Horwitz","given":"Steven","non-dropping-particle":"","parse-names":false,"suffix":""},{"dropping-particle":"","family":"Kim","given":"Won S.","non-dropping-particle":"","parse-names":false,"suffix":""},{"dropping-particle":"","family":"Shustov","given":"Andrei","non-dropping-particle":"","parse-names":false,"suffix":""},{"dropping-particle":"","family":"Foss","given":"Francine M.","non-dropping-particle":"","parse-names":false,"suffix":""},{"dropping-particle":"","family":"Nagler","given":"Arnon","non-dropping-particle":"","parse-names":false,"suffix":""},{"dropping-particle":"","family":"Carson","given":"Kenneth","non-dropping-particle":"","parse-names":false,"suffix":""},{"dropping-particle":"","family":"Pinter-Brown","given":"Lauren C.","non-dropping-particle":"","parse-names":false,"suffix":""},{"dropping-particle":"","family":"Montoto","given":"Silvia","non-dropping-particle":"","parse-names":false,"suffix":""},{"dropping-particle":"","family":"Spina","given":"Michele","non-dropping-particle":"","parse-names":false,"suffix":""},{"dropping-particle":"","family":"Feldman","given":"Tatyana A.","non-dropping-particle":"","parse-names":false,"suffix":""},{"dropping-particle":"","family":"Lechowicz","given":"Mary J.","non-dropping-particle":"","parse-names":false,"suffix":""},{"dropping-particle":"","family":"Smith","given":"Sonali M.","non-dropping-particle":"","parse-names":false,"suffix":""},{"dropping-particle":"","family":"Lansigan","given":"Frederick","non-dropping-particle":"","parse-names":false,"suffix":""},{"dropping-particle":"","family":"Gabus","given":"Raul","non-dropping-particle":"","parse-names":false,"suffix":""},{"dropping-particle":"","family":"Vose","given":"Julie M.","non-dropping-particle":"","parse-names":false,"suffix":""},{"dropping-particle":"","family":"Advani","given":"Ranjana H.","non-dropping-particle":"","parse-names":false,"suffix":""}],"container-title":"British Journal of Haematology","id":"ITEM-2","issue":"6","issued":{"date-parts":[["2018","6","1"]]},"page":"760-769","publisher":"Blackwell Publishing Ltd","title":"Peripheral T cell lymphoma, not otherwise specified (PTCL-NOS). A new prognostic model developed by the International T cell Project Network","type":"article-journal","volume":"181"},"uris":["http://www.mendeley.com/documents/?uuid=337f5bd5-c94e-3bce-8b99-6e8d9872d3ea"]}],"mendeley":{"formattedCitation":"[6,16]","plainTextFormattedCitation":"[6,16]","previouslyFormattedCitation":"[6,16]"},"properties":{"noteIndex":0},"schema":"https://github.com/citation-style-language/schema/raw/master/csl-citation.json"}</w:instrText>
      </w:r>
      <w:r w:rsidR="00062499" w:rsidRPr="0073723C">
        <w:rPr>
          <w:rStyle w:val="affb"/>
          <w:i w:val="0"/>
          <w:color w:val="000000" w:themeColor="text1"/>
        </w:rPr>
        <w:fldChar w:fldCharType="separate"/>
      </w:r>
      <w:r w:rsidR="000D098F" w:rsidRPr="0073723C">
        <w:rPr>
          <w:rStyle w:val="affb"/>
          <w:i w:val="0"/>
          <w:noProof/>
          <w:color w:val="000000" w:themeColor="text1"/>
        </w:rPr>
        <w:t>[6,16]</w:t>
      </w:r>
      <w:r w:rsidR="00062499" w:rsidRPr="0073723C">
        <w:rPr>
          <w:rStyle w:val="affb"/>
          <w:i w:val="0"/>
          <w:color w:val="000000" w:themeColor="text1"/>
        </w:rPr>
        <w:fldChar w:fldCharType="end"/>
      </w:r>
      <w:r w:rsidRPr="0073723C">
        <w:rPr>
          <w:color w:val="000000" w:themeColor="text1"/>
          <w:szCs w:val="24"/>
          <w:lang w:eastAsia="ru-RU"/>
        </w:rPr>
        <w:t>.</w:t>
      </w:r>
    </w:p>
    <w:p w:rsidR="00660D84" w:rsidRPr="0073723C" w:rsidRDefault="00CE089D" w:rsidP="00660D84">
      <w:pPr>
        <w:ind w:left="709" w:firstLine="0"/>
        <w:divId w:val="266810958"/>
        <w:rPr>
          <w:rStyle w:val="affb"/>
          <w:i w:val="0"/>
          <w:color w:val="000000" w:themeColor="text1"/>
        </w:rPr>
      </w:pPr>
      <w:r w:rsidRPr="0073723C">
        <w:rPr>
          <w:rStyle w:val="affb"/>
          <w:i w:val="0"/>
          <w:color w:val="000000" w:themeColor="text1"/>
        </w:rPr>
        <w:t>- полная или частичная потеря экспрессии пан-Т-клеточных антигенов CD2, CD3, CD5 и CD7 на поздних стадиях</w:t>
      </w:r>
      <w:r w:rsidR="000D098F" w:rsidRPr="0073723C">
        <w:rPr>
          <w:rStyle w:val="affb"/>
          <w:i w:val="0"/>
          <w:color w:val="000000" w:themeColor="text1"/>
        </w:rPr>
        <w:t xml:space="preserve"> </w:t>
      </w:r>
      <w:r w:rsidR="00062499" w:rsidRPr="0073723C">
        <w:rPr>
          <w:rFonts w:eastAsia="Times New Roman"/>
        </w:rPr>
        <w:fldChar w:fldCharType="begin" w:fldLock="1"/>
      </w:r>
      <w:r w:rsidR="001B7F70" w:rsidRPr="001B7F70">
        <w:rPr>
          <w:rFonts w:eastAsia="Times New Roman"/>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73723C">
        <w:rPr>
          <w:rFonts w:eastAsia="Times New Roman"/>
        </w:rPr>
        <w:fldChar w:fldCharType="separate"/>
      </w:r>
      <w:r w:rsidR="000D098F" w:rsidRPr="0073723C">
        <w:rPr>
          <w:rFonts w:eastAsia="Times New Roman"/>
          <w:noProof/>
        </w:rPr>
        <w:t>[3–5]</w:t>
      </w:r>
      <w:r w:rsidR="00062499" w:rsidRPr="0073723C">
        <w:rPr>
          <w:rFonts w:eastAsia="Times New Roman"/>
        </w:rPr>
        <w:fldChar w:fldCharType="end"/>
      </w:r>
      <w:r w:rsidRPr="0073723C">
        <w:rPr>
          <w:rStyle w:val="affb"/>
          <w:i w:val="0"/>
          <w:color w:val="000000" w:themeColor="text1"/>
        </w:rPr>
        <w:t>;</w:t>
      </w:r>
    </w:p>
    <w:p w:rsidR="0083040F" w:rsidRPr="0073723C" w:rsidRDefault="0083040F" w:rsidP="00660D84">
      <w:pPr>
        <w:ind w:left="709" w:firstLine="0"/>
        <w:divId w:val="266810958"/>
        <w:rPr>
          <w:rStyle w:val="affb"/>
          <w:i w:val="0"/>
          <w:color w:val="000000" w:themeColor="text1"/>
        </w:rPr>
      </w:pPr>
      <w:r w:rsidRPr="0073723C">
        <w:rPr>
          <w:iCs/>
          <w:color w:val="000000" w:themeColor="text1"/>
        </w:rPr>
        <w:t xml:space="preserve">-диссоциация иммунофенотипа интраэпидермального и дермального лимфоидного компонента (со слабой экспрессией и утратой экспрессии части антигенов таких как:  </w:t>
      </w:r>
      <w:r w:rsidRPr="0073723C">
        <w:rPr>
          <w:iCs/>
          <w:color w:val="000000" w:themeColor="text1"/>
          <w:lang w:val="en-US"/>
        </w:rPr>
        <w:t>CD</w:t>
      </w:r>
      <w:r w:rsidRPr="0073723C">
        <w:rPr>
          <w:iCs/>
          <w:color w:val="000000" w:themeColor="text1"/>
        </w:rPr>
        <w:t xml:space="preserve">2, </w:t>
      </w:r>
      <w:r w:rsidRPr="0073723C">
        <w:rPr>
          <w:iCs/>
          <w:color w:val="000000" w:themeColor="text1"/>
          <w:lang w:val="en-US"/>
        </w:rPr>
        <w:t>CD</w:t>
      </w:r>
      <w:r w:rsidRPr="0073723C">
        <w:rPr>
          <w:iCs/>
          <w:color w:val="000000" w:themeColor="text1"/>
        </w:rPr>
        <w:t xml:space="preserve">3, </w:t>
      </w:r>
      <w:r w:rsidRPr="0073723C">
        <w:rPr>
          <w:iCs/>
          <w:color w:val="000000" w:themeColor="text1"/>
          <w:lang w:val="en-US"/>
        </w:rPr>
        <w:t>CD</w:t>
      </w:r>
      <w:r w:rsidR="001B7F70" w:rsidRPr="001B7F70">
        <w:rPr>
          <w:iCs/>
          <w:color w:val="000000" w:themeColor="text1"/>
        </w:rPr>
        <w:t xml:space="preserve">4, </w:t>
      </w:r>
      <w:r w:rsidR="001B7F70" w:rsidRPr="001B7F70">
        <w:rPr>
          <w:iCs/>
          <w:color w:val="000000" w:themeColor="text1"/>
          <w:lang w:val="en-US"/>
        </w:rPr>
        <w:t>CD</w:t>
      </w:r>
      <w:r w:rsidR="001B7F70" w:rsidRPr="001B7F70">
        <w:rPr>
          <w:iCs/>
          <w:color w:val="000000" w:themeColor="text1"/>
        </w:rPr>
        <w:t xml:space="preserve">5, </w:t>
      </w:r>
      <w:r w:rsidR="001B7F70" w:rsidRPr="001B7F70">
        <w:rPr>
          <w:iCs/>
          <w:color w:val="000000" w:themeColor="text1"/>
          <w:lang w:val="en-US"/>
        </w:rPr>
        <w:t>CD</w:t>
      </w:r>
      <w:r w:rsidR="001B7F70" w:rsidRPr="001B7F70">
        <w:rPr>
          <w:iCs/>
          <w:color w:val="000000" w:themeColor="text1"/>
        </w:rPr>
        <w:t>7)</w:t>
      </w:r>
    </w:p>
    <w:p w:rsidR="00660D84" w:rsidRPr="0073723C" w:rsidRDefault="000C307B" w:rsidP="00660D84">
      <w:pPr>
        <w:autoSpaceDE w:val="0"/>
        <w:autoSpaceDN w:val="0"/>
        <w:adjustRightInd w:val="0"/>
        <w:ind w:left="709" w:firstLine="0"/>
        <w:divId w:val="266810958"/>
        <w:rPr>
          <w:color w:val="FF0000"/>
          <w:szCs w:val="24"/>
          <w:u w:val="single"/>
          <w:lang w:eastAsia="ru-RU"/>
        </w:rPr>
      </w:pPr>
      <w:r>
        <w:rPr>
          <w:rStyle w:val="affb"/>
          <w:i w:val="0"/>
          <w:color w:val="000000" w:themeColor="text1"/>
        </w:rPr>
        <w:t xml:space="preserve">- Увеличение соотношения </w:t>
      </w:r>
      <w:r>
        <w:rPr>
          <w:rStyle w:val="affb"/>
          <w:i w:val="0"/>
          <w:color w:val="000000" w:themeColor="text1"/>
          <w:lang w:val="en-US"/>
        </w:rPr>
        <w:t>CD</w:t>
      </w:r>
      <w:r>
        <w:rPr>
          <w:rStyle w:val="affb"/>
          <w:i w:val="0"/>
          <w:color w:val="000000" w:themeColor="text1"/>
        </w:rPr>
        <w:t>4/</w:t>
      </w:r>
      <w:r>
        <w:rPr>
          <w:rStyle w:val="affb"/>
          <w:i w:val="0"/>
          <w:color w:val="000000" w:themeColor="text1"/>
          <w:lang w:val="en-US"/>
        </w:rPr>
        <w:t>CD</w:t>
      </w:r>
      <w:r>
        <w:rPr>
          <w:rStyle w:val="affb"/>
          <w:i w:val="0"/>
          <w:color w:val="000000" w:themeColor="text1"/>
        </w:rPr>
        <w:t xml:space="preserve">8 (более чем 8/1) </w:t>
      </w:r>
      <w:r w:rsidR="00062499" w:rsidRPr="0073723C">
        <w:rPr>
          <w:rStyle w:val="affb"/>
          <w:i w:val="0"/>
          <w:color w:val="000000" w:themeColor="text1"/>
        </w:rPr>
        <w:fldChar w:fldCharType="begin" w:fldLock="1"/>
      </w:r>
      <w:r>
        <w:rPr>
          <w:rStyle w:val="affb"/>
          <w:i w:val="0"/>
          <w:color w:val="000000" w:themeColor="text1"/>
        </w:rPr>
        <w:instrText>ADDIN CSL_CITATION {"citationItems":[{"id":"ITEM-1","itemData":{"DOI":"10.1038/jid.2012.13","ISSN":"15231747","abstract":"The lack of a specific marker differentiating early mycosis fungoides (eMF) from benign inflammatory dermatitis presents significant difficulties in the assessment and management of suspected MF patients, which often leads to delayed diagnosis and improper medical approaches. To address this, an investigation was carried out to characterize positive identification markers for eMF by comparing eMF lesions with healthy skin and benign inflammatory dermatitis, using high-throughput genomic transcription profiling. A total of 349 genes were differentially expressed in eMF lesions compared with normal skin. These genes belong to pathways associated with inflammation, immune activation, and apoptosis regulation. Most of them (N330) also demonstrated significant upregulation in chronic dermatitis, making them nonideal markers for eMF. Among them, 19 genes with specific enrichment in eMF lesions were identified that showed no significant upregulation in chronic dermatitis. Two of them, TOX and PDCD1, showed high discrimination power between eMF lesions and biopsies from benign dermatitis by RNA expression. Furthermore, TOX demonstrated highly specific staining of MF cells in eMF skin biopsies in immunohistochemistry and immunofluorescence, including the early epidermotropic cells in Pautrier's microabscesses. This study demonstrates the potential of eMF-enriched genes, especially TOX, as molecular markers for histological diagnosis of eMF, which currently is a major diagnostic challenge. © 2012 The Society for Investigative Dermatology.","author":[{"dropping-particle":"","family":"Zhang","given":"Yaohua","non-dropping-particle":"","parse-names":false,"suffix":""},{"dropping-particle":"","family":"Wang","given":"Yang","non-dropping-particle":"","parse-names":false,"suffix":""},{"dropping-particle":"","family":"Yu","given":"Richard","non-dropping-particle":"","parse-names":false,"suffix":""},{"dropping-particle":"","family":"Huang","given":"Yuanshen","non-dropping-particle":"","parse-names":false,"suffix":""},{"dropping-particle":"","family":"Su","given":"Mingwan","non-dropping-particle":"","parse-names":false,"suffix":""},{"dropping-particle":"","family":"Xiao","given":"Cheng","non-dropping-particle":"","parse-names":false,"suffix":""},{"dropping-particle":"","family":"Martinka","given":"Magdalena","non-dropping-particle":"","parse-names":false,"suffix":""},{"dropping-particle":"","family":"Dutz","given":"Jan P.","non-dropping-particle":"","parse-names":false,"suffix":""},{"dropping-particle":"","family":"Zhang","given":"Xuejun","non-dropping-particle":"","parse-names":false,"suffix":""},{"dropping-particle":"","family":"Zheng","given":"Zhizhong","non-dropping-particle":"","parse-names":false,"suffix":""},{"dropping-particle":"","family":"Zhou","given":"Youwen","non-dropping-particle":"","parse-names":false,"suffix":""}],"container-title":"Journal of Investigative Dermatology","id":"ITEM-1","issue":"6","issued":{"date-parts":[["2012"]]},"page":"1698-1706","publisher":"Nature Publishing Group","title":"Molecular markers of early-stage mycosis fungoides","type":"article-journal","volume":"132"},"uris":["http://www.mendeley.com/documents/?uuid=babc3db4-d297-3b3a-baee-a15f5bf863e8"]}],"mendeley":{"formattedCitation":"[33]","plainTextFormattedCitation":"[33]","previouslyFormattedCitation":"[33]"},"properties":{"noteIndex":0},"schema":"https://github.com/citation-style-language/schema/raw/master/csl-citation.json"}</w:instrText>
      </w:r>
      <w:r w:rsidR="00062499" w:rsidRPr="0073723C">
        <w:rPr>
          <w:rStyle w:val="affb"/>
          <w:i w:val="0"/>
          <w:color w:val="000000" w:themeColor="text1"/>
        </w:rPr>
        <w:fldChar w:fldCharType="separate"/>
      </w:r>
      <w:r w:rsidR="000D098F" w:rsidRPr="0073723C">
        <w:rPr>
          <w:rStyle w:val="affb"/>
          <w:i w:val="0"/>
          <w:noProof/>
          <w:color w:val="000000" w:themeColor="text1"/>
        </w:rPr>
        <w:t>[33]</w:t>
      </w:r>
      <w:r w:rsidR="00062499" w:rsidRPr="0073723C">
        <w:rPr>
          <w:rStyle w:val="affb"/>
          <w:i w:val="0"/>
          <w:color w:val="000000" w:themeColor="text1"/>
        </w:rPr>
        <w:fldChar w:fldCharType="end"/>
      </w:r>
      <w:r w:rsidR="00CE089D" w:rsidRPr="0073723C">
        <w:rPr>
          <w:color w:val="000000" w:themeColor="text1"/>
          <w:szCs w:val="24"/>
          <w:lang w:eastAsia="ru-RU"/>
        </w:rPr>
        <w:t>.</w:t>
      </w:r>
    </w:p>
    <w:p w:rsidR="00660D84" w:rsidRPr="0073723C" w:rsidRDefault="00CE089D" w:rsidP="00660D84">
      <w:pPr>
        <w:pStyle w:val="afb"/>
        <w:spacing w:beforeAutospacing="0" w:afterAutospacing="0" w:line="360" w:lineRule="auto"/>
        <w:ind w:left="709" w:firstLine="0"/>
        <w:divId w:val="266810958"/>
        <w:rPr>
          <w:rFonts w:eastAsiaTheme="minorEastAsia"/>
          <w:b/>
        </w:rPr>
      </w:pPr>
      <w:r w:rsidRPr="0073723C">
        <w:rPr>
          <w:rStyle w:val="affa"/>
        </w:rPr>
        <w:t xml:space="preserve">Уровень убедительности рекомендаций </w:t>
      </w:r>
      <w:r w:rsidRPr="0073723C">
        <w:rPr>
          <w:rStyle w:val="affa"/>
        </w:rPr>
        <w:softHyphen/>
        <w:t xml:space="preserve">С </w:t>
      </w:r>
      <w:r w:rsidRPr="0073723C">
        <w:rPr>
          <w:b/>
        </w:rPr>
        <w:t>(уровень достоверности доказательств – 5)</w:t>
      </w:r>
    </w:p>
    <w:p w:rsidR="00660D84" w:rsidRPr="0073723C" w:rsidRDefault="00CE089D" w:rsidP="00660D84">
      <w:pPr>
        <w:ind w:left="567" w:firstLine="0"/>
        <w:divId w:val="266810958"/>
        <w:rPr>
          <w:i/>
        </w:rPr>
      </w:pPr>
      <w:r w:rsidRPr="0073723C">
        <w:rPr>
          <w:rStyle w:val="affa"/>
        </w:rPr>
        <w:t xml:space="preserve">Комментарии: </w:t>
      </w:r>
      <w:r w:rsidRPr="0073723C">
        <w:rPr>
          <w:i/>
          <w:color w:val="000000" w:themeColor="text1"/>
          <w:szCs w:val="24"/>
          <w:lang w:eastAsia="ru-RU"/>
        </w:rPr>
        <w:t xml:space="preserve">приведенные диагностические критерии являются наиболее часто встречающимися при классическом варианте течения грибовидного микоза, </w:t>
      </w:r>
      <w:r w:rsidR="000C307B">
        <w:rPr>
          <w:rStyle w:val="affb"/>
        </w:rPr>
        <w:t>характеризующиеся инфильтратом из зрелых клеток памяти (α/β Т-хелперов)</w:t>
      </w:r>
      <w:r w:rsidR="000C307B" w:rsidRPr="000C307B">
        <w:rPr>
          <w:i/>
          <w:color w:val="000000" w:themeColor="text1"/>
          <w:szCs w:val="24"/>
          <w:lang w:eastAsia="ru-RU"/>
        </w:rPr>
        <w:t>.</w:t>
      </w:r>
      <w:r w:rsidR="000C307B" w:rsidRPr="000C307B">
        <w:rPr>
          <w:i/>
          <w:color w:val="000000" w:themeColor="text1"/>
        </w:rPr>
        <w:t xml:space="preserve"> Реже встречаются</w:t>
      </w:r>
      <w:r w:rsidR="001B7F70" w:rsidRPr="001B7F70">
        <w:rPr>
          <w:i/>
          <w:color w:val="000000" w:themeColor="text1"/>
          <w:szCs w:val="24"/>
          <w:lang w:eastAsia="ru-RU"/>
        </w:rPr>
        <w:t xml:space="preserve"> иные фенотипы -</w:t>
      </w:r>
      <w:r w:rsidR="000C307B">
        <w:rPr>
          <w:rStyle w:val="affb"/>
        </w:rPr>
        <w:t xml:space="preserve">Т-цитотоксический (βF1+ CD3+ CD4- CD5+ CD8+) и γ/δ (βF1- CD3+ CD4- CD5+ CD8+) фенотипы. В этих случаях необходимо клинико-морфологическая корреляция – сопоставление клинических проявлений заболевания и гистологической картины для исключения CD8+ агрессивной эпидермотропной Т-клеточной лимфомы и γ/δ Т-клеточной лимфомы. В поздних стадиях грибовидного микоаз может наблюдаться полная или частичная потеря экспрессии пан-Т-клеточных антигенов CD2, CD3, CD5 и CD7, появление экспрессии цитотоксических протеинов TIA-1, гранзима В и перфорина, а также аберрантный CD4+/CD8+ или CD4-/CD8- фенотип </w:t>
      </w:r>
      <w:r w:rsidR="000C307B" w:rsidRPr="000C307B">
        <w:rPr>
          <w:rFonts w:eastAsia="Times New Roman"/>
          <w:i/>
          <w:lang w:eastAsia="ru-RU"/>
        </w:rPr>
        <w:t xml:space="preserve">Отсутствие экспрессии пан-Т-клеточного антигена </w:t>
      </w:r>
      <w:r w:rsidR="000C307B" w:rsidRPr="000C307B">
        <w:rPr>
          <w:rFonts w:eastAsia="Times New Roman"/>
          <w:i/>
          <w:lang w:val="en-US" w:eastAsia="ru-RU"/>
        </w:rPr>
        <w:t>CD</w:t>
      </w:r>
      <w:r w:rsidR="001B7F70" w:rsidRPr="001B7F70">
        <w:rPr>
          <w:rFonts w:eastAsia="Times New Roman"/>
          <w:i/>
          <w:lang w:eastAsia="ru-RU"/>
        </w:rPr>
        <w:t xml:space="preserve">7 на опухолевых клетках не является информативным, так как может обнаруживаться и </w:t>
      </w:r>
      <w:r w:rsidR="001B7F70" w:rsidRPr="001B7F70">
        <w:rPr>
          <w:rFonts w:eastAsia="Times New Roman"/>
          <w:i/>
          <w:lang w:eastAsia="ru-RU"/>
        </w:rPr>
        <w:lastRenderedPageBreak/>
        <w:t xml:space="preserve">при воспалительных дерматозах </w:t>
      </w:r>
      <w:r w:rsidR="00062499" w:rsidRPr="0073723C">
        <w:rPr>
          <w:rFonts w:eastAsia="Times New Roman"/>
        </w:rPr>
        <w:fldChar w:fldCharType="begin" w:fldLock="1"/>
      </w:r>
      <w:r w:rsidR="001B7F70" w:rsidRPr="001B7F70">
        <w:rPr>
          <w:rFonts w:eastAsia="Times New Roman"/>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73723C">
        <w:rPr>
          <w:rFonts w:eastAsia="Times New Roman"/>
        </w:rPr>
        <w:fldChar w:fldCharType="separate"/>
      </w:r>
      <w:r w:rsidR="000D098F" w:rsidRPr="0073723C">
        <w:rPr>
          <w:rFonts w:eastAsia="Times New Roman"/>
          <w:noProof/>
        </w:rPr>
        <w:t>[3–5]</w:t>
      </w:r>
      <w:r w:rsidR="00062499" w:rsidRPr="0073723C">
        <w:rPr>
          <w:rFonts w:eastAsia="Times New Roman"/>
        </w:rPr>
        <w:fldChar w:fldCharType="end"/>
      </w:r>
      <w:r w:rsidRPr="0073723C">
        <w:rPr>
          <w:rFonts w:eastAsia="Times New Roman"/>
          <w:i/>
          <w:lang w:eastAsia="ru-RU"/>
        </w:rPr>
        <w:t>.</w:t>
      </w:r>
      <w:r w:rsidR="000D098F" w:rsidRPr="0073723C">
        <w:rPr>
          <w:i/>
        </w:rPr>
        <w:t xml:space="preserve"> </w:t>
      </w:r>
      <w:r w:rsidRPr="0073723C">
        <w:rPr>
          <w:i/>
        </w:rPr>
        <w:t xml:space="preserve">Практически во всех случаях фолликулотропного грибовидного микоза неопластические клетки имеют фенотип </w:t>
      </w:r>
      <w:r w:rsidRPr="0073723C">
        <w:rPr>
          <w:i/>
          <w:lang w:val="en-US"/>
        </w:rPr>
        <w:t>CD</w:t>
      </w:r>
      <w:r w:rsidRPr="0073723C">
        <w:rPr>
          <w:i/>
        </w:rPr>
        <w:t>3+/</w:t>
      </w:r>
      <w:r w:rsidRPr="0073723C">
        <w:rPr>
          <w:i/>
          <w:lang w:val="en-US"/>
        </w:rPr>
        <w:t>CD</w:t>
      </w:r>
      <w:r w:rsidRPr="0073723C">
        <w:rPr>
          <w:i/>
        </w:rPr>
        <w:t>4+/</w:t>
      </w:r>
      <w:r w:rsidRPr="0073723C">
        <w:rPr>
          <w:i/>
          <w:lang w:val="en-US"/>
        </w:rPr>
        <w:t>CD</w:t>
      </w:r>
      <w:r w:rsidRPr="0073723C">
        <w:rPr>
          <w:i/>
        </w:rPr>
        <w:t>8−, как и при классическом грибовидном микозе</w:t>
      </w:r>
      <w:r w:rsidR="006A6A4C" w:rsidRPr="0073723C">
        <w:rPr>
          <w:i/>
        </w:rPr>
        <w:t xml:space="preserve"> </w:t>
      </w:r>
      <w:r w:rsidR="00062499" w:rsidRPr="0073723C">
        <w:rPr>
          <w:i/>
        </w:rPr>
        <w:fldChar w:fldCharType="begin" w:fldLock="1"/>
      </w:r>
      <w:r w:rsidR="001B7F70" w:rsidRPr="001B7F70">
        <w:rPr>
          <w:i/>
        </w:rPr>
        <w:instrText>ADDIN CSL_CITATION {"citationItems":[{"id":"ITEM-1","itemData":{"DOI":"10.1097/PAS.0b013e3180439bdc","ISSN":"01475185","PMID":"17721200","abstract":"BACKGROUND: Since the original designation of folliculotropic mycosis fungoides (FMF) as a distinct entity, there has been an increasing appreciation of the broad clinical and histopathologic spectrum with which this disease can present. However, there have been few large histologic studies characterizing the various histopathologic patterns. OBJECTIVE: In this study, we attempt to describe the histopathologic and immunohistochemical features of 47 biopsy specimens from 34 patients with FMF. METHODS: We searched our lymphoma database for patients with FMF in which detailed histopathologic information and slides as well as clinical information was available for review. Additionally, immunohistochemical studies for CD4, CD8, and CD1a were performed in all cases in which the block was available. RESULTS: In addition to the prototypical pattern of a folliculotropic lypmphoid infiltrate with or without mucinosis, the histologic features of follicular mycosis fungoides may include a granulomatous reaction, cystic and comedonal changes, an eosinophilic folliculitis pattern and basaloid folliculolymphoid hyperplasia as well as pustular changes, interface dermatitis and an interstitial dermatitislike pattern. Unlike conventional mycosis fungoides, eosinophils and plasma cells are conspicuous within the accompanying reactive infiltrate. We have also noted an exceedingly high number of Langerhans cells within the follicular epithelium. The CD4:CD8 ratio frequently is 10:1 or greater and the follicles show abundant CD1a positive cells. CONCLUSIONS: FMF may present with a broad spectrum of histopathologic changes including interstitial, granulomatous, fibrotic and acneiform reactions that may lack the typical histologic attributes of a cutaneous T-cell lymphoma. Recognition of these myriad of histologic presentations can be of great diagnostic utility. © 2007 Lippincott Williams &amp; Wilkins, Inc.","author":[{"dropping-particle":"","family":"Gerami","given":"Pedram","non-dropping-particle":"","parse-names":false,"suffix":""},{"dropping-particle":"","family":"Guitart","given":"Joan","non-dropping-particle":"","parse-names":false,"suffix":""}],"container-title":"American Journal of Surgical Pathology","id":"ITEM-1","issue":"9","issued":{"date-parts":[["2007","9"]]},"page":"1430-1438","publisher":"Am J Surg Pathol","title":"The spectrum of histopathologic and immunohistochemical findings in folliculotropic mycosis fungoides","type":"article-journal","volume":"31"},"uris":["http://www.mendeley.com/documents/?uuid=afb70574-25e6-3042-9250-aaa9440002ed"]}],"mendeley":{"formattedCitation":"[22]","plainTextFormattedCitation":"[22]","previouslyFormattedCitation":"[22]"},"properties":{"noteIndex":0},"schema":"https://github.com/citation-style-language/schema/raw/master/csl-citation.json"}</w:instrText>
      </w:r>
      <w:r w:rsidR="00062499" w:rsidRPr="0073723C">
        <w:rPr>
          <w:i/>
        </w:rPr>
        <w:fldChar w:fldCharType="separate"/>
      </w:r>
      <w:r w:rsidR="006A6A4C" w:rsidRPr="0073723C">
        <w:rPr>
          <w:noProof/>
        </w:rPr>
        <w:t>[22]</w:t>
      </w:r>
      <w:r w:rsidR="00062499" w:rsidRPr="0073723C">
        <w:rPr>
          <w:i/>
        </w:rPr>
        <w:fldChar w:fldCharType="end"/>
      </w:r>
      <w:r w:rsidRPr="0073723C">
        <w:rPr>
          <w:i/>
        </w:rPr>
        <w:t xml:space="preserve">. </w:t>
      </w:r>
      <w:r w:rsidR="0083040F" w:rsidRPr="0073723C">
        <w:rPr>
          <w:i/>
        </w:rPr>
        <w:t xml:space="preserve">Отмечается примесь крупных лимфоидных клеток с атипией ядер, часто с экспрессией  </w:t>
      </w:r>
      <w:r w:rsidR="0083040F" w:rsidRPr="0073723C">
        <w:rPr>
          <w:i/>
          <w:lang w:val="en-US"/>
        </w:rPr>
        <w:t>CD</w:t>
      </w:r>
      <w:r w:rsidR="0083040F" w:rsidRPr="0073723C">
        <w:rPr>
          <w:i/>
        </w:rPr>
        <w:t>30.</w:t>
      </w:r>
    </w:p>
    <w:p w:rsidR="00660D84" w:rsidRPr="0073723C" w:rsidRDefault="00CE089D" w:rsidP="00660D84">
      <w:pPr>
        <w:pStyle w:val="afb"/>
        <w:spacing w:beforeAutospacing="0" w:afterAutospacing="0" w:line="360" w:lineRule="auto"/>
        <w:ind w:left="567" w:firstLine="0"/>
        <w:divId w:val="266810958"/>
        <w:rPr>
          <w:i/>
        </w:rPr>
      </w:pPr>
      <w:r w:rsidRPr="0073723C">
        <w:rPr>
          <w:i/>
        </w:rPr>
        <w:t xml:space="preserve">При педжетоидном ретикулезе фенотип непластических Т-лимфоцитов может характеризоваться либо как </w:t>
      </w:r>
      <w:r w:rsidR="000C307B" w:rsidRPr="000C307B">
        <w:rPr>
          <w:i/>
          <w:lang w:val="en-US"/>
        </w:rPr>
        <w:t>CD</w:t>
      </w:r>
      <w:r w:rsidR="000C307B" w:rsidRPr="000C307B">
        <w:rPr>
          <w:i/>
        </w:rPr>
        <w:t>3+/</w:t>
      </w:r>
      <w:r w:rsidR="001B7F70" w:rsidRPr="001B7F70">
        <w:rPr>
          <w:i/>
          <w:lang w:val="en-US"/>
        </w:rPr>
        <w:t>CD</w:t>
      </w:r>
      <w:r w:rsidR="001B7F70" w:rsidRPr="001B7F70">
        <w:rPr>
          <w:i/>
        </w:rPr>
        <w:t>4−/</w:t>
      </w:r>
      <w:r w:rsidR="001B7F70" w:rsidRPr="001B7F70">
        <w:rPr>
          <w:i/>
          <w:lang w:val="en-US"/>
        </w:rPr>
        <w:t>CD</w:t>
      </w:r>
      <w:r w:rsidR="001B7F70" w:rsidRPr="001B7F70">
        <w:rPr>
          <w:i/>
        </w:rPr>
        <w:t xml:space="preserve">8+, либо реже как </w:t>
      </w:r>
      <w:r w:rsidR="001B7F70" w:rsidRPr="001B7F70">
        <w:rPr>
          <w:i/>
          <w:lang w:val="en-US"/>
        </w:rPr>
        <w:t>CD</w:t>
      </w:r>
      <w:r w:rsidR="001B7F70" w:rsidRPr="001B7F70">
        <w:rPr>
          <w:i/>
        </w:rPr>
        <w:t>3+/</w:t>
      </w:r>
      <w:r w:rsidR="001B7F70" w:rsidRPr="001B7F70">
        <w:rPr>
          <w:i/>
          <w:lang w:val="en-US"/>
        </w:rPr>
        <w:t>CD</w:t>
      </w:r>
      <w:r w:rsidR="001B7F70" w:rsidRPr="001B7F70">
        <w:rPr>
          <w:i/>
        </w:rPr>
        <w:t>4+/</w:t>
      </w:r>
      <w:r w:rsidR="001B7F70" w:rsidRPr="001B7F70">
        <w:rPr>
          <w:i/>
          <w:lang w:val="en-US"/>
        </w:rPr>
        <w:t>CD</w:t>
      </w:r>
      <w:r w:rsidR="001B7F70" w:rsidRPr="001B7F70">
        <w:rPr>
          <w:i/>
        </w:rPr>
        <w:t xml:space="preserve">8− или </w:t>
      </w:r>
      <w:r w:rsidR="001B7F70" w:rsidRPr="001B7F70">
        <w:rPr>
          <w:i/>
          <w:lang w:val="en-US"/>
        </w:rPr>
        <w:t>CD</w:t>
      </w:r>
      <w:r w:rsidR="001B7F70" w:rsidRPr="001B7F70">
        <w:rPr>
          <w:i/>
        </w:rPr>
        <w:t>3+/</w:t>
      </w:r>
      <w:r w:rsidR="001B7F70" w:rsidRPr="001B7F70">
        <w:rPr>
          <w:i/>
          <w:lang w:val="en-US"/>
        </w:rPr>
        <w:t>CD</w:t>
      </w:r>
      <w:r w:rsidR="001B7F70" w:rsidRPr="001B7F70">
        <w:rPr>
          <w:i/>
        </w:rPr>
        <w:t>4−/</w:t>
      </w:r>
      <w:r w:rsidR="001B7F70" w:rsidRPr="001B7F70">
        <w:rPr>
          <w:i/>
          <w:lang w:val="en-US"/>
        </w:rPr>
        <w:t>CD</w:t>
      </w:r>
      <w:r w:rsidR="001B7F70" w:rsidRPr="001B7F70">
        <w:rPr>
          <w:i/>
        </w:rPr>
        <w:t xml:space="preserve">8−. В случаях с фенотипами </w:t>
      </w:r>
      <w:r w:rsidR="001B7F70" w:rsidRPr="001B7F70">
        <w:rPr>
          <w:i/>
          <w:lang w:val="en-US"/>
        </w:rPr>
        <w:t>CD</w:t>
      </w:r>
      <w:r w:rsidR="001B7F70" w:rsidRPr="001B7F70">
        <w:rPr>
          <w:i/>
        </w:rPr>
        <w:t xml:space="preserve">8+ или </w:t>
      </w:r>
      <w:r w:rsidR="001B7F70" w:rsidRPr="001B7F70">
        <w:rPr>
          <w:i/>
          <w:lang w:val="en-US"/>
        </w:rPr>
        <w:t>CD</w:t>
      </w:r>
      <w:r w:rsidR="001B7F70" w:rsidRPr="001B7F70">
        <w:rPr>
          <w:i/>
        </w:rPr>
        <w:t>4−/</w:t>
      </w:r>
      <w:r w:rsidR="001B7F70" w:rsidRPr="001B7F70">
        <w:rPr>
          <w:i/>
          <w:lang w:val="en-US"/>
        </w:rPr>
        <w:t>CD</w:t>
      </w:r>
      <w:r w:rsidR="001B7F70" w:rsidRPr="001B7F70">
        <w:rPr>
          <w:i/>
        </w:rPr>
        <w:t>8− экспрессируются цитотоксические белки (например, Т-клеточный внутриклеточный антиген (</w:t>
      </w:r>
      <w:r w:rsidR="001B7F70" w:rsidRPr="001B7F70">
        <w:rPr>
          <w:i/>
          <w:lang w:val="en-US"/>
        </w:rPr>
        <w:t>TIA</w:t>
      </w:r>
      <w:r w:rsidR="001B7F70" w:rsidRPr="001B7F70">
        <w:rPr>
          <w:i/>
        </w:rPr>
        <w:t xml:space="preserve">)-1, гранзим </w:t>
      </w:r>
      <w:r w:rsidR="001B7F70" w:rsidRPr="001B7F70">
        <w:rPr>
          <w:i/>
          <w:lang w:val="en-US"/>
        </w:rPr>
        <w:t>A</w:t>
      </w:r>
      <w:r w:rsidR="001B7F70" w:rsidRPr="001B7F70">
        <w:rPr>
          <w:i/>
        </w:rPr>
        <w:t>/</w:t>
      </w:r>
      <w:r w:rsidR="001B7F70" w:rsidRPr="001B7F70">
        <w:rPr>
          <w:i/>
          <w:lang w:val="en-US"/>
        </w:rPr>
        <w:t>B</w:t>
      </w:r>
      <w:r w:rsidR="001B7F70" w:rsidRPr="001B7F70">
        <w:rPr>
          <w:i/>
        </w:rPr>
        <w:t xml:space="preserve"> и перфорин). Часто экспрессируется </w:t>
      </w:r>
      <w:r w:rsidR="001B7F70" w:rsidRPr="001B7F70">
        <w:rPr>
          <w:i/>
          <w:lang w:val="en-US"/>
        </w:rPr>
        <w:t>CD</w:t>
      </w:r>
      <w:r w:rsidR="001B7F70" w:rsidRPr="001B7F70">
        <w:rPr>
          <w:i/>
        </w:rPr>
        <w:t xml:space="preserve">30 </w:t>
      </w:r>
      <w:r w:rsidR="00062499" w:rsidRPr="001B7F70">
        <w:rPr>
          <w:i/>
          <w:lang w:val="en-US"/>
        </w:rPr>
        <w:fldChar w:fldCharType="begin" w:fldLock="1"/>
      </w:r>
      <w:r w:rsidR="001B7F70" w:rsidRPr="001B7F70">
        <w:rPr>
          <w:i/>
          <w:lang w:val="en-US"/>
        </w:rPr>
        <w:instrText>ADDIN</w:instrText>
      </w:r>
      <w:r w:rsidR="001B7F70" w:rsidRPr="001B7F70">
        <w:rPr>
          <w:i/>
        </w:rPr>
        <w:instrText xml:space="preserve"> </w:instrText>
      </w:r>
      <w:r w:rsidR="001B7F70" w:rsidRPr="001B7F70">
        <w:rPr>
          <w:i/>
          <w:lang w:val="en-US"/>
        </w:rPr>
        <w:instrText>CSL</w:instrText>
      </w:r>
      <w:r w:rsidR="001B7F70" w:rsidRPr="001B7F70">
        <w:rPr>
          <w:i/>
        </w:rPr>
        <w:instrText>_</w:instrText>
      </w:r>
      <w:r w:rsidR="001B7F70" w:rsidRPr="001B7F70">
        <w:rPr>
          <w:i/>
          <w:lang w:val="en-US"/>
        </w:rPr>
        <w:instrText>CITATION</w:instrText>
      </w:r>
      <w:r w:rsidR="001B7F70" w:rsidRPr="001B7F70">
        <w:rPr>
          <w:i/>
        </w:rPr>
        <w:instrText xml:space="preserve"> {"</w:instrText>
      </w:r>
      <w:r w:rsidR="001B7F70" w:rsidRPr="001B7F70">
        <w:rPr>
          <w:i/>
          <w:lang w:val="en-US"/>
        </w:rPr>
        <w:instrText>citationItems</w:instrText>
      </w:r>
      <w:r w:rsidR="001B7F70" w:rsidRPr="001B7F70">
        <w:rPr>
          <w:i/>
        </w:rPr>
        <w:instrText>":[{"</w:instrText>
      </w:r>
      <w:r w:rsidR="001B7F70" w:rsidRPr="001B7F70">
        <w:rPr>
          <w:i/>
          <w:lang w:val="en-US"/>
        </w:rPr>
        <w:instrText>id</w:instrText>
      </w:r>
      <w:r w:rsidR="001B7F70" w:rsidRPr="001B7F70">
        <w:rPr>
          <w:i/>
        </w:rPr>
        <w:instrText>":"</w:instrText>
      </w:r>
      <w:r w:rsidR="001B7F70" w:rsidRPr="001B7F70">
        <w:rPr>
          <w:i/>
          <w:lang w:val="en-US"/>
        </w:rPr>
        <w:instrText>ITEM</w:instrText>
      </w:r>
      <w:r w:rsidR="001B7F70" w:rsidRPr="001B7F70">
        <w:rPr>
          <w:i/>
        </w:rPr>
        <w:instrText>-1","</w:instrText>
      </w:r>
      <w:r w:rsidR="001B7F70" w:rsidRPr="001B7F70">
        <w:rPr>
          <w:i/>
          <w:lang w:val="en-US"/>
        </w:rPr>
        <w:instrText>itemData</w:instrText>
      </w:r>
      <w:r w:rsidR="001B7F70" w:rsidRPr="001B7F70">
        <w:rPr>
          <w:i/>
        </w:rPr>
        <w:instrText>":{"</w:instrText>
      </w:r>
      <w:r w:rsidR="001B7F70" w:rsidRPr="001B7F70">
        <w:rPr>
          <w:i/>
          <w:lang w:val="en-US"/>
        </w:rPr>
        <w:instrText>DOI</w:instrText>
      </w:r>
      <w:r w:rsidR="001B7F70" w:rsidRPr="001B7F70">
        <w:rPr>
          <w:i/>
        </w:rPr>
        <w:instrText>":"10.1038/</w:instrText>
      </w:r>
      <w:r w:rsidR="001B7F70" w:rsidRPr="001B7F70">
        <w:rPr>
          <w:i/>
          <w:lang w:val="en-US"/>
        </w:rPr>
        <w:instrText>modpathol</w:instrText>
      </w:r>
      <w:r w:rsidR="001B7F70" w:rsidRPr="001B7F70">
        <w:rPr>
          <w:i/>
        </w:rPr>
        <w:instrText>.3880088","</w:instrText>
      </w:r>
      <w:r w:rsidR="001B7F70" w:rsidRPr="001B7F70">
        <w:rPr>
          <w:i/>
          <w:lang w:val="en-US"/>
        </w:rPr>
        <w:instrText>ISSN</w:instrText>
      </w:r>
      <w:r w:rsidR="001B7F70" w:rsidRPr="001B7F70">
        <w:rPr>
          <w:i/>
        </w:rPr>
        <w:instrText>":"08933952","</w:instrText>
      </w:r>
      <w:r w:rsidR="001B7F70" w:rsidRPr="001B7F70">
        <w:rPr>
          <w:i/>
          <w:lang w:val="en-US"/>
        </w:rPr>
        <w:instrText>PMID</w:instrText>
      </w:r>
      <w:r w:rsidR="001B7F70" w:rsidRPr="001B7F70">
        <w:rPr>
          <w:i/>
        </w:rPr>
        <w:instrText>":"10824921","</w:instrText>
      </w:r>
      <w:r w:rsidR="001B7F70" w:rsidRPr="001B7F70">
        <w:rPr>
          <w:i/>
          <w:lang w:val="en-US"/>
        </w:rPr>
        <w:instrText>abstract</w:instrText>
      </w:r>
      <w:r w:rsidR="001B7F70" w:rsidRPr="001B7F70">
        <w:rPr>
          <w:i/>
        </w:rPr>
        <w:instrText>":"</w:instrText>
      </w:r>
      <w:r w:rsidR="001B7F70" w:rsidRPr="001B7F70">
        <w:rPr>
          <w:i/>
          <w:lang w:val="en-US"/>
        </w:rPr>
        <w:instrText>Pagetoid</w:instrText>
      </w:r>
      <w:r w:rsidR="001B7F70" w:rsidRPr="001B7F70">
        <w:rPr>
          <w:i/>
        </w:rPr>
        <w:instrText xml:space="preserve"> </w:instrText>
      </w:r>
      <w:r w:rsidR="001B7F70" w:rsidRPr="001B7F70">
        <w:rPr>
          <w:i/>
          <w:lang w:val="en-US"/>
        </w:rPr>
        <w:instrText>reticulosis</w:instrText>
      </w:r>
      <w:r w:rsidR="001B7F70" w:rsidRPr="001B7F70">
        <w:rPr>
          <w:i/>
        </w:rPr>
        <w:instrText xml:space="preserve"> (</w:instrText>
      </w:r>
      <w:r w:rsidR="001B7F70" w:rsidRPr="001B7F70">
        <w:rPr>
          <w:i/>
          <w:lang w:val="en-US"/>
        </w:rPr>
        <w:instrText>PR</w:instrText>
      </w:r>
      <w:r w:rsidR="001B7F70" w:rsidRPr="001B7F70">
        <w:rPr>
          <w:i/>
        </w:rPr>
        <w:instrText xml:space="preserve">), </w:instrText>
      </w:r>
      <w:r w:rsidR="001B7F70" w:rsidRPr="001B7F70">
        <w:rPr>
          <w:i/>
          <w:lang w:val="en-US"/>
        </w:rPr>
        <w:instrText>also</w:instrText>
      </w:r>
      <w:r w:rsidR="001B7F70" w:rsidRPr="001B7F70">
        <w:rPr>
          <w:i/>
        </w:rPr>
        <w:instrText xml:space="preserve"> </w:instrText>
      </w:r>
      <w:r w:rsidR="001B7F70" w:rsidRPr="001B7F70">
        <w:rPr>
          <w:i/>
          <w:lang w:val="en-US"/>
        </w:rPr>
        <w:instrText>known</w:instrText>
      </w:r>
      <w:r w:rsidR="001B7F70" w:rsidRPr="001B7F70">
        <w:rPr>
          <w:i/>
        </w:rPr>
        <w:instrText xml:space="preserve"> </w:instrText>
      </w:r>
      <w:r w:rsidR="001B7F70" w:rsidRPr="001B7F70">
        <w:rPr>
          <w:i/>
          <w:lang w:val="en-US"/>
        </w:rPr>
        <w:instrText>as</w:instrText>
      </w:r>
      <w:r w:rsidR="001B7F70" w:rsidRPr="001B7F70">
        <w:rPr>
          <w:i/>
        </w:rPr>
        <w:instrText xml:space="preserve"> </w:instrText>
      </w:r>
      <w:r w:rsidR="001B7F70" w:rsidRPr="001B7F70">
        <w:rPr>
          <w:i/>
          <w:lang w:val="en-US"/>
        </w:rPr>
        <w:instrText>Woringer</w:instrText>
      </w:r>
      <w:r w:rsidR="001B7F70" w:rsidRPr="001B7F70">
        <w:rPr>
          <w:i/>
        </w:rPr>
        <w:instrText>-</w:instrText>
      </w:r>
      <w:r w:rsidR="001B7F70" w:rsidRPr="001B7F70">
        <w:rPr>
          <w:i/>
          <w:lang w:val="en-US"/>
        </w:rPr>
        <w:instrText>Kolopp</w:instrText>
      </w:r>
      <w:r w:rsidR="001B7F70" w:rsidRPr="001B7F70">
        <w:rPr>
          <w:i/>
        </w:rPr>
        <w:instrText xml:space="preserve"> </w:instrText>
      </w:r>
      <w:r w:rsidR="001B7F70" w:rsidRPr="001B7F70">
        <w:rPr>
          <w:i/>
          <w:lang w:val="en-US"/>
        </w:rPr>
        <w:instrText>disease</w:instrText>
      </w:r>
      <w:r w:rsidR="001B7F70" w:rsidRPr="001B7F70">
        <w:rPr>
          <w:i/>
        </w:rPr>
        <w:instrText xml:space="preserve">, </w:instrText>
      </w:r>
      <w:r w:rsidR="001B7F70" w:rsidRPr="001B7F70">
        <w:rPr>
          <w:i/>
          <w:lang w:val="en-US"/>
        </w:rPr>
        <w:instrText>is</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form</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cutaneous</w:instrText>
      </w:r>
      <w:r w:rsidR="001B7F70" w:rsidRPr="001B7F70">
        <w:rPr>
          <w:i/>
        </w:rPr>
        <w:instrText xml:space="preserve"> </w:instrText>
      </w:r>
      <w:r w:rsidR="001B7F70" w:rsidRPr="001B7F70">
        <w:rPr>
          <w:i/>
          <w:lang w:val="en-US"/>
        </w:rPr>
        <w:instrText>T</w:instrText>
      </w:r>
      <w:r w:rsidR="001B7F70" w:rsidRPr="001B7F70">
        <w:rPr>
          <w:i/>
        </w:rPr>
        <w:instrText>-</w:instrText>
      </w:r>
      <w:r w:rsidR="001B7F70" w:rsidRPr="001B7F70">
        <w:rPr>
          <w:i/>
          <w:lang w:val="en-US"/>
        </w:rPr>
        <w:instrText>cell</w:instrText>
      </w:r>
      <w:r w:rsidR="001B7F70" w:rsidRPr="001B7F70">
        <w:rPr>
          <w:i/>
        </w:rPr>
        <w:instrText xml:space="preserve"> </w:instrText>
      </w:r>
      <w:r w:rsidR="001B7F70" w:rsidRPr="001B7F70">
        <w:rPr>
          <w:i/>
          <w:lang w:val="en-US"/>
        </w:rPr>
        <w:instrText>lymphoma</w:instrText>
      </w:r>
      <w:r w:rsidR="001B7F70" w:rsidRPr="001B7F70">
        <w:rPr>
          <w:i/>
        </w:rPr>
        <w:instrText xml:space="preserve"> </w:instrText>
      </w:r>
      <w:r w:rsidR="001B7F70" w:rsidRPr="001B7F70">
        <w:rPr>
          <w:i/>
          <w:lang w:val="en-US"/>
        </w:rPr>
        <w:instrText>that</w:instrText>
      </w:r>
      <w:r w:rsidR="001B7F70" w:rsidRPr="001B7F70">
        <w:rPr>
          <w:i/>
        </w:rPr>
        <w:instrText xml:space="preserve"> </w:instrText>
      </w:r>
      <w:r w:rsidR="001B7F70" w:rsidRPr="001B7F70">
        <w:rPr>
          <w:i/>
          <w:lang w:val="en-US"/>
        </w:rPr>
        <w:instrText>demonstrates</w:instrText>
      </w:r>
      <w:r w:rsidR="001B7F70" w:rsidRPr="001B7F70">
        <w:rPr>
          <w:i/>
        </w:rPr>
        <w:instrText xml:space="preserve"> </w:instrText>
      </w:r>
      <w:r w:rsidR="001B7F70" w:rsidRPr="001B7F70">
        <w:rPr>
          <w:i/>
          <w:lang w:val="en-US"/>
        </w:rPr>
        <w:instrText>striking</w:instrText>
      </w:r>
      <w:r w:rsidR="001B7F70" w:rsidRPr="001B7F70">
        <w:rPr>
          <w:i/>
        </w:rPr>
        <w:instrText xml:space="preserve"> </w:instrText>
      </w:r>
      <w:r w:rsidR="001B7F70" w:rsidRPr="001B7F70">
        <w:rPr>
          <w:i/>
          <w:lang w:val="en-US"/>
        </w:rPr>
        <w:instrText>epidermotropism</w:instrText>
      </w:r>
      <w:r w:rsidR="001B7F70" w:rsidRPr="001B7F70">
        <w:rPr>
          <w:i/>
        </w:rPr>
        <w:instrText xml:space="preserve"> </w:instrText>
      </w:r>
      <w:r w:rsidR="001B7F70" w:rsidRPr="001B7F70">
        <w:rPr>
          <w:i/>
          <w:lang w:val="en-US"/>
        </w:rPr>
        <w:instrText>on</w:instrText>
      </w:r>
      <w:r w:rsidR="001B7F70" w:rsidRPr="001B7F70">
        <w:rPr>
          <w:i/>
        </w:rPr>
        <w:instrText xml:space="preserve"> </w:instrText>
      </w:r>
      <w:r w:rsidR="001B7F70" w:rsidRPr="001B7F70">
        <w:rPr>
          <w:i/>
          <w:lang w:val="en-US"/>
        </w:rPr>
        <w:instrText>histologic</w:instrText>
      </w:r>
      <w:r w:rsidR="001B7F70" w:rsidRPr="001B7F70">
        <w:rPr>
          <w:i/>
        </w:rPr>
        <w:instrText xml:space="preserve"> </w:instrText>
      </w:r>
      <w:r w:rsidR="001B7F70" w:rsidRPr="001B7F70">
        <w:rPr>
          <w:i/>
          <w:lang w:val="en-US"/>
        </w:rPr>
        <w:instrText>examination</w:instrText>
      </w:r>
      <w:r w:rsidR="001B7F70" w:rsidRPr="001B7F70">
        <w:rPr>
          <w:i/>
        </w:rPr>
        <w:instrText xml:space="preserve">. </w:instrText>
      </w:r>
      <w:r w:rsidR="001B7F70" w:rsidRPr="001B7F70">
        <w:rPr>
          <w:i/>
          <w:lang w:val="en-US"/>
        </w:rPr>
        <w:instrText>We</w:instrText>
      </w:r>
      <w:r w:rsidR="001B7F70" w:rsidRPr="001B7F70">
        <w:rPr>
          <w:i/>
        </w:rPr>
        <w:instrText xml:space="preserve"> </w:instrText>
      </w:r>
      <w:r w:rsidR="001B7F70" w:rsidRPr="001B7F70">
        <w:rPr>
          <w:i/>
          <w:lang w:val="en-US"/>
        </w:rPr>
        <w:instrText>present</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histologic</w:instrText>
      </w:r>
      <w:r w:rsidR="001B7F70" w:rsidRPr="001B7F70">
        <w:rPr>
          <w:i/>
        </w:rPr>
        <w:instrText xml:space="preserve">, </w:instrText>
      </w:r>
      <w:r w:rsidR="001B7F70" w:rsidRPr="001B7F70">
        <w:rPr>
          <w:i/>
          <w:lang w:val="en-US"/>
        </w:rPr>
        <w:instrText>immunologic</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molecular</w:instrText>
      </w:r>
      <w:r w:rsidR="001B7F70" w:rsidRPr="001B7F70">
        <w:rPr>
          <w:i/>
        </w:rPr>
        <w:instrText xml:space="preserve"> </w:instrText>
      </w:r>
      <w:r w:rsidR="001B7F70" w:rsidRPr="001B7F70">
        <w:rPr>
          <w:i/>
          <w:lang w:val="en-US"/>
        </w:rPr>
        <w:instrText>findings</w:instrText>
      </w:r>
      <w:r w:rsidR="001B7F70" w:rsidRPr="001B7F70">
        <w:rPr>
          <w:i/>
        </w:rPr>
        <w:instrText xml:space="preserve"> </w:instrText>
      </w:r>
      <w:r w:rsidR="001B7F70" w:rsidRPr="001B7F70">
        <w:rPr>
          <w:i/>
          <w:lang w:val="en-US"/>
        </w:rPr>
        <w:instrText>for</w:instrText>
      </w:r>
      <w:r w:rsidR="001B7F70" w:rsidRPr="001B7F70">
        <w:rPr>
          <w:i/>
        </w:rPr>
        <w:instrText xml:space="preserve"> </w:instrText>
      </w:r>
      <w:r w:rsidR="001B7F70" w:rsidRPr="001B7F70">
        <w:rPr>
          <w:i/>
          <w:lang w:val="en-US"/>
        </w:rPr>
        <w:instrText>seven</w:instrText>
      </w:r>
      <w:r w:rsidR="001B7F70" w:rsidRPr="001B7F70">
        <w:rPr>
          <w:i/>
        </w:rPr>
        <w:instrText xml:space="preserve"> </w:instrText>
      </w:r>
      <w:r w:rsidR="001B7F70" w:rsidRPr="001B7F70">
        <w:rPr>
          <w:i/>
          <w:lang w:val="en-US"/>
        </w:rPr>
        <w:instrText>patients</w:instrText>
      </w:r>
      <w:r w:rsidR="001B7F70" w:rsidRPr="001B7F70">
        <w:rPr>
          <w:i/>
        </w:rPr>
        <w:instrText xml:space="preserve"> </w:instrText>
      </w:r>
      <w:r w:rsidR="001B7F70" w:rsidRPr="001B7F70">
        <w:rPr>
          <w:i/>
          <w:lang w:val="en-US"/>
        </w:rPr>
        <w:instrText>who</w:instrText>
      </w:r>
      <w:r w:rsidR="001B7F70" w:rsidRPr="001B7F70">
        <w:rPr>
          <w:i/>
        </w:rPr>
        <w:instrText xml:space="preserve"> </w:instrText>
      </w:r>
      <w:r w:rsidR="001B7F70" w:rsidRPr="001B7F70">
        <w:rPr>
          <w:i/>
          <w:lang w:val="en-US"/>
        </w:rPr>
        <w:instrText>had</w:instrText>
      </w:r>
      <w:r w:rsidR="001B7F70" w:rsidRPr="001B7F70">
        <w:rPr>
          <w:i/>
        </w:rPr>
        <w:instrText xml:space="preserve"> </w:instrText>
      </w:r>
      <w:r w:rsidR="001B7F70" w:rsidRPr="001B7F70">
        <w:rPr>
          <w:i/>
          <w:lang w:val="en-US"/>
        </w:rPr>
        <w:instrText>PR</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patients</w:instrText>
      </w:r>
      <w:r w:rsidR="001B7F70" w:rsidRPr="001B7F70">
        <w:rPr>
          <w:i/>
        </w:rPr>
        <w:instrText xml:space="preserve"> </w:instrText>
      </w:r>
      <w:r w:rsidR="001B7F70" w:rsidRPr="001B7F70">
        <w:rPr>
          <w:i/>
          <w:lang w:val="en-US"/>
        </w:rPr>
        <w:instrText>ranged</w:instrText>
      </w:r>
      <w:r w:rsidR="001B7F70" w:rsidRPr="001B7F70">
        <w:rPr>
          <w:i/>
        </w:rPr>
        <w:instrText xml:space="preserve"> </w:instrText>
      </w:r>
      <w:r w:rsidR="001B7F70" w:rsidRPr="001B7F70">
        <w:rPr>
          <w:i/>
          <w:lang w:val="en-US"/>
        </w:rPr>
        <w:instrText>in</w:instrText>
      </w:r>
      <w:r w:rsidR="001B7F70" w:rsidRPr="001B7F70">
        <w:rPr>
          <w:i/>
        </w:rPr>
        <w:instrText xml:space="preserve"> </w:instrText>
      </w:r>
      <w:r w:rsidR="001B7F70" w:rsidRPr="001B7F70">
        <w:rPr>
          <w:i/>
          <w:lang w:val="en-US"/>
        </w:rPr>
        <w:instrText>age</w:instrText>
      </w:r>
      <w:r w:rsidR="001B7F70" w:rsidRPr="001B7F70">
        <w:rPr>
          <w:i/>
        </w:rPr>
        <w:instrText xml:space="preserve"> </w:instrText>
      </w:r>
      <w:r w:rsidR="001B7F70" w:rsidRPr="001B7F70">
        <w:rPr>
          <w:i/>
          <w:lang w:val="en-US"/>
        </w:rPr>
        <w:instrText>from</w:instrText>
      </w:r>
      <w:r w:rsidR="001B7F70" w:rsidRPr="001B7F70">
        <w:rPr>
          <w:i/>
        </w:rPr>
        <w:instrText xml:space="preserve"> 33 </w:instrText>
      </w:r>
      <w:r w:rsidR="001B7F70" w:rsidRPr="001B7F70">
        <w:rPr>
          <w:i/>
          <w:lang w:val="en-US"/>
        </w:rPr>
        <w:instrText>to</w:instrText>
      </w:r>
      <w:r w:rsidR="001B7F70" w:rsidRPr="001B7F70">
        <w:rPr>
          <w:i/>
        </w:rPr>
        <w:instrText xml:space="preserve"> 67 </w:instrText>
      </w:r>
      <w:r w:rsidR="001B7F70" w:rsidRPr="001B7F70">
        <w:rPr>
          <w:i/>
          <w:lang w:val="en-US"/>
        </w:rPr>
        <w:instrText>years</w:instrText>
      </w:r>
      <w:r w:rsidR="001B7F70" w:rsidRPr="001B7F70">
        <w:rPr>
          <w:i/>
        </w:rPr>
        <w:instrText xml:space="preserve">. </w:instrText>
      </w:r>
      <w:r w:rsidR="001B7F70" w:rsidRPr="001B7F70">
        <w:rPr>
          <w:i/>
          <w:lang w:val="en-US"/>
        </w:rPr>
        <w:instrText>All</w:instrText>
      </w:r>
      <w:r w:rsidR="001B7F70" w:rsidRPr="001B7F70">
        <w:rPr>
          <w:i/>
        </w:rPr>
        <w:instrText xml:space="preserve"> </w:instrText>
      </w:r>
      <w:r w:rsidR="001B7F70" w:rsidRPr="001B7F70">
        <w:rPr>
          <w:i/>
          <w:lang w:val="en-US"/>
        </w:rPr>
        <w:instrText>patients</w:instrText>
      </w:r>
      <w:r w:rsidR="001B7F70" w:rsidRPr="001B7F70">
        <w:rPr>
          <w:i/>
        </w:rPr>
        <w:instrText xml:space="preserve"> </w:instrText>
      </w:r>
      <w:r w:rsidR="001B7F70" w:rsidRPr="001B7F70">
        <w:rPr>
          <w:i/>
          <w:lang w:val="en-US"/>
        </w:rPr>
        <w:instrText>presented</w:instrText>
      </w:r>
      <w:r w:rsidR="001B7F70" w:rsidRPr="001B7F70">
        <w:rPr>
          <w:i/>
        </w:rPr>
        <w:instrText xml:space="preserve"> </w:instrText>
      </w:r>
      <w:r w:rsidR="001B7F70" w:rsidRPr="001B7F70">
        <w:rPr>
          <w:i/>
          <w:lang w:val="en-US"/>
        </w:rPr>
        <w:instrText>with</w:instrText>
      </w:r>
      <w:r w:rsidR="001B7F70" w:rsidRPr="001B7F70">
        <w:rPr>
          <w:i/>
        </w:rPr>
        <w:instrText xml:space="preserve"> </w:instrText>
      </w:r>
      <w:r w:rsidR="001B7F70" w:rsidRPr="001B7F70">
        <w:rPr>
          <w:i/>
          <w:lang w:val="en-US"/>
        </w:rPr>
        <w:instrText>one</w:instrText>
      </w:r>
      <w:r w:rsidR="001B7F70" w:rsidRPr="001B7F70">
        <w:rPr>
          <w:i/>
        </w:rPr>
        <w:instrText xml:space="preserve"> </w:instrText>
      </w:r>
      <w:r w:rsidR="001B7F70" w:rsidRPr="001B7F70">
        <w:rPr>
          <w:i/>
          <w:lang w:val="en-US"/>
        </w:rPr>
        <w:instrText>or</w:instrText>
      </w:r>
      <w:r w:rsidR="001B7F70" w:rsidRPr="001B7F70">
        <w:rPr>
          <w:i/>
        </w:rPr>
        <w:instrText xml:space="preserve"> </w:instrText>
      </w:r>
      <w:r w:rsidR="001B7F70" w:rsidRPr="001B7F70">
        <w:rPr>
          <w:i/>
          <w:lang w:val="en-US"/>
        </w:rPr>
        <w:instrText>several</w:instrText>
      </w:r>
      <w:r w:rsidR="001B7F70" w:rsidRPr="001B7F70">
        <w:rPr>
          <w:i/>
        </w:rPr>
        <w:instrText xml:space="preserve"> </w:instrText>
      </w:r>
      <w:r w:rsidR="001B7F70" w:rsidRPr="001B7F70">
        <w:rPr>
          <w:i/>
          <w:lang w:val="en-US"/>
        </w:rPr>
        <w:instrText>thick</w:instrText>
      </w:r>
      <w:r w:rsidR="001B7F70" w:rsidRPr="001B7F70">
        <w:rPr>
          <w:i/>
        </w:rPr>
        <w:instrText xml:space="preserve"> </w:instrText>
      </w:r>
      <w:r w:rsidR="001B7F70" w:rsidRPr="001B7F70">
        <w:rPr>
          <w:i/>
          <w:lang w:val="en-US"/>
        </w:rPr>
        <w:instrText>plaques</w:instrText>
      </w:r>
      <w:r w:rsidR="001B7F70" w:rsidRPr="001B7F70">
        <w:rPr>
          <w:i/>
        </w:rPr>
        <w:instrText xml:space="preserve"> </w:instrText>
      </w:r>
      <w:r w:rsidR="001B7F70" w:rsidRPr="001B7F70">
        <w:rPr>
          <w:i/>
          <w:lang w:val="en-US"/>
        </w:rPr>
        <w:instrText>involving</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distal</w:instrText>
      </w:r>
      <w:r w:rsidR="001B7F70" w:rsidRPr="001B7F70">
        <w:rPr>
          <w:i/>
        </w:rPr>
        <w:instrText xml:space="preserve"> </w:instrText>
      </w:r>
      <w:r w:rsidR="001B7F70" w:rsidRPr="001B7F70">
        <w:rPr>
          <w:i/>
          <w:lang w:val="en-US"/>
        </w:rPr>
        <w:instrText>extremities</w:instrText>
      </w:r>
      <w:r w:rsidR="001B7F70" w:rsidRPr="001B7F70">
        <w:rPr>
          <w:i/>
        </w:rPr>
        <w:instrText xml:space="preserve"> </w:instrText>
      </w:r>
      <w:r w:rsidR="001B7F70" w:rsidRPr="001B7F70">
        <w:rPr>
          <w:i/>
          <w:lang w:val="en-US"/>
        </w:rPr>
        <w:instrText>except</w:instrText>
      </w:r>
      <w:r w:rsidR="001B7F70" w:rsidRPr="001B7F70">
        <w:rPr>
          <w:i/>
        </w:rPr>
        <w:instrText xml:space="preserve"> </w:instrText>
      </w:r>
      <w:r w:rsidR="001B7F70" w:rsidRPr="001B7F70">
        <w:rPr>
          <w:i/>
          <w:lang w:val="en-US"/>
        </w:rPr>
        <w:instrText>for</w:instrText>
      </w:r>
      <w:r w:rsidR="001B7F70" w:rsidRPr="001B7F70">
        <w:rPr>
          <w:i/>
        </w:rPr>
        <w:instrText xml:space="preserve"> </w:instrText>
      </w:r>
      <w:r w:rsidR="001B7F70" w:rsidRPr="001B7F70">
        <w:rPr>
          <w:i/>
          <w:lang w:val="en-US"/>
        </w:rPr>
        <w:instrText>one</w:instrText>
      </w:r>
      <w:r w:rsidR="001B7F70" w:rsidRPr="001B7F70">
        <w:rPr>
          <w:i/>
        </w:rPr>
        <w:instrText xml:space="preserve"> </w:instrText>
      </w:r>
      <w:r w:rsidR="001B7F70" w:rsidRPr="001B7F70">
        <w:rPr>
          <w:i/>
          <w:lang w:val="en-US"/>
        </w:rPr>
        <w:instrText>patient</w:instrText>
      </w:r>
      <w:r w:rsidR="001B7F70" w:rsidRPr="001B7F70">
        <w:rPr>
          <w:i/>
        </w:rPr>
        <w:instrText xml:space="preserve">, </w:instrText>
      </w:r>
      <w:r w:rsidR="001B7F70" w:rsidRPr="001B7F70">
        <w:rPr>
          <w:i/>
          <w:lang w:val="en-US"/>
        </w:rPr>
        <w:instrText>who</w:instrText>
      </w:r>
      <w:r w:rsidR="001B7F70" w:rsidRPr="001B7F70">
        <w:rPr>
          <w:i/>
        </w:rPr>
        <w:instrText xml:space="preserve"> </w:instrText>
      </w:r>
      <w:r w:rsidR="001B7F70" w:rsidRPr="001B7F70">
        <w:rPr>
          <w:i/>
          <w:lang w:val="en-US"/>
        </w:rPr>
        <w:instrText>presented</w:instrText>
      </w:r>
      <w:r w:rsidR="001B7F70" w:rsidRPr="001B7F70">
        <w:rPr>
          <w:i/>
        </w:rPr>
        <w:instrText xml:space="preserve"> </w:instrText>
      </w:r>
      <w:r w:rsidR="001B7F70" w:rsidRPr="001B7F70">
        <w:rPr>
          <w:i/>
          <w:lang w:val="en-US"/>
        </w:rPr>
        <w:instrText>with</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tongue</w:instrText>
      </w:r>
      <w:r w:rsidR="001B7F70" w:rsidRPr="001B7F70">
        <w:rPr>
          <w:i/>
        </w:rPr>
        <w:instrText xml:space="preserve"> </w:instrText>
      </w:r>
      <w:r w:rsidR="001B7F70" w:rsidRPr="001B7F70">
        <w:rPr>
          <w:i/>
          <w:lang w:val="en-US"/>
        </w:rPr>
        <w:instrText>lesion</w:instrText>
      </w:r>
      <w:r w:rsidR="001B7F70" w:rsidRPr="001B7F70">
        <w:rPr>
          <w:i/>
        </w:rPr>
        <w:instrText xml:space="preserve">. </w:instrText>
      </w:r>
      <w:r w:rsidR="001B7F70" w:rsidRPr="001B7F70">
        <w:rPr>
          <w:i/>
          <w:lang w:val="en-US"/>
        </w:rPr>
        <w:instrText>Immunohistochemical</w:instrText>
      </w:r>
      <w:r w:rsidR="001B7F70" w:rsidRPr="001B7F70">
        <w:rPr>
          <w:i/>
        </w:rPr>
        <w:instrText xml:space="preserve"> </w:instrText>
      </w:r>
      <w:r w:rsidR="001B7F70" w:rsidRPr="001B7F70">
        <w:rPr>
          <w:i/>
          <w:lang w:val="en-US"/>
        </w:rPr>
        <w:instrText>staining</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atypical</w:instrText>
      </w:r>
      <w:r w:rsidR="001B7F70" w:rsidRPr="001B7F70">
        <w:rPr>
          <w:i/>
        </w:rPr>
        <w:instrText xml:space="preserve"> </w:instrText>
      </w:r>
      <w:r w:rsidR="001B7F70" w:rsidRPr="001B7F70">
        <w:rPr>
          <w:i/>
          <w:lang w:val="en-US"/>
        </w:rPr>
        <w:instrText>lymphoid</w:instrText>
      </w:r>
      <w:r w:rsidR="001B7F70" w:rsidRPr="001B7F70">
        <w:rPr>
          <w:i/>
        </w:rPr>
        <w:instrText xml:space="preserve"> </w:instrText>
      </w:r>
      <w:r w:rsidR="001B7F70" w:rsidRPr="001B7F70">
        <w:rPr>
          <w:i/>
          <w:lang w:val="en-US"/>
        </w:rPr>
        <w:instrText>cells</w:instrText>
      </w:r>
      <w:r w:rsidR="001B7F70" w:rsidRPr="001B7F70">
        <w:rPr>
          <w:i/>
        </w:rPr>
        <w:instrText xml:space="preserve"> </w:instrText>
      </w:r>
      <w:r w:rsidR="001B7F70" w:rsidRPr="001B7F70">
        <w:rPr>
          <w:i/>
          <w:lang w:val="en-US"/>
        </w:rPr>
        <w:instrText>demonstrated</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T</w:instrText>
      </w:r>
      <w:r w:rsidR="001B7F70" w:rsidRPr="001B7F70">
        <w:rPr>
          <w:i/>
        </w:rPr>
        <w:instrText>-</w:instrText>
      </w:r>
      <w:r w:rsidR="001B7F70" w:rsidRPr="001B7F70">
        <w:rPr>
          <w:i/>
          <w:lang w:val="en-US"/>
        </w:rPr>
        <w:instrText>cell</w:instrText>
      </w:r>
      <w:r w:rsidR="001B7F70" w:rsidRPr="001B7F70">
        <w:rPr>
          <w:i/>
        </w:rPr>
        <w:instrText xml:space="preserve"> </w:instrText>
      </w:r>
      <w:r w:rsidR="001B7F70" w:rsidRPr="001B7F70">
        <w:rPr>
          <w:i/>
          <w:lang w:val="en-US"/>
        </w:rPr>
        <w:instrText>phenotype</w:instrText>
      </w:r>
      <w:r w:rsidR="001B7F70" w:rsidRPr="001B7F70">
        <w:rPr>
          <w:i/>
        </w:rPr>
        <w:instrText xml:space="preserve"> </w:instrText>
      </w:r>
      <w:r w:rsidR="001B7F70" w:rsidRPr="001B7F70">
        <w:rPr>
          <w:i/>
          <w:lang w:val="en-US"/>
        </w:rPr>
        <w:instrText>in</w:instrText>
      </w:r>
      <w:r w:rsidR="001B7F70" w:rsidRPr="001B7F70">
        <w:rPr>
          <w:i/>
        </w:rPr>
        <w:instrText xml:space="preserve"> </w:instrText>
      </w:r>
      <w:r w:rsidR="001B7F70" w:rsidRPr="001B7F70">
        <w:rPr>
          <w:i/>
          <w:lang w:val="en-US"/>
        </w:rPr>
        <w:instrText>all</w:instrText>
      </w:r>
      <w:r w:rsidR="001B7F70" w:rsidRPr="001B7F70">
        <w:rPr>
          <w:i/>
        </w:rPr>
        <w:instrText xml:space="preserve"> </w:instrText>
      </w:r>
      <w:r w:rsidR="001B7F70" w:rsidRPr="001B7F70">
        <w:rPr>
          <w:i/>
          <w:lang w:val="en-US"/>
        </w:rPr>
        <w:instrText>cases</w:instrText>
      </w:r>
      <w:r w:rsidR="001B7F70" w:rsidRPr="001B7F70">
        <w:rPr>
          <w:i/>
        </w:rPr>
        <w:instrText xml:space="preserve">. </w:instrText>
      </w:r>
      <w:r w:rsidR="001B7F70" w:rsidRPr="001B7F70">
        <w:rPr>
          <w:i/>
          <w:lang w:val="en-US"/>
        </w:rPr>
        <w:instrText>In</w:instrText>
      </w:r>
      <w:r w:rsidR="001B7F70" w:rsidRPr="001B7F70">
        <w:rPr>
          <w:i/>
        </w:rPr>
        <w:instrText xml:space="preserve"> </w:instrText>
      </w:r>
      <w:r w:rsidR="001B7F70" w:rsidRPr="001B7F70">
        <w:rPr>
          <w:i/>
          <w:lang w:val="en-US"/>
        </w:rPr>
        <w:instrText>one</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four</w:instrText>
      </w:r>
      <w:r w:rsidR="001B7F70" w:rsidRPr="001B7F70">
        <w:rPr>
          <w:i/>
        </w:rPr>
        <w:instrText xml:space="preserve"> </w:instrText>
      </w:r>
      <w:r w:rsidR="001B7F70" w:rsidRPr="001B7F70">
        <w:rPr>
          <w:i/>
          <w:lang w:val="en-US"/>
        </w:rPr>
        <w:instrText>frozen</w:instrText>
      </w:r>
      <w:r w:rsidR="001B7F70" w:rsidRPr="001B7F70">
        <w:rPr>
          <w:i/>
        </w:rPr>
        <w:instrText xml:space="preserve"> </w:instrText>
      </w:r>
      <w:r w:rsidR="001B7F70" w:rsidRPr="001B7F70">
        <w:rPr>
          <w:i/>
          <w:lang w:val="en-US"/>
        </w:rPr>
        <w:instrText>cases</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neoplastic</w:instrText>
      </w:r>
      <w:r w:rsidR="001B7F70" w:rsidRPr="001B7F70">
        <w:rPr>
          <w:i/>
        </w:rPr>
        <w:instrText xml:space="preserve"> </w:instrText>
      </w:r>
      <w:r w:rsidR="001B7F70" w:rsidRPr="001B7F70">
        <w:rPr>
          <w:i/>
          <w:lang w:val="en-US"/>
        </w:rPr>
        <w:instrText>cells</w:instrText>
      </w:r>
      <w:r w:rsidR="001B7F70" w:rsidRPr="001B7F70">
        <w:rPr>
          <w:i/>
        </w:rPr>
        <w:instrText xml:space="preserve"> </w:instrText>
      </w:r>
      <w:r w:rsidR="001B7F70" w:rsidRPr="001B7F70">
        <w:rPr>
          <w:i/>
          <w:lang w:val="en-US"/>
        </w:rPr>
        <w:instrText>were</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T</w:instrText>
      </w:r>
      <w:r w:rsidR="001B7F70" w:rsidRPr="001B7F70">
        <w:rPr>
          <w:i/>
        </w:rPr>
        <w:instrText>-</w:instrText>
      </w:r>
      <w:r w:rsidR="001B7F70" w:rsidRPr="001B7F70">
        <w:rPr>
          <w:i/>
          <w:lang w:val="en-US"/>
        </w:rPr>
        <w:instrText>helper</w:instrText>
      </w:r>
      <w:r w:rsidR="001B7F70" w:rsidRPr="001B7F70">
        <w:rPr>
          <w:i/>
        </w:rPr>
        <w:instrText xml:space="preserve"> </w:instrText>
      </w:r>
      <w:r w:rsidR="001B7F70" w:rsidRPr="001B7F70">
        <w:rPr>
          <w:i/>
          <w:lang w:val="en-US"/>
        </w:rPr>
        <w:instrText>cell</w:instrText>
      </w:r>
      <w:r w:rsidR="001B7F70" w:rsidRPr="001B7F70">
        <w:rPr>
          <w:i/>
        </w:rPr>
        <w:instrText xml:space="preserve"> </w:instrText>
      </w:r>
      <w:r w:rsidR="001B7F70" w:rsidRPr="001B7F70">
        <w:rPr>
          <w:i/>
          <w:lang w:val="en-US"/>
        </w:rPr>
        <w:instrText>phenotype</w:instrText>
      </w:r>
      <w:r w:rsidR="001B7F70" w:rsidRPr="001B7F70">
        <w:rPr>
          <w:i/>
        </w:rPr>
        <w:instrText xml:space="preserve"> (</w:instrText>
      </w:r>
      <w:r w:rsidR="001B7F70" w:rsidRPr="001B7F70">
        <w:rPr>
          <w:i/>
          <w:lang w:val="en-US"/>
        </w:rPr>
        <w:instrText>CD</w:instrText>
      </w:r>
      <w:r w:rsidR="001B7F70" w:rsidRPr="001B7F70">
        <w:rPr>
          <w:i/>
        </w:rPr>
        <w:instrText xml:space="preserve">4 </w:instrText>
      </w:r>
      <w:r w:rsidR="001B7F70" w:rsidRPr="001B7F70">
        <w:rPr>
          <w:i/>
          <w:lang w:val="en-US"/>
        </w:rPr>
        <w:instrText>positive</w:instrText>
      </w:r>
      <w:r w:rsidR="001B7F70" w:rsidRPr="001B7F70">
        <w:rPr>
          <w:i/>
        </w:rPr>
        <w:instrText xml:space="preserve">). </w:instrText>
      </w:r>
      <w:r w:rsidR="001B7F70" w:rsidRPr="001B7F70">
        <w:rPr>
          <w:i/>
          <w:lang w:val="en-US"/>
        </w:rPr>
        <w:instrText>Four</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seven</w:instrText>
      </w:r>
      <w:r w:rsidR="001B7F70" w:rsidRPr="001B7F70">
        <w:rPr>
          <w:i/>
        </w:rPr>
        <w:instrText xml:space="preserve"> </w:instrText>
      </w:r>
      <w:r w:rsidR="001B7F70" w:rsidRPr="001B7F70">
        <w:rPr>
          <w:i/>
          <w:lang w:val="en-US"/>
        </w:rPr>
        <w:instrText>cases</w:instrText>
      </w:r>
      <w:r w:rsidR="001B7F70" w:rsidRPr="001B7F70">
        <w:rPr>
          <w:i/>
        </w:rPr>
        <w:instrText xml:space="preserve"> </w:instrText>
      </w:r>
      <w:r w:rsidR="001B7F70" w:rsidRPr="001B7F70">
        <w:rPr>
          <w:i/>
          <w:lang w:val="en-US"/>
        </w:rPr>
        <w:instrText>demonstrated</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T</w:instrText>
      </w:r>
      <w:r w:rsidR="001B7F70" w:rsidRPr="001B7F70">
        <w:rPr>
          <w:i/>
        </w:rPr>
        <w:instrText>-</w:instrText>
      </w:r>
      <w:r w:rsidR="001B7F70" w:rsidRPr="001B7F70">
        <w:rPr>
          <w:i/>
          <w:lang w:val="en-US"/>
        </w:rPr>
        <w:instrText>cytotoxic</w:instrText>
      </w:r>
      <w:r w:rsidR="001B7F70" w:rsidRPr="001B7F70">
        <w:rPr>
          <w:i/>
        </w:rPr>
        <w:instrText>/</w:instrText>
      </w:r>
      <w:r w:rsidR="001B7F70" w:rsidRPr="001B7F70">
        <w:rPr>
          <w:i/>
          <w:lang w:val="en-US"/>
        </w:rPr>
        <w:instrText>suppressor</w:instrText>
      </w:r>
      <w:r w:rsidR="001B7F70" w:rsidRPr="001B7F70">
        <w:rPr>
          <w:i/>
        </w:rPr>
        <w:instrText xml:space="preserve"> </w:instrText>
      </w:r>
      <w:r w:rsidR="001B7F70" w:rsidRPr="001B7F70">
        <w:rPr>
          <w:i/>
          <w:lang w:val="en-US"/>
        </w:rPr>
        <w:instrText>cell</w:instrText>
      </w:r>
      <w:r w:rsidR="001B7F70" w:rsidRPr="001B7F70">
        <w:rPr>
          <w:i/>
        </w:rPr>
        <w:instrText xml:space="preserve"> </w:instrText>
      </w:r>
      <w:r w:rsidR="001B7F70" w:rsidRPr="001B7F70">
        <w:rPr>
          <w:i/>
          <w:lang w:val="en-US"/>
        </w:rPr>
        <w:instrText>phenotype</w:instrText>
      </w:r>
      <w:r w:rsidR="001B7F70" w:rsidRPr="001B7F70">
        <w:rPr>
          <w:i/>
        </w:rPr>
        <w:instrText xml:space="preserve"> (</w:instrText>
      </w:r>
      <w:r w:rsidR="001B7F70" w:rsidRPr="001B7F70">
        <w:rPr>
          <w:i/>
          <w:lang w:val="en-US"/>
        </w:rPr>
        <w:instrText>CD</w:instrText>
      </w:r>
      <w:r w:rsidR="001B7F70" w:rsidRPr="001B7F70">
        <w:rPr>
          <w:i/>
        </w:rPr>
        <w:instrText xml:space="preserve">8 </w:instrText>
      </w:r>
      <w:r w:rsidR="001B7F70" w:rsidRPr="001B7F70">
        <w:rPr>
          <w:i/>
          <w:lang w:val="en-US"/>
        </w:rPr>
        <w:instrText>positive</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T</w:instrText>
      </w:r>
      <w:r w:rsidR="001B7F70" w:rsidRPr="001B7F70">
        <w:rPr>
          <w:i/>
        </w:rPr>
        <w:instrText>-</w:instrText>
      </w:r>
      <w:r w:rsidR="001B7F70" w:rsidRPr="001B7F70">
        <w:rPr>
          <w:i/>
          <w:lang w:val="en-US"/>
        </w:rPr>
        <w:instrText>cell</w:instrText>
      </w:r>
      <w:r w:rsidR="001B7F70" w:rsidRPr="001B7F70">
        <w:rPr>
          <w:i/>
        </w:rPr>
        <w:instrText xml:space="preserve"> </w:instrText>
      </w:r>
      <w:r w:rsidR="001B7F70" w:rsidRPr="001B7F70">
        <w:rPr>
          <w:i/>
          <w:lang w:val="en-US"/>
        </w:rPr>
        <w:instrText>subset</w:instrText>
      </w:r>
      <w:r w:rsidR="001B7F70" w:rsidRPr="001B7F70">
        <w:rPr>
          <w:i/>
        </w:rPr>
        <w:instrText xml:space="preserve"> </w:instrText>
      </w:r>
      <w:r w:rsidR="001B7F70" w:rsidRPr="001B7F70">
        <w:rPr>
          <w:i/>
          <w:lang w:val="en-US"/>
        </w:rPr>
        <w:instrText>for</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remaining</w:instrText>
      </w:r>
      <w:r w:rsidR="001B7F70" w:rsidRPr="001B7F70">
        <w:rPr>
          <w:i/>
        </w:rPr>
        <w:instrText xml:space="preserve"> </w:instrText>
      </w:r>
      <w:r w:rsidR="001B7F70" w:rsidRPr="001B7F70">
        <w:rPr>
          <w:i/>
          <w:lang w:val="en-US"/>
        </w:rPr>
        <w:instrText>two</w:instrText>
      </w:r>
      <w:r w:rsidR="001B7F70" w:rsidRPr="001B7F70">
        <w:rPr>
          <w:i/>
        </w:rPr>
        <w:instrText xml:space="preserve"> </w:instrText>
      </w:r>
      <w:r w:rsidR="001B7F70" w:rsidRPr="001B7F70">
        <w:rPr>
          <w:i/>
          <w:lang w:val="en-US"/>
        </w:rPr>
        <w:instrText>cases</w:instrText>
      </w:r>
      <w:r w:rsidR="001B7F70" w:rsidRPr="001B7F70">
        <w:rPr>
          <w:i/>
        </w:rPr>
        <w:instrText xml:space="preserve"> </w:instrText>
      </w:r>
      <w:r w:rsidR="001B7F70" w:rsidRPr="001B7F70">
        <w:rPr>
          <w:i/>
          <w:lang w:val="en-US"/>
        </w:rPr>
        <w:instrText>could</w:instrText>
      </w:r>
      <w:r w:rsidR="001B7F70" w:rsidRPr="001B7F70">
        <w:rPr>
          <w:i/>
        </w:rPr>
        <w:instrText xml:space="preserve"> </w:instrText>
      </w:r>
      <w:r w:rsidR="001B7F70" w:rsidRPr="001B7F70">
        <w:rPr>
          <w:i/>
          <w:lang w:val="en-US"/>
        </w:rPr>
        <w:instrText>not</w:instrText>
      </w:r>
      <w:r w:rsidR="001B7F70" w:rsidRPr="001B7F70">
        <w:rPr>
          <w:i/>
        </w:rPr>
        <w:instrText xml:space="preserve"> </w:instrText>
      </w:r>
      <w:r w:rsidR="001B7F70" w:rsidRPr="001B7F70">
        <w:rPr>
          <w:i/>
          <w:lang w:val="en-US"/>
        </w:rPr>
        <w:instrText>be</w:instrText>
      </w:r>
      <w:r w:rsidR="001B7F70" w:rsidRPr="001B7F70">
        <w:rPr>
          <w:i/>
        </w:rPr>
        <w:instrText xml:space="preserve"> </w:instrText>
      </w:r>
      <w:r w:rsidR="001B7F70" w:rsidRPr="001B7F70">
        <w:rPr>
          <w:i/>
          <w:lang w:val="en-US"/>
        </w:rPr>
        <w:instrText>determined</w:instrText>
      </w:r>
      <w:r w:rsidR="001B7F70" w:rsidRPr="001B7F70">
        <w:rPr>
          <w:i/>
        </w:rPr>
        <w:instrText xml:space="preserve">. </w:instrText>
      </w:r>
      <w:r w:rsidR="001B7F70" w:rsidRPr="001B7F70">
        <w:rPr>
          <w:i/>
          <w:lang w:val="en-US"/>
        </w:rPr>
        <w:instrText>CD</w:instrText>
      </w:r>
      <w:r w:rsidR="001B7F70" w:rsidRPr="001B7F70">
        <w:rPr>
          <w:i/>
        </w:rPr>
        <w:instrText xml:space="preserve">30 </w:instrText>
      </w:r>
      <w:r w:rsidR="001B7F70" w:rsidRPr="001B7F70">
        <w:rPr>
          <w:i/>
          <w:lang w:val="en-US"/>
        </w:rPr>
        <w:instrText>positivity</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high</w:instrText>
      </w:r>
      <w:r w:rsidR="001B7F70" w:rsidRPr="001B7F70">
        <w:rPr>
          <w:i/>
        </w:rPr>
        <w:instrText xml:space="preserve"> </w:instrText>
      </w:r>
      <w:r w:rsidR="001B7F70" w:rsidRPr="001B7F70">
        <w:rPr>
          <w:i/>
          <w:lang w:val="en-US"/>
        </w:rPr>
        <w:instrText>growth</w:instrText>
      </w:r>
      <w:r w:rsidR="001B7F70" w:rsidRPr="001B7F70">
        <w:rPr>
          <w:i/>
        </w:rPr>
        <w:instrText xml:space="preserve"> </w:instrText>
      </w:r>
      <w:r w:rsidR="001B7F70" w:rsidRPr="001B7F70">
        <w:rPr>
          <w:i/>
          <w:lang w:val="en-US"/>
        </w:rPr>
        <w:instrText>fraction</w:instrText>
      </w:r>
      <w:r w:rsidR="001B7F70" w:rsidRPr="001B7F70">
        <w:rPr>
          <w:i/>
        </w:rPr>
        <w:instrText xml:space="preserve"> </w:instrText>
      </w:r>
      <w:r w:rsidR="001B7F70" w:rsidRPr="001B7F70">
        <w:rPr>
          <w:i/>
          <w:lang w:val="en-US"/>
        </w:rPr>
        <w:instrText>as</w:instrText>
      </w:r>
      <w:r w:rsidR="001B7F70" w:rsidRPr="001B7F70">
        <w:rPr>
          <w:i/>
        </w:rPr>
        <w:instrText xml:space="preserve"> </w:instrText>
      </w:r>
      <w:r w:rsidR="001B7F70" w:rsidRPr="001B7F70">
        <w:rPr>
          <w:i/>
          <w:lang w:val="en-US"/>
        </w:rPr>
        <w:instrText>indicated</w:instrText>
      </w:r>
      <w:r w:rsidR="001B7F70" w:rsidRPr="001B7F70">
        <w:rPr>
          <w:i/>
        </w:rPr>
        <w:instrText xml:space="preserve"> </w:instrText>
      </w:r>
      <w:r w:rsidR="001B7F70" w:rsidRPr="001B7F70">
        <w:rPr>
          <w:i/>
          <w:lang w:val="en-US"/>
        </w:rPr>
        <w:instrText>by</w:instrText>
      </w:r>
      <w:r w:rsidR="001B7F70" w:rsidRPr="001B7F70">
        <w:rPr>
          <w:i/>
        </w:rPr>
        <w:instrText xml:space="preserve"> </w:instrText>
      </w:r>
      <w:r w:rsidR="001B7F70" w:rsidRPr="001B7F70">
        <w:rPr>
          <w:i/>
          <w:lang w:val="en-US"/>
        </w:rPr>
        <w:instrText>staining</w:instrText>
      </w:r>
      <w:r w:rsidR="001B7F70" w:rsidRPr="001B7F70">
        <w:rPr>
          <w:i/>
        </w:rPr>
        <w:instrText xml:space="preserve"> </w:instrText>
      </w:r>
      <w:r w:rsidR="001B7F70" w:rsidRPr="001B7F70">
        <w:rPr>
          <w:i/>
          <w:lang w:val="en-US"/>
        </w:rPr>
        <w:instrText>with</w:instrText>
      </w:r>
      <w:r w:rsidR="001B7F70" w:rsidRPr="001B7F70">
        <w:rPr>
          <w:i/>
        </w:rPr>
        <w:instrText xml:space="preserve"> </w:instrText>
      </w:r>
      <w:r w:rsidR="001B7F70" w:rsidRPr="001B7F70">
        <w:rPr>
          <w:i/>
          <w:lang w:val="en-US"/>
        </w:rPr>
        <w:instrText>Ki</w:instrText>
      </w:r>
      <w:r w:rsidR="001B7F70" w:rsidRPr="001B7F70">
        <w:rPr>
          <w:i/>
        </w:rPr>
        <w:instrText xml:space="preserve">-67 </w:instrText>
      </w:r>
      <w:r w:rsidR="001B7F70" w:rsidRPr="001B7F70">
        <w:rPr>
          <w:i/>
          <w:lang w:val="en-US"/>
        </w:rPr>
        <w:instrText>were</w:instrText>
      </w:r>
      <w:r w:rsidR="001B7F70" w:rsidRPr="001B7F70">
        <w:rPr>
          <w:i/>
        </w:rPr>
        <w:instrText xml:space="preserve"> </w:instrText>
      </w:r>
      <w:r w:rsidR="001B7F70" w:rsidRPr="001B7F70">
        <w:rPr>
          <w:i/>
          <w:lang w:val="en-US"/>
        </w:rPr>
        <w:instrText>seen</w:instrText>
      </w:r>
      <w:r w:rsidR="001B7F70" w:rsidRPr="001B7F70">
        <w:rPr>
          <w:i/>
        </w:rPr>
        <w:instrText xml:space="preserve"> </w:instrText>
      </w:r>
      <w:r w:rsidR="001B7F70" w:rsidRPr="001B7F70">
        <w:rPr>
          <w:i/>
          <w:lang w:val="en-US"/>
        </w:rPr>
        <w:instrText>in</w:instrText>
      </w:r>
      <w:r w:rsidR="001B7F70" w:rsidRPr="001B7F70">
        <w:rPr>
          <w:i/>
        </w:rPr>
        <w:instrText xml:space="preserve"> </w:instrText>
      </w:r>
      <w:r w:rsidR="001B7F70" w:rsidRPr="001B7F70">
        <w:rPr>
          <w:i/>
          <w:lang w:val="en-US"/>
        </w:rPr>
        <w:instrText>three</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seven</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three</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four</w:instrText>
      </w:r>
      <w:r w:rsidR="001B7F70" w:rsidRPr="001B7F70">
        <w:rPr>
          <w:i/>
        </w:rPr>
        <w:instrText xml:space="preserve"> </w:instrText>
      </w:r>
      <w:r w:rsidR="001B7F70" w:rsidRPr="001B7F70">
        <w:rPr>
          <w:i/>
          <w:lang w:val="en-US"/>
        </w:rPr>
        <w:instrText>cases</w:instrText>
      </w:r>
      <w:r w:rsidR="001B7F70" w:rsidRPr="001B7F70">
        <w:rPr>
          <w:i/>
        </w:rPr>
        <w:instrText xml:space="preserve">, </w:instrText>
      </w:r>
      <w:r w:rsidR="001B7F70" w:rsidRPr="001B7F70">
        <w:rPr>
          <w:i/>
          <w:lang w:val="en-US"/>
        </w:rPr>
        <w:instrText>respectively</w:instrText>
      </w:r>
      <w:r w:rsidR="001B7F70" w:rsidRPr="001B7F70">
        <w:rPr>
          <w:i/>
        </w:rPr>
        <w:instrText xml:space="preserve">. </w:instrText>
      </w:r>
      <w:r w:rsidR="001B7F70" w:rsidRPr="001B7F70">
        <w:rPr>
          <w:i/>
          <w:lang w:val="en-US"/>
        </w:rPr>
        <w:instrText>Genotypic</w:instrText>
      </w:r>
      <w:r w:rsidR="001B7F70" w:rsidRPr="001B7F70">
        <w:rPr>
          <w:i/>
        </w:rPr>
        <w:instrText xml:space="preserve"> </w:instrText>
      </w:r>
      <w:r w:rsidR="001B7F70" w:rsidRPr="001B7F70">
        <w:rPr>
          <w:i/>
          <w:lang w:val="en-US"/>
        </w:rPr>
        <w:instrText>analysis</w:instrText>
      </w:r>
      <w:r w:rsidR="001B7F70" w:rsidRPr="001B7F70">
        <w:rPr>
          <w:i/>
        </w:rPr>
        <w:instrText xml:space="preserve"> </w:instrText>
      </w:r>
      <w:r w:rsidR="001B7F70" w:rsidRPr="001B7F70">
        <w:rPr>
          <w:i/>
          <w:lang w:val="en-US"/>
        </w:rPr>
        <w:instrText>performed</w:instrText>
      </w:r>
      <w:r w:rsidR="001B7F70" w:rsidRPr="001B7F70">
        <w:rPr>
          <w:i/>
        </w:rPr>
        <w:instrText xml:space="preserve"> </w:instrText>
      </w:r>
      <w:r w:rsidR="001B7F70" w:rsidRPr="001B7F70">
        <w:rPr>
          <w:i/>
          <w:lang w:val="en-US"/>
        </w:rPr>
        <w:instrText>on</w:instrText>
      </w:r>
      <w:r w:rsidR="001B7F70" w:rsidRPr="001B7F70">
        <w:rPr>
          <w:i/>
        </w:rPr>
        <w:instrText xml:space="preserve"> </w:instrText>
      </w:r>
      <w:r w:rsidR="001B7F70" w:rsidRPr="001B7F70">
        <w:rPr>
          <w:i/>
          <w:lang w:val="en-US"/>
        </w:rPr>
        <w:instrText>three</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our</w:instrText>
      </w:r>
      <w:r w:rsidR="001B7F70" w:rsidRPr="001B7F70">
        <w:rPr>
          <w:i/>
        </w:rPr>
        <w:instrText xml:space="preserve"> </w:instrText>
      </w:r>
      <w:r w:rsidR="001B7F70" w:rsidRPr="001B7F70">
        <w:rPr>
          <w:i/>
          <w:lang w:val="en-US"/>
        </w:rPr>
        <w:instrText>cases</w:instrText>
      </w:r>
      <w:r w:rsidR="001B7F70" w:rsidRPr="001B7F70">
        <w:rPr>
          <w:i/>
        </w:rPr>
        <w:instrText xml:space="preserve"> </w:instrText>
      </w:r>
      <w:r w:rsidR="001B7F70" w:rsidRPr="001B7F70">
        <w:rPr>
          <w:i/>
          <w:lang w:val="en-US"/>
        </w:rPr>
        <w:instrText>revealed</w:instrText>
      </w:r>
      <w:r w:rsidR="001B7F70" w:rsidRPr="001B7F70">
        <w:rPr>
          <w:i/>
        </w:rPr>
        <w:instrText xml:space="preserve"> </w:instrText>
      </w:r>
      <w:r w:rsidR="001B7F70" w:rsidRPr="001B7F70">
        <w:rPr>
          <w:i/>
          <w:lang w:val="en-US"/>
        </w:rPr>
        <w:instrText>T</w:instrText>
      </w:r>
      <w:r w:rsidR="001B7F70" w:rsidRPr="001B7F70">
        <w:rPr>
          <w:i/>
        </w:rPr>
        <w:instrText xml:space="preserve">- </w:instrText>
      </w:r>
      <w:r w:rsidR="001B7F70" w:rsidRPr="001B7F70">
        <w:rPr>
          <w:i/>
          <w:lang w:val="en-US"/>
        </w:rPr>
        <w:instrText>cell</w:instrText>
      </w:r>
      <w:r w:rsidR="001B7F70" w:rsidRPr="001B7F70">
        <w:rPr>
          <w:i/>
        </w:rPr>
        <w:instrText xml:space="preserve"> </w:instrText>
      </w:r>
      <w:r w:rsidR="001B7F70" w:rsidRPr="001B7F70">
        <w:rPr>
          <w:i/>
          <w:lang w:val="en-US"/>
        </w:rPr>
        <w:instrText>receptor</w:instrText>
      </w:r>
      <w:r w:rsidR="001B7F70" w:rsidRPr="001B7F70">
        <w:rPr>
          <w:i/>
        </w:rPr>
        <w:instrText xml:space="preserve"> (</w:instrText>
      </w:r>
      <w:r w:rsidR="001B7F70" w:rsidRPr="001B7F70">
        <w:rPr>
          <w:i/>
          <w:lang w:val="en-US"/>
        </w:rPr>
        <w:instrText>γ</w:instrText>
      </w:r>
      <w:r w:rsidR="001B7F70" w:rsidRPr="001B7F70">
        <w:rPr>
          <w:i/>
        </w:rPr>
        <w:instrText xml:space="preserve"> </w:instrText>
      </w:r>
      <w:r w:rsidR="001B7F70" w:rsidRPr="001B7F70">
        <w:rPr>
          <w:i/>
          <w:lang w:val="en-US"/>
        </w:rPr>
        <w:instrText>and</w:instrText>
      </w:r>
      <w:r w:rsidR="001B7F70" w:rsidRPr="001B7F70">
        <w:rPr>
          <w:i/>
        </w:rPr>
        <w:instrText>/</w:instrText>
      </w:r>
      <w:r w:rsidR="001B7F70" w:rsidRPr="001B7F70">
        <w:rPr>
          <w:i/>
          <w:lang w:val="en-US"/>
        </w:rPr>
        <w:instrText>or</w:instrText>
      </w:r>
      <w:r w:rsidR="001B7F70" w:rsidRPr="001B7F70">
        <w:rPr>
          <w:i/>
        </w:rPr>
        <w:instrText xml:space="preserve"> </w:instrText>
      </w:r>
      <w:r w:rsidR="001B7F70" w:rsidRPr="001B7F70">
        <w:rPr>
          <w:i/>
          <w:lang w:val="en-US"/>
        </w:rPr>
        <w:instrText>β</w:instrText>
      </w:r>
      <w:r w:rsidR="001B7F70" w:rsidRPr="001B7F70">
        <w:rPr>
          <w:i/>
        </w:rPr>
        <w:instrText xml:space="preserve">) </w:instrText>
      </w:r>
      <w:r w:rsidR="001B7F70" w:rsidRPr="001B7F70">
        <w:rPr>
          <w:i/>
          <w:lang w:val="en-US"/>
        </w:rPr>
        <w:instrText>rearrangement</w:instrText>
      </w:r>
      <w:r w:rsidR="001B7F70" w:rsidRPr="001B7F70">
        <w:rPr>
          <w:i/>
        </w:rPr>
        <w:instrText xml:space="preserve">, </w:instrText>
      </w:r>
      <w:r w:rsidR="001B7F70" w:rsidRPr="001B7F70">
        <w:rPr>
          <w:i/>
          <w:lang w:val="en-US"/>
        </w:rPr>
        <w:instrText>indicating</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clonal</w:instrText>
      </w:r>
      <w:r w:rsidR="001B7F70" w:rsidRPr="001B7F70">
        <w:rPr>
          <w:i/>
        </w:rPr>
        <w:instrText xml:space="preserve"> </w:instrText>
      </w:r>
      <w:r w:rsidR="001B7F70" w:rsidRPr="001B7F70">
        <w:rPr>
          <w:i/>
          <w:lang w:val="en-US"/>
        </w:rPr>
        <w:instrText>proliferation</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clinical</w:instrText>
      </w:r>
      <w:r w:rsidR="001B7F70" w:rsidRPr="001B7F70">
        <w:rPr>
          <w:i/>
        </w:rPr>
        <w:instrText xml:space="preserve"> </w:instrText>
      </w:r>
      <w:r w:rsidR="001B7F70" w:rsidRPr="001B7F70">
        <w:rPr>
          <w:i/>
          <w:lang w:val="en-US"/>
        </w:rPr>
        <w:instrText>follow</w:instrText>
      </w:r>
      <w:r w:rsidR="001B7F70" w:rsidRPr="001B7F70">
        <w:rPr>
          <w:i/>
        </w:rPr>
        <w:instrText>-</w:instrText>
      </w:r>
      <w:r w:rsidR="001B7F70" w:rsidRPr="001B7F70">
        <w:rPr>
          <w:i/>
          <w:lang w:val="en-US"/>
        </w:rPr>
        <w:instrText>up</w:instrText>
      </w:r>
      <w:r w:rsidR="001B7F70" w:rsidRPr="001B7F70">
        <w:rPr>
          <w:i/>
        </w:rPr>
        <w:instrText xml:space="preserve"> </w:instrText>
      </w:r>
      <w:r w:rsidR="001B7F70" w:rsidRPr="001B7F70">
        <w:rPr>
          <w:i/>
          <w:lang w:val="en-US"/>
        </w:rPr>
        <w:instrText>ranged</w:instrText>
      </w:r>
      <w:r w:rsidR="001B7F70" w:rsidRPr="001B7F70">
        <w:rPr>
          <w:i/>
        </w:rPr>
        <w:instrText xml:space="preserve"> </w:instrText>
      </w:r>
      <w:r w:rsidR="001B7F70" w:rsidRPr="001B7F70">
        <w:rPr>
          <w:i/>
          <w:lang w:val="en-US"/>
        </w:rPr>
        <w:instrText>from</w:instrText>
      </w:r>
      <w:r w:rsidR="001B7F70" w:rsidRPr="001B7F70">
        <w:rPr>
          <w:i/>
        </w:rPr>
        <w:instrText xml:space="preserve"> 15 </w:instrText>
      </w:r>
      <w:r w:rsidR="001B7F70" w:rsidRPr="001B7F70">
        <w:rPr>
          <w:i/>
          <w:lang w:val="en-US"/>
        </w:rPr>
        <w:instrText>months</w:instrText>
      </w:r>
      <w:r w:rsidR="001B7F70" w:rsidRPr="001B7F70">
        <w:rPr>
          <w:i/>
        </w:rPr>
        <w:instrText xml:space="preserve"> </w:instrText>
      </w:r>
      <w:r w:rsidR="001B7F70" w:rsidRPr="001B7F70">
        <w:rPr>
          <w:i/>
          <w:lang w:val="en-US"/>
        </w:rPr>
        <w:instrText>to</w:instrText>
      </w:r>
      <w:r w:rsidR="001B7F70" w:rsidRPr="001B7F70">
        <w:rPr>
          <w:i/>
        </w:rPr>
        <w:instrText xml:space="preserve"> 13 </w:instrText>
      </w:r>
      <w:r w:rsidR="001B7F70" w:rsidRPr="001B7F70">
        <w:rPr>
          <w:i/>
          <w:lang w:val="en-US"/>
        </w:rPr>
        <w:instrText>years</w:instrText>
      </w:r>
      <w:r w:rsidR="001B7F70" w:rsidRPr="001B7F70">
        <w:rPr>
          <w:i/>
        </w:rPr>
        <w:instrText xml:space="preserve">. </w:instrText>
      </w:r>
      <w:r w:rsidR="001B7F70" w:rsidRPr="001B7F70">
        <w:rPr>
          <w:i/>
          <w:lang w:val="en-US"/>
        </w:rPr>
        <w:instrText>Four</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seven</w:instrText>
      </w:r>
      <w:r w:rsidR="001B7F70" w:rsidRPr="001B7F70">
        <w:rPr>
          <w:i/>
        </w:rPr>
        <w:instrText xml:space="preserve"> </w:instrText>
      </w:r>
      <w:r w:rsidR="001B7F70" w:rsidRPr="001B7F70">
        <w:rPr>
          <w:i/>
          <w:lang w:val="en-US"/>
        </w:rPr>
        <w:instrText>patients</w:instrText>
      </w:r>
      <w:r w:rsidR="001B7F70" w:rsidRPr="001B7F70">
        <w:rPr>
          <w:i/>
        </w:rPr>
        <w:instrText xml:space="preserve"> </w:instrText>
      </w:r>
      <w:r w:rsidR="001B7F70" w:rsidRPr="001B7F70">
        <w:rPr>
          <w:i/>
          <w:lang w:val="en-US"/>
        </w:rPr>
        <w:instrText>are</w:instrText>
      </w:r>
      <w:r w:rsidR="001B7F70" w:rsidRPr="001B7F70">
        <w:rPr>
          <w:i/>
        </w:rPr>
        <w:instrText xml:space="preserve"> </w:instrText>
      </w:r>
      <w:r w:rsidR="001B7F70" w:rsidRPr="001B7F70">
        <w:rPr>
          <w:i/>
          <w:lang w:val="en-US"/>
        </w:rPr>
        <w:instrText>alive</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free</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disease</w:instrText>
      </w:r>
      <w:r w:rsidR="001B7F70" w:rsidRPr="001B7F70">
        <w:rPr>
          <w:i/>
        </w:rPr>
        <w:instrText xml:space="preserve"> </w:instrText>
      </w:r>
      <w:r w:rsidR="001B7F70" w:rsidRPr="001B7F70">
        <w:rPr>
          <w:i/>
          <w:lang w:val="en-US"/>
        </w:rPr>
        <w:instrText>after</w:instrText>
      </w:r>
      <w:r w:rsidR="001B7F70" w:rsidRPr="001B7F70">
        <w:rPr>
          <w:i/>
        </w:rPr>
        <w:instrText xml:space="preserve"> </w:instrText>
      </w:r>
      <w:r w:rsidR="001B7F70" w:rsidRPr="001B7F70">
        <w:rPr>
          <w:i/>
          <w:lang w:val="en-US"/>
        </w:rPr>
        <w:instrText>treatment</w:instrText>
      </w:r>
      <w:r w:rsidR="001B7F70" w:rsidRPr="001B7F70">
        <w:rPr>
          <w:i/>
        </w:rPr>
        <w:instrText xml:space="preserve"> </w:instrText>
      </w:r>
      <w:r w:rsidR="001B7F70" w:rsidRPr="001B7F70">
        <w:rPr>
          <w:i/>
          <w:lang w:val="en-US"/>
        </w:rPr>
        <w:instrText>with</w:instrText>
      </w:r>
      <w:r w:rsidR="001B7F70" w:rsidRPr="001B7F70">
        <w:rPr>
          <w:i/>
        </w:rPr>
        <w:instrText xml:space="preserve"> </w:instrText>
      </w:r>
      <w:r w:rsidR="001B7F70" w:rsidRPr="001B7F70">
        <w:rPr>
          <w:i/>
          <w:lang w:val="en-US"/>
        </w:rPr>
        <w:instrText>excision</w:instrText>
      </w:r>
      <w:r w:rsidR="001B7F70" w:rsidRPr="001B7F70">
        <w:rPr>
          <w:i/>
        </w:rPr>
        <w:instrText xml:space="preserve"> </w:instrText>
      </w:r>
      <w:r w:rsidR="001B7F70" w:rsidRPr="001B7F70">
        <w:rPr>
          <w:i/>
          <w:lang w:val="en-US"/>
        </w:rPr>
        <w:instrText>or</w:instrText>
      </w:r>
      <w:r w:rsidR="001B7F70" w:rsidRPr="001B7F70">
        <w:rPr>
          <w:i/>
        </w:rPr>
        <w:instrText xml:space="preserve"> </w:instrText>
      </w:r>
      <w:r w:rsidR="001B7F70" w:rsidRPr="001B7F70">
        <w:rPr>
          <w:i/>
          <w:lang w:val="en-US"/>
        </w:rPr>
        <w:instrText>local</w:instrText>
      </w:r>
      <w:r w:rsidR="001B7F70" w:rsidRPr="001B7F70">
        <w:rPr>
          <w:i/>
        </w:rPr>
        <w:instrText xml:space="preserve"> </w:instrText>
      </w:r>
      <w:r w:rsidR="001B7F70" w:rsidRPr="001B7F70">
        <w:rPr>
          <w:i/>
          <w:lang w:val="en-US"/>
        </w:rPr>
        <w:instrText>irradiation</w:instrText>
      </w:r>
      <w:r w:rsidR="001B7F70" w:rsidRPr="001B7F70">
        <w:rPr>
          <w:i/>
        </w:rPr>
        <w:instrText xml:space="preserve">. </w:instrText>
      </w:r>
      <w:r w:rsidR="001B7F70" w:rsidRPr="001B7F70">
        <w:rPr>
          <w:i/>
          <w:lang w:val="en-US"/>
        </w:rPr>
        <w:instrText>One</w:instrText>
      </w:r>
      <w:r w:rsidR="001B7F70" w:rsidRPr="001B7F70">
        <w:rPr>
          <w:i/>
        </w:rPr>
        <w:instrText xml:space="preserve"> </w:instrText>
      </w:r>
      <w:r w:rsidR="001B7F70" w:rsidRPr="001B7F70">
        <w:rPr>
          <w:i/>
          <w:lang w:val="en-US"/>
        </w:rPr>
        <w:instrText>patient</w:instrText>
      </w:r>
      <w:r w:rsidR="001B7F70" w:rsidRPr="001B7F70">
        <w:rPr>
          <w:i/>
        </w:rPr>
        <w:instrText xml:space="preserve"> </w:instrText>
      </w:r>
      <w:r w:rsidR="001B7F70" w:rsidRPr="001B7F70">
        <w:rPr>
          <w:i/>
          <w:lang w:val="en-US"/>
        </w:rPr>
        <w:instrText>relapsed</w:instrText>
      </w:r>
      <w:r w:rsidR="001B7F70" w:rsidRPr="001B7F70">
        <w:rPr>
          <w:i/>
        </w:rPr>
        <w:instrText xml:space="preserve"> </w:instrText>
      </w:r>
      <w:r w:rsidR="001B7F70" w:rsidRPr="001B7F70">
        <w:rPr>
          <w:i/>
          <w:lang w:val="en-US"/>
        </w:rPr>
        <w:instrText>twice</w:instrText>
      </w:r>
      <w:r w:rsidR="001B7F70" w:rsidRPr="001B7F70">
        <w:rPr>
          <w:i/>
        </w:rPr>
        <w:instrText xml:space="preserve"> </w:instrText>
      </w:r>
      <w:r w:rsidR="001B7F70" w:rsidRPr="001B7F70">
        <w:rPr>
          <w:i/>
          <w:lang w:val="en-US"/>
        </w:rPr>
        <w:instrText>after</w:instrText>
      </w:r>
      <w:r w:rsidR="001B7F70" w:rsidRPr="001B7F70">
        <w:rPr>
          <w:i/>
        </w:rPr>
        <w:instrText xml:space="preserve"> </w:instrText>
      </w:r>
      <w:r w:rsidR="001B7F70" w:rsidRPr="001B7F70">
        <w:rPr>
          <w:i/>
          <w:lang w:val="en-US"/>
        </w:rPr>
        <w:instrText>treatment</w:instrText>
      </w:r>
      <w:r w:rsidR="001B7F70" w:rsidRPr="001B7F70">
        <w:rPr>
          <w:i/>
        </w:rPr>
        <w:instrText xml:space="preserve"> </w:instrText>
      </w:r>
      <w:r w:rsidR="001B7F70" w:rsidRPr="001B7F70">
        <w:rPr>
          <w:i/>
          <w:lang w:val="en-US"/>
        </w:rPr>
        <w:instrText>with</w:instrText>
      </w:r>
      <w:r w:rsidR="001B7F70" w:rsidRPr="001B7F70">
        <w:rPr>
          <w:i/>
        </w:rPr>
        <w:instrText xml:space="preserve"> </w:instrText>
      </w:r>
      <w:r w:rsidR="001B7F70" w:rsidRPr="001B7F70">
        <w:rPr>
          <w:i/>
          <w:lang w:val="en-US"/>
        </w:rPr>
        <w:instrText>radiation</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photochemotherapy</w:instrText>
      </w:r>
      <w:r w:rsidR="001B7F70" w:rsidRPr="001B7F70">
        <w:rPr>
          <w:i/>
        </w:rPr>
        <w:instrText xml:space="preserve"> </w:instrText>
      </w:r>
      <w:r w:rsidR="001B7F70" w:rsidRPr="001B7F70">
        <w:rPr>
          <w:i/>
          <w:lang w:val="en-US"/>
        </w:rPr>
        <w:instrText>with</w:instrText>
      </w:r>
      <w:r w:rsidR="001B7F70" w:rsidRPr="001B7F70">
        <w:rPr>
          <w:i/>
        </w:rPr>
        <w:instrText xml:space="preserve"> 8-</w:instrText>
      </w:r>
      <w:r w:rsidR="001B7F70" w:rsidRPr="001B7F70">
        <w:rPr>
          <w:i/>
          <w:lang w:val="en-US"/>
        </w:rPr>
        <w:instrText>methoxypsoralen</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UVA</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was</w:instrText>
      </w:r>
      <w:r w:rsidR="001B7F70" w:rsidRPr="001B7F70">
        <w:rPr>
          <w:i/>
        </w:rPr>
        <w:instrText xml:space="preserve"> </w:instrText>
      </w:r>
      <w:r w:rsidR="001B7F70" w:rsidRPr="001B7F70">
        <w:rPr>
          <w:i/>
          <w:lang w:val="en-US"/>
        </w:rPr>
        <w:instrText>then</w:instrText>
      </w:r>
      <w:r w:rsidR="001B7F70" w:rsidRPr="001B7F70">
        <w:rPr>
          <w:i/>
        </w:rPr>
        <w:instrText xml:space="preserve"> </w:instrText>
      </w:r>
      <w:r w:rsidR="001B7F70" w:rsidRPr="001B7F70">
        <w:rPr>
          <w:i/>
          <w:lang w:val="en-US"/>
        </w:rPr>
        <w:instrText>lost</w:instrText>
      </w:r>
      <w:r w:rsidR="001B7F70" w:rsidRPr="001B7F70">
        <w:rPr>
          <w:i/>
        </w:rPr>
        <w:instrText xml:space="preserve"> </w:instrText>
      </w:r>
      <w:r w:rsidR="001B7F70" w:rsidRPr="001B7F70">
        <w:rPr>
          <w:i/>
          <w:lang w:val="en-US"/>
        </w:rPr>
        <w:instrText>to</w:instrText>
      </w:r>
      <w:r w:rsidR="001B7F70" w:rsidRPr="001B7F70">
        <w:rPr>
          <w:i/>
        </w:rPr>
        <w:instrText xml:space="preserve"> </w:instrText>
      </w:r>
      <w:r w:rsidR="001B7F70" w:rsidRPr="001B7F70">
        <w:rPr>
          <w:i/>
          <w:lang w:val="en-US"/>
        </w:rPr>
        <w:instrText>follow</w:instrText>
      </w:r>
      <w:r w:rsidR="001B7F70" w:rsidRPr="001B7F70">
        <w:rPr>
          <w:i/>
        </w:rPr>
        <w:instrText>-</w:instrText>
      </w:r>
      <w:r w:rsidR="001B7F70" w:rsidRPr="001B7F70">
        <w:rPr>
          <w:i/>
          <w:lang w:val="en-US"/>
        </w:rPr>
        <w:instrText>up</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lesions</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another</w:instrText>
      </w:r>
      <w:r w:rsidR="001B7F70" w:rsidRPr="001B7F70">
        <w:rPr>
          <w:i/>
        </w:rPr>
        <w:instrText xml:space="preserve"> </w:instrText>
      </w:r>
      <w:r w:rsidR="001B7F70" w:rsidRPr="001B7F70">
        <w:rPr>
          <w:i/>
          <w:lang w:val="en-US"/>
        </w:rPr>
        <w:instrText>patient</w:instrText>
      </w:r>
      <w:r w:rsidR="001B7F70" w:rsidRPr="001B7F70">
        <w:rPr>
          <w:i/>
        </w:rPr>
        <w:instrText xml:space="preserve"> </w:instrText>
      </w:r>
      <w:r w:rsidR="001B7F70" w:rsidRPr="001B7F70">
        <w:rPr>
          <w:i/>
          <w:lang w:val="en-US"/>
        </w:rPr>
        <w:instrText>resolved</w:instrText>
      </w:r>
      <w:r w:rsidR="001B7F70" w:rsidRPr="001B7F70">
        <w:rPr>
          <w:i/>
        </w:rPr>
        <w:instrText xml:space="preserve"> </w:instrText>
      </w:r>
      <w:r w:rsidR="001B7F70" w:rsidRPr="001B7F70">
        <w:rPr>
          <w:i/>
          <w:lang w:val="en-US"/>
        </w:rPr>
        <w:instrText>spontaneously</w:instrText>
      </w:r>
      <w:r w:rsidR="001B7F70" w:rsidRPr="001B7F70">
        <w:rPr>
          <w:i/>
        </w:rPr>
        <w:instrText xml:space="preserve"> </w:instrText>
      </w:r>
      <w:r w:rsidR="001B7F70" w:rsidRPr="001B7F70">
        <w:rPr>
          <w:i/>
          <w:lang w:val="en-US"/>
        </w:rPr>
        <w:instrText>but</w:instrText>
      </w:r>
      <w:r w:rsidR="001B7F70" w:rsidRPr="001B7F70">
        <w:rPr>
          <w:i/>
        </w:rPr>
        <w:instrText xml:space="preserve"> </w:instrText>
      </w:r>
      <w:r w:rsidR="001B7F70" w:rsidRPr="001B7F70">
        <w:rPr>
          <w:i/>
          <w:lang w:val="en-US"/>
        </w:rPr>
        <w:instrText>recurred</w:instrText>
      </w:r>
      <w:r w:rsidR="001B7F70" w:rsidRPr="001B7F70">
        <w:rPr>
          <w:i/>
        </w:rPr>
        <w:instrText xml:space="preserve"> </w:instrText>
      </w:r>
      <w:r w:rsidR="001B7F70" w:rsidRPr="001B7F70">
        <w:rPr>
          <w:i/>
          <w:lang w:val="en-US"/>
        </w:rPr>
        <w:instrText>at</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same</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in</w:instrText>
      </w:r>
      <w:r w:rsidR="001B7F70" w:rsidRPr="001B7F70">
        <w:rPr>
          <w:i/>
        </w:rPr>
        <w:instrText xml:space="preserve"> </w:instrText>
      </w:r>
      <w:r w:rsidR="001B7F70" w:rsidRPr="001B7F70">
        <w:rPr>
          <w:i/>
          <w:lang w:val="en-US"/>
        </w:rPr>
        <w:instrText>an</w:instrText>
      </w:r>
      <w:r w:rsidR="001B7F70" w:rsidRPr="001B7F70">
        <w:rPr>
          <w:i/>
        </w:rPr>
        <w:instrText xml:space="preserve"> </w:instrText>
      </w:r>
      <w:r w:rsidR="001B7F70" w:rsidRPr="001B7F70">
        <w:rPr>
          <w:i/>
          <w:lang w:val="en-US"/>
        </w:rPr>
        <w:instrText>additional</w:instrText>
      </w:r>
      <w:r w:rsidR="001B7F70" w:rsidRPr="001B7F70">
        <w:rPr>
          <w:i/>
        </w:rPr>
        <w:instrText xml:space="preserve"> </w:instrText>
      </w:r>
      <w:r w:rsidR="001B7F70" w:rsidRPr="001B7F70">
        <w:rPr>
          <w:i/>
          <w:lang w:val="en-US"/>
        </w:rPr>
        <w:instrText>site</w:instrText>
      </w:r>
      <w:r w:rsidR="001B7F70" w:rsidRPr="001B7F70">
        <w:rPr>
          <w:i/>
        </w:rPr>
        <w:instrText xml:space="preserve"> 5 </w:instrText>
      </w:r>
      <w:r w:rsidR="001B7F70" w:rsidRPr="001B7F70">
        <w:rPr>
          <w:i/>
          <w:lang w:val="en-US"/>
        </w:rPr>
        <w:instrText>years</w:instrText>
      </w:r>
      <w:r w:rsidR="001B7F70" w:rsidRPr="001B7F70">
        <w:rPr>
          <w:i/>
        </w:rPr>
        <w:instrText xml:space="preserve"> </w:instrText>
      </w:r>
      <w:r w:rsidR="001B7F70" w:rsidRPr="001B7F70">
        <w:rPr>
          <w:i/>
          <w:lang w:val="en-US"/>
        </w:rPr>
        <w:instrText>later</w:instrText>
      </w:r>
      <w:r w:rsidR="001B7F70" w:rsidRPr="001B7F70">
        <w:rPr>
          <w:i/>
        </w:rPr>
        <w:instrText xml:space="preserve">. </w:instrText>
      </w:r>
      <w:r w:rsidR="001B7F70" w:rsidRPr="001B7F70">
        <w:rPr>
          <w:i/>
          <w:lang w:val="en-US"/>
        </w:rPr>
        <w:instrText>One</w:instrText>
      </w:r>
      <w:r w:rsidR="001B7F70" w:rsidRPr="001B7F70">
        <w:rPr>
          <w:i/>
        </w:rPr>
        <w:instrText xml:space="preserve"> </w:instrText>
      </w:r>
      <w:r w:rsidR="001B7F70" w:rsidRPr="001B7F70">
        <w:rPr>
          <w:i/>
          <w:lang w:val="en-US"/>
        </w:rPr>
        <w:instrText>patient</w:instrText>
      </w:r>
      <w:r w:rsidR="001B7F70" w:rsidRPr="001B7F70">
        <w:rPr>
          <w:i/>
        </w:rPr>
        <w:instrText xml:space="preserve"> </w:instrText>
      </w:r>
      <w:r w:rsidR="001B7F70" w:rsidRPr="001B7F70">
        <w:rPr>
          <w:i/>
          <w:lang w:val="en-US"/>
        </w:rPr>
        <w:instrText>recurred</w:instrText>
      </w:r>
      <w:r w:rsidR="001B7F70" w:rsidRPr="001B7F70">
        <w:rPr>
          <w:i/>
        </w:rPr>
        <w:instrText xml:space="preserve"> </w:instrText>
      </w:r>
      <w:r w:rsidR="001B7F70" w:rsidRPr="001B7F70">
        <w:rPr>
          <w:i/>
          <w:lang w:val="en-US"/>
        </w:rPr>
        <w:instrText>after</w:instrText>
      </w:r>
      <w:r w:rsidR="001B7F70" w:rsidRPr="001B7F70">
        <w:rPr>
          <w:i/>
        </w:rPr>
        <w:instrText xml:space="preserve"> </w:instrText>
      </w:r>
      <w:r w:rsidR="001B7F70" w:rsidRPr="001B7F70">
        <w:rPr>
          <w:i/>
          <w:lang w:val="en-US"/>
        </w:rPr>
        <w:instrText>electron</w:instrText>
      </w:r>
      <w:r w:rsidR="001B7F70" w:rsidRPr="001B7F70">
        <w:rPr>
          <w:i/>
        </w:rPr>
        <w:instrText xml:space="preserve"> </w:instrText>
      </w:r>
      <w:r w:rsidR="001B7F70" w:rsidRPr="001B7F70">
        <w:rPr>
          <w:i/>
          <w:lang w:val="en-US"/>
        </w:rPr>
        <w:instrText>beam</w:instrText>
      </w:r>
      <w:r w:rsidR="001B7F70" w:rsidRPr="001B7F70">
        <w:rPr>
          <w:i/>
        </w:rPr>
        <w:instrText xml:space="preserve"> </w:instrText>
      </w:r>
      <w:r w:rsidR="001B7F70" w:rsidRPr="001B7F70">
        <w:rPr>
          <w:i/>
          <w:lang w:val="en-US"/>
        </w:rPr>
        <w:instrText>therapy</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recurrent</w:instrText>
      </w:r>
      <w:r w:rsidR="001B7F70" w:rsidRPr="001B7F70">
        <w:rPr>
          <w:i/>
        </w:rPr>
        <w:instrText xml:space="preserve"> </w:instrText>
      </w:r>
      <w:r w:rsidR="001B7F70" w:rsidRPr="001B7F70">
        <w:rPr>
          <w:i/>
          <w:lang w:val="en-US"/>
        </w:rPr>
        <w:instrText>lesion</w:instrText>
      </w:r>
      <w:r w:rsidR="001B7F70" w:rsidRPr="001B7F70">
        <w:rPr>
          <w:i/>
        </w:rPr>
        <w:instrText xml:space="preserve"> </w:instrText>
      </w:r>
      <w:r w:rsidR="001B7F70" w:rsidRPr="001B7F70">
        <w:rPr>
          <w:i/>
          <w:lang w:val="en-US"/>
        </w:rPr>
        <w:instrText>improved</w:instrText>
      </w:r>
      <w:r w:rsidR="001B7F70" w:rsidRPr="001B7F70">
        <w:rPr>
          <w:i/>
        </w:rPr>
        <w:instrText xml:space="preserve"> </w:instrText>
      </w:r>
      <w:r w:rsidR="001B7F70" w:rsidRPr="001B7F70">
        <w:rPr>
          <w:i/>
          <w:lang w:val="en-US"/>
        </w:rPr>
        <w:instrText>with</w:instrText>
      </w:r>
      <w:r w:rsidR="001B7F70" w:rsidRPr="001B7F70">
        <w:rPr>
          <w:i/>
        </w:rPr>
        <w:instrText xml:space="preserve"> </w:instrText>
      </w:r>
      <w:r w:rsidR="001B7F70" w:rsidRPr="001B7F70">
        <w:rPr>
          <w:i/>
          <w:lang w:val="en-US"/>
        </w:rPr>
        <w:instrText>radiation</w:instrText>
      </w:r>
      <w:r w:rsidR="001B7F70" w:rsidRPr="001B7F70">
        <w:rPr>
          <w:i/>
        </w:rPr>
        <w:instrText xml:space="preserve"> </w:instrText>
      </w:r>
      <w:r w:rsidR="001B7F70" w:rsidRPr="001B7F70">
        <w:rPr>
          <w:i/>
          <w:lang w:val="en-US"/>
        </w:rPr>
        <w:instrText>therapy</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local</w:instrText>
      </w:r>
      <w:r w:rsidR="001B7F70" w:rsidRPr="001B7F70">
        <w:rPr>
          <w:i/>
        </w:rPr>
        <w:instrText xml:space="preserve"> </w:instrText>
      </w:r>
      <w:r w:rsidR="001B7F70" w:rsidRPr="001B7F70">
        <w:rPr>
          <w:i/>
          <w:lang w:val="en-US"/>
        </w:rPr>
        <w:instrText>wound</w:instrText>
      </w:r>
      <w:r w:rsidR="001B7F70" w:rsidRPr="001B7F70">
        <w:rPr>
          <w:i/>
        </w:rPr>
        <w:instrText xml:space="preserve"> </w:instrText>
      </w:r>
      <w:r w:rsidR="001B7F70" w:rsidRPr="001B7F70">
        <w:rPr>
          <w:i/>
          <w:lang w:val="en-US"/>
        </w:rPr>
        <w:instrText>care</w:instrText>
      </w:r>
      <w:r w:rsidR="001B7F70" w:rsidRPr="001B7F70">
        <w:rPr>
          <w:i/>
        </w:rPr>
        <w:instrText xml:space="preserve"> </w:instrText>
      </w:r>
      <w:r w:rsidR="001B7F70" w:rsidRPr="001B7F70">
        <w:rPr>
          <w:i/>
          <w:lang w:val="en-US"/>
        </w:rPr>
        <w:instrText>but</w:instrText>
      </w:r>
      <w:r w:rsidR="001B7F70" w:rsidRPr="001B7F70">
        <w:rPr>
          <w:i/>
        </w:rPr>
        <w:instrText xml:space="preserve"> </w:instrText>
      </w:r>
      <w:r w:rsidR="001B7F70" w:rsidRPr="001B7F70">
        <w:rPr>
          <w:i/>
          <w:lang w:val="en-US"/>
        </w:rPr>
        <w:instrText>never</w:instrText>
      </w:r>
      <w:r w:rsidR="001B7F70" w:rsidRPr="001B7F70">
        <w:rPr>
          <w:i/>
        </w:rPr>
        <w:instrText xml:space="preserve"> </w:instrText>
      </w:r>
      <w:r w:rsidR="001B7F70" w:rsidRPr="001B7F70">
        <w:rPr>
          <w:i/>
          <w:lang w:val="en-US"/>
        </w:rPr>
        <w:instrText>resolved</w:instrText>
      </w:r>
      <w:r w:rsidR="001B7F70" w:rsidRPr="001B7F70">
        <w:rPr>
          <w:i/>
        </w:rPr>
        <w:instrText xml:space="preserve"> </w:instrText>
      </w:r>
      <w:r w:rsidR="001B7F70" w:rsidRPr="001B7F70">
        <w:rPr>
          <w:i/>
          <w:lang w:val="en-US"/>
        </w:rPr>
        <w:instrText>completely</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patient</w:instrText>
      </w:r>
      <w:r w:rsidR="001B7F70" w:rsidRPr="001B7F70">
        <w:rPr>
          <w:i/>
        </w:rPr>
        <w:instrText xml:space="preserve"> </w:instrText>
      </w:r>
      <w:r w:rsidR="001B7F70" w:rsidRPr="001B7F70">
        <w:rPr>
          <w:i/>
          <w:lang w:val="en-US"/>
        </w:rPr>
        <w:instrText>died</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unrelated</w:instrText>
      </w:r>
      <w:r w:rsidR="001B7F70" w:rsidRPr="001B7F70">
        <w:rPr>
          <w:i/>
        </w:rPr>
        <w:instrText xml:space="preserve"> </w:instrText>
      </w:r>
      <w:r w:rsidR="001B7F70" w:rsidRPr="001B7F70">
        <w:rPr>
          <w:i/>
          <w:lang w:val="en-US"/>
        </w:rPr>
        <w:instrText>causes</w:instrText>
      </w:r>
      <w:r w:rsidR="001B7F70" w:rsidRPr="001B7F70">
        <w:rPr>
          <w:i/>
        </w:rPr>
        <w:instrText xml:space="preserve">. </w:instrText>
      </w:r>
      <w:r w:rsidR="001B7F70" w:rsidRPr="001B7F70">
        <w:rPr>
          <w:i/>
          <w:lang w:val="en-US"/>
        </w:rPr>
        <w:instrText>Our</w:instrText>
      </w:r>
      <w:r w:rsidR="001B7F70" w:rsidRPr="001B7F70">
        <w:rPr>
          <w:i/>
        </w:rPr>
        <w:instrText xml:space="preserve"> </w:instrText>
      </w:r>
      <w:r w:rsidR="001B7F70" w:rsidRPr="001B7F70">
        <w:rPr>
          <w:i/>
          <w:lang w:val="en-US"/>
        </w:rPr>
        <w:instrText>findings</w:instrText>
      </w:r>
      <w:r w:rsidR="001B7F70" w:rsidRPr="001B7F70">
        <w:rPr>
          <w:i/>
        </w:rPr>
        <w:instrText xml:space="preserve"> </w:instrText>
      </w:r>
      <w:r w:rsidR="001B7F70" w:rsidRPr="001B7F70">
        <w:rPr>
          <w:i/>
          <w:lang w:val="en-US"/>
        </w:rPr>
        <w:instrText>suggest</w:instrText>
      </w:r>
      <w:r w:rsidR="001B7F70" w:rsidRPr="001B7F70">
        <w:rPr>
          <w:i/>
        </w:rPr>
        <w:instrText xml:space="preserve"> </w:instrText>
      </w:r>
      <w:r w:rsidR="001B7F70" w:rsidRPr="001B7F70">
        <w:rPr>
          <w:i/>
          <w:lang w:val="en-US"/>
        </w:rPr>
        <w:instrText>that</w:instrText>
      </w:r>
      <w:r w:rsidR="001B7F70" w:rsidRPr="001B7F70">
        <w:rPr>
          <w:i/>
        </w:rPr>
        <w:instrText xml:space="preserve"> </w:instrText>
      </w:r>
      <w:r w:rsidR="001B7F70" w:rsidRPr="001B7F70">
        <w:rPr>
          <w:i/>
          <w:lang w:val="en-US"/>
        </w:rPr>
        <w:instrText>PR</w:instrText>
      </w:r>
      <w:r w:rsidR="001B7F70" w:rsidRPr="001B7F70">
        <w:rPr>
          <w:i/>
        </w:rPr>
        <w:instrText xml:space="preserve"> </w:instrText>
      </w:r>
      <w:r w:rsidR="001B7F70" w:rsidRPr="001B7F70">
        <w:rPr>
          <w:i/>
          <w:lang w:val="en-US"/>
        </w:rPr>
        <w:instrText>is</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distinct</w:instrText>
      </w:r>
      <w:r w:rsidR="001B7F70" w:rsidRPr="001B7F70">
        <w:rPr>
          <w:i/>
        </w:rPr>
        <w:instrText xml:space="preserve"> </w:instrText>
      </w:r>
      <w:r w:rsidR="001B7F70" w:rsidRPr="001B7F70">
        <w:rPr>
          <w:i/>
          <w:lang w:val="en-US"/>
        </w:rPr>
        <w:instrText>clinicopathologic</w:instrText>
      </w:r>
      <w:r w:rsidR="001B7F70" w:rsidRPr="001B7F70">
        <w:rPr>
          <w:i/>
        </w:rPr>
        <w:instrText xml:space="preserve"> </w:instrText>
      </w:r>
      <w:r w:rsidR="001B7F70" w:rsidRPr="001B7F70">
        <w:rPr>
          <w:i/>
          <w:lang w:val="en-US"/>
        </w:rPr>
        <w:instrText>entity</w:instrText>
      </w:r>
      <w:r w:rsidR="001B7F70" w:rsidRPr="001B7F70">
        <w:rPr>
          <w:i/>
        </w:rPr>
        <w:instrText xml:space="preserve">, </w:instrText>
      </w:r>
      <w:r w:rsidR="001B7F70" w:rsidRPr="001B7F70">
        <w:rPr>
          <w:i/>
          <w:lang w:val="en-US"/>
        </w:rPr>
        <w:instrText>separate</w:instrText>
      </w:r>
      <w:r w:rsidR="001B7F70" w:rsidRPr="001B7F70">
        <w:rPr>
          <w:i/>
        </w:rPr>
        <w:instrText xml:space="preserve"> </w:instrText>
      </w:r>
      <w:r w:rsidR="001B7F70" w:rsidRPr="001B7F70">
        <w:rPr>
          <w:i/>
          <w:lang w:val="en-US"/>
        </w:rPr>
        <w:instrText>from</w:instrText>
      </w:r>
      <w:r w:rsidR="001B7F70" w:rsidRPr="001B7F70">
        <w:rPr>
          <w:i/>
        </w:rPr>
        <w:instrText xml:space="preserve"> </w:instrText>
      </w:r>
      <w:r w:rsidR="001B7F70" w:rsidRPr="001B7F70">
        <w:rPr>
          <w:i/>
          <w:lang w:val="en-US"/>
        </w:rPr>
        <w:instrText>unilesional</w:instrText>
      </w:r>
      <w:r w:rsidR="001B7F70" w:rsidRPr="001B7F70">
        <w:rPr>
          <w:i/>
        </w:rPr>
        <w:instrText xml:space="preserve"> </w:instrText>
      </w:r>
      <w:r w:rsidR="001B7F70" w:rsidRPr="001B7F70">
        <w:rPr>
          <w:i/>
          <w:lang w:val="en-US"/>
        </w:rPr>
        <w:instrText>mycosis</w:instrText>
      </w:r>
      <w:r w:rsidR="001B7F70" w:rsidRPr="001B7F70">
        <w:rPr>
          <w:i/>
        </w:rPr>
        <w:instrText xml:space="preserve"> </w:instrText>
      </w:r>
      <w:r w:rsidR="001B7F70" w:rsidRPr="001B7F70">
        <w:rPr>
          <w:i/>
          <w:lang w:val="en-US"/>
        </w:rPr>
        <w:instrText>fungoides</w:instrText>
      </w:r>
      <w:r w:rsidR="001B7F70" w:rsidRPr="001B7F70">
        <w:rPr>
          <w:i/>
        </w:rPr>
        <w:instrText xml:space="preserve">, </w:instrText>
      </w:r>
      <w:r w:rsidR="001B7F70" w:rsidRPr="001B7F70">
        <w:rPr>
          <w:i/>
          <w:lang w:val="en-US"/>
        </w:rPr>
        <w:instrText>demonstrating</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slow</w:instrText>
      </w:r>
      <w:r w:rsidR="001B7F70" w:rsidRPr="001B7F70">
        <w:rPr>
          <w:i/>
        </w:rPr>
        <w:instrText xml:space="preserve"> </w:instrText>
      </w:r>
      <w:r w:rsidR="001B7F70" w:rsidRPr="001B7F70">
        <w:rPr>
          <w:i/>
          <w:lang w:val="en-US"/>
        </w:rPr>
        <w:instrText>disease</w:instrText>
      </w:r>
      <w:r w:rsidR="001B7F70" w:rsidRPr="001B7F70">
        <w:rPr>
          <w:i/>
        </w:rPr>
        <w:instrText xml:space="preserve"> </w:instrText>
      </w:r>
      <w:r w:rsidR="001B7F70" w:rsidRPr="001B7F70">
        <w:rPr>
          <w:i/>
          <w:lang w:val="en-US"/>
        </w:rPr>
        <w:instrText>course</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disease</w:instrText>
      </w:r>
      <w:r w:rsidR="001B7F70" w:rsidRPr="001B7F70">
        <w:rPr>
          <w:i/>
        </w:rPr>
        <w:instrText xml:space="preserve"> </w:instrText>
      </w:r>
      <w:r w:rsidR="001B7F70" w:rsidRPr="001B7F70">
        <w:rPr>
          <w:i/>
          <w:lang w:val="en-US"/>
        </w:rPr>
        <w:instrText>is</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clonal</w:instrText>
      </w:r>
      <w:r w:rsidR="001B7F70" w:rsidRPr="001B7F70">
        <w:rPr>
          <w:i/>
        </w:rPr>
        <w:instrText xml:space="preserve"> </w:instrText>
      </w:r>
      <w:r w:rsidR="001B7F70" w:rsidRPr="001B7F70">
        <w:rPr>
          <w:i/>
          <w:lang w:val="en-US"/>
        </w:rPr>
        <w:instrText>cutaneous</w:instrText>
      </w:r>
      <w:r w:rsidR="001B7F70" w:rsidRPr="001B7F70">
        <w:rPr>
          <w:i/>
        </w:rPr>
        <w:instrText xml:space="preserve"> </w:instrText>
      </w:r>
      <w:r w:rsidR="001B7F70" w:rsidRPr="001B7F70">
        <w:rPr>
          <w:i/>
          <w:lang w:val="en-US"/>
        </w:rPr>
        <w:instrText>T</w:instrText>
      </w:r>
      <w:r w:rsidR="001B7F70" w:rsidRPr="001B7F70">
        <w:rPr>
          <w:i/>
        </w:rPr>
        <w:instrText>-</w:instrText>
      </w:r>
      <w:r w:rsidR="001B7F70" w:rsidRPr="001B7F70">
        <w:rPr>
          <w:i/>
          <w:lang w:val="en-US"/>
        </w:rPr>
        <w:instrText>cell</w:instrText>
      </w:r>
      <w:r w:rsidR="001B7F70" w:rsidRPr="001B7F70">
        <w:rPr>
          <w:i/>
        </w:rPr>
        <w:instrText xml:space="preserve"> </w:instrText>
      </w:r>
      <w:r w:rsidR="001B7F70" w:rsidRPr="001B7F70">
        <w:rPr>
          <w:i/>
          <w:lang w:val="en-US"/>
        </w:rPr>
        <w:instrText>lymphoma</w:instrText>
      </w:r>
      <w:r w:rsidR="001B7F70" w:rsidRPr="001B7F70">
        <w:rPr>
          <w:i/>
        </w:rPr>
        <w:instrText xml:space="preserve"> </w:instrText>
      </w:r>
      <w:r w:rsidR="001B7F70" w:rsidRPr="001B7F70">
        <w:rPr>
          <w:i/>
          <w:lang w:val="en-US"/>
        </w:rPr>
        <w:instrText>with</w:instrText>
      </w:r>
      <w:r w:rsidR="001B7F70" w:rsidRPr="001B7F70">
        <w:rPr>
          <w:i/>
        </w:rPr>
        <w:instrText xml:space="preserve"> </w:instrText>
      </w:r>
      <w:r w:rsidR="001B7F70" w:rsidRPr="001B7F70">
        <w:rPr>
          <w:i/>
          <w:lang w:val="en-US"/>
        </w:rPr>
        <w:instrText>relatively</w:instrText>
      </w:r>
      <w:r w:rsidR="001B7F70" w:rsidRPr="001B7F70">
        <w:rPr>
          <w:i/>
        </w:rPr>
        <w:instrText xml:space="preserve"> </w:instrText>
      </w:r>
      <w:r w:rsidR="001B7F70" w:rsidRPr="001B7F70">
        <w:rPr>
          <w:i/>
          <w:lang w:val="en-US"/>
        </w:rPr>
        <w:instrText>consistent</w:instrText>
      </w:r>
      <w:r w:rsidR="001B7F70" w:rsidRPr="001B7F70">
        <w:rPr>
          <w:i/>
        </w:rPr>
        <w:instrText xml:space="preserve"> </w:instrText>
      </w:r>
      <w:r w:rsidR="001B7F70" w:rsidRPr="001B7F70">
        <w:rPr>
          <w:i/>
          <w:lang w:val="en-US"/>
        </w:rPr>
        <w:instrText>clinical</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histopathologic</w:instrText>
      </w:r>
      <w:r w:rsidR="001B7F70" w:rsidRPr="001B7F70">
        <w:rPr>
          <w:i/>
        </w:rPr>
        <w:instrText xml:space="preserve"> </w:instrText>
      </w:r>
      <w:r w:rsidR="001B7F70" w:rsidRPr="001B7F70">
        <w:rPr>
          <w:i/>
          <w:lang w:val="en-US"/>
        </w:rPr>
        <w:instrText>findings</w:instrText>
      </w:r>
      <w:r w:rsidR="001B7F70" w:rsidRPr="001B7F70">
        <w:rPr>
          <w:i/>
        </w:rPr>
        <w:instrText xml:space="preserve"> </w:instrText>
      </w:r>
      <w:r w:rsidR="001B7F70" w:rsidRPr="001B7F70">
        <w:rPr>
          <w:i/>
          <w:lang w:val="en-US"/>
        </w:rPr>
        <w:instrText>but</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heterogeneous</w:instrText>
      </w:r>
      <w:r w:rsidR="001B7F70" w:rsidRPr="001B7F70">
        <w:rPr>
          <w:i/>
        </w:rPr>
        <w:instrText xml:space="preserve"> </w:instrText>
      </w:r>
      <w:r w:rsidR="001B7F70" w:rsidRPr="001B7F70">
        <w:rPr>
          <w:i/>
          <w:lang w:val="en-US"/>
        </w:rPr>
        <w:instrText>immunophenotypic</w:instrText>
      </w:r>
      <w:r w:rsidR="001B7F70" w:rsidRPr="001B7F70">
        <w:rPr>
          <w:i/>
        </w:rPr>
        <w:instrText xml:space="preserve"> </w:instrText>
      </w:r>
      <w:r w:rsidR="001B7F70" w:rsidRPr="001B7F70">
        <w:rPr>
          <w:i/>
          <w:lang w:val="en-US"/>
        </w:rPr>
        <w:instrText>profile</w:instrText>
      </w:r>
      <w:r w:rsidR="001B7F70" w:rsidRPr="001B7F70">
        <w:rPr>
          <w:i/>
        </w:rPr>
        <w:instrText>.","</w:instrText>
      </w:r>
      <w:r w:rsidR="001B7F70" w:rsidRPr="001B7F70">
        <w:rPr>
          <w:i/>
          <w:lang w:val="en-US"/>
        </w:rPr>
        <w:instrText>author</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family</w:instrText>
      </w:r>
      <w:r w:rsidR="001B7F70" w:rsidRPr="001B7F70">
        <w:rPr>
          <w:i/>
        </w:rPr>
        <w:instrText>":"</w:instrText>
      </w:r>
      <w:r w:rsidR="001B7F70" w:rsidRPr="001B7F70">
        <w:rPr>
          <w:i/>
          <w:lang w:val="en-US"/>
        </w:rPr>
        <w:instrText>Haghighi</w:instrText>
      </w:r>
      <w:r w:rsidR="001B7F70" w:rsidRPr="001B7F70">
        <w:rPr>
          <w:i/>
        </w:rPr>
        <w:instrText>","</w:instrText>
      </w:r>
      <w:r w:rsidR="001B7F70" w:rsidRPr="001B7F70">
        <w:rPr>
          <w:i/>
          <w:lang w:val="en-US"/>
        </w:rPr>
        <w:instrText>given</w:instrText>
      </w:r>
      <w:r w:rsidR="001B7F70" w:rsidRPr="001B7F70">
        <w:rPr>
          <w:i/>
        </w:rPr>
        <w:instrText>":"</w:instrText>
      </w:r>
      <w:r w:rsidR="001B7F70" w:rsidRPr="001B7F70">
        <w:rPr>
          <w:i/>
          <w:lang w:val="en-US"/>
        </w:rPr>
        <w:instrText>Bijan</w:instrText>
      </w:r>
      <w:r w:rsidR="001B7F70" w:rsidRPr="001B7F70">
        <w:rPr>
          <w:i/>
        </w:rPr>
        <w:instrText>","</w:instrText>
      </w:r>
      <w:r w:rsidR="001B7F70" w:rsidRPr="001B7F70">
        <w:rPr>
          <w:i/>
          <w:lang w:val="en-US"/>
        </w:rPr>
        <w:instrText>non</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parse</w:instrText>
      </w:r>
      <w:r w:rsidR="001B7F70" w:rsidRPr="001B7F70">
        <w:rPr>
          <w:i/>
        </w:rPr>
        <w:instrText>-</w:instrText>
      </w:r>
      <w:r w:rsidR="001B7F70" w:rsidRPr="001B7F70">
        <w:rPr>
          <w:i/>
          <w:lang w:val="en-US"/>
        </w:rPr>
        <w:instrText>names</w:instrText>
      </w:r>
      <w:r w:rsidR="001B7F70" w:rsidRPr="001B7F70">
        <w:rPr>
          <w:i/>
        </w:rPr>
        <w:instrText>":</w:instrText>
      </w:r>
      <w:r w:rsidR="001B7F70" w:rsidRPr="001B7F70">
        <w:rPr>
          <w:i/>
          <w:lang w:val="en-US"/>
        </w:rPr>
        <w:instrText>false</w:instrText>
      </w:r>
      <w:r w:rsidR="001B7F70" w:rsidRPr="001B7F70">
        <w:rPr>
          <w:i/>
        </w:rPr>
        <w:instrText>,"</w:instrText>
      </w:r>
      <w:r w:rsidR="001B7F70" w:rsidRPr="001B7F70">
        <w:rPr>
          <w:i/>
          <w:lang w:val="en-US"/>
        </w:rPr>
        <w:instrText>suffix</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family</w:instrText>
      </w:r>
      <w:r w:rsidR="001B7F70" w:rsidRPr="001B7F70">
        <w:rPr>
          <w:i/>
        </w:rPr>
        <w:instrText>":"</w:instrText>
      </w:r>
      <w:r w:rsidR="001B7F70" w:rsidRPr="001B7F70">
        <w:rPr>
          <w:i/>
          <w:lang w:val="en-US"/>
        </w:rPr>
        <w:instrText>Smoller</w:instrText>
      </w:r>
      <w:r w:rsidR="001B7F70" w:rsidRPr="001B7F70">
        <w:rPr>
          <w:i/>
        </w:rPr>
        <w:instrText>","</w:instrText>
      </w:r>
      <w:r w:rsidR="001B7F70" w:rsidRPr="001B7F70">
        <w:rPr>
          <w:i/>
          <w:lang w:val="en-US"/>
        </w:rPr>
        <w:instrText>given</w:instrText>
      </w:r>
      <w:r w:rsidR="001B7F70" w:rsidRPr="001B7F70">
        <w:rPr>
          <w:i/>
        </w:rPr>
        <w:instrText>":"</w:instrText>
      </w:r>
      <w:r w:rsidR="001B7F70" w:rsidRPr="001B7F70">
        <w:rPr>
          <w:i/>
          <w:lang w:val="en-US"/>
        </w:rPr>
        <w:instrText>Bruce</w:instrText>
      </w:r>
      <w:r w:rsidR="001B7F70" w:rsidRPr="001B7F70">
        <w:rPr>
          <w:i/>
        </w:rPr>
        <w:instrText xml:space="preserve"> </w:instrText>
      </w:r>
      <w:r w:rsidR="001B7F70" w:rsidRPr="001B7F70">
        <w:rPr>
          <w:i/>
          <w:lang w:val="en-US"/>
        </w:rPr>
        <w:instrText>R</w:instrText>
      </w:r>
      <w:r w:rsidR="001B7F70" w:rsidRPr="001B7F70">
        <w:rPr>
          <w:i/>
        </w:rPr>
        <w:instrText>.","</w:instrText>
      </w:r>
      <w:r w:rsidR="001B7F70" w:rsidRPr="001B7F70">
        <w:rPr>
          <w:i/>
          <w:lang w:val="en-US"/>
        </w:rPr>
        <w:instrText>non</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parse</w:instrText>
      </w:r>
      <w:r w:rsidR="001B7F70" w:rsidRPr="001B7F70">
        <w:rPr>
          <w:i/>
        </w:rPr>
        <w:instrText>-</w:instrText>
      </w:r>
      <w:r w:rsidR="001B7F70" w:rsidRPr="001B7F70">
        <w:rPr>
          <w:i/>
          <w:lang w:val="en-US"/>
        </w:rPr>
        <w:instrText>names</w:instrText>
      </w:r>
      <w:r w:rsidR="001B7F70" w:rsidRPr="001B7F70">
        <w:rPr>
          <w:i/>
        </w:rPr>
        <w:instrText>":</w:instrText>
      </w:r>
      <w:r w:rsidR="001B7F70" w:rsidRPr="001B7F70">
        <w:rPr>
          <w:i/>
          <w:lang w:val="en-US"/>
        </w:rPr>
        <w:instrText>false</w:instrText>
      </w:r>
      <w:r w:rsidR="001B7F70" w:rsidRPr="001B7F70">
        <w:rPr>
          <w:i/>
        </w:rPr>
        <w:instrText>,"</w:instrText>
      </w:r>
      <w:r w:rsidR="001B7F70" w:rsidRPr="001B7F70">
        <w:rPr>
          <w:i/>
          <w:lang w:val="en-US"/>
        </w:rPr>
        <w:instrText>suffix</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family</w:instrText>
      </w:r>
      <w:r w:rsidR="001B7F70" w:rsidRPr="001B7F70">
        <w:rPr>
          <w:i/>
        </w:rPr>
        <w:instrText>":"</w:instrText>
      </w:r>
      <w:r w:rsidR="001B7F70" w:rsidRPr="001B7F70">
        <w:rPr>
          <w:i/>
          <w:lang w:val="en-US"/>
        </w:rPr>
        <w:instrText>LeBoit</w:instrText>
      </w:r>
      <w:r w:rsidR="001B7F70" w:rsidRPr="001B7F70">
        <w:rPr>
          <w:i/>
        </w:rPr>
        <w:instrText>","</w:instrText>
      </w:r>
      <w:r w:rsidR="001B7F70" w:rsidRPr="001B7F70">
        <w:rPr>
          <w:i/>
          <w:lang w:val="en-US"/>
        </w:rPr>
        <w:instrText>given</w:instrText>
      </w:r>
      <w:r w:rsidR="001B7F70" w:rsidRPr="001B7F70">
        <w:rPr>
          <w:i/>
        </w:rPr>
        <w:instrText>":"</w:instrText>
      </w:r>
      <w:r w:rsidR="001B7F70" w:rsidRPr="001B7F70">
        <w:rPr>
          <w:i/>
          <w:lang w:val="en-US"/>
        </w:rPr>
        <w:instrText>Philip</w:instrText>
      </w:r>
      <w:r w:rsidR="001B7F70" w:rsidRPr="001B7F70">
        <w:rPr>
          <w:i/>
        </w:rPr>
        <w:instrText xml:space="preserve"> </w:instrText>
      </w:r>
      <w:r w:rsidR="001B7F70" w:rsidRPr="001B7F70">
        <w:rPr>
          <w:i/>
          <w:lang w:val="en-US"/>
        </w:rPr>
        <w:instrText>E</w:instrText>
      </w:r>
      <w:r w:rsidR="001B7F70" w:rsidRPr="001B7F70">
        <w:rPr>
          <w:i/>
        </w:rPr>
        <w:instrText>.","</w:instrText>
      </w:r>
      <w:r w:rsidR="001B7F70" w:rsidRPr="001B7F70">
        <w:rPr>
          <w:i/>
          <w:lang w:val="en-US"/>
        </w:rPr>
        <w:instrText>non</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parse</w:instrText>
      </w:r>
      <w:r w:rsidR="001B7F70" w:rsidRPr="001B7F70">
        <w:rPr>
          <w:i/>
        </w:rPr>
        <w:instrText>-</w:instrText>
      </w:r>
      <w:r w:rsidR="001B7F70" w:rsidRPr="001B7F70">
        <w:rPr>
          <w:i/>
          <w:lang w:val="en-US"/>
        </w:rPr>
        <w:instrText>names</w:instrText>
      </w:r>
      <w:r w:rsidR="001B7F70" w:rsidRPr="001B7F70">
        <w:rPr>
          <w:i/>
        </w:rPr>
        <w:instrText>":</w:instrText>
      </w:r>
      <w:r w:rsidR="001B7F70" w:rsidRPr="001B7F70">
        <w:rPr>
          <w:i/>
          <w:lang w:val="en-US"/>
        </w:rPr>
        <w:instrText>false</w:instrText>
      </w:r>
      <w:r w:rsidR="001B7F70" w:rsidRPr="001B7F70">
        <w:rPr>
          <w:i/>
        </w:rPr>
        <w:instrText>,"</w:instrText>
      </w:r>
      <w:r w:rsidR="001B7F70" w:rsidRPr="001B7F70">
        <w:rPr>
          <w:i/>
          <w:lang w:val="en-US"/>
        </w:rPr>
        <w:instrText>suffix</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family</w:instrText>
      </w:r>
      <w:r w:rsidR="001B7F70" w:rsidRPr="001B7F70">
        <w:rPr>
          <w:i/>
        </w:rPr>
        <w:instrText>":"</w:instrText>
      </w:r>
      <w:r w:rsidR="001B7F70" w:rsidRPr="001B7F70">
        <w:rPr>
          <w:i/>
          <w:lang w:val="en-US"/>
        </w:rPr>
        <w:instrText>Warnke</w:instrText>
      </w:r>
      <w:r w:rsidR="001B7F70" w:rsidRPr="001B7F70">
        <w:rPr>
          <w:i/>
        </w:rPr>
        <w:instrText>","</w:instrText>
      </w:r>
      <w:r w:rsidR="001B7F70" w:rsidRPr="001B7F70">
        <w:rPr>
          <w:i/>
          <w:lang w:val="en-US"/>
        </w:rPr>
        <w:instrText>given</w:instrText>
      </w:r>
      <w:r w:rsidR="001B7F70" w:rsidRPr="001B7F70">
        <w:rPr>
          <w:i/>
        </w:rPr>
        <w:instrText>":"</w:instrText>
      </w:r>
      <w:r w:rsidR="001B7F70" w:rsidRPr="001B7F70">
        <w:rPr>
          <w:i/>
          <w:lang w:val="en-US"/>
        </w:rPr>
        <w:instrText>Roger</w:instrText>
      </w:r>
      <w:r w:rsidR="001B7F70" w:rsidRPr="001B7F70">
        <w:rPr>
          <w:i/>
        </w:rPr>
        <w:instrText xml:space="preserve"> </w:instrText>
      </w:r>
      <w:r w:rsidR="001B7F70" w:rsidRPr="001B7F70">
        <w:rPr>
          <w:i/>
          <w:lang w:val="en-US"/>
        </w:rPr>
        <w:instrText>A</w:instrText>
      </w:r>
      <w:r w:rsidR="001B7F70" w:rsidRPr="001B7F70">
        <w:rPr>
          <w:i/>
        </w:rPr>
        <w:instrText>.","</w:instrText>
      </w:r>
      <w:r w:rsidR="001B7F70" w:rsidRPr="001B7F70">
        <w:rPr>
          <w:i/>
          <w:lang w:val="en-US"/>
        </w:rPr>
        <w:instrText>non</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parse</w:instrText>
      </w:r>
      <w:r w:rsidR="001B7F70" w:rsidRPr="001B7F70">
        <w:rPr>
          <w:i/>
        </w:rPr>
        <w:instrText>-</w:instrText>
      </w:r>
      <w:r w:rsidR="001B7F70" w:rsidRPr="001B7F70">
        <w:rPr>
          <w:i/>
          <w:lang w:val="en-US"/>
        </w:rPr>
        <w:instrText>names</w:instrText>
      </w:r>
      <w:r w:rsidR="001B7F70" w:rsidRPr="001B7F70">
        <w:rPr>
          <w:i/>
        </w:rPr>
        <w:instrText>":</w:instrText>
      </w:r>
      <w:r w:rsidR="001B7F70" w:rsidRPr="001B7F70">
        <w:rPr>
          <w:i/>
          <w:lang w:val="en-US"/>
        </w:rPr>
        <w:instrText>false</w:instrText>
      </w:r>
      <w:r w:rsidR="001B7F70" w:rsidRPr="001B7F70">
        <w:rPr>
          <w:i/>
        </w:rPr>
        <w:instrText>,"</w:instrText>
      </w:r>
      <w:r w:rsidR="001B7F70" w:rsidRPr="001B7F70">
        <w:rPr>
          <w:i/>
          <w:lang w:val="en-US"/>
        </w:rPr>
        <w:instrText>suffix</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family</w:instrText>
      </w:r>
      <w:r w:rsidR="001B7F70" w:rsidRPr="001B7F70">
        <w:rPr>
          <w:i/>
        </w:rPr>
        <w:instrText>":"</w:instrText>
      </w:r>
      <w:r w:rsidR="001B7F70" w:rsidRPr="001B7F70">
        <w:rPr>
          <w:i/>
          <w:lang w:val="en-US"/>
        </w:rPr>
        <w:instrText>Sander</w:instrText>
      </w:r>
      <w:r w:rsidR="001B7F70" w:rsidRPr="001B7F70">
        <w:rPr>
          <w:i/>
        </w:rPr>
        <w:instrText>","</w:instrText>
      </w:r>
      <w:r w:rsidR="001B7F70" w:rsidRPr="001B7F70">
        <w:rPr>
          <w:i/>
          <w:lang w:val="en-US"/>
        </w:rPr>
        <w:instrText>given</w:instrText>
      </w:r>
      <w:r w:rsidR="001B7F70" w:rsidRPr="001B7F70">
        <w:rPr>
          <w:i/>
        </w:rPr>
        <w:instrText>":"</w:instrText>
      </w:r>
      <w:r w:rsidR="001B7F70" w:rsidRPr="001B7F70">
        <w:rPr>
          <w:i/>
          <w:lang w:val="en-US"/>
        </w:rPr>
        <w:instrText>Christian</w:instrText>
      </w:r>
      <w:r w:rsidR="001B7F70" w:rsidRPr="001B7F70">
        <w:rPr>
          <w:i/>
        </w:rPr>
        <w:instrText xml:space="preserve"> </w:instrText>
      </w:r>
      <w:r w:rsidR="001B7F70" w:rsidRPr="001B7F70">
        <w:rPr>
          <w:i/>
          <w:lang w:val="en-US"/>
        </w:rPr>
        <w:instrText>A</w:instrText>
      </w:r>
      <w:r w:rsidR="001B7F70" w:rsidRPr="001B7F70">
        <w:rPr>
          <w:i/>
        </w:rPr>
        <w:instrText>.","</w:instrText>
      </w:r>
      <w:r w:rsidR="001B7F70" w:rsidRPr="001B7F70">
        <w:rPr>
          <w:i/>
          <w:lang w:val="en-US"/>
        </w:rPr>
        <w:instrText>non</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parse</w:instrText>
      </w:r>
      <w:r w:rsidR="001B7F70" w:rsidRPr="001B7F70">
        <w:rPr>
          <w:i/>
        </w:rPr>
        <w:instrText>-</w:instrText>
      </w:r>
      <w:r w:rsidR="001B7F70" w:rsidRPr="001B7F70">
        <w:rPr>
          <w:i/>
          <w:lang w:val="en-US"/>
        </w:rPr>
        <w:instrText>names</w:instrText>
      </w:r>
      <w:r w:rsidR="001B7F70" w:rsidRPr="001B7F70">
        <w:rPr>
          <w:i/>
        </w:rPr>
        <w:instrText>":</w:instrText>
      </w:r>
      <w:r w:rsidR="001B7F70" w:rsidRPr="001B7F70">
        <w:rPr>
          <w:i/>
          <w:lang w:val="en-US"/>
        </w:rPr>
        <w:instrText>false</w:instrText>
      </w:r>
      <w:r w:rsidR="001B7F70" w:rsidRPr="001B7F70">
        <w:rPr>
          <w:i/>
        </w:rPr>
        <w:instrText>,"</w:instrText>
      </w:r>
      <w:r w:rsidR="001B7F70" w:rsidRPr="001B7F70">
        <w:rPr>
          <w:i/>
          <w:lang w:val="en-US"/>
        </w:rPr>
        <w:instrText>suffix</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family</w:instrText>
      </w:r>
      <w:r w:rsidR="001B7F70" w:rsidRPr="001B7F70">
        <w:rPr>
          <w:i/>
        </w:rPr>
        <w:instrText>":"</w:instrText>
      </w:r>
      <w:r w:rsidR="001B7F70" w:rsidRPr="001B7F70">
        <w:rPr>
          <w:i/>
          <w:lang w:val="en-US"/>
        </w:rPr>
        <w:instrText>Kohler</w:instrText>
      </w:r>
      <w:r w:rsidR="001B7F70" w:rsidRPr="001B7F70">
        <w:rPr>
          <w:i/>
        </w:rPr>
        <w:instrText>","</w:instrText>
      </w:r>
      <w:r w:rsidR="001B7F70" w:rsidRPr="001B7F70">
        <w:rPr>
          <w:i/>
          <w:lang w:val="en-US"/>
        </w:rPr>
        <w:instrText>given</w:instrText>
      </w:r>
      <w:r w:rsidR="001B7F70" w:rsidRPr="001B7F70">
        <w:rPr>
          <w:i/>
        </w:rPr>
        <w:instrText>":"</w:instrText>
      </w:r>
      <w:r w:rsidR="001B7F70" w:rsidRPr="001B7F70">
        <w:rPr>
          <w:i/>
          <w:lang w:val="en-US"/>
        </w:rPr>
        <w:instrText>S</w:instrText>
      </w:r>
      <w:r w:rsidR="001B7F70" w:rsidRPr="001B7F70">
        <w:rPr>
          <w:i/>
        </w:rPr>
        <w:instrText>.","</w:instrText>
      </w:r>
      <w:r w:rsidR="001B7F70" w:rsidRPr="001B7F70">
        <w:rPr>
          <w:i/>
          <w:lang w:val="en-US"/>
        </w:rPr>
        <w:instrText>non</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parse</w:instrText>
      </w:r>
      <w:r w:rsidR="001B7F70" w:rsidRPr="001B7F70">
        <w:rPr>
          <w:i/>
        </w:rPr>
        <w:instrText>-</w:instrText>
      </w:r>
      <w:r w:rsidR="001B7F70" w:rsidRPr="001B7F70">
        <w:rPr>
          <w:i/>
          <w:lang w:val="en-US"/>
        </w:rPr>
        <w:instrText>names</w:instrText>
      </w:r>
      <w:r w:rsidR="001B7F70" w:rsidRPr="001B7F70">
        <w:rPr>
          <w:i/>
        </w:rPr>
        <w:instrText>":</w:instrText>
      </w:r>
      <w:r w:rsidR="001B7F70" w:rsidRPr="001B7F70">
        <w:rPr>
          <w:i/>
          <w:lang w:val="en-US"/>
        </w:rPr>
        <w:instrText>false</w:instrText>
      </w:r>
      <w:r w:rsidR="001B7F70" w:rsidRPr="001B7F70">
        <w:rPr>
          <w:i/>
        </w:rPr>
        <w:instrText>,"</w:instrText>
      </w:r>
      <w:r w:rsidR="001B7F70" w:rsidRPr="001B7F70">
        <w:rPr>
          <w:i/>
          <w:lang w:val="en-US"/>
        </w:rPr>
        <w:instrText>suffix</w:instrText>
      </w:r>
      <w:r w:rsidR="001B7F70" w:rsidRPr="001B7F70">
        <w:rPr>
          <w:i/>
        </w:rPr>
        <w:instrText>":""}],"</w:instrText>
      </w:r>
      <w:r w:rsidR="001B7F70" w:rsidRPr="001B7F70">
        <w:rPr>
          <w:i/>
          <w:lang w:val="en-US"/>
        </w:rPr>
        <w:instrText>container</w:instrText>
      </w:r>
      <w:r w:rsidR="001B7F70" w:rsidRPr="001B7F70">
        <w:rPr>
          <w:i/>
        </w:rPr>
        <w:instrText>-</w:instrText>
      </w:r>
      <w:r w:rsidR="001B7F70" w:rsidRPr="001B7F70">
        <w:rPr>
          <w:i/>
          <w:lang w:val="en-US"/>
        </w:rPr>
        <w:instrText>title</w:instrText>
      </w:r>
      <w:r w:rsidR="001B7F70" w:rsidRPr="001B7F70">
        <w:rPr>
          <w:i/>
        </w:rPr>
        <w:instrText>":"</w:instrText>
      </w:r>
      <w:r w:rsidR="001B7F70" w:rsidRPr="001B7F70">
        <w:rPr>
          <w:i/>
          <w:lang w:val="en-US"/>
        </w:rPr>
        <w:instrText>Modern</w:instrText>
      </w:r>
      <w:r w:rsidR="001B7F70" w:rsidRPr="001B7F70">
        <w:rPr>
          <w:i/>
        </w:rPr>
        <w:instrText xml:space="preserve"> </w:instrText>
      </w:r>
      <w:r w:rsidR="001B7F70" w:rsidRPr="001B7F70">
        <w:rPr>
          <w:i/>
          <w:lang w:val="en-US"/>
        </w:rPr>
        <w:instrText>Pathology</w:instrText>
      </w:r>
      <w:r w:rsidR="001B7F70" w:rsidRPr="001B7F70">
        <w:rPr>
          <w:i/>
        </w:rPr>
        <w:instrText>","</w:instrText>
      </w:r>
      <w:r w:rsidR="001B7F70" w:rsidRPr="001B7F70">
        <w:rPr>
          <w:i/>
          <w:lang w:val="en-US"/>
        </w:rPr>
        <w:instrText>id</w:instrText>
      </w:r>
      <w:r w:rsidR="001B7F70" w:rsidRPr="001B7F70">
        <w:rPr>
          <w:i/>
        </w:rPr>
        <w:instrText>":"</w:instrText>
      </w:r>
      <w:r w:rsidR="001B7F70" w:rsidRPr="001B7F70">
        <w:rPr>
          <w:i/>
          <w:lang w:val="en-US"/>
        </w:rPr>
        <w:instrText>ITEM</w:instrText>
      </w:r>
      <w:r w:rsidR="001B7F70" w:rsidRPr="001B7F70">
        <w:rPr>
          <w:i/>
        </w:rPr>
        <w:instrText>-1","</w:instrText>
      </w:r>
      <w:r w:rsidR="001B7F70" w:rsidRPr="001B7F70">
        <w:rPr>
          <w:i/>
          <w:lang w:val="en-US"/>
        </w:rPr>
        <w:instrText>issue</w:instrText>
      </w:r>
      <w:r w:rsidR="001B7F70" w:rsidRPr="001B7F70">
        <w:rPr>
          <w:i/>
        </w:rPr>
        <w:instrText>":"5","</w:instrText>
      </w:r>
      <w:r w:rsidR="001B7F70" w:rsidRPr="001B7F70">
        <w:rPr>
          <w:i/>
          <w:lang w:val="en-US"/>
        </w:rPr>
        <w:instrText>issued</w:instrText>
      </w:r>
      <w:r w:rsidR="001B7F70" w:rsidRPr="001B7F70">
        <w:rPr>
          <w:i/>
        </w:rPr>
        <w:instrText>":{"</w:instrText>
      </w:r>
      <w:r w:rsidR="001B7F70" w:rsidRPr="001B7F70">
        <w:rPr>
          <w:i/>
          <w:lang w:val="en-US"/>
        </w:rPr>
        <w:instrText>date</w:instrText>
      </w:r>
      <w:r w:rsidR="001B7F70" w:rsidRPr="001B7F70">
        <w:rPr>
          <w:i/>
        </w:rPr>
        <w:instrText>-</w:instrText>
      </w:r>
      <w:r w:rsidR="001B7F70" w:rsidRPr="001B7F70">
        <w:rPr>
          <w:i/>
          <w:lang w:val="en-US"/>
        </w:rPr>
        <w:instrText>parts</w:instrText>
      </w:r>
      <w:r w:rsidR="001B7F70" w:rsidRPr="001B7F70">
        <w:rPr>
          <w:i/>
        </w:rPr>
        <w:instrText>":[["2000"]]},"</w:instrText>
      </w:r>
      <w:r w:rsidR="001B7F70" w:rsidRPr="001B7F70">
        <w:rPr>
          <w:i/>
          <w:lang w:val="en-US"/>
        </w:rPr>
        <w:instrText>page</w:instrText>
      </w:r>
      <w:r w:rsidR="001B7F70" w:rsidRPr="001B7F70">
        <w:rPr>
          <w:i/>
        </w:rPr>
        <w:instrText>":"502-510","</w:instrText>
      </w:r>
      <w:r w:rsidR="001B7F70" w:rsidRPr="001B7F70">
        <w:rPr>
          <w:i/>
          <w:lang w:val="en-US"/>
        </w:rPr>
        <w:instrText>publisher</w:instrText>
      </w:r>
      <w:r w:rsidR="001B7F70" w:rsidRPr="001B7F70">
        <w:rPr>
          <w:i/>
        </w:rPr>
        <w:instrText>":"</w:instrText>
      </w:r>
      <w:r w:rsidR="001B7F70" w:rsidRPr="001B7F70">
        <w:rPr>
          <w:i/>
          <w:lang w:val="en-US"/>
        </w:rPr>
        <w:instrText>Lippincott</w:instrText>
      </w:r>
      <w:r w:rsidR="001B7F70" w:rsidRPr="001B7F70">
        <w:rPr>
          <w:i/>
        </w:rPr>
        <w:instrText xml:space="preserve"> </w:instrText>
      </w:r>
      <w:r w:rsidR="001B7F70" w:rsidRPr="001B7F70">
        <w:rPr>
          <w:i/>
          <w:lang w:val="en-US"/>
        </w:rPr>
        <w:instrText>Williams</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Wilkins</w:instrText>
      </w:r>
      <w:r w:rsidR="001B7F70" w:rsidRPr="001B7F70">
        <w:rPr>
          <w:i/>
        </w:rPr>
        <w:instrText>","</w:instrText>
      </w:r>
      <w:r w:rsidR="001B7F70" w:rsidRPr="001B7F70">
        <w:rPr>
          <w:i/>
          <w:lang w:val="en-US"/>
        </w:rPr>
        <w:instrText>title</w:instrText>
      </w:r>
      <w:r w:rsidR="001B7F70" w:rsidRPr="001B7F70">
        <w:rPr>
          <w:i/>
        </w:rPr>
        <w:instrText>":"</w:instrText>
      </w:r>
      <w:r w:rsidR="001B7F70" w:rsidRPr="001B7F70">
        <w:rPr>
          <w:i/>
          <w:lang w:val="en-US"/>
        </w:rPr>
        <w:instrText>Pagetoid</w:instrText>
      </w:r>
      <w:r w:rsidR="001B7F70" w:rsidRPr="001B7F70">
        <w:rPr>
          <w:i/>
        </w:rPr>
        <w:instrText xml:space="preserve"> </w:instrText>
      </w:r>
      <w:r w:rsidR="001B7F70" w:rsidRPr="001B7F70">
        <w:rPr>
          <w:i/>
          <w:lang w:val="en-US"/>
        </w:rPr>
        <w:instrText>reticulosis</w:instrText>
      </w:r>
      <w:r w:rsidR="001B7F70" w:rsidRPr="001B7F70">
        <w:rPr>
          <w:i/>
        </w:rPr>
        <w:instrText xml:space="preserve"> (</w:instrText>
      </w:r>
      <w:r w:rsidR="001B7F70" w:rsidRPr="001B7F70">
        <w:rPr>
          <w:i/>
          <w:lang w:val="en-US"/>
        </w:rPr>
        <w:instrText>Woringer</w:instrText>
      </w:r>
      <w:r w:rsidR="001B7F70" w:rsidRPr="001B7F70">
        <w:rPr>
          <w:i/>
        </w:rPr>
        <w:instrText>-</w:instrText>
      </w:r>
      <w:r w:rsidR="001B7F70" w:rsidRPr="001B7F70">
        <w:rPr>
          <w:i/>
          <w:lang w:val="en-US"/>
        </w:rPr>
        <w:instrText>Kolopp</w:instrText>
      </w:r>
      <w:r w:rsidR="001B7F70" w:rsidRPr="001B7F70">
        <w:rPr>
          <w:i/>
        </w:rPr>
        <w:instrText xml:space="preserve"> </w:instrText>
      </w:r>
      <w:r w:rsidR="001B7F70" w:rsidRPr="001B7F70">
        <w:rPr>
          <w:i/>
          <w:lang w:val="en-US"/>
        </w:rPr>
        <w:instrText>disease</w:instrText>
      </w:r>
      <w:r w:rsidR="001B7F70" w:rsidRPr="001B7F70">
        <w:rPr>
          <w:i/>
        </w:rPr>
        <w:instrText xml:space="preserve">): </w:instrText>
      </w:r>
      <w:r w:rsidR="001B7F70" w:rsidRPr="001B7F70">
        <w:rPr>
          <w:i/>
          <w:lang w:val="en-US"/>
        </w:rPr>
        <w:instrText>An</w:instrText>
      </w:r>
      <w:r w:rsidR="001B7F70" w:rsidRPr="001B7F70">
        <w:rPr>
          <w:i/>
        </w:rPr>
        <w:instrText xml:space="preserve"> </w:instrText>
      </w:r>
      <w:r w:rsidR="001B7F70" w:rsidRPr="001B7F70">
        <w:rPr>
          <w:i/>
          <w:lang w:val="en-US"/>
        </w:rPr>
        <w:instrText>immunophenotypic</w:instrText>
      </w:r>
      <w:r w:rsidR="001B7F70" w:rsidRPr="001B7F70">
        <w:rPr>
          <w:i/>
        </w:rPr>
        <w:instrText xml:space="preserve">, </w:instrText>
      </w:r>
      <w:r w:rsidR="001B7F70" w:rsidRPr="001B7F70">
        <w:rPr>
          <w:i/>
          <w:lang w:val="en-US"/>
        </w:rPr>
        <w:instrText>molecular</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clinicopathologic</w:instrText>
      </w:r>
      <w:r w:rsidR="001B7F70" w:rsidRPr="001B7F70">
        <w:rPr>
          <w:i/>
        </w:rPr>
        <w:instrText xml:space="preserve"> </w:instrText>
      </w:r>
      <w:r w:rsidR="001B7F70" w:rsidRPr="001B7F70">
        <w:rPr>
          <w:i/>
          <w:lang w:val="en-US"/>
        </w:rPr>
        <w:instrText>study</w:instrText>
      </w:r>
      <w:r w:rsidR="001B7F70" w:rsidRPr="001B7F70">
        <w:rPr>
          <w:i/>
        </w:rPr>
        <w:instrText>","</w:instrText>
      </w:r>
      <w:r w:rsidR="001B7F70" w:rsidRPr="001B7F70">
        <w:rPr>
          <w:i/>
          <w:lang w:val="en-US"/>
        </w:rPr>
        <w:instrText>type</w:instrText>
      </w:r>
      <w:r w:rsidR="001B7F70" w:rsidRPr="001B7F70">
        <w:rPr>
          <w:i/>
        </w:rPr>
        <w:instrText>":"</w:instrText>
      </w:r>
      <w:r w:rsidR="001B7F70" w:rsidRPr="001B7F70">
        <w:rPr>
          <w:i/>
          <w:lang w:val="en-US"/>
        </w:rPr>
        <w:instrText>article</w:instrText>
      </w:r>
      <w:r w:rsidR="001B7F70" w:rsidRPr="001B7F70">
        <w:rPr>
          <w:i/>
        </w:rPr>
        <w:instrText>-</w:instrText>
      </w:r>
      <w:r w:rsidR="001B7F70" w:rsidRPr="001B7F70">
        <w:rPr>
          <w:i/>
          <w:lang w:val="en-US"/>
        </w:rPr>
        <w:instrText>journal</w:instrText>
      </w:r>
      <w:r w:rsidR="001B7F70" w:rsidRPr="001B7F70">
        <w:rPr>
          <w:i/>
        </w:rPr>
        <w:instrText>","</w:instrText>
      </w:r>
      <w:r w:rsidR="001B7F70" w:rsidRPr="001B7F70">
        <w:rPr>
          <w:i/>
          <w:lang w:val="en-US"/>
        </w:rPr>
        <w:instrText>volume</w:instrText>
      </w:r>
      <w:r w:rsidR="001B7F70" w:rsidRPr="001B7F70">
        <w:rPr>
          <w:i/>
        </w:rPr>
        <w:instrText>":"13"},"</w:instrText>
      </w:r>
      <w:r w:rsidR="001B7F70" w:rsidRPr="001B7F70">
        <w:rPr>
          <w:i/>
          <w:lang w:val="en-US"/>
        </w:rPr>
        <w:instrText>uris</w:instrText>
      </w:r>
      <w:r w:rsidR="001B7F70" w:rsidRPr="001B7F70">
        <w:rPr>
          <w:i/>
        </w:rPr>
        <w:instrText>":["</w:instrText>
      </w:r>
      <w:r w:rsidR="001B7F70" w:rsidRPr="001B7F70">
        <w:rPr>
          <w:i/>
          <w:lang w:val="en-US"/>
        </w:rPr>
        <w:instrText>http</w:instrText>
      </w:r>
      <w:r w:rsidR="001B7F70" w:rsidRPr="001B7F70">
        <w:rPr>
          <w:i/>
        </w:rPr>
        <w:instrText>://</w:instrText>
      </w:r>
      <w:r w:rsidR="001B7F70" w:rsidRPr="001B7F70">
        <w:rPr>
          <w:i/>
          <w:lang w:val="en-US"/>
        </w:rPr>
        <w:instrText>www</w:instrText>
      </w:r>
      <w:r w:rsidR="001B7F70" w:rsidRPr="001B7F70">
        <w:rPr>
          <w:i/>
        </w:rPr>
        <w:instrText>.</w:instrText>
      </w:r>
      <w:r w:rsidR="001B7F70" w:rsidRPr="001B7F70">
        <w:rPr>
          <w:i/>
          <w:lang w:val="en-US"/>
        </w:rPr>
        <w:instrText>mendeley</w:instrText>
      </w:r>
      <w:r w:rsidR="001B7F70" w:rsidRPr="001B7F70">
        <w:rPr>
          <w:i/>
        </w:rPr>
        <w:instrText>.</w:instrText>
      </w:r>
      <w:r w:rsidR="001B7F70" w:rsidRPr="001B7F70">
        <w:rPr>
          <w:i/>
          <w:lang w:val="en-US"/>
        </w:rPr>
        <w:instrText>com</w:instrText>
      </w:r>
      <w:r w:rsidR="001B7F70" w:rsidRPr="001B7F70">
        <w:rPr>
          <w:i/>
        </w:rPr>
        <w:instrText>/</w:instrText>
      </w:r>
      <w:r w:rsidR="001B7F70" w:rsidRPr="001B7F70">
        <w:rPr>
          <w:i/>
          <w:lang w:val="en-US"/>
        </w:rPr>
        <w:instrText>documents</w:instrText>
      </w:r>
      <w:r w:rsidR="001B7F70" w:rsidRPr="001B7F70">
        <w:rPr>
          <w:i/>
        </w:rPr>
        <w:instrText>/?</w:instrText>
      </w:r>
      <w:r w:rsidR="001B7F70" w:rsidRPr="001B7F70">
        <w:rPr>
          <w:i/>
          <w:lang w:val="en-US"/>
        </w:rPr>
        <w:instrText>uuid</w:instrText>
      </w:r>
      <w:r w:rsidR="001B7F70" w:rsidRPr="001B7F70">
        <w:rPr>
          <w:i/>
        </w:rPr>
        <w:instrText>=5241</w:instrText>
      </w:r>
      <w:r w:rsidR="001B7F70" w:rsidRPr="001B7F70">
        <w:rPr>
          <w:i/>
          <w:lang w:val="en-US"/>
        </w:rPr>
        <w:instrText>a</w:instrText>
      </w:r>
      <w:r w:rsidR="001B7F70" w:rsidRPr="001B7F70">
        <w:rPr>
          <w:i/>
        </w:rPr>
        <w:instrText>31</w:instrText>
      </w:r>
      <w:r w:rsidR="001B7F70" w:rsidRPr="001B7F70">
        <w:rPr>
          <w:i/>
          <w:lang w:val="en-US"/>
        </w:rPr>
        <w:instrText>b</w:instrText>
      </w:r>
      <w:r w:rsidR="001B7F70" w:rsidRPr="001B7F70">
        <w:rPr>
          <w:i/>
        </w:rPr>
        <w:instrText>-</w:instrText>
      </w:r>
      <w:r w:rsidR="001B7F70" w:rsidRPr="001B7F70">
        <w:rPr>
          <w:i/>
          <w:lang w:val="en-US"/>
        </w:rPr>
        <w:instrText>e</w:instrText>
      </w:r>
      <w:r w:rsidR="001B7F70" w:rsidRPr="001B7F70">
        <w:rPr>
          <w:i/>
        </w:rPr>
        <w:instrText>90</w:instrText>
      </w:r>
      <w:r w:rsidR="001B7F70" w:rsidRPr="001B7F70">
        <w:rPr>
          <w:i/>
          <w:lang w:val="en-US"/>
        </w:rPr>
        <w:instrText>c</w:instrText>
      </w:r>
      <w:r w:rsidR="001B7F70" w:rsidRPr="001B7F70">
        <w:rPr>
          <w:i/>
        </w:rPr>
        <w:instrText>-37</w:instrText>
      </w:r>
      <w:r w:rsidR="001B7F70" w:rsidRPr="001B7F70">
        <w:rPr>
          <w:i/>
          <w:lang w:val="en-US"/>
        </w:rPr>
        <w:instrText>b</w:instrText>
      </w:r>
      <w:r w:rsidR="001B7F70" w:rsidRPr="001B7F70">
        <w:rPr>
          <w:i/>
        </w:rPr>
        <w:instrText>2-8123-</w:instrText>
      </w:r>
      <w:r w:rsidR="001B7F70" w:rsidRPr="001B7F70">
        <w:rPr>
          <w:i/>
          <w:lang w:val="en-US"/>
        </w:rPr>
        <w:instrText>dea</w:instrText>
      </w:r>
      <w:r w:rsidR="001B7F70" w:rsidRPr="001B7F70">
        <w:rPr>
          <w:i/>
        </w:rPr>
        <w:instrText>73</w:instrText>
      </w:r>
      <w:r w:rsidR="001B7F70" w:rsidRPr="001B7F70">
        <w:rPr>
          <w:i/>
          <w:lang w:val="en-US"/>
        </w:rPr>
        <w:instrText>ee</w:instrText>
      </w:r>
      <w:r w:rsidR="001B7F70" w:rsidRPr="001B7F70">
        <w:rPr>
          <w:i/>
        </w:rPr>
        <w:instrText>19</w:instrText>
      </w:r>
      <w:r w:rsidR="001B7F70" w:rsidRPr="001B7F70">
        <w:rPr>
          <w:i/>
          <w:lang w:val="en-US"/>
        </w:rPr>
        <w:instrText>a</w:instrText>
      </w:r>
      <w:r w:rsidR="001B7F70" w:rsidRPr="001B7F70">
        <w:rPr>
          <w:i/>
        </w:rPr>
        <w:instrText>71"]}],"</w:instrText>
      </w:r>
      <w:r w:rsidR="001B7F70" w:rsidRPr="001B7F70">
        <w:rPr>
          <w:i/>
          <w:lang w:val="en-US"/>
        </w:rPr>
        <w:instrText>mendeley</w:instrText>
      </w:r>
      <w:r w:rsidR="001B7F70" w:rsidRPr="001B7F70">
        <w:rPr>
          <w:i/>
        </w:rPr>
        <w:instrText>":{"</w:instrText>
      </w:r>
      <w:r w:rsidR="001B7F70" w:rsidRPr="001B7F70">
        <w:rPr>
          <w:i/>
          <w:lang w:val="en-US"/>
        </w:rPr>
        <w:instrText>formattedCitation</w:instrText>
      </w:r>
      <w:r w:rsidR="001B7F70" w:rsidRPr="001B7F70">
        <w:rPr>
          <w:i/>
        </w:rPr>
        <w:instrText>":"[34]","</w:instrText>
      </w:r>
      <w:r w:rsidR="001B7F70" w:rsidRPr="001B7F70">
        <w:rPr>
          <w:i/>
          <w:lang w:val="en-US"/>
        </w:rPr>
        <w:instrText>plainTextFormattedCitation</w:instrText>
      </w:r>
      <w:r w:rsidR="001B7F70" w:rsidRPr="001B7F70">
        <w:rPr>
          <w:i/>
        </w:rPr>
        <w:instrText>":"[34]","</w:instrText>
      </w:r>
      <w:r w:rsidR="001B7F70" w:rsidRPr="001B7F70">
        <w:rPr>
          <w:i/>
          <w:lang w:val="en-US"/>
        </w:rPr>
        <w:instrText>previouslyFormattedCitation</w:instrText>
      </w:r>
      <w:r w:rsidR="001B7F70" w:rsidRPr="001B7F70">
        <w:rPr>
          <w:i/>
        </w:rPr>
        <w:instrText>":"[34]"},"</w:instrText>
      </w:r>
      <w:r w:rsidR="001B7F70" w:rsidRPr="001B7F70">
        <w:rPr>
          <w:i/>
          <w:lang w:val="en-US"/>
        </w:rPr>
        <w:instrText>properties</w:instrText>
      </w:r>
      <w:r w:rsidR="001B7F70" w:rsidRPr="001B7F70">
        <w:rPr>
          <w:i/>
        </w:rPr>
        <w:instrText>":{"</w:instrText>
      </w:r>
      <w:r w:rsidR="001B7F70" w:rsidRPr="001B7F70">
        <w:rPr>
          <w:i/>
          <w:lang w:val="en-US"/>
        </w:rPr>
        <w:instrText>noteIndex</w:instrText>
      </w:r>
      <w:r w:rsidR="001B7F70" w:rsidRPr="001B7F70">
        <w:rPr>
          <w:i/>
        </w:rPr>
        <w:instrText>":0},"</w:instrText>
      </w:r>
      <w:r w:rsidR="001B7F70" w:rsidRPr="001B7F70">
        <w:rPr>
          <w:i/>
          <w:lang w:val="en-US"/>
        </w:rPr>
        <w:instrText>schema</w:instrText>
      </w:r>
      <w:r w:rsidR="001B7F70" w:rsidRPr="001B7F70">
        <w:rPr>
          <w:i/>
        </w:rPr>
        <w:instrText>":"</w:instrText>
      </w:r>
      <w:r w:rsidR="001B7F70" w:rsidRPr="001B7F70">
        <w:rPr>
          <w:i/>
          <w:lang w:val="en-US"/>
        </w:rPr>
        <w:instrText>https</w:instrText>
      </w:r>
      <w:r w:rsidR="001B7F70" w:rsidRPr="001B7F70">
        <w:rPr>
          <w:i/>
        </w:rPr>
        <w:instrText>://</w:instrText>
      </w:r>
      <w:r w:rsidR="001B7F70" w:rsidRPr="001B7F70">
        <w:rPr>
          <w:i/>
          <w:lang w:val="en-US"/>
        </w:rPr>
        <w:instrText>github</w:instrText>
      </w:r>
      <w:r w:rsidR="001B7F70" w:rsidRPr="001B7F70">
        <w:rPr>
          <w:i/>
        </w:rPr>
        <w:instrText>.</w:instrText>
      </w:r>
      <w:r w:rsidR="001B7F70" w:rsidRPr="001B7F70">
        <w:rPr>
          <w:i/>
          <w:lang w:val="en-US"/>
        </w:rPr>
        <w:instrText>com</w:instrText>
      </w:r>
      <w:r w:rsidR="001B7F70" w:rsidRPr="001B7F70">
        <w:rPr>
          <w:i/>
        </w:rPr>
        <w:instrText>/</w:instrText>
      </w:r>
      <w:r w:rsidR="001B7F70" w:rsidRPr="001B7F70">
        <w:rPr>
          <w:i/>
          <w:lang w:val="en-US"/>
        </w:rPr>
        <w:instrText>citation</w:instrText>
      </w:r>
      <w:r w:rsidR="001B7F70" w:rsidRPr="001B7F70">
        <w:rPr>
          <w:i/>
        </w:rPr>
        <w:instrText>-</w:instrText>
      </w:r>
      <w:r w:rsidR="001B7F70" w:rsidRPr="001B7F70">
        <w:rPr>
          <w:i/>
          <w:lang w:val="en-US"/>
        </w:rPr>
        <w:instrText>style</w:instrText>
      </w:r>
      <w:r w:rsidR="001B7F70" w:rsidRPr="001B7F70">
        <w:rPr>
          <w:i/>
        </w:rPr>
        <w:instrText>-</w:instrText>
      </w:r>
      <w:r w:rsidR="001B7F70" w:rsidRPr="001B7F70">
        <w:rPr>
          <w:i/>
          <w:lang w:val="en-US"/>
        </w:rPr>
        <w:instrText>language</w:instrText>
      </w:r>
      <w:r w:rsidR="001B7F70" w:rsidRPr="001B7F70">
        <w:rPr>
          <w:i/>
        </w:rPr>
        <w:instrText>/</w:instrText>
      </w:r>
      <w:r w:rsidR="001B7F70" w:rsidRPr="001B7F70">
        <w:rPr>
          <w:i/>
          <w:lang w:val="en-US"/>
        </w:rPr>
        <w:instrText>schema</w:instrText>
      </w:r>
      <w:r w:rsidR="001B7F70" w:rsidRPr="001B7F70">
        <w:rPr>
          <w:i/>
        </w:rPr>
        <w:instrText>/</w:instrText>
      </w:r>
      <w:r w:rsidR="001B7F70" w:rsidRPr="001B7F70">
        <w:rPr>
          <w:i/>
          <w:lang w:val="en-US"/>
        </w:rPr>
        <w:instrText>raw</w:instrText>
      </w:r>
      <w:r w:rsidR="001B7F70" w:rsidRPr="001B7F70">
        <w:rPr>
          <w:i/>
        </w:rPr>
        <w:instrText>/</w:instrText>
      </w:r>
      <w:r w:rsidR="001B7F70" w:rsidRPr="001B7F70">
        <w:rPr>
          <w:i/>
          <w:lang w:val="en-US"/>
        </w:rPr>
        <w:instrText>master</w:instrText>
      </w:r>
      <w:r w:rsidR="001B7F70" w:rsidRPr="001B7F70">
        <w:rPr>
          <w:i/>
        </w:rPr>
        <w:instrText>/</w:instrText>
      </w:r>
      <w:r w:rsidR="001B7F70" w:rsidRPr="001B7F70">
        <w:rPr>
          <w:i/>
          <w:lang w:val="en-US"/>
        </w:rPr>
        <w:instrText>csl</w:instrText>
      </w:r>
      <w:r w:rsidR="001B7F70" w:rsidRPr="001B7F70">
        <w:rPr>
          <w:i/>
        </w:rPr>
        <w:instrText>-</w:instrText>
      </w:r>
      <w:r w:rsidR="001B7F70" w:rsidRPr="001B7F70">
        <w:rPr>
          <w:i/>
          <w:lang w:val="en-US"/>
        </w:rPr>
        <w:instrText>citation</w:instrText>
      </w:r>
      <w:r w:rsidR="001B7F70" w:rsidRPr="001B7F70">
        <w:rPr>
          <w:i/>
        </w:rPr>
        <w:instrText>.</w:instrText>
      </w:r>
      <w:r w:rsidR="001B7F70" w:rsidRPr="001B7F70">
        <w:rPr>
          <w:i/>
          <w:lang w:val="en-US"/>
        </w:rPr>
        <w:instrText>json</w:instrText>
      </w:r>
      <w:r w:rsidR="001B7F70" w:rsidRPr="001B7F70">
        <w:rPr>
          <w:i/>
        </w:rPr>
        <w:instrText>"}</w:instrText>
      </w:r>
      <w:r w:rsidR="00062499" w:rsidRPr="001B7F70">
        <w:rPr>
          <w:i/>
          <w:lang w:val="en-US"/>
        </w:rPr>
        <w:fldChar w:fldCharType="separate"/>
      </w:r>
      <w:r w:rsidR="001B7F70" w:rsidRPr="001B7F70">
        <w:rPr>
          <w:noProof/>
        </w:rPr>
        <w:t>[34]</w:t>
      </w:r>
      <w:r w:rsidR="00062499" w:rsidRPr="001B7F70">
        <w:rPr>
          <w:i/>
          <w:lang w:val="en-US"/>
        </w:rPr>
        <w:fldChar w:fldCharType="end"/>
      </w:r>
      <w:r w:rsidR="001B7F70" w:rsidRPr="001B7F70">
        <w:rPr>
          <w:i/>
        </w:rPr>
        <w:t>.</w:t>
      </w:r>
    </w:p>
    <w:p w:rsidR="00660D84" w:rsidRPr="0073723C" w:rsidRDefault="000C307B" w:rsidP="00660D84">
      <w:pPr>
        <w:pStyle w:val="afb"/>
        <w:spacing w:beforeAutospacing="0" w:afterAutospacing="0" w:line="360" w:lineRule="auto"/>
        <w:ind w:left="567" w:firstLine="0"/>
        <w:divId w:val="266810958"/>
        <w:rPr>
          <w:i/>
        </w:rPr>
      </w:pPr>
      <w:r w:rsidRPr="000C307B">
        <w:rPr>
          <w:i/>
        </w:rPr>
        <w:t xml:space="preserve">В большинстве случае синдрома гранулематозной вялой кожи отмечается фенотип Т-лимфоцитов </w:t>
      </w:r>
      <w:r w:rsidRPr="000C307B">
        <w:rPr>
          <w:i/>
          <w:lang w:val="en-US"/>
        </w:rPr>
        <w:t>CD</w:t>
      </w:r>
      <w:r w:rsidR="001B7F70" w:rsidRPr="001B7F70">
        <w:rPr>
          <w:i/>
        </w:rPr>
        <w:t>3+/</w:t>
      </w:r>
      <w:r w:rsidR="001B7F70" w:rsidRPr="001B7F70">
        <w:rPr>
          <w:i/>
          <w:lang w:val="en-US"/>
        </w:rPr>
        <w:t>CD</w:t>
      </w:r>
      <w:r w:rsidR="001B7F70" w:rsidRPr="001B7F70">
        <w:rPr>
          <w:i/>
        </w:rPr>
        <w:t>4+/</w:t>
      </w:r>
      <w:r w:rsidR="001B7F70" w:rsidRPr="001B7F70">
        <w:rPr>
          <w:i/>
          <w:lang w:val="en-US"/>
        </w:rPr>
        <w:t>CD</w:t>
      </w:r>
      <w:r w:rsidR="001B7F70" w:rsidRPr="001B7F70">
        <w:rPr>
          <w:i/>
        </w:rPr>
        <w:t>8–</w:t>
      </w:r>
      <w:r>
        <w:rPr>
          <w:i/>
          <w:iCs/>
        </w:rPr>
        <w:t xml:space="preserve"> </w:t>
      </w:r>
      <w:r w:rsidR="00062499" w:rsidRPr="0073723C">
        <w:rPr>
          <w:i/>
          <w:iCs/>
        </w:rPr>
        <w:fldChar w:fldCharType="begin" w:fldLock="1"/>
      </w:r>
      <w:r>
        <w:rPr>
          <w:i/>
          <w:iCs/>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i/>
          <w:iCs/>
        </w:rPr>
        <w:fldChar w:fldCharType="separate"/>
      </w:r>
      <w:r w:rsidR="001B7F70" w:rsidRPr="001B7F70">
        <w:rPr>
          <w:iCs/>
          <w:noProof/>
        </w:rPr>
        <w:t>[5]</w:t>
      </w:r>
      <w:r w:rsidR="00062499" w:rsidRPr="0073723C">
        <w:rPr>
          <w:i/>
          <w:iCs/>
        </w:rPr>
        <w:fldChar w:fldCharType="end"/>
      </w:r>
      <w:r w:rsidR="001B7F70" w:rsidRPr="001B7F70">
        <w:rPr>
          <w:i/>
        </w:rPr>
        <w:t>.</w:t>
      </w:r>
    </w:p>
    <w:p w:rsidR="004112F1" w:rsidRPr="0073723C" w:rsidRDefault="000C307B" w:rsidP="00660D84">
      <w:pPr>
        <w:pStyle w:val="afb"/>
        <w:spacing w:beforeAutospacing="0" w:afterAutospacing="0" w:line="360" w:lineRule="auto"/>
        <w:ind w:left="567" w:firstLine="0"/>
        <w:divId w:val="266810958"/>
        <w:rPr>
          <w:i/>
        </w:rPr>
      </w:pPr>
      <w:r w:rsidRPr="000C307B">
        <w:rPr>
          <w:i/>
        </w:rPr>
        <w:t>В описании иммуногистохимического исследования и в патоморфологическом заключении необходимо указывать наличие CD30-позитивных клеток лимфоидного инфильтрата, включая клетки реактивного микроокружения, при полуколичественной оценке  с учетом градации: &lt;10%</w:t>
      </w:r>
      <w:r w:rsidR="001B7F70" w:rsidRPr="001B7F70">
        <w:rPr>
          <w:i/>
        </w:rPr>
        <w:t>, 10-30%. &gt;30%. &gt;50%. При наличии в инфильтрате CD30-позитивных клеток (независимо от их количества) при формулировке диагноза должно быть указано: грибовидный микоз (CD30-позитивный).</w:t>
      </w:r>
    </w:p>
    <w:p w:rsidR="00D27CE9" w:rsidRPr="0073723C" w:rsidRDefault="001B7F70" w:rsidP="008B3C12">
      <w:pPr>
        <w:pStyle w:val="afff7"/>
        <w:rPr>
          <w:color w:val="FF0000"/>
        </w:rPr>
      </w:pPr>
      <w:bookmarkStart w:id="24" w:name="__RefHeading___doc_3"/>
      <w:r w:rsidRPr="001B7F70">
        <w:rPr>
          <w:b/>
        </w:rPr>
        <w:t xml:space="preserve">Рекомендуется </w:t>
      </w:r>
      <w:r w:rsidRPr="001B7F70">
        <w:t xml:space="preserve">проведение </w:t>
      </w:r>
      <w:r w:rsidRPr="001B7F70">
        <w:rPr>
          <w:rFonts w:hint="eastAsia"/>
        </w:rPr>
        <w:t>патолого</w:t>
      </w:r>
      <w:r w:rsidRPr="001B7F70">
        <w:t xml:space="preserve">-анатомического исследования </w:t>
      </w:r>
      <w:r w:rsidRPr="001B7F70">
        <w:rPr>
          <w:rFonts w:hint="eastAsia"/>
        </w:rPr>
        <w:t>биопсийного</w:t>
      </w:r>
      <w:r w:rsidRPr="001B7F70">
        <w:t xml:space="preserve"> (операционного) материала </w:t>
      </w:r>
      <w:r w:rsidR="0058014C" w:rsidRPr="0073723C">
        <w:t>лимфоузла</w:t>
      </w:r>
      <w:r w:rsidR="00CE089D" w:rsidRPr="0073723C">
        <w:t xml:space="preserve"> </w:t>
      </w:r>
      <w:r w:rsidRPr="001B7F70">
        <w:t>в случае</w:t>
      </w:r>
      <w:r w:rsidR="00CE089D" w:rsidRPr="0073723C">
        <w:t xml:space="preserve"> выявления признаков </w:t>
      </w:r>
      <w:r w:rsidR="00CE089D" w:rsidRPr="0073723C">
        <w:rPr>
          <w:rStyle w:val="affb"/>
          <w:i w:val="0"/>
          <w:color w:val="000000" w:themeColor="text1"/>
        </w:rPr>
        <w:t>поражения лимфатических узлов</w:t>
      </w:r>
      <w:r w:rsidR="00CE089D" w:rsidRPr="0073723C">
        <w:t xml:space="preserve"> (увеличение размеров &gt; 1,5 см в диаметре и/или с плотной, неравномерной структурой) в результате ультразвукового исследования и/или </w:t>
      </w:r>
      <w:r w:rsidR="0017134D" w:rsidRPr="0073723C">
        <w:t xml:space="preserve">прицельной </w:t>
      </w:r>
      <w:r w:rsidR="00CE089D" w:rsidRPr="0073723C">
        <w:t>рентгенографии грудной клетки и/или МРТ и/или позитронно-эмиссионной томографии совмещенной с компьютерной томографией (ПЭТ/КТ)</w:t>
      </w:r>
      <w:r w:rsidR="006A6A4C" w:rsidRPr="0073723C">
        <w:t xml:space="preserve"> </w:t>
      </w:r>
      <w:r w:rsidR="00062499" w:rsidRPr="001B7F70">
        <w:rPr>
          <w:color w:val="000000" w:themeColor="text1"/>
          <w:lang w:eastAsia="zh-CN"/>
        </w:rPr>
        <w:fldChar w:fldCharType="begin" w:fldLock="1"/>
      </w:r>
      <w:r w:rsidRPr="001B7F70">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062499" w:rsidRPr="001B7F70">
        <w:rPr>
          <w:color w:val="000000" w:themeColor="text1"/>
          <w:lang w:eastAsia="zh-CN"/>
        </w:rPr>
        <w:fldChar w:fldCharType="separate"/>
      </w:r>
      <w:r w:rsidRPr="001B7F70">
        <w:rPr>
          <w:noProof/>
          <w:color w:val="000000" w:themeColor="text1"/>
          <w:lang w:eastAsia="zh-CN"/>
        </w:rPr>
        <w:t>[6]</w:t>
      </w:r>
      <w:r w:rsidR="00062499" w:rsidRPr="001B7F70">
        <w:rPr>
          <w:color w:val="000000" w:themeColor="text1"/>
          <w:lang w:eastAsia="zh-CN"/>
        </w:rPr>
        <w:fldChar w:fldCharType="end"/>
      </w:r>
      <w:r w:rsidRPr="001B7F70">
        <w:rPr>
          <w:color w:val="000000" w:themeColor="text1"/>
          <w:lang w:val="en-US" w:eastAsia="zh-CN"/>
        </w:rPr>
        <w:t>.</w:t>
      </w:r>
      <w:r w:rsidRPr="001B7F70">
        <w:rPr>
          <w:color w:val="FF0000"/>
        </w:rPr>
        <w:t xml:space="preserve"> </w:t>
      </w:r>
    </w:p>
    <w:p w:rsidR="008B3C12" w:rsidRPr="0073723C" w:rsidRDefault="001B7F70" w:rsidP="008B3C12">
      <w:pPr>
        <w:pStyle w:val="afff9"/>
      </w:pPr>
      <w:r w:rsidRPr="001B7F70">
        <w:t>Уровень убедительности рекомендаций С (уровень достоверности доказательств – 5)</w:t>
      </w:r>
    </w:p>
    <w:p w:rsidR="00371EC5" w:rsidRPr="0073723C" w:rsidRDefault="001B7F70" w:rsidP="00371EC5">
      <w:pPr>
        <w:pStyle w:val="aff2"/>
      </w:pPr>
      <w:r w:rsidRPr="001B7F70">
        <w:rPr>
          <w:b/>
        </w:rPr>
        <w:t xml:space="preserve">Комментарии: </w:t>
      </w:r>
      <w:r w:rsidR="000C307B">
        <w:rPr>
          <w:rStyle w:val="affb"/>
        </w:rPr>
        <w:t>Для проведения биопсии выбирают лимфатические узлы размером &gt; 1,5 см и более и/или с плотной, неравномерной</w:t>
      </w:r>
      <w:r w:rsidR="000F7F7E">
        <w:rPr>
          <w:rStyle w:val="affb"/>
        </w:rPr>
        <w:t xml:space="preserve"> структурой</w:t>
      </w:r>
      <w:r w:rsidR="000C307B">
        <w:rPr>
          <w:rStyle w:val="affb"/>
        </w:rPr>
        <w:t>. Биопсия выполняется врачами-специалистами с хирургической специализацией, в том числе врачом-онкологом/гематологом. Цель п</w:t>
      </w:r>
      <w:r w:rsidR="000C307B" w:rsidRPr="000C307B">
        <w:rPr>
          <w:i/>
        </w:rPr>
        <w:t>атолого-анатомического исследования биопсийного (операционного) материала лимфоузла – исключить или верифицировать  наличие специфического поражения лимфатического узла/узлов, провести дифференциальную диагностику с дерматопатическим л</w:t>
      </w:r>
      <w:r w:rsidRPr="001B7F70">
        <w:rPr>
          <w:i/>
        </w:rPr>
        <w:t xml:space="preserve">имфаденитом. </w:t>
      </w:r>
      <w:r w:rsidR="000C307B">
        <w:rPr>
          <w:rStyle w:val="affb"/>
        </w:rPr>
        <w:t xml:space="preserve">При </w:t>
      </w:r>
      <w:r w:rsidR="000C307B">
        <w:rPr>
          <w:rStyle w:val="affb"/>
        </w:rPr>
        <w:lastRenderedPageBreak/>
        <w:t xml:space="preserve">выявлении специфического поражения лимфатических узлов пациент направляется для дальнейшего ведения и лечения к врачу-гематологу или врачу-онкологу. </w:t>
      </w:r>
    </w:p>
    <w:p w:rsidR="006D7D82" w:rsidRPr="0073723C" w:rsidRDefault="001B7F70" w:rsidP="007B1223">
      <w:pPr>
        <w:pStyle w:val="afff7"/>
        <w:rPr>
          <w:color w:val="7030A0"/>
        </w:rPr>
      </w:pPr>
      <w:r w:rsidRPr="001B7F70">
        <w:rPr>
          <w:b/>
        </w:rPr>
        <w:t>Рекомендуется</w:t>
      </w:r>
      <w:r w:rsidRPr="001B7F70">
        <w:t xml:space="preserve"> проведение молекулярно-биологического исследования пунктата органов кроветворения (лимфатический узел) </w:t>
      </w:r>
      <w:r w:rsidR="007F36A7" w:rsidRPr="007F36A7">
        <w:t xml:space="preserve">в случае обнаружения опухолевого субстрата при </w:t>
      </w:r>
      <w:r w:rsidR="000C307B" w:rsidRPr="000C307B">
        <w:rPr>
          <w:sz w:val="22"/>
        </w:rPr>
        <w:t>патолого-анатомическом исследовании биопсийного (операционного) материала лимфоузла с применением иммуногистохимических методов</w:t>
      </w:r>
      <w:r w:rsidR="007F36A7" w:rsidRPr="007F36A7">
        <w:t xml:space="preserve"> </w:t>
      </w:r>
      <w:r w:rsidR="000C307B">
        <w:rPr>
          <w:rStyle w:val="ae"/>
        </w:rPr>
        <w:t/>
      </w:r>
      <w:r w:rsidR="00062499" w:rsidRPr="007F36A7">
        <w:rPr>
          <w:color w:val="000000" w:themeColor="text1"/>
          <w:lang w:eastAsia="zh-CN"/>
        </w:rPr>
        <w:fldChar w:fldCharType="begin" w:fldLock="1"/>
      </w:r>
      <w:r w:rsidR="007F36A7" w:rsidRPr="007F36A7">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(EORTC)","type":"article","volume":"110"},"uris":["http://www.mendeley.com/documents/?uuid=5ce55666-1265-39b6-bdc7-8edcb4f47df4"]},{"id":"ITEM-2","itemData":{"DOI":"10.1111/bjd.15266","ISSN":"0007-0963","abstract":"nodes biopsied were similar in size to the largest node. This reflects real-world practice and suggests that dependence on the size of a single node may not be reliable. We thus found that use of the combined surface area of enlarged LNs (SPD-T) as a surrogate value for LN tumour burden, better selected patients with lymphomatous nodes. In addition, six of eight N3 nodes had B2 staging, a criterion currently not factored in. Our results are limited by the relatively small retrospective study. International data are currently being collected for the PROCLIPI study (PROspective Cutaneous Lymphoma International Prognostic Index) to validate these findings with a mul-ticentre prospective design.","author":[{"dropping-particle":"","family":"Haththotuwa","given":"R.","non-dropping-particle":"","parse-names":false,"suffix":""},{"dropping-particle":"","family":"Zilinskiene","given":"L.","non-dropping-particle":"","parse-names":false,"suffix":""},{"dropping-particle":"","family":"Oliff","given":"J.","non-dropping-particle":"","parse-names":false,"suffix":""},{"dropping-particle":"","family":"Vydianath","given":"B.","non-dropping-particle":"","parse-names":false,"suffix":""},{"dropping-particle":"","family":"Amel‐Kashipaz","given":"R.","non-dropping-particle":"","parse-names":false,"suffix":""},{"dropping-particle":"","family":"Stevens","given":"A.","non-dropping-particle":"","parse-names":false,"suffix":""},{"dropping-particle":"","family":"Shah","given":"F.","non-dropping-particle":"","parse-names":false,"suffix":""},{"dropping-particle":"","family":"Chaganti","given":"S.","non-dropping-particle":"","parse-names":false,"suffix":""},{"dropping-particle":"","family":"Scarisbrick","given":"J.","non-dropping-particle":"","parse-names":false,"suffix":""}],"container-title":"British Journal of Dermatology","id":"ITEM-2","issue":"3","issued":{"date-parts":[["2017","9"]]},"page":"877-878","publisher":"Blackwell Publishing Ltd","title":"Biopsy correlation of surface area vs. single‐axis measurements on computed tomography scan of lymph nodes in patients with erythrodermic mycosis fungoides and Sézary syndrome","type":"article-journal","volume":"177"},"uris":["http://www.mendeley.com/documents/?uuid=3a353ffb-2abd-32e9-b499-74c43f7e1c1a"]}],"mendeley":{"formattedCitation":"[6,35]","plainTextFormattedCitation":"[6,35]","previouslyFormattedCitation":"[6,35]"},"properties":{"noteIndex":0},"schema":"https://github.com/citation-style-language/schema/raw/master/csl-citation.json"}</w:instrText>
      </w:r>
      <w:r w:rsidR="00062499" w:rsidRPr="007F36A7">
        <w:rPr>
          <w:color w:val="000000" w:themeColor="text1"/>
          <w:lang w:eastAsia="zh-CN"/>
        </w:rPr>
        <w:fldChar w:fldCharType="separate"/>
      </w:r>
      <w:r w:rsidR="007F36A7" w:rsidRPr="007F36A7">
        <w:rPr>
          <w:noProof/>
          <w:color w:val="000000" w:themeColor="text1"/>
          <w:lang w:eastAsia="zh-CN"/>
        </w:rPr>
        <w:t>[6,35]</w:t>
      </w:r>
      <w:r w:rsidR="00062499" w:rsidRPr="007F36A7">
        <w:rPr>
          <w:color w:val="000000" w:themeColor="text1"/>
          <w:lang w:eastAsia="zh-CN"/>
        </w:rPr>
        <w:fldChar w:fldCharType="end"/>
      </w:r>
      <w:r w:rsidR="007F36A7" w:rsidRPr="007F36A7">
        <w:t>.</w:t>
      </w:r>
      <w:r w:rsidR="007F36A7" w:rsidRPr="007F36A7">
        <w:rPr>
          <w:i/>
        </w:rPr>
        <w:t xml:space="preserve"> </w:t>
      </w:r>
    </w:p>
    <w:p w:rsidR="00453EE9" w:rsidRPr="0073723C" w:rsidRDefault="000C307B" w:rsidP="00453EE9">
      <w:pPr>
        <w:pStyle w:val="afb"/>
        <w:tabs>
          <w:tab w:val="num" w:pos="1134"/>
        </w:tabs>
        <w:spacing w:beforeAutospacing="0" w:afterAutospacing="0" w:line="360" w:lineRule="auto"/>
        <w:ind w:left="709" w:firstLine="0"/>
        <w:rPr>
          <w:b/>
        </w:rPr>
      </w:pPr>
      <w:r>
        <w:rPr>
          <w:rStyle w:val="affa"/>
        </w:rPr>
        <w:t xml:space="preserve">Уровень убедительности рекомендаций </w:t>
      </w:r>
      <w:r>
        <w:rPr>
          <w:rStyle w:val="affa"/>
        </w:rPr>
        <w:softHyphen/>
        <w:t xml:space="preserve">С </w:t>
      </w:r>
      <w:r w:rsidRPr="000C307B">
        <w:rPr>
          <w:b/>
        </w:rPr>
        <w:t>(уровень достоверности доказательств – 5)</w:t>
      </w:r>
    </w:p>
    <w:p w:rsidR="00453EE9" w:rsidRPr="0073723C" w:rsidRDefault="001B7F70" w:rsidP="00453EE9">
      <w:pPr>
        <w:pStyle w:val="aff2"/>
        <w:rPr>
          <w:rStyle w:val="affb"/>
        </w:rPr>
      </w:pPr>
      <w:r w:rsidRPr="001B7F70">
        <w:rPr>
          <w:b/>
        </w:rPr>
        <w:t xml:space="preserve">Комментарии: </w:t>
      </w:r>
      <w:r w:rsidR="000C307B" w:rsidRPr="000C307B">
        <w:rPr>
          <w:i/>
        </w:rPr>
        <w:t xml:space="preserve">ПЦР-исследование позволяет определить клональность субстрата лимфатического узла. </w:t>
      </w:r>
      <w:r w:rsidR="000C307B">
        <w:rPr>
          <w:rStyle w:val="affb"/>
        </w:rPr>
        <w:t xml:space="preserve">При выявлении специфического поражения лимфатических узлов пациент направляется для дальнейшего ведения и лечения к врачу-гематологу или врачу-онкологу. </w:t>
      </w:r>
    </w:p>
    <w:p w:rsidR="005C6F8A" w:rsidRPr="0073723C" w:rsidRDefault="001B7F70">
      <w:pPr>
        <w:pStyle w:val="afff7"/>
        <w:rPr>
          <w:color w:val="7030A0"/>
        </w:rPr>
      </w:pPr>
      <w:r w:rsidRPr="001B7F70">
        <w:rPr>
          <w:b/>
        </w:rPr>
        <w:t>Рекомендуется</w:t>
      </w:r>
      <w:r w:rsidRPr="001B7F70">
        <w:t xml:space="preserve"> применение патолого-анатомического исследования биопсийного (операционного) материала с применением иммуногистохимических методов в случае обнаружения опухолевого субстрата лимфатического узла </w:t>
      </w:r>
      <w:r w:rsidR="00062499" w:rsidRPr="001B7F70">
        <w:rPr>
          <w:color w:val="000000" w:themeColor="text1"/>
          <w:lang w:eastAsia="zh-CN"/>
        </w:rPr>
        <w:fldChar w:fldCharType="begin" w:fldLock="1"/>
      </w:r>
      <w:r w:rsidRPr="001B7F70">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(EORTC)","type":"article","volume":"110"},"uris":["http://www.mendeley.com/documents/?uuid=5ce55666-1265-39b6-bdc7-8edcb4f47df4"]},{"id":"ITEM-2","itemData":{"DOI":"10.1111/bjd.15266","ISSN":"0007-0963","abstract":"nodes biopsied were similar in size to the largest node. This reflects real-world practice and suggests that dependence on the size of a single node may not be reliable. We thus found that use of the combined surface area of enlarged LNs (SPD-T) as a surrogate value for LN tumour burden, better selected patients with lymphomatous nodes. In addition, six of eight N3 nodes had B2 staging, a criterion currently not factored in. Our results are limited by the relatively small retrospective study. International data are currently being collected for the PROCLIPI study (PROspective Cutaneous Lymphoma International Prognostic Index) to validate these findings with a mul-ticentre prospective design.","author":[{"dropping-particle":"","family":"Haththotuwa","given":"R.","non-dropping-particle":"","parse-names":false,"suffix":""},{"dropping-particle":"","family":"Zilinskiene","given":"L.","non-dropping-particle":"","parse-names":false,"suffix":""},{"dropping-particle":"","family":"Oliff","given":"J.","non-dropping-particle":"","parse-names":false,"suffix":""},{"dropping-particle":"","family":"Vydianath","given":"B.","non-dropping-particle":"","parse-names":false,"suffix":""},{"dropping-particle":"","family":"Amel‐Kashipaz","given":"R.","non-dropping-particle":"","parse-names":false,"suffix":""},{"dropping-particle":"","family":"Stevens","given":"A.","non-dropping-particle":"","parse-names":false,"suffix":""},{"dropping-particle":"","family":"Shah","given":"F.","non-dropping-particle":"","parse-names":false,"suffix":""},{"dropping-particle":"","family":"Chaganti","given":"S.","non-dropping-particle":"","parse-names":false,"suffix":""},{"dropping-particle":"","family":"Scarisbrick","given":"J.","non-dropping-particle":"","parse-names":false,"suffix":""}],"container-title":"British Journal of Dermatology","id":"ITEM-2","issue":"3","issued":{"date-parts":[["2017","9"]]},"page":"877-878","publisher":"Blackwell Publishing Ltd","title":"Biopsy correlation of surface area vs. single‐axis measurements on computed tomography scan of lymph nodes in patients with erythrodermic mycosis fungoides and Sézary syndrome","type":"article-journal","volume":"177"},"uris":["http://www.mendeley.com/documents/?uuid=3a353ffb-2abd-32e9-b499-74c43f7e1c1a"]}],"mendeley":{"formattedCitation":"[6,35]","plainTextFormattedCitation":"[6,35]","previouslyFormattedCitation":"[6,35]"},"properties":{"noteIndex":0},"schema":"https://github.com/citation-style-language/schema/raw/master/csl-citation.json"}</w:instrText>
      </w:r>
      <w:r w:rsidR="00062499" w:rsidRPr="001B7F70">
        <w:rPr>
          <w:color w:val="000000" w:themeColor="text1"/>
          <w:lang w:eastAsia="zh-CN"/>
        </w:rPr>
        <w:fldChar w:fldCharType="separate"/>
      </w:r>
      <w:r w:rsidRPr="001B7F70">
        <w:rPr>
          <w:noProof/>
          <w:color w:val="000000" w:themeColor="text1"/>
          <w:lang w:eastAsia="zh-CN"/>
        </w:rPr>
        <w:t>[6,35]</w:t>
      </w:r>
      <w:r w:rsidR="00062499" w:rsidRPr="001B7F70">
        <w:rPr>
          <w:color w:val="000000" w:themeColor="text1"/>
          <w:lang w:eastAsia="zh-CN"/>
        </w:rPr>
        <w:fldChar w:fldCharType="end"/>
      </w:r>
      <w:r w:rsidRPr="001B7F70">
        <w:t>.</w:t>
      </w:r>
      <w:r w:rsidRPr="001B7F70">
        <w:rPr>
          <w:i/>
        </w:rPr>
        <w:t xml:space="preserve"> </w:t>
      </w:r>
    </w:p>
    <w:p w:rsidR="00081FCD" w:rsidRPr="0073723C" w:rsidRDefault="000C307B" w:rsidP="00081FCD">
      <w:pPr>
        <w:pStyle w:val="afb"/>
        <w:tabs>
          <w:tab w:val="num" w:pos="1134"/>
        </w:tabs>
        <w:spacing w:beforeAutospacing="0" w:afterAutospacing="0" w:line="360" w:lineRule="auto"/>
        <w:ind w:left="709" w:firstLine="0"/>
        <w:rPr>
          <w:b/>
        </w:rPr>
      </w:pPr>
      <w:r>
        <w:rPr>
          <w:rStyle w:val="affa"/>
        </w:rPr>
        <w:t xml:space="preserve">Уровень убедительности рекомендаций </w:t>
      </w:r>
      <w:r>
        <w:rPr>
          <w:rStyle w:val="affa"/>
        </w:rPr>
        <w:softHyphen/>
        <w:t xml:space="preserve">С </w:t>
      </w:r>
      <w:r w:rsidRPr="000C307B">
        <w:rPr>
          <w:b/>
        </w:rPr>
        <w:t>(уровень достоверности доказательств – 5)</w:t>
      </w:r>
    </w:p>
    <w:p w:rsidR="00081FCD" w:rsidRPr="0073723C" w:rsidRDefault="000C307B" w:rsidP="00081FCD">
      <w:pPr>
        <w:pStyle w:val="aff2"/>
        <w:rPr>
          <w:i/>
          <w:iCs/>
        </w:rPr>
      </w:pPr>
      <w:r w:rsidRPr="000C307B">
        <w:rPr>
          <w:b/>
        </w:rPr>
        <w:t xml:space="preserve">Комментарии: </w:t>
      </w:r>
      <w:r w:rsidR="001B7F70" w:rsidRPr="001B7F70">
        <w:rPr>
          <w:i/>
        </w:rPr>
        <w:t xml:space="preserve">иммуногистохимическое исследование позволяет определить фенотип лимфоцитов в субстрате лимфатического узла. </w:t>
      </w:r>
      <w:r>
        <w:rPr>
          <w:rStyle w:val="affb"/>
        </w:rPr>
        <w:t xml:space="preserve">При выявлении специфического поражения лимфатических узлов пациент направляется для дальнейшего ведения и лечения к врачу-гематологу или врачу-онкологу. </w:t>
      </w:r>
    </w:p>
    <w:p w:rsidR="00453EE9" w:rsidRPr="0073723C" w:rsidRDefault="001B7F70" w:rsidP="007B1223">
      <w:pPr>
        <w:pStyle w:val="afff7"/>
      </w:pPr>
      <w:r w:rsidRPr="001B7F70">
        <w:rPr>
          <w:b/>
        </w:rPr>
        <w:t xml:space="preserve">Рекомендуется </w:t>
      </w:r>
      <w:r w:rsidRPr="001B7F70">
        <w:t xml:space="preserve">проведение патолого-анатомическое исследование биопсийного (операционного) материала костного мозга у пациента с поздними стадиями грибовидного микоза и/или подозрением на поражение костного мозга </w:t>
      </w:r>
      <w:r w:rsidR="00062499" w:rsidRPr="001B7F70">
        <w:rPr>
          <w:color w:val="000000" w:themeColor="text1"/>
        </w:rPr>
        <w:fldChar w:fldCharType="begin" w:fldLock="1"/>
      </w:r>
      <w:r w:rsidRPr="001B7F70">
        <w:rPr>
          <w:color w:val="000000" w:themeColor="text1"/>
        </w:rPr>
        <w:instrText>ADDIN CSL_CITATION {"citationItems":[{"id":"ITEM-1","itemData":{"DOI":"10.1093/ajcp/92.6.747","ISSN":"00029173","PMID":"2531542","abstract":"Cutaneous T-cell lymphomas (CTCLs), including Sezary syndrome, are generally assumed to spare the marrow until the disease is far advanced. The authors reviewed marrow sections from 60 patients with CTCL, looking carefully for aggregates of cerebriform cells, and found marrow involvement in 13 patients (21.7%); another 19 had abnormal lymphoid nodules that were not diagnostic of involvement, and 28 had marrows with negative results. Involved marrows had nodules or infiltrates of dysplastic cerebriform cells that were often subtle, without a significant increase in cellularity; only one case showed massive involvement. Patients with CTCL with an infiltrative component of marrow involvement had associated peripheral blood involvement (eight of eight), generalized erythroderma (six of eight), lymph node involvement (five of eight), visceral progression (five of eight), and significantly shortened median survival compared with patients with CTCL with negative marrows (11 months and 70 months, respectively; P = 0.007). In contrast, five patients with nodules of tumor in the marrow but lacking an infiltrative component did not have peripheral blood involvement; only one patient had adenopathy or visceral progression develop, and two patients have died. Significant hematologic abnormalities were generally absent. Eight of 13 patients with marrow involvement had advanced skin disease, but skin disease was limited to plaques in five patients. Eight patients had marrow involvement develop within three months of initial diagnosis. Thus, marrow involvement occurs in approximately 20% of patients with CTCL, is often present at initial diagnosis, and is associated with wide-spread dissemination and shortened survival time when an infiltrative component is present.","author":[{"dropping-particle":"","family":"Salhany","given":"K. E.","non-dropping-particle":"","parse-names":false,"suffix":""},{"dropping-particle":"","family":"Greer","given":"J. P.","non-dropping-particle":"","parse-names":false,"suffix":""},{"dropping-particle":"","family":"Cousar","given":"J. B.","non-dropping-particle":"","parse-names":false,"suffix":""},{"dropping-particle":"","family":"Collins","given":"R. D.","non-dropping-particle":"","parse-names":false,"suffix":""}],"container-title":"American Journal of Clinical Pathology","id":"ITEM-1","issue":"6","issued":{"date-parts":[["1989"]]},"page":"747-754","publisher":"Am J Clin Pathol","title":"Marrow involvement in cutaneous T-cell lymphoma. A clinicopathologic study of 60 cases","type":"article-journal","volume":"92"},"uris":["http://www.mendeley.com/documents/?uuid=76bee555-8042-387d-a0f9-f89e2d43644a"]}],"mendeley":{"formattedCitation":"[36]","plainTextFormattedCitation":"[36]","previouslyFormattedCitation":"[36]"},"properties":{"noteIndex":0},"schema":"https://github.com/citation-style-language/schema/raw/master/csl-citation.json"}</w:instrText>
      </w:r>
      <w:r w:rsidR="00062499" w:rsidRPr="001B7F70">
        <w:rPr>
          <w:color w:val="000000" w:themeColor="text1"/>
        </w:rPr>
        <w:fldChar w:fldCharType="separate"/>
      </w:r>
      <w:r w:rsidRPr="001B7F70">
        <w:rPr>
          <w:noProof/>
          <w:color w:val="000000" w:themeColor="text1"/>
        </w:rPr>
        <w:t>[36]</w:t>
      </w:r>
      <w:r w:rsidR="00062499" w:rsidRPr="001B7F70">
        <w:rPr>
          <w:color w:val="000000" w:themeColor="text1"/>
        </w:rPr>
        <w:fldChar w:fldCharType="end"/>
      </w:r>
      <w:r w:rsidRPr="001B7F70">
        <w:rPr>
          <w:color w:val="000000" w:themeColor="text1"/>
        </w:rPr>
        <w:t xml:space="preserve">. </w:t>
      </w:r>
      <w:r w:rsidR="00CE089D" w:rsidRPr="0073723C">
        <w:t xml:space="preserve">При обнаружении патологических изменений в субстрате костного мозга рекомендуется </w:t>
      </w:r>
      <w:r w:rsidRPr="001B7F70">
        <w:rPr>
          <w:color w:val="000000" w:themeColor="text1"/>
        </w:rPr>
        <w:t xml:space="preserve">проведение ПЦР-исследования, иммуногистохимического исследования и/или </w:t>
      </w:r>
      <w:r w:rsidR="00C9258E" w:rsidRPr="0073723C">
        <w:rPr>
          <w:color w:val="000000" w:themeColor="text1"/>
          <w:szCs w:val="24"/>
        </w:rPr>
        <w:t>и</w:t>
      </w:r>
      <w:r w:rsidR="00C9258E" w:rsidRPr="0073723C">
        <w:rPr>
          <w:szCs w:val="24"/>
        </w:rPr>
        <w:t>сследование биологического материала методом проточной цитофлуориметрии</w:t>
      </w:r>
      <w:r w:rsidRPr="001B7F70">
        <w:rPr>
          <w:color w:val="000000" w:themeColor="text1"/>
        </w:rPr>
        <w:t xml:space="preserve"> </w:t>
      </w:r>
      <w:r w:rsidR="00062499" w:rsidRPr="001B7F70">
        <w:rPr>
          <w:color w:val="000000" w:themeColor="text1"/>
        </w:rPr>
        <w:fldChar w:fldCharType="begin" w:fldLock="1"/>
      </w:r>
      <w:r w:rsidRPr="001B7F70">
        <w:rPr>
          <w:color w:val="000000" w:themeColor="text1"/>
        </w:rPr>
        <w:instrText>ADDIN CSL_CITATION {"citationItems":[{"id":"ITEM-1","itemData":{"DOI":"10.1093/ajcp/92.6.747","ISSN":"00029173","PMID":"2531542","abstract":"Cutaneous T-cell lymphomas (CTCLs), including Sezary syndrome, are generally assumed to spare the marrow until the disease is far advanced. The authors reviewed marrow sections from 60 patients with CTCL, looking carefully for aggregates of cerebriform cells, and found marrow involvement in 13 patients (21.7%); another 19 had abnormal lymphoid nodules that were not diagnostic of involvement, and 28 had marrows with negative results. Involved marrows had nodules or infiltrates of dysplastic cerebriform cells that were often subtle, without a significant increase in cellularity; only one case showed massive involvement. Patients with CTCL with an infiltrative component of marrow involvement had associated peripheral blood involvement (eight of eight), generalized erythroderma (six of eight), lymph node involvement (five of eight), visceral progression (five of eight), and significantly shortened median survival compared with patients with CTCL with negative marrows (11 months and 70 months, respectively; P = 0.007). In contrast, five patients with nodules of tumor in the marrow but lacking an infiltrative component did not have peripheral blood involvement; only one patient had adenopathy or visceral progression develop, and two patients have died. Significant hematologic abnormalities were generally absent. Eight of 13 patients with marrow involvement had advanced skin disease, but skin disease was limited to plaques in five patients. Eight patients had marrow involvement develop within three months of initial diagnosis. Thus, marrow involvement occurs in approximately 20% of patients with CTCL, is often present at initial diagnosis, and is associated with wide-spread dissemination and shortened survival time when an infiltrative component is present.","author":[{"dropping-particle":"","family":"Salhany","given":"K. E.","non-dropping-particle":"","parse-names":false,"suffix":""},{"dropping-particle":"","family":"Greer","given":"J. P.","non-dropping-particle":"","parse-names":false,"suffix":""},{"dropping-particle":"","family":"Cousar","given":"J. B.","non-dropping-particle":"","parse-names":false,"suffix":""},{"dropping-particle":"","family":"Collins","given":"R. D.","non-dropping-particle":"","parse-names":false,"suffix":""}],"container-title":"American Journal of Clinical Pathology","id":"ITEM-1","issue":"6","issued":{"date-parts":[["1989"]]},"page":"747-754","publisher":"Am J Clin Pathol","title":"Marrow involvement in cutaneous T-cell lymphoma. A clinicopathologic study of 60 cases","type":"article-journal","volume":"92"},"uris":["http://www.mendeley.com/documents/?uuid=76bee555-8042-387d-a0f9-f89e2d43644a"]}],"mendeley":{"formattedCitation":"[36]","plainTextFormattedCitation":"[36]","previouslyFormattedCitation":"[36]"},"properties":{"noteIndex":0},"schema":"https://github.com/citation-style-language/schema/raw/master/csl-citation.json"}</w:instrText>
      </w:r>
      <w:r w:rsidR="00062499" w:rsidRPr="001B7F70">
        <w:rPr>
          <w:color w:val="000000" w:themeColor="text1"/>
        </w:rPr>
        <w:fldChar w:fldCharType="separate"/>
      </w:r>
      <w:r w:rsidRPr="001B7F70">
        <w:rPr>
          <w:noProof/>
          <w:color w:val="000000" w:themeColor="text1"/>
        </w:rPr>
        <w:t>[36]</w:t>
      </w:r>
      <w:r w:rsidR="00062499" w:rsidRPr="001B7F70">
        <w:rPr>
          <w:color w:val="000000" w:themeColor="text1"/>
        </w:rPr>
        <w:fldChar w:fldCharType="end"/>
      </w:r>
      <w:r w:rsidRPr="001B7F70">
        <w:rPr>
          <w:color w:val="000000" w:themeColor="text1"/>
        </w:rPr>
        <w:t>.</w:t>
      </w:r>
    </w:p>
    <w:p w:rsidR="00453EE9" w:rsidRPr="0073723C" w:rsidRDefault="00CE089D" w:rsidP="007B1223">
      <w:pPr>
        <w:pStyle w:val="aff2"/>
      </w:pPr>
      <w:r w:rsidRPr="0073723C">
        <w:rPr>
          <w:rStyle w:val="affa"/>
        </w:rPr>
        <w:t>Уровень убедительности рекомендаций С</w:t>
      </w:r>
      <w:r w:rsidR="00737BFE" w:rsidRPr="0073723C">
        <w:rPr>
          <w:rStyle w:val="affa"/>
        </w:rPr>
        <w:t xml:space="preserve"> </w:t>
      </w:r>
      <w:r w:rsidRPr="0073723C">
        <w:rPr>
          <w:b/>
        </w:rPr>
        <w:t>(уровень достоверности доказательств – 5)</w:t>
      </w:r>
    </w:p>
    <w:p w:rsidR="00453EE9" w:rsidRPr="0073723C" w:rsidRDefault="001B7F70" w:rsidP="00453EE9">
      <w:pPr>
        <w:pStyle w:val="afb"/>
        <w:spacing w:beforeAutospacing="0" w:afterAutospacing="0" w:line="360" w:lineRule="auto"/>
        <w:ind w:left="709" w:firstLine="0"/>
      </w:pPr>
      <w:r w:rsidRPr="001B7F70">
        <w:rPr>
          <w:b/>
        </w:rPr>
        <w:t xml:space="preserve">Комментарии: </w:t>
      </w:r>
      <w:r w:rsidR="000C307B" w:rsidRPr="000C307B">
        <w:rPr>
          <w:i/>
        </w:rPr>
        <w:t>поражение костного мозга встречается примерно у 20% пациентов с грибовидным микозом и чаще всего ассоциировано с агрессивным течением заболевания и низкой выживаем</w:t>
      </w:r>
      <w:r w:rsidRPr="001B7F70">
        <w:rPr>
          <w:i/>
        </w:rPr>
        <w:t xml:space="preserve">остью </w:t>
      </w:r>
      <w:r w:rsidR="00062499" w:rsidRPr="001B7F70">
        <w:rPr>
          <w:color w:val="000000" w:themeColor="text1"/>
        </w:rPr>
        <w:fldChar w:fldCharType="begin" w:fldLock="1"/>
      </w:r>
      <w:r w:rsidRPr="001B7F70">
        <w:rPr>
          <w:color w:val="000000" w:themeColor="text1"/>
        </w:rPr>
        <w:instrText>ADDIN CSL_CITATION {"citationItems":[{"id":"ITEM-1","itemData":{"DOI":"10.1093/ajcp/92.6.747","ISSN":"00029173","PMID":"2531542","abstract":"Cutaneous T-cell lymphomas (CTCLs), including Sezary syndrome, are generally assumed to spare the marrow until the disease is far advanced. The authors reviewed marrow sections from 60 patients with CTCL, looking carefully for aggregates of cerebriform cells, and found marrow involvement in 13 patients (21.7%); another 19 had abnormal lymphoid nodules that were not diagnostic of involvement, and 28 had marrows with negative results. Involved marrows had nodules or infiltrates of dysplastic cerebriform cells that were often subtle, without a significant increase in cellularity; only one case showed massive involvement. Patients with CTCL with an infiltrative component of marrow involvement had associated peripheral blood involvement (eight of eight), generalized erythroderma (six of eight), lymph node involvement (five of eight), visceral progression (five of eight), and significantly shortened median survival compared with patients with CTCL with negative marrows (11 months and 70 months, respectively; P = 0.007). In contrast, five patients with nodules of tumor in the marrow but lacking an infiltrative component did not have peripheral blood involvement; only one patient had adenopathy or visceral progression develop, and two patients have died. Significant hematologic abnormalities were generally absent. Eight of 13 patients with marrow involvement had advanced skin disease, but skin disease was limited to plaques in five patients. Eight patients had marrow involvement develop within three months of initial diagnosis. Thus, marrow involvement occurs in approximately 20% of patients with CTCL, is often present at initial diagnosis, and is associated with wide-spread dissemination and shortened survival time when an infiltrative component is present.","author":[{"dropping-particle":"","family":"Salhany","given":"K. E.","non-dropping-particle":"","parse-names":false,"suffix":""},{"dropping-particle":"","family":"Greer","given":"J. P.","non-dropping-particle":"","parse-names":false,"suffix":""},{"dropping-particle":"","family":"Cousar","given":"J. B.","non-dropping-particle":"","parse-names":false,"suffix":""},{"dropping-particle":"","family":"Collins","given":"R. D.","non-dropping-particle":"","parse-names":false,"suffix":""}],"container-title":"American Journal of Clinical Pathology","id":"ITEM-1","issue":"6","issued":{"date-parts":[["1989"]]},"page":"747-754","publisher":"Am J Clin Pathol","title":"Marrow involvement in cutaneous T-cell lymphoma. A clinicopathologic study of 60 cases","type":"article-journal","volume":"92"},"uris":["http://www.mendeley.com/documents/?uuid=76bee555-8042-387d-a0f9-f89e2d43644a"]}],"mendeley":{"formattedCitation":"[36]","plainTextFormattedCitation":"[36]","previouslyFormattedCitation":"[36]"},"properties":{"noteIndex":0},"schema":"https://github.com/citation-style-language/schema/raw/master/csl-citation.json"}</w:instrText>
      </w:r>
      <w:r w:rsidR="00062499" w:rsidRPr="001B7F70">
        <w:rPr>
          <w:color w:val="000000" w:themeColor="text1"/>
        </w:rPr>
        <w:fldChar w:fldCharType="separate"/>
      </w:r>
      <w:r w:rsidRPr="001B7F70">
        <w:rPr>
          <w:noProof/>
          <w:color w:val="000000" w:themeColor="text1"/>
        </w:rPr>
        <w:t>[36]</w:t>
      </w:r>
      <w:r w:rsidR="00062499" w:rsidRPr="001B7F70">
        <w:rPr>
          <w:color w:val="000000" w:themeColor="text1"/>
        </w:rPr>
        <w:fldChar w:fldCharType="end"/>
      </w:r>
      <w:r w:rsidRPr="001B7F70">
        <w:rPr>
          <w:i/>
        </w:rPr>
        <w:t xml:space="preserve">. </w:t>
      </w:r>
      <w:r w:rsidR="00CE089D" w:rsidRPr="0073723C">
        <w:rPr>
          <w:rStyle w:val="affb"/>
        </w:rPr>
        <w:t xml:space="preserve">Трепанобиопсия костного мозга выполняется врачами-специалистами, владеющими методикой забора </w:t>
      </w:r>
      <w:r w:rsidR="00CE089D" w:rsidRPr="0073723C">
        <w:rPr>
          <w:rStyle w:val="affb"/>
        </w:rPr>
        <w:lastRenderedPageBreak/>
        <w:t>трепанобиоптата костного мозга (врачами-хирургами, врачами-гематологами или врачами-онкологами</w:t>
      </w:r>
      <w:r w:rsidR="00CE089D" w:rsidRPr="0073723C">
        <w:t xml:space="preserve">). </w:t>
      </w:r>
      <w:r w:rsidR="00CE089D" w:rsidRPr="0073723C">
        <w:rPr>
          <w:i/>
        </w:rPr>
        <w:t>Патолого</w:t>
      </w:r>
      <w:r w:rsidR="0083040F" w:rsidRPr="0073723C">
        <w:rPr>
          <w:i/>
        </w:rPr>
        <w:t>-</w:t>
      </w:r>
      <w:r w:rsidR="00CE089D" w:rsidRPr="0073723C">
        <w:rPr>
          <w:i/>
        </w:rPr>
        <w:t xml:space="preserve">анатомическое исследование биопсийного (операционного) материала костного мозга </w:t>
      </w:r>
      <w:r w:rsidR="000C307B" w:rsidRPr="000C307B">
        <w:rPr>
          <w:i/>
        </w:rPr>
        <w:t xml:space="preserve">позволяет определить наличие специфического поражения костного мозга. </w:t>
      </w:r>
      <w:r w:rsidR="000C307B">
        <w:rPr>
          <w:rStyle w:val="affb"/>
        </w:rPr>
        <w:t xml:space="preserve">При выявлении специфического поражения костного мозга пациент направляется для дальнейшего ведения и лечения к врачу-гематологу или врачу-онкологу. </w:t>
      </w:r>
    </w:p>
    <w:p w:rsidR="00453EE9" w:rsidRPr="0073723C" w:rsidRDefault="000C307B" w:rsidP="00453EE9">
      <w:pPr>
        <w:pStyle w:val="aff2"/>
        <w:rPr>
          <w:i/>
        </w:rPr>
      </w:pPr>
      <w:r w:rsidRPr="000C307B">
        <w:rPr>
          <w:i/>
        </w:rPr>
        <w:t>Патолого-анатомическое исследование биопсийного (операционного) материала костного мозга с применением иммуногистохимического метода позволяет опреде</w:t>
      </w:r>
      <w:r w:rsidR="001B7F70" w:rsidRPr="001B7F70">
        <w:rPr>
          <w:i/>
        </w:rPr>
        <w:t>лить характер клеток пролиферата в костном мозге.</w:t>
      </w:r>
    </w:p>
    <w:p w:rsidR="00BC371B" w:rsidRPr="0073723C" w:rsidRDefault="000C307B" w:rsidP="00BC371B">
      <w:pPr>
        <w:pStyle w:val="afff7"/>
      </w:pPr>
      <w:r>
        <w:rPr>
          <w:rStyle w:val="affa"/>
          <w:color w:val="000000" w:themeColor="text1"/>
        </w:rPr>
        <w:t xml:space="preserve">Рекомендуется </w:t>
      </w:r>
      <w:r w:rsidR="001B7F70" w:rsidRPr="001B7F70">
        <w:rPr>
          <w:szCs w:val="24"/>
        </w:rPr>
        <w:t>молекулярно</w:t>
      </w:r>
      <w:r w:rsidR="001B7F70" w:rsidRPr="001B7F70">
        <w:t xml:space="preserve">-генетическое исследование </w:t>
      </w:r>
      <w:r w:rsidR="001B7F70" w:rsidRPr="001B7F70">
        <w:rPr>
          <w:color w:val="000000" w:themeColor="text1"/>
        </w:rPr>
        <w:t>перестройки гена Т-клеточного рецептора</w:t>
      </w:r>
      <w:r w:rsidR="001B7F70" w:rsidRPr="001B7F70">
        <w:rPr>
          <w:szCs w:val="24"/>
        </w:rPr>
        <w:t xml:space="preserve"> </w:t>
      </w:r>
      <w:r w:rsidR="00062499" w:rsidRPr="001B7F70">
        <w:rPr>
          <w:szCs w:val="24"/>
        </w:rPr>
        <w:fldChar w:fldCharType="begin" w:fldLock="1"/>
      </w:r>
      <w:r w:rsidR="001B7F70" w:rsidRPr="001B7F70">
        <w:rPr>
          <w:szCs w:val="24"/>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treatment","type":"article-journal","volume":"37"},"uris":["http://www.mendeley.com/documents/?uuid=0eef9cf6-6919-34c1-a5e7-dca806294a6c"]},{"id":"ITEM-3","itemData":{"DOI":"10.1182/blood.v96.9.2987","ISSN":"0006-4971","abstract":"It is now widely accepted that polymerase chain reaction (PCR) analysis of cutaneous T-cell clonality is of diagnostic value in cutaneous T-cell lymphomas (CTCLs) and most helpful in the diagnosis of mycosis fungoides (MF). However, the diagnostic and prognostic value of circulating clonal T cells remains unclear. We studied T-cell clonality in the peripheral blood (PB) and the cutaneous lesion, sampled at the same time, in 363 consecutively seen patients with a clinical suspicion of cutaneous lymphoma. Using a PCR technique providing a specific imprint of T-cell clones (PCRγ–denaturing gradient gel electrophoresis), we found that detection of identical circulating and cutaneous T-cell clones was associated with the diagnosis of CTCL (P &amp;lt; .001). Detection of circulating tumor cells in patients with MF was infrequent (12.5%), except in those with erythrodermic MF (42%; P = .003). Moreover, among the 46 patients who had identical circulating and cutaneous T-cell clones, 25 (56%) had erythroderma. The finding of a dominant clone in the PB but not in the skin was frequent, regardless of the clinicohistologic classification; it occurred in 30% of patients with CTCL, 41% with non-CTCL malignant infiltrates, and 34% with benign infiltrates. This pattern was significantly more frequent in patients over 60 years of age (P &amp;lt; .002), even in the CTCL group (P &amp;lt; .01). In conclusion, dominant T-cell clones detected in the PB of patients with MF by using a routine PCR technique are rarely tumoral and are more often related to age. A multicenter prospective study is under way to establish the prognostic value of circulating tumor cells.","author":[{"dropping-particle":"","family":"Delfau-Larue","given":"Marie-Hélène","non-dropping-particle":"","parse-names":false,"suffix":""},{"dropping-particle":"","family":"Laroche","given":"Liliane","non-dropping-particle":"","parse-names":false,"suffix":""},{"dropping-particle":"","family":"Wechsler","given":"Janine","non-dropping-particle":"","parse-names":false,"suffix":""},{"dropping-particle":"","family":"Lepage","given":"Eric","non-dropping-particle":"","parse-names":false,"suffix":""},{"dropping-particle":"","family":"Lahet","given":"Chantal","non-dropping-particle":"","parse-names":false,"suffix":""},{"dropping-particle":"","family":"Asso-Bonnet","given":"Marianne","non-dropping-particle":"","parse-names":false,"suffix":""},{"dropping-particle":"","family":"Bagot","given":"Martine","non-dropping-particle":"","parse-names":false,"suffix":""},{"dropping-particle":"","family":"Farcet","given":"Jean-Pierre","non-dropping-particle":"","parse-names":false,"suffix":""}],"container-title":"Blood","id":"ITEM-3","issue":"9","issued":{"date-parts":[["2000","11","1"]]},"page":"2987-2992","publisher":"American Society of Hematology","title":"Diagnostic value of dominant T-cell clones in peripheral blood in 363 patients presenting consecutively with a clinical suspicion of cutaneous lymphoma","type":"article-journal","volume":"96"},"uris":["http://www.mendeley.com/documents/?uuid=d147eb90-73a0-3186-a34a-47ef78e654f3"]},{"id":"ITEM-4","itemData":{"DOI":"10.1111/j.1365-2133.2005.06649.x","ISSN":"00070963","PMID":"16120144","abstract":"Background: A dominant T-cell clone can be detected by polymerase chain reaction (PCR) in 40-90% of cutaneous samples from patients with cutaneous T-cell lymphoma (CTCL). Materials and methods: From 1996 to 2003 we analysed 547 cutaneous biopsies performed to exclude CTCL (mycosis fungoides, MF/Sézary syndrome, SS). The final diagnosis was benign inflammatory disease (BID) in 353 samples (64.5%) and CTCL in 194 (35.5%). T-cell receptor (TCR)-γ gene rearrangement was studied by using a multiplex PCR/heteroduplex (HD) analysis. The PCR results were correlated with the clinical picture, the histological pattern and the presence of T-cell lineage antigen loss, using univariate and multivariate logistic regression analyses. Objective: To determine the sensitivity and specificity of the multiplex PCR/HD analysis and to identify which are the clinical, histopathological or immunophenotypical features significantly associated with a positive T-cell clonality. Results: A clonality was demonstrated in 83.5% of CTCL and in 2.3% of BID (P &lt; 0.001). A significantly higher percentage of clonal cases was associated with the cutaneous T-score (71.4% in T1, 76.1% in T2 and 100% in nodular and erythrodermic MF samples) and with the presence of a T-cell lineage antigen loss (93.9% vs. 77.4%). Moreover, clonality was closely related to an increase in the histopathological score (51.3% in the samples with a score &lt; 5, compared with 92% in the lesions with ≥5). No significant difference in the percentage of clonal cases was found between T1/T2 and T3/T4 lesions with a histopathological score ≥ 5. The multivariate logistic regression showed that the density and extent of the cell infiltrate, the degree of epidermotropism and the presence of cytological atypia share an independent predictive value for clonality in T1/T2 samples, even if the highest odds ratios (3.6) were associated with the density of the cell infiltrate. The disease course of T1/T2 patients was analysed according to the PCR findings. All the PCR-negative patients showed a long-standing stable disease course; on the other hand, a disease progression occurred in 12/87 (13.8%) positive patients. Conclusions: The multiplex PCR/HD analysis is associated with a high diagnostic accuracy (92.7%) in CTCL patients. The finding of a clonal T-cell rearrangement is more closely associated with the histological pattern (in particular with the density and extent of the cell infiltrate) rather than with the MF cutaneous T-sc…","author":[{"dropping-particle":"","family":"Ponti","given":"R.","non-dropping-particle":"","parse-names":false,"suffix":""},{"dropping-particle":"","family":"Quaglino","given":"P.","non-dropping-particle":"","parse-names":false,"suffix":""},{"dropping-particle":"","family":"Novelli","given":"M.","non-dropping-particle":"","parse-names":false,"suffix":""},{"dropping-particle":"","family":"Fierro","given":"M. T.","non-dropping-particle":"","parse-names":false,"suffix":""},{"dropping-particle":"","family":"Comessatti","given":"A.","non-dropping-particle":"","parse-names":false,"suffix":""},{"dropping-particle":"","family":"Peroni","given":"A.","non-dropping-particle":"","parse-names":false,"suffix":""},{"dropping-particle":"","family":"Bonello","given":"L.","non-dropping-particle":"","parse-names":false,"suffix":""},{"dropping-particle":"","family":"Bernengo","given":"Maria Grazia","non-dropping-particle":"","parse-names":false,"suffix":""}],"container-title":"British Journal of Dermatology","id":"ITEM-4","issue":"3","issued":{"date-parts":[["2005","9"]]},"page":"565-573","publisher":"Br J Dermatol","title":"T-cell receptor γ gene rearrangement by multiplex polymerase chain reaction/heteroduplex analysis in patients with cutaneous T-cell lymphoma (mycosis fungoides/Sézary syndrome) and benign inflammatory disease: Correlation with clinical, histological and i","type":"article-journal","volume":"153"},"uris":["http://www.mendeley.com/documents/?uuid=b6123569-6e28-4739-9eb3-02f58e77c988"]},{"id":"ITEM-5","itemData":{"DOI":"10.1126/scitranslmed.aaa9122","ISSN":"19466242","PMID":"26446955","abstract":"Early diagnosis of cutaneous T cell lymphoma (CTCL) is difficult and takes on average 6 years after presentation, in part because the clinical appearance and histopathology of CTCL can resemble that of benign inflammatory skin diseases. Detection of a malignant T cell clone is critical in making the diagnosis of CTCL, but the T cell receptor g (TCRγ) polymerase chain reaction (PCR) analysis in current clinical use detects clones in only a subset of patients. High-throughput TCR sequencing (HTS) detected T cell clones in 46 of 46 CTCL patients, was more sensitive and specific than TCRγ PCR, and successfully discriminated CTCL from benign inflammatory diseases. HTS also accurately assessed responses to therapy and facilitated diagnosis of disease recurrence. In patients with new skin lesions and no involvement of blood by flow cytometry, HTS demonstrated hematogenous spread of small numbers of malignant T cells. Analysis of CTCL TCRγ genes demonstrated that CTCL is a malignancy derived from mature T cells. There was a maximal T cell density in skin in benign inflammatory diseases that was exceeded in CTCL, suggesting that a niche of finite size may exist for benign T cells in skin. Last, immunostaining demonstrated that the malignant T cell clones in mycosis fungoides and leukemic CTCL localized to different anatomic compartments in the skin. In summary, HTS accurately diagnosed CTCL in all stages, discriminated CTCL from benign inflammatory skin diseases, and provided insights into the cell of origin and location of malignant CTCL cells in skin.","author":[{"dropping-particle":"","family":"Kirsch","given":"Ilan R.","non-dropping-particle":"","parse-names":false,"suffix":""},{"dropping-particle":"","family":"Watanabe","given":"Rei","non-dropping-particle":"","parse-names":false,"suffix":""},{"dropping-particle":"","family":"O'Malley","given":"John T.","non-dropping-particle":"","parse-names":false,"suffix":""},{"dropping-particle":"","family":"Williamson","given":"David W.","non-dropping-particle":"","parse-names":false,"suffix":""},{"dropping-particle":"","family":"Scott","given":"Laura Louise","non-dropping-particle":"","parse-names":false,"suffix":""},{"dropping-particle":"","family":"Elco","given":"Christopher P.","non-dropping-particle":"","parse-names":false,"suffix":""},{"dropping-particle":"","family":"Teague","given":"Jessica E.","non-dropping-particle":"","parse-names":false,"suffix":""},{"dropping-particle":"","family":"Gehad","given":"Ahmed","non-dropping-particle":"","parse-names":false,"suffix":""},{"dropping-particle":"","family":"Lowry","given":"Elizabeth L.","non-dropping-particle":"","parse-names":false,"suffix":""},{"dropping-particle":"","family":"Leboeuf","given":"Nicole R.","non-dropping-particle":"","parse-names":false,"suffix":""},{"dropping-particle":"","family":"Krueger","given":"James G.","non-dropping-particle":"","parse-names":false,"suffix":""},{"dropping-particle":"","family":"Robins","given":"Harlan S.","non-dropping-particle":"","parse-names":false,"suffix":""},{"dropping-particle":"","family":"Kupper","given":"Thomas S.","non-dropping-particle":"","parse-names":false,"suffix":""},{"dropping-particle":"","family":"Clark","given":"Rachael A.","non-dropping-particle":"","parse-names":false,"suffix":""}],"container-title":"Science Translational Medicine","id":"ITEM-5","issue":"308","issued":{"date-parts":[["2015","10","7"]]},"publisher":"American Association for the Advancement of Science","title":"TCR sequencing facilitates diagnosis and identifies mature T cells as the cell of origin in CTCL","type":"article-journal","volume":"7"},"uris":["http://www.mendeley.com/documents/?uuid=feb7fdcd-dfdb-48f7-b56e-f3a6e3772e7f"]},{"id":"ITEM-6","itemData":{"DOI":"10.1016/j.jid.2017.04.001","ISSN":"15231747","PMID":"28532760","abstract":"High-throughput sequencing (HTS) of the T-cell receptor (TCR) is a rapidly advancing technique that allows sensitive and accurate identification and quantification of every distinct T-cell clone present within any biological sample. The relative frequency of each individual clone within the full T-cell repertoire can also be studied. HTS is essential to expand our knowledge on the diversity of the TCR repertoire in homeostasis or under pathologic conditions, as well as to understand the kinetics of antigen-specific T-cell responses that lead to protective immunity (i.e., vaccination) or immune-related disorders (i.e., autoimmunity and cancer). HTS can be tailored for personalized medicine, having the potential to monitor individual responses to therapeutic interventions and show prognostic and diagnostic biomarkers. In this article, we briefly review the methodology, advances, and limitations of HTS of the TCR and describe emerging applications of this technique in the field of investigative dermatology. We highlight studying the pathogenesis of T cells in allergic dermatitis and the application of HTS of the TCR in diagnosing, detecting recurrence early, and monitoring responses to therapy in cutaneous T-cell lymphoma.","author":[{"dropping-particle":"","family":"Matos","given":"Tiago R.","non-dropping-particle":"","parse-names":false,"suffix":""},{"dropping-particle":"","family":"Rie","given":"Menno A.","non-dropping-particle":"de","parse-names":false,"suffix":""},{"dropping-particle":"","family":"Teunissen","given":"Marcel B.M.","non-dropping-particle":"","parse-names":false,"suffix":""}],"container-title":"Journal of Investigative Dermatology","id":"ITEM-6","issue":"6","issued":{"date-parts":[["2017","6","1"]]},"page":"e131-e138","publisher":"Elsevier B.V.","title":"Research Techniques Made Simple: High-Throughput Sequencing of the T-Cell Receptor","type":"article","volume":"137"},"uris":["http://www.mendeley.com/documents/?uuid=02393924-e549-3bf1-9b75-48d5f9ae3bdd"]},{"id":"ITEM-7","itemData":{"DOI":"10.1182/blood-2017-03-735639","ISSN":"15280020","PMID":"28600337","abstract":"Noninvasive monitoring of minimal residual disease (MRD) has led to significant advances in personalized management of patients with hematologic malignancies. Improved therapeutic options and prolonged survival have further increased the need for sensitive tumor assessment that can inform treatment decisions and patient outcomes. At diagnosis or relapse of most hematologic neoplasms, malignant cells are often easily accessible in the blood as circulating tumor cells (CTCs), making them ideal targets to noninvasively profile the molecular features of each patient. In other cancer types, CTCs are generally rare and noninvasive molecular detection relies on circulating tumor DNA (ctDNA) shed from tumor deposits into circulation. The ability to precisely detect and quantify CTCs and ctDNA could minimize invasive procedures and improve prediction of clinical outcomes. Technical advances in MRD detection methods in recent years have led to reduced costs and increased sensitivity, specificity, and applicability. Among currently available tests, high-throughput sequencing (HTS)–based approaches are increasingly attractive for noninvasive molecular testing. HTS-based methods can simultaneously identify multiple genetic markers with high sensitivity and specificity without individual optimization. In this review, we present an overview of techniques used for noninvasive molecular disease detection in selected myeloid and lymphoid neoplasms, with a focus on the current and future role of HTS-based assays.","author":[{"dropping-particle":"","family":"Scherer","given":"Florian","non-dropping-particle":"","parse-names":false,"suffix":""},{"dropping-particle":"","family":"Kurtz","given":"David M.","non-dropping-particle":"","parse-names":false,"suffix":""},{"dropping-particle":"","family":"Diehn","given":"Maximilian","non-dropping-particle":"","parse-names":false,"suffix":""},{"dropping-particle":"","family":"Alizadeh","given":"Ash A.","non-dropping-particle":"","parse-names":false,"suffix":""}],"container-title":"Blood","id":"ITEM-7","issue":"4","issued":{"date-parts":[["2017","7","27"]]},"page":"440-452","publisher":"American Society of Hematology","title":"High-throughput sequencing for noninvasive disease detection in hematologic malignancies","type":"article","volume":"130"},"uris":["http://www.mendeley.com/documents/?uuid=ce62204d-0b6f-3c17-a27a-0df243d6d2f5"]},{"id":"ITEM-8","itemData":{"DOI":"10.1016/j.jaad.2013.07.049","ISSN":"10976787","PMID":"24438969","abstract":"Mycosis fungoides (MF) and Sézary syndrome (SS) comprise approximately 53% of cutaneous lymphomas. Both MF and SS may clinically and histologically mimic benign skin conditions, posing a diagnostic challenge to the dermatologist. Precise clinicopathologic correlation is necessary to support a diagnosis, especially in the early stages of disease. In addition to the identification of histopathologic criteria, ancillary studies, including the identification of CD4+ T cells with aberrant immunophenotypes and T-cell receptor gene rearrangements within skin lesions and peripheral blood are used to support the diagnosis. Recent studies evaluating the pathogenesis of MF have found that the skin microenvironment, including immune cells, such as dendritic cells and reactive cytotoxic and regulatory T cells, plays a crucial supporting role in MF. The skin-homing ability of malignant T cells is the result of chemokines, cytokines, adhesion molecules, and defective apoptosis, and is believed to play a role in disease pathogenesis and progression. In addition, recent studies have also suggested that MF and SS arise from distinct memory T cell subsets and advanced/erythrodermic MF and SS may be distinguished by identification of certain molecules, including Programmed-Death-1. © 2013 by the American Academy of Dermatology, Inc.","author":[{"dropping-particle":"","family":"Jawed","given":"Sarah I.","non-dropping-particle":"","parse-names":false,"suffix":""},{"dropping-particle":"","family":"Myskowski","given":"Patricia L.","non-dropping-particle":"","parse-names":false,"suffix":""},{"dropping-particle":"","family":"Horwitz","given":"Steven","non-dropping-particle":"","parse-names":false,"suffix":""},{"dropping-particle":"","family":"Moskowitz","given":"Alison","non-dropping-particle":"","parse-names":false,"suffix":""},{"dropping-particle":"","family":"Querfeld","given":"Christiane","non-dropping-particle":"","parse-names":false,"suffix":""}],"container-title":"Journal of the American Academy of Dermatology","id":"ITEM-8","issue":"2","issued":{"date-parts":[["2014"]]},"page":"205.e1-205.e16","publisher":"Mosby Inc.","title":"Primary cutaneous T-cell lymphoma (mycosis fungoides and Sézary syndrome): Part I. Diagnosis: Clinical and histopathologic features and new molecular and biologic markers","type":"article","volume":"70"},"uris":["http://www.mendeley.com/documents/?uuid=52c0aa5d-b731-3a48-bdab-0eb1df5b0301"]},{"id":"ITEM-9","itemData":{"DOI":"10.1136/jclinpath-2018-205004","ISSN":"14724146","PMID":"29636372","abstract":"Aims Substantial clinicopathological overlap exists between cutaneous T-cell lymphoma (CTCL) and benign conditions, leading to diagnostic difficulties. We sought to delineate the utility of high-throughput sequencing (HTS) across a spectrum of histological findings in CTCL and reactive mimics. Methods One hundred skin biopsies obtained for clinical concern for CTCL were identified, comprising 25 cases each from four histological categories: definitive CTCL', atypical lymphoid infiltrate, concerning for CTCL', atypical lymphoid infiltrate, favour reactive' or reactive lymphoid infiltrate'. T-cell receptor gamma chain gene (TRG) PCR and T-cell receptor beta chain gene HTS were performed on both skin biopsy and concurrently collected peripheral blood; most peripheral blood samples were also analysed by flow cytometry. Results Histologically defined CTCL specimens had significantly higher clonality scores and T-cell fractions via HTS than all other groups (all p&lt;0.002 and p&lt;0.03, respectively). HTS was more diagnostically specific than TRG PCR in skin (100% vs 88%), while diagnostic sensitivity (68% vs 72%) and accuracy (84% vs 80%) were similar. TRG PCR and flow cytometry performed on blood were the least diagnostically useful assays. Some identically sized peaks detected by TRG PCR in concurrent skin and peripheral blood specimens were non-identical by HTS analysis. Conclusions HTS, by assessing both clonality and T-cell fractions in skin biopsies, is a powerful tool to aid in the diagnosis of CTCL. It is more specific than TRG PCR in distinguishing definitive CTCL from reactive and indeterminate histology. Identically sized peaks by TRG PCR, typically interpreted to be clonally related, are not always clonally identical by sequencing.","author":[{"dropping-particle":"","family":"Rea","given":"Bryan","non-dropping-particle":"","parse-names":false,"suffix":""},{"dropping-particle":"","family":"Haun","given":"Paul","non-dropping-particle":"","parse-names":false,"suffix":""},{"dropping-particle":"","family":"Emerson","given":"Ryan","non-dropping-particle":"","parse-names":false,"suffix":""},{"dropping-particle":"","family":"Vignali","given":"Marissa","non-dropping-particle":"","parse-names":false,"suffix":""},{"dropping-particle":"","family":"Farooqi","given":"Midhat","non-dropping-particle":"","parse-names":false,"suffix":""},{"dropping-particle":"","family":"Samimi","given":"Sara","non-dropping-particle":"","parse-names":false,"suffix":""},{"dropping-particle":"","family":"Elenitsas","given":"Rosalie","non-dropping-particle":"","parse-names":false,"suffix":""},{"dropping-particle":"","family":"Kirsch","given":"Ilan","non-dropping-particle":"","parse-names":false,"suffix":""},{"dropping-particle":"","family":"Bagg","given":"Adam","non-dropping-particle":"","parse-names":false,"suffix":""}],"container-title":"Journal of Clinical Pathology","id":"ITEM-9","issue":"9","issued":{"date-parts":[["2018","9","1"]]},"page":"814-820","publisher":"BMJ Publishing Group","title":"Role of high-throughput sequencing in the diagnosis of cutaneous T-cell lymphoma","type":"article-journal","volume":"71"},"uris":["http://www.mendeley.com/documents/?uuid=5072b866-15cc-302c-9da3-b446316f4c0d"]}],"mendeley":{"formattedCitation":"[3,4,8–14]","plainTextFormattedCitation":"[3,4,8–14]","previouslyFormattedCitation":"[3,4,8–14]"},"properties":{"noteIndex":0},"schema":"https://github.com/citation-style-language/schema/raw/master/csl-citation.json"}</w:instrText>
      </w:r>
      <w:r w:rsidR="00062499" w:rsidRPr="001B7F70">
        <w:rPr>
          <w:szCs w:val="24"/>
        </w:rPr>
        <w:fldChar w:fldCharType="separate"/>
      </w:r>
      <w:r w:rsidR="001B7F70" w:rsidRPr="001B7F70">
        <w:rPr>
          <w:noProof/>
          <w:szCs w:val="24"/>
        </w:rPr>
        <w:t>[3,4,8–14]</w:t>
      </w:r>
      <w:r w:rsidR="00062499" w:rsidRPr="001B7F70">
        <w:rPr>
          <w:szCs w:val="24"/>
        </w:rPr>
        <w:fldChar w:fldCharType="end"/>
      </w:r>
      <w:r>
        <w:rPr>
          <w:rStyle w:val="affb"/>
          <w:color w:val="000000" w:themeColor="text1"/>
        </w:rPr>
        <w:t xml:space="preserve">. </w:t>
      </w:r>
    </w:p>
    <w:p w:rsidR="00BC371B" w:rsidRPr="0073723C" w:rsidRDefault="000C307B" w:rsidP="00BC371B">
      <w:pPr>
        <w:pStyle w:val="afb"/>
        <w:spacing w:beforeAutospacing="0" w:afterAutospacing="0" w:line="360" w:lineRule="auto"/>
        <w:ind w:left="709" w:firstLine="0"/>
        <w:rPr>
          <w:rFonts w:eastAsiaTheme="minorEastAsia"/>
          <w:b/>
          <w:color w:val="000000" w:themeColor="text1"/>
        </w:rPr>
      </w:pPr>
      <w:r>
        <w:rPr>
          <w:rStyle w:val="affa"/>
          <w:color w:val="000000" w:themeColor="text1"/>
        </w:rPr>
        <w:t xml:space="preserve">Уровень убедительности рекомендаций </w:t>
      </w:r>
      <w:r>
        <w:rPr>
          <w:rStyle w:val="affa"/>
          <w:color w:val="000000" w:themeColor="text1"/>
        </w:rPr>
        <w:softHyphen/>
        <w:t>С</w:t>
      </w:r>
      <w:r w:rsidRPr="000C307B">
        <w:rPr>
          <w:b/>
          <w:color w:val="000000" w:themeColor="text1"/>
        </w:rPr>
        <w:t>(уровень достоверности доказательств – 4)</w:t>
      </w:r>
    </w:p>
    <w:p w:rsidR="00BC371B" w:rsidRPr="0073723C" w:rsidRDefault="000C307B" w:rsidP="00BC371B">
      <w:pPr>
        <w:pStyle w:val="afb"/>
        <w:spacing w:beforeAutospacing="0" w:afterAutospacing="0" w:line="360" w:lineRule="auto"/>
        <w:ind w:left="709" w:firstLine="0"/>
        <w:rPr>
          <w:b/>
          <w:i/>
          <w:color w:val="000000" w:themeColor="text1"/>
        </w:rPr>
      </w:pPr>
      <w:r>
        <w:rPr>
          <w:rStyle w:val="affa"/>
          <w:color w:val="000000" w:themeColor="text1"/>
        </w:rPr>
        <w:t xml:space="preserve">Комментарии: </w:t>
      </w:r>
      <w:r>
        <w:rPr>
          <w:rStyle w:val="affb"/>
          <w:color w:val="000000" w:themeColor="text1"/>
        </w:rPr>
        <w:t xml:space="preserve">исследование методом ПЦР для определения реарранжировки генов цепей Т-клеточного рецептора (ТКР) является вспомогательным методом, так как моноклональность инфильтрата обнаруживается в 90% случаев бляшечной и опухолевой стадий грибовидного микоза и лишь в 50–60% – впятнистой стадии. Результаты молекулярно-генетического исследования необходимо оценивать в комплексе с другими диагностическими методами, так как доминантный клон Т-лимфоцитов может обнаруживаться в группе так называемых «клональных» дерматозов </w:t>
      </w:r>
      <w:r w:rsidR="00062499" w:rsidRPr="001B7F70">
        <w:fldChar w:fldCharType="begin" w:fldLock="1"/>
      </w:r>
      <w:r w:rsidR="001B7F70" w:rsidRPr="001B7F70">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fungoides","type":"article-journal","volume":"14"},"uris":["http://www.mendeley.com/documents/?uuid=60fdb40e-510a-3e65-a5e4-4e7abed6c350"]},{"id":"ITEM-2","itemData":{"DOI":"10.1182/blood.v96.9.2987","ISSN":"0006-4971","abstract":"It is now widely accepted that polymerase chain reaction (PCR) analysis of cutaneous T-cell clonality is of diagnostic value in cutaneous T-cell lymphomas (CTCLs) and most helpful in the diagnosis of mycosis fungoides (MF). However, the diagnostic and prognostic value of circulating clonal T cells remains unclear. We studied T-cell clonality in the peripheral blood (PB) and the cutaneous lesion, sampled at the same time, in 363 consecutively seen patients with a clinical suspicion of cutaneous lymphoma. Using a PCR technique providing a specific imprint of T-cell clones (PCRγ–denaturing gradient gel electrophoresis), we found that detection of identical circulating and cutaneous T-cell clones was associated with the diagnosis of CTCL (P &amp;lt; .001). Detection of circulating tumor cells in patients with MF was infrequent (12.5%), except in those with erythrodermic MF (42%; P = .003). Moreover, among the 46 patients who had identical circulating and cutaneous T-cell clones, 25 (56%) had erythroderma. The finding of a dominant clone in the PB but not in the skin was frequent, regardless of the clinicohistologic classification; it occurred in 30% of patients with CTCL, 41% with non-CTCL malignant infiltrates, and 34% with benign infiltrates. This pattern was significantly more frequent in patients over 60 years of age (P &amp;lt; .002), even in the CTCL group (P &amp;lt; .01). In conclusion, dominant T-cell clones detected in the PB of patients with MF by using a routine PCR technique are rarely tumoral and are more often related to age. A multicenter prospective study is under way to establish the prognostic value of circulating tumor cells.","author":[{"dropping-particle":"","family":"Delfau-Larue","given":"Marie-Hélène","non-dropping-particle":"","parse-names":false,"suffix":""},{"dropping-particle":"","family":"Laroche","given":"Liliane","non-dropping-particle":"","parse-names":false,"suffix":""},{"dropping-particle":"","family":"Wechsler","given":"Janine","non-dropping-particle":"","parse-names":false,"suffix":""},{"dropping-particle":"","family":"Lepage","given":"Eric","non-dropping-particle":"","parse-names":false,"suffix":""},{"dropping-particle":"","family":"Lahet","given":"Chantal","non-dropping-particle":"","parse-names":false,"suffix":""},{"dropping-particle":"","family":"Asso-Bonnet","given":"Marianne","non-dropping-particle":"","parse-names":false,"suffix":""},{"dropping-particle":"","family":"Bagot","given":"Martine","non-dropping-particle":"","parse-names":false,"suffix":""},{"dropping-particle":"","family":"Farcet","given":"Jean-Pierre","non-dropping-particle":"","parse-names":false,"suffix":""}],"container-title":"Blood","id":"ITEM-2","issue":"9","issued":{"date-parts":[["2000","11","1"]]},"page":"2987-2992","publisher":"American Society of Hematology","title":"Diagnostic value of dominant T-cell clones in peripheral blood in 363 patients presenting consecutively with a clinical suspicion of cutaneous lymphoma","type":"article-journal","volume":"96"},"uris":["http://www.mendeley.com/documents/?uuid=d147eb90-73a0-3186-a34a-47ef78e654f3"]},{"id":"ITEM-3","itemData":{"DOI":"10.1111/j.1365-2133.2005.06649.x","ISSN":"00070963","PMID":"16120144","abstract":"Background: A dominant T-cell clone can be detected by polymerase chain reaction (PCR) in 40-90% of cutaneous samples from patients with cutaneous T-cell lymphoma (CTCL). Materials and methods: From 1996 to 2003 we analysed 547 cutaneous biopsies performed to exclude CTCL (mycosis fungoides, MF/Sézary syndrome, SS). The final diagnosis was benign inflammatory disease (BID) in 353 samples (64.5%) and CTCL in 194 (35.5%). T-cell receptor (TCR)-γ gene rearrangement was studied by using a multiplex PCR/heteroduplex (HD) analysis. The PCR results were correlated with the clinical picture, the histological pattern and the presence of T-cell lineage antigen loss, using univariate and multivariate logistic regression analyses. Objective: To determine the sensitivity and specificity of the multiplex PCR/HD analysis and to identify which are the clinical, histopathological or immunophenotypical features significantly associated with a positive T-cell clonality. Results: A clonality was demonstrated in 83.5% of CTCL and in 2.3% of BID (P &lt; 0.001). A significantly higher percentage of clonal cases was associated with the cutaneous T-score (71.4% in T1, 76.1% in T2 and 100% in nodular and erythrodermic MF samples) and with the presence of a T-cell lineage antigen loss (93.9% vs. 77.4%). Moreover, clonality was closely related to an increase in the histopathological score (51.3% in the samples with a score &lt; 5, compared with 92% in the lesions with ≥5). No significant difference in the percentage of clonal cases was found between T1/T2 and T3/T4 lesions with a histopathological score ≥ 5. The multivariate logistic regression showed that the density and extent of the cell infiltrate, the degree of epidermotropism and the presence of cytological atypia share an independent predictive value for clonality in T1/T2 samples, even if the highest odds ratios (3.6) were associated with the density of the cell infiltrate. The disease course of T1/T2 patients was analysed according to the PCR findings. All the PCR-negative patients showed a long-standing stable disease course; on the other hand, a disease progression occurred in 12/87 (13.8%) positive patients. Conclusions: The multiplex PCR/HD analysis is associated with a high diagnostic accuracy (92.7%) in CTCL patients. The finding of a clonal T-cell rearrangement is more closely associated with the histological pattern (in particular with the density and extent of the cell infiltrate) rather than with the MF cutaneous T-sc…","author":[{"dropping-particle":"","family":"Ponti","given":"R.","non-dropping-particle":"","parse-names":false,"suffix":""},{"dropping-particle":"","family":"Quaglino","given":"P.","non-dropping-particle":"","parse-names":false,"suffix":""},{"dropping-particle":"","family":"Novelli","given":"M.","non-dropping-particle":"","parse-names":false,"suffix":""},{"dropping-particle":"","family":"Fierro","given":"M. T.","non-dropping-particle":"","parse-names":false,"suffix":""},{"dropping-particle":"","family":"Comessatti","given":"A.","non-dropping-particle":"","parse-names":false,"suffix":""},{"dropping-particle":"","family":"Peroni","given":"A.","non-dropping-particle":"","parse-names":false,"suffix":""},{"dropping-particle":"","family":"Bonello","given":"L.","non-dropping-particle":"","parse-names":false,"suffix":""},{"dropping-particle":"","family":"Bernengo","given":"Maria Grazia","non-dropping-particle":"","parse-names":false,"suffix":""}],"container-title":"British Journal of Dermatology","id":"ITEM-3","issue":"3","issued":{"date-parts":[["2005","9"]]},"page":"565-573","publisher":"Br J Dermatol","title":"T-cell receptor γ gene rearrangement by multiplex polymerase chain reaction/heteroduplex analysis in patients with cutaneous T-cell lymphoma (mycosis fungoides/Sézary syndrome) and benign inflammatory disease: Correlation with clinical, histological and i","type":"article-journal","volume":"153"},"uris":["http://www.mendeley.com/documents/?uuid=b6123569-6e28-4739-9eb3-02f58e77c988"]},{"id":"ITEM-4","itemData":{"DOI":"10.1126/scitranslmed.aaa9122","ISSN":"19466242","PMID":"26446955","abstract":"Early diagnosis of cutaneous T cell lymphoma (CTCL) is difficult and takes on average 6 years after presentation, in part because the clinical appearance and histopathology of CTCL can resemble that of benign inflammatory skin diseases. Detection of a malignant T cell clone is critical in making the diagnosis of CTCL, but the T cell receptor g (TCRγ) polymerase chain reaction (PCR) analysis in current clinical use detects clones in only a subset of patients. High-throughput TCR sequencing (HTS) detected T cell clones in 46 of 46 CTCL patients, was more sensitive and specific than TCRγ PCR, and successfully discriminated CTCL from benign inflammatory diseases. HTS also accurately assessed responses to therapy and facilitated diagnosis of disease recurrence. In patients with new skin lesions and no involvement of blood by flow cytometry, HTS demonstrated hematogenous spread of small numbers of malignant T cells. Analysis of CTCL TCRγ genes demonstrated that CTCL is a malignancy derived from mature T cells. There was a maximal T cell density in skin in benign inflammatory diseases that was exceeded in CTCL, suggesting that a niche of finite size may exist for benign T cells in skin. Last, immunostaining demonstrated that the malignant T cell clones in mycosis fungoides and leukemic CTCL localized to different anatomic compartments in the skin. In summary, HTS accurately diagnosed CTCL in all stages, discriminated CTCL from benign inflammatory skin diseases, and provided insights into the cell of origin and location of malignant CTCL cells in skin.","author":[{"dropping-particle":"","family":"Kirsch","given":"Ilan R.","non-dropping-particle":"","parse-names":false,"suffix":""},{"dropping-particle":"","family":"Watanabe","given":"Rei","non-dropping-particle":"","parse-names":false,"suffix":""},{"dropping-particle":"","family":"O'Malley","given":"John T.","non-dropping-particle":"","parse-names":false,"suffix":""},{"dropping-particle":"","family":"Williamson","given":"David W.","non-dropping-particle":"","parse-names":false,"suffix":""},{"dropping-particle":"","family":"Scott","given":"Laura Louise","non-dropping-particle":"","parse-names":false,"suffix":""},{"dropping-particle":"","family":"Elco","given":"Christopher P.","non-dropping-particle":"","parse-names":false,"suffix":""},{"dropping-particle":"","family":"Teague","given":"Jessica E.","non-dropping-particle":"","parse-names":false,"suffix":""},{"dropping-particle":"","family":"Gehad","given":"Ahmed","non-dropping-particle":"","parse-names":false,"suffix":""},{"dropping-particle":"","family":"Lowry","given":"Elizabeth L.","non-dropping-particle":"","parse-names":false,"suffix":""},{"dropping-particle":"","family":"Leboeuf","given":"Nicole R.","non-dropping-particle":"","parse-names":false,"suffix":""},{"dropping-particle":"","family":"Krueger","given":"James G.","non-dropping-particle":"","parse-names":false,"suffix":""},{"dropping-particle":"","family":"Robins","given":"Harlan S.","non-dropping-particle":"","parse-names":false,"suffix":""},{"dropping-particle":"","family":"Kupper","given":"Thomas S.","non-dropping-particle":"","parse-names":false,"suffix":""},{"dropping-particle":"","family":"Clark","given":"Rachael A.","non-dropping-particle":"","parse-names":false,"suffix":""}],"container-title":"Science Translational Medicine","id":"ITEM-4","issue":"308","issued":{"date-parts":[["2015","10","7"]]},"publisher":"American Association for the Advancement of Science","title":"TCR sequencing facilitates diagnosis and identifies mature T cells as the cell of origin in CTCL","type":"article-journal","volume":"7"},"uris":["http://www.mendeley.com/documents/?uuid=feb7fdcd-dfdb-48f7-b56e-f3a6e3772e7f"]},{"id":"ITEM-5","itemData":{"DOI":"10.1016/j.jid.2017.04.001","ISSN":"15231747","PMID":"28532760","abstract":"High-throughput sequencing (HTS) of the T-cell receptor (TCR) is a rapidly advancing technique that allows sensitive and accurate identification and quantification of every distinct T-cell clone present within any biological sample. The relative frequency of each individual clone within the full T-cell repertoire can also be studied. HTS is essential to expand our knowledge on the diversity of the TCR repertoire in homeostasis or under pathologic conditions, as well as to understand the kinetics of antigen-specific T-cell responses that lead to protective immunity (i.e., vaccination) or immune-related disorders (i.e., autoimmunity and cancer). HTS can be tailored for personalized medicine, having the potential to monitor individual responses to therapeutic interventions and show prognostic and diagnostic biomarkers. In this article, we briefly review the methodology, advances, and limitations of HTS of the TCR and describe emerging applications of this technique in the field of investigative dermatology. We highlight studying the pathogenesis of T cells in allergic dermatitis and the application of HTS of the TCR in diagnosing, detecting recurrence early, and monitoring responses to therapy in cutaneous T-cell lymphoma.","author":[{"dropping-particle":"","family":"Matos","given":"Tiago R.","non-dropping-particle":"","parse-names":false,"suffix":""},{"dropping-particle":"","family":"Rie","given":"Menno A.","non-dropping-particle":"de","parse-names":false,"suffix":""},{"dropping-particle":"","family":"Teunissen","given":"Marcel B.M.","non-dropping-particle":"","parse-names":false,"suffix":""}],"container-title":"Journal of Investigative Dermatology","id":"ITEM-5","issue":"6","issued":{"date-parts":[["2017","6","1"]]},"page":"e131-e138","publisher":"Elsevier B.V.","title":"Research Techniques Made Simple: High-Throughput Sequencing of the T-Cell Receptor","type":"article","volume":"137"},"uris":["http://www.mendeley.com/documents/?uuid=02393924-e549-3bf1-9b75-48d5f9ae3bdd"]},{"id":"ITEM-6","itemData":{"DOI":"10.1182/blood-2017-03-735639","ISSN":"15280020","PMID":"28600337","abstract":"Noninvasive monitoring of minimal residual disease (MRD) has led to significant advances in personalized management of patients with hematologic malignancies. Improved therapeutic options and prolonged survival have further increased the need for sensitive tumor assessment that can inform treatment decisions and patient outcomes. At diagnosis or relapse of most hematologic neoplasms, malignant cells are often easily accessible in the blood as circulating tumor cells (CTCs), making them ideal targets to noninvasively profile the molecular features of each patient. In other cancer types, CTCs are generally rare and noninvasive molecular detection relies on circulating tumor DNA (ctDNA) shed from tumor deposits into circulation. The ability to precisely detect and quantify CTCs and ctDNA could minimize invasive procedures and improve prediction of clinical outcomes. Technical advances in MRD detection methods in recent years have led to reduced costs and increased sensitivity, specificity, and applicability. Among currently available tests, high-throughput sequencing (HTS)–based approaches are increasingly attractive for noninvasive molecular testing. HTS-based methods can simultaneously identify multiple genetic markers with high sensitivity and specificity without individual optimization. In this review, we present an overview of techniques used for noninvasive molecular disease detection in selected myeloid and lymphoid neoplasms, with a focus on the current and future role of HTS-based assays.","author":[{"dropping-particle":"","family":"Scherer","given":"Florian","non-dropping-particle":"","parse-names":false,"suffix":""},{"dropping-particle":"","family":"Kurtz","given":"David M.","non-dropping-particle":"","parse-names":false,"suffix":""},{"dropping-particle":"","family":"Diehn","given":"Maximilian","non-dropping-particle":"","parse-names":false,"suffix":""},{"dropping-particle":"","family":"Alizadeh","given":"Ash A.","non-dropping-particle":"","parse-names":false,"suffix":""}],"container-title":"Blood","id":"ITEM-6","issue":"4","issued":{"date-parts":[["2017","7","27"]]},"page":"440-452","publisher":"American Society of Hematology","title":"High-throughput sequencing for noninvasive disease detection in hematologic malignancies","type":"article","volume":"130"},"uris":["http://www.mendeley.com/documents/?uuid=ce62204d-0b6f-3c17-a27a-0df243d6d2f5"]},{"id":"ITEM-7","itemData":{"DOI":"10.1016/j.jaad.2013.07.049","ISSN":"10976787","PMID":"24438969","abstract":"Mycosis fungoides (MF) and Sézary syndrome (SS) comprise approximately 53% of cutaneous lymphomas. Both MF and SS may clinically and histologically mimic benign skin conditions, posing a diagnostic challenge to the dermatologist. Precise clinicopathologic correlation is necessary to support a diagnosis, especially in the early stages of disease. In addition to the identification of histopathologic criteria, ancillary studies, including the identification of CD4+ T cells with aberrant immunophenotypes and T-cell receptor gene rearrangements within skin lesions and peripheral blood are used to support the diagnosis. Recent studies evaluating the pathogenesis of MF have found that the skin microenvironment, including immune cells, such as dendritic cells and reactive cytotoxic and regulatory T cells, plays a crucial supporting role in MF. The skin-homing ability of malignant T cells is the result of chemokines, cytokines, adhesion molecules, and defective apoptosis, and is believed to play a role in disease pathogenesis and progression. In addition, recent studies have also suggested that MF and SS arise from distinct memory T cell subsets and advanced/erythrodermic MF and SS may be distinguished by identification of certain molecules, including Programmed-Death-1. © 2013 by the American Academy of Dermatology, Inc.","author":[{"dropping-particle":"","family":"Jawed","given":"Sarah I.","non-dropping-particle":"","parse-names":false,"suffix":""},{"dropping-particle":"","family":"Myskowski","given":"Patricia L.","non-dropping-particle":"","parse-names":false,"suffix":""},{"dropping-particle":"","family":"Horwitz","given":"Steven","non-dropping-particle":"","parse-names":false,"suffix":""},{"dropping-particle":"","family":"Moskowitz","given":"Alison","non-dropping-particle":"","parse-names":false,"suffix":""},{"dropping-particle":"","family":"Querfeld","given":"Christiane","non-dropping-particle":"","parse-names":false,"suffix":""}],"container-title":"Journal of the American Academy of Dermatology","id":"ITEM-7","issue":"2","issued":{"date-parts":[["2014"]]},"page":"205.e1-205.e16","publisher":"Mosby Inc.","title":"Primary cutaneous T-cell lymphoma (mycosis fungoides and Sézary syndrome): Part I. Diagnosis: Clinical and histopathologic features and new molecular and biologic markers","type":"article","volume":"70"},"uris":["http://www.mendeley.com/documents/?uuid=52c0aa5d-b731-3a48-bdab-0eb1df5b0301"]},{"id":"ITEM-8","itemData":{"DOI":"10.1136/jclinpath-2018-205004","ISSN":"14724146","PMID":"29636372","abstract":"Aims Substantial clinicopathological overlap exists between cutaneous T-cell lymphoma (CTCL) and benign conditions, leading to diagnostic difficulties. We sought to delineate the utility of high-throughput sequencing (HTS) across a spectrum of histological findings in CTCL and reactive mimics. Methods One hundred skin biopsies obtained for clinical concern for CTCL were identified, comprising 25 cases each from four histological categories: definitive CTCL', atypical lymphoid infiltrate, concerning for CTCL', atypical lymphoid infiltrate, favour reactive' or reactive lymphoid infiltrate'. T-cell receptor gamma chain gene (TRG) PCR and T-cell receptor beta chain gene HTS were performed on both skin biopsy and concurrently collected peripheral blood; most peripheral blood samples were also analysed by flow cytometry. Results Histologically defined CTCL specimens had significantly higher clonality scores and T-cell fractions via HTS than all other groups (all p&lt;0.002 and p&lt;0.03, respectively). HTS was more diagnostically specific than TRG PCR in skin (100% vs 88%), while diagnostic sensitivity (68% vs 72%) and accuracy (84% vs 80%) were similar. TRG PCR and flow cytometry performed on blood were the least diagnostically useful assays. Some identically sized peaks detected by TRG PCR in concurrent skin and peripheral blood specimens were non-identical by HTS analysis. Conclusions HTS, by assessing both clonality and T-cell fractions in skin biopsies, is a powerful tool to aid in the diagnosis of CTCL. It is more specific than TRG PCR in distinguishing definitive CTCL from reactive and indeterminate histology. Identically sized peaks by TRG PCR, typically interpreted to be clonally related, are not always clonally identical by sequencing.","author":[{"dropping-particle":"","family":"Rea","given":"Bryan","non-dropping-particle":"","parse-names":false,"suffix":""},{"dropping-particle":"","family":"Haun","given":"Paul","non-dropping-particle":"","parse-names":false,"suffix":""},{"dropping-particle":"","family":"Emerson","given":"Ryan","non-dropping-particle":"","parse-names":false,"suffix":""},{"dropping-particle":"","family":"Vignali","given":"Marissa","non-dropping-particle":"","parse-names":false,"suffix":""},{"dropping-particle":"","family":"Farooqi","given":"Midhat","non-dropping-particle":"","parse-names":false,"suffix":""},{"dropping-particle":"","family":"Samimi","given":"Sara","non-dropping-particle":"","parse-names":false,"suffix":""},{"dropping-particle":"","family":"Elenitsas","given":"Rosalie","non-dropping-particle":"","parse-names":false,"suffix":""},{"dropping-particle":"","family":"Kirsch","given":"Ilan","non-dropping-particle":"","parse-names":false,"suffix":""},{"dropping-particle":"","family":"Bagg","given":"Adam","non-dropping-particle":"","parse-names":false,"suffix":""}],"container-title":"Journal of Clinical Pathology","id":"ITEM-8","issue":"9","issued":{"date-parts":[["2018","9","1"]]},"page":"814-820","publisher":"BMJ Publishing Group","title":"Role of high-throughput sequencing in the diagnosis of cutaneous T-cell lymphoma","type":"article-journal","volume":"71"},"uris":["http://www.mendeley.com/documents/?uuid=5072b866-15cc-302c-9da3-b446316f4c0d"]}],"mendeley":{"formattedCitation":"[3,8–14]","plainTextFormattedCitation":"[3,8–14]","previouslyFormattedCitation":"[3,8–14]"},"properties":{"noteIndex":0},"schema":"https://github.com/citation-style-language/schema/raw/master/csl-citation.json"}</w:instrText>
      </w:r>
      <w:r w:rsidR="00062499" w:rsidRPr="001B7F70">
        <w:fldChar w:fldCharType="separate"/>
      </w:r>
      <w:r w:rsidR="001B7F70" w:rsidRPr="001B7F70">
        <w:rPr>
          <w:noProof/>
        </w:rPr>
        <w:t>[3,8–14]</w:t>
      </w:r>
      <w:r w:rsidR="00062499" w:rsidRPr="001B7F70">
        <w:fldChar w:fldCharType="end"/>
      </w:r>
      <w:r>
        <w:rPr>
          <w:rStyle w:val="affa"/>
          <w:i/>
          <w:color w:val="000000" w:themeColor="text1"/>
        </w:rPr>
        <w:t>.</w:t>
      </w:r>
    </w:p>
    <w:p w:rsidR="00E52805" w:rsidRPr="0073723C" w:rsidRDefault="000C307B" w:rsidP="00E52805">
      <w:pPr>
        <w:pStyle w:val="afff7"/>
        <w:tabs>
          <w:tab w:val="clear" w:pos="720"/>
        </w:tabs>
        <w:ind w:left="709" w:hanging="425"/>
        <w:rPr>
          <w:bCs/>
        </w:rPr>
      </w:pPr>
      <w:r w:rsidRPr="000C307B">
        <w:rPr>
          <w:b/>
        </w:rPr>
        <w:t xml:space="preserve">Рекомендуется </w:t>
      </w:r>
      <w:r w:rsidR="001B7F70" w:rsidRPr="001B7F70">
        <w:rPr>
          <w:bCs/>
        </w:rPr>
        <w:t>проведение проточной цитофлуориметрии периферической крови для оценки наличия и числа T-лимфоцитов с аберрантным фенотипом (CD4+/CD26- или CD4+/CD7-) в следующих случаях:</w:t>
      </w:r>
    </w:p>
    <w:p w:rsidR="00E52805" w:rsidRPr="0073723C" w:rsidRDefault="001B7F70" w:rsidP="00E52805">
      <w:pPr>
        <w:pStyle w:val="afff7"/>
        <w:numPr>
          <w:ilvl w:val="0"/>
          <w:numId w:val="0"/>
        </w:numPr>
        <w:spacing w:before="0"/>
        <w:ind w:left="709"/>
        <w:rPr>
          <w:bCs/>
        </w:rPr>
      </w:pPr>
      <w:r w:rsidRPr="001B7F70">
        <w:rPr>
          <w:bCs/>
        </w:rPr>
        <w:t>- при диагностике синдрома Сезари</w:t>
      </w:r>
    </w:p>
    <w:p w:rsidR="0016386D" w:rsidRPr="0073723C" w:rsidRDefault="001B7F70" w:rsidP="0016386D">
      <w:pPr>
        <w:pStyle w:val="afff7"/>
        <w:numPr>
          <w:ilvl w:val="0"/>
          <w:numId w:val="0"/>
        </w:numPr>
        <w:spacing w:before="0"/>
        <w:ind w:left="709"/>
        <w:rPr>
          <w:bCs/>
        </w:rPr>
      </w:pPr>
      <w:r w:rsidRPr="001B7F70">
        <w:rPr>
          <w:bCs/>
        </w:rPr>
        <w:t>- при подозрении на вовлечени</w:t>
      </w:r>
      <w:r w:rsidR="00774F59">
        <w:rPr>
          <w:bCs/>
        </w:rPr>
        <w:t>е</w:t>
      </w:r>
      <w:r w:rsidRPr="001B7F70">
        <w:rPr>
          <w:bCs/>
        </w:rPr>
        <w:t xml:space="preserve"> периферической крови (в клиническом анализе крови выявление абсолютного лимфоцитоза).</w:t>
      </w:r>
    </w:p>
    <w:p w:rsidR="00E52805" w:rsidRPr="0073723C" w:rsidRDefault="001B7F70" w:rsidP="00E52805">
      <w:pPr>
        <w:pStyle w:val="afff7"/>
        <w:numPr>
          <w:ilvl w:val="0"/>
          <w:numId w:val="0"/>
        </w:numPr>
        <w:spacing w:before="0"/>
        <w:ind w:left="709"/>
        <w:rPr>
          <w:b/>
        </w:rPr>
      </w:pPr>
      <w:r w:rsidRPr="001B7F70">
        <w:t xml:space="preserve">- при поражении лимфатических узлов и внутренних органов </w:t>
      </w:r>
      <w:r w:rsidR="00062499" w:rsidRPr="001B7F70">
        <w:rPr>
          <w:color w:val="000000" w:themeColor="text1"/>
          <w:lang w:eastAsia="zh-CN"/>
        </w:rPr>
        <w:fldChar w:fldCharType="begin" w:fldLock="1"/>
      </w:r>
      <w:r w:rsidRPr="001B7F70">
        <w:rPr>
          <w:color w:val="000000" w:themeColor="text1"/>
          <w:lang w:eastAsia="zh-CN"/>
        </w:rPr>
        <w:instrText>ADDIN CSL_CITATION {"citationItems":[{"id":"ITEM-1","itemData":{"DOI":"10.1002/cyto.b.21878","ISSN":"15524957","PMID":"32319723","abstract":"A peripheral blood flow cytometric assay for Sézary syndrome (SS) or circulating mycosis fungoides (MF) cells must be able to reliably identify, characterize, and enumerate T-cells with an immunophenotype that differs from non-neoplastic T-cells. Although it is also important to distinguish SS and MF from other subtypes of T-cell neoplasm, this usually requires information in addition to the immunophenotype, such as clinical and morphologic features. This article outlines the approach recommended by an international group with experience and expertise in this area. The following key points are discussed: (a) At a minimum, a flow cytometric assay for SS and MF should include the following six antibodies: CD3, CD4, CD7, CD8, CD26, and CD45. (b) An analysis template must reliably detect abnormal T-cells, even when they lack staining for CD3 or CD45, or demonstrate a phenotype that is not characteristic of normal T-cells. (c) Gating strategies to identify abnormal T-cells should be based on the identification of subsets with distinctly homogenous immunophenotypic properties that are different from those expected for normal T-cells. (d) The blood concentration of abnormal cells, based on any immunophenotypic abnormalities indicative of MF or SS, should be calculated by either direct enumeration or a dual-platform method, and reported.","author":[{"dropping-particle":"","family":"Horna","given":"Pedro","non-dropping-particle":"","parse-names":false,"suffix":""},{"dropping-particle":"","family":"Wang","given":"Sa A.","non-dropping-particle":"","parse-names":false,"suffix":""},{"dropping-particle":"","family":"Wolniak","given":"Kristy L.","non-dropping-particle":"","parse-names":false,"suffix":""},{"dropping-particle":"","family":"Psarra","given":"Katherina","non-dropping-particle":"","parse-names":false,"suffix":""},{"dropping-particle":"","family":"Almeida","given":"Julia","non-dropping-particle":"","parse-names":false,"suffix":""},{"dropping-particle":"","family":"Illingworth","given":"Andrea J.","non-dropping-particle":"","parse-names":false,"suffix":""},{"dropping-particle":"","family":"Johansson","given":"Ulrika","non-dropping-particle":"","parse-names":false,"suffix":""},{"dropping-particle":"","family":"Craig","given":"Fiona E.","non-dropping-particle":"","parse-names":false,"suffix":""},{"dropping-particle":"","family":"Torres","given":"Richard","non-dropping-particle":"","parse-names":false,"suffix":""}],"container-title":"Cytometry Part B - Clinical Cytometry","id":"ITEM-1","issue":"2","issued":{"date-parts":[["2021","3","1"]]},"page":"142-155","publisher":"Cytometry B Clin Cytom","title":"Flow cytometric evaluation of peripheral blood for suspected Sézary syndrome or mycosis fungoides: International guidelines for assay characteristics","type":"article-journal","volume":"100"},"uris":["http://www.mendeley.com/documents/?uuid=95f94c52-7955-3a79-a588-9baba1806dfe"]}],"mendeley":{"formattedCitation":"[37]","plainTextFormattedCitation":"[37]","previouslyFormattedCitation":"[37]"},"properties":{"noteIndex":0},"schema":"https://github.com/citation-style-language/schema/raw/master/csl-citation.json"}</w:instrText>
      </w:r>
      <w:r w:rsidR="00062499" w:rsidRPr="001B7F70">
        <w:rPr>
          <w:color w:val="000000" w:themeColor="text1"/>
          <w:lang w:eastAsia="zh-CN"/>
        </w:rPr>
        <w:fldChar w:fldCharType="separate"/>
      </w:r>
      <w:r w:rsidRPr="001B7F70">
        <w:rPr>
          <w:noProof/>
          <w:color w:val="000000" w:themeColor="text1"/>
          <w:lang w:eastAsia="zh-CN"/>
        </w:rPr>
        <w:t>[37]</w:t>
      </w:r>
      <w:r w:rsidR="00062499" w:rsidRPr="001B7F70">
        <w:rPr>
          <w:color w:val="000000" w:themeColor="text1"/>
          <w:lang w:eastAsia="zh-CN"/>
        </w:rPr>
        <w:fldChar w:fldCharType="end"/>
      </w:r>
      <w:r w:rsidRPr="001B7F70">
        <w:t>.</w:t>
      </w:r>
      <w:r w:rsidRPr="001B7F70">
        <w:rPr>
          <w:i/>
        </w:rPr>
        <w:t xml:space="preserve"> </w:t>
      </w:r>
    </w:p>
    <w:p w:rsidR="00E52805" w:rsidRPr="0073723C" w:rsidRDefault="000C307B" w:rsidP="00E52805">
      <w:pPr>
        <w:pStyle w:val="afb"/>
        <w:tabs>
          <w:tab w:val="num" w:pos="1134"/>
        </w:tabs>
        <w:spacing w:beforeAutospacing="0" w:afterAutospacing="0" w:line="360" w:lineRule="auto"/>
        <w:ind w:left="709" w:firstLine="0"/>
        <w:rPr>
          <w:b/>
        </w:rPr>
      </w:pPr>
      <w:r>
        <w:rPr>
          <w:rStyle w:val="affa"/>
        </w:rPr>
        <w:t xml:space="preserve">Уровень убедительности рекомендаций </w:t>
      </w:r>
      <w:r>
        <w:rPr>
          <w:rStyle w:val="affa"/>
        </w:rPr>
        <w:softHyphen/>
        <w:t xml:space="preserve">С </w:t>
      </w:r>
      <w:r w:rsidRPr="000C307B">
        <w:rPr>
          <w:b/>
        </w:rPr>
        <w:t>(уровень достоверности доказательств – 5)</w:t>
      </w:r>
    </w:p>
    <w:p w:rsidR="00E52805" w:rsidRPr="0073723C" w:rsidRDefault="000C307B" w:rsidP="00E52805">
      <w:pPr>
        <w:pStyle w:val="aff2"/>
      </w:pPr>
      <w:r w:rsidRPr="000C307B">
        <w:rPr>
          <w:b/>
        </w:rPr>
        <w:t xml:space="preserve">Комментарии: </w:t>
      </w:r>
      <w:r w:rsidR="001B7F70" w:rsidRPr="001B7F70">
        <w:rPr>
          <w:i/>
        </w:rPr>
        <w:t>проведение исследования может позволить верифицировать СС при невозможности верифицировать диагноз при биопсии кожи (недиагностическая биопсия, противопоказания для проведения биопсии).</w:t>
      </w:r>
      <w:r w:rsidR="00410CC5">
        <w:rPr>
          <w:i/>
        </w:rPr>
        <w:t xml:space="preserve"> </w:t>
      </w:r>
      <w:r w:rsidR="001B7F70" w:rsidRPr="001B7F70">
        <w:rPr>
          <w:i/>
        </w:rPr>
        <w:t xml:space="preserve">Также оно позволяет </w:t>
      </w:r>
      <w:r w:rsidR="001B7F70" w:rsidRPr="001B7F70">
        <w:rPr>
          <w:i/>
        </w:rPr>
        <w:lastRenderedPageBreak/>
        <w:t>определить стадию заболевания согласно рекомендациям ISLE-EORTC (Приложение Г2).</w:t>
      </w:r>
    </w:p>
    <w:p w:rsidR="00453EE9" w:rsidRPr="0073723C" w:rsidRDefault="00453EE9" w:rsidP="003A0862">
      <w:pPr>
        <w:pStyle w:val="aff2"/>
      </w:pPr>
    </w:p>
    <w:p w:rsidR="000414F6" w:rsidRPr="0073723C" w:rsidRDefault="001B7F70" w:rsidP="00C4630C">
      <w:pPr>
        <w:pStyle w:val="afff1"/>
      </w:pPr>
      <w:bookmarkStart w:id="25" w:name="_Toc84161279"/>
      <w:r w:rsidRPr="001B7F70">
        <w:t>3. Лечение</w:t>
      </w:r>
      <w:bookmarkEnd w:id="24"/>
      <w:r w:rsidRPr="001B7F70">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5"/>
    </w:p>
    <w:p w:rsidR="002929B1" w:rsidRPr="0073723C" w:rsidRDefault="001B7F70" w:rsidP="002929B1">
      <w:pPr>
        <w:pStyle w:val="2"/>
        <w:spacing w:before="0"/>
        <w:divId w:val="1767193717"/>
        <w:rPr>
          <w:rFonts w:eastAsia="Times New Roman"/>
        </w:rPr>
      </w:pPr>
      <w:bookmarkStart w:id="26" w:name="_Toc469402341"/>
      <w:bookmarkStart w:id="27" w:name="_Toc468273538"/>
      <w:bookmarkStart w:id="28" w:name="_Toc468273456"/>
      <w:bookmarkStart w:id="29" w:name="_Toc84161280"/>
      <w:bookmarkEnd w:id="26"/>
      <w:bookmarkEnd w:id="27"/>
      <w:bookmarkEnd w:id="28"/>
      <w:r w:rsidRPr="001B7F70">
        <w:rPr>
          <w:rFonts w:eastAsia="Times New Roman"/>
        </w:rPr>
        <w:t>3.1 Лечение пациентов с ранними стадиями грибовидного микоза</w:t>
      </w:r>
      <w:bookmarkEnd w:id="29"/>
    </w:p>
    <w:p w:rsidR="00F724A7" w:rsidRPr="0073723C" w:rsidRDefault="000C307B" w:rsidP="00B130CB">
      <w:pPr>
        <w:numPr>
          <w:ilvl w:val="0"/>
          <w:numId w:val="19"/>
        </w:numPr>
        <w:tabs>
          <w:tab w:val="clear" w:pos="720"/>
          <w:tab w:val="num" w:pos="1134"/>
          <w:tab w:val="left" w:pos="1276"/>
          <w:tab w:val="left" w:pos="1418"/>
        </w:tabs>
        <w:ind w:left="709" w:hanging="709"/>
        <w:divId w:val="1767193717"/>
        <w:rPr>
          <w:rFonts w:eastAsia="Times New Roman"/>
        </w:rPr>
      </w:pPr>
      <w:r>
        <w:rPr>
          <w:rStyle w:val="affa"/>
          <w:rFonts w:eastAsia="Times New Roman"/>
        </w:rPr>
        <w:t>Рекомендуются</w:t>
      </w:r>
      <w:r w:rsidR="001B7F70" w:rsidRPr="001B7F70">
        <w:rPr>
          <w:rFonts w:eastAsia="Times New Roman"/>
        </w:rPr>
        <w:t xml:space="preserve"> для лечения пациентов с ранними стадиями (IA</w:t>
      </w:r>
      <w:r w:rsidR="001B7F70" w:rsidRPr="001B7F70">
        <w:t>–</w:t>
      </w:r>
      <w:r w:rsidR="001B7F70" w:rsidRPr="001B7F70">
        <w:rPr>
          <w:rFonts w:eastAsia="Times New Roman"/>
        </w:rPr>
        <w:t xml:space="preserve">IIA) грибовидного микоза наружно глюкокортикоиды, применяемые в дерматологии </w:t>
      </w:r>
      <w:r w:rsidR="00062499" w:rsidRPr="001B7F70">
        <w:rPr>
          <w:rFonts w:eastAsia="Times New Roman"/>
        </w:rPr>
        <w:fldChar w:fldCharType="begin" w:fldLock="1"/>
      </w:r>
      <w:r w:rsidR="001B7F70" w:rsidRPr="001B7F70">
        <w:rPr>
          <w:rFonts w:eastAsia="Times New Roman"/>
        </w:rPr>
        <w:instrText>ADDIN CSL_CITATION {"citationItems":[{"id":"ITEM-1","itemData":{"DOI":"10.6004/jnccn.2008.0033","ISSN":"15401413","PMID":"18433609","abstract":"The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Network","id":"ITEM-1","issue":"4","issued":{"date-parts":[["2008"]]},"page":"436-442","publisher":"Jones and Bartlett Publishers","title":"Review of the treatment of mycosis fungoides and Sézary syndrome: A stage-based approach","type":"article","volume":"6"},"uris":["http://www.mendeley.com/documents/?uuid=8c24f6d3-1d66-3630-96e4-a59fd5e84bd6"]},{"id":"ITEM-2","itemData":{"DOI":"10.1172/jci24826","ISSN":"0021-9738","abstract":"Cutaneous T cell lymphomas (CTCLs) are a heterogenous group of lymphoproliferative disorders caused by clonally derived, skin-invasive T cells. Mycosis fungoides (MF) and Sezary syndrome (SS) are the most common types of CTCLs and are characterized by malignant CD4(+)/CLA(+)/CCR4(+) T cells that also lack the usual T cell surface markers CD7 and/or CD26. As MF/SS advances, the clonal dominance of the malignant cells results in the expression of predominantly Th2 cytokines, progressive immune dysregulation in patients, and further tumor cell growth. This review summarizes recent insights into the pathogenesis and immunobiology of MF/SS and how these have shaped current therapeutic approaches, in particular the growing emphasis on enhancement of host antitumor immune responses as the key to successful therapy.","author":[{"dropping-particle":"","family":"Kim","given":"Ellen J.","non-dropping-particle":"","parse-names":false,"suffix":""},{"dropping-particle":"","family":"Hess","given":"Stephen","non-dropping-particle":"","parse-names":false,"suffix":""},{"dropping-particle":"","family":"Richardson","given":"Stephen K.","non-dropping-particle":"","parse-names":false,"suffix":""},{"dropping-particle":"","family":"Newton","given":"Sara","non-dropping-particle":"","parse-names":false,"suffix":""},{"dropping-particle":"","family":"Showe","given":"Louise C.","non-dropping-particle":"","parse-names":false,"suffix":""},{"dropping-particle":"","family":"Benoit","given":"Bernice M.","non-dropping-particle":"","parse-names":false,"suffix":""},{"dropping-particle":"","family":"Ubriani","given":"Ravi","non-dropping-particle":"","parse-names":false,"suffix":""},{"dropping-particle":"","family":"Vittorio","given":"Carmela C.","non-dropping-particle":"","parse-names":false,"suffix":""},{"dropping-particle":"","family":"Junkins-Hopkins","given":"Jacqueline M.","non-dropping-particle":"","parse-names":false,"suffix":""},{"dropping-particle":"","family":"Wysocka","given":"Maria","non-dropping-particle":"","parse-names":false,"suffix":""},{"dropping-particle":"","family":"Rook","given":"Alain H.","non-dropping-particle":"","parse-names":false,"suffix":""}],"container-title":"Journal of Clinical Investigation","id":"ITEM-2","issue":"4","issued":{"date-parts":[["2005","4","1"]]},"page":"798-812","publisher":"American Society for Clinical Investigation","title":"Immunopathogenesis and therapy of cutaneous T cell lymphoma","type":"article-journal","volume":"115"},"uris":["http://www.mendeley.com/documents/?uuid=4a1b7566-baa1-31e9-9f2a-00fdd7f7459c"]},{"id":"ITEM-3","itemData":{"DOI":"10.1111/j.1396-0296.2003.01639.x","ISSN":"13960296","PMID":"14686970","abstract":"Experience at the University of California, San Francisco (UCSF), in the management of patch-stage mycosis fungoides (MF) with topical, predominantly high-potency, corticosteroids is reviewed. The technique of applications is discussed in detail. Approximately 200 patients have been treated. The results are very favorable. The response rate is over 90%. Side-effects are minor. Topical clobetasol is the first-line treatment for early stage MF at UCSF.","author":[{"dropping-particle":"","family":"Zackheim","given":"Herschel S.","non-dropping-particle":"","parse-names":false,"suffix":""}],"container-title":"Dermatologic Therapy","id":"ITEM-3","issue":"4","issued":{"date-parts":[["2003"]]},"page":"283-287","publisher":"Dermatol Ther","title":"Treatment of patch-stage mycosis fungoides with topical corticosteroids","type":"article","volume":"16"},"uris":["http://www.mendeley.com/documents/?uuid=2dc9d81a-051a-31ad-9267-3e1c4ad65570"]}],"mendeley":{"formattedCitation":"[7,38,39]","plainTextFormattedCitation":"[7,38,39]","previouslyFormattedCitation":"[7,38,39]"},"properties":{"noteIndex":0},"schema":"https://github.com/citation-style-language/schema/raw/master/csl-citation.json"}</w:instrText>
      </w:r>
      <w:r w:rsidR="00062499" w:rsidRPr="001B7F70">
        <w:rPr>
          <w:rFonts w:eastAsia="Times New Roman"/>
        </w:rPr>
        <w:fldChar w:fldCharType="separate"/>
      </w:r>
      <w:r w:rsidR="001B7F70" w:rsidRPr="001B7F70">
        <w:rPr>
          <w:rFonts w:eastAsia="Times New Roman"/>
          <w:noProof/>
        </w:rPr>
        <w:t>[7,38,39]</w:t>
      </w:r>
      <w:r w:rsidR="00062499" w:rsidRPr="001B7F70">
        <w:rPr>
          <w:rFonts w:eastAsia="Times New Roman"/>
        </w:rPr>
        <w:fldChar w:fldCharType="end"/>
      </w:r>
      <w:r w:rsidR="001B7F70" w:rsidRPr="001B7F70">
        <w:rPr>
          <w:rFonts w:eastAsia="Times New Roman"/>
        </w:rPr>
        <w:t>:</w:t>
      </w:r>
    </w:p>
    <w:p w:rsidR="00F724A7" w:rsidRPr="0073723C" w:rsidRDefault="001B7F70" w:rsidP="00F724A7">
      <w:pPr>
        <w:pStyle w:val="afb"/>
        <w:tabs>
          <w:tab w:val="num" w:pos="1134"/>
          <w:tab w:val="left" w:pos="1276"/>
          <w:tab w:val="left" w:pos="1418"/>
        </w:tabs>
        <w:spacing w:beforeAutospacing="0" w:afterAutospacing="0" w:line="360" w:lineRule="auto"/>
        <w:ind w:left="709" w:firstLine="0"/>
        <w:divId w:val="1767193717"/>
        <w:rPr>
          <w:rFonts w:eastAsiaTheme="minorEastAsia"/>
        </w:rPr>
      </w:pPr>
      <w:r w:rsidRPr="001B7F70">
        <w:t>#бетаметазон</w:t>
      </w:r>
      <w:r w:rsidR="00CE089D" w:rsidRPr="0073723C">
        <w:t>**, крем, мазь 2 раза в сутки наносить на очаги поражения до полного разрешения высыпаний</w:t>
      </w:r>
      <w:r w:rsidR="00737BFE" w:rsidRPr="0073723C">
        <w:t xml:space="preserve"> </w:t>
      </w:r>
      <w:r w:rsidR="00062499" w:rsidRPr="0073723C">
        <w:fldChar w:fldCharType="begin" w:fldLock="1"/>
      </w:r>
      <w:r w:rsidRPr="001B7F70">
        <w:instrText>ADDIN CSL_CITATION {"citationItems":[{"id":"ITEM-1","itemData":{"DOI":"10.6004/jnccn.2008.0033","ISSN":"15401413","PMID":"18433609","abstract":"The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Network","id":"ITEM-1","issue":"4","issued":{"date-parts":[["2008"]]},"page":"436-442","publisher":"Jones and Bartlett Publishers","title":"Review of the treatment of mycosis fungoides and Sézary syndrome: A stage-based approach","type":"article","volume":"6"},"uris":["http://www.mendeley.com/documents/?uuid=8c24f6d3-1d66-3630-96e4-a59fd5e84bd6"]},{"id":"ITEM-2","itemData":{"DOI":"10.1172/jci24826","ISSN":"0021-9738","abstract":"Cutaneous T cell lymphomas (CTCLs) are a heterogenous group of lymphoproliferative disorders caused by clonally derived, skin-invasive T cells. Mycosis fungoides (MF) and Sezary syndrome (SS) are the most common types of CTCLs and are characterized by malignant CD4(+)/CLA(+)/CCR4(+) T cells that also lack the usual T cell surface markers CD7 and/or CD26. As MF/SS advances, the clonal dominance of the malignant cells results in the expression of predominantly Th2 cytokines, progressive immune dysregulation in patients, and further tumor cell growth. This review summarizes recent insights into the pathogenesis and immunobiology of MF/SS and how these have shaped current therapeutic approaches, in particular the growing emphasis on enhancement of host antitumor immune responses as the key to successful therapy.","author":[{"dropping-particle":"","family":"Kim","given":"Ellen J.","non-dropping-particle":"","parse-names":false,"suffix":""},{"dropping-particle":"","family":"Hess","given":"Stephen","non-dropping-particle":"","parse-names":false,"suffix":""},{"dropping-particle":"","family":"Richardson","given":"Stephen K.","non-dropping-particle":"","parse-names":false,"suffix":""},{"dropping-particle":"","family":"Newton","given":"Sara","non-dropping-particle":"","parse-names":false,"suffix":""},{"dropping-particle":"","family":"Showe","given":"Louise C.","non-dropping-particle":"","parse-names":false,"suffix":""},{"dropping-particle":"","family":"Benoit","given":"Bernice M.","non-dropping-particle":"","parse-names":false,"suffix":""},{"dropping-particle":"","family":"Ubriani","given":"Ravi","non-dropping-particle":"","parse-names":false,"suffix":""},{"dropping-particle":"","family":"Vittorio","given":"Carmela C.","non-dropping-particle":"","parse-names":false,"suffix":""},{"dropping-particle":"","family":"Junkins-Hopkins","given":"Jacqueline M.","non-dropping-particle":"","parse-names":false,"suffix":""},{"dropping-particle":"","family":"Wysocka","given":"Maria","non-dropping-particle":"","parse-names":false,"suffix":""},{"dropping-particle":"","family":"Rook","given":"Alain H.","non-dropping-particle":"","parse-names":false,"suffix":""}],"container-title":"Journal of Clinical Investigation","id":"ITEM-2","issue":"4","issued":{"date-parts":[["2005","4","1"]]},"page":"798-812","publisher":"American Society for Clinical Investigation","title":"Immunopathogenesis and therapy of cutaneous T cell lymphoma","type":"article-journal","volume":"115"},"uris":["http://www.mendeley.com/documents/?uuid=4a1b7566-baa1-31e9-9f2a-00fdd7f7459c"]},{"id":"ITEM-3","itemData":{"DOI":"10.1111/j.1396-0296.2003.01639.x","ISSN":"13960296","PMID":"14686970","abstract":"Experience at the University of California, San Francisco (UCSF), in the management of patch-stage mycosis fungoides (MF) with topical, predominantly high-potency, corticosteroids is reviewed. The technique of applications is discussed in detail. Approximately 200 patients have been treated. The results are very favorable. The response rate is over 90%. Side-effects are minor. Topical clobetasol is the first-line treatment for early stage MF at UCSF.","author":[{"dropping-particle":"","family":"Zackheim","given":"Herschel S.","non-dropping-particle":"","parse-names":false,"suffix":""}],"container-title":"Dermatologic Therapy","id":"ITEM-3","issue":"4","issued":{"date-parts":[["2003"]]},"page":"283-287","publisher":"Dermatol Ther","title":"Treatment of patch-stage mycosis fungoides with topical corticosteroids","type":"article","volume":"16"},"uris":["http://www.mendeley.com/documents/?uuid=2dc9d81a-051a-31ad-9267-3e1c4ad65570"]}],"mendeley":{"formattedCitation":"[7,38,39]","plainTextFormattedCitation":"[7,38,39]","previouslyFormattedCitation":"[7,38,39]"},"properties":{"noteIndex":0},"schema":"https://github.com/citation-style-language/schema/raw/master/csl-citation.json"}</w:instrText>
      </w:r>
      <w:r w:rsidR="00062499" w:rsidRPr="0073723C">
        <w:fldChar w:fldCharType="separate"/>
      </w:r>
      <w:r w:rsidR="00E52805" w:rsidRPr="0073723C">
        <w:rPr>
          <w:noProof/>
        </w:rPr>
        <w:t>[7,38,39</w:t>
      </w:r>
      <w:r w:rsidR="00F60910" w:rsidRPr="0073723C">
        <w:rPr>
          <w:noProof/>
        </w:rPr>
        <w:t xml:space="preserve">, </w:t>
      </w:r>
      <w:r w:rsidR="00347EAE" w:rsidRPr="0073723C">
        <w:rPr>
          <w:noProof/>
        </w:rPr>
        <w:t>67, 68</w:t>
      </w:r>
      <w:r w:rsidR="00E52805" w:rsidRPr="0073723C">
        <w:rPr>
          <w:noProof/>
        </w:rPr>
        <w:t>]</w:t>
      </w:r>
      <w:r w:rsidR="00062499" w:rsidRPr="0073723C">
        <w:fldChar w:fldCharType="end"/>
      </w:r>
      <w:r w:rsidR="00CE089D" w:rsidRPr="0073723C">
        <w:t>.</w:t>
      </w:r>
    </w:p>
    <w:p w:rsidR="00B63E4F" w:rsidRDefault="00B63E4F" w:rsidP="00C32828">
      <w:pPr>
        <w:pStyle w:val="afb"/>
        <w:tabs>
          <w:tab w:val="num" w:pos="1134"/>
          <w:tab w:val="left" w:pos="1276"/>
          <w:tab w:val="left" w:pos="1418"/>
        </w:tabs>
        <w:spacing w:beforeAutospacing="0" w:afterAutospacing="0" w:line="360" w:lineRule="auto"/>
        <w:ind w:left="709" w:firstLine="0"/>
        <w:divId w:val="1767193717"/>
        <w:rPr>
          <w:rStyle w:val="affa"/>
        </w:rPr>
      </w:pPr>
      <w:r>
        <w:rPr>
          <w:rStyle w:val="affa"/>
        </w:rPr>
        <w:t xml:space="preserve">Для взрослых: </w:t>
      </w:r>
      <w:r w:rsidRPr="00B63E4F">
        <w:rPr>
          <w:rStyle w:val="affa"/>
        </w:rPr>
        <w:t xml:space="preserve">Уровень убедительности рекомендаций С (уровень достоверности доказательств – </w:t>
      </w:r>
      <w:r>
        <w:rPr>
          <w:rStyle w:val="affa"/>
        </w:rPr>
        <w:t>2</w:t>
      </w:r>
      <w:r w:rsidRPr="00B63E4F">
        <w:rPr>
          <w:rStyle w:val="affa"/>
        </w:rPr>
        <w:t>)</w:t>
      </w:r>
    </w:p>
    <w:p w:rsidR="00C32828" w:rsidRPr="0073723C" w:rsidRDefault="00B63E4F" w:rsidP="00C32828">
      <w:pPr>
        <w:pStyle w:val="afb"/>
        <w:tabs>
          <w:tab w:val="num" w:pos="1134"/>
          <w:tab w:val="left" w:pos="1276"/>
          <w:tab w:val="left" w:pos="1418"/>
        </w:tabs>
        <w:spacing w:beforeAutospacing="0" w:afterAutospacing="0" w:line="360" w:lineRule="auto"/>
        <w:ind w:left="709" w:firstLine="0"/>
        <w:divId w:val="1767193717"/>
      </w:pPr>
      <w:r>
        <w:rPr>
          <w:rStyle w:val="affa"/>
        </w:rPr>
        <w:t xml:space="preserve">Для детей: </w:t>
      </w:r>
      <w:r w:rsidR="00CE089D" w:rsidRPr="0073723C">
        <w:rPr>
          <w:rStyle w:val="affa"/>
        </w:rPr>
        <w:t>Уровень убедительности рекомендаций С</w:t>
      </w:r>
      <w:r w:rsidR="00737BFE" w:rsidRPr="0073723C">
        <w:rPr>
          <w:rStyle w:val="affa"/>
        </w:rPr>
        <w:t xml:space="preserve"> </w:t>
      </w:r>
      <w:r w:rsidR="00CE089D" w:rsidRPr="0073723C">
        <w:rPr>
          <w:b/>
        </w:rPr>
        <w:t xml:space="preserve">(уровень достоверности доказательств – </w:t>
      </w:r>
      <w:r w:rsidR="000C307B" w:rsidRPr="000C307B">
        <w:rPr>
          <w:b/>
        </w:rPr>
        <w:t>4</w:t>
      </w:r>
      <w:r w:rsidR="001B7F70" w:rsidRPr="001B7F70">
        <w:rPr>
          <w:b/>
        </w:rPr>
        <w:t>)</w:t>
      </w:r>
    </w:p>
    <w:p w:rsidR="00F724A7" w:rsidRPr="0073723C" w:rsidRDefault="001B7F70" w:rsidP="00F724A7">
      <w:pPr>
        <w:pStyle w:val="afb"/>
        <w:tabs>
          <w:tab w:val="num" w:pos="1134"/>
          <w:tab w:val="left" w:pos="1276"/>
          <w:tab w:val="left" w:pos="1418"/>
        </w:tabs>
        <w:spacing w:beforeAutospacing="0" w:afterAutospacing="0" w:line="360" w:lineRule="auto"/>
        <w:ind w:left="709" w:firstLine="0"/>
        <w:divId w:val="1767193717"/>
      </w:pPr>
      <w:r w:rsidRPr="001B7F70">
        <w:t>или</w:t>
      </w:r>
    </w:p>
    <w:p w:rsidR="00F724A7" w:rsidRPr="0073723C" w:rsidRDefault="001B7F70" w:rsidP="00F724A7">
      <w:pPr>
        <w:pStyle w:val="afb"/>
        <w:tabs>
          <w:tab w:val="num" w:pos="1134"/>
          <w:tab w:val="left" w:pos="1276"/>
          <w:tab w:val="left" w:pos="1418"/>
        </w:tabs>
        <w:spacing w:beforeAutospacing="0" w:afterAutospacing="0" w:line="360" w:lineRule="auto"/>
        <w:ind w:left="709" w:firstLine="0"/>
        <w:divId w:val="1767193717"/>
      </w:pPr>
      <w:r w:rsidRPr="001B7F70">
        <w:t>#мометазон</w:t>
      </w:r>
      <w:r w:rsidR="00CE089D" w:rsidRPr="0073723C">
        <w:t>** крем, мазь 2 раза в сутки наносить на очаги поражения до полного разрешения высыпаний</w:t>
      </w:r>
      <w:r w:rsidR="00737BFE" w:rsidRPr="0073723C">
        <w:t xml:space="preserve"> </w:t>
      </w:r>
      <w:r w:rsidR="00062499" w:rsidRPr="0073723C">
        <w:fldChar w:fldCharType="begin" w:fldLock="1"/>
      </w:r>
      <w:r w:rsidRPr="001B7F70">
        <w:instrText>ADDIN CSL_CITATION {"citationItems":[{"id":"ITEM-1","itemData":{"DOI":"10.6004/jnccn.2008.0033","ISSN":"15401413","PMID":"18433609","abstract":"The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Network","id":"ITEM-1","issue":"4","issued":{"date-parts":[["2008"]]},"page":"436-442","publisher":"Jones and Bartlett Publishers","title":"Review of the treatment of mycosis fungoides and Sézary syndrome: A stage-based approach","type":"article","volume":"6"},"uris":["http://www.mendeley.com/documents/?uuid=8c24f6d3-1d66-3630-96e4-a59fd5e84bd6"]},{"id":"ITEM-2","itemData":{"DOI":"10.1172/jci24826","ISSN":"0021-9738","abstract":"Cutaneous T cell lymphomas (CTCLs) are a heterogenous group of lymphoproliferative disorders caused by clonally derived, skin-invasive T cells. Mycosis fungoides (MF) and Sezary syndrome (SS) are the most common types of CTCLs and are characterized by malignant CD4(+)/CLA(+)/CCR4(+) T cells that also lack the usual T cell surface markers CD7 and/or CD26. As MF/SS advances, the clonal dominance of the malignant cells results in the expression of predominantly Th2 cytokines, progressive immune dysregulation in patients, and further tumor cell growth. This review summarizes recent insights into the pathogenesis and immunobiology of MF/SS and how these have shaped current therapeutic approaches, in particular the growing emphasis on enhancement of host antitumor immune responses as the key to successful therapy.","author":[{"dropping-particle":"","family":"Kim","given":"Ellen J.","non-dropping-particle":"","parse-names":false,"suffix":""},{"dropping-particle":"","family":"Hess","given":"Stephen","non-dropping-particle":"","parse-names":false,"suffix":""},{"dropping-particle":"","family":"Richardson","given":"Stephen K.","non-dropping-particle":"","parse-names":false,"suffix":""},{"dropping-particle":"","family":"Newton","given":"Sara","non-dropping-particle":"","parse-names":false,"suffix":""},{"dropping-particle":"","family":"Showe","given":"Louise C.","non-dropping-particle":"","parse-names":false,"suffix":""},{"dropping-particle":"","family":"Benoit","given":"Bernice M.","non-dropping-particle":"","parse-names":false,"suffix":""},{"dropping-particle":"","family":"Ubriani","given":"Ravi","non-dropping-particle":"","parse-names":false,"suffix":""},{"dropping-particle":"","family":"Vittorio","given":"Carmela C.","non-dropping-particle":"","parse-names":false,"suffix":""},{"dropping-particle":"","family":"Junkins-Hopkins","given":"Jacqueline M.","non-dropping-particle":"","parse-names":false,"suffix":""},{"dropping-particle":"","family":"Wysocka","given":"Maria","non-dropping-particle":"","parse-names":false,"suffix":""},{"dropping-particle":"","family":"Rook","given":"Alain H.","non-dropping-particle":"","parse-names":false,"suffix":""}],"container-title":"Journal of Clinical Investigation","id":"ITEM-2","issue":"4","issued":{"date-parts":[["2005","4","1"]]},"page":"798-812","publisher":"American Society for Clinical Investigation","title":"Immunopathogenesis and therapy of cutaneous T cell lymphoma","type":"article-journal","volume":"115"},"uris":["http://www.mendeley.com/documents/?uuid=4a1b7566-baa1-31e9-9f2a-00fdd7f7459c"]},{"id":"ITEM-3","itemData":{"DOI":"10.1111/j.1396-0296.2003.01639.x","ISSN":"13960296","PMID":"14686970","abstract":"Experience at the University of California, San Francisco (UCSF), in the management of patch-stage mycosis fungoides (MF) with topical, predominantly high-potency, corticosteroids is reviewed. The technique of applications is discussed in detail. Approximately 200 patients have been treated. The results are very favorable. The response rate is over 90%. Side-effects are minor. Topical clobetasol is the first-line treatment for early stage MF at UCSF.","author":[{"dropping-particle":"","family":"Zackheim","given":"Herschel S.","non-dropping-particle":"","parse-names":false,"suffix":""}],"container-title":"Dermatologic Therapy","id":"ITEM-3","issue":"4","issued":{"date-parts":[["2003"]]},"page":"283-287","publisher":"Dermatol Ther","title":"Treatment of patch-stage mycosis fungoides with topical corticosteroids","type":"article","volume":"16"},"uris":["http://www.mendeley.com/documents/?uuid=2dc9d81a-051a-31ad-9267-3e1c4ad65570"]}],"mendeley":{"formattedCitation":"[7,38,39]","plainTextFormattedCitation":"[7,38,39]","previouslyFormattedCitation":"[7,38,39]"},"properties":{"noteIndex":0},"schema":"https://github.com/citation-style-language/schema/raw/master/csl-citation.json"}</w:instrText>
      </w:r>
      <w:r w:rsidR="00062499" w:rsidRPr="0073723C">
        <w:fldChar w:fldCharType="separate"/>
      </w:r>
      <w:r w:rsidR="00E52805" w:rsidRPr="0073723C">
        <w:rPr>
          <w:noProof/>
        </w:rPr>
        <w:t>[7,38,39</w:t>
      </w:r>
      <w:r w:rsidR="00347EAE" w:rsidRPr="0073723C">
        <w:rPr>
          <w:noProof/>
        </w:rPr>
        <w:t>, 69, 70</w:t>
      </w:r>
      <w:r w:rsidR="00E52805" w:rsidRPr="0073723C">
        <w:rPr>
          <w:noProof/>
        </w:rPr>
        <w:t>]</w:t>
      </w:r>
      <w:r w:rsidR="00062499" w:rsidRPr="0073723C">
        <w:fldChar w:fldCharType="end"/>
      </w:r>
      <w:r w:rsidR="00CE089D" w:rsidRPr="0073723C">
        <w:t>.</w:t>
      </w:r>
    </w:p>
    <w:p w:rsidR="00F724A7" w:rsidRPr="0073723C" w:rsidRDefault="00CE089D" w:rsidP="00F724A7">
      <w:pPr>
        <w:pStyle w:val="afb"/>
        <w:tabs>
          <w:tab w:val="num" w:pos="1134"/>
          <w:tab w:val="left" w:pos="1276"/>
          <w:tab w:val="left" w:pos="1418"/>
        </w:tabs>
        <w:spacing w:beforeAutospacing="0" w:afterAutospacing="0" w:line="360" w:lineRule="auto"/>
        <w:ind w:left="709" w:firstLine="0"/>
        <w:divId w:val="1767193717"/>
        <w:rPr>
          <w:b/>
        </w:rPr>
      </w:pPr>
      <w:r w:rsidRPr="0073723C">
        <w:rPr>
          <w:rStyle w:val="affa"/>
        </w:rPr>
        <w:t xml:space="preserve">Уровень убедительности рекомендаций С </w:t>
      </w:r>
      <w:r w:rsidRPr="0073723C">
        <w:rPr>
          <w:b/>
        </w:rPr>
        <w:t xml:space="preserve">(уровень достоверности доказательств – </w:t>
      </w:r>
      <w:r w:rsidR="00347EAE" w:rsidRPr="0073723C">
        <w:rPr>
          <w:b/>
        </w:rPr>
        <w:t>4</w:t>
      </w:r>
      <w:r w:rsidRPr="0073723C">
        <w:rPr>
          <w:b/>
        </w:rPr>
        <w:t>)</w:t>
      </w:r>
    </w:p>
    <w:p w:rsidR="00F724A7" w:rsidRPr="0073723C" w:rsidRDefault="000C307B" w:rsidP="00F724A7">
      <w:pPr>
        <w:pStyle w:val="afb"/>
        <w:tabs>
          <w:tab w:val="num" w:pos="1134"/>
          <w:tab w:val="left" w:pos="1276"/>
          <w:tab w:val="left" w:pos="1418"/>
        </w:tabs>
        <w:spacing w:beforeAutospacing="0" w:afterAutospacing="0" w:line="360" w:lineRule="auto"/>
        <w:ind w:left="709" w:firstLine="0"/>
        <w:divId w:val="1767193717"/>
      </w:pPr>
      <w:r>
        <w:rPr>
          <w:rStyle w:val="affa"/>
        </w:rPr>
        <w:t xml:space="preserve">Комментарии: </w:t>
      </w:r>
      <w:r>
        <w:rPr>
          <w:rStyle w:val="affb"/>
        </w:rPr>
        <w:t>для ранних стадий грибовидного микоза консервативный подход с применением наружной терапии является предпочитаемым лечением первой линии. Для пациентов в IA стадии с небольшими очагами поражения кожи допускается тактика «наблюдай и жди» под строгим наблюдением врача. </w:t>
      </w:r>
    </w:p>
    <w:p w:rsidR="00F01ADE" w:rsidRPr="0073723C" w:rsidRDefault="000C307B" w:rsidP="00F01ADE">
      <w:pPr>
        <w:numPr>
          <w:ilvl w:val="0"/>
          <w:numId w:val="22"/>
        </w:numPr>
        <w:tabs>
          <w:tab w:val="clear" w:pos="720"/>
          <w:tab w:val="num" w:pos="1134"/>
          <w:tab w:val="left" w:pos="1276"/>
          <w:tab w:val="left" w:pos="1560"/>
        </w:tabs>
        <w:ind w:left="709" w:hanging="709"/>
        <w:divId w:val="1767193717"/>
        <w:rPr>
          <w:rFonts w:eastAsia="Times New Roman"/>
        </w:rPr>
      </w:pPr>
      <w:r>
        <w:rPr>
          <w:rStyle w:val="affa"/>
          <w:rFonts w:eastAsia="Times New Roman"/>
        </w:rPr>
        <w:t xml:space="preserve">Рекомендуется </w:t>
      </w:r>
      <w:r w:rsidR="001B7F70" w:rsidRPr="001B7F70">
        <w:rPr>
          <w:rFonts w:eastAsia="Times New Roman"/>
        </w:rPr>
        <w:t xml:space="preserve">ультрафиолетовое облучение кожи пациентам с грибовидным микозом на стадиях </w:t>
      </w:r>
      <w:r w:rsidR="001B7F70" w:rsidRPr="001B7F70">
        <w:rPr>
          <w:rFonts w:eastAsia="Times New Roman"/>
          <w:lang w:val="en-US"/>
        </w:rPr>
        <w:t>IA</w:t>
      </w:r>
      <w:r w:rsidR="001B7F70" w:rsidRPr="001B7F70">
        <w:rPr>
          <w:rFonts w:eastAsia="Times New Roman"/>
        </w:rPr>
        <w:t>-</w:t>
      </w:r>
      <w:r w:rsidR="001B7F70" w:rsidRPr="001B7F70">
        <w:rPr>
          <w:rFonts w:eastAsia="Times New Roman"/>
          <w:lang w:val="en-US"/>
        </w:rPr>
        <w:t>IIB</w:t>
      </w:r>
      <w:r w:rsidR="001B7F70" w:rsidRPr="001B7F70">
        <w:rPr>
          <w:rFonts w:eastAsia="Times New Roman"/>
        </w:rPr>
        <w:t xml:space="preserve"> </w:t>
      </w:r>
      <w:r w:rsidR="00062499" w:rsidRPr="001B7F70">
        <w:rPr>
          <w:rFonts w:eastAsia="Times New Roman"/>
        </w:rPr>
        <w:fldChar w:fldCharType="begin" w:fldLock="1"/>
      </w:r>
      <w:r w:rsidR="001B7F70" w:rsidRPr="001B7F70">
        <w:rPr>
          <w:rFonts w:eastAsia="Times New Roman"/>
        </w:rPr>
        <w:instrText>ADDIN CSL_CITATION {"citationItems":[{"id":"ITEM-1","itemData":{"DOI":"10.1067/mjd.2003.80","ISSN":"01909622","PMID":"12582391","abstract":"Background: Treatment of early-stage mycosis fungoides (MF) consists of topical steroids, phototherapy (UVB), photochemotherapy (psoralen plus UVA [PUVA]), topical nitrogen mustard, or total skin electronbeam irradiation. It has been reported that the same effective UVB dose is safer than PUVA regarding carcinogenicity and produces fewer side effects. Narrowband UVB (311 nm) results in less irritation and erythema and is more effective compared with broadband UVB. Objective: Our purpose in this retrospective study was to analyze the response to treatment, relapse-free interval, and irradiation dose in 56 patients with early-stage MF (stage Ia and Ib). A total of 21 patients were treated with narrowband UVB (311 nm); 35 patients were treated with PUVA. Results: Narrowband UVB treatment led to complete remission in 17 of 21 patients (81%), partial remission in 4 of 21 (19%), and none showed progressive disease. PUVA treatment led to complete remission in 25 of 35 patients (71%), partial remission in 10 of 35 (290%), and none showed progressive disease. The mean relapse-free interval for patients treated with UVB was 24.5 months (range, 2-66 months) and for patients treated with PUVA, 22.8 months (range, 1-43 months). Conclusion: Narrowband UVB therapy for patients with early-stage MF is an effective treatment modality. It has several advantages over treatment with broadband UVB and PUVA. When treating patients with early-stage MF it may be beneficial to start with narrowband UVB therapy and, if there is progression or no response, switch to PUVA therapy.","author":[{"dropping-particle":"","family":"Diederen","given":"Pascale V.M.M.","non-dropping-particle":"","parse-names":false,"suffix":""},{"dropping-particle":"","family":"Weelden","given":"Huib","non-dropping-particle":"Van","parse-names":false,"suffix":""},{"dropping-particle":"","family":"Sanders","given":"Cornelus J.G.","non-dropping-particle":"","parse-names":false,"suffix":""},{"dropping-particle":"","family":"Toonstra","given":"Johan","non-dropping-particle":"","parse-names":false,"suffix":""},{"dropping-particle":"","family":"Vloten","given":"Willem A.","non-dropping-particle":"Van","parse-names":false,"suffix":""}],"container-title":"Journal of the American Academy of Dermatology","id":"ITEM-1","issue":"2 SUPPL.","issued":{"date-parts":[["2003","2","1"]]},"page":"215-219","publisher":"Mosby Inc.","title":"Narrowband UVB and psoralen-UVA in the treatment of early-stage mycosis fungoides: A retrospective study","type":"article-journal","volume":"48"},"uris":["http://www.mendeley.com/documents/?uuid=90ab28f5-f097-3321-ace5-f9601cee6ff3"]},{"id":"ITEM-2","itemData":{"DOI":"10.1067/mjd.2002.120911","ISSN":"01909622","abstract":"Background: Narrowband UVB (NB-UVB) phototherapy has been shown to be effective for the treatment of various dermatoses. Objective: We evaluated the effect of NB-UVB in the treatment of early stage mycosis fungoides (MF). Methods: The response of 24 patients (12 stage IA, 12 stage IB) with patch stage MF to thrice weekly NB-UVB was assessed. Twelve patients had skin phototypes I-III, and 12 had types IV-VI. Seven patients had hypopigmented MF. Mean follow-up period was 29.0 weeks. Results: Thirteen patients (54.2%) had a complete response (CR), 7 (29.2%) had partial response (PR), and 4 (16.7%) had no response. Specimens from a repeat biopsy in 10 patients with CR showed histologic clearing in 9 of them. Upon discontinuation of treatment, 4 patients with CR relapsed, with a mean time to relapse of 12.5 weeks. Conclusion: NB-UVB is a viable, comparably safe, and easily administered alternative in the management of early stage MF.","author":[{"dropping-particle":"","family":"Gathers","given":"Raechele Cochran","non-dropping-particle":"","parse-names":false,"suffix":""},{"dropping-particle":"","family":"Scherschun","given":"Lubomira","non-dropping-particle":"","parse-names":false,"suffix":""},{"dropping-particle":"","family":"Malick","given":"Farah","non-dropping-particle":"","parse-names":false,"suffix":""},{"dropping-particle":"","family":"Fivenson","given":"David P.","non-dropping-particle":"","parse-names":false,"suffix":""},{"dropping-particle":"","family":"Lim","given":"Henry W.","non-dropping-particle":"","parse-names":false,"suffix":""}],"container-title":"Journal of the American Academy of Dermatology","id":"ITEM-2","issue":"2","issued":{"date-parts":[["2002","8","1"]]},"page":"191-197","publisher":"Mosby Inc.","title":"Narrowband UVB phototherapy for early-stage mycosis fungoides","type":"article-journal","volume":"47"},"uris":["http://www.mendeley.com/documents/?uuid=e32488ca-43bf-3681-9911-7b91d3312723"]},{"id":"ITEM-3","itemData":{"DOI":"10.1111/j.1468-3083.2009.03500.x","ISSN":"14683083","PMID":"19929938","abstract":"Introduction Mycosis fungoides (MF) is a non-Hodgkin's T-cell lymphoma of the skin that often begins as limited patches and plaques with slow progression to systemic involvement. Narrowband ultraviolet (UV) B therapy has been proven to be an effective short-term treatment modality for clearing patch-stage MF. The effect of psoralen plus long-wave ultraviolet A (PUVA) in the treatment of patch- and plaque-type MF has also been thoroughly documented. Objectives The purpose of this study was to compare the efficacy and safety of narrowband UVB and PUVA in patients with early-stage MF. Methods We analysed the response to treatment, relapse-free survival and irradiation dose in 114 patients with histologically confirmed early-stage MF (stage IA, IB and IIA). Results A total of 95 patients were treated with PUVA (83.3%) and 19 with narrowband UVB (16.7%). With PUVA, 59 patients (62.1%) had a complete response (CR), 24 (25.3%) had a partial response (PR) and 12 (12.6%) had a failed response. Narrowband UVB led to CR in 12 (68.4%) patients, PR in 5 (26.3%) patients and a failed response in 1 (5.3%) patient. There were no differences in terms of time to relapse between patients treated with PUVA and those treated with narrowband UVB (11.5 vs. 14.0 months respectively; P = 0.816). No major adverse reactions were attributed to the treatment. Conclusions Our results confirm that phototherapy is a safe, effective and well-tolerated, first-line therapy in patients with early-stage cutaneous T-cell lymphoma, with prolonged disease-free remissions being achieved. It suggests that narrowband UVB is at least as effective as PUVA for treatment of early-stage MF. © 2009 European Academy of Dermatology and Venereology.","author":[{"dropping-particle":"","family":"Ponte","given":"P.","non-dropping-particle":"","parse-names":false,"suffix":""},{"dropping-particle":"","family":"Serrão","given":"V.","non-dropping-particle":"","parse-names":false,"suffix":""},{"dropping-particle":"","family":"Apetato","given":"M.","non-dropping-particle":"","parse-names":false,"suffix":""}],"container-title":"Journal of the European Academy of Dermatology and Venereology","id":"ITEM-3","issue":"6","issued":{"date-parts":[["2010"]]},"page":"716-721","publisher":"Blackwell Publishing Ltd","title":"Efficacy of narrowband UVB vs. PUVA in patients with early-stage mycosis fungoides","type":"article-journal","volume":"24"},"uris":["http://www.mendeley.com/documents/?uuid=6e6216ce-081a-3898-a98a-b3b08586c9cf"]},{"id":"ITEM-4","itemData":{"author":[{"dropping-particle":"","family":"Кубанов","given":"А.А.","non-dropping-particle":"","parse-names":false,"suffix":""},{"dropping-particle":"","family":"Карамова","given":"А.Э.","non-dropping-particle":"","parse-names":false,"suffix":""},{"dropping-particle":"","family":"Знаменская","given":"Л.Ф.","non-dropping-particle":"","parse-names":false,"suffix":""},{"dropping-particle":"","family":"Воронцова","given":"А.А.","non-dropping-particle":"","parse-names":false,"suffix":""}],"container-title":"Онкогематология","id":"ITEM-4","issue":"4","issued":{"date-parts":[["2019"]]},"page":"39-47","title":"Фототерапия грибовидного микоза","type":"article-journal","volume":"14"},"uris":["http://www.mendeley.com/documents/?uuid=fbdbb015-3430-40e8-ab80-98a8502a366b"]}],"mendeley":{"formattedCitation":"[40–43]","plainTextFormattedCitation":"[40–43]","previouslyFormattedCitation":"[40–43]"},"properties":{"noteIndex":0},"schema":"https://github.com/citation-style-language/schema/raw/master/csl-citation.json"}</w:instrText>
      </w:r>
      <w:r w:rsidR="00062499" w:rsidRPr="001B7F70">
        <w:rPr>
          <w:rFonts w:eastAsia="Times New Roman"/>
        </w:rPr>
        <w:fldChar w:fldCharType="separate"/>
      </w:r>
      <w:r w:rsidR="001B7F70" w:rsidRPr="001B7F70">
        <w:rPr>
          <w:rFonts w:eastAsia="Times New Roman"/>
          <w:noProof/>
        </w:rPr>
        <w:t>[40–43]</w:t>
      </w:r>
      <w:r w:rsidR="00062499" w:rsidRPr="001B7F70">
        <w:rPr>
          <w:rFonts w:eastAsia="Times New Roman"/>
        </w:rPr>
        <w:fldChar w:fldCharType="end"/>
      </w:r>
      <w:r w:rsidR="001B7F70" w:rsidRPr="001B7F70">
        <w:rPr>
          <w:rFonts w:eastAsia="Times New Roman"/>
        </w:rPr>
        <w:t>:</w:t>
      </w:r>
    </w:p>
    <w:p w:rsidR="00F724A7" w:rsidRPr="0073723C" w:rsidRDefault="001B7F70" w:rsidP="00F724A7">
      <w:pPr>
        <w:pStyle w:val="afb"/>
        <w:tabs>
          <w:tab w:val="left" w:pos="993"/>
        </w:tabs>
        <w:spacing w:beforeAutospacing="0" w:afterAutospacing="0" w:line="360" w:lineRule="auto"/>
        <w:ind w:left="709" w:firstLine="0"/>
        <w:divId w:val="1767193717"/>
        <w:rPr>
          <w:rFonts w:eastAsiaTheme="minorEastAsia"/>
        </w:rPr>
      </w:pPr>
      <w:r w:rsidRPr="001B7F70">
        <w:t xml:space="preserve">общая или локальная узкополосная средневолновая ультрафиолетовая терапия </w:t>
      </w:r>
      <w:r w:rsidR="00062499" w:rsidRPr="0073723C">
        <w:fldChar w:fldCharType="begin" w:fldLock="1"/>
      </w:r>
      <w:r w:rsidRPr="001B7F70">
        <w:instrText>ADDIN CSL_CITATION {"citationItems":[{"id":"ITEM-1","itemData":{"DOI":"10.1067/mjd.2003.80","ISSN":"01909622","PMID":"12582391","abstract":"Background: Treatment of early-stage mycosis fungoides (MF) consists of topical steroids, phototherapy (UVB), photochemotherapy (psoralen plus UVA [PUVA]), topical nitrogen mustard, or total skin electronbeam irradiation. It has been reported that the same effective UVB dose is safer than PUVA regarding carcinogenicity and produces fewer side effects. Narrowband UVB (311 nm) results in less irritation and erythema and is more effective compared with broadband UVB. Objective: Our purpose in this retrospective study was to analyze the response to treatment, relapse-free interval, and irradiation dose in 56 patients with early-stage MF (stage Ia and Ib). A total of 21 patients were treated with narrowband UVB (311 nm); 35 patients were treated with PUVA. Results: Narrowband UVB treatment led to complete remission in 17 of 21 patients (81%), partial remission in 4 of 21 (19%), and none showed progressive disease. PUVA treatment led to complete remission in 25 of 35 patients (71%), partial remission in 10 of 35 (290%), and none showed progressive disease. The mean relapse-free interval for patients treated with UVB was 24.5 months (range, 2-66 months) and for patients treated with PUVA, 22.8 months (range, 1-43 months). Conclusion: Narrowband UVB therapy for patients with early-stage MF is an effective treatment modality. It has several advantages over treatment with broadband UVB and PUVA. When treating patients with early-stage MF it may be beneficial to start with narrowband UVB therapy and, if there is progression or no response, switch to PUVA therapy.","author":[{"dropping-particle":"","family":"Diederen","given":"Pascale V.M.M.","non-dropping-particle":"","parse-names":false,"suffix":""},{"dropping-particle":"","family":"Weelden","given":"Huib","non-dropping-particle":"Van","parse-names":false,"suffix":""},{"dropping-particle":"","family":"Sanders","given":"Cornelus J.G.","non-dropping-particle":"","parse-names":false,"suffix":""},{"dropping-particle":"","family":"Toonstra","given":"Johan","non-dropping-particle":"","parse-names":false,"suffix":""},{"dropping-particle":"","family":"Vloten","given":"Willem A.","non-dropping-particle":"Van","parse-names":false,"suffix":""}],"container-title":"Journal of the American Academy of Dermatology","id":"ITEM-1","issue":"2 SUPPL.","issued":{"date-parts":[["2003","2","1"]]},"page":"215-219","publisher":"Mosby Inc.","title":"Narrowband UVB and psoralen-UVA in the treatment of early-stage mycosis fungoides: A retrospective study","type":"article-journal","volume":"48"},"uris":["http://www.mendeley.com/documents/?uuid=90ab28f5-f097-3321-ace5-f9601cee6ff3"]},{"id":"ITEM-2","itemData":{"DOI":"10.1067/mjd.2002.120911","ISSN":"01909622","abstract":"Background: Narrowband UVB (NB-UVB) phototherapy has been shown to be effective for the treatment of various dermatoses. Objective: We evaluated the effect of NB-UVB in the treatment of early stage mycosis fungoides (MF). Methods: The response of 24 patients (12 stage IA, 12 stage IB) with patch stage MF to thrice weekly NB-UVB was assessed. Twelve patients had skin phototypes I-III, and 12 had types IV-VI. Seven patients had hypopigmented MF. Mean follow-up period was 29.0 weeks. Results: Thirteen patients (54.2%) had a complete response (CR), 7 (29.2%) had partial response (PR), and 4 (16.7%) had no response. Specimens from a repeat biopsy in 10 patients with CR showed histologic clearing in 9 of them. Upon discontinuation of treatment, 4 patients with CR relapsed, with a mean time to relapse of 12.5 weeks. Conclusion: NB-UVB is a viable, comparably safe, and easily administered alternative in the management of early stage MF.","author":[{"dropping-particle":"","family":"Gathers","given":"Raechele Cochran","non-dropping-particle":"","parse-names":false,"suffix":""},{"dropping-particle":"","family":"Scherschun","given":"Lubomira","non-dropping-particle":"","parse-names":false,"suffix":""},{"dropping-particle":"","family":"Malick","given":"Farah","non-dropping-particle":"","parse-names":false,"suffix":""},{"dropping-particle":"","family":"Fivenson","given":"David P.","non-dropping-particle":"","parse-names":false,"suffix":""},{"dropping-particle":"","family":"Lim","given":"Henry W.","non-dropping-particle":"","parse-names":false,"suffix":""}],"container-title":"Journal of the American Academy of Dermatology","id":"ITEM-2","issue":"2","issued":{"date-parts":[["2002","8","1"]]},"page":"191-197","publisher":"Mosby Inc.","title":"Narrowband UVB phototherapy for early-stage mycosis fungoides","type":"article-journal","volume":"47"},"uris":["http://www.mendeley.com/documents/?uuid=e32488ca-43bf-3681-9911-7b91d3312723"]},{"id":"ITEM-3","itemData":{"DOI":"10.1111/j.1468-3083.2009.03500.x","ISSN":"14683083","PMID":"19929938","abstract":"Introduction Mycosis fungoides (MF) is a non-Hodgkin's T-cell lymphoma of the skin that often begins as limited patches and plaques with slow progression to systemic involvement. Narrowband ultraviolet (UV) B therapy has been proven to be an effective short-term treatment modality for clearing patch-stage MF. The effect of psoralen plus long-wave ultraviolet A (PUVA) in the treatment of patch- and plaque-type MF has also been thoroughly documented. Objectives The purpose of this study was to compare the efficacy and safety of narrowband UVB and PUVA in patients with early-stage MF. Methods We analysed the response to treatment, relapse-free survival and irradiation dose in 114 patients with histologically confirmed early-stage MF (stage IA, IB and IIA). Results A total of 95 patients were treated with PUVA (83.3%) and 19 with narrowband UVB (16.7%). With PUVA, 59 patients (62.1%) had a complete response (CR), 24 (25.3%) had a partial response (PR) and 12 (12.6%) had a failed response. Narrowband UVB led to CR in 12 (68.4%) patients, PR in 5 (26.3%) patients and a failed response in 1 (5.3%) patient. There were no differences in terms of time to relapse between patients treated with PUVA and those treated with narrowband UVB (11.5 vs. 14.0 months respectively; P = 0.816). No major adverse reactions were attributed to the treatment. Conclusions Our results confirm that phototherapy is a safe, effective and well-tolerated, first-line therapy in patients with early-stage cutaneous T-cell lymphoma, with prolonged disease-free remissions being achieved. It suggests that narrowband UVB is at least as effective as PUVA for treatment of early-stage MF. © 2009 European Academy of Dermatology and Venereology.","author":[{"dropping-particle":"","family":"Ponte","given":"P.","non-dropping-particle":"","parse-names":false,"suffix":""},{"dropping-particle":"","family":"Serrão","given":"V.","non-dropping-particle":"","parse-names":false,"suffix":""},{"dropping-particle":"","family":"Apetato","given":"M.","non-dropping-particle":"","parse-names":false,"suffix":""}],"container-title":"Journal of the European Academy of Dermatology and Venereology","id":"ITEM-3","issue":"6","issued":{"date-parts":[["2010"]]},"page":"716-721","publisher":"Blackwell Publishing Ltd","title":"Efficacy of narrowband UVB vs. PUVA in patients with early-stage mycosis fungoides","type":"article-journal","volume":"24"},"uris":["http://www.mendeley.com/documents/?uuid=6e6216ce-081a-3898-a98a-b3b08586c9cf"]},{"id":"ITEM-4","itemData":{"author":[{"dropping-particle":"","family":"Кубанов","given":"А.А.","non-dropping-particle":"","parse-names":false,"suffix":""},{"dropping-particle":"","family":"Карамова","given":"А.Э.","non-dropping-particle":"","parse-names":false,"suffix":""},{"dropping-particle":"","family":"Знаменская","given":"Л.Ф.","non-dropping-particle":"","parse-names":false,"suffix":""},{"dropping-particle":"","family":"Воронцова","given":"А.А.","non-dropping-particle":"","parse-names":false,"suffix":""}],"container-title":"Онкогематология","id":"ITEM-4","issue":"4","issued":{"date-parts":[["2019"]]},"page":"39-47","title":"Фототерапия грибовидного микоза","type":"article-journal","volume":"14"},"uris":["http://www.mendeley.com/documents/?uuid=fbdbb015-3430-40e8-ab80-98a8502a366b"]},{"id":"ITEM-5","itemData":{"DOI":"10.1001/archderm.141.3.305","ISSN":"0003987X","PMID":"15781671","abstract":"Objectives: To evaluate long-term outcomes, impact of maintenance therapy and potential curability of patients with mycosis fungoides (MF) treated with psoralen plus UV-A (PUVA) monotherapy. Design: Single-center retrospective cohort analysis. Setting: Academic referral center for cutaneous lymphoma. Patients: A total of 66 of 104 patients with clinical stages IA to IIA MF who achieved complete remission (CR) after PUVA monotherapy between 1979 and 1995. Main Outcome Measures: Kaplan-Meier actuarial survival and disease-free survival curves were compared between stage IA and IB/IIA cases. Patients were stratified into relapse and nonrelapse groups based on whether their MF relapsed during study follow-up. Baseline characteristics and treatment were compared between these groups. Results: Median follow-up time was 94 months (range, 5-242 months). Thirty-three patients maintained CR for 84 months (range, 5-238 months), and 33 patients experienced relapse with a median disease-free interval of 39 months (range, 2-127 months). There was no significant difference in baseline characteristics between patients in the nonrelapse and relapse groups. Those in the nonrelapse group received a higher cumulative dosage to CR (P = .03) and required longer treatment periods to achieve CR (P = .03). Disease-free survival rates at 5 and 10 years for all patients with stage IA were 56% and 30%, respectively, and for stage IB/IIA, 74% and 50%. Actuarial survival rates at 5, 10, and 15 years were 94%, 82%, and 82%, respectively, in patients with stage IA, and 80%, 69%, and 58% in patients with stage IB/IIA. The overall survival rate for the nonrelapse and relapse groups did not show any statistical difference. One third of the patients developed signs of chronic photodamage and secondary cutaneous malignancies. Conclusions: Psoralen UV-A is an effective treatment for MF, inducing long-term remissions and perhaps in some cases disease \"cure.\" Thirty percent to 50% of patients remain disease free for 10 years, but late relapses occur. Long-term survival is not affected by relapse status, and the risk of photodamage needs to be measured against the possible benefit of greater disease elimination.","author":[{"dropping-particle":"","family":"Querfeld","given":"Christiane","non-dropping-particle":"","parse-names":false,"suffix":""},{"dropping-particle":"","family":"Rosen","given":"Steven T.","non-dropping-particle":"","parse-names":false,"suffix":""},{"dropping-particle":"","family":"Kuzel","given":"Timothy M.","non-dropping-particle":"","parse-names":false,"suffix":""},{"dropping-particle":"","family":"Kirby","given":"Katharine A.","non-dropping-particle":"","parse-names":false,"suffix":""},{"dropping-particle":"","family":"Roenigk","given":"Henry H.","non-dropping-particle":"","parse-names":false,"suffix":""},{"dropping-particle":"","family":"Prinz","given":"Bettina M.","non-dropping-particle":"","parse-names":false,"suffix":""},{"dropping-particle":"","family":"Guitart","given":"Joan","non-dropping-particle":"","parse-names":false,"suffix":""}],"container-title":"Archives of Dermatology","id":"ITEM-5","issue":"3","issued":{"date-parts":[["2005","3"]]},"page":"305-311","publisher":"Arch Dermatol","title":"Long-term follow-up of patients with early-stage cutaneous T-cell lymphoma who achieved complete remission with psoralen plus UV-A monotherapy","type":"article-journal","volume":"141"},"uris":["http://www.mendeley.com/documents/?uuid=1a6a3d37-14e7-3019-9a9b-df111010b597"]}],"mendeley":{"formattedCitation":"[40–44]","plainTextFormattedCitation":"[40–44]","previouslyFormattedCitation":"[40–44]"},"properties":{"noteIndex":0},"schema":"https://github.com/citation-style-language/schema/raw/master/csl-citation.json"}</w:instrText>
      </w:r>
      <w:r w:rsidR="00062499" w:rsidRPr="0073723C">
        <w:fldChar w:fldCharType="separate"/>
      </w:r>
      <w:r w:rsidR="00E52805" w:rsidRPr="0073723C">
        <w:rPr>
          <w:noProof/>
        </w:rPr>
        <w:t>[40–44]</w:t>
      </w:r>
      <w:r w:rsidR="00062499" w:rsidRPr="0073723C">
        <w:fldChar w:fldCharType="end"/>
      </w:r>
      <w:r w:rsidR="00CE089D" w:rsidRPr="0073723C">
        <w:t>.</w:t>
      </w:r>
    </w:p>
    <w:p w:rsidR="00F724A7" w:rsidRPr="0073723C" w:rsidRDefault="00CE089D" w:rsidP="007B1223">
      <w:pPr>
        <w:pStyle w:val="afb"/>
        <w:spacing w:beforeAutospacing="0" w:afterAutospacing="0" w:line="360" w:lineRule="auto"/>
        <w:ind w:left="709" w:firstLine="0"/>
        <w:divId w:val="1767193717"/>
      </w:pPr>
      <w:r w:rsidRPr="0073723C">
        <w:rPr>
          <w:rStyle w:val="affa"/>
        </w:rPr>
        <w:t xml:space="preserve">Уровень убедительности рекомендаций С </w:t>
      </w:r>
      <w:r w:rsidRPr="0073723C">
        <w:rPr>
          <w:b/>
        </w:rPr>
        <w:t>(уровень достоверности доказательств – 4)</w:t>
      </w:r>
    </w:p>
    <w:p w:rsidR="00F724A7" w:rsidRPr="0073723C" w:rsidRDefault="00F724A7" w:rsidP="00F724A7">
      <w:pPr>
        <w:pStyle w:val="afb"/>
        <w:spacing w:beforeAutospacing="0" w:afterAutospacing="0" w:line="360" w:lineRule="auto"/>
        <w:ind w:left="709" w:firstLine="0"/>
        <w:divId w:val="1767193717"/>
      </w:pPr>
      <w:r w:rsidRPr="0073723C">
        <w:rPr>
          <w:rStyle w:val="affa"/>
        </w:rPr>
        <w:t>Комментарии:</w:t>
      </w:r>
      <w:r w:rsidR="00737BFE" w:rsidRPr="0073723C">
        <w:rPr>
          <w:rStyle w:val="affa"/>
        </w:rPr>
        <w:t xml:space="preserve"> </w:t>
      </w:r>
      <w:r w:rsidR="000C307B">
        <w:rPr>
          <w:rStyle w:val="affb"/>
        </w:rPr>
        <w:t xml:space="preserve">облучение проводится 2–3 раза в неделю, первая экспозиция должна быть не более 70% от ранее определенной минимальной эритемной дозы. Последующие экспозиции проводятся следующим образом: при отсутствии эритемы </w:t>
      </w:r>
      <w:r w:rsidR="000C307B">
        <w:rPr>
          <w:rStyle w:val="affb"/>
        </w:rPr>
        <w:lastRenderedPageBreak/>
        <w:t>– время экспозиции увеличивается на 40%, при слабой эритеме – на 20%, при выраженной эритеме – остается тем же. Рекомендовано для пятен и тонких бляшек, отсутствуют выраженные побочные эффекты</w:t>
      </w:r>
      <w:r w:rsidR="001B7F70" w:rsidRPr="001B7F70">
        <w:t>.</w:t>
      </w:r>
    </w:p>
    <w:p w:rsidR="00F724A7" w:rsidRPr="0073723C" w:rsidRDefault="001B7F70" w:rsidP="00F724A7">
      <w:pPr>
        <w:pStyle w:val="afb"/>
        <w:spacing w:beforeAutospacing="0" w:afterAutospacing="0" w:line="360" w:lineRule="auto"/>
        <w:ind w:left="709" w:firstLine="0"/>
        <w:divId w:val="1767193717"/>
      </w:pPr>
      <w:r w:rsidRPr="001B7F70">
        <w:t>или</w:t>
      </w:r>
    </w:p>
    <w:p w:rsidR="00F724A7" w:rsidRPr="0073723C" w:rsidRDefault="001B7F70" w:rsidP="00F724A7">
      <w:pPr>
        <w:pStyle w:val="afb"/>
        <w:spacing w:beforeAutospacing="0" w:afterAutospacing="0" w:line="360" w:lineRule="auto"/>
        <w:ind w:left="709" w:firstLine="0"/>
        <w:divId w:val="1767193717"/>
      </w:pPr>
      <w:r w:rsidRPr="001B7F70">
        <w:t xml:space="preserve">фотохимиотерапия с внутренним применением псораленов для системного применения (ПУВА) </w:t>
      </w:r>
      <w:r w:rsidR="00062499" w:rsidRPr="0073723C">
        <w:fldChar w:fldCharType="begin" w:fldLock="1"/>
      </w:r>
      <w:r w:rsidRPr="001B7F70">
        <w:instrText>ADDIN CSL_CITATION {"citationItems":[{"id":"ITEM-1","itemData":{"DOI":"10.1067/mjd.2003.80","ISSN":"01909622","PMID":"12582391","abstract":"Background: Treatment of early-stage mycosis fungoides (MF) consists of topical steroids, phototherapy (UVB), photochemotherapy (psoralen plus UVA [PUVA]), topical nitrogen mustard, or total skin electronbeam irradiation. It has been reported that the same effective UVB dose is safer than PUVA regarding carcinogenicity and produces fewer side effects. Narrowband UVB (311 nm) results in less irritation and erythema and is more effective compared with broadband UVB. Objective: Our purpose in this retrospective study was to analyze the response to treatment, relapse-free interval, and irradiation dose in 56 patients with early-stage MF (stage Ia and Ib). A total of 21 patients were treated with narrowband UVB (311 nm); 35 patients were treated with PUVA. Results: Narrowband UVB treatment led to complete remission in 17 of 21 patients (81%), partial remission in 4 of 21 (19%), and none showed progressive disease. PUVA treatment led to complete remission in 25 of 35 patients (71%), partial remission in 10 of 35 (290%), and none showed progressive disease. The mean relapse-free interval for patients treated with UVB was 24.5 months (range, 2-66 months) and for patients treated with PUVA, 22.8 months (range, 1-43 months). Conclusion: Narrowband UVB therapy for patients with early-stage MF is an effective treatment modality. It has several advantages over treatment with broadband UVB and PUVA. When treating patients with early-stage MF it may be beneficial to start with narrowband UVB therapy and, if there is progression or no response, switch to PUVA therapy.","author":[{"dropping-particle":"","family":"Diederen","given":"Pascale V.M.M.","non-dropping-particle":"","parse-names":false,"suffix":""},{"dropping-particle":"","family":"Weelden","given":"Huib","non-dropping-particle":"Van","parse-names":false,"suffix":""},{"dropping-particle":"","family":"Sanders","given":"Cornelus J.G.","non-dropping-particle":"","parse-names":false,"suffix":""},{"dropping-particle":"","family":"Toonstra","given":"Johan","non-dropping-particle":"","parse-names":false,"suffix":""},{"dropping-particle":"","family":"Vloten","given":"Willem A.","non-dropping-particle":"Van","parse-names":false,"suffix":""}],"container-title":"Journal of the American Academy of Dermatology","id":"ITEM-1","issue":"2 SUPPL.","issued":{"date-parts":[["2003","2","1"]]},"page":"215-219","publisher":"Mosby Inc.","title":"Narrowband UVB and psoralen-UVA in the treatment of early-stage mycosis fungoides: A retrospective study","type":"article-journal","volume":"48"},"uris":["http://www.mendeley.com/documents/?uuid=90ab28f5-f097-3321-ace5-f9601cee6ff3"]},{"id":"ITEM-2","itemData":{"DOI":"10.1111/j.1468-3083.2009.03500.x","ISSN":"14683083","PMID":"19929938","abstract":"Introduction Mycosis fungoides (MF) is a non-Hodgkin's T-cell lymphoma of the skin that often begins as limited patches and plaques with slow progression to systemic involvement. Narrowband ultraviolet (UV) B therapy has been proven to be an effective short-term treatment modality for clearing patch-stage MF. The effect of psoralen plus long-wave ultraviolet A (PUVA) in the treatment of patch- and plaque-type MF has also been thoroughly documented. Objectives The purpose of this study was to compare the efficacy and safety of narrowband UVB and PUVA in patients with early-stage MF. Methods We analysed the response to treatment, relapse-free survival and irradiation dose in 114 patients with histologically confirmed early-stage MF (stage IA, IB and IIA). Results A total of 95 patients were treated with PUVA (83.3%) and 19 with narrowband UVB (16.7%). With PUVA, 59 patients (62.1%) had a complete response (CR), 24 (25.3%) had a partial response (PR) and 12 (12.6%) had a failed response. Narrowband UVB led to CR in 12 (68.4%) patients, PR in 5 (26.3%) patients and a failed response in 1 (5.3%) patient. There were no differences in terms of time to relapse between patients treated with PUVA and those treated with narrowband UVB (11.5 vs. 14.0 months respectively; P = 0.816). No major adverse reactions were attributed to the treatment. Conclusions Our results confirm that phototherapy is a safe, effective and well-tolerated, first-line therapy in patients with early-stage cutaneous T-cell lymphoma, with prolonged disease-free remissions being achieved. It suggests that narrowband UVB is at least as effective as PUVA for treatment of early-stage MF. © 2009 European Academy of Dermatology and Venereology.","author":[{"dropping-particle":"","family":"Ponte","given":"P.","non-dropping-particle":"","parse-names":false,"suffix":""},{"dropping-particle":"","family":"Serrão","given":"V.","non-dropping-particle":"","parse-names":false,"suffix":""},{"dropping-particle":"","family":"Apetato","given":"M.","non-dropping-particle":"","parse-names":false,"suffix":""}],"container-title":"Journal of the European Academy of Dermatology and Venereology","id":"ITEM-2","issue":"6","issued":{"date-parts":[["2010"]]},"page":"716-721","publisher":"Blackwell Publishing Ltd","title":"Efficacy of narrowband UVB vs. PUVA in patients with early-stage mycosis fungoides","type":"article-journal","volume":"24"},"uris":["http://www.mendeley.com/documents/?uuid=6e6216ce-081a-3898-a98a-b3b08586c9cf"]},{"id":"ITEM-3","itemData":{"DOI":"10.1001/archderm.141.3.305","ISSN":"0003987X","PMID":"15781671","abstract":"Objectives: To evaluate long-term outcomes, impact of maintenance therapy and potential curability of patients with mycosis fungoides (MF) treated with psoralen plus UV-A (PUVA) monotherapy. Design: Single-center retrospective cohort analysis. Setting: Academic referral center for cutaneous lymphoma. Patients: A total of 66 of 104 patients with clinical stages IA to IIA MF who achieved complete remission (CR) after PUVA monotherapy between 1979 and 1995. Main Outcome Measures: Kaplan-Meier actuarial survival and disease-free survival curves were compared between stage IA and IB/IIA cases. Patients were stratified into relapse and nonrelapse groups based on whether their MF relapsed during study follow-up. Baseline characteristics and treatment were compared between these groups. Results: Median follow-up time was 94 months (range, 5-242 months). Thirty-three patients maintained CR for 84 months (range, 5-238 months), and 33 patients experienced relapse with a median disease-free interval of 39 months (range, 2-127 months). There was no significant difference in baseline characteristics between patients in the nonrelapse and relapse groups. Those in the nonrelapse group received a higher cumulative dosage to CR (P = .03) and required longer treatment periods to achieve CR (P = .03). Disease-free survival rates at 5 and 10 years for all patients with stage IA were 56% and 30%, respectively, and for stage IB/IIA, 74% and 50%. Actuarial survival rates at 5, 10, and 15 years were 94%, 82%, and 82%, respectively, in patients with stage IA, and 80%, 69%, and 58% in patients with stage IB/IIA. The overall survival rate for the nonrelapse and relapse groups did not show any statistical difference. One third of the patients developed signs of chronic photodamage and secondary cutaneous malignancies. Conclusions: Psoralen UV-A is an effective treatment for MF, inducing long-term remissions and perhaps in some cases disease \"cure.\" Thirty percent to 50% of patients remain disease free for 10 years, but late relapses occur. Long-term survival is not affected by relapse status, and the risk of photodamage needs to be measured against the possible benefit of greater disease elimination.","author":[{"dropping-particle":"","family":"Querfeld","given":"Christiane","non-dropping-particle":"","parse-names":false,"suffix":""},{"dropping-particle":"","family":"Rosen","given":"Steven T.","non-dropping-particle":"","parse-names":false,"suffix":""},{"dropping-particle":"","family":"Kuzel","given":"Timothy M.","non-dropping-particle":"","parse-names":false,"suffix":""},{"dropping-particle":"","family":"Kirby","given":"Katharine A.","non-dropping-particle":"","parse-names":false,"suffix":""},{"dropping-particle":"","family":"Roenigk","given":"Henry H.","non-dropping-particle":"","parse-names":false,"suffix":""},{"dropping-particle":"","family":"Prinz","given":"Bettina M.","non-dropping-particle":"","parse-names":false,"suffix":""},{"dropping-particle":"","family":"Guitart","given":"Joan","non-dropping-particle":"","parse-names":false,"suffix":""}],"container-title":"Archives of Dermatology","id":"ITEM-3","issue":"3","issued":{"date-parts":[["2005","3"]]},"page":"305-311","publisher":"Arch Dermatol","title":"Long-term follow-up of patients with early-stage cutaneous T-cell lymphoma who achieved complete remission with psoralen plus UV-A monotherapy","type":"article-journal","volume":"141"},"uris":["http://www.mendeley.com/documents/?uuid=1a6a3d37-14e7-3019-9a9b-df111010b597"]}],"mendeley":{"formattedCitation":"[40, 42,44]","plainTextFormattedCitation":"[40, 42,44]","previouslyFormattedCitation":"[40, 42,44]"},"properties":{"noteIndex":0},"schema":"https://github.com/citation-style-language/schema/raw/master/csl-citation.json"}</w:instrText>
      </w:r>
      <w:r w:rsidR="00062499" w:rsidRPr="0073723C">
        <w:fldChar w:fldCharType="separate"/>
      </w:r>
      <w:r w:rsidR="00E52805" w:rsidRPr="0073723C">
        <w:rPr>
          <w:noProof/>
        </w:rPr>
        <w:t>[40, 42,44]</w:t>
      </w:r>
      <w:r w:rsidR="00062499" w:rsidRPr="0073723C">
        <w:fldChar w:fldCharType="end"/>
      </w:r>
      <w:r w:rsidR="00CE089D" w:rsidRPr="0073723C">
        <w:t>.</w:t>
      </w:r>
    </w:p>
    <w:p w:rsidR="00F724A7" w:rsidRPr="0073723C" w:rsidRDefault="00CE089D" w:rsidP="00F724A7">
      <w:pPr>
        <w:pStyle w:val="afb"/>
        <w:spacing w:beforeAutospacing="0" w:afterAutospacing="0" w:line="360" w:lineRule="auto"/>
        <w:ind w:left="709" w:firstLine="0"/>
        <w:divId w:val="1767193717"/>
        <w:rPr>
          <w:b/>
        </w:rPr>
      </w:pPr>
      <w:r w:rsidRPr="0073723C">
        <w:rPr>
          <w:rStyle w:val="affa"/>
        </w:rPr>
        <w:t>Уровень убедительности рекомендаций С</w:t>
      </w:r>
      <w:r w:rsidR="00737BFE" w:rsidRPr="0073723C">
        <w:rPr>
          <w:rStyle w:val="affa"/>
        </w:rPr>
        <w:t xml:space="preserve"> </w:t>
      </w:r>
      <w:r w:rsidRPr="0073723C">
        <w:rPr>
          <w:b/>
        </w:rPr>
        <w:t>(уровень достоверности доказательств – 4)</w:t>
      </w:r>
    </w:p>
    <w:p w:rsidR="00F724A7" w:rsidRPr="0073723C" w:rsidRDefault="000C307B" w:rsidP="00F724A7">
      <w:pPr>
        <w:pStyle w:val="afb"/>
        <w:spacing w:beforeAutospacing="0" w:afterAutospacing="0" w:line="360" w:lineRule="auto"/>
        <w:ind w:left="709" w:firstLine="0"/>
        <w:divId w:val="1767193717"/>
        <w:rPr>
          <w:rStyle w:val="affb"/>
        </w:rPr>
      </w:pPr>
      <w:r>
        <w:rPr>
          <w:rStyle w:val="affa"/>
        </w:rPr>
        <w:t xml:space="preserve">Комментарии: </w:t>
      </w:r>
      <w:r>
        <w:rPr>
          <w:rStyle w:val="affb"/>
        </w:rPr>
        <w:t>за 2 часа до облучения пациент принимает перорально -#метоксален в дозе 0,6 мг на кг массы тела, начальная доза облучения зависит от типа кожи (0.25–1.0 Дж/см</w:t>
      </w:r>
      <w:r>
        <w:rPr>
          <w:rStyle w:val="affb"/>
          <w:vertAlign w:val="superscript"/>
        </w:rPr>
        <w:t>2</w:t>
      </w:r>
      <w:r>
        <w:rPr>
          <w:rStyle w:val="affb"/>
        </w:rPr>
        <w:t>), затем с каждым сеансом доза повышается на 0,25–0,5 Дж/см</w:t>
      </w:r>
      <w:r>
        <w:rPr>
          <w:rStyle w:val="affb"/>
          <w:vertAlign w:val="superscript"/>
        </w:rPr>
        <w:t>2</w:t>
      </w:r>
      <w:r>
        <w:rPr>
          <w:rStyle w:val="affb"/>
        </w:rPr>
        <w:t xml:space="preserve"> или более в зависимости от выраженности эритемы. Лечение проводится 3–4 раза в неделю до разрешения высыпаний (30–35 сеансов). Общая доза варьирует от 50 до 80 Дж/см</w:t>
      </w:r>
      <w:r>
        <w:rPr>
          <w:rStyle w:val="affb"/>
          <w:vertAlign w:val="superscript"/>
        </w:rPr>
        <w:t>2</w:t>
      </w:r>
      <w:r>
        <w:rPr>
          <w:rStyle w:val="affb"/>
        </w:rPr>
        <w:t>, что бывает достаточным для достижения клинической ремиссии. Применяется при распространенных и более инфильтрированных элементах, фолликулярной форме грибовидного микоза. Побочные эффекты включают эритему, тошноту, фоточувствительность и фотокарциногенез.</w:t>
      </w:r>
    </w:p>
    <w:p w:rsidR="00137008" w:rsidRPr="0073723C" w:rsidRDefault="000C307B" w:rsidP="00B937A6">
      <w:pPr>
        <w:pStyle w:val="afff7"/>
        <w:divId w:val="1767193717"/>
        <w:rPr>
          <w:sz w:val="28"/>
          <w:szCs w:val="28"/>
          <w:lang w:eastAsia="ru-RU"/>
        </w:rPr>
      </w:pPr>
      <w:r>
        <w:rPr>
          <w:rStyle w:val="affa"/>
        </w:rPr>
        <w:t xml:space="preserve">Рекомендуется </w:t>
      </w:r>
      <w:r w:rsidR="001B7F70" w:rsidRPr="001B7F70">
        <w:t>п</w:t>
      </w:r>
      <w:r w:rsidR="001B7F70" w:rsidRPr="001B7F70">
        <w:rPr>
          <w:szCs w:val="24"/>
          <w:lang w:eastAsia="ru-RU"/>
        </w:rPr>
        <w:t xml:space="preserve">рименение дистанционной лучевой терапии при поражении мягких тканей на медицинском ускорителе электронов </w:t>
      </w:r>
      <w:r w:rsidR="001B7F70" w:rsidRPr="001B7F70">
        <w:t xml:space="preserve">у пациентов с грибовидным микозом </w:t>
      </w:r>
      <w:r w:rsidR="001B7F70" w:rsidRPr="001B7F70">
        <w:rPr>
          <w:szCs w:val="24"/>
          <w:lang w:eastAsia="ru-RU"/>
        </w:rPr>
        <w:t xml:space="preserve">при локализованных поражениях кожи без вовлечения в патологический процесс лимфатических узлов и костного мозга </w:t>
      </w:r>
      <w:r w:rsidR="00062499" w:rsidRPr="001B7F70">
        <w:rPr>
          <w:szCs w:val="24"/>
          <w:lang w:eastAsia="ru-RU"/>
        </w:rPr>
        <w:fldChar w:fldCharType="begin" w:fldLock="1"/>
      </w:r>
      <w:r w:rsidR="001B7F70" w:rsidRPr="001B7F70">
        <w:rPr>
          <w:szCs w:val="24"/>
          <w:lang w:eastAsia="ru-RU"/>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fungoides","type":"article-journal","volume":"14"},"uris":["http://www.mendeley.com/documents/?uuid=60fdb40e-510a-3e65-a5e4-4e7abed6c350"]},{"id":"ITEM-2","itemData":{"DOI":"10.1111/j.1396-0296.2003.01647.x","ISSN":"13960296","PMID":"14686978","abstract":"Radiation therapy is the most effective single agent for the treatment of mycosis fungoides. There are well-defined dose-response relationships for achieving a complete response as well as the durability of this response. Techniques of electron beam therapy have been developed that permit treatment of the entire skin. Total-skin electron beam therapy is an important form of management, especially for patients who have thick generalized plaque or tumorous disease. Radiation therapy may also be used selectively for treatment of extracutaneous disease.","author":[{"dropping-particle":"","family":"Hoppe","given":"Richard T.","non-dropping-particle":"","parse-names":false,"suffix":""}],"container-title":"Dermatologic Therapy","id":"ITEM-2","issue":"4","issued":{"date-parts":[["2003"]]},"page":"347-354","publisher":"Dermatol Ther","title":"Mycosis fungoides: Radiation therapy","type":"article","volume":"16"},"uris":["http://www.mendeley.com/documents/?uuid=c42f5785-e324-37ca-a183-0a97dff299b4"]},{"id":"ITEM-3","itemData":{"author":[{"dropping-particle":"","family":"Hymes","given":"K.B.","non-dropping-particle":"","parse-names":false,"suffix":""}],"container-title":"Oncology (Williston Park, N.Y.)","id":"ITEM-3","issue":"2 Supp. 1","issued":{"date-parts":[["2007"]]},"page":"18-23","title":"Choices in the treatment of cutaneous T-cell lymphoma","type":"article-journal","volume":"21"},"uris":["http://www.mendeley.com/documents/?uuid=5a326aad-4877-47f3-99ec-ef5b1e0c0256"]},{"id":"ITEM-4","itemData":{"DOI":"10.1016/j.ijrobp.2015.01.008","ISSN":"1879355X","PMID":"25863751","abstract":"Primary cutaneous lymphomas are a heterogeneous group of diseases. They often remain localized, and they generally have a more indolent course and a better prognosis than lymphomas in other locations. They are highly radiosensitive, and radiation therapy is an important part of the treatment, either as the sole treatment or as part of a multimodality approach. Radiation therapy of primary cutaneous lymphomas requires the use of special techniques that form the focus of these guidelines. The International Lymphoma Radiation Oncology Group has developed these guidelines after multinational meetings and analysis of available evidence. The guidelines represent an agreed consensus view of the International Lymphoma Radiation Oncology Group steering committee on the use of radiation therapy in primary cutaneous lymphomas in the modern era.","author":[{"dropping-particle":"","family":"Specht","given":"Lena","non-dropping-particle":"","parse-names":false,"suffix":""},{"dropping-particle":"","family":"Dabaja","given":"Bouthaina","non-dropping-particle":"","parse-names":false,"suffix":""},{"dropping-particle":"","family":"Illidge","given":"Tim","non-dropping-particle":"","parse-names":false,"suffix":""},{"dropping-particle":"","family":"Wilson","given":"Lynn D.","non-dropping-particle":"","parse-names":false,"suffix":""},{"dropping-particle":"","family":"Hoppe","given":"Richard T.","non-dropping-particle":"","parse-names":false,"suffix":""}],"container-title":"International Journal of Radiation Oncology Biology Physics","id":"ITEM-4","issue":"1","issued":{"date-parts":[["2015","5","1"]]},"page":"32-39","publisher":"Int J Radiat Oncol Biol Phys","title":"Modern radiation therapy for primary cutaneous lymphomas: Field and dose guidelines from the international lymphoma radiation oncology group","type":"article","volume":"92"},"uris":["http://www.mendeley.com/documents/?uuid=9df8c3dd-6eda-349c-8529-693469a2b2e7"]}],"mendeley":{"formattedCitation":"[3,45–47]","plainTextFormattedCitation":"[3,45–47]","previouslyFormattedCitation":"[3,45–47]"},"properties":{"noteIndex":0},"schema":"https://github.com/citation-style-language/schema/raw/master/csl-citation.json"}</w:instrText>
      </w:r>
      <w:r w:rsidR="00062499" w:rsidRPr="001B7F70">
        <w:rPr>
          <w:szCs w:val="24"/>
          <w:lang w:eastAsia="ru-RU"/>
        </w:rPr>
        <w:fldChar w:fldCharType="separate"/>
      </w:r>
      <w:r w:rsidR="001B7F70" w:rsidRPr="001B7F70">
        <w:rPr>
          <w:noProof/>
          <w:szCs w:val="24"/>
          <w:lang w:eastAsia="ru-RU"/>
        </w:rPr>
        <w:t>[3,45–47]</w:t>
      </w:r>
      <w:r w:rsidR="00062499" w:rsidRPr="001B7F70">
        <w:rPr>
          <w:szCs w:val="24"/>
          <w:lang w:eastAsia="ru-RU"/>
        </w:rPr>
        <w:fldChar w:fldCharType="end"/>
      </w:r>
      <w:r w:rsidR="001B7F70" w:rsidRPr="001B7F70">
        <w:t>.</w:t>
      </w:r>
    </w:p>
    <w:p w:rsidR="00137008" w:rsidRPr="0073723C" w:rsidRDefault="000C307B" w:rsidP="00137008">
      <w:pPr>
        <w:pStyle w:val="afff9"/>
        <w:divId w:val="1767193717"/>
      </w:pPr>
      <w:r>
        <w:rPr>
          <w:rStyle w:val="affa"/>
          <w:b/>
          <w:bCs w:val="0"/>
        </w:rPr>
        <w:t xml:space="preserve">Уровень убедительности рекомендаций С </w:t>
      </w:r>
      <w:r w:rsidR="001B7F70" w:rsidRPr="001B7F70">
        <w:t>(уровень достоверности доказательств – 5)</w:t>
      </w:r>
    </w:p>
    <w:p w:rsidR="0016386D" w:rsidRPr="0073723C" w:rsidRDefault="000C307B" w:rsidP="0016386D">
      <w:pPr>
        <w:pStyle w:val="afb"/>
        <w:spacing w:beforeAutospacing="0" w:afterAutospacing="0" w:line="360" w:lineRule="auto"/>
        <w:ind w:left="709" w:firstLine="0"/>
        <w:divId w:val="1767193717"/>
        <w:rPr>
          <w:i/>
        </w:rPr>
      </w:pPr>
      <w:r>
        <w:rPr>
          <w:rStyle w:val="affa"/>
        </w:rPr>
        <w:t xml:space="preserve">Комментарии: </w:t>
      </w:r>
      <w:r w:rsidR="001B7F70" w:rsidRPr="001B7F70">
        <w:rPr>
          <w:i/>
        </w:rPr>
        <w:t xml:space="preserve">при локализованных стадиях ГМ оптимально использование дистанционной лучевой терапии на медицинских ускорителях электронов мощностью 4-8 МЭВ, в зависимости от глубины поражения кожи. При наличии единственного очага поражения рекомендуемая суммарная очаговая доза облучения (СОД) составляет 24-30 Гр. При наличии нескольких отдельных очагов СОД не должна превышать 8-12 Гр, при этом СОД 8 Гр может быть подведена за 2 фракции. </w:t>
      </w:r>
    </w:p>
    <w:p w:rsidR="0016386D" w:rsidRPr="0073723C" w:rsidRDefault="001B7F70" w:rsidP="0016386D">
      <w:pPr>
        <w:pStyle w:val="afb"/>
        <w:spacing w:beforeAutospacing="0" w:afterAutospacing="0" w:line="360" w:lineRule="auto"/>
        <w:ind w:left="709" w:firstLine="0"/>
        <w:divId w:val="1767193717"/>
        <w:rPr>
          <w:i/>
        </w:rPr>
      </w:pPr>
      <w:r w:rsidRPr="001B7F70">
        <w:rPr>
          <w:i/>
        </w:rPr>
        <w:t xml:space="preserve">Тотальное облучение кожи (дистанционная лучевая терапия на медицинских ускорителях электронов) используется при генерализованном поражении кожи при отсутствии вовлечения лимфатических узлов и органного поражения. Суммарные очаговые дозы варьируются от 12 до 36 Гр, не более 4-6 Гр за неделю. </w:t>
      </w:r>
      <w:r w:rsidRPr="001B7F70">
        <w:rPr>
          <w:i/>
        </w:rPr>
        <w:lastRenderedPageBreak/>
        <w:t xml:space="preserve">Преимуществами использования низких суммарных доз облучения являются уменьшение степени лучевых реакций  и возможность в дальнейшем  использования повторных курсов лучевого лечения. </w:t>
      </w:r>
    </w:p>
    <w:p w:rsidR="00137008" w:rsidRPr="0073723C" w:rsidRDefault="001B7F70" w:rsidP="00BC371B">
      <w:pPr>
        <w:pStyle w:val="afb"/>
        <w:spacing w:beforeAutospacing="0" w:afterAutospacing="0" w:line="360" w:lineRule="auto"/>
        <w:ind w:left="709" w:firstLine="0"/>
        <w:divId w:val="1767193717"/>
      </w:pPr>
      <w:r w:rsidRPr="001B7F70">
        <w:rPr>
          <w:i/>
        </w:rPr>
        <w:t xml:space="preserve">При вовлечении лимфатических узлов и висцеральных органов возможно дополнительное использование дистанционной гама - терапии в суммарной дозе 20-30 Гр. </w:t>
      </w:r>
    </w:p>
    <w:p w:rsidR="00A726C2" w:rsidRPr="0073723C" w:rsidRDefault="00A726C2" w:rsidP="00A726C2">
      <w:pPr>
        <w:pStyle w:val="2"/>
        <w:spacing w:before="0"/>
        <w:divId w:val="1767193717"/>
        <w:rPr>
          <w:rFonts w:eastAsia="Times New Roman"/>
        </w:rPr>
      </w:pPr>
    </w:p>
    <w:p w:rsidR="00A726C2" w:rsidRPr="0073723C" w:rsidRDefault="001B7F70" w:rsidP="00A726C2">
      <w:pPr>
        <w:pStyle w:val="2"/>
        <w:spacing w:before="0"/>
        <w:divId w:val="1767193717"/>
        <w:rPr>
          <w:rFonts w:eastAsia="Times New Roman"/>
        </w:rPr>
      </w:pPr>
      <w:bookmarkStart w:id="30" w:name="_Toc84161281"/>
      <w:r w:rsidRPr="001B7F70">
        <w:rPr>
          <w:rFonts w:eastAsia="Times New Roman"/>
        </w:rPr>
        <w:t>3.2 Лечение пациентов с распространенными стадиями грибовидного микоза и рецидивных и рефрактерных форм грибовидного микоза</w:t>
      </w:r>
      <w:bookmarkEnd w:id="30"/>
    </w:p>
    <w:p w:rsidR="0016386D" w:rsidRPr="0073723C" w:rsidRDefault="000C307B" w:rsidP="0016386D">
      <w:pPr>
        <w:pStyle w:val="afd"/>
        <w:numPr>
          <w:ilvl w:val="0"/>
          <w:numId w:val="34"/>
        </w:numPr>
        <w:divId w:val="1767193717"/>
        <w:rPr>
          <w:rFonts w:eastAsia="Times New Roman"/>
        </w:rPr>
      </w:pPr>
      <w:r>
        <w:rPr>
          <w:rStyle w:val="affa"/>
          <w:rFonts w:eastAsia="Times New Roman"/>
        </w:rPr>
        <w:t>Рекомендуются</w:t>
      </w:r>
      <w:r w:rsidR="001B7F70" w:rsidRPr="001B7F70">
        <w:rPr>
          <w:rFonts w:eastAsia="Times New Roman"/>
        </w:rPr>
        <w:t xml:space="preserve"> как препараты первой линии для лечения пациентов с IIB, III стадиями грибовидного микоза, а также в качестве второй линии </w:t>
      </w:r>
      <w:r w:rsidR="001B7F70" w:rsidRPr="001B7F70">
        <w:t>ранних стадий грибовидного микоза при отсутствии или недостаточном эффекте от проводимой терапии</w:t>
      </w:r>
      <w:r w:rsidR="001B7F70" w:rsidRPr="001B7F70">
        <w:rPr>
          <w:rFonts w:eastAsia="Times New Roman"/>
        </w:rPr>
        <w:t xml:space="preserve"> #</w:t>
      </w:r>
      <w:r w:rsidR="00B937A6" w:rsidRPr="0073723C">
        <w:rPr>
          <w:color w:val="000000" w:themeColor="text1"/>
        </w:rPr>
        <w:t xml:space="preserve">интерферон </w:t>
      </w:r>
      <w:r w:rsidR="00CE089D" w:rsidRPr="0073723C">
        <w:rPr>
          <w:color w:val="000000" w:themeColor="text1"/>
        </w:rPr>
        <w:t xml:space="preserve">альфа-2b </w:t>
      </w:r>
      <w:r w:rsidR="00CE089D" w:rsidRPr="0073723C">
        <w:rPr>
          <w:rFonts w:eastAsia="Times New Roman"/>
        </w:rPr>
        <w:t>** в умеренно высоких дозах: 3–10 млн МЕ ежедневно или 3 раза в неделю</w:t>
      </w:r>
      <w:r w:rsidR="00143B97" w:rsidRPr="0073723C">
        <w:rPr>
          <w:rFonts w:eastAsia="Times New Roman"/>
        </w:rPr>
        <w:t xml:space="preserve"> </w:t>
      </w:r>
      <w:r w:rsidR="00062499" w:rsidRPr="001B7F70">
        <w:rPr>
          <w:rFonts w:eastAsia="Times New Roman"/>
        </w:rPr>
        <w:fldChar w:fldCharType="begin" w:fldLock="1"/>
      </w:r>
      <w:r w:rsidR="001B7F70" w:rsidRPr="001B7F70">
        <w:rPr>
          <w:rFonts w:eastAsia="Times New Roman"/>
        </w:rPr>
        <w:instrText>ADDIN CSL_CITATION {"citationItems":[{"id":"ITEM-1","itemData":{"DOI":"10.1111/j.1396-0296.2003.01643.x","ISSN":"13960296","PMID":"14686974","abstract":"Interferons are polypeptides with a broad range of in vivo effects that have shown efficacy in cutaneous T-cell lymphoma (CTCL). Particularly useful is alfa interferon (IFN) which, as a single agent, has shown partial remission rates of &gt; 50% and complete responses of &gt; 20%. Side-effects are predictable, generally well tolerated and dose-related. The efficacy of IFN has increased with combination therapy without any significant increase in attendant side-effects. An update on the specifics of the different IFN subtypes, their inherent biologic activity, pharmacokinetics, efficacy and safety in CTCL is presented in this paper.","author":[{"dropping-particle":"","family":"Olsen","given":"Elise A.","non-dropping-particle":"","parse-names":false,"suffix":""}],"container-title":"Dermatologic Therapy","id":"ITEM-1","issue":"4","issued":{"date-parts":[["2003"]]},"page":"311-321","publisher":"Dermatol Ther","title":"Interferon in the treatment of cutaneous T-cell lymphoma","type":"article","volume":"16"},"uris":["http://www.mendeley.com/documents/?uuid=ab8a433e-5050-333a-88f9-6308f8021cb6"]}],"mendeley":{"formattedCitation":"[18]","plainTextFormattedCitation":"[18]","previouslyFormattedCitation":"[18]"},"properties":{"noteIndex":0},"schema":"https://github.com/citation-style-language/schema/raw/master/csl-citation.json"}</w:instrText>
      </w:r>
      <w:r w:rsidR="00062499" w:rsidRPr="001B7F70">
        <w:rPr>
          <w:rFonts w:eastAsia="Times New Roman"/>
        </w:rPr>
        <w:fldChar w:fldCharType="separate"/>
      </w:r>
      <w:r w:rsidR="001B7F70" w:rsidRPr="001B7F70">
        <w:rPr>
          <w:rFonts w:eastAsia="Times New Roman"/>
          <w:noProof/>
        </w:rPr>
        <w:t>[18]</w:t>
      </w:r>
      <w:r w:rsidR="00062499" w:rsidRPr="001B7F70">
        <w:rPr>
          <w:rFonts w:eastAsia="Times New Roman"/>
        </w:rPr>
        <w:fldChar w:fldCharType="end"/>
      </w:r>
      <w:r w:rsidR="001B7F70" w:rsidRPr="001B7F70">
        <w:rPr>
          <w:rFonts w:eastAsia="Times New Roman"/>
        </w:rPr>
        <w:t xml:space="preserve">. </w:t>
      </w:r>
    </w:p>
    <w:p w:rsidR="00572506" w:rsidRPr="0073723C" w:rsidRDefault="000C307B" w:rsidP="00572506">
      <w:pPr>
        <w:pStyle w:val="afb"/>
        <w:tabs>
          <w:tab w:val="left" w:pos="993"/>
          <w:tab w:val="left" w:pos="1134"/>
        </w:tabs>
        <w:spacing w:beforeAutospacing="0" w:afterAutospacing="0" w:line="360" w:lineRule="auto"/>
        <w:ind w:left="709" w:firstLine="0"/>
        <w:divId w:val="1767193717"/>
        <w:rPr>
          <w:rFonts w:eastAsiaTheme="minorEastAsia"/>
        </w:rPr>
      </w:pPr>
      <w:r>
        <w:rPr>
          <w:rStyle w:val="affa"/>
        </w:rPr>
        <w:t xml:space="preserve">Уровень убедительности рекомендаций С </w:t>
      </w:r>
      <w:r w:rsidRPr="000C307B">
        <w:rPr>
          <w:b/>
        </w:rPr>
        <w:t>(уровень достоверности доказательств 5)</w:t>
      </w:r>
    </w:p>
    <w:p w:rsidR="00F01ADE" w:rsidRPr="0073723C" w:rsidRDefault="000C307B" w:rsidP="00F01ADE">
      <w:pPr>
        <w:pStyle w:val="aff1"/>
        <w:divId w:val="1767193717"/>
      </w:pPr>
      <w:r>
        <w:rPr>
          <w:rStyle w:val="affa"/>
          <w:b/>
        </w:rPr>
        <w:t xml:space="preserve">Комментарии: </w:t>
      </w:r>
      <w:r w:rsidRPr="000C307B">
        <w:rPr>
          <w:b w:val="0"/>
          <w:i/>
        </w:rPr>
        <w:t xml:space="preserve">лечение проводят до достижения полного контроля (отсутствия признаков дальнейшего прогрессирования). </w:t>
      </w:r>
      <w:r>
        <w:rPr>
          <w:rStyle w:val="affb"/>
          <w:b w:val="0"/>
        </w:rPr>
        <w:t xml:space="preserve">Можно комбинировать с ПУВА-терапией, </w:t>
      </w:r>
      <w:r w:rsidR="0079163F" w:rsidRPr="002A6444">
        <w:rPr>
          <w:rStyle w:val="affb"/>
          <w:b w:val="0"/>
        </w:rPr>
        <w:t>ретиноидами</w:t>
      </w:r>
      <w:r w:rsidRPr="002A6444">
        <w:rPr>
          <w:rStyle w:val="affb"/>
          <w:b w:val="0"/>
        </w:rPr>
        <w:t xml:space="preserve"> и</w:t>
      </w:r>
      <w:r>
        <w:rPr>
          <w:rStyle w:val="affb"/>
          <w:b w:val="0"/>
        </w:rPr>
        <w:t xml:space="preserve"> химиотерапией. </w:t>
      </w:r>
      <w:r w:rsidRPr="000C307B">
        <w:rPr>
          <w:b w:val="0"/>
          <w:i/>
        </w:rPr>
        <w:t xml:space="preserve">На фоне длительного приема препарата возможны изменения со стороны щитовидной железы. У пациентов с заболеваниями щитовидной железы перед началом лечения необходимо определить концентрацию тиреотропного гормона, рекомендуется контролировать его уровень не </w:t>
      </w:r>
      <w:r w:rsidR="001B7F70" w:rsidRPr="001B7F70">
        <w:rPr>
          <w:b w:val="0"/>
          <w:i/>
        </w:rPr>
        <w:t xml:space="preserve">реже 1 раза в 6 месяцев. Очень редко – сахарный диабет. </w:t>
      </w:r>
      <w:r w:rsidR="001B7F70" w:rsidRPr="001B7F70">
        <w:rPr>
          <w:rFonts w:eastAsiaTheme="minorEastAsia"/>
          <w:b w:val="0"/>
          <w:i/>
          <w:lang w:eastAsia="ru-RU"/>
        </w:rPr>
        <w:t>При длительном применении, обычно после нескольких месяцев лечения, возможны нарушения со стороны органа зрения. До начала терапии рекомендуется провести офтальмологическое обследование. При жалобах на любые офтальмологические нарушения необходима немедленная консультация врача-офтальмолога. Пациентам с заболеваниями, при которых могут происходить изменения в сетчатке, например, с сахарным диабетом или артериальной гипертензией, необходимо проходить оф</w:t>
      </w:r>
      <w:r w:rsidR="001B7F70" w:rsidRPr="008B1745">
        <w:rPr>
          <w:rFonts w:eastAsiaTheme="minorEastAsia"/>
          <w:b w:val="0"/>
          <w:i/>
          <w:lang w:eastAsia="ru-RU"/>
        </w:rPr>
        <w:t>тальмологический осмотр не реже 1 раза в 6 месяцев. Пациентам с заболеваниями сердечно-сосудистой системы и/или прогрессирующими онкологическими заболеваниями требуется тщательное наблюдение и мониторинг ЭКГ.</w:t>
      </w:r>
      <w:r w:rsidR="007F36A7" w:rsidRPr="007F36A7">
        <w:rPr>
          <w:rFonts w:eastAsiaTheme="minorEastAsia"/>
          <w:b w:val="0"/>
          <w:i/>
          <w:lang w:eastAsia="ru-RU"/>
        </w:rPr>
        <w:t xml:space="preserve"> </w:t>
      </w:r>
      <w:r w:rsidR="001B7F70" w:rsidRPr="008B1745">
        <w:rPr>
          <w:rFonts w:eastAsiaTheme="minorEastAsia"/>
          <w:b w:val="0"/>
          <w:i/>
          <w:lang w:eastAsia="ru-RU"/>
        </w:rPr>
        <w:t xml:space="preserve">В случае появления изменений со стороны психической сферы и/или ЦНС, </w:t>
      </w:r>
      <w:r w:rsidR="001B7F70" w:rsidRPr="001B7F70">
        <w:rPr>
          <w:rFonts w:eastAsiaTheme="minorEastAsia"/>
          <w:b w:val="0"/>
          <w:i/>
          <w:lang w:eastAsia="ru-RU"/>
        </w:rPr>
        <w:t xml:space="preserve">включая развитие депрессии, рекомендуется </w:t>
      </w:r>
      <w:r w:rsidR="001B7F70" w:rsidRPr="001B7F70">
        <w:rPr>
          <w:rFonts w:eastAsiaTheme="minorEastAsia"/>
          <w:b w:val="0"/>
          <w:i/>
          <w:lang w:eastAsia="ru-RU"/>
        </w:rPr>
        <w:lastRenderedPageBreak/>
        <w:t>наблюдение психиатра в период лечения, а также в течение 6 месяцев после его окончания.</w:t>
      </w:r>
    </w:p>
    <w:p w:rsidR="0016386D" w:rsidRPr="0073723C" w:rsidRDefault="000C307B" w:rsidP="0016386D">
      <w:pPr>
        <w:pStyle w:val="afff7"/>
        <w:tabs>
          <w:tab w:val="left" w:pos="1276"/>
          <w:tab w:val="left" w:pos="1560"/>
        </w:tabs>
        <w:ind w:left="709" w:firstLine="0"/>
        <w:divId w:val="1767193717"/>
      </w:pPr>
      <w:r>
        <w:rPr>
          <w:rStyle w:val="affa"/>
        </w:rPr>
        <w:t>Рекомендуется</w:t>
      </w:r>
      <w:r w:rsidR="001B7F70" w:rsidRPr="001B7F70">
        <w:t xml:space="preserve"> пациентам с грибовидным микозом на поздних стадиях, а также в случае неэффективности или недостаточном ответа на ранее проведенную наружную терапию и/или фототерапию и/или терапию интерфероном</w:t>
      </w:r>
      <w:r w:rsidR="007F36A7" w:rsidRPr="007F36A7">
        <w:t xml:space="preserve"> </w:t>
      </w:r>
      <w:r w:rsidR="001B7F70" w:rsidRPr="001B7F70">
        <w:t>альфа-2</w:t>
      </w:r>
      <w:r w:rsidR="001B7F70" w:rsidRPr="001B7F70">
        <w:rPr>
          <w:lang w:val="en-US"/>
        </w:rPr>
        <w:t>b</w:t>
      </w:r>
      <w:r w:rsidR="001B7F70" w:rsidRPr="001B7F70">
        <w:t xml:space="preserve"> вне зависимости от стадии #метотрексат** в дозе не более 50 мг в неделю (стандартная доза – 25 мг 1 раз в неделю перорально) </w:t>
      </w:r>
      <w:r w:rsidR="00062499" w:rsidRPr="001B7F70">
        <w:fldChar w:fldCharType="begin" w:fldLock="1"/>
      </w:r>
      <w:r w:rsidR="001B7F70" w:rsidRPr="001B7F70">
        <w:instrText>ADDIN CSL_CITATION {"citationItems":[{"id":"ITEM-1","itemData":{"DOI":"10.1016/S0190-9622(03)01591-3","ISSN":"01909622","PMID":"14576667","abstract":"Background: Although low-dose methotrexate has been used to treat mycosis fungoides for many years, documentation is very limited. Objective: Our purpose was to review our experience with methotrexate in the treatment of 69 patients with patch/plaque and tumor stage mycosis fungoides observed for up to 201 months. Methods: This was a retrospective study. Data are presented in terms of response rates and time to treatment failure. Results: The greatest number of patients (60) had patch/plaque stage T2 disease (≥10% skin involved). Of these, 7 (12%) achieved complete remission and 13 (22%) achieved partial remission for a total response rate of 20 of 60 (33%). The median time to treatment failure was 15 months. Only 1 of 7 patients with tumor stage disease responded. Side effects caused treatment failure in 6 (9%) of the total cohort of 69 patients. Conclusion: Low-dose methotrexate may be of value in the treatment of a subset of patients with patch/plaque mycosis fungoides resistant to other therapies.","author":[{"dropping-particle":"","family":"Zackheim","given":"Herschel S.","non-dropping-particle":"","parse-names":false,"suffix":""},{"dropping-particle":"","family":"Kashani-Sabet","given":"Mohammed","non-dropping-particle":"","parse-names":false,"suffix":""},{"dropping-particle":"","family":"McMillan","given":"Alex","non-dropping-particle":"","parse-names":false,"suffix":""}],"container-title":"Journal of the American Academy of Dermatology","id":"ITEM-1","issue":"5","issued":{"date-parts":[["2003"]]},"page":"873-878","publisher":"Mosby Inc.","title":"Low-dose methotrexate to treat mycosis fungoides: A retrospective study in 69 patients","type":"article-journal","volume":"49"},"uris":["http://www.mendeley.com/documents/?uuid=0bd3fd24-f2bb-3445-9d83-37281426c671"]}],"mendeley":{"formattedCitation":"[48]","plainTextFormattedCitation":"[48]","previouslyFormattedCitation":"[48]"},"properties":{"noteIndex":0},"schema":"https://github.com/citation-style-language/schema/raw/master/csl-citation.json"}</w:instrText>
      </w:r>
      <w:r w:rsidR="00062499" w:rsidRPr="001B7F70">
        <w:fldChar w:fldCharType="separate"/>
      </w:r>
      <w:r w:rsidR="001B7F70" w:rsidRPr="001B7F70">
        <w:rPr>
          <w:noProof/>
        </w:rPr>
        <w:t>[48</w:t>
      </w:r>
      <w:r w:rsidR="00415E00">
        <w:rPr>
          <w:noProof/>
          <w:lang w:val="en-US"/>
        </w:rPr>
        <w:t>,76</w:t>
      </w:r>
      <w:r w:rsidR="001B7F70" w:rsidRPr="001B7F70">
        <w:rPr>
          <w:noProof/>
        </w:rPr>
        <w:t>]</w:t>
      </w:r>
      <w:r w:rsidR="00062499" w:rsidRPr="001B7F70">
        <w:fldChar w:fldCharType="end"/>
      </w:r>
      <w:r w:rsidR="001B7F70" w:rsidRPr="001B7F70">
        <w:t>.</w:t>
      </w:r>
    </w:p>
    <w:p w:rsidR="00572506" w:rsidRPr="0073723C" w:rsidRDefault="000C307B" w:rsidP="00572506">
      <w:pPr>
        <w:pStyle w:val="afb"/>
        <w:tabs>
          <w:tab w:val="left" w:pos="1276"/>
          <w:tab w:val="left" w:pos="1560"/>
        </w:tabs>
        <w:spacing w:beforeAutospacing="0" w:afterAutospacing="0" w:line="360" w:lineRule="auto"/>
        <w:ind w:left="709" w:firstLine="0"/>
        <w:divId w:val="1767193717"/>
        <w:rPr>
          <w:rFonts w:eastAsiaTheme="minorEastAsia"/>
          <w:b/>
        </w:rPr>
      </w:pPr>
      <w:r>
        <w:rPr>
          <w:rStyle w:val="affa"/>
        </w:rPr>
        <w:t xml:space="preserve">Уровень убедительности рекомендаций С </w:t>
      </w:r>
      <w:r w:rsidRPr="000C307B">
        <w:rPr>
          <w:b/>
        </w:rPr>
        <w:t>(уровень достоверности доказательств – 4)</w:t>
      </w:r>
    </w:p>
    <w:p w:rsidR="00572506" w:rsidRPr="0073723C" w:rsidRDefault="000C307B" w:rsidP="00572506">
      <w:pPr>
        <w:pStyle w:val="afb"/>
        <w:tabs>
          <w:tab w:val="left" w:pos="1276"/>
          <w:tab w:val="left" w:pos="1560"/>
        </w:tabs>
        <w:spacing w:beforeAutospacing="0" w:afterAutospacing="0" w:line="360" w:lineRule="auto"/>
        <w:ind w:left="709" w:firstLine="0"/>
        <w:divId w:val="1767193717"/>
        <w:rPr>
          <w:rStyle w:val="affb"/>
        </w:rPr>
      </w:pPr>
      <w:r>
        <w:rPr>
          <w:rStyle w:val="affa"/>
        </w:rPr>
        <w:t xml:space="preserve">Комментарии: </w:t>
      </w:r>
      <w:r w:rsidR="001B7F70" w:rsidRPr="001B7F70">
        <w:rPr>
          <w:i/>
        </w:rPr>
        <w:t xml:space="preserve">лечение проводят до достижения полного контроля (отсутствия признаков дальнейшего прогрессирования) или до появления признаков неприемлемой токсичности </w:t>
      </w:r>
      <w:r>
        <w:rPr>
          <w:rStyle w:val="affb"/>
        </w:rPr>
        <w:t>можно комбинировать с интерфероном альфа-2</w:t>
      </w:r>
      <w:r>
        <w:rPr>
          <w:rStyle w:val="affb"/>
          <w:lang w:val="en-US"/>
        </w:rPr>
        <w:t>b</w:t>
      </w:r>
      <w:r w:rsidR="001B7F70" w:rsidRPr="001B7F70">
        <w:rPr>
          <w:rStyle w:val="affb"/>
        </w:rPr>
        <w:t xml:space="preserve"> (</w:t>
      </w:r>
      <w:r w:rsidR="00CE089D" w:rsidRPr="0073723C">
        <w:rPr>
          <w:rStyle w:val="affb"/>
        </w:rPr>
        <w:t>IFN-α</w:t>
      </w:r>
      <w:r w:rsidR="001B7F70" w:rsidRPr="001B7F70">
        <w:rPr>
          <w:rStyle w:val="affb"/>
        </w:rPr>
        <w:t>)</w:t>
      </w:r>
      <w:r w:rsidR="00CE089D" w:rsidRPr="0073723C">
        <w:rPr>
          <w:rStyle w:val="affb"/>
        </w:rPr>
        <w:t>.</w:t>
      </w:r>
    </w:p>
    <w:p w:rsidR="00CE3DF7" w:rsidRPr="0073723C" w:rsidRDefault="00CE089D" w:rsidP="00785CD3">
      <w:pPr>
        <w:pStyle w:val="affff0"/>
        <w:spacing w:after="0" w:line="360" w:lineRule="auto"/>
        <w:ind w:left="709"/>
        <w:jc w:val="both"/>
        <w:divId w:val="1767193717"/>
        <w:rPr>
          <w:rFonts w:ascii="Times New Roman" w:hAnsi="Times New Roman" w:cs="Times New Roman"/>
          <w:i/>
          <w:sz w:val="24"/>
          <w:szCs w:val="24"/>
        </w:rPr>
      </w:pPr>
      <w:r w:rsidRPr="0073723C">
        <w:rPr>
          <w:rFonts w:ascii="Times New Roman" w:hAnsi="Times New Roman" w:cs="Times New Roman"/>
          <w:i/>
          <w:sz w:val="24"/>
          <w:szCs w:val="24"/>
        </w:rPr>
        <w:t xml:space="preserve">Перед началом лечения </w:t>
      </w:r>
      <w:r w:rsidR="001B7F70" w:rsidRPr="001B7F70">
        <w:rPr>
          <w:rFonts w:ascii="Times New Roman" w:hAnsi="Times New Roman" w:cs="Times New Roman"/>
          <w:i/>
          <w:sz w:val="24"/>
          <w:szCs w:val="24"/>
        </w:rPr>
        <w:t>#</w:t>
      </w:r>
      <w:r w:rsidRPr="0073723C">
        <w:rPr>
          <w:rFonts w:ascii="Times New Roman" w:hAnsi="Times New Roman" w:cs="Times New Roman"/>
          <w:i/>
          <w:sz w:val="24"/>
          <w:szCs w:val="24"/>
        </w:rPr>
        <w:t>метотрексатом</w:t>
      </w:r>
      <w:r w:rsidR="001B7F70" w:rsidRPr="001B7F70">
        <w:rPr>
          <w:rFonts w:ascii="Times New Roman" w:hAnsi="Times New Roman" w:cs="Times New Roman"/>
          <w:i/>
          <w:sz w:val="24"/>
          <w:szCs w:val="24"/>
        </w:rPr>
        <w:t>**</w:t>
      </w:r>
      <w:r w:rsidRPr="0073723C">
        <w:rPr>
          <w:rFonts w:ascii="Times New Roman" w:hAnsi="Times New Roman" w:cs="Times New Roman"/>
          <w:i/>
          <w:sz w:val="24"/>
          <w:szCs w:val="24"/>
        </w:rPr>
        <w:t xml:space="preserve"> или при возобновлении терапии после перерыва необходимо проводить </w:t>
      </w:r>
      <w:r w:rsidR="007F3763">
        <w:rPr>
          <w:rFonts w:ascii="Times New Roman" w:hAnsi="Times New Roman" w:cs="Times New Roman"/>
          <w:i/>
          <w:sz w:val="24"/>
          <w:szCs w:val="24"/>
        </w:rPr>
        <w:t xml:space="preserve"> общий (клинический анализ) </w:t>
      </w:r>
      <w:r w:rsidRPr="0073723C">
        <w:rPr>
          <w:rFonts w:ascii="Times New Roman" w:hAnsi="Times New Roman" w:cs="Times New Roman"/>
          <w:i/>
          <w:sz w:val="24"/>
          <w:szCs w:val="24"/>
        </w:rPr>
        <w:t>крови с подсчетом лейкоцитарной формулы и количества тромбоцитов, оценивать активность «печеночных» ферментов</w:t>
      </w:r>
      <w:r w:rsidR="00B450F2" w:rsidRPr="0073723C">
        <w:rPr>
          <w:rFonts w:ascii="Times New Roman" w:hAnsi="Times New Roman" w:cs="Times New Roman"/>
          <w:i/>
          <w:sz w:val="24"/>
          <w:szCs w:val="24"/>
        </w:rPr>
        <w:t xml:space="preserve"> (</w:t>
      </w:r>
      <w:r w:rsidR="001B7F70" w:rsidRPr="001B7F70">
        <w:rPr>
          <w:rFonts w:ascii="Times New Roman" w:hAnsi="Times New Roman" w:cs="Times New Roman"/>
        </w:rPr>
        <w:t>исследование уровня альбумина в крови, общего билирубина в крови, определение активности аспартатаминотрансферазы и  аланинаминотрансферазы в крови)</w:t>
      </w:r>
      <w:r w:rsidRPr="0073723C">
        <w:rPr>
          <w:rFonts w:ascii="Times New Roman" w:hAnsi="Times New Roman" w:cs="Times New Roman"/>
          <w:i/>
          <w:sz w:val="24"/>
          <w:szCs w:val="24"/>
        </w:rPr>
        <w:t xml:space="preserve">, </w:t>
      </w:r>
    </w:p>
    <w:p w:rsidR="00785CD3" w:rsidRPr="0073723C" w:rsidRDefault="00CE089D" w:rsidP="00785CD3">
      <w:pPr>
        <w:pStyle w:val="affff0"/>
        <w:spacing w:after="0" w:line="360" w:lineRule="auto"/>
        <w:ind w:left="709"/>
        <w:jc w:val="both"/>
        <w:divId w:val="1767193717"/>
        <w:rPr>
          <w:rFonts w:ascii="Times New Roman" w:hAnsi="Times New Roman" w:cs="Times New Roman"/>
          <w:i/>
        </w:rPr>
      </w:pPr>
      <w:r w:rsidRPr="0073723C">
        <w:rPr>
          <w:rFonts w:ascii="Times New Roman" w:hAnsi="Times New Roman" w:cs="Times New Roman"/>
          <w:i/>
          <w:sz w:val="24"/>
          <w:szCs w:val="24"/>
        </w:rPr>
        <w:t xml:space="preserve"> а также </w:t>
      </w:r>
      <w:r w:rsidR="0017134D" w:rsidRPr="0073723C">
        <w:rPr>
          <w:rFonts w:ascii="Times New Roman" w:hAnsi="Times New Roman" w:cs="Times New Roman"/>
          <w:i/>
          <w:sz w:val="24"/>
          <w:szCs w:val="24"/>
        </w:rPr>
        <w:t xml:space="preserve">прицельное </w:t>
      </w:r>
      <w:r w:rsidR="000C307B">
        <w:rPr>
          <w:rFonts w:ascii="Times New Roman" w:hAnsi="Times New Roman" w:cs="Times New Roman"/>
          <w:i/>
          <w:sz w:val="24"/>
          <w:szCs w:val="24"/>
        </w:rPr>
        <w:t xml:space="preserve">рентгенографическое исследование органов грудной клетки и </w:t>
      </w:r>
      <w:r w:rsidR="0079163F" w:rsidRPr="002A6444">
        <w:rPr>
          <w:rFonts w:ascii="Times New Roman" w:hAnsi="Times New Roman" w:cs="Times New Roman"/>
          <w:i/>
          <w:sz w:val="24"/>
          <w:szCs w:val="24"/>
        </w:rPr>
        <w:t>функциональные почечные тесты</w:t>
      </w:r>
      <w:r w:rsidR="000C307B">
        <w:rPr>
          <w:rFonts w:ascii="Times New Roman" w:hAnsi="Times New Roman" w:cs="Times New Roman"/>
          <w:i/>
          <w:sz w:val="24"/>
          <w:szCs w:val="24"/>
        </w:rPr>
        <w:t>. При наличии клинических показаний назначают исследования с целью исключения гепатита и других соматических заболеваний.</w:t>
      </w:r>
    </w:p>
    <w:p w:rsidR="00785CD3" w:rsidRPr="0073723C" w:rsidRDefault="00CE089D" w:rsidP="00785CD3">
      <w:pPr>
        <w:pStyle w:val="affff0"/>
        <w:spacing w:after="0" w:line="360" w:lineRule="auto"/>
        <w:ind w:left="709"/>
        <w:jc w:val="both"/>
        <w:divId w:val="1767193717"/>
        <w:rPr>
          <w:rFonts w:ascii="Times New Roman" w:hAnsi="Times New Roman" w:cs="Times New Roman"/>
          <w:i/>
        </w:rPr>
      </w:pPr>
      <w:r w:rsidRPr="0073723C">
        <w:rPr>
          <w:rFonts w:ascii="Times New Roman" w:hAnsi="Times New Roman" w:cs="Times New Roman"/>
          <w:i/>
          <w:sz w:val="24"/>
          <w:szCs w:val="24"/>
        </w:rPr>
        <w:t xml:space="preserve">В процессе лечения </w:t>
      </w:r>
      <w:r w:rsidR="001B7F70" w:rsidRPr="001B7F70">
        <w:rPr>
          <w:rFonts w:ascii="Times New Roman" w:hAnsi="Times New Roman" w:cs="Times New Roman"/>
          <w:i/>
          <w:sz w:val="24"/>
          <w:szCs w:val="24"/>
        </w:rPr>
        <w:t>#</w:t>
      </w:r>
      <w:r w:rsidRPr="0073723C">
        <w:rPr>
          <w:rFonts w:ascii="Times New Roman" w:hAnsi="Times New Roman" w:cs="Times New Roman"/>
          <w:i/>
          <w:sz w:val="24"/>
          <w:szCs w:val="24"/>
        </w:rPr>
        <w:t>метотрексатом</w:t>
      </w:r>
      <w:r w:rsidR="001B7F70" w:rsidRPr="001B7F70">
        <w:rPr>
          <w:rFonts w:ascii="Times New Roman" w:hAnsi="Times New Roman" w:cs="Times New Roman"/>
          <w:i/>
          <w:sz w:val="24"/>
          <w:szCs w:val="24"/>
        </w:rPr>
        <w:t>**</w:t>
      </w:r>
      <w:r w:rsidRPr="0073723C">
        <w:rPr>
          <w:rFonts w:ascii="Times New Roman" w:hAnsi="Times New Roman" w:cs="Times New Roman"/>
          <w:i/>
          <w:sz w:val="24"/>
          <w:szCs w:val="24"/>
        </w:rPr>
        <w:t xml:space="preserve"> (ежемесячно в первые 6 месяцев и не реже, чем каждые 3 месяца в дальнейшем, при повышении доз целесообразно повышать частоту обследований) проводят следующие исследования:</w:t>
      </w:r>
    </w:p>
    <w:p w:rsidR="00785CD3" w:rsidRPr="0073723C" w:rsidRDefault="00CE089D" w:rsidP="00C32F88">
      <w:pPr>
        <w:pStyle w:val="afd"/>
        <w:numPr>
          <w:ilvl w:val="0"/>
          <w:numId w:val="36"/>
        </w:numPr>
        <w:suppressAutoHyphens/>
        <w:ind w:left="993"/>
        <w:divId w:val="1767193717"/>
        <w:rPr>
          <w:i/>
        </w:rPr>
      </w:pPr>
      <w:r w:rsidRPr="0073723C">
        <w:rPr>
          <w:i/>
          <w:szCs w:val="24"/>
        </w:rPr>
        <w:t>Обследование ротовой полости и горла для выявления изменений слизистых оболочек.</w:t>
      </w:r>
    </w:p>
    <w:p w:rsidR="00785CD3" w:rsidRPr="0073723C" w:rsidRDefault="00CE089D" w:rsidP="00C32F88">
      <w:pPr>
        <w:pStyle w:val="afd"/>
        <w:numPr>
          <w:ilvl w:val="0"/>
          <w:numId w:val="36"/>
        </w:numPr>
        <w:suppressAutoHyphens/>
        <w:ind w:left="993"/>
        <w:divId w:val="1767193717"/>
        <w:rPr>
          <w:i/>
        </w:rPr>
      </w:pPr>
      <w:r w:rsidRPr="0073723C">
        <w:rPr>
          <w:i/>
          <w:szCs w:val="24"/>
        </w:rPr>
        <w:t xml:space="preserve">Анализ крови с определением лейкоцитарной формулы и количества тромбоцитов. Даже при применении в обычных терапевтических дозах </w:t>
      </w:r>
      <w:r w:rsidR="001B7F70" w:rsidRPr="001B7F70">
        <w:rPr>
          <w:i/>
          <w:szCs w:val="24"/>
        </w:rPr>
        <w:t>#</w:t>
      </w:r>
      <w:r w:rsidRPr="0073723C">
        <w:rPr>
          <w:i/>
          <w:szCs w:val="24"/>
        </w:rPr>
        <w:t>метотрексат</w:t>
      </w:r>
      <w:r w:rsidR="001B7F70" w:rsidRPr="001B7F70">
        <w:rPr>
          <w:i/>
          <w:szCs w:val="24"/>
        </w:rPr>
        <w:t>**</w:t>
      </w:r>
      <w:r w:rsidRPr="0073723C">
        <w:rPr>
          <w:i/>
          <w:szCs w:val="24"/>
        </w:rPr>
        <w:t xml:space="preserve"> может вызвать угнетение системы кроветворения. В случае значительного снижения количества лейкоцитов или тромбоцитов лечение </w:t>
      </w:r>
      <w:r w:rsidR="001B7F70" w:rsidRPr="001B7F70">
        <w:rPr>
          <w:i/>
          <w:szCs w:val="24"/>
        </w:rPr>
        <w:t>#</w:t>
      </w:r>
      <w:r w:rsidRPr="0073723C">
        <w:rPr>
          <w:i/>
          <w:szCs w:val="24"/>
        </w:rPr>
        <w:t>метотрексатом</w:t>
      </w:r>
      <w:r w:rsidR="001B7F70" w:rsidRPr="001B7F70">
        <w:rPr>
          <w:i/>
          <w:szCs w:val="24"/>
        </w:rPr>
        <w:t>**</w:t>
      </w:r>
      <w:r w:rsidRPr="0073723C">
        <w:rPr>
          <w:i/>
          <w:szCs w:val="24"/>
        </w:rPr>
        <w:t xml:space="preserve"> немедленно прекращают и назначают симптоматическую поддерживающую терапию.</w:t>
      </w:r>
    </w:p>
    <w:p w:rsidR="00785CD3" w:rsidRPr="0073723C" w:rsidRDefault="00CE089D" w:rsidP="00C32F88">
      <w:pPr>
        <w:pStyle w:val="afd"/>
        <w:numPr>
          <w:ilvl w:val="0"/>
          <w:numId w:val="36"/>
        </w:numPr>
        <w:suppressAutoHyphens/>
        <w:ind w:left="993"/>
        <w:divId w:val="1767193717"/>
        <w:rPr>
          <w:i/>
        </w:rPr>
      </w:pPr>
      <w:r w:rsidRPr="0073723C">
        <w:rPr>
          <w:i/>
          <w:szCs w:val="24"/>
        </w:rPr>
        <w:t xml:space="preserve">Функциональные печеночные пробы. Особое внимание необходимо уделять выявлению признаков повреждения печени. Лечение </w:t>
      </w:r>
      <w:r w:rsidR="001B7F70" w:rsidRPr="001B7F70">
        <w:rPr>
          <w:i/>
          <w:szCs w:val="24"/>
        </w:rPr>
        <w:t>#</w:t>
      </w:r>
      <w:r w:rsidRPr="0073723C">
        <w:rPr>
          <w:i/>
          <w:szCs w:val="24"/>
        </w:rPr>
        <w:t>метотрексатом</w:t>
      </w:r>
      <w:r w:rsidR="001B7F70" w:rsidRPr="001B7F70">
        <w:rPr>
          <w:i/>
          <w:szCs w:val="24"/>
        </w:rPr>
        <w:t>**</w:t>
      </w:r>
      <w:r w:rsidRPr="0073723C">
        <w:rPr>
          <w:i/>
          <w:szCs w:val="24"/>
        </w:rPr>
        <w:t xml:space="preserve"> не </w:t>
      </w:r>
      <w:r w:rsidRPr="0073723C">
        <w:rPr>
          <w:i/>
          <w:szCs w:val="24"/>
        </w:rPr>
        <w:lastRenderedPageBreak/>
        <w:t xml:space="preserve">следует начинать или необходимо приостанавливать в случае любых отклонений результатов функциональных печеночных тестов или биопсии печени. Обычно показатели нормализуются в течение 2 недель, после чего лечение по решению может быть возобновлено. </w:t>
      </w:r>
    </w:p>
    <w:p w:rsidR="00785CD3" w:rsidRPr="0073723C" w:rsidRDefault="00CE089D" w:rsidP="00C32F88">
      <w:pPr>
        <w:pStyle w:val="afd"/>
        <w:numPr>
          <w:ilvl w:val="0"/>
          <w:numId w:val="36"/>
        </w:numPr>
        <w:suppressAutoHyphens/>
        <w:ind w:left="993"/>
        <w:divId w:val="1767193717"/>
        <w:rPr>
          <w:i/>
        </w:rPr>
      </w:pPr>
      <w:r w:rsidRPr="0073723C">
        <w:rPr>
          <w:i/>
          <w:szCs w:val="24"/>
        </w:rPr>
        <w:t xml:space="preserve">Функциональные почечные пробы и исследование мочи. Поскольку </w:t>
      </w:r>
      <w:r w:rsidR="001B7F70" w:rsidRPr="001B7F70">
        <w:rPr>
          <w:i/>
          <w:szCs w:val="24"/>
        </w:rPr>
        <w:t>#</w:t>
      </w:r>
      <w:r w:rsidRPr="0073723C">
        <w:rPr>
          <w:i/>
          <w:szCs w:val="24"/>
        </w:rPr>
        <w:t>метотрексат</w:t>
      </w:r>
      <w:r w:rsidR="001B7F70" w:rsidRPr="001B7F70">
        <w:rPr>
          <w:i/>
          <w:szCs w:val="24"/>
        </w:rPr>
        <w:t>**</w:t>
      </w:r>
      <w:r w:rsidRPr="0073723C">
        <w:rPr>
          <w:i/>
          <w:szCs w:val="24"/>
        </w:rPr>
        <w:t xml:space="preserve"> экскретируется преимущественно почками, у пациентов с нарушениями функции почек может наблюдаться повышение концентрации </w:t>
      </w:r>
      <w:r w:rsidR="001B7F70" w:rsidRPr="001B7F70">
        <w:rPr>
          <w:i/>
          <w:szCs w:val="24"/>
        </w:rPr>
        <w:t>#</w:t>
      </w:r>
      <w:r w:rsidRPr="0073723C">
        <w:rPr>
          <w:i/>
          <w:szCs w:val="24"/>
        </w:rPr>
        <w:t>метотрексата</w:t>
      </w:r>
      <w:r w:rsidR="001B7F70" w:rsidRPr="001B7F70">
        <w:rPr>
          <w:i/>
          <w:szCs w:val="24"/>
        </w:rPr>
        <w:t>**</w:t>
      </w:r>
      <w:r w:rsidRPr="0073723C">
        <w:rPr>
          <w:i/>
          <w:szCs w:val="24"/>
        </w:rPr>
        <w:t xml:space="preserve"> в крови, следствием чего могут быть тяжелые побочные реакции. Необходимо тщательно контролировать состояние пациентов, у которых возможны нарушения функции почек (например, пожилых пациентов). </w:t>
      </w:r>
    </w:p>
    <w:p w:rsidR="00785CD3" w:rsidRPr="0073723C" w:rsidRDefault="00CE089D" w:rsidP="00C32F88">
      <w:pPr>
        <w:pStyle w:val="afd"/>
        <w:numPr>
          <w:ilvl w:val="0"/>
          <w:numId w:val="36"/>
        </w:numPr>
        <w:suppressAutoHyphens/>
        <w:ind w:left="993"/>
        <w:divId w:val="1767193717"/>
        <w:rPr>
          <w:i/>
        </w:rPr>
      </w:pPr>
      <w:r w:rsidRPr="0073723C">
        <w:rPr>
          <w:i/>
          <w:szCs w:val="24"/>
        </w:rPr>
        <w:t xml:space="preserve">Поскольку </w:t>
      </w:r>
      <w:r w:rsidR="001B7F70" w:rsidRPr="001B7F70">
        <w:rPr>
          <w:i/>
          <w:szCs w:val="24"/>
        </w:rPr>
        <w:t>#</w:t>
      </w:r>
      <w:r w:rsidRPr="0073723C">
        <w:rPr>
          <w:i/>
          <w:szCs w:val="24"/>
        </w:rPr>
        <w:t>метотрексат</w:t>
      </w:r>
      <w:r w:rsidR="001B7F70" w:rsidRPr="001B7F70">
        <w:rPr>
          <w:i/>
          <w:szCs w:val="24"/>
        </w:rPr>
        <w:t>**</w:t>
      </w:r>
      <w:r w:rsidRPr="0073723C">
        <w:rPr>
          <w:i/>
          <w:szCs w:val="24"/>
        </w:rPr>
        <w:t xml:space="preserve"> оказывает воздействие на иммунную систему, он может изменять реакцию на вакцинацию и влиять на результаты иммунологических тестов. Особая осторожность необходима при лечении пациентов с неактивными, хроническими инфекциями (такими как опоясывающий лишай, туберкулез, вирусный гепатит В или С) ввиду их возможной активации. В период лечения </w:t>
      </w:r>
      <w:r w:rsidR="001B7F70" w:rsidRPr="001B7F70">
        <w:rPr>
          <w:i/>
          <w:szCs w:val="24"/>
        </w:rPr>
        <w:t>#</w:t>
      </w:r>
      <w:r w:rsidRPr="0073723C">
        <w:rPr>
          <w:i/>
          <w:szCs w:val="24"/>
        </w:rPr>
        <w:t>метотрексатом</w:t>
      </w:r>
      <w:r w:rsidR="001B7F70" w:rsidRPr="001B7F70">
        <w:rPr>
          <w:i/>
          <w:szCs w:val="24"/>
        </w:rPr>
        <w:t>**</w:t>
      </w:r>
      <w:r w:rsidRPr="0073723C">
        <w:rPr>
          <w:i/>
          <w:szCs w:val="24"/>
        </w:rPr>
        <w:t xml:space="preserve"> не следует проводить вакцинацию живыми вакцинами.</w:t>
      </w:r>
    </w:p>
    <w:p w:rsidR="00785CD3" w:rsidRPr="0073723C" w:rsidRDefault="00CE089D" w:rsidP="00785CD3">
      <w:pPr>
        <w:pStyle w:val="afd"/>
        <w:suppressAutoHyphens/>
        <w:ind w:left="709" w:firstLine="0"/>
        <w:divId w:val="1767193717"/>
        <w:rPr>
          <w:i/>
        </w:rPr>
      </w:pPr>
      <w:r w:rsidRPr="0073723C">
        <w:rPr>
          <w:i/>
          <w:szCs w:val="24"/>
        </w:rPr>
        <w:t xml:space="preserve">В связи с возможностью активации хронической инфекции пациентам, которым планируется или проводится терапия </w:t>
      </w:r>
      <w:r w:rsidR="001B7F70" w:rsidRPr="001B7F70">
        <w:rPr>
          <w:i/>
          <w:szCs w:val="24"/>
        </w:rPr>
        <w:t>#</w:t>
      </w:r>
      <w:r w:rsidRPr="0073723C">
        <w:rPr>
          <w:i/>
          <w:szCs w:val="24"/>
        </w:rPr>
        <w:t>метотрексатом</w:t>
      </w:r>
      <w:r w:rsidR="001B7F70" w:rsidRPr="001B7F70">
        <w:rPr>
          <w:i/>
          <w:szCs w:val="24"/>
        </w:rPr>
        <w:t>**</w:t>
      </w:r>
      <w:r w:rsidRPr="0073723C">
        <w:rPr>
          <w:i/>
          <w:szCs w:val="24"/>
        </w:rPr>
        <w:t>, может потребоваться определение антител к поверхностному антигену (HBsAg) вируса гепатита B (Hepatitis B virus), определение антител к вирусу гепатита C (Hepatitis C virus) в крови, определение антител классов M, G (IgM, IgG) к вирусу иммунодефицита человека ВИЧ-1 (Human immunodeficiency virus HIV 1) в крови, определение антител классов M, G (IgM, IgG) к вирусу иммунодефицита человека ВИЧ-2 (Human immunodeficiency virus HIV 2) в крови.</w:t>
      </w:r>
    </w:p>
    <w:p w:rsidR="0016386D" w:rsidRPr="0073723C" w:rsidRDefault="00CE089D" w:rsidP="0016386D">
      <w:pPr>
        <w:numPr>
          <w:ilvl w:val="0"/>
          <w:numId w:val="23"/>
        </w:numPr>
        <w:tabs>
          <w:tab w:val="clear" w:pos="720"/>
          <w:tab w:val="left" w:pos="1134"/>
        </w:tabs>
        <w:ind w:left="709" w:firstLine="0"/>
        <w:divId w:val="1767193717"/>
        <w:rPr>
          <w:rFonts w:eastAsia="Times New Roman"/>
        </w:rPr>
      </w:pPr>
      <w:r w:rsidRPr="0073723C">
        <w:rPr>
          <w:rStyle w:val="affa"/>
          <w:rFonts w:eastAsia="Times New Roman"/>
        </w:rPr>
        <w:t>Рекомендуются</w:t>
      </w:r>
      <w:r w:rsidRPr="0073723C">
        <w:rPr>
          <w:rFonts w:eastAsia="Times New Roman"/>
        </w:rPr>
        <w:t xml:space="preserve"> при поздних стадиях</w:t>
      </w:r>
      <w:r w:rsidR="00137008" w:rsidRPr="0073723C">
        <w:rPr>
          <w:rFonts w:eastAsia="Times New Roman"/>
        </w:rPr>
        <w:t xml:space="preserve"> </w:t>
      </w:r>
      <w:r w:rsidR="001B7F70" w:rsidRPr="001B7F70">
        <w:rPr>
          <w:rFonts w:eastAsia="Times New Roman"/>
        </w:rPr>
        <w:t>(IIB</w:t>
      </w:r>
      <w:r w:rsidR="001B7F70" w:rsidRPr="001B7F70">
        <w:t>–</w:t>
      </w:r>
      <w:r w:rsidR="001B7F70" w:rsidRPr="001B7F70">
        <w:rPr>
          <w:rFonts w:eastAsia="Times New Roman"/>
        </w:rPr>
        <w:t xml:space="preserve">IVB) грибовидного микоза, а также в качестве второй линии </w:t>
      </w:r>
      <w:r w:rsidR="001B7F70" w:rsidRPr="001B7F70">
        <w:t>ранних стадий грибовидного микоза при отсутствии или недостаточном эффекте от проводимой терапии</w:t>
      </w:r>
      <w:r w:rsidR="001B7F70" w:rsidRPr="001B7F70">
        <w:rPr>
          <w:rFonts w:eastAsia="Times New Roman"/>
        </w:rPr>
        <w:t xml:space="preserve"> #вориностат 200</w:t>
      </w:r>
      <w:r w:rsidR="001B7F70" w:rsidRPr="001B7F70">
        <w:t>–</w:t>
      </w:r>
      <w:r w:rsidR="001B7F70" w:rsidRPr="001B7F70">
        <w:rPr>
          <w:rFonts w:eastAsia="Times New Roman"/>
        </w:rPr>
        <w:t xml:space="preserve">400 мг перорально ежедневно </w:t>
      </w:r>
      <w:r w:rsidR="00062499" w:rsidRPr="001B7F70">
        <w:rPr>
          <w:rFonts w:eastAsia="Times New Roman"/>
        </w:rPr>
        <w:fldChar w:fldCharType="begin" w:fldLock="1"/>
      </w:r>
      <w:r w:rsidR="001B7F70" w:rsidRPr="001B7F70">
        <w:rPr>
          <w:rFonts w:eastAsia="Times New Roman"/>
        </w:rPr>
        <w:instrText>ADDIN CSL_CITATION {"citationItems":[{"id":"ITEM-1","itemData":{"DOI":"10.1182/blood-2009-07-202895","ISSN":"00064971","PMID":"19696197","abstract":"The most common subtypes of primary cutaneous T-cell lymphomas are mycosis fungoides (MF) and Sézary syndrome (SS). The majority of patients have indolent disease; and given the incurable nature of MF/SS, management should focus on improving symptoms and cosmesis while limiting toxicity. Management of MF/SS should use a \"stage-based\" approach; treatment of early-stage disease (IA-IIA) typically involves skin directed therapies that include topical corticosteroids, phototherapy (psoralen plus ultraviolet A radiation or ultraviolet B radiation), topical chemotherapy, topical or systemic bexarotene, and radiotherapy. Systemic approaches are used for recalcitrant early-stage disease, advanced-stage disease (IIB-IV), and transformed disease and include retinoids, such as bexarotene, interferon-α, histone deacetylase inhibitors, the fusion toxin denileukin diftitox, systemic chemotherapy including transplantation, and extracorporeal photopheresis. Examples of drugs under active investigation include new histone deacetylase inhibitors, forodesine, monoclonal antibodies, proteasome inhibitors, and immunomodulatory agents, such as lenalidomide. It is appropriate to consider patients for novel agents within clinical trials if they have failed front-line therapy and before chemotherapy is used. © 2009 by The American Society of Hematology.","author":[{"dropping-particle":"","family":"Prince","given":"H. Miles","non-dropping-particle":"","parse-names":false,"suffix":""},{"dropping-particle":"","family":"Whittaker","given":"Sean","non-dropping-particle":"","parse-names":false,"suffix":""},{"dropping-particle":"","family":"Hoppe","given":"Richard T.","non-dropping-particle":"","parse-names":false,"suffix":""}],"container-title":"Blood","id":"ITEM-1","issue":"20","issued":{"date-parts":[["2009","11","12"]]},"page":"4337-4353","publisher":"Blood","title":"How I treat mycosis fungoides and Sézary syndrome","type":"article","volume":"114"},"uris":["http://www.mendeley.com/documents/?uuid=f9ca00c1-2f14-34eb-960a-77c45505e71d"]},{"id":"ITEM-2","itemData":{"DOI":"10.1182/blood-2006-06-025999","ISSN":"00064971","PMID":"16960145","abstract":"The activity and safety of the histone deacetylase inhibitor vorinostat (suberoylanilide hydroxamic acid, SAHA) were evaluated in patients with refractory cutaneous T-cell lymphoma (CTCL). Group 1 received vorinostat 400 mg daily, group 2 received vorinostat 300 mg twice daily for 3 days with 4 days rest, and group 3 received vorinostat 300 mg twice daily for 14 days with 7 days rest followed by 200 mg twice daily. Treatment continued until disease progression or intolerable toxicity. The primary objective was to determine the complete and partial response (PR) rate. Time to response (TTR), time to progressive disease (TTP), response duration (DOR), pruritus relief, and safety were determined. Thirty-three patients who had received a median of 5 prior therapies were enrolled. Eight patients achieved a PR, including 7 with advanced disease and 4 with Sézary syndrome. The median TTR, DOR, and TTP for responders were 11.9, 15.1, and 30.2 weeks, respectively. Fourteen of 31 evaluable patients had pruritus relief. The most common drug-related AEs were fatigue, thrombocytopenia, diarrhea, and nausea. The most common grade 3 or 4 drug-related AEs were thrombocytopenia and dehydration. Vorinostat demonstrated activity in heavily pretreated patients with CTCL. The 400 mg daily regimen had the most favorable safety profile and is being further evaluated. © 2007 by The American Society of Hematology.","author":[{"dropping-particle":"","family":"Duvic","given":"Madeleine","non-dropping-particle":"","parse-names":false,"suffix":""},{"dropping-particle":"","family":"Talpur","given":"Rakshandra","non-dropping-particle":"","parse-names":false,"suffix":""},{"dropping-particle":"","family":"Ni","given":"Xiao","non-dropping-particle":"","parse-names":false,"suffix":""},{"dropping-particle":"","family":"Zhang","given":"Chunlei","non-dropping-particle":"","parse-names":false,"suffix":""},{"dropping-particle":"","family":"Hazarika","given":"Parul","non-dropping-particle":"","parse-names":false,"suffix":""},{"dropping-particle":"","family":"Kelly","given":"Cecilia","non-dropping-particle":"","parse-names":false,"suffix":""},{"dropping-particle":"","family":"Chiao","given":"Judy H.","non-dropping-particle":"","parse-names":false,"suffix":""},{"dropping-particle":"","family":"Reilly","given":"John F.","non-dropping-particle":"","parse-names":false,"suffix":""},{"dropping-particle":"","family":"Ricker","given":"Justin L.","non-dropping-particle":"","parse-names":false,"suffix":""},{"dropping-particle":"","family":"Richon","given":"Victoria M.","non-dropping-particle":"","parse-names":false,"suffix":""},{"dropping-particle":"","family":"Frankel","given":"Stanley R.","non-dropping-particle":"","parse-names":false,"suffix":""}],"container-title":"Blood","id":"ITEM-2","issue":"1","issued":{"date-parts":[["2007","1","1"]]},"page":"31-39","publisher":"Blood","title":"Phase 2 trial of oral vorinostat (suberoylanilide hydroxamic acid, SAHA) for refractory cutaneous T-cell lymphoma (CTCL)","type":"article-journal","volume":"109"},"uris":["http://www.mendeley.com/documents/?uuid=b0a90e5e-79db-33ac-b61e-08085878b852"]},{"id":"ITEM-3","itemData":{"DOI":"10.1200/JCO.2006.10.2434","ISSN":"0732183X","PMID":"17577020","abstract":"Purpose: To evaluate the activity and safety of the histone deacetylase inhibitor vorinostat (suberoylanilide hydroxamic acid) in persistent, progressive, or recurrent mycosis fungoides or Sézary syndrome (MF/SS) cutaneous t-cell lymphoma (CTCL) subtypes. Patients and Methods: Patients with stage IB-IVA MF/SS were treated with 400 mg of oral vorinostat daily until disease progression or intolerable toxicity in this open-label phase IIb trial (NCT00091559). Patients must have received at least two prior systemic therapies at least one of which included bexarotene unless intolerable. The primary end point was the objective response rate (ORR) measured by the modified severity weighted assessment tool and secondary end points were time to response (TTR), time to progression (TTP), duration of response (DOR), and pruritus relief (≥ 3-point improvement on a 10-point visual analog scale). Safety and tolerability were also evaluated. Results: Seventy-four patients were enrolled, including 61 with at least stage IIB disease. The ORR was 29.7% overall; 29.5% in stage IIB or higher patients. Median TTR in stage IIB or higher patients was 56 days. Median DOR was not reached but estimated to be ≥ 185 days (34+ to 441+). Median TTP was 4.9 months overall, and ≥ 9.8 months for stage IIB or higher responders. Overall, 32% of patients had pruritus relief. The most common drug-related adverse experiences (AE) were diarrhea (49%), fatigue (46%), nausea (43%), and anorexia (26%); most were grade 2 or lower but those grade 3 or higher included fatigue (5%), pulmonary embolism (5%), thrombocytopenia (5%), and nausea (4%). Eleven patients required dose modification and nine discontinued due to AE. Conclusion: Oral vorinostat was effective in treatment refractory MF/SS with an acceptable safety profile. © 2007 by American Society of Clinical Oncology.","author":[{"dropping-particle":"","family":"Olsen","given":"Elise A.","non-dropping-particle":"","parse-names":false,"suffix":""},{"dropping-particle":"","family":"Kim","given":"Youn H.","non-dropping-particle":"","parse-names":false,"suffix":""},{"dropping-particle":"","family":"Kuzel","given":"Timothy M.","non-dropping-particle":"","parse-names":false,"suffix":""},{"dropping-particle":"","family":"Pacheco","given":"Theresa R.","non-dropping-particle":"","parse-names":false,"suffix":""},{"dropping-particle":"","family":"Foss","given":"Francine M.","non-dropping-particle":"","parse-names":false,"suffix":""},{"dropping-particle":"","family":"Parker","given":"Sareeta","non-dropping-particle":"","parse-names":false,"suffix":""},{"dropping-particle":"","family":"Frankel","given":"Stanley R.","non-dropping-particle":"","parse-names":false,"suffix":""},{"dropping-particle":"","family":"Chen","given":"Cong","non-dropping-particle":"","parse-names":false,"suffix":""},{"dropping-particle":"","family":"Ricker","given":"Justin L.","non-dropping-particle":"","parse-names":false,"suffix":""},{"dropping-particle":"","family":"Arduino","given":"Jean Marie","non-dropping-particle":"","parse-names":false,"suffix":""},{"dropping-particle":"","family":"Duvic","given":"Madeleine","non-dropping-particle":"","parse-names":false,"suffix":""}],"container-title":"Journal of Clinical Oncology","id":"ITEM-3","issue":"21","issued":{"date-parts":[["2007","7","20"]]},"page":"3109-3115","publisher":"J Clin Oncol","title":"Phase IIB multicenter trial of vorinostat in patients with persistent, progressive, or treatment refractory cutaneous t-cell lymphoma","type":"article-journal","volume":"25"},"uris":["http://www.mendeley.com/documents/?uuid=bcd28bbc-61ba-30b6-ace9-dfd8899cd8f9"]},{"id":"ITEM-4","itemData":{"DOI":"10.3816/CLM.2009.n.082","ISSN":"15579190","abstract":"Introduction: Vorinostat, an orally active histone deacetylase inhibitor, was approved in October 2006 by the US Food and Drug Administration for the treatment of cutaneous manifestations of cutaneous T-cell lymphoma (CTCL) in patients with progressive, persistent, or recurrent disease during or after treatment with 2 systemic therapies. Patients and Methods: A multicenter, open-label phase IIb trial evaluated the activity and safety of vorinostat 400 mg orally daily in patients with ≥ stage IB, persistent, progressive, or treatment-refractory mycosis fungoides or Sézary syndrome CTCL subtypes. We report the safety and tolerability of long-term vorinostat therapy in patients who experienced clinical benefit in the previous phase IIb study. Results: As of December 11, 2008, 6 of 74 patients enrolled in the original study had received vorinostat for ≥ 2 years: median age, 65 years; median number of previous therapies, 2.5; median time from diagnosis to enrollment, 1.8 years. At enrollment into the continuation phase, 5 of the 6 patients had achieved an objective response, and 1 patient had prolonged stable disease. During the follow-up study, the most common drug-related grade 1-4 adverse events (AEs) were diarrhea, nausea, fatigue, and alopecia (6, 5, 4, and 3 patients, respectively). Incidence of grade 3/4 AEs was low: anorexia (n = 1), increased creatinine phosphokinase (n = 1), pulmonary embolism (n = 1), rash (n = 1), and thrombocytopenia (n = 1). Five patients have discontinued the study drug, and 1 patient is continuing therapy. Conclusion: This post hoc subset analysis provides evidence for the long-term safety and clinical benefit of vorinostat in heavily pretreated patients with CTCL, regardless of previous treatment failures.","author":[{"dropping-particle":"","family":"Duvic","given":"Madeleine","non-dropping-particle":"","parse-names":false,"suffix":""},{"dropping-particle":"","family":"Olsen","given":"Elise","non-dropping-particle":"","parse-names":false,"suffix":""},{"dropping-particle":"","family":"Breneman","given":"Debra","non-dropping-particle":"","parse-names":false,"suffix":""},{"dropping-particle":"","family":"Pacheco","given":"Theresa","non-dropping-particle":"","parse-names":false,"suffix":""},{"dropping-particle":"","family":"Parker","given":"Sareeta","non-dropping-particle":"","parse-names":false,"suffix":""},{"dropping-particle":"","family":"Vonderheid","given":"Eric","non-dropping-particle":"","parse-names":false,"suffix":""},{"dropping-particle":"","family":"Abuav","given":"Rachel","non-dropping-particle":"","parse-names":false,"suffix":""},{"dropping-particle":"","family":"Ricker","given":"Justin","non-dropping-particle":"","parse-names":false,"suffix":""},{"dropping-particle":"","family":"Rizvi","given":"Syed","non-dropping-particle":"","parse-names":false,"suffix":""},{"dropping-particle":"","family":"Chen","given":"Cong","non-dropping-particle":"","parse-names":false,"suffix":""},{"dropping-particle":"","family":"Boileau","given":"Kathleen","non-dropping-particle":"","parse-names":false,"suffix":""},{"dropping-particle":"","family":"Gunchenko","given":"Alexandra","non-dropping-particle":"","parse-names":false,"suffix":""},{"dropping-particle":"","family":"Sanz-Rodriguez","given":"Cesar","non-dropping-particle":"","parse-names":false,"suffix":""},{"dropping-particle":"","family":"Geskin","given":"Larisa","non-dropping-particle":"","parse-names":false,"suffix":""}],"container-title":"Clinical Lymphoma and Myeloma","id":"ITEM-4","issue":"6","issued":{"date-parts":[["2009","12","1"]]},"page":"412-416","publisher":"Cancer Information Group, LP","title":"Evaluation of the long-term tolerability and clinical benefit of vorinostat in patients with advanced cutaneous T-cell lymphoma","type":"article-journal","volume":"9"},"uris":["http://www.mendeley.com/documents/?uuid=2ed8665e-c74a-32eb-8127-c3a483fcbdc5"]}],"mendeley":{"formattedCitation":"[49–52]","plainTextFormattedCitation":"[49–52]","previouslyFormattedCitation":"[49–52]"},"properties":{"noteIndex":0},"schema":"https://github.com/citation-style-language/schema/raw/master/csl-citation.json"}</w:instrText>
      </w:r>
      <w:r w:rsidR="00062499" w:rsidRPr="001B7F70">
        <w:rPr>
          <w:rFonts w:eastAsia="Times New Roman"/>
        </w:rPr>
        <w:fldChar w:fldCharType="separate"/>
      </w:r>
      <w:r w:rsidR="001B7F70" w:rsidRPr="001B7F70">
        <w:rPr>
          <w:rFonts w:eastAsia="Times New Roman"/>
          <w:noProof/>
        </w:rPr>
        <w:t>[49–52]</w:t>
      </w:r>
      <w:r w:rsidR="00062499" w:rsidRPr="001B7F70">
        <w:rPr>
          <w:rFonts w:eastAsia="Times New Roman"/>
        </w:rPr>
        <w:fldChar w:fldCharType="end"/>
      </w:r>
      <w:r w:rsidR="001B7F70" w:rsidRPr="001B7F70">
        <w:rPr>
          <w:rFonts w:eastAsia="Times New Roman"/>
        </w:rPr>
        <w:t>.</w:t>
      </w:r>
    </w:p>
    <w:p w:rsidR="00F724A7" w:rsidRPr="0073723C" w:rsidRDefault="000C307B" w:rsidP="00F724A7">
      <w:pPr>
        <w:pStyle w:val="afb"/>
        <w:tabs>
          <w:tab w:val="left" w:pos="1134"/>
        </w:tabs>
        <w:spacing w:beforeAutospacing="0" w:afterAutospacing="0" w:line="360" w:lineRule="auto"/>
        <w:ind w:left="709" w:firstLine="0"/>
        <w:divId w:val="1767193717"/>
        <w:rPr>
          <w:rFonts w:eastAsiaTheme="minorEastAsia"/>
          <w:b/>
        </w:rPr>
      </w:pPr>
      <w:r>
        <w:rPr>
          <w:rStyle w:val="affa"/>
        </w:rPr>
        <w:t xml:space="preserve">Уровень убедительности рекомендаций С </w:t>
      </w:r>
      <w:r w:rsidRPr="000C307B">
        <w:rPr>
          <w:b/>
        </w:rPr>
        <w:t>(уровень достоверности доказательств – 4)</w:t>
      </w:r>
    </w:p>
    <w:p w:rsidR="00F724A7" w:rsidRPr="0073723C" w:rsidRDefault="000C307B" w:rsidP="00D851D7">
      <w:pPr>
        <w:pStyle w:val="aff1"/>
        <w:divId w:val="1767193717"/>
        <w:rPr>
          <w:b w:val="0"/>
        </w:rPr>
      </w:pPr>
      <w:r>
        <w:rPr>
          <w:rStyle w:val="affa"/>
          <w:b/>
        </w:rPr>
        <w:t xml:space="preserve">Комментарии: </w:t>
      </w:r>
      <w:r>
        <w:rPr>
          <w:rStyle w:val="affb"/>
          <w:b w:val="0"/>
        </w:rPr>
        <w:t xml:space="preserve">из побочных эффектов </w:t>
      </w:r>
      <w:r w:rsidRPr="000C307B">
        <w:rPr>
          <w:b w:val="0"/>
          <w:i/>
        </w:rPr>
        <w:t xml:space="preserve">ингибитора гистондеацетилаз </w:t>
      </w:r>
      <w:r w:rsidR="007F36A7" w:rsidRPr="007F36A7">
        <w:rPr>
          <w:b w:val="0"/>
          <w:i/>
        </w:rPr>
        <w:t>#</w:t>
      </w:r>
      <w:r w:rsidR="001B7F70" w:rsidRPr="001B7F70">
        <w:rPr>
          <w:b w:val="0"/>
          <w:i/>
        </w:rPr>
        <w:t xml:space="preserve">вориностата </w:t>
      </w:r>
      <w:r>
        <w:rPr>
          <w:rStyle w:val="affb"/>
          <w:b w:val="0"/>
        </w:rPr>
        <w:t xml:space="preserve">встречаются тромбоцитопения, анемия, анорексия, тошнота, мышечные спазмы. Лечение проводят до достижения отсутствия признаков дальнейшего </w:t>
      </w:r>
      <w:r>
        <w:rPr>
          <w:rStyle w:val="affb"/>
          <w:b w:val="0"/>
        </w:rPr>
        <w:lastRenderedPageBreak/>
        <w:t xml:space="preserve">прогрессирования или до появления признаков неприемлемой токсичности. </w:t>
      </w:r>
      <w:r w:rsidRPr="000C307B">
        <w:rPr>
          <w:b w:val="0"/>
          <w:i/>
        </w:rPr>
        <w:t>Противопоказанием является детский в</w:t>
      </w:r>
      <w:r w:rsidR="001B7F70" w:rsidRPr="001B7F70">
        <w:rPr>
          <w:b w:val="0"/>
          <w:i/>
        </w:rPr>
        <w:t xml:space="preserve">озраст до 18 лет.  При приеме </w:t>
      </w:r>
      <w:r w:rsidR="007F36A7" w:rsidRPr="007F36A7">
        <w:rPr>
          <w:b w:val="0"/>
          <w:i/>
        </w:rPr>
        <w:t>#</w:t>
      </w:r>
      <w:r w:rsidR="001B7F70" w:rsidRPr="001B7F70">
        <w:rPr>
          <w:b w:val="0"/>
          <w:i/>
        </w:rPr>
        <w:t xml:space="preserve">вориностата возможно развитие тромбоцитопении и анемии, которые могут потребовать прекращения приема препарата или прекращения лечения. Возможно развитие лейкопении и нейтропении, требующих уменьшения дозы препарата. Отмечалось увеличение плазменной концентрации креатинина. Возможно также развитие гипокалиемии и увеличения плазменной концентрации креатинина, что может потребовать снижения дозы препарата. На фоне приема </w:t>
      </w:r>
      <w:r w:rsidR="007F36A7" w:rsidRPr="007F36A7">
        <w:rPr>
          <w:b w:val="0"/>
          <w:i/>
        </w:rPr>
        <w:t>#</w:t>
      </w:r>
      <w:r w:rsidR="001B7F70" w:rsidRPr="001B7F70">
        <w:rPr>
          <w:b w:val="0"/>
          <w:i/>
        </w:rPr>
        <w:t>вориностата отмечались гипергликемия, в связи с чем может потребоваться назначение диеты и/или гипогликемической терапии. Возможно развитие протеинурии.</w:t>
      </w:r>
    </w:p>
    <w:p w:rsidR="00F724A7" w:rsidRPr="0073723C" w:rsidRDefault="000C307B" w:rsidP="00F724A7">
      <w:pPr>
        <w:pStyle w:val="afb"/>
        <w:tabs>
          <w:tab w:val="left" w:pos="1134"/>
        </w:tabs>
        <w:spacing w:beforeAutospacing="0" w:afterAutospacing="0" w:line="360" w:lineRule="auto"/>
        <w:ind w:left="709" w:firstLine="0"/>
        <w:divId w:val="1767193717"/>
        <w:rPr>
          <w:rStyle w:val="affb"/>
        </w:rPr>
      </w:pPr>
      <w:r>
        <w:rPr>
          <w:rStyle w:val="affb"/>
        </w:rPr>
        <w:t xml:space="preserve">Применение комбинированной химиорадиотерапии не только не улучшает среднюю выживаемость пациентов по сравнению с «консервативной» терапией, а даже увеличивает частоту рецидивов, поэтому предпочтительно использовать наружную терапию, биологические препараты или их комбинацию </w:t>
      </w:r>
      <w:r w:rsidR="00062499" w:rsidRPr="0073723C">
        <w:rPr>
          <w:rStyle w:val="affb"/>
        </w:rPr>
        <w:fldChar w:fldCharType="begin" w:fldLock="1"/>
      </w:r>
      <w:r>
        <w:rPr>
          <w:rStyle w:val="affb"/>
        </w:rPr>
        <w:instrText>ADDIN CSL_CITATION {"citationItems":[{"id":"ITEM-1","itemData":{"DOI":"10.1182/blood-2009-07-202895","ISSN":"00064971","PMID":"19696197","abstract":"The most common subtypes of primary cutaneous T-cell lymphomas are mycosis fungoides (MF) and Sézary syndrome (SS). The majority of patients have indolent disease; and given the incurable nature of MF/SS, management should focus on improving symptoms and cosmesis while limiting toxicity. Management of MF/SS should use a \"stage-based\" approach; treatment of early-stage disease (IA-IIA) typically involves skin directed therapies that include topical corticosteroids, phototherapy (psoralen plus ultraviolet A radiation or ultraviolet B radiation), topical chemotherapy, topical or systemic bexarotene, and radiotherapy. Systemic approaches are used for recalcitrant early-stage disease, advanced-stage disease (IIB-IV), and transformed disease and include retinoids, such as bexarotene, interferon-α, histone deacetylase inhibitors, the fusion toxin denileukin diftitox, systemic chemotherapy including transplantation, and extracorporeal photopheresis. Examples of drugs under active investigation include new histone deacetylase inhibitors, forodesine, monoclonal antibodies, proteasome inhibitors, and immunomodulatory agents, such as lenalidomide. It is appropriate to consider patients for novel agents within clinical trials if they have failed front-line therapy and before chemotherapy is used. © 2009 by The American Society of Hematology.","author":[{"dropping-particle":"","family":"Prince","given":"H. Miles","non-dropping-particle":"","parse-names":false,"suffix":""},{"dropping-particle":"","family":"Whittaker","given":"Sean","non-dropping-particle":"","parse-names":false,"suffix":""},{"dropping-particle":"","family":"Hoppe","given":"Richard T.","non-dropping-particle":"","parse-names":false,"suffix":""}],"container-title":"Blood","id":"ITEM-1","issue":"20","issued":{"date-parts":[["2009","11","12"]]},"page":"4337-4353","publisher":"Blood","title":"How I treat mycosis fungoides and Sézary syndrome","type":"article","volume":"114"},"uris":["http://www.mendeley.com/documents/?uuid=f9ca00c1-2f14-34eb-960a-77c45505e71d"]}],"mendeley":{"formattedCitation":"[49]","plainTextFormattedCitation":"[49]","previouslyFormattedCitation":"[49]"},"properties":{"noteIndex":0},"schema":"https://github.com/citation-style-language/schema/raw/master/csl-citation.json"}</w:instrText>
      </w:r>
      <w:r w:rsidR="00062499" w:rsidRPr="0073723C">
        <w:rPr>
          <w:rStyle w:val="affb"/>
        </w:rPr>
        <w:fldChar w:fldCharType="separate"/>
      </w:r>
      <w:r w:rsidR="00B937A6" w:rsidRPr="0073723C">
        <w:rPr>
          <w:rStyle w:val="affb"/>
          <w:i w:val="0"/>
          <w:noProof/>
        </w:rPr>
        <w:t>[49]</w:t>
      </w:r>
      <w:r w:rsidR="00062499" w:rsidRPr="0073723C">
        <w:rPr>
          <w:rStyle w:val="affb"/>
        </w:rPr>
        <w:fldChar w:fldCharType="end"/>
      </w:r>
      <w:r w:rsidR="00CE089D" w:rsidRPr="0073723C">
        <w:rPr>
          <w:rStyle w:val="affb"/>
        </w:rPr>
        <w:t>.</w:t>
      </w:r>
    </w:p>
    <w:p w:rsidR="00B937A6" w:rsidRPr="0073723C" w:rsidRDefault="00B937A6" w:rsidP="00B937A6">
      <w:pPr>
        <w:pStyle w:val="afd"/>
        <w:numPr>
          <w:ilvl w:val="0"/>
          <w:numId w:val="14"/>
        </w:numPr>
        <w:autoSpaceDE w:val="0"/>
        <w:autoSpaceDN w:val="0"/>
        <w:adjustRightInd w:val="0"/>
        <w:ind w:left="709" w:hanging="425"/>
        <w:divId w:val="1767193717"/>
        <w:rPr>
          <w:szCs w:val="24"/>
        </w:rPr>
      </w:pPr>
      <w:r w:rsidRPr="0073723C">
        <w:rPr>
          <w:rStyle w:val="affa"/>
          <w:szCs w:val="24"/>
        </w:rPr>
        <w:t xml:space="preserve">Рекомендуется </w:t>
      </w:r>
      <w:r w:rsidRPr="0073723C">
        <w:rPr>
          <w:rStyle w:val="affa"/>
          <w:b w:val="0"/>
          <w:bCs w:val="0"/>
          <w:szCs w:val="24"/>
        </w:rPr>
        <w:t xml:space="preserve">у пациентов с грибовидным микозом на поздних стадиях с агрессивным течением и/или неэффективностью других методов лечения </w:t>
      </w:r>
      <w:r w:rsidRPr="0073723C">
        <w:rPr>
          <w:rStyle w:val="affa"/>
          <w:b w:val="0"/>
          <w:szCs w:val="24"/>
        </w:rPr>
        <w:t xml:space="preserve">применение </w:t>
      </w:r>
      <w:r w:rsidRPr="0073723C">
        <w:rPr>
          <w:szCs w:val="24"/>
        </w:rPr>
        <w:t>в качестве системной химиотерапии монотерапия #гемцитабином</w:t>
      </w:r>
      <w:r w:rsidR="007F4181">
        <w:rPr>
          <w:szCs w:val="24"/>
        </w:rPr>
        <w:t>**</w:t>
      </w:r>
      <w:r w:rsidRPr="0073723C">
        <w:rPr>
          <w:szCs w:val="24"/>
        </w:rPr>
        <w:t xml:space="preserve"> по схеме 1200 мг/м</w:t>
      </w:r>
      <w:r w:rsidR="001B7F70" w:rsidRPr="001B7F70">
        <w:rPr>
          <w:szCs w:val="24"/>
          <w:vertAlign w:val="superscript"/>
        </w:rPr>
        <w:t>2</w:t>
      </w:r>
      <w:r w:rsidR="001B7F70" w:rsidRPr="001B7F70">
        <w:rPr>
          <w:szCs w:val="24"/>
        </w:rPr>
        <w:t xml:space="preserve"> в 1, 8 и 15-й дни 28-дневного цикла, всего 6 циклов </w:t>
      </w:r>
      <w:r w:rsidR="00062499" w:rsidRPr="001B7F70">
        <w:rPr>
          <w:szCs w:val="24"/>
        </w:rPr>
        <w:fldChar w:fldCharType="begin" w:fldLock="1"/>
      </w:r>
      <w:r w:rsidR="001B7F70" w:rsidRPr="001B7F70">
        <w:rPr>
          <w:szCs w:val="24"/>
        </w:rPr>
        <w:instrText>ADDIN CSL_CITATION {"citationItems":[{"id":"ITEM-1","itemData":{"DOI":"10.1200/JCO.2000.18.13.2603","ISSN":"0732183X","abstract":"Purpose: To evaluate the efficacy and toxicity of gemcitabine, a novel pyrimidine antimetabolite with a low-toxicity profile and activity in several solid tumors, in patients with relapsed or refractory cutaneous T-cell lymphomas. Patients and Methods: Between May 1997 and February 1999, 44 previously treated patients with mycosis fungoides (MF; n = 30) and peripheral T-cell lymphoma unspecified (PTCLU) with exclusive skin involvement (n = 14) were enrolled onto a two-institution, phase II trial and treated with gemcitabine. This drug was given on days 1, 8, and 15 of a 28- day schedule at a dose of 1,200 mg/m2 intravenously over 30 minutes for a total of three courses. Results: Of the 44 patients, five (11.5%) achieved complete responses (CRs), 26 (59%) partial responses (PRs), and the remaining 13 showed no benefit from the treatment. Two of the CRs were histologically confirmed. The CR and PR rates were the same for patients with MF and those with PTCLU, respectively. No difference in terms of overall response rate was observed between relapsed and refractory patients. The median durations of CR and PR were 15 months (range, 6 to 22 months) and 10 months (range, 2 to 15 months), respectively. Treatment was well tolerated; hematologic toxicity was mild, and no nausea/vomiting or organ toxicity was recorded. Conclusion: The results of the present phase II study show activity of gemcitabine as a single agent in patients with pretreated cutaneous T-cell lymphoma. Further studies that use gemcitabine alone or in combination with other drugs in earlier stages of the disease are needed. (C) 2000 by American Society of Clinical Oncology.","author":[{"dropping-particle":"","family":"Zinzani","given":"Pier Luigi","non-dropping-particle":"","parse-names":false,"suffix":""},{"dropping-particle":"","family":"Baliva","given":"Gianandrea","non-dropping-particle":"","parse-names":false,"suffix":""},{"dropping-particle":"","family":"Magagnoli","given":"Massimo","non-dropping-particle":"","parse-names":false,"suffix":""},{"dropping-particle":"","family":"Bendandi","given":"Maurizio","non-dropping-particle":"","parse-names":false,"suffix":""},{"dropping-particle":"","family":"Modugno","given":"Gino","non-dropping-particle":"","parse-names":false,"suffix":""},{"dropping-particle":"","family":"Gherlinzoni","given":"Filippo","non-dropping-particle":"","parse-names":false,"suffix":""},{"dropping-particle":"","family":"Orcioni","given":"Giulio Fraternali","non-dropping-particle":"","parse-names":false,"suffix":""},{"dropping-particle":"","family":"Ascani","given":"Stefano","non-dropping-particle":"","parse-names":false,"suffix":""},{"dropping-particle":"","family":"Simoni","given":"Romeo","non-dropping-particle":"","parse-names":false,"suffix":""},{"dropping-particle":"","family":"Pileri","given":"Stefano A.","non-dropping-particle":"","parse-names":false,"suffix":""},{"dropping-particle":"","family":"Tura","given":"Sante","non-dropping-particle":"","parse-names":false,"suffix":""}],"container-title":"Journal of Clinical Oncology","id":"ITEM-1","issue":"13","issued":{"date-parts":[["2000"]]},"page":"2603-2606","publisher":"American Society of Clinical Oncology","title":"Gemcitabine treatment in pretreated cutaneous T-cell lymphoma: Experience in 44 patients","type":"article-journal","volume":"18"},"uris":["http://www.mendeley.com/documents/?uuid=60bcf654-5fd0-3d60-93f7-2bdfa8832859"]}],"mendeley":{"formattedCitation":"[53]","plainTextFormattedCitation":"[53]","previouslyFormattedCitation":"[53]"},"properties":{"noteIndex":0},"schema":"https://github.com/citation-style-language/schema/raw/master/csl-citation.json"}</w:instrText>
      </w:r>
      <w:r w:rsidR="00062499" w:rsidRPr="001B7F70">
        <w:rPr>
          <w:szCs w:val="24"/>
        </w:rPr>
        <w:fldChar w:fldCharType="separate"/>
      </w:r>
      <w:r w:rsidR="001B7F70" w:rsidRPr="001B7F70">
        <w:rPr>
          <w:noProof/>
          <w:szCs w:val="24"/>
        </w:rPr>
        <w:t>[53]</w:t>
      </w:r>
      <w:r w:rsidR="00062499" w:rsidRPr="001B7F70">
        <w:rPr>
          <w:szCs w:val="24"/>
        </w:rPr>
        <w:fldChar w:fldCharType="end"/>
      </w:r>
    </w:p>
    <w:p w:rsidR="00B937A6" w:rsidRPr="00A727E0" w:rsidRDefault="000C307B" w:rsidP="00B937A6">
      <w:pPr>
        <w:pStyle w:val="afff9"/>
        <w:divId w:val="1767193717"/>
        <w:rPr>
          <w:rStyle w:val="affa"/>
          <w:b/>
        </w:rPr>
      </w:pPr>
      <w:r>
        <w:rPr>
          <w:rStyle w:val="affa"/>
          <w:b/>
        </w:rPr>
        <w:t>Уровень убедительности рекомендаций С (уровень достоверности доказательств –4)</w:t>
      </w:r>
    </w:p>
    <w:p w:rsidR="00415E00" w:rsidRDefault="00415E00" w:rsidP="00B937A6">
      <w:pPr>
        <w:pStyle w:val="afff9"/>
        <w:divId w:val="1767193717"/>
        <w:rPr>
          <w:rStyle w:val="affa"/>
          <w:b/>
        </w:rPr>
      </w:pPr>
      <w:r>
        <w:rPr>
          <w:rStyle w:val="affa"/>
          <w:b/>
        </w:rPr>
        <w:t xml:space="preserve">или </w:t>
      </w:r>
    </w:p>
    <w:p w:rsidR="00415E00" w:rsidRDefault="007F36A7" w:rsidP="00B937A6">
      <w:pPr>
        <w:pStyle w:val="afff9"/>
        <w:divId w:val="1767193717"/>
      </w:pPr>
      <w:r w:rsidRPr="007F36A7">
        <w:t>#</w:t>
      </w:r>
      <w:r w:rsidR="00415E00">
        <w:t>гемцитабин</w:t>
      </w:r>
      <w:r w:rsidR="007F4181">
        <w:t>**</w:t>
      </w:r>
      <w:r w:rsidR="00415E00">
        <w:t xml:space="preserve"> в малых дозах </w:t>
      </w:r>
      <w:r w:rsidR="00415E00" w:rsidRPr="00415E00">
        <w:t>с продолжительной инфузией в дозе 250 мг/м2 в течение 6 часов 1 раз в неделю</w:t>
      </w:r>
      <w:r w:rsidR="00415E00">
        <w:t xml:space="preserve"> </w:t>
      </w:r>
      <w:r w:rsidRPr="007F36A7">
        <w:t>[77]</w:t>
      </w:r>
    </w:p>
    <w:p w:rsidR="002A6444" w:rsidRPr="002A6444" w:rsidRDefault="002A6444" w:rsidP="002A6444">
      <w:pPr>
        <w:pStyle w:val="afff9"/>
        <w:divId w:val="1767193717"/>
        <w:rPr>
          <w:rStyle w:val="affa"/>
          <w:b/>
        </w:rPr>
      </w:pPr>
      <w:r>
        <w:rPr>
          <w:rStyle w:val="affa"/>
          <w:b/>
        </w:rPr>
        <w:t>Уровень убедительности рекомендаций С (уровень достоверности доказательств –4)</w:t>
      </w:r>
    </w:p>
    <w:p w:rsidR="002A6444" w:rsidRPr="002A6444" w:rsidRDefault="002A6444" w:rsidP="00B937A6">
      <w:pPr>
        <w:pStyle w:val="afff9"/>
        <w:divId w:val="1767193717"/>
      </w:pPr>
    </w:p>
    <w:p w:rsidR="002B6A70" w:rsidRPr="0073723C" w:rsidRDefault="000C307B" w:rsidP="00D851D7">
      <w:pPr>
        <w:pStyle w:val="afb"/>
        <w:numPr>
          <w:ilvl w:val="0"/>
          <w:numId w:val="35"/>
        </w:numPr>
        <w:spacing w:beforeAutospacing="0" w:afterAutospacing="0" w:line="360" w:lineRule="auto"/>
        <w:ind w:left="709" w:hanging="644"/>
        <w:divId w:val="1767193717"/>
      </w:pPr>
      <w:r>
        <w:rPr>
          <w:rStyle w:val="affa"/>
        </w:rPr>
        <w:t xml:space="preserve">Рекомендуется </w:t>
      </w:r>
      <w:r w:rsidR="001B7F70" w:rsidRPr="001B7F70">
        <w:t xml:space="preserve">брентуксимаб ведотин** для лечения </w:t>
      </w:r>
      <w:r>
        <w:rPr>
          <w:rStyle w:val="affa"/>
          <w:b w:val="0"/>
          <w:bCs w:val="0"/>
        </w:rPr>
        <w:t xml:space="preserve">взрослых пациентов </w:t>
      </w:r>
      <w:r w:rsidR="001B7F70" w:rsidRPr="001B7F70">
        <w:t xml:space="preserve">при отсутствии или недостаточном эффекте после минимум одной линии предшествующей системной терапии при наличии экспрессии CD30 + антигена </w:t>
      </w:r>
      <w:r w:rsidR="00062499" w:rsidRPr="0073723C">
        <w:fldChar w:fldCharType="begin" w:fldLock="1"/>
      </w:r>
      <w:r w:rsidR="001B7F70" w:rsidRPr="001B7F70">
        <w:instrText>ADDIN CSL_CITATION {"citationItems":[{"id":"ITEM-1","itemData":{"DOI":"10.1200/JCO.2014.60.3969","ISSN":"15277755","PMID":"26195720","abstract":"Purpose: In contrast to Hodgkin lymphoma and systemic anaplastic large-cell lymphoma, CD30 expression of malignant lymphocytes in mycosis fungoides (MF) and Sézary syndrome (SS) is quite variable. Clinical activity and safety of brentuximab vedotin, a CD30 targeting antibody-drug conjugate, was evaluated in MF and SS. Tissue and blood biomarkers of clinical response were explored Patients and Methods: In this phase II study, patients with MF or SS with negligible to 100% CD30 expression levels were treated with brentuximab vedotin (1.8 mg/kg) every 3 weeks for a maximum of sixteen doses. The primary end point was overall global response rate. Secondary end points included correlation of tissue CD30 expression level with clinical response, time to response, duration of response, progression-free and event-free survivals, and safety. Results: Of the 32 patients enrolled and treated, 30 patients had available efficacy evaluations. Objective global response was observed in 21 (70%) of 30 patients (90% CI, 53% to 83%). CD30 expression assessed by immunohistochemistry was highly variable, with a median CD30max of 13% (range, 0% to 100%). Those with &lt;5% CD30 expression had a lower likelihood of global response than did those with 5% or greater CD30 expression (P &lt;.005). CD163 positive tumor-associated macrophages, many of which coexpress CD30, were abundant in tissue. Peripheral neuropathy was the most common adverse event Conclusion: Brentuximab vedotin demonstrated significant clinical activity in treatment-refractory or advanced MF or SS with a wide range of CD30 expression levels. Additional biomarker studies may help optimize rational design of combination therapies with brentuximab vedotin.","author":[{"dropping-particle":"","family":"Kim","given":"Youn H.","non-dropping-particle":"","parse-names":false,"suffix":""},{"dropping-particle":"","family":"Tavallaee","given":"Mahkam","non-dropping-particle":"","parse-names":false,"suffix":""},{"dropping-particle":"","family":"Sundram","given":"Uma","non-dropping-particle":"","parse-names":false,"suffix":""},{"dropping-particle":"","family":"Salva","given":"Katrin A.","non-dropping-particle":"","parse-names":false,"suffix":""},{"dropping-particle":"","family":"Wood","given":"Gary S.","non-dropping-particle":"","parse-names":false,"suffix":""},{"dropping-particle":"","family":"Li","given":"Shufeng","non-dropping-particle":"","parse-names":false,"suffix":""},{"dropping-particle":"","family":"Rozati","given":"Sima","non-dropping-particle":"","parse-names":false,"suffix":""},{"dropping-particle":"","family":"Nagpal","given":"Seema","non-dropping-particle":"","parse-names":false,"suffix":""},{"dropping-particle":"","family":"Krathen","given":"Michael","non-dropping-particle":"","parse-names":false,"suffix":""},{"dropping-particle":"","family":"Reddy","given":"Sunil","non-dropping-particle":"","parse-names":false,"suffix":""},{"dropping-particle":"","family":"Hoppe","given":"Richard T.","non-dropping-particle":"","parse-names":false,"suffix":""},{"dropping-particle":"","family":"Nguyen-Lin","given":"Annie","non-dropping-particle":"","parse-names":false,"suffix":""},{"dropping-particle":"","family":"Weng","given":"Wen Kai","non-dropping-particle":"","parse-names":false,"suffix":""},{"dropping-particle":"","family":"Armstrong","given":"Randall","non-dropping-particle":"","parse-names":false,"suffix":""},{"dropping-particle":"","family":"Pulitzer","given":"Melissa","non-dropping-particle":"","parse-names":false,"suffix":""},{"dropping-particle":"","family":"Advani","given":"Ranjana H.","non-dropping-particle":"","parse-names":false,"suffix":""},{"dropping-particle":"","family":"Horwitz","given":"Steven M.","non-dropping-particle":"","parse-names":false,"suffix":""}],"container-title":"Journal of Clinical Oncology","id":"ITEM-1","issue":"32","issued":{"date-parts":[["2015","11","10"]]},"page":"3750-3758","publisher":"American Society of Clinical Oncology","title":"Phase II investigator-initiated study of brentuximab vedotin in mycosis fungoides and Sézary syndrome with variable CD30 expression level: A multi-institution collaborative project","type":"article-journal","volume":"33"},"uris":["http://www.mendeley.com/documents/?uuid=6d5c3bf5-28a9-3827-bcec-c70d6141ce1c"]},{"id":"ITEM-2","itemData":{"DOI":"10.1016/S0140-6736(17)31266-7","ISSN":"1474547X","PMID":"28600132","abstract":"Background Cutaneous T-cell lymphomas are rare, generally incurable, and associated with reduced quality of life. Present systemic therapies rarely provide reliable and durable responses. We aimed to assess efficacy and safety of brentuximab vedotin versus conventional therapy for previously treated patients with CD30-positive cutaneous T-cell lymphomas. Methods In this international, open-label, randomised, phase 3, multicentre trial, we enrolled adult patients with CD30-positive mycosis fungoides or primary cutaneous anaplastic large-cell lymphoma who had been previously treated. Patients were enrolled across 52 centres in 13 countries. Patients were randomly assigned (1:1) centrally by an interactive voice and web response system to receive intravenous brentuximab vedotin 1·8 mg/kg once every 3 weeks, for up to 16 3-week cycles, or physician's choice (oral methotrexate 5–50 mg once per week or oral bexarotene 300 mg/m2 once per day) for up to 48 weeks. The primary endpoint was the proportion of patients in the intention-to-treat population achieving an objective global response lasting at least 4 months per independent review facility. Safety analyses were done in all patients who received at least one dose of study drug. This trial was registered with ClinicalTrials.gov, number NCT01578499. Findings Between Aug 13, 2012, and July 31, 2015, 131 patients were enrolled and randomly assigned to a group (66 to brentuximab vedotin and 65 to physician's choice), with 128 analysed in the intention-to-treat population (64 in each group). At a median follow-up of 22·9 months (95% CI 18·4–26·1), the proportion of patients achieving an objective global response lasting at least 4 months was 56·3% (36 of 64 patients) with brentuximab vedotin versus 12·5% (eight of 64) with physician's choice, resulting in a between-group difference of 43·8% (95% CI 29·1–58·4; p&lt;0·0001). Grade 3–4 adverse events were reported in 27 (41%) of 66 patients in the brentuximab vedotin group and 29 (47%) of 62 patients in the physician's choice group. Peripheral neuropathy was seen in 44 (67%) of 66 patients in the brentuximab vedotin group (n=21 grade 2, n=6 grade 3) and four (6%) of 62 patients in the physician's choice group. One of the four on-treatment deaths was deemed by the investigator to be treatment-related in the brentuximab vedotin group; no on-treatment deaths were reported in the physician's choice group. Interpretation Significant improvement in objective response lastin…","author":[{"dropping-particle":"","family":"Prince","given":"H. Miles","non-dropping-particle":"","parse-names":false,"suffix":""},{"dropping-particle":"","family":"Kim","given":"Youn H.","non-dropping-particle":"","parse-names":false,"suffix":""},{"dropping-particle":"","family":"Horwitz","given":"Steve","non-dropping-particle":"","parse-names":false,"suffix":""},{"dropping-particle":"","family":"Dummer","given":"Reinhard","non-dropping-particle":"","parse-names":false,"suffix":""},{"dropping-particle":"","family":"Scarisbrick","given":"Julia","non-dropping-particle":"","parse-names":false,"suffix":""},{"dropping-particle":"","family":"Quaglino","given":"Pietro","non-dropping-particle":"","parse-names":false,"suffix":""},{"dropping-particle":"","family":"Zinzani","given":"Pier Luigi","non-dropping-particle":"","parse-names":false,"suffix":""},{"dropping-particle":"","family":"Wolter","given":"Pascal","non-dropping-particle":"","parse-names":false,"suffix":""},{"dropping-particle":"","family":"Sanches","given":"Jose Antonio","non-dropping-particle":"","parse-names":false,"suffix":""},{"dropping-particle":"","family":"Ortiz-Romero","given":"Pablo L.","non-dropping-particle":"","parse-names":false,"suffix":""},{"dropping-particle":"","family":"Akilov","given":"Oleg","non-dropping-particle":"","parse-names":false,"suffix":""},{"dropping-particle":"","family":"Geskin","given":"Larisa","non-dropping-particle":"","parse-names":false,"suffix":""},{"dropping-particle":"","family":"Trotman","given":"Judith","non-dropping-particle":"","parse-names":false,"suffix":""},{"dropping-particle":"","family":"Taylor","given":"Kerry","non-dropping-particle":"","parse-names":false,"suffix":""},{"dropping-particle":"","family":"Dalle","given":"Stephane","non-dropping-particle":"","parse-names":false,"suffix":""},{"dropping-particle":"","family":"Weichenthal","given":"Michael","non-dropping-particle":"","parse-names":false,"suffix":""},{"dropping-particle":"","family":"Walewski","given":"Jan","non-dropping-particle":"","parse-names":false,"suffix":""},{"dropping-particle":"","family":"Fisher","given":"David C.","non-dropping-particle":"","parse-names":false,"suffix":""},{"dropping-particle":"","family":"Dréno","given":"Brigitte","non-dropping-particle":"","parse-names":false,"suffix":""},{"dropping-particle":"","family":"Stadler","given":"Rudolf","non-dropping-particle":"","parse-names":false,"suffix":""},{"dropping-particle":"","family":"Feldman","given":"Tatyana","non-dropping-particle":"","parse-names":false,"suffix":""},{"dropping-particle":"","family":"Kuzel","given":"Timothy","non-dropping-particle":"","parse-names":false,"suffix":""},{"dropping-particle":"","family":"Wang","given":"Yinghui","non-dropping-particle":"","parse-names":false,"suffix":""},{"dropping-particle":"","family":"Palanca-Wessels","given":"Maria Corinna","non-dropping-particle":"","parse-names":false,"suffix":""},{"dropping-particle":"","family":"Zagadailov","given":"Erin","non-dropping-particle":"","parse-names":false,"suffix":""},{"dropping-particle":"","family":"Trepicchio","given":"William L.","non-dropping-particle":"","parse-names":false,"suffix":""},{"dropping-particle":"","family":"Zhang","given":"Wenwen","non-dropping-particle":"","parse-names":false,"suffix":""},{"dropping-particle":"","family":"Lin","given":"Hui Min","non-dropping-particle":"","parse-names":false,"suffix":""},{"dropping-particle":"","family":"Liu","given":"Yi","non-dropping-particle":"","parse-names":false,"suffix":""},{"dropping-particle":"","family":"Huebner","given":"Dirk","non-dropping-particle":"","parse-names":false,"suffix":""},{"dropping-particle":"","family":"Little","given":"Meredith","non-dropping-particle":"","parse-names":false,"suffix":""},{"dropping-particle":"","family":"Whittaker","given":"Sean","non-dropping-particle":"","parse-names":false,"suffix":""},{"dropping-particle":"","family":"Duvic","given":"Madeleine","non-dropping-particle":"","parse-names":false,"suffix":""},{"dropping-particle":"","family":"Joske","given":"David","non-dropping-particle":"","parse-names":false,"suffix":""},{"dropping-particle":"","family":"Lewis","given":"Ian D.","non-dropping-particle":"","parse-names":false,"suffix":""},{"dropping-particle":"","family":"Jonak","given":"Constanze","non-dropping-particle":"","parse-names":false,"suffix":""},{"dropping-particle":"","family":"Trautinger","given":"Franz","non-dropping-particle":"","parse-names":false,"suffix":""},{"dropping-particle":"","family":"Bechter","given":"Oliver","non-dropping-particle":"","parse-names":false,"suffix":""},{"dropping-particle":"","family":"Bron","given":"Dominique","non-dropping-particle":"","parse-names":false,"suffix":""},{"dropping-particle":"","family":"Lima","given":"Vladmir Claudio C.","non-dropping-particle":"de","parse-names":false,"suffix":""},{"dropping-particle":"","family":"Klasa","given":"Richard","non-dropping-particle":"","parse-names":false,"suffix":""},{"dropping-particle":"","family":"Bagot","given":"Martine","non-dropping-particle":"","parse-names":false,"suffix":""},{"dropping-particle":"","family":"Beylot-Barry","given":"Marie","non-dropping-particle":"","parse-names":false,"suffix":""},{"dropping-particle":"","family":"D'Incan","given":"Michel","non-dropping-particle":"","parse-names":false,"suffix":""},{"dropping-particle":"","family":"Dreno","given":"Brigitte","non-dropping-particle":"","parse-names":false,"suffix":""},{"dropping-particle":"","family":"Grange","given":"Florent","non-dropping-particle":"","parse-names":false,"suffix":""},{"dropping-particle":"","family":"Nicolay","given":"Jan","non-dropping-particle":"","parse-names":false,"suffix":""},{"dropping-particle":"","family":"Wobser","given":"Marion","non-dropping-particle":"","parse-names":false,"suffix":""},{"dropping-particle":"","family":"Assaf","given":"Chalid","non-dropping-particle":"","parse-names":false,"suffix":""},{"dropping-particle":"","family":"Loquai","given":"Carmen","non-dropping-particle":"","parse-names":false,"suffix":""},{"dropping-particle":"","family":"Spina","given":"Michele","non-dropping-particle":"","parse-names":false,"suffix":""},{"dropping-particle":"","family":"Bosi","given":"Alberto","non-dropping-particle":"","parse-names":false,"suffix":""},{"dropping-particle":"","family":"Fattori","given":"Pier Paolo","non-dropping-particle":"","parse-names":false,"suffix":""},{"dropping-particle":"","family":"Grzanka","given":"Aleksandra","non-dropping-particle":"","parse-names":false,"suffix":""},{"dropping-particle":"","family":"Lopez-Hernandez","given":"Andres","non-dropping-particle":"","parse-names":false,"suffix":""},{"dropping-particle":"","family":"Roca","given":"Jose Juan Rifon","non-dropping-particle":"","parse-names":false,"suffix":""},{"dropping-particle":"","family":"Canales","given":"Silvana Novelli","non-dropping-particle":"","parse-names":false,"suffix":""},{"dropping-particle":"","family":"Illidge","given":"Timothy","non-dropping-particle":"","parse-names":false,"suffix":""},{"dropping-particle":"","family":"Johnson","given":"Rod","non-dropping-particle":"","parse-names":false,"suffix":""},{"dropping-particle":"","family":"Morris","given":"Stephen","non-dropping-particle":"","parse-names":false,"suffix":""},{"dropping-particle":"","family":"McKay","given":"Pam","non-dropping-particle":"","parse-names":false,"suffix":""},{"dropping-particle":"","family":"Pro","given":"Barbara","non-dropping-particle":"","parse-names":false,"suffix":""},{"dropping-particle":"","family":"Lerner","given":"Adam","non-dropping-particle":"","parse-names":false,"suffix":""},{"dropping-particle":"","family":"Eradat","given":"Herbert","non-dropping-particle":"","parse-names":false,"suffix":""},{"dropping-particle":"","family":"Sokol","given":"Lubomir","non-dropping-particle":"","parse-names":false,"suffix":""},{"dropping-particle":"","family":"Hughey","given":"Sarah","non-dropping-particle":"","parse-names":false,"suffix":""}],"container-title":"The Lancet","id":"ITEM-2","issue":"10094","issued":{"date-parts":[["2017","8","1"]]},"page":"555-566","publisher":"Lancet Publishing Group","title":"Brentuximab vedotin or physician's choice in CD30-positive cutaneous T-cell lymphoma (ALCANZA): an international, open-label, randomised, phase 3, multicentre trial","type":"article-journal","volume":"390"},"uris":["http://www.mendeley.com/documents/?uuid=05f771dd-9ba8-3cfb-9e88-6cfd962496e8"]}],"mendeley":{"formattedCitation":"[21,54]","plainTextFormattedCitation":"[21,54]","previouslyFormattedCitation":"[21,54]"},"properties":{"noteIndex":0},"schema":"https://github.com/citation-style-language/schema/raw/master/csl-citation.json"}</w:instrText>
      </w:r>
      <w:r w:rsidR="00062499" w:rsidRPr="0073723C">
        <w:fldChar w:fldCharType="separate"/>
      </w:r>
      <w:r w:rsidR="00C77CC6" w:rsidRPr="0073723C">
        <w:rPr>
          <w:noProof/>
        </w:rPr>
        <w:t>[21,54]</w:t>
      </w:r>
      <w:r w:rsidR="00062499" w:rsidRPr="0073723C">
        <w:fldChar w:fldCharType="end"/>
      </w:r>
      <w:r w:rsidR="00CE089D" w:rsidRPr="0073723C">
        <w:t>.</w:t>
      </w:r>
    </w:p>
    <w:p w:rsidR="00CD53BC" w:rsidRDefault="00CE089D" w:rsidP="00CD53BC">
      <w:pPr>
        <w:pStyle w:val="aff3"/>
        <w:divId w:val="1767193717"/>
      </w:pPr>
      <w:r w:rsidRPr="0073723C">
        <w:rPr>
          <w:rStyle w:val="affa"/>
        </w:rPr>
        <w:t xml:space="preserve">Уровень убедительности рекомендаций </w:t>
      </w:r>
      <w:r w:rsidRPr="0073723C">
        <w:rPr>
          <w:rStyle w:val="affa"/>
          <w:lang w:val="en-US"/>
        </w:rPr>
        <w:t>B</w:t>
      </w:r>
      <w:r w:rsidR="00376207" w:rsidRPr="0073723C">
        <w:rPr>
          <w:rStyle w:val="affa"/>
        </w:rPr>
        <w:t xml:space="preserve"> </w:t>
      </w:r>
      <w:r w:rsidRPr="0073723C">
        <w:rPr>
          <w:b/>
        </w:rPr>
        <w:t xml:space="preserve">(уровень достоверности доказательств </w:t>
      </w:r>
    </w:p>
    <w:p w:rsidR="002B6A70" w:rsidRPr="0073723C" w:rsidRDefault="00CE089D" w:rsidP="002B6A70">
      <w:pPr>
        <w:pStyle w:val="afb"/>
        <w:tabs>
          <w:tab w:val="left" w:pos="1134"/>
        </w:tabs>
        <w:spacing w:beforeAutospacing="0" w:afterAutospacing="0" w:line="360" w:lineRule="auto"/>
        <w:ind w:left="709" w:firstLine="0"/>
        <w:divId w:val="1767193717"/>
        <w:rPr>
          <w:rFonts w:eastAsiaTheme="minorEastAsia"/>
          <w:b/>
        </w:rPr>
      </w:pPr>
      <w:r w:rsidRPr="0073723C">
        <w:rPr>
          <w:b/>
        </w:rPr>
        <w:t xml:space="preserve">– 2) </w:t>
      </w:r>
    </w:p>
    <w:p w:rsidR="002B6A70" w:rsidRPr="0073723C" w:rsidRDefault="000C307B" w:rsidP="00D851D7">
      <w:pPr>
        <w:ind w:left="709" w:firstLine="0"/>
        <w:divId w:val="1767193717"/>
        <w:rPr>
          <w:i/>
          <w:szCs w:val="24"/>
        </w:rPr>
      </w:pPr>
      <w:r>
        <w:rPr>
          <w:rStyle w:val="affa"/>
        </w:rPr>
        <w:t xml:space="preserve">Комментарии: </w:t>
      </w:r>
      <w:r w:rsidR="001B7F70" w:rsidRPr="001B7F70">
        <w:rPr>
          <w:i/>
        </w:rPr>
        <w:t xml:space="preserve">назначается в дозе 1,8 мг/кг внутривенно каждый 21 день. Лечение проводят в течение 8 циклов, при достижении частичного ответа допускается проведение еще 8 циклов. При появлении побочных эффектов (наиболее часто – </w:t>
      </w:r>
      <w:r w:rsidR="001B7F70" w:rsidRPr="001B7F70">
        <w:rPr>
          <w:i/>
        </w:rPr>
        <w:lastRenderedPageBreak/>
        <w:t xml:space="preserve">периферическая полинейропатия) допустимо снижение дозы до 1,2 мг/кг и увеличение интервала между циклами. </w:t>
      </w:r>
      <w:r w:rsidR="001B7F70" w:rsidRPr="001B7F70">
        <w:rPr>
          <w:i/>
          <w:szCs w:val="24"/>
        </w:rPr>
        <w:t>При лечении брентуксимабом ведотином** может развиться анемия, тромбоцитопения и тяжелая пролонгированная (≥1 недели) нейтропения, и это может увеличить риск тяжелых инфекций. Были зарегистрированы случаи повышения уровней аланинаминотрансферазы и аспартатаминотрансферазы. Гипергликемия была зарегистрирована в клинических исследованиях у пациентов с увеличенным индексом массы тела, как с наличием, так и с отсутствием сахарного диабета в анамнезе.</w:t>
      </w:r>
    </w:p>
    <w:p w:rsidR="000F73E8" w:rsidRPr="0073723C" w:rsidRDefault="001B7F70" w:rsidP="000F73E8">
      <w:pPr>
        <w:numPr>
          <w:ilvl w:val="0"/>
          <w:numId w:val="24"/>
        </w:numPr>
        <w:tabs>
          <w:tab w:val="clear" w:pos="720"/>
          <w:tab w:val="num" w:pos="1134"/>
        </w:tabs>
        <w:ind w:left="709" w:hanging="709"/>
        <w:divId w:val="1767193717"/>
      </w:pPr>
      <w:r w:rsidRPr="001B7F70">
        <w:t xml:space="preserve">Рекомендуется пациентам с прогрессирующими формами грибовидного микоза, рефрактерными как минимум к 5 линиям системной терапии (в том числе, интерферону альфа-2b**, #метотрексату**, брентуксимабу ведотину**, #гемцитабину**, #вориностату) возможно применение непрограммных схем лечения с паллиативной целью, таких как (в убывающем порядке): </w:t>
      </w:r>
    </w:p>
    <w:p w:rsidR="0016386D" w:rsidRPr="0073723C" w:rsidRDefault="001B7F70" w:rsidP="0016386D">
      <w:pPr>
        <w:ind w:left="709" w:firstLine="0"/>
        <w:divId w:val="1767193717"/>
      </w:pPr>
      <w:r w:rsidRPr="001B7F70">
        <w:t xml:space="preserve">- #циклофосфамид** (50-100 мг внутрь ежедневно, не более 1 года терапии, учитывая риск развития миелодиспластического синдрома) </w:t>
      </w:r>
      <w:r w:rsidR="00062499" w:rsidRPr="001B7F70">
        <w:fldChar w:fldCharType="begin" w:fldLock="1"/>
      </w:r>
      <w:r w:rsidRPr="001B7F70">
        <w:instrText>ADDIN CSL_CITATION {"citationItems":[{"id":"ITEM-1","itemData":{"DOI":"10.1016/j.det.2015.05.012","ISBN":"07338635/15","author":[{"dropping-particle":"","family":"Chung","given":"Catherine G","non-dropping-particle":"","parse-names":false,"suffix":""},{"dropping-particle":"","family":"Poligone","given":"Brian","non-dropping-particle":"","parse-names":false,"suffix":""}],"id":"ITEM-1","issued":{"date-parts":[["2015"]]},"title":"Other Chemotherapeutic Agents in Cutaneous T-Cell Lymphoma","type":"article-journal"},"uris":["http://www.mendeley.com/documents/?uuid=5c8530ba-3e29-3661-9026-1afc034c9f78"]}],"mendeley":{"formattedCitation":"[55]","plainTextFormattedCitation":"[55]","previouslyFormattedCitation":"[55]"},"properties":{"noteIndex":0},"schema":"https://github.com/citation-style-language/schema/raw/master/csl-citation.json"}</w:instrText>
      </w:r>
      <w:r w:rsidR="00062499" w:rsidRPr="001B7F70">
        <w:fldChar w:fldCharType="separate"/>
      </w:r>
      <w:r w:rsidRPr="001B7F70">
        <w:rPr>
          <w:noProof/>
        </w:rPr>
        <w:t>[55]</w:t>
      </w:r>
      <w:r w:rsidR="00062499" w:rsidRPr="001B7F70">
        <w:fldChar w:fldCharType="end"/>
      </w:r>
      <w:r w:rsidRPr="001B7F70">
        <w:t xml:space="preserve">, </w:t>
      </w:r>
    </w:p>
    <w:p w:rsidR="0016386D" w:rsidRPr="0073723C" w:rsidRDefault="001B7F70" w:rsidP="0016386D">
      <w:pPr>
        <w:ind w:left="709" w:firstLine="0"/>
        <w:divId w:val="1767193717"/>
      </w:pPr>
      <w:r w:rsidRPr="001B7F70">
        <w:t xml:space="preserve">- #этопозид** (50 мг внутрь 2 раза в день) </w:t>
      </w:r>
      <w:r w:rsidR="00062499" w:rsidRPr="001B7F70">
        <w:fldChar w:fldCharType="begin" w:fldLock="1"/>
      </w:r>
      <w:r w:rsidRPr="001B7F70">
        <w:instrText>ADDIN CSL_CITATION {"citationItems":[{"id":"ITEM-1","itemData":{"DOI":"10.1111/dth.12586","ISSN":"15298019","PMID":"29316111","abstract":"Several chemotherapy agents have shown efficacy in the treatment of mycosis fungoides (MF). In the literature, there is limited data on the use of single agent etoposide for MF. We aimed to retrospectively review our experience with single agent etoposide in the treatment of advanced-stage or refractory early-stage MF with focus on analyzing its efficacy and safety. We included 13 MF patients who were treated with single agent etoposide. Patients were identified through the Cutaneous T Cell Lymphoma Database of Indiana University that involves patients treated from 2006 to 2016. Overall nine patients (69%) responded to treatment. No complete response was identified. Median time to response was 12.5 weeks (range: 6–25.4). Median duration of response was 43 weeks (range: 5–60) and median time to treatment failure was 31.3 weeks (range: 12.4–230). Hematological toxicity was observed in eight patients including two patients with grade 4 neutropenia and/or lymphopenia leading to sepsis. Higher doses of etoposide were significantly correlated with higher grades of anemia, neutropenia or lymphopenia (p &lt;.05). Our study demonstrates that etoposide is an effective treatment for MF and may be considered in selected patients with progressive MF who have failed other treatments.","author":[{"dropping-particle":"","family":"Purnak","given":"Seda","non-dropping-particle":"","parse-names":false,"suffix":""},{"dropping-particle":"","family":"Azar","given":"Jose","non-dropping-particle":"","parse-names":false,"suffix":""},{"dropping-particle":"","family":"Mark","given":"Lawrence Aaron","non-dropping-particle":"","parse-names":false,"suffix":""}],"container-title":"Dermatologic Therapy","id":"ITEM-1","issue":"2","issued":{"date-parts":[["2018","3","1"]]},"page":"e12586","publisher":"Dermatol Ther","title":"Etoposide as a single agent in the treatment of mycosis fungoides: A retrospective analysis","type":"article-journal","volume":"31"},"uris":["http://www.mendeley.com/documents/?uuid=f1cfb4fc-8989-372d-8187-8d3e00b5eb65"]}],"mendeley":{"formattedCitation":"[56]","plainTextFormattedCitation":"[56]","previouslyFormattedCitation":"[56]"},"properties":{"noteIndex":0},"schema":"https://github.com/citation-style-language/schema/raw/master/csl-citation.json"}</w:instrText>
      </w:r>
      <w:r w:rsidR="00062499" w:rsidRPr="001B7F70">
        <w:fldChar w:fldCharType="separate"/>
      </w:r>
      <w:r w:rsidRPr="001B7F70">
        <w:rPr>
          <w:noProof/>
        </w:rPr>
        <w:t>[56]</w:t>
      </w:r>
      <w:r w:rsidR="00062499" w:rsidRPr="001B7F70">
        <w:fldChar w:fldCharType="end"/>
      </w:r>
      <w:r w:rsidRPr="001B7F70">
        <w:t xml:space="preserve">, </w:t>
      </w:r>
    </w:p>
    <w:p w:rsidR="0016386D" w:rsidRPr="0073723C" w:rsidRDefault="001B7F70" w:rsidP="0016386D">
      <w:pPr>
        <w:ind w:left="709" w:firstLine="0"/>
        <w:divId w:val="1767193717"/>
      </w:pPr>
      <w:r w:rsidRPr="001B7F70">
        <w:t>- #бендамустин** (120мг/м</w:t>
      </w:r>
      <w:r w:rsidRPr="001B7F70">
        <w:rPr>
          <w:vertAlign w:val="superscript"/>
        </w:rPr>
        <w:t>2</w:t>
      </w:r>
      <w:r w:rsidRPr="001B7F70">
        <w:t xml:space="preserve"> в 1,2 дни каждого 3 недельного цикла, всего 6 циклов) </w:t>
      </w:r>
      <w:r w:rsidR="00062499" w:rsidRPr="001B7F70">
        <w:fldChar w:fldCharType="begin" w:fldLock="1"/>
      </w:r>
      <w:r w:rsidRPr="001B7F70">
        <w:instrText>ADDIN CSL_CITATION {"citationItems":[{"id":"ITEM-1","itemData":{"DOI":"10.1200/JCO.2012.43.7285","ISSN":"0732183X","PMID":"23109692","abstract":"Purpose: To determine the efficacy and safety of bendamustine as a single agent in refractory or relapsed T-cell lymphomas. Patients and Methods: Patients with histologically confirmed peripheral T-cell lymphoma (PTCL) or cutaneous T-cell lymphoma who progressed after one or more lines of prior chemotherapy received bendamustine at 120 mg/m2 per day on days 1 through 2 every 3 weeks for six cycles. The primary end point was overall response rate (ORR). Secondary end points were duration of response (DOR), progressionfree survival (PFS), and overall survival (OS). Results: Of the 60 patients included, 27 (45%) were refractory to their last prior chemotherapy, and the median duration of the best previous response was 6.6 months. Histology was predominantly angioimmunoblastic lymphadenopathy and PTCL not otherwise specified. The disease was disseminated in the majority of patients (87%). The median number of previous lines of chemotherapy was one (range, one to three). Twenty patients (33%) received fewer than three cycles of bendamustine, mostly because of disease progression. In the intent-to-treat population, the ORR was 50%, including complete response in 17 patients (28%) and partial response in 13 patients (22%). Bendamustine showed consistent efficacy independent of major disease characteristics. The median values for DoR, PFS, and OS were 3.5, 3.6, and 6.2 months, respectively. The most frequent grade 3 to 4 adverse events were neutropenia (30%), thrombocytopenia (24%), and infections (20%). Conclusion: Bendamustine showed an encouraging high response rate across the two major PTCL subtypes, independent of age and prior treatment, with acceptable toxicity in refractory or relapsed T-cell lymphoma. © 2012 by American Society of Clinical Oncology.","author":[{"dropping-particle":"","family":"Damaj","given":"Gandhi","non-dropping-particle":"","parse-names":false,"suffix":""},{"dropping-particle":"","family":"Gressin","given":"Rémy","non-dropping-particle":"","parse-names":false,"suffix":""},{"dropping-particle":"","family":"Bouabdallah","given":"Krimo","non-dropping-particle":"","parse-names":false,"suffix":""},{"dropping-particle":"","family":"Cartron","given":"Guillaume","non-dropping-particle":"","parse-names":false,"suffix":""},{"dropping-particle":"","family":"Choufi","given":"Bachra","non-dropping-particle":"","parse-names":false,"suffix":""},{"dropping-particle":"","family":"Gyan","given":"Emmanuel","non-dropping-particle":"","parse-names":false,"suffix":""},{"dropping-particle":"","family":"Banos","given":"Anne","non-dropping-particle":"","parse-names":false,"suffix":""},{"dropping-particle":"","family":"Jaccard","given":"Arnaud","non-dropping-particle":"","parse-names":false,"suffix":""},{"dropping-particle":"","family":"Park","given":"Sophie","non-dropping-particle":"","parse-names":false,"suffix":""},{"dropping-particle":"","family":"Tournilhac","given":"Olivier","non-dropping-particle":"","parse-names":false,"suffix":""},{"dropping-particle":"","family":"Schiano-de Collela","given":"Jean Marc","non-dropping-particle":"","parse-names":false,"suffix":""},{"dropping-particle":"","family":"Voillat","given":"Laurent","non-dropping-particle":"","parse-names":false,"suffix":""},{"dropping-particle":"","family":"Joly","given":"Bertrand","non-dropping-particle":"","parse-names":false,"suffix":""},{"dropping-particle":"","family":"Gouill","given":"Steven","non-dropping-particle":"Le","parse-names":false,"suffix":""},{"dropping-particle":"","family":"Saad","given":"Alain","non-dropping-particle":"","parse-names":false,"suffix":""},{"dropping-particle":"","family":"Cony-Makhoul","given":"Pascale","non-dropping-particle":"","parse-names":false,"suffix":""},{"dropping-particle":"","family":"Vilque","given":"Jean Pierre","non-dropping-particle":"","parse-names":false,"suffix":""},{"dropping-particle":"","family":"Sanhes","given":"Laurence","non-dropping-particle":"","parse-names":false,"suffix":""},{"dropping-particle":"","family":"Schmidt-Tanguy","given":"Aline","non-dropping-particle":"","parse-names":false,"suffix":""},{"dropping-particle":"","family":"Bubenheim","given":"Michael","non-dropping-particle":"","parse-names":false,"suffix":""},{"dropping-particle":"","family":"Houot","given":"Roch","non-dropping-particle":"","parse-names":false,"suffix":""},{"dropping-particle":"","family":"Diouf","given":"Momar","non-dropping-particle":"","parse-names":false,"suffix":""},{"dropping-particle":"","family":"Marolleau","given":"Jean Pierre","non-dropping-particle":"","parse-names":false,"suffix":""},{"dropping-particle":"","family":"Béné","given":"Marie Christine","non-dropping-particle":"","parse-names":false,"suffix":""},{"dropping-particle":"","family":"Martin","given":"Antoine","non-dropping-particle":"","parse-names":false,"suffix":""},{"dropping-particle":"","family":"Lamy","given":"Thierry","non-dropping-particle":"","parse-names":false,"suffix":""}],"container-title":"Journal of Clinical Oncology","id":"ITEM-1","issue":"1","issued":{"date-parts":[["2013","1","1"]]},"page":"104-110","publisher":"J Clin Oncol","title":"Results from a prospective, open-label, phase II trial of bendamustine in refractory or relapsed T-cell lymphomas: The BENTLY trial","type":"article-journal","volume":"31"},"uris":["http://www.mendeley.com/documents/?uuid=bfb84709-e59f-47bb-9f88-ebe98de6c0c2"]}],"mendeley":{"formattedCitation":"[57]","plainTextFormattedCitation":"[57]","previouslyFormattedCitation":"[57]"},"properties":{"noteIndex":0},"schema":"https://github.com/citation-style-language/schema/raw/master/csl-citation.json"}</w:instrText>
      </w:r>
      <w:r w:rsidR="00062499" w:rsidRPr="001B7F70">
        <w:fldChar w:fldCharType="separate"/>
      </w:r>
      <w:r w:rsidRPr="001B7F70">
        <w:rPr>
          <w:noProof/>
        </w:rPr>
        <w:t>[57]</w:t>
      </w:r>
      <w:r w:rsidR="00062499" w:rsidRPr="001B7F70">
        <w:fldChar w:fldCharType="end"/>
      </w:r>
      <w:r w:rsidRPr="001B7F70">
        <w:t xml:space="preserve">, </w:t>
      </w:r>
    </w:p>
    <w:p w:rsidR="0016386D" w:rsidRPr="0073723C" w:rsidRDefault="001B7F70" w:rsidP="0016386D">
      <w:pPr>
        <w:ind w:left="709" w:firstLine="0"/>
        <w:divId w:val="1767193717"/>
      </w:pPr>
      <w:r w:rsidRPr="001B7F70">
        <w:t>- #бортезомиб** (1,3мг/м</w:t>
      </w:r>
      <w:r w:rsidRPr="001B7F70">
        <w:rPr>
          <w:vertAlign w:val="superscript"/>
        </w:rPr>
        <w:t>2</w:t>
      </w:r>
      <w:r w:rsidRPr="001B7F70">
        <w:t xml:space="preserve"> 1,4,8,11 дни, всего 6 циклов  терапии) </w:t>
      </w:r>
      <w:r w:rsidR="00062499" w:rsidRPr="001B7F70">
        <w:fldChar w:fldCharType="begin" w:fldLock="1"/>
      </w:r>
      <w:r w:rsidRPr="001B7F70">
        <w:instrText>ADDIN CSL_CITATION {"citationItems":[{"id":"ITEM-1","itemData":{"DOI":"10.1200/JCO.2007.11.4207","ISSN":"0732183X","PMID":"17709797","abstract":"Purpose: To determine the antitumor activity of the proteasome inhibitor bortezomib in patients with cutaneous T-cell lymphoma (CTCL) or peripheral T-cell lymphoma unspecified (PTCLU) with isolated skin involvement. Patients and Methods: From May 2005 to June 2006 at our institute, we treated patients with previously pretreated CTCL or PTCLU using bortezomib as a single agent, at a dose of 1.3 mg/m2 intravenously on days 1, 4, 8, and 11, every 21 days for a total of six cycles. Results: Fifteen patients were registered, of whom 12 (10 CTCL, all mycosis fungoides, and two PTCLU with isolated skin involvement) were assessable. The overall response rate was 67%, with two (17%) complete remissions and six (50%) partial remissions. The remaining four patients had disease progression. Histologically, the responder patients were seven with CTCL and one with PTCLU with isolated skin involvement. All responses were durable, lasting from 7 to 14 or more months. Overall, the drug was well tolerated, with no grade 4 toxicity. The most common grade 3 toxicities were neutropenia (n = 2), thrombocytopenia (n = 2), and sensory neuropathy (n = 2). Conclusion: This study suggests that bortezomib was well tolerated and has significant single-agent activity in patients with cutaneous T-cell lymphoma. © 2007 by American Society of Clinical Oncology.","author":[{"dropping-particle":"","family":"Zinzani","given":"Pier Luigi","non-dropping-particle":"","parse-names":false,"suffix":""},{"dropping-particle":"","family":"Musuraca","given":"Gerardo","non-dropping-particle":"","parse-names":false,"suffix":""},{"dropping-particle":"","family":"Toni","given":"Monica","non-dropping-particle":"","parse-names":false,"suffix":""},{"dropping-particle":"","family":"Stefoni","given":"Vittorio","non-dropping-particle":"","parse-names":false,"suffix":""},{"dropping-particle":"","family":"Marchi","given":"Enrica","non-dropping-particle":"","parse-names":false,"suffix":""},{"dropping-particle":"","family":"Fina","given":"Mariapaola","non-dropping-particle":"","parse-names":false,"suffix":""},{"dropping-particle":"","family":"Pellegrini","given":"Cinzia","non-dropping-particle":"","parse-names":false,"suffix":""},{"dropping-particle":"","family":"Alinari","given":"Lapo","non-dropping-particle":"","parse-names":false,"suffix":""},{"dropping-particle":"","family":"Derenzini","given":"Enrico","non-dropping-particle":"","parse-names":false,"suffix":""},{"dropping-particle":"","family":"Vivo","given":"Antonio","non-dropping-particle":"De","parse-names":false,"suffix":""},{"dropping-particle":"","family":"Sabattini","given":"Elena","non-dropping-particle":"","parse-names":false,"suffix":""},{"dropping-particle":"","family":"Pileri","given":"Stefano","non-dropping-particle":"","parse-names":false,"suffix":""},{"dropping-particle":"","family":"Baccarani","given":"Michele","non-dropping-particle":"","parse-names":false,"suffix":""}],"container-title":"Journal of Clinical Oncology","id":"ITEM-1","issue":"27","issued":{"date-parts":[["2007","9","20"]]},"page":"4293-4297","publisher":"J Clin Oncol","title":"Phase II trial of proteasome inhibitor bortezomib in patients with relapsed or refractory cutaneous T-cell lymphoma","type":"article-journal","volume":"25"},"uris":["http://www.mendeley.com/documents/?uuid=8e2646d0-4a90-3e44-91f5-62a148ec4972"]}],"mendeley":{"formattedCitation":"[58]","plainTextFormattedCitation":"[58]"},"properties":{"noteIndex":0},"schema":"https://github.com/citation-style-language/schema/raw/master/csl-citation.json"}</w:instrText>
      </w:r>
      <w:r w:rsidR="00062499" w:rsidRPr="001B7F70">
        <w:fldChar w:fldCharType="separate"/>
      </w:r>
      <w:r w:rsidRPr="001B7F70">
        <w:rPr>
          <w:noProof/>
        </w:rPr>
        <w:t>[58]</w:t>
      </w:r>
      <w:r w:rsidR="00062499" w:rsidRPr="001B7F70">
        <w:fldChar w:fldCharType="end"/>
      </w:r>
      <w:r w:rsidRPr="001B7F70">
        <w:t>.</w:t>
      </w:r>
    </w:p>
    <w:p w:rsidR="000F73E8" w:rsidRPr="0073723C" w:rsidRDefault="000C307B" w:rsidP="000F73E8">
      <w:pPr>
        <w:pStyle w:val="afb"/>
        <w:tabs>
          <w:tab w:val="left" w:pos="1276"/>
          <w:tab w:val="left" w:pos="1560"/>
        </w:tabs>
        <w:spacing w:beforeAutospacing="0" w:afterAutospacing="0" w:line="360" w:lineRule="auto"/>
        <w:ind w:left="709" w:firstLine="0"/>
        <w:divId w:val="1767193717"/>
        <w:rPr>
          <w:b/>
        </w:rPr>
      </w:pPr>
      <w:r>
        <w:rPr>
          <w:rStyle w:val="affa"/>
        </w:rPr>
        <w:t xml:space="preserve">Уровень убедительности рекомендаций С </w:t>
      </w:r>
      <w:r w:rsidRPr="000C307B">
        <w:rPr>
          <w:b/>
        </w:rPr>
        <w:t>(уровень достоверности доказательств – 5)</w:t>
      </w:r>
    </w:p>
    <w:p w:rsidR="0016386D" w:rsidRPr="0073723C" w:rsidRDefault="000C307B" w:rsidP="0016386D">
      <w:pPr>
        <w:pStyle w:val="afd"/>
        <w:numPr>
          <w:ilvl w:val="0"/>
          <w:numId w:val="14"/>
        </w:numPr>
        <w:autoSpaceDE w:val="0"/>
        <w:autoSpaceDN w:val="0"/>
        <w:adjustRightInd w:val="0"/>
        <w:ind w:left="709" w:hanging="425"/>
        <w:divId w:val="1767193717"/>
        <w:rPr>
          <w:rFonts w:eastAsia="Times New Roman"/>
          <w:color w:val="000000" w:themeColor="text1"/>
          <w:szCs w:val="24"/>
          <w:lang w:eastAsia="ru-RU"/>
        </w:rPr>
      </w:pPr>
      <w:r>
        <w:rPr>
          <w:rStyle w:val="affa"/>
          <w:szCs w:val="24"/>
        </w:rPr>
        <w:t xml:space="preserve">Рекомендуется </w:t>
      </w:r>
      <w:r>
        <w:rPr>
          <w:rStyle w:val="affa"/>
          <w:b w:val="0"/>
          <w:bCs w:val="0"/>
          <w:szCs w:val="24"/>
        </w:rPr>
        <w:t xml:space="preserve">у пациентов с трансформацией грибовидного микоза в крупноклеточную лимфому и/или внекожном распространении грибовидного микоза </w:t>
      </w:r>
      <w:r w:rsidR="001B7F70" w:rsidRPr="001B7F70">
        <w:rPr>
          <w:szCs w:val="24"/>
        </w:rPr>
        <w:t xml:space="preserve">в качестве системной химиотерапии режима CHOP – </w:t>
      </w:r>
      <w:r w:rsidR="001B7F70" w:rsidRPr="001B7F70">
        <w:rPr>
          <w:rFonts w:eastAsia="Times New Roman"/>
          <w:color w:val="000000" w:themeColor="text1"/>
          <w:szCs w:val="24"/>
          <w:lang w:eastAsia="ru-RU"/>
        </w:rPr>
        <w:t>Доксорубицин** 50 мг/м</w:t>
      </w:r>
      <w:r w:rsidR="001B7F70" w:rsidRPr="001B7F70">
        <w:rPr>
          <w:rFonts w:eastAsia="Times New Roman"/>
          <w:color w:val="000000" w:themeColor="text1"/>
          <w:szCs w:val="24"/>
          <w:vertAlign w:val="superscript"/>
          <w:lang w:eastAsia="ru-RU"/>
        </w:rPr>
        <w:t>2</w:t>
      </w:r>
      <w:r w:rsidR="001B7F70" w:rsidRPr="001B7F70">
        <w:rPr>
          <w:rFonts w:eastAsia="Times New Roman"/>
          <w:color w:val="000000" w:themeColor="text1"/>
          <w:szCs w:val="24"/>
          <w:lang w:eastAsia="ru-RU"/>
        </w:rPr>
        <w:t xml:space="preserve"> в/в кап., день 1, Циклофосфамид** 750 мг/м</w:t>
      </w:r>
      <w:r w:rsidR="001B7F70" w:rsidRPr="001B7F70">
        <w:rPr>
          <w:rFonts w:eastAsia="Times New Roman"/>
          <w:color w:val="000000" w:themeColor="text1"/>
          <w:szCs w:val="24"/>
          <w:vertAlign w:val="superscript"/>
          <w:lang w:eastAsia="ru-RU"/>
        </w:rPr>
        <w:t>2</w:t>
      </w:r>
      <w:r w:rsidR="001B7F70" w:rsidRPr="001B7F70">
        <w:rPr>
          <w:rFonts w:eastAsia="Times New Roman"/>
          <w:color w:val="000000" w:themeColor="text1"/>
          <w:szCs w:val="24"/>
          <w:lang w:eastAsia="ru-RU"/>
        </w:rPr>
        <w:t xml:space="preserve"> в/в кап., день 1, #</w:t>
      </w:r>
      <w:r w:rsidR="000F73E8" w:rsidRPr="0073723C">
        <w:rPr>
          <w:rFonts w:eastAsia="Times New Roman"/>
          <w:color w:val="000000" w:themeColor="text1"/>
          <w:szCs w:val="24"/>
          <w:lang w:eastAsia="ru-RU"/>
        </w:rPr>
        <w:t>Винкристин** 1,4 мг/м</w:t>
      </w:r>
      <w:r w:rsidR="000F73E8" w:rsidRPr="0073723C">
        <w:rPr>
          <w:rFonts w:eastAsia="Times New Roman"/>
          <w:color w:val="000000" w:themeColor="text1"/>
          <w:szCs w:val="24"/>
          <w:vertAlign w:val="superscript"/>
          <w:lang w:eastAsia="ru-RU"/>
        </w:rPr>
        <w:t>2</w:t>
      </w:r>
      <w:r w:rsidR="000F73E8" w:rsidRPr="0073723C">
        <w:rPr>
          <w:rFonts w:eastAsia="Times New Roman"/>
          <w:color w:val="000000" w:themeColor="text1"/>
          <w:szCs w:val="24"/>
          <w:lang w:eastAsia="ru-RU"/>
        </w:rPr>
        <w:t xml:space="preserve"> (суммарно не более 2 мг) в/в, день 1, </w:t>
      </w:r>
      <w:r w:rsidR="001B7F70" w:rsidRPr="001B7F70">
        <w:rPr>
          <w:rFonts w:eastAsia="Times New Roman"/>
          <w:color w:val="000000" w:themeColor="text1"/>
          <w:szCs w:val="24"/>
          <w:lang w:eastAsia="ru-RU"/>
        </w:rPr>
        <w:t>#</w:t>
      </w:r>
      <w:r w:rsidR="000F73E8" w:rsidRPr="0073723C">
        <w:rPr>
          <w:rFonts w:eastAsia="Times New Roman"/>
          <w:color w:val="000000" w:themeColor="text1"/>
          <w:szCs w:val="24"/>
          <w:lang w:eastAsia="ru-RU"/>
        </w:rPr>
        <w:t>Преднизолон** 100 мг внутрь, дни 1-5 , цикл 21 день</w:t>
      </w:r>
      <w:r w:rsidR="000F73E8" w:rsidRPr="0073723C">
        <w:rPr>
          <w:szCs w:val="24"/>
        </w:rPr>
        <w:t xml:space="preserve">, всего 6 циклов </w:t>
      </w:r>
      <w:r w:rsidR="00062499" w:rsidRPr="001B7F70">
        <w:rPr>
          <w:szCs w:val="24"/>
        </w:rPr>
        <w:fldChar w:fldCharType="begin" w:fldLock="1"/>
      </w:r>
      <w:r w:rsidR="001B7F70" w:rsidRPr="001B7F70">
        <w:rPr>
          <w:szCs w:val="24"/>
        </w:rPr>
        <w:instrText>ADDIN CSL_CITATION {"citationItems":[{"id":"ITEM-1","itemData":{"DOI":"10.1056/nejm199304083281404","ISSN":"0028-4793","PMID":"7680764","abstract":"BACKGROUND CHOP is a first-generation, combination-chemotherapy regimen consisting of cyclophosphamide, doxorubicin, vincristine, and prednisone that has cured approximately 30 percent of patients with advanced stages of intermediate-grade or high-grade non-Hodgkin's lymphoma in national cooperative-group trials. However, studies at single institutions have suggested that 55 to 65 percent of such patients might be cured by third-generation regimens such as ones consisting of low-dose methotrexate with leucovorin rescue, bleomycin, doxorubicin, cyclophosphamide, vincristine, and dexamethasone (m-BACOD); prednisone, doxorubicin, cyclophosphamide, and etoposide, followed by cytarabine, bleomycin, vincristine, and methotrexate with leucovorin rescue (ProMACE-CytaBOM); and methotrexate with leucovorin rescue, doxorubicin, cyclophosphamide, vincristine, prednisone, and bleomycin (MACOP-B). METHODS To make a valid comparison of these regimens, the Southwest Oncology Group and the Eastern Cooperative Oncology Group initiated a prospective, randomized phase III trial. The study end points were the response rate, time to treatment failure, overall survival, and incidence of severe or life-threatening toxicity. Dose intensity was calculated and analyzed. RESULTS Of the 1138 patients registered for the trial, 899 were eligible. Each treatment group contained at least 218 patients. Known prognostic factors were equally distributed among the groups. There were no significant differences among the groups in the rates of partial and complete response. At three years, 44 percent of all patients were alive without disease; there were no significant differences between the groups (41 percent in the CHOP and MACOP-B groups and 46 percent in the m-BACOD and ProMACE-CytaBOM groups; P = 0.35). Overall survival at three years was 52 percent (50 percent in the ProMACE-CytaBOM and MACOP-B groups, 52 percent in the m-BACOD group, and 54 percent in the CHOP group; P = 0.90). There was no subgroup of patients in which survival was improved by a third-generation regimen. Fatal toxic reactions occurred in 1 percent of the CHOP group, 3 percent of the ProMACE-CytaBOM group, 5 percent of the m-BACOD group, and 6 percent of the MACOP-B group (P = 0.09). CONCLUSIONS CHOP remains the best available treatment for patients with advanced-stage intermediate-grade or high-grade non-Hodgkin's lymphoma.","author":[{"dropping-particle":"","family":"Fisher","given":"Richard I.","non-dropping-particle":"","parse-names":false,"suffix":""},{"dropping-particle":"","family":"Gaynor","given":"Ellen R.","non-dropping-particle":"","parse-names":false,"suffix":""},{"dropping-particle":"","family":"Dahlberg","given":"Steve","non-dropping-particle":"","parse-names":false,"suffix":""},{"dropping-particle":"","family":"Oken","given":"Martin M.","non-dropping-particle":"","parse-names":false,"suffix":""},{"dropping-particle":"","family":"Grogan","given":"Thomas M.","non-dropping-particle":"","parse-names":false,"suffix":""},{"dropping-particle":"","family":"Mize","given":"Evonne M.","non-dropping-particle":"","parse-names":false,"suffix":""},{"dropping-particle":"","family":"Glick","given":"John H.","non-dropping-particle":"","parse-names":false,"suffix":""},{"dropping-particle":"","family":"Coltman","given":"Charles A.","non-dropping-particle":"","parse-names":false,"suffix":""},{"dropping-particle":"","family":"Miller","given":"Thomas P.","non-dropping-particle":"","parse-names":false,"suffix":""}],"container-title":"New England Journal of Medicine","id":"ITEM-1","issue":"14","issued":{"date-parts":[["1993","4","8"]]},"page":"1002-1006","publisher":"Massachusetts Medical Society","title":"Comparison of a Standard Regimen (CHOP) with Three Intensive Chemotherapy Regimens for Advanced Non-Hodgkin's Lymphoma","type":"article-journal","volume":"328"},"uris":["http://www.mendeley.com/documents/?uuid=ec77cd16-8df8-3cc4-a650-23cc6d0adba8"]},{"id":"ITEM-2","itemData":{"DOI":"10.1016/j.ejca.2017.02.027","ISSN":"18790852","PMID":"28365528","abstract":"In order to provide a common standard for the treatment of mycosis fungoides (MF) and Sézary syndrome (SS), the European Organisation for Research and Treatment of Cancer–Cutaneous Lymphoma Task Force (EORTC-CLTF) published in 2006 its consensus recommendations for the stage-adapted selection of management options for these neoplasms. Since then, the understanding of the pathophysiology and epidemiology of MF/SS has advanced, the staging system has been revised, new outcome data have been published and novel treatment options have been introduced. The purpose of the present document is to update the original recommendations bearing in mind that there are still only a limited number of controlled studies to support treatment decisions for MF/SS and that often treatment is determined by institutional experience and availability. This consensus on treatment recommendations was established among the authors through a series of consecutive consultations in writing and a round of discussion. Recommended treatment options are presented according to disease stage, whenever possible categorised into first- and second-line options and supported with levels of evidence as devised by the Oxford Centre for Evidence-Based Medicine (OCEBM). Skin-directed therapies are still the most appropriate option for early-stage MF, and most patients can look forward to a normal life expectancy. For patients with advanced disease, prognosis is still grim, and only for a highly selected subset of patients, prolonged survival can be achieved with allogeneic stem cell transplantation (alloSCT). There is a high need for the development and investigation in controlled clinical trials of treatment options that are based on our increasing understanding of the molecular pathology of MF/SS.","author":[{"dropping-particle":"","family":"Trautinger","given":"Franz","non-dropping-particle":"","parse-names":false,"suffix":""},{"dropping-particle":"","family":"Eder","given":"Johanna","non-dropping-particle":"","parse-names":false,"suffix":""},{"dropping-particle":"","family":"Assaf","given":"Chalid","non-dropping-particle":"","parse-names":false,"suffix":""},{"dropping-particle":"","family":"Bagot","given":"Martine","non-dropping-particle":"","parse-names":false,"suffix":""},{"dropping-particle":"","family":"Cozzio","given":"Antonio","non-dropping-particle":"","parse-names":false,"suffix":""},{"dropping-particle":"","family":"Dummer","given":"Reinhard","non-dropping-particle":"","parse-names":false,"suffix":""},{"dropping-particle":"","family":"Gniadecki","given":"Robert","non-dropping-particle":"","parse-names":false,"suffix":""},{"dropping-particle":"","family":"Klemke","given":"Claus Detlev","non-dropping-particle":"","parse-names":false,"suffix":""},{"dropping-particle":"","family":"Ortiz-Romero","given":"Pablo L.","non-dropping-particle":"","parse-names":false,"suffix":""},{"dropping-particle":"","family":"Papadavid","given":"Evangelia","non-dropping-particle":"","parse-names":false,"suffix":""},{"dropping-particle":"","family":"Pimpinelli","given":"Nicola","non-dropping-particle":"","parse-names":false,"suffix":""},{"dropping-particle":"","family":"Quaglino","given":"Pietro","non-dropping-particle":"","parse-names":false,"suffix":""},{"dropping-particle":"","family":"Ranki","given":"Annamari","non-dropping-particle":"","parse-names":false,"suffix":""},{"dropping-particle":"","family":"Scarisbrick","given":"Julia","non-dropping-particle":"","parse-names":false,"suffix":""},{"dropping-particle":"","family":"Stadler","given":"Rudolf","non-dropping-particle":"","parse-names":false,"suffix":""},{"dropping-particle":"","family":"Väkevä","given":"Liisa","non-dropping-particle":"","parse-names":false,"suffix":""},{"dropping-particle":"","family":"Vermeer","given":"Maarten H.","non-dropping-particle":"","parse-names":false,"suffix":""},{"dropping-particle":"","family":"Whittaker","given":"Sean","non-dropping-particle":"","parse-names":false,"suffix":""},{"dropping-particle":"","family":"Willemze","given":"Rein","non-dropping-particle":"","parse-names":false,"suffix":""},{"dropping-particle":"","family":"Knobler","given":"Robert","non-dropping-particle":"","parse-names":false,"suffix":""}],"container-title":"European Journal of Cancer","id":"ITEM-2","issued":{"date-parts":[["2017","5","1"]]},"page":"57-74","publisher":"Elsevier Ltd","title":"European Organisation for Research and Treatment of Cancer consensus recommendations for the treatment of mycosis fungoides/Sézary syndrome – Update 2017","type":"article","volume":"77"},"uris":["http://www.mendeley.com/documents/?uuid=4a9bd2c5-8758-30bb-adc5-44f9163e365b"]},{"id":"ITEM-3","itemData":{"author":[{"dropping-particle":"","family":"Grozea","given":"P.N.","non-dropping-particle":"","parse-names":false,"suffix":""},{"dropping-particle":"","family":"Jones","given":"S.E.","non-dropping-particle":"","parse-names":false,"suffix":""},{"dropping-particle":"","family":"McKelvey","given":"E.M.","non-dropping-particle":"","parse-names":false,"suffix":""}],"container-title":"Cancer treatment reports","id":"ITEM-3","issue":"4","issued":{"date-parts":[["1979"]]},"page":"647-653","title":"Combination chemotherapy for mycosis fungoides: a Southwest Oncology Group study","type":"article-journal","volume":"63"},"uris":["http://www.mendeley.com/documents/?uuid=c236e5ea-048d-432f-a720-dafdbea441b5"]},{"id":"ITEM-4","itemData":{"DOI":"10.1016/j.ejca.2012.06.003","ISSN":"09598049","PMID":"22770877","abstract":"Background: We performed a phase II study to evaluate the efficacy of bortezomib in combination with CHOP (cyclophosphamide, doxorubicin, vincristine and prednisone) as first-line treatment for patients with stage III/IV peripheral T-cell lymphomas (PTCLs) based on our phase I study results. Methods: Patients received bortezomib on days 1 and 8 at a dose of 1.6 mg/m2 in addition to CHOP every 3 weeks for a total of six cycles. Results: Forty-six patients were enrolled: PTCL, not otherwise specified (PTCL-NOS, n = 16), extranodal NK/T-cell lymphoma, nasal type (ENKTL, n = 10), angioimmunoblastic T-cell lymphoma (AITL, n = 8), ALK-negative anaplastic large-cell lymphoma (ALCL, n = 6), cutaneous T-cell lymphoma (CTCL, n = 5) and hepatosplenic T-cell lymphoma (n = 1). Thirty patients achieved complete response (CR, 65%) and the overall response rate was 76% (35/46). Although the CR rate of ENKTL was only 30% (3/10), three subtypes of PTCLs (PTCL-NOS, AITL and ALCL) showed 87% of overall response rate (ORR) (26/30) and 73% of CR rate (22/30). However, the 3-year overall survival and progression-free survival were 47% and 35%, respectively due to frequent relapse after remission. Grade 3/4 leucopenia was the most frequent toxicity whereas neurotoxicity was tolerable: grade 1 or 2 of peripheral neuropathy. Conclusions: The combined treatment of bortezomib and CHOP is an effective and feasible regimen for advanced-stage PTCLs other than ENKTL, with acceptable toxicity. However, future studies exploring new drug combinations are warranted to overcome relapse after remission. © 2012 Elsevier Ltd. All rights reserved.","author":[{"dropping-particle":"","family":"Kim","given":"Seok Jin","non-dropping-particle":"","parse-names":false,"suffix":""},{"dropping-particle":"","family":"Yoon","given":"Dok Hyun","non-dropping-particle":"","parse-names":false,"suffix":""},{"dropping-particle":"","family":"Kang","given":"Hye Jin","non-dropping-particle":"","parse-names":false,"suffix":""},{"dropping-particle":"","family":"Kim","given":"Jin Seok","non-dropping-particle":"","parse-names":false,"suffix":""},{"dropping-particle":"","family":"Park","given":"Seong Kyu","non-dropping-particle":"","parse-names":false,"suffix":""},{"dropping-particle":"","family":"Kim","given":"Hyo Jung","non-dropping-particle":"","parse-names":false,"suffix":""},{"dropping-particle":"","family":"Lee","given":"Jeeyun","non-dropping-particle":"","parse-names":false,"suffix":""},{"dropping-particle":"","family":"Ryoo","given":"Baek Yeol","non-dropping-particle":"","parse-names":false,"suffix":""},{"dropping-particle":"","family":"Ko","given":"Young Hyeh","non-dropping-particle":"","parse-names":false,"suffix":""},{"dropping-particle":"","family":"Huh","given":"Jooryung","non-dropping-particle":"","parse-names":false,"suffix":""},{"dropping-particle":"","family":"Yang","given":"Woo Ick","non-dropping-particle":"","parse-names":false,"suffix":""},{"dropping-particle":"","family":"Kim","given":"Hee Kyung","non-dropping-particle":"","parse-names":false,"suffix":""},{"dropping-particle":"","family":"Min","given":"Soo Kee","non-dropping-particle":"","parse-names":false,"suffix":""},{"dropping-particle":"","family":"Lee","given":"Seung Sook","non-dropping-particle":"","parse-names":false,"suffix":""},{"dropping-particle":"","family":"Do","given":"In Gu","non-dropping-particle":"","parse-names":false,"suffix":""},{"dropping-particle":"","family":"Suh","given":"Cheolwon","non-dropping-particle":"","parse-names":false,"suffix":""},{"dropping-particle":"","family":"Kim","given":"Won Seog","non-dropping-particle":"","parse-names":false,"suffix":""}],"container-title":"European Journal of Cancer","id":"ITEM-4","issue":"17","issued":{"date-parts":[["2012","11","1"]]},"page":"3223-3231","publisher":"Elsevier Limited","title":"Bortezomib in combination with CHOP as first-line treatment for patients with stage III/IV peripheral T-cell lymphomas: A multicentre, single-arm, phase 2 trial","type":"article-journal","volume":"48"},"uris":["http://www.mendeley.com/documents/?uuid=c5b57adb-b6f8-3c43-b941-0bc7b001f481"]}],"mendeley":{"formattedCitation":"[59–62]","plainTextFormattedCitation":"[59–62]","previouslyFormattedCitation":"[58–61]"},"properties":{"noteIndex":0},"schema":"https://github.com/citation-style-language/schema/raw/master/csl-citation.json"}</w:instrText>
      </w:r>
      <w:r w:rsidR="00062499" w:rsidRPr="001B7F70">
        <w:rPr>
          <w:szCs w:val="24"/>
        </w:rPr>
        <w:fldChar w:fldCharType="separate"/>
      </w:r>
      <w:r w:rsidR="001B7F70" w:rsidRPr="001B7F70">
        <w:rPr>
          <w:noProof/>
          <w:szCs w:val="24"/>
        </w:rPr>
        <w:t>[59–62, 71-75]</w:t>
      </w:r>
      <w:r w:rsidR="00062499" w:rsidRPr="001B7F70">
        <w:rPr>
          <w:szCs w:val="24"/>
        </w:rPr>
        <w:fldChar w:fldCharType="end"/>
      </w:r>
      <w:r w:rsidR="001B7F70" w:rsidRPr="001B7F70">
        <w:rPr>
          <w:color w:val="000000" w:themeColor="text1"/>
          <w:szCs w:val="24"/>
          <w:lang w:eastAsia="ru-RU"/>
        </w:rPr>
        <w:t>.</w:t>
      </w:r>
    </w:p>
    <w:p w:rsidR="000F73E8" w:rsidRDefault="009E1126" w:rsidP="000F73E8">
      <w:pPr>
        <w:pStyle w:val="afff9"/>
        <w:divId w:val="1767193717"/>
        <w:rPr>
          <w:rStyle w:val="affa"/>
          <w:b/>
        </w:rPr>
      </w:pPr>
      <w:r>
        <w:rPr>
          <w:rStyle w:val="affa"/>
          <w:b/>
        </w:rPr>
        <w:t xml:space="preserve">Для взрослых: </w:t>
      </w:r>
      <w:r w:rsidR="000C307B">
        <w:rPr>
          <w:rStyle w:val="affa"/>
          <w:b/>
        </w:rPr>
        <w:t xml:space="preserve">Уровень убедительности рекомендаций </w:t>
      </w:r>
      <w:r>
        <w:rPr>
          <w:rStyle w:val="affa"/>
          <w:b/>
        </w:rPr>
        <w:t xml:space="preserve">В </w:t>
      </w:r>
      <w:r w:rsidR="000C307B">
        <w:rPr>
          <w:rStyle w:val="affa"/>
          <w:b/>
        </w:rPr>
        <w:t>(уровень достоверности доказательств –</w:t>
      </w:r>
      <w:r>
        <w:rPr>
          <w:rStyle w:val="affa"/>
          <w:b/>
        </w:rPr>
        <w:t>2</w:t>
      </w:r>
      <w:r w:rsidR="000C307B">
        <w:rPr>
          <w:rStyle w:val="affa"/>
          <w:b/>
        </w:rPr>
        <w:t>)</w:t>
      </w:r>
    </w:p>
    <w:p w:rsidR="009E1126" w:rsidRPr="0073723C" w:rsidRDefault="009E1126" w:rsidP="000F73E8">
      <w:pPr>
        <w:pStyle w:val="afff9"/>
        <w:divId w:val="1767193717"/>
      </w:pPr>
      <w:r>
        <w:rPr>
          <w:rStyle w:val="affa"/>
          <w:b/>
        </w:rPr>
        <w:t>Для детей:</w:t>
      </w:r>
      <w:r w:rsidRPr="009E1126">
        <w:rPr>
          <w:rStyle w:val="affa"/>
          <w:b/>
        </w:rPr>
        <w:t xml:space="preserve"> </w:t>
      </w:r>
      <w:r>
        <w:rPr>
          <w:rStyle w:val="affa"/>
          <w:b/>
        </w:rPr>
        <w:t>Уровень убедительности рекомендаций С (уровень достоверности доказательств –4)</w:t>
      </w:r>
    </w:p>
    <w:p w:rsidR="00306BA6" w:rsidRPr="0073723C" w:rsidRDefault="000C307B" w:rsidP="00C32F88">
      <w:pPr>
        <w:numPr>
          <w:ilvl w:val="0"/>
          <w:numId w:val="24"/>
        </w:numPr>
        <w:tabs>
          <w:tab w:val="clear" w:pos="720"/>
          <w:tab w:val="num" w:pos="1134"/>
        </w:tabs>
        <w:ind w:left="709" w:hanging="709"/>
        <w:divId w:val="1767193717"/>
        <w:rPr>
          <w:rFonts w:eastAsia="Times New Roman"/>
        </w:rPr>
      </w:pPr>
      <w:r w:rsidRPr="000C307B">
        <w:rPr>
          <w:b/>
        </w:rPr>
        <w:t xml:space="preserve">Рекомендуется </w:t>
      </w:r>
      <w:r w:rsidR="001B7F70" w:rsidRPr="001B7F70">
        <w:rPr>
          <w:rFonts w:eastAsia="Times New Roman"/>
        </w:rPr>
        <w:t xml:space="preserve">аллогенная </w:t>
      </w:r>
      <w:r w:rsidR="00CE089D" w:rsidRPr="0073723C">
        <w:rPr>
          <w:rFonts w:eastAsia="Times New Roman"/>
        </w:rPr>
        <w:t xml:space="preserve">трансплантация </w:t>
      </w:r>
      <w:r w:rsidR="00C9258E" w:rsidRPr="0073723C">
        <w:rPr>
          <w:rFonts w:eastAsia="Times New Roman"/>
        </w:rPr>
        <w:t>костного мозга (</w:t>
      </w:r>
      <w:r w:rsidR="00CE089D" w:rsidRPr="0073723C">
        <w:rPr>
          <w:rFonts w:eastAsia="Times New Roman"/>
        </w:rPr>
        <w:t>гемопоэтических стволовых клеток</w:t>
      </w:r>
      <w:r w:rsidR="00C9258E" w:rsidRPr="0073723C">
        <w:rPr>
          <w:rFonts w:eastAsia="Times New Roman"/>
        </w:rPr>
        <w:t>)</w:t>
      </w:r>
      <w:r w:rsidR="00CE089D" w:rsidRPr="0073723C">
        <w:rPr>
          <w:rFonts w:eastAsia="Times New Roman"/>
        </w:rPr>
        <w:t xml:space="preserve"> пациентам </w:t>
      </w:r>
      <w:r w:rsidR="002A6444">
        <w:rPr>
          <w:rFonts w:eastAsia="Times New Roman"/>
        </w:rPr>
        <w:t>м</w:t>
      </w:r>
      <w:r w:rsidR="002A6444" w:rsidRPr="002A6444">
        <w:rPr>
          <w:rFonts w:eastAsia="Times New Roman"/>
        </w:rPr>
        <w:t xml:space="preserve">оложе 60 лет </w:t>
      </w:r>
      <w:r w:rsidR="002A6444" w:rsidRPr="0073723C">
        <w:rPr>
          <w:rFonts w:eastAsia="Times New Roman"/>
        </w:rPr>
        <w:t>при отсутствии эффекта от других видов терапии</w:t>
      </w:r>
      <w:r w:rsidR="002A6444">
        <w:rPr>
          <w:rFonts w:eastAsia="Times New Roman"/>
        </w:rPr>
        <w:t>,</w:t>
      </w:r>
      <w:r w:rsidR="002A6444" w:rsidRPr="0073723C" w:rsidDel="002A6444">
        <w:rPr>
          <w:rFonts w:eastAsia="Times New Roman"/>
        </w:rPr>
        <w:t xml:space="preserve"> </w:t>
      </w:r>
      <w:r w:rsidR="002A6444" w:rsidRPr="002A6444">
        <w:rPr>
          <w:rFonts w:eastAsia="Times New Roman"/>
        </w:rPr>
        <w:t xml:space="preserve">при раннем прогрессировании в поздние стадии заболевания, </w:t>
      </w:r>
      <w:r w:rsidR="002A6444" w:rsidRPr="002A6444">
        <w:rPr>
          <w:rFonts w:eastAsia="Times New Roman"/>
        </w:rPr>
        <w:lastRenderedPageBreak/>
        <w:t xml:space="preserve">крупноклеточной трансформацией грибовидного микоза, и поздних стадий ГМ при условии достиждения </w:t>
      </w:r>
      <w:r w:rsidR="002A6444">
        <w:rPr>
          <w:rFonts w:eastAsia="Times New Roman"/>
        </w:rPr>
        <w:t xml:space="preserve">частичной или полной ремиссии </w:t>
      </w:r>
      <w:r w:rsidR="002A6444" w:rsidRPr="002A6444">
        <w:rPr>
          <w:rFonts w:eastAsia="Times New Roman"/>
        </w:rPr>
        <w:t xml:space="preserve"> на предтрансплантационном этапе</w:t>
      </w:r>
      <w:r w:rsidR="002A6444">
        <w:rPr>
          <w:rFonts w:eastAsia="Times New Roman"/>
        </w:rPr>
        <w:t xml:space="preserve">  </w:t>
      </w:r>
      <w:r w:rsidR="00062499" w:rsidRPr="001B7F70">
        <w:rPr>
          <w:rFonts w:eastAsia="Times New Roman"/>
        </w:rPr>
        <w:fldChar w:fldCharType="begin" w:fldLock="1"/>
      </w:r>
      <w:r w:rsidR="001B7F70" w:rsidRPr="001B7F70">
        <w:rPr>
          <w:rFonts w:eastAsia="Times New Roman"/>
        </w:rPr>
        <w:instrText>ADDIN CSL_CITATION {"citationItems":[{"id":"ITEM-1","itemData":{"DOI":"10.1016/j.bbmt.2009.04.017","ISSN":"10838791","PMID":"19589488","abstract":"The survival outlook in advanced mycosis fungoides (MF) is poor. Autologous and allogeneic stem cell transplants (SCT) have been shown, in small case series and case reports, to have the potential for long-term remission or to alter disease course. Allogeneic SCT is thought to have a curative potential secondary to a graft-versus-lymphoma (GVL) effect. A patient-level meta-analysis was performed to compare the outcome of allogeneic versus autologous SCT in patients with MF/Sézary syndrome (SS) using 39 cases from the literature. There were a total of 20 allogeneic and 19 autologous transplant cases. The gender, age, and stage distribution was similar between the transplant groups. The allogeneic group received significantly more systemic therapies prior to transplant (P &lt; .0005) and had longer follow-up after transplant. Overall survival (OS) results showed a more favorable outcome of patients who received allogeneic SCT (P = .027). Event-free survival (EFS) demonstrated a more durable response in patients who received allogeneic SCT (P = .002). In the allogeneic group, the majority (70%) of patients experienced persistent graft-versus-host disease (GVHD), mostly with mild to moderate severity, and 2 of 4 deaths were related to GVHD. Meanwhile, the majority of the deaths (8 of 10) in the autologous group were because of progressive disease. These results support the belief that allogeneic SCT offers a better survival and disease-free outcome versus autologous SCT in MF/SS, likely because of a GVL effect. © 2009 American Society for Blood and Marrow Transplantation.","author":[{"dropping-particle":"","family":"Wu","given":"Peggy A.","non-dropping-particle":"","parse-names":false,"suffix":""},{"dropping-particle":"","family":"Kim","given":"Youn H.","non-dropping-particle":"","parse-names":false,"suffix":""},{"dropping-particle":"","family":"Lavori","given":"Phillip W.","non-dropping-particle":"","parse-names":false,"suffix":""},{"dropping-particle":"","family":"Hoppe","given":"Richard T.","non-dropping-particle":"","parse-names":false,"suffix":""},{"dropping-particle":"","family":"Stockerl-Goldstein","given":"Keith E.","non-dropping-particle":"","parse-names":false,"suffix":""}],"container-title":"Biology of Blood and Marrow Transplantation","id":"ITEM-1","issue":"8","issued":{"date-parts":[["2009","8"]]},"page":"982-990","publisher":"Biol Blood Marrow Transplant","title":"A Meta-analysis of Patients Receiving Allogeneic or Autologous Hematopoietic Stem Cell Transplant in Mycosis Fungoides and Sézary Syndrome","type":"article-journal","volume":"15"},"uris":["http://www.mendeley.com/documents/?uuid=13138dd9-6784-3f37-811b-82a9e7cbf6fc"]},{"id":"ITEM-2","itemData":{"DOI":"10.1200/JCO.2010.29.3241","ISSN":"0732183X","PMID":"20697072","abstract":"Purpose: To analyze the outcome of allogeneic transplantation for mycosis fungoides and Sézary syndrome (MF/SS) in terms of nonrelapse mortality (NRM), relapse/progression (REL), progression-free survival (PFS), and overall survival (OS) and to identify factors associated with the outcome. Patient and Methods: Sixty patients with MF (n = 36) and SS (n = 24) who received a first allogeneic hematopoietic cell transplantation (HCT) from a matched related (mRD; n = 45) or unrelated donor (mUD; n = 15) between 1997 and 2007 and who were registered in the European Group for Blood and Marrow Transplantation database were analyzed: 37 men and 23 women, median age 46.5 years (range, 22 to 66 years). Forty-four patients had TNM stage IV, and 40 patients were at advanced phase at transplantation. Forty-four patients received reduced-intensity conditioning (RIC) regimens, and 25 underwent T-cell depletion (TCD). Results: Allogeneic transplantation in MF/SS offers an estimated OS of 66% at 1 year and 54% at 3 years, primarily driven by donor type, disease phase, and type of conditioning. RIC decreased NRM (relative risk [RR] = 4.7; P = .008) without increasing REL, leading to a higher OS (RR = 2.8; P = .03). Advanced-phase disease increases REL (RR = 3.0; P = .03) and reduces PFS (RR = 4.4; P = .002) and OS (RR = 3.5; P = .023). Recipients of mRD allogeneic HCT had better PFS (RR = 2.7; P = .006) and OS (RR = 4.0; P = .001) than their mUD counterparts. The risk of REL increases with TCD (RR = 3.2; P = .005). Some patients who experience relapse can successfully undergo rescue treatment with donor lymphocyte infusions. Conclusion: Allogeneic transplantation is a valid therapeutic alternative for high-risk patients with advanced-stage MF/SS. Our data also suggest the existence of a clinically relevant graft-versus-lymphoma effect in MF/SS. © 2010 by American Society of Clinical Oncology.","author":[{"dropping-particle":"","family":"Duarte","given":"Rafael F.","non-dropping-particle":"","parse-names":false,"suffix":""},{"dropping-particle":"","family":"Canals","given":"Carmen","non-dropping-particle":"","parse-names":false,"suffix":""},{"dropping-particle":"","family":"Onida","given":"Francesco","non-dropping-particle":"","parse-names":false,"suffix":""},{"dropping-particle":"","family":"Gabriel","given":"Ian H.","non-dropping-particle":"","parse-names":false,"suffix":""},{"dropping-particle":"","family":"Arranz","given":"Reyes","non-dropping-particle":"","parse-names":false,"suffix":""},{"dropping-particle":"","family":"Arcese","given":"William","non-dropping-particle":"","parse-names":false,"suffix":""},{"dropping-particle":"","family":"Ferrant","given":"Augustin","non-dropping-particle":"","parse-names":false,"suffix":""},{"dropping-particle":"","family":"Kobbe","given":"Guido","non-dropping-particle":"","parse-names":false,"suffix":""},{"dropping-particle":"","family":"Narni","given":"Franco","non-dropping-particle":"","parse-names":false,"suffix":""},{"dropping-particle":"","family":"Deliliers","given":"Giorgio Lambertenghi","non-dropping-particle":"","parse-names":false,"suffix":""},{"dropping-particle":"","family":"Olavarría","given":"Eduardo","non-dropping-particle":"","parse-names":false,"suffix":""},{"dropping-particle":"","family":"Schmitz","given":"Norbert","non-dropping-particle":"","parse-names":false,"suffix":""},{"dropping-particle":"","family":"Sureda","given":"Anna","non-dropping-particle":"","parse-names":false,"suffix":""}],"container-title":"Journal of Clinical Oncology","id":"ITEM-2","issue":"29","issued":{"date-parts":[["2010","10","10"]]},"page":"4492-4499","publisher":"J Clin Oncol","title":"Allogeneic hematopoietic cell transplantation for patients with mycosis fungoides and Sézary syndrome: A retrospective analysis of the lymphoma working party of the European group for blood and marrow transplantation","type":"article-journal","volume":"28"},"uris":["http://www.mendeley.com/documents/?uuid=604091ed-6643-30ec-bef2-80dd3b2362aa"]}],"mendeley":{"formattedCitation":"[62,63]","plainTextFormattedCitation":"[62,63]","previouslyFormattedCitation":"[62,63]"},"properties":{"noteIndex":0},"schema":"https://github.com/citation-style-language/schema/raw/master/csl-citation.json"}</w:instrText>
      </w:r>
      <w:r w:rsidR="00062499" w:rsidRPr="001B7F70">
        <w:rPr>
          <w:rFonts w:eastAsia="Times New Roman"/>
        </w:rPr>
        <w:fldChar w:fldCharType="separate"/>
      </w:r>
      <w:r w:rsidR="001B7F70" w:rsidRPr="001B7F70">
        <w:rPr>
          <w:rFonts w:eastAsia="Times New Roman"/>
          <w:noProof/>
        </w:rPr>
        <w:t>[62,63]</w:t>
      </w:r>
      <w:r w:rsidR="00062499" w:rsidRPr="001B7F70">
        <w:rPr>
          <w:rFonts w:eastAsia="Times New Roman"/>
        </w:rPr>
        <w:fldChar w:fldCharType="end"/>
      </w:r>
      <w:r w:rsidR="00CE089D" w:rsidRPr="0073723C">
        <w:rPr>
          <w:rFonts w:eastAsia="Times New Roman"/>
        </w:rPr>
        <w:t>.</w:t>
      </w:r>
    </w:p>
    <w:p w:rsidR="006425FF" w:rsidRPr="0073723C" w:rsidRDefault="000C307B" w:rsidP="009E1126">
      <w:pPr>
        <w:pStyle w:val="1"/>
        <w:numPr>
          <w:ilvl w:val="0"/>
          <w:numId w:val="0"/>
        </w:numPr>
        <w:spacing w:before="0"/>
        <w:ind w:left="709"/>
        <w:divId w:val="1767193717"/>
      </w:pPr>
      <w:r>
        <w:rPr>
          <w:rStyle w:val="affa"/>
        </w:rPr>
        <w:t xml:space="preserve">Уровень убедительности рекомендаций В </w:t>
      </w:r>
      <w:r w:rsidRPr="000C307B">
        <w:rPr>
          <w:b/>
        </w:rPr>
        <w:t xml:space="preserve">(уровень достоверности доказательств – </w:t>
      </w:r>
      <w:r w:rsidR="001B7F70" w:rsidRPr="001B7F70">
        <w:rPr>
          <w:b/>
        </w:rPr>
        <w:t>2)</w:t>
      </w:r>
      <w:r w:rsidR="009E1126">
        <w:rPr>
          <w:b/>
        </w:rPr>
        <w:t xml:space="preserve"> </w:t>
      </w:r>
    </w:p>
    <w:p w:rsidR="004E1288" w:rsidRPr="0073723C" w:rsidRDefault="001B7F70" w:rsidP="006425FF">
      <w:pPr>
        <w:pStyle w:val="2"/>
        <w:divId w:val="1767193717"/>
      </w:pPr>
      <w:bookmarkStart w:id="31" w:name="_Toc84161282"/>
      <w:r w:rsidRPr="001B7F70">
        <w:t>3.3 Иное лечение</w:t>
      </w:r>
      <w:bookmarkEnd w:id="31"/>
    </w:p>
    <w:p w:rsidR="00CB1DF3" w:rsidRPr="0073723C" w:rsidRDefault="000C307B" w:rsidP="00CB1DF3">
      <w:pPr>
        <w:pStyle w:val="1"/>
        <w:numPr>
          <w:ilvl w:val="0"/>
          <w:numId w:val="0"/>
        </w:numPr>
        <w:spacing w:before="0"/>
        <w:ind w:left="709"/>
      </w:pPr>
      <w:bookmarkStart w:id="32" w:name="__RefHeading___doc_4"/>
      <w:r w:rsidRPr="000C307B">
        <w:rPr>
          <w:b/>
        </w:rPr>
        <w:t xml:space="preserve">Рекомендуется </w:t>
      </w:r>
      <w:r w:rsidR="007F36A7" w:rsidRPr="007F36A7">
        <w:t xml:space="preserve">пациентам с жалобами на зуд назначение антигистаминных средств системного действия в соответствии с инструкциями к их применению </w:t>
      </w:r>
      <w:r w:rsidR="00062499" w:rsidRPr="007F36A7">
        <w:fldChar w:fldCharType="begin" w:fldLock="1"/>
      </w:r>
      <w:r w:rsidR="007F36A7" w:rsidRPr="007F36A7">
        <w:instrText>ADDIN CSL_CITATION {"citationItems":[{"id":"ITEM-1","itemData":{"DOI":"10.1016/j.det.2018.02.011","ISSN":"15580520","PMID":"29929596","abstract":"Pruritus is a common symptom in cutaneous T-cell lymphoma (CTCL) and critically affects the quality of life of patients. Understanding the pruritogenesis has led to development of new therapeutic agents with promising outcomes in management of this recalcitrant symptom. Clinical assessments are warranted to aid in evaluation of treatment response or disease recurrence. Severe pruritus scores may require further investigation of emotional distress for a better patient approach. Dermatologists play a key role in the treatment of CTCL-pruritus by guiding the patient in the importance of preserving the integrity of the skin barrier.","author":[{"dropping-particle":"","family":"Serrano","given":"Linda","non-dropping-particle":"","parse-names":false,"suffix":""},{"dropping-particle":"","family":"Martinez-Escala","given":"Maria Estela","non-dropping-particle":"","parse-names":false,"suffix":""},{"dropping-particle":"","family":"Zhou","given":"Xiaolong A.","non-dropping-particle":"","parse-names":false,"suffix":""},{"dropping-particle":"","family":"Guitart","given":"Joan","non-dropping-particle":"","parse-names":false,"suffix":""}],"container-title":"Dermatologic Clinics","id":"ITEM-1","issue":"3","issued":{"date-parts":[["2018","7","1"]]},"page":"245-258","publisher":"W.B. Saunders","title":"Pruritus in Cutaneous T-Cell Lymphoma and Its Management","type":"article","volume":"36"},"uris":["http://www.mendeley.com/documents/?uuid=c311458a-6a47-3efd-b372-42ea20898cca"]}],"mendeley":{"formattedCitation":"[64]","plainTextFormattedCitation":"[64]","previouslyFormattedCitation":"[64]"},"properties":{"noteIndex":0},"schema":"https://github.com/citation-style-language/schema/raw/master/csl-citation.json"}</w:instrText>
      </w:r>
      <w:r w:rsidR="00062499" w:rsidRPr="007F36A7">
        <w:fldChar w:fldCharType="separate"/>
      </w:r>
      <w:r w:rsidR="007F36A7" w:rsidRPr="007F36A7">
        <w:rPr>
          <w:noProof/>
        </w:rPr>
        <w:t>[64, 65]</w:t>
      </w:r>
      <w:r w:rsidR="00062499" w:rsidRPr="007F36A7">
        <w:fldChar w:fldCharType="end"/>
      </w:r>
      <w:r w:rsidR="007F36A7" w:rsidRPr="007F36A7">
        <w:t xml:space="preserve"> </w:t>
      </w:r>
    </w:p>
    <w:p w:rsidR="00CB1DF3" w:rsidRPr="0073723C" w:rsidRDefault="000C307B" w:rsidP="00CB1DF3">
      <w:pPr>
        <w:pStyle w:val="1"/>
        <w:numPr>
          <w:ilvl w:val="0"/>
          <w:numId w:val="0"/>
        </w:numPr>
        <w:spacing w:before="0"/>
        <w:ind w:left="709"/>
      </w:pPr>
      <w:r>
        <w:rPr>
          <w:rStyle w:val="affa"/>
        </w:rPr>
        <w:t xml:space="preserve">Уровень убедительности рекомендаций С </w:t>
      </w:r>
      <w:r w:rsidRPr="000C307B">
        <w:rPr>
          <w:b/>
        </w:rPr>
        <w:t>(уровень достоверности доказательств – 4)</w:t>
      </w:r>
    </w:p>
    <w:p w:rsidR="00C5559E" w:rsidRPr="0073723C" w:rsidRDefault="00C5559E" w:rsidP="00334F6C">
      <w:pPr>
        <w:pStyle w:val="2-6"/>
        <w:rPr>
          <w:rStyle w:val="affb"/>
          <w:i w:val="0"/>
          <w:iCs w:val="0"/>
        </w:rPr>
      </w:pPr>
    </w:p>
    <w:p w:rsidR="000414F6" w:rsidRPr="0073723C" w:rsidRDefault="001B7F70" w:rsidP="00B104EF">
      <w:pPr>
        <w:pStyle w:val="CustomContentNormal"/>
      </w:pPr>
      <w:bookmarkStart w:id="33" w:name="_Toc84161283"/>
      <w:r w:rsidRPr="001B7F70">
        <w:t>4. Медицинская реабилитация</w:t>
      </w:r>
      <w:bookmarkEnd w:id="32"/>
      <w:r w:rsidRPr="001B7F70">
        <w:t xml:space="preserve"> и санитарно-курортное лечение, медицинские показания и противопоказания к применению методов медицинской реабилитации</w:t>
      </w:r>
      <w:bookmarkEnd w:id="33"/>
      <w:r w:rsidRPr="001B7F70">
        <w:t xml:space="preserve">, </w:t>
      </w:r>
      <w:r w:rsidR="00BF4990">
        <w:t>в</w:t>
      </w:r>
      <w:r w:rsidRPr="001B7F70">
        <w:t xml:space="preserve"> том числе основных на использовании природных лечебных факторов </w:t>
      </w:r>
    </w:p>
    <w:p w:rsidR="006425FF" w:rsidRPr="0073723C" w:rsidRDefault="001B7F70" w:rsidP="00301F05">
      <w:pPr>
        <w:pStyle w:val="aff1"/>
        <w:ind w:left="0" w:firstLine="709"/>
      </w:pPr>
      <w:bookmarkStart w:id="34" w:name="__RefHeading___doc_5"/>
      <w:r w:rsidRPr="001B7F70">
        <w:rPr>
          <w:b w:val="0"/>
          <w:iCs/>
        </w:rPr>
        <w:t xml:space="preserve">Специальных методов реабилитации при грибовидном микозе не существует. </w:t>
      </w:r>
    </w:p>
    <w:p w:rsidR="00A43CE5" w:rsidRPr="0073723C" w:rsidRDefault="001B7F70" w:rsidP="00A43CE5">
      <w:pPr>
        <w:pStyle w:val="CustomContentNormal"/>
      </w:pPr>
      <w:bookmarkStart w:id="35" w:name="_Toc84161284"/>
      <w:r w:rsidRPr="001B7F70">
        <w:t>5. Профилактика</w:t>
      </w:r>
      <w:bookmarkEnd w:id="34"/>
      <w:r w:rsidRPr="001B7F70">
        <w:t xml:space="preserve"> и диспансерное наблюдение, медицинские показания и противопоказания к применению методов профилактики</w:t>
      </w:r>
      <w:bookmarkEnd w:id="35"/>
    </w:p>
    <w:p w:rsidR="00306BA6" w:rsidRPr="0073723C" w:rsidRDefault="001B7F70" w:rsidP="00306BA6">
      <w:pPr>
        <w:pStyle w:val="afb"/>
        <w:tabs>
          <w:tab w:val="left" w:pos="993"/>
        </w:tabs>
        <w:spacing w:beforeAutospacing="0" w:afterAutospacing="0" w:line="360" w:lineRule="auto"/>
        <w:ind w:firstLine="567"/>
      </w:pPr>
      <w:bookmarkStart w:id="36" w:name="__RefHeading___doc_6"/>
      <w:r w:rsidRPr="001B7F70">
        <w:rPr>
          <w:iCs/>
        </w:rPr>
        <w:t>Методов профилактики грибовидного микоза в настоящее время не существует, поскольку неизвестен этиологический фактор(ы), ведущие к развитию заболевания. Диспансерное наблюдение врачом-гематологом или врачом-онкологом осуществляется в период лечения и после достижения ремиссии лимфомы.</w:t>
      </w:r>
    </w:p>
    <w:p w:rsidR="00306BA6" w:rsidRPr="0073723C" w:rsidRDefault="001B7F70" w:rsidP="00306BA6">
      <w:pPr>
        <w:pStyle w:val="afb"/>
        <w:tabs>
          <w:tab w:val="left" w:pos="993"/>
        </w:tabs>
        <w:spacing w:beforeAutospacing="0" w:afterAutospacing="0" w:line="360" w:lineRule="auto"/>
        <w:ind w:firstLine="567"/>
        <w:rPr>
          <w:rFonts w:eastAsiaTheme="minorEastAsia"/>
        </w:rPr>
      </w:pPr>
      <w:r w:rsidRPr="001B7F70">
        <w:t xml:space="preserve">При рецидиве или прогрессировании грибовидного микоза необходимо выполнять </w:t>
      </w:r>
      <w:r w:rsidR="00CE089D" w:rsidRPr="0073723C">
        <w:t>повторную биопсию кожи и повторное патолого</w:t>
      </w:r>
      <w:r w:rsidR="0083040F" w:rsidRPr="0073723C">
        <w:t>-</w:t>
      </w:r>
      <w:r w:rsidR="00CE089D" w:rsidRPr="0073723C">
        <w:t>анатомическое исследование</w:t>
      </w:r>
      <w:r w:rsidR="002756B8" w:rsidRPr="0073723C">
        <w:t xml:space="preserve"> (операционного)</w:t>
      </w:r>
      <w:r w:rsidR="00CE089D" w:rsidRPr="0073723C">
        <w:t xml:space="preserve"> биопсийного материала кожи, а также повторное патолого-анатомическое исследование</w:t>
      </w:r>
      <w:r w:rsidR="002756B8" w:rsidRPr="0073723C">
        <w:t xml:space="preserve"> (операционного)</w:t>
      </w:r>
      <w:r w:rsidR="00CE089D" w:rsidRPr="0073723C">
        <w:t xml:space="preserve"> биопсийного материала кожи с применением иммуногистохимическ</w:t>
      </w:r>
      <w:r w:rsidR="0083040F" w:rsidRPr="0073723C">
        <w:t>ого</w:t>
      </w:r>
      <w:r w:rsidR="00CE089D" w:rsidRPr="0073723C">
        <w:t xml:space="preserve"> метод</w:t>
      </w:r>
      <w:r w:rsidR="0083040F" w:rsidRPr="0073723C">
        <w:t>а</w:t>
      </w:r>
      <w:r w:rsidR="00CE089D" w:rsidRPr="0073723C">
        <w:t xml:space="preserve"> для исключения крупноклеточной трансформации, при необходимости – повторную процедуру стадирования. Тактика лечения рецидивов также базируется на определении стадии заболевания, учитывается развитие резистентности к предыдущим видам терапии.</w:t>
      </w:r>
    </w:p>
    <w:p w:rsidR="00306BA6" w:rsidRPr="0073723C" w:rsidRDefault="00CE089D" w:rsidP="002535E1">
      <w:pPr>
        <w:pStyle w:val="afff7"/>
        <w:rPr>
          <w:color w:val="FF0000"/>
        </w:rPr>
      </w:pPr>
      <w:r w:rsidRPr="0073723C">
        <w:rPr>
          <w:b/>
        </w:rPr>
        <w:lastRenderedPageBreak/>
        <w:t xml:space="preserve">Рекомендуется </w:t>
      </w:r>
      <w:r w:rsidRPr="0073723C">
        <w:t> </w:t>
      </w:r>
      <w:r w:rsidR="001B7F70" w:rsidRPr="001B7F70">
        <w:t>пациентам с ранними стадиями ежегодно проходить: физикальный осмотр с картированием кожи</w:t>
      </w:r>
      <w:r w:rsidRPr="0073723C">
        <w:t xml:space="preserve">, </w:t>
      </w:r>
      <w:r w:rsidR="0017134D" w:rsidRPr="0073723C">
        <w:t>прицельн</w:t>
      </w:r>
      <w:r w:rsidR="007F36A7" w:rsidRPr="007F36A7">
        <w:t>ую</w:t>
      </w:r>
      <w:r w:rsidR="0017134D" w:rsidRPr="0073723C">
        <w:t xml:space="preserve"> </w:t>
      </w:r>
      <w:r w:rsidRPr="0073723C">
        <w:t>рентгенографи</w:t>
      </w:r>
      <w:r w:rsidR="00C00E35">
        <w:t>ю</w:t>
      </w:r>
      <w:r w:rsidRPr="0073723C">
        <w:t xml:space="preserve"> органов грудной клетки и УЗИ лимфатических узлов</w:t>
      </w:r>
      <w:r w:rsidR="00EA542E" w:rsidRPr="0073723C">
        <w:t xml:space="preserve"> (</w:t>
      </w:r>
      <w:r w:rsidR="00CE3DF7" w:rsidRPr="0073723C">
        <w:t xml:space="preserve">одна анатомическая зона) </w:t>
      </w:r>
      <w:r w:rsidR="00EA542E" w:rsidRPr="0073723C">
        <w:t>периферических</w:t>
      </w:r>
      <w:r w:rsidR="00062499" w:rsidRPr="0073723C">
        <w:fldChar w:fldCharType="begin" w:fldLock="1"/>
      </w:r>
      <w:r w:rsidR="00C77CC6" w:rsidRPr="0073723C">
        <w:instrText>ADDIN CSL_CITATION {"citationItems":[{"id":"ITEM-1","itemData":{"author":[{"dropping-particle":"","family":"Лезвинская","given":"Е.М.","non-dropping-particle":"","parse-names":false,"suffix":""},{"dropping-particle":"","family":"Вавилов","given":"А.М.","non-dropping-particle":"","parse-names":false,"suffix":""}],"id":"ITEM-1","issued":{"date-parts":[["2010"]]},"number-of-pages":"366","publisher":"М.: Практическая медицина","title":"Лимфопролиферативные опухоли кожи: руководство для врачей","type":"book"},"uris":["http://www.mendeley.com/documents/?uuid=72f335e8-58c7-4f5a-b0b3-08e9384bcef7"]}],"mendeley":{"formattedCitation":"[65]","plainTextFormattedCitation":"[65]","previouslyFormattedCitation":"[65]"},"properties":{"noteIndex":0},"schema":"https://github.com/citation-style-language/schema/raw/master/csl-citation.json"}</w:instrText>
      </w:r>
      <w:r w:rsidR="00062499" w:rsidRPr="0073723C">
        <w:fldChar w:fldCharType="separate"/>
      </w:r>
      <w:r w:rsidR="00C77CC6" w:rsidRPr="0073723C">
        <w:rPr>
          <w:noProof/>
        </w:rPr>
        <w:t>[</w:t>
      </w:r>
      <w:r w:rsidR="00AA0534" w:rsidRPr="0073723C">
        <w:rPr>
          <w:noProof/>
        </w:rPr>
        <w:t xml:space="preserve">3, 6, 7, </w:t>
      </w:r>
      <w:r w:rsidR="00C77CC6" w:rsidRPr="0073723C">
        <w:rPr>
          <w:noProof/>
        </w:rPr>
        <w:t>65]</w:t>
      </w:r>
      <w:r w:rsidR="00062499" w:rsidRPr="0073723C">
        <w:fldChar w:fldCharType="end"/>
      </w:r>
    </w:p>
    <w:p w:rsidR="00514EBE" w:rsidRPr="0073723C" w:rsidRDefault="00CE089D" w:rsidP="00514EBE">
      <w:pPr>
        <w:pStyle w:val="afb"/>
        <w:tabs>
          <w:tab w:val="left" w:pos="993"/>
        </w:tabs>
        <w:spacing w:beforeAutospacing="0" w:afterAutospacing="0" w:line="360" w:lineRule="auto"/>
        <w:ind w:left="709" w:firstLine="0"/>
      </w:pPr>
      <w:r w:rsidRPr="0073723C">
        <w:rPr>
          <w:rStyle w:val="affa"/>
        </w:rPr>
        <w:t xml:space="preserve">Уровень убедительности рекомендаций </w:t>
      </w:r>
      <w:r w:rsidRPr="0073723C">
        <w:rPr>
          <w:rStyle w:val="affa"/>
        </w:rPr>
        <w:softHyphen/>
        <w:t xml:space="preserve">С </w:t>
      </w:r>
      <w:r w:rsidRPr="0073723C">
        <w:rPr>
          <w:b/>
        </w:rPr>
        <w:t>(уровень достоверности доказательств – 5)</w:t>
      </w:r>
    </w:p>
    <w:p w:rsidR="00306BA6" w:rsidRPr="0073723C" w:rsidRDefault="00CE089D" w:rsidP="002535E1">
      <w:pPr>
        <w:pStyle w:val="afff7"/>
        <w:rPr>
          <w:color w:val="FF0000"/>
        </w:rPr>
      </w:pPr>
      <w:r w:rsidRPr="0073723C">
        <w:rPr>
          <w:b/>
        </w:rPr>
        <w:t>Рекомендуется</w:t>
      </w:r>
      <w:r w:rsidR="003723CA" w:rsidRPr="0073723C">
        <w:rPr>
          <w:b/>
        </w:rPr>
        <w:t xml:space="preserve"> </w:t>
      </w:r>
      <w:r w:rsidRPr="0073723C">
        <w:t>пациентам с поздними стадиями каждые 6 месяцев проходить: физикальный осмотр с картированием кожи, УЗИ лимфатических узлов</w:t>
      </w:r>
      <w:r w:rsidR="00EA542E" w:rsidRPr="0073723C">
        <w:t xml:space="preserve"> (периферических)</w:t>
      </w:r>
      <w:r w:rsidRPr="0073723C">
        <w:t xml:space="preserve">, КТ органов грудной </w:t>
      </w:r>
      <w:r w:rsidR="00EA542E" w:rsidRPr="0073723C">
        <w:t>полости</w:t>
      </w:r>
      <w:r w:rsidRPr="0073723C">
        <w:t>, брюшной полости и малого таза)</w:t>
      </w:r>
      <w:r w:rsidR="003723CA" w:rsidRPr="0073723C">
        <w:t xml:space="preserve"> </w:t>
      </w:r>
      <w:r w:rsidR="00062499" w:rsidRPr="001B7F70">
        <w:fldChar w:fldCharType="begin" w:fldLock="1"/>
      </w:r>
      <w:r w:rsidR="001B7F70" w:rsidRPr="001B7F70">
        <w:instrText>ADDIN CSL_CITATION {"citationItems":[{"id":"ITEM-1","itemData":{"author":[{"dropping-particle":"","family":"Лезвинская","given":"Е.М.","non-dropping-particle":"","parse-names":false,"suffix":""},{"dropping-particle":"","family":"Вавилов","given":"А.М.","non-dropping-particle":"","parse-names":false,"suffix":""}],"id":"ITEM-1","issued":{"date-parts":[["2010"]]},"number-of-pages":"366","publisher":"М.: Практическая медицина","title":"Лимфопролиферативные опухоли кожи: руководство для врачей","type":"book"},"uris":["http://www.mendeley.com/documents/?uuid=72f335e8-58c7-4f5a-b0b3-08e9384bcef7"]}],"mendeley":{"formattedCitation":"[65]","plainTextFormattedCitation":"[65]","previouslyFormattedCitation":"[65]"},"properties":{"noteIndex":0},"schema":"https://github.com/citation-style-language/schema/raw/master/csl-citation.json"}</w:instrText>
      </w:r>
      <w:r w:rsidR="00062499" w:rsidRPr="001B7F70">
        <w:fldChar w:fldCharType="separate"/>
      </w:r>
      <w:r w:rsidR="001B7F70" w:rsidRPr="001B7F70">
        <w:rPr>
          <w:noProof/>
        </w:rPr>
        <w:t>[3, 6, 7, 65]</w:t>
      </w:r>
      <w:r w:rsidR="00062499" w:rsidRPr="001B7F70">
        <w:fldChar w:fldCharType="end"/>
      </w:r>
    </w:p>
    <w:p w:rsidR="00514EBE" w:rsidRPr="0073723C" w:rsidRDefault="000C307B" w:rsidP="00514EBE">
      <w:pPr>
        <w:pStyle w:val="afb"/>
        <w:tabs>
          <w:tab w:val="left" w:pos="993"/>
        </w:tabs>
        <w:spacing w:beforeAutospacing="0" w:afterAutospacing="0" w:line="360" w:lineRule="auto"/>
        <w:ind w:left="709" w:firstLine="0"/>
      </w:pPr>
      <w:r>
        <w:rPr>
          <w:rStyle w:val="affa"/>
        </w:rPr>
        <w:t xml:space="preserve">Уровень убедительности рекомендаций </w:t>
      </w:r>
      <w:r>
        <w:rPr>
          <w:rStyle w:val="affa"/>
        </w:rPr>
        <w:softHyphen/>
        <w:t xml:space="preserve">С </w:t>
      </w:r>
      <w:r w:rsidRPr="000C307B">
        <w:rPr>
          <w:b/>
        </w:rPr>
        <w:t>(уровень достоверности доказательств – 5)</w:t>
      </w:r>
    </w:p>
    <w:p w:rsidR="009B4039" w:rsidRPr="0073723C" w:rsidRDefault="001B7F70" w:rsidP="00C4630C">
      <w:pPr>
        <w:pStyle w:val="afff1"/>
      </w:pPr>
      <w:bookmarkStart w:id="37" w:name="_Toc84161285"/>
      <w:r w:rsidRPr="001B7F70">
        <w:t xml:space="preserve">6. Организация </w:t>
      </w:r>
      <w:r w:rsidR="000D73B2" w:rsidRPr="0073723C">
        <w:t xml:space="preserve">оказания </w:t>
      </w:r>
      <w:r w:rsidR="00CE089D" w:rsidRPr="0073723C">
        <w:t>медицинской помощи</w:t>
      </w:r>
      <w:bookmarkEnd w:id="37"/>
    </w:p>
    <w:p w:rsidR="00306BA6" w:rsidRPr="00415E00" w:rsidRDefault="00CE089D" w:rsidP="00301F05">
      <w:pPr>
        <w:pStyle w:val="17"/>
        <w:ind w:left="0" w:firstLine="709"/>
      </w:pPr>
      <w:r w:rsidRPr="0073723C">
        <w:t xml:space="preserve">В рамках оказания первичной врачебной медико-санитарной помощи врачи-терапевты участковые, врачи-педиатры участковые, врачи общей практики (семейные врачи) при выявлении </w:t>
      </w:r>
      <w:r w:rsidRPr="0073723C">
        <w:rPr>
          <w:color w:val="000000" w:themeColor="text1"/>
        </w:rPr>
        <w:t xml:space="preserve">у пациентов </w:t>
      </w:r>
      <w:r w:rsidRPr="0073723C">
        <w:t>высыпаний на коже, кожного зуда, выявление симптомов или признаков  грибовидного микоза направляют пациент</w:t>
      </w:r>
      <w:r w:rsidR="001B7F70" w:rsidRPr="001B7F70">
        <w:t>а в медицинскую организацию</w:t>
      </w:r>
      <w:r w:rsidR="001B7F70" w:rsidRPr="001B7F70">
        <w:tab/>
        <w:t>дерматовенерологического профиля или кабинет врача онколога/ гематолога для оказания ему первичной специализированной медико-санитарной помощи, а также осуществляют оказание медицинской помощи в соответствии с рекомендациями медицинской организации дерматовенерологического профиля и/или врача онколога/ гематолога</w:t>
      </w:r>
      <w:r w:rsidR="007F36A7" w:rsidRPr="007F36A7">
        <w:t>, при отсутствии медицинских показаний для направления в нее.</w:t>
      </w:r>
    </w:p>
    <w:p w:rsidR="00306BA6" w:rsidRPr="0073723C" w:rsidRDefault="001B7F70" w:rsidP="00301F05">
      <w:pPr>
        <w:pStyle w:val="aff7"/>
        <w:rPr>
          <w:color w:val="000000"/>
          <w:lang w:bidi="ru-RU"/>
        </w:rPr>
      </w:pPr>
      <w:r w:rsidRPr="001B7F70">
        <w:rPr>
          <w:color w:val="000000"/>
          <w:lang w:bidi="ru-RU"/>
        </w:rPr>
        <w:t>При невозможности оказания медицинской помощи в рамках первичной специализированной медико-санитарной помощи и наличии медицинских показаний пациент направляется в медицинскую организацию, оказывающую специализированную медицинскую помощь.</w:t>
      </w:r>
    </w:p>
    <w:p w:rsidR="00306BA6" w:rsidRPr="0073723C" w:rsidRDefault="001B7F70" w:rsidP="00301F05">
      <w:pPr>
        <w:pStyle w:val="aff7"/>
        <w:ind w:firstLine="720"/>
        <w:rPr>
          <w:lang w:bidi="ru-RU"/>
        </w:rPr>
      </w:pPr>
      <w:r w:rsidRPr="001B7F70">
        <w:rPr>
          <w:lang w:bidi="ru-RU"/>
        </w:rPr>
        <w:t xml:space="preserve">Специализированная, в том числе высокотехнологичная, медицинская помощь оказывается врачами-дерматовенерологами и/или </w:t>
      </w:r>
      <w:r w:rsidRPr="001B7F70">
        <w:t>врачом-гематологом</w:t>
      </w:r>
      <w:r w:rsidRPr="001B7F70">
        <w:rPr>
          <w:lang w:bidi="ru-RU"/>
        </w:rPr>
        <w:t xml:space="preserve"> в стационарных условиях.</w:t>
      </w:r>
    </w:p>
    <w:p w:rsidR="00306BA6" w:rsidRPr="0073723C" w:rsidRDefault="001B7F70" w:rsidP="0031061D">
      <w:pPr>
        <w:pStyle w:val="aff7"/>
        <w:ind w:firstLine="720"/>
        <w:rPr>
          <w:color w:val="000000"/>
          <w:lang w:bidi="ru-RU"/>
        </w:rPr>
      </w:pPr>
      <w:r w:rsidRPr="001B7F70">
        <w:rPr>
          <w:color w:val="000000"/>
          <w:lang w:bidi="ru-RU"/>
        </w:rPr>
        <w:t>Специализированная, медицинская помощь оказывается пациентам на ранних стадиях (</w:t>
      </w:r>
      <w:r w:rsidRPr="001B7F70">
        <w:rPr>
          <w:color w:val="000000"/>
          <w:lang w:val="en-US" w:bidi="ru-RU"/>
        </w:rPr>
        <w:t>IA</w:t>
      </w:r>
      <w:r w:rsidRPr="001B7F70">
        <w:t>–</w:t>
      </w:r>
      <w:r w:rsidRPr="001B7F70">
        <w:rPr>
          <w:color w:val="000000"/>
          <w:lang w:val="en-US" w:bidi="ru-RU"/>
        </w:rPr>
        <w:t>IIA</w:t>
      </w:r>
      <w:r w:rsidRPr="001B7F70">
        <w:rPr>
          <w:color w:val="000000"/>
          <w:lang w:bidi="ru-RU"/>
        </w:rPr>
        <w:t>)</w:t>
      </w:r>
      <w:r w:rsidR="00C00E35">
        <w:rPr>
          <w:color w:val="000000"/>
          <w:lang w:bidi="ru-RU"/>
        </w:rPr>
        <w:t xml:space="preserve"> </w:t>
      </w:r>
      <w:r w:rsidRPr="001B7F70">
        <w:rPr>
          <w:color w:val="000000"/>
          <w:lang w:bidi="ru-RU"/>
        </w:rPr>
        <w:t>врачами-дерматовенерологами</w:t>
      </w:r>
    </w:p>
    <w:p w:rsidR="00306BA6" w:rsidRPr="0073723C" w:rsidRDefault="001B7F70" w:rsidP="00301F05">
      <w:pPr>
        <w:pStyle w:val="aff7"/>
        <w:ind w:firstLine="720"/>
        <w:rPr>
          <w:lang w:bidi="ru-RU"/>
        </w:rPr>
      </w:pPr>
      <w:r w:rsidRPr="001B7F70">
        <w:rPr>
          <w:color w:val="000000"/>
          <w:lang w:bidi="ru-RU"/>
        </w:rPr>
        <w:t xml:space="preserve">Специализированная, в том числе высокотехнологичная медицинская помощь оказывается пациентам </w:t>
      </w:r>
      <w:r w:rsidRPr="001B7F70">
        <w:t xml:space="preserve">на </w:t>
      </w:r>
      <w:r w:rsidRPr="001B7F70">
        <w:rPr>
          <w:color w:val="000000"/>
          <w:lang w:bidi="ru-RU"/>
        </w:rPr>
        <w:t>стадиях</w:t>
      </w:r>
      <w:r w:rsidR="00C00E35">
        <w:rPr>
          <w:color w:val="000000"/>
          <w:lang w:bidi="ru-RU"/>
        </w:rPr>
        <w:t xml:space="preserve"> </w:t>
      </w:r>
      <w:r w:rsidRPr="001B7F70">
        <w:rPr>
          <w:rFonts w:eastAsia="Times New Roman"/>
        </w:rPr>
        <w:t>(IIB</w:t>
      </w:r>
      <w:r w:rsidRPr="001B7F70">
        <w:t>–</w:t>
      </w:r>
      <w:r w:rsidRPr="001B7F70">
        <w:rPr>
          <w:rFonts w:eastAsia="Times New Roman"/>
        </w:rPr>
        <w:t xml:space="preserve">IVB) </w:t>
      </w:r>
      <w:r w:rsidRPr="001B7F70">
        <w:rPr>
          <w:lang w:bidi="ru-RU"/>
        </w:rPr>
        <w:t xml:space="preserve">врачами </w:t>
      </w:r>
      <w:r w:rsidRPr="001B7F70">
        <w:t xml:space="preserve">гематологами/онкологами </w:t>
      </w:r>
    </w:p>
    <w:p w:rsidR="00306BA6" w:rsidRPr="0073723C" w:rsidRDefault="001B7F70" w:rsidP="00306BA6">
      <w:pPr>
        <w:pStyle w:val="aff7"/>
      </w:pPr>
      <w:r w:rsidRPr="001B7F70">
        <w:t>Показания для плановой госпитализации в медицинскую организацию:</w:t>
      </w:r>
    </w:p>
    <w:p w:rsidR="00306BA6" w:rsidRPr="0073723C" w:rsidRDefault="001B7F70" w:rsidP="00306BA6">
      <w:pPr>
        <w:pStyle w:val="17"/>
      </w:pPr>
      <w:r w:rsidRPr="001B7F70">
        <w:lastRenderedPageBreak/>
        <w:t>1) Показания для оказания медицинской помощи в дневном стационаре:</w:t>
      </w:r>
    </w:p>
    <w:p w:rsidR="00306BA6" w:rsidRPr="0073723C" w:rsidRDefault="001B7F70" w:rsidP="00C32F88">
      <w:pPr>
        <w:pStyle w:val="17"/>
        <w:numPr>
          <w:ilvl w:val="0"/>
          <w:numId w:val="26"/>
        </w:numPr>
      </w:pPr>
      <w:r w:rsidRPr="001B7F70">
        <w:t>недостаточная эффективность лечения, проводимого в амбулаторных условиях, у пациентов с ограниченными высыпаниями;</w:t>
      </w:r>
    </w:p>
    <w:p w:rsidR="00306BA6" w:rsidRPr="0073723C" w:rsidRDefault="001B7F70" w:rsidP="00C32F88">
      <w:pPr>
        <w:pStyle w:val="afd"/>
        <w:widowControl w:val="0"/>
        <w:numPr>
          <w:ilvl w:val="0"/>
          <w:numId w:val="26"/>
        </w:numPr>
        <w:rPr>
          <w:rFonts w:eastAsiaTheme="majorEastAsia"/>
          <w:szCs w:val="24"/>
          <w:lang w:eastAsia="ru-RU"/>
        </w:rPr>
      </w:pPr>
      <w:r w:rsidRPr="001B7F70">
        <w:rPr>
          <w:rFonts w:eastAsiaTheme="majorEastAsia"/>
          <w:szCs w:val="24"/>
          <w:lang w:eastAsia="ru-RU"/>
        </w:rPr>
        <w:t>Обследование пациента, включающее биопсию и инвазивные вмешательства, в случаях, когда оно не может быть проведено амбулаторно.</w:t>
      </w:r>
    </w:p>
    <w:p w:rsidR="00306BA6" w:rsidRPr="0073723C" w:rsidRDefault="001B7F70" w:rsidP="00306BA6">
      <w:pPr>
        <w:pStyle w:val="17"/>
      </w:pPr>
      <w:r w:rsidRPr="001B7F70">
        <w:t>2) Показания для оказания медицинской помощи в стационарных условиях:</w:t>
      </w:r>
    </w:p>
    <w:p w:rsidR="00306BA6" w:rsidRPr="0073723C" w:rsidRDefault="001B7F70" w:rsidP="00C32F88">
      <w:pPr>
        <w:pStyle w:val="17"/>
        <w:numPr>
          <w:ilvl w:val="0"/>
          <w:numId w:val="25"/>
        </w:numPr>
      </w:pPr>
      <w:r w:rsidRPr="001B7F70">
        <w:t>отсутствие эффекта от проводимого лечения в амбулаторных условиях;</w:t>
      </w:r>
    </w:p>
    <w:p w:rsidR="00306BA6" w:rsidRPr="0073723C" w:rsidRDefault="001B7F70" w:rsidP="00C32F88">
      <w:pPr>
        <w:pStyle w:val="17"/>
        <w:numPr>
          <w:ilvl w:val="0"/>
          <w:numId w:val="25"/>
        </w:numPr>
      </w:pPr>
      <w:r w:rsidRPr="001B7F70">
        <w:t xml:space="preserve"> стадии грибовидного микоза требующее фототерапии  и /или системной терапии;</w:t>
      </w:r>
    </w:p>
    <w:p w:rsidR="00306BA6" w:rsidRPr="0073723C" w:rsidRDefault="001B7F70" w:rsidP="00C32F88">
      <w:pPr>
        <w:pStyle w:val="afd"/>
        <w:widowControl w:val="0"/>
        <w:numPr>
          <w:ilvl w:val="0"/>
          <w:numId w:val="25"/>
        </w:numPr>
        <w:rPr>
          <w:rFonts w:eastAsiaTheme="majorEastAsia"/>
          <w:szCs w:val="28"/>
          <w:lang w:eastAsia="ru-RU"/>
        </w:rPr>
      </w:pPr>
      <w:r w:rsidRPr="001B7F70">
        <w:rPr>
          <w:rFonts w:eastAsiaTheme="majorEastAsia"/>
          <w:szCs w:val="28"/>
          <w:lang w:eastAsia="ru-RU"/>
        </w:rPr>
        <w:t>Обследование пациента, включающее биопсию и инвазивные вмешательства, в случаях, когда оно не может быть проведено амбулаторно.</w:t>
      </w:r>
    </w:p>
    <w:p w:rsidR="00306BA6" w:rsidRPr="0073723C" w:rsidRDefault="001B7F70" w:rsidP="00306BA6">
      <w:pPr>
        <w:widowControl w:val="0"/>
        <w:ind w:firstLine="708"/>
        <w:rPr>
          <w:rFonts w:eastAsiaTheme="majorEastAsia"/>
          <w:b/>
          <w:szCs w:val="24"/>
          <w:lang w:eastAsia="ru-RU"/>
        </w:rPr>
      </w:pPr>
      <w:r w:rsidRPr="001B7F70">
        <w:rPr>
          <w:rFonts w:eastAsiaTheme="majorEastAsia"/>
          <w:szCs w:val="24"/>
          <w:lang w:eastAsia="ru-RU"/>
        </w:rPr>
        <w:t>3) Показания к экстренной госпитализации</w:t>
      </w:r>
      <w:r w:rsidRPr="001B7F70">
        <w:rPr>
          <w:szCs w:val="24"/>
        </w:rPr>
        <w:t xml:space="preserve"> в стационар медицинской организации, оказывающей специализированную, в том числе высокотехнологичную, медицинскую помощь по профилю «гематология» и « онкология»</w:t>
      </w:r>
      <w:r w:rsidR="000C307B" w:rsidRPr="000C307B">
        <w:rPr>
          <w:rFonts w:eastAsiaTheme="majorEastAsia"/>
          <w:b/>
          <w:szCs w:val="24"/>
          <w:lang w:eastAsia="ru-RU"/>
        </w:rPr>
        <w:t xml:space="preserve">: </w:t>
      </w:r>
    </w:p>
    <w:p w:rsidR="00306BA6" w:rsidRPr="0073723C" w:rsidRDefault="001B7F70" w:rsidP="00C32F88">
      <w:pPr>
        <w:pStyle w:val="afd"/>
        <w:widowControl w:val="0"/>
        <w:numPr>
          <w:ilvl w:val="0"/>
          <w:numId w:val="25"/>
        </w:numPr>
        <w:rPr>
          <w:rFonts w:eastAsiaTheme="majorEastAsia"/>
          <w:szCs w:val="24"/>
          <w:lang w:eastAsia="ru-RU"/>
        </w:rPr>
      </w:pPr>
      <w:r w:rsidRPr="001B7F70">
        <w:rPr>
          <w:rFonts w:eastAsiaTheme="majorEastAsia"/>
          <w:szCs w:val="24"/>
          <w:lang w:eastAsia="ru-RU"/>
        </w:rPr>
        <w:t>Развитие тяжелой инфекции (необязательна госпитализация в гематологический стационар).</w:t>
      </w:r>
    </w:p>
    <w:p w:rsidR="00306BA6" w:rsidRPr="0073723C" w:rsidRDefault="001B7F70" w:rsidP="00C32F88">
      <w:pPr>
        <w:pStyle w:val="afd"/>
        <w:widowControl w:val="0"/>
        <w:numPr>
          <w:ilvl w:val="0"/>
          <w:numId w:val="25"/>
        </w:numPr>
        <w:rPr>
          <w:rFonts w:eastAsiaTheme="majorEastAsia"/>
          <w:szCs w:val="24"/>
          <w:lang w:eastAsia="ru-RU"/>
        </w:rPr>
      </w:pPr>
      <w:r w:rsidRPr="001B7F70">
        <w:rPr>
          <w:rFonts w:eastAsiaTheme="majorEastAsia"/>
          <w:szCs w:val="24"/>
          <w:lang w:eastAsia="ru-RU"/>
        </w:rPr>
        <w:t>Развитие угрожающих жизни цитопений (глубокой анемии, геморрагического синдрома, нейтропении).</w:t>
      </w:r>
    </w:p>
    <w:p w:rsidR="00306BA6" w:rsidRPr="0073723C" w:rsidRDefault="001B7F70" w:rsidP="00C32F88">
      <w:pPr>
        <w:pStyle w:val="afd"/>
        <w:widowControl w:val="0"/>
        <w:numPr>
          <w:ilvl w:val="0"/>
          <w:numId w:val="25"/>
        </w:numPr>
        <w:rPr>
          <w:rFonts w:eastAsiaTheme="majorEastAsia"/>
          <w:szCs w:val="24"/>
          <w:lang w:eastAsia="ru-RU"/>
        </w:rPr>
      </w:pPr>
      <w:r w:rsidRPr="001B7F70">
        <w:rPr>
          <w:rFonts w:eastAsiaTheme="majorEastAsia"/>
          <w:szCs w:val="24"/>
          <w:lang w:eastAsia="ru-RU"/>
        </w:rPr>
        <w:t xml:space="preserve">Развитие осложнений грибовидного микоза, угрожающих жизни. </w:t>
      </w:r>
    </w:p>
    <w:p w:rsidR="00306BA6" w:rsidRPr="0073723C" w:rsidRDefault="001B7F70" w:rsidP="00C32F88">
      <w:pPr>
        <w:pStyle w:val="afd"/>
        <w:widowControl w:val="0"/>
        <w:numPr>
          <w:ilvl w:val="0"/>
          <w:numId w:val="25"/>
        </w:numPr>
        <w:rPr>
          <w:rFonts w:eastAsiaTheme="majorEastAsia"/>
          <w:szCs w:val="24"/>
          <w:lang w:eastAsia="ru-RU"/>
        </w:rPr>
      </w:pPr>
      <w:r w:rsidRPr="001B7F70">
        <w:rPr>
          <w:rFonts w:eastAsiaTheme="majorEastAsia"/>
          <w:szCs w:val="24"/>
          <w:lang w:eastAsia="ru-RU"/>
        </w:rPr>
        <w:t>Развитие осложнений терапии, включая синдром лизиса опухоли, тяжелые инфузионные реакции, миелотоксический агранулоцитоз с лихорадкой и другие осложнения, угрожающие жизни.</w:t>
      </w:r>
    </w:p>
    <w:p w:rsidR="00306BA6" w:rsidRPr="0073723C" w:rsidRDefault="001B7F70" w:rsidP="00306BA6">
      <w:pPr>
        <w:pStyle w:val="aff7"/>
      </w:pPr>
      <w:r w:rsidRPr="001B7F70">
        <w:t>Показания к выписке пациента</w:t>
      </w:r>
      <w:r w:rsidR="00C00E35">
        <w:t xml:space="preserve"> </w:t>
      </w:r>
      <w:r w:rsidRPr="001B7F70">
        <w:t>из</w:t>
      </w:r>
      <w:r w:rsidR="00C00E35">
        <w:t xml:space="preserve"> </w:t>
      </w:r>
      <w:r w:rsidRPr="001B7F70">
        <w:rPr>
          <w:color w:val="000000"/>
          <w:lang w:eastAsia="ru-RU" w:bidi="ru-RU"/>
        </w:rPr>
        <w:t>медицинск</w:t>
      </w:r>
      <w:r w:rsidRPr="001B7F70">
        <w:rPr>
          <w:color w:val="000000"/>
          <w:lang w:bidi="ru-RU"/>
        </w:rPr>
        <w:t>ой</w:t>
      </w:r>
      <w:r w:rsidR="00957B53">
        <w:rPr>
          <w:color w:val="000000"/>
          <w:lang w:bidi="ru-RU"/>
        </w:rPr>
        <w:t xml:space="preserve"> </w:t>
      </w:r>
      <w:r w:rsidRPr="001B7F70">
        <w:rPr>
          <w:color w:val="000000"/>
          <w:lang w:eastAsia="ru-RU" w:bidi="ru-RU"/>
        </w:rPr>
        <w:t>организаци</w:t>
      </w:r>
      <w:r w:rsidRPr="001B7F70">
        <w:rPr>
          <w:color w:val="000000"/>
          <w:lang w:bidi="ru-RU"/>
        </w:rPr>
        <w:t>и:</w:t>
      </w:r>
    </w:p>
    <w:p w:rsidR="00306BA6" w:rsidRPr="0073723C" w:rsidRDefault="001B7F70" w:rsidP="00C32F88">
      <w:pPr>
        <w:pStyle w:val="17"/>
        <w:numPr>
          <w:ilvl w:val="0"/>
          <w:numId w:val="27"/>
        </w:numPr>
        <w:ind w:left="1134"/>
      </w:pPr>
      <w:r w:rsidRPr="001B7F70">
        <w:t>частичный или полный регресс высыпаний.</w:t>
      </w:r>
    </w:p>
    <w:p w:rsidR="009B4039" w:rsidRPr="0073723C" w:rsidRDefault="001B7F70" w:rsidP="00C32F88">
      <w:pPr>
        <w:pStyle w:val="17"/>
        <w:numPr>
          <w:ilvl w:val="0"/>
          <w:numId w:val="27"/>
        </w:numPr>
        <w:ind w:left="1134"/>
      </w:pPr>
      <w:r w:rsidRPr="001B7F70">
        <w:t>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rsidR="00CB562F" w:rsidRPr="0073723C" w:rsidRDefault="001B7F70" w:rsidP="00C4630C">
      <w:pPr>
        <w:pStyle w:val="afff1"/>
      </w:pPr>
      <w:bookmarkStart w:id="38" w:name="_Toc84161286"/>
      <w:r w:rsidRPr="001B7F70">
        <w:t>7. Дополнительная информация (в том числе факторы, влияющие на исход заболевания</w:t>
      </w:r>
      <w:bookmarkEnd w:id="36"/>
      <w:r w:rsidRPr="001B7F70">
        <w:t xml:space="preserve"> или состояния)</w:t>
      </w:r>
      <w:bookmarkEnd w:id="38"/>
    </w:p>
    <w:p w:rsidR="00F76439" w:rsidRPr="0073723C" w:rsidRDefault="001B7F70" w:rsidP="00B8195D">
      <w:r w:rsidRPr="001B7F70">
        <w:t xml:space="preserve">Повторное взятие биопсии кожи и повторное проведение патолого-анатомического исследований биопсийного материала кожи, в том числе с применением иммуногистохимического метода, особенно при изменениях клинических проявлений </w:t>
      </w:r>
      <w:r w:rsidRPr="001B7F70">
        <w:lastRenderedPageBreak/>
        <w:t xml:space="preserve">болезни позволяет своевременно выявить прогрессирование заболевания и при необходимости скорректировать терапию. </w:t>
      </w:r>
      <w:bookmarkStart w:id="39" w:name="__RefHeading___doc_criteria"/>
    </w:p>
    <w:p w:rsidR="000414F6" w:rsidRDefault="007F36A7" w:rsidP="00B104EF">
      <w:pPr>
        <w:pStyle w:val="CustomContentNormal"/>
      </w:pPr>
      <w:bookmarkStart w:id="40" w:name="_Toc84161287"/>
      <w:r w:rsidRPr="007F36A7">
        <w:t>Критерии оценки качества медицинской помощи</w:t>
      </w:r>
      <w:bookmarkEnd w:id="39"/>
      <w:bookmarkEnd w:id="40"/>
    </w:p>
    <w:p w:rsidR="00986ACF" w:rsidRPr="006B2B80" w:rsidRDefault="00986ACF" w:rsidP="006B2B80">
      <w:pPr>
        <w:jc w:val="center"/>
        <w:rPr>
          <w:b/>
        </w:rPr>
      </w:pPr>
      <w:r w:rsidRPr="006B2B80">
        <w:rPr>
          <w:b/>
        </w:rPr>
        <w:t>Критерии оценки качества медицинской помощи Грибовидный микоз (амбулаторный этап)</w:t>
      </w:r>
    </w:p>
    <w:p w:rsidR="00986ACF" w:rsidRPr="006B2B80" w:rsidRDefault="00986ACF" w:rsidP="006B2B80">
      <w:pPr>
        <w:jc w:val="center"/>
        <w:rPr>
          <w:b/>
        </w:rPr>
      </w:pPr>
    </w:p>
    <w:tbl>
      <w:tblPr>
        <w:tblStyle w:val="aff8"/>
        <w:tblW w:w="9889" w:type="dxa"/>
        <w:tblLayout w:type="fixed"/>
        <w:tblLook w:val="04A0" w:firstRow="1" w:lastRow="0" w:firstColumn="1" w:lastColumn="0" w:noHBand="0" w:noVBand="1"/>
      </w:tblPr>
      <w:tblGrid>
        <w:gridCol w:w="675"/>
        <w:gridCol w:w="7371"/>
        <w:gridCol w:w="1843"/>
      </w:tblGrid>
      <w:tr w:rsidR="00EA197E" w:rsidRPr="006B2B80" w:rsidTr="006B2B80">
        <w:tc>
          <w:tcPr>
            <w:tcW w:w="675" w:type="dxa"/>
          </w:tcPr>
          <w:p w:rsidR="00EA197E" w:rsidRPr="006B2B80" w:rsidRDefault="00EA197E" w:rsidP="006B2B80">
            <w:pPr>
              <w:spacing w:line="240" w:lineRule="auto"/>
              <w:ind w:firstLine="142"/>
              <w:jc w:val="center"/>
              <w:rPr>
                <w:b/>
              </w:rPr>
            </w:pPr>
            <w:r w:rsidRPr="006B2B80">
              <w:rPr>
                <w:b/>
              </w:rPr>
              <w:t>№</w:t>
            </w:r>
          </w:p>
        </w:tc>
        <w:tc>
          <w:tcPr>
            <w:tcW w:w="7371" w:type="dxa"/>
          </w:tcPr>
          <w:p w:rsidR="00EA197E" w:rsidRPr="006B2B80" w:rsidRDefault="00EA197E" w:rsidP="006B2B80">
            <w:pPr>
              <w:spacing w:line="240" w:lineRule="auto"/>
              <w:jc w:val="center"/>
              <w:rPr>
                <w:b/>
              </w:rPr>
            </w:pPr>
            <w:r w:rsidRPr="006B2B80">
              <w:rPr>
                <w:b/>
              </w:rPr>
              <w:t>Критерии качества</w:t>
            </w:r>
          </w:p>
        </w:tc>
        <w:tc>
          <w:tcPr>
            <w:tcW w:w="1843" w:type="dxa"/>
          </w:tcPr>
          <w:p w:rsidR="00EA197E" w:rsidRPr="006B2B80" w:rsidRDefault="006B2B80" w:rsidP="006B2B80">
            <w:pPr>
              <w:spacing w:line="240" w:lineRule="auto"/>
              <w:ind w:firstLine="176"/>
              <w:jc w:val="center"/>
              <w:rPr>
                <w:b/>
              </w:rPr>
            </w:pPr>
            <w:r w:rsidRPr="006B2B80">
              <w:rPr>
                <w:b/>
              </w:rPr>
              <w:t>Оценка выполнения</w:t>
            </w:r>
          </w:p>
        </w:tc>
      </w:tr>
      <w:tr w:rsidR="00EA197E" w:rsidTr="006B2B80">
        <w:tc>
          <w:tcPr>
            <w:tcW w:w="675" w:type="dxa"/>
          </w:tcPr>
          <w:p w:rsidR="00EA197E" w:rsidRDefault="00EA197E" w:rsidP="006B2B80">
            <w:pPr>
              <w:ind w:firstLine="142"/>
            </w:pPr>
            <w:r>
              <w:t>1</w:t>
            </w:r>
          </w:p>
        </w:tc>
        <w:tc>
          <w:tcPr>
            <w:tcW w:w="7371" w:type="dxa"/>
          </w:tcPr>
          <w:p w:rsidR="00EA197E" w:rsidRDefault="00EA197E" w:rsidP="00EA197E">
            <w:r>
              <w:t xml:space="preserve">Пациенту с подозрением на грибовидный микоз (ГМ) или с выявленным ГМ при первичном или повторном приеме в случае применения системной терапии, а также при рецидиве или прогрессии выполнен общий (клинический) анализ крови развернутый </w:t>
            </w:r>
          </w:p>
        </w:tc>
        <w:tc>
          <w:tcPr>
            <w:tcW w:w="1843" w:type="dxa"/>
          </w:tcPr>
          <w:p w:rsidR="00EA197E" w:rsidRDefault="006B2B80" w:rsidP="006B2B80">
            <w:pPr>
              <w:ind w:firstLine="176"/>
            </w:pPr>
            <w:r>
              <w:t>Да\Нет</w:t>
            </w:r>
          </w:p>
        </w:tc>
      </w:tr>
      <w:tr w:rsidR="00EA197E" w:rsidTr="006B2B80">
        <w:trPr>
          <w:trHeight w:val="408"/>
        </w:trPr>
        <w:tc>
          <w:tcPr>
            <w:tcW w:w="675" w:type="dxa"/>
          </w:tcPr>
          <w:p w:rsidR="00EA197E" w:rsidRDefault="00EA197E" w:rsidP="006B2B80">
            <w:pPr>
              <w:ind w:firstLine="142"/>
            </w:pPr>
            <w:r>
              <w:t>2</w:t>
            </w:r>
          </w:p>
        </w:tc>
        <w:tc>
          <w:tcPr>
            <w:tcW w:w="7371" w:type="dxa"/>
          </w:tcPr>
          <w:p w:rsidR="00EA197E" w:rsidRDefault="00EA197E" w:rsidP="00EA197E">
            <w:r>
              <w:t xml:space="preserve">Пациенту с подозрением на грибовидный микоз (ГМ) при первичном приеме, при </w:t>
            </w:r>
            <w:r w:rsidRPr="00C1341F">
              <w:t>рецидиве</w:t>
            </w:r>
            <w:r>
              <w:t xml:space="preserve"> или прогрессировании, </w:t>
            </w:r>
            <w:r w:rsidR="007F36A7" w:rsidRPr="007F36A7">
              <w:t>выполнено патолого-анатомическое исследование биопсийного материала кожи</w:t>
            </w:r>
            <w:r>
              <w:t xml:space="preserve"> </w:t>
            </w:r>
          </w:p>
        </w:tc>
        <w:tc>
          <w:tcPr>
            <w:tcW w:w="1843" w:type="dxa"/>
          </w:tcPr>
          <w:p w:rsidR="00EA197E" w:rsidRDefault="006B2B80" w:rsidP="006B2B80">
            <w:pPr>
              <w:ind w:firstLine="176"/>
            </w:pPr>
            <w:r>
              <w:t>Да\Нет</w:t>
            </w:r>
          </w:p>
        </w:tc>
      </w:tr>
      <w:tr w:rsidR="00EA197E" w:rsidTr="006B2B80">
        <w:tc>
          <w:tcPr>
            <w:tcW w:w="675" w:type="dxa"/>
          </w:tcPr>
          <w:p w:rsidR="00EA197E" w:rsidRDefault="00EA197E" w:rsidP="006B2B80">
            <w:pPr>
              <w:ind w:firstLine="142"/>
            </w:pPr>
            <w:r>
              <w:t>3</w:t>
            </w:r>
          </w:p>
        </w:tc>
        <w:tc>
          <w:tcPr>
            <w:tcW w:w="7371" w:type="dxa"/>
          </w:tcPr>
          <w:p w:rsidR="00EA197E" w:rsidRDefault="007F36A7" w:rsidP="00EA70AE">
            <w:r w:rsidRPr="007F36A7">
              <w:t>Пациенту с подозрением на грибовидный микоз (ГМ)</w:t>
            </w:r>
            <w:r w:rsidR="00EA197E">
              <w:t xml:space="preserve"> или с выявленным ГМ (поздние стадии), а также при рецидиве или прогрессировании, при установлении диагноза или для оценки эффективности в период терапии (при выявлении патологических изменений), выполнены инструментальные методы исследования (, </w:t>
            </w:r>
            <w:r w:rsidR="00EA197E">
              <w:rPr>
                <w:rFonts w:eastAsia="Times New Roman"/>
              </w:rPr>
              <w:t>УЗИ</w:t>
            </w:r>
            <w:r w:rsidR="00EA70AE">
              <w:rPr>
                <w:rFonts w:eastAsia="Times New Roman"/>
              </w:rPr>
              <w:t xml:space="preserve"> лимфатических узлов</w:t>
            </w:r>
            <w:r w:rsidR="00EA197E">
              <w:rPr>
                <w:rFonts w:eastAsia="Times New Roman"/>
              </w:rPr>
              <w:t xml:space="preserve"> </w:t>
            </w:r>
            <w:r w:rsidR="00EA70AE">
              <w:rPr>
                <w:rFonts w:eastAsia="Times New Roman"/>
              </w:rPr>
              <w:t>(</w:t>
            </w:r>
            <w:r w:rsidR="00EA197E">
              <w:rPr>
                <w:rFonts w:eastAsia="Times New Roman"/>
              </w:rPr>
              <w:t>периферических</w:t>
            </w:r>
            <w:r w:rsidR="00EA70AE">
              <w:rPr>
                <w:rFonts w:eastAsia="Times New Roman"/>
              </w:rPr>
              <w:t>)</w:t>
            </w:r>
            <w:r w:rsidR="00EA197E">
              <w:rPr>
                <w:rFonts w:eastAsia="Times New Roman"/>
              </w:rPr>
              <w:t xml:space="preserve">, КТ органов грудногй </w:t>
            </w:r>
            <w:r w:rsidR="00EA70AE">
              <w:rPr>
                <w:rFonts w:eastAsia="Times New Roman"/>
              </w:rPr>
              <w:t>полости</w:t>
            </w:r>
            <w:r w:rsidR="00EA197E">
              <w:rPr>
                <w:rFonts w:eastAsia="Times New Roman"/>
              </w:rPr>
              <w:t>,</w:t>
            </w:r>
            <w:r w:rsidR="006B2B80">
              <w:rPr>
                <w:rFonts w:eastAsia="Times New Roman"/>
              </w:rPr>
              <w:t xml:space="preserve"> брюшной полости, малого таза или</w:t>
            </w:r>
            <w:r w:rsidR="00EA197E">
              <w:rPr>
                <w:rFonts w:eastAsia="Times New Roman"/>
              </w:rPr>
              <w:t xml:space="preserve"> ПЭТ/</w:t>
            </w:r>
            <w:r w:rsidR="00EA197E" w:rsidRPr="006B2B80">
              <w:rPr>
                <w:rFonts w:eastAsia="Times New Roman"/>
              </w:rPr>
              <w:t>КТ</w:t>
            </w:r>
            <w:r w:rsidR="006B2B80" w:rsidRPr="006B2B80">
              <w:rPr>
                <w:rFonts w:eastAsia="Times New Roman"/>
              </w:rPr>
              <w:t xml:space="preserve"> </w:t>
            </w:r>
            <w:r w:rsidRPr="006B2B80">
              <w:t>брюшной полости</w:t>
            </w:r>
            <w:r w:rsidR="00EA197E" w:rsidDel="006E529A">
              <w:t>, КТ органов грудной клетки</w:t>
            </w:r>
            <w:r w:rsidR="00EA197E">
              <w:t>)</w:t>
            </w:r>
          </w:p>
        </w:tc>
        <w:tc>
          <w:tcPr>
            <w:tcW w:w="1843" w:type="dxa"/>
          </w:tcPr>
          <w:p w:rsidR="00EA197E" w:rsidRDefault="006B2B80" w:rsidP="006B2B80">
            <w:pPr>
              <w:ind w:firstLine="176"/>
            </w:pPr>
            <w:r>
              <w:t>Да\Нет</w:t>
            </w:r>
          </w:p>
        </w:tc>
      </w:tr>
      <w:tr w:rsidR="006B2B80" w:rsidTr="006B2B80">
        <w:trPr>
          <w:trHeight w:val="414"/>
        </w:trPr>
        <w:tc>
          <w:tcPr>
            <w:tcW w:w="675" w:type="dxa"/>
          </w:tcPr>
          <w:p w:rsidR="006B2B80" w:rsidRDefault="006B2B80" w:rsidP="006B2B80">
            <w:pPr>
              <w:ind w:firstLine="142"/>
            </w:pPr>
            <w:r>
              <w:t>4</w:t>
            </w:r>
          </w:p>
        </w:tc>
        <w:tc>
          <w:tcPr>
            <w:tcW w:w="7371" w:type="dxa"/>
          </w:tcPr>
          <w:p w:rsidR="006B2B80" w:rsidRDefault="006B2B80" w:rsidP="005E4883">
            <w:r w:rsidRPr="0079163F">
              <w:t xml:space="preserve">Проведена пациенту с ранними стадиями грибовидного микоза терапия </w:t>
            </w:r>
            <w:r>
              <w:rPr>
                <w:color w:val="000000"/>
              </w:rPr>
              <w:t>кортикостероиды для дерматологического применения</w:t>
            </w:r>
            <w:r w:rsidRPr="0079163F">
              <w:t xml:space="preserve"> и/или ультрафиолетовое облучение кожи</w:t>
            </w:r>
          </w:p>
        </w:tc>
        <w:tc>
          <w:tcPr>
            <w:tcW w:w="1843" w:type="dxa"/>
          </w:tcPr>
          <w:p w:rsidR="006B2B80" w:rsidRDefault="006B2B80" w:rsidP="006B2B80">
            <w:pPr>
              <w:ind w:firstLine="176"/>
            </w:pPr>
            <w:r>
              <w:t>Да\Нет</w:t>
            </w:r>
          </w:p>
        </w:tc>
      </w:tr>
      <w:tr w:rsidR="006B2B80" w:rsidTr="006B2B80">
        <w:trPr>
          <w:trHeight w:val="414"/>
        </w:trPr>
        <w:tc>
          <w:tcPr>
            <w:tcW w:w="675" w:type="dxa"/>
          </w:tcPr>
          <w:p w:rsidR="006B2B80" w:rsidRDefault="006B2B80" w:rsidP="006B2B80">
            <w:pPr>
              <w:ind w:firstLine="142"/>
            </w:pPr>
            <w:r>
              <w:t>5</w:t>
            </w:r>
          </w:p>
        </w:tc>
        <w:tc>
          <w:tcPr>
            <w:tcW w:w="7371" w:type="dxa"/>
          </w:tcPr>
          <w:p w:rsidR="006B2B80" w:rsidRDefault="006B2B80" w:rsidP="005E4883">
            <w:r>
              <w:t xml:space="preserve">Пациенту с впервые выявленными поздними стадиями ГМ или при их рецидиве, выполнена системная терапия </w:t>
            </w:r>
          </w:p>
        </w:tc>
        <w:tc>
          <w:tcPr>
            <w:tcW w:w="1843" w:type="dxa"/>
          </w:tcPr>
          <w:p w:rsidR="006B2B80" w:rsidRDefault="006B2B80" w:rsidP="006B2B80">
            <w:pPr>
              <w:ind w:firstLine="176"/>
            </w:pPr>
            <w:r>
              <w:t>Да\Нет</w:t>
            </w:r>
          </w:p>
        </w:tc>
      </w:tr>
    </w:tbl>
    <w:p w:rsidR="00986ACF" w:rsidRDefault="00986ACF" w:rsidP="00986ACF"/>
    <w:p w:rsidR="00986ACF" w:rsidRDefault="00986ACF" w:rsidP="00986ACF"/>
    <w:p w:rsidR="00986ACF" w:rsidRPr="006B2B80" w:rsidRDefault="00986ACF" w:rsidP="006B2B80">
      <w:pPr>
        <w:jc w:val="center"/>
        <w:rPr>
          <w:b/>
        </w:rPr>
      </w:pPr>
      <w:r w:rsidRPr="006B2B80">
        <w:rPr>
          <w:b/>
        </w:rPr>
        <w:t>Критерии оценки качества медицинской помощи Грибовидный микоз (стационарный этап)</w:t>
      </w:r>
    </w:p>
    <w:tbl>
      <w:tblPr>
        <w:tblStyle w:val="aff8"/>
        <w:tblW w:w="9661" w:type="dxa"/>
        <w:tblInd w:w="-318" w:type="dxa"/>
        <w:tblLayout w:type="fixed"/>
        <w:tblLook w:val="04A0" w:firstRow="1" w:lastRow="0" w:firstColumn="1" w:lastColumn="0" w:noHBand="0" w:noVBand="1"/>
      </w:tblPr>
      <w:tblGrid>
        <w:gridCol w:w="870"/>
        <w:gridCol w:w="7069"/>
        <w:gridCol w:w="1722"/>
      </w:tblGrid>
      <w:tr w:rsidR="00EA197E" w:rsidTr="006B2B80">
        <w:tc>
          <w:tcPr>
            <w:tcW w:w="870" w:type="dxa"/>
          </w:tcPr>
          <w:p w:rsidR="00EA197E" w:rsidRPr="006B2B80" w:rsidRDefault="00EA197E" w:rsidP="006B2B80">
            <w:pPr>
              <w:spacing w:line="240" w:lineRule="auto"/>
              <w:ind w:left="-739"/>
              <w:jc w:val="center"/>
              <w:rPr>
                <w:b/>
              </w:rPr>
            </w:pPr>
            <w:r w:rsidRPr="006B2B80">
              <w:rPr>
                <w:b/>
              </w:rPr>
              <w:t>№</w:t>
            </w:r>
          </w:p>
        </w:tc>
        <w:tc>
          <w:tcPr>
            <w:tcW w:w="7069" w:type="dxa"/>
          </w:tcPr>
          <w:p w:rsidR="00EA197E" w:rsidRPr="006B2B80" w:rsidRDefault="00EA197E" w:rsidP="006B2B80">
            <w:pPr>
              <w:spacing w:line="240" w:lineRule="auto"/>
              <w:ind w:left="-739"/>
              <w:jc w:val="center"/>
              <w:rPr>
                <w:b/>
              </w:rPr>
            </w:pPr>
            <w:r w:rsidRPr="006B2B80">
              <w:rPr>
                <w:b/>
              </w:rPr>
              <w:t>Критерии качества</w:t>
            </w:r>
          </w:p>
        </w:tc>
        <w:tc>
          <w:tcPr>
            <w:tcW w:w="1722" w:type="dxa"/>
          </w:tcPr>
          <w:p w:rsidR="00EA197E" w:rsidRPr="006B2B80" w:rsidRDefault="00EA197E" w:rsidP="006B2B80">
            <w:pPr>
              <w:spacing w:line="240" w:lineRule="auto"/>
              <w:ind w:firstLine="176"/>
              <w:jc w:val="center"/>
              <w:rPr>
                <w:b/>
              </w:rPr>
            </w:pPr>
            <w:r w:rsidRPr="006B2B80">
              <w:rPr>
                <w:b/>
              </w:rPr>
              <w:t>Оценка выполнения</w:t>
            </w:r>
          </w:p>
        </w:tc>
      </w:tr>
      <w:tr w:rsidR="006B2B80" w:rsidTr="006B2B80">
        <w:tc>
          <w:tcPr>
            <w:tcW w:w="870" w:type="dxa"/>
          </w:tcPr>
          <w:p w:rsidR="006B2B80" w:rsidRDefault="006B2B80" w:rsidP="006B2B80">
            <w:pPr>
              <w:ind w:left="-739"/>
              <w:jc w:val="left"/>
            </w:pPr>
            <w:r>
              <w:lastRenderedPageBreak/>
              <w:t>1</w:t>
            </w:r>
          </w:p>
        </w:tc>
        <w:tc>
          <w:tcPr>
            <w:tcW w:w="7069" w:type="dxa"/>
          </w:tcPr>
          <w:p w:rsidR="006B2B80" w:rsidRDefault="006B2B80" w:rsidP="005E4883">
            <w:r>
              <w:t>Пациенту с подозрением на грибовидный микоз (ГМ) или с выявленным ГМ при первичном или повторном приеме в случае применения системной терапии, а также при рецидиве или прогрессии выполнен общий (клинический) анализ крови развернутый (если не выполнено в амбулаторных условиях)</w:t>
            </w:r>
          </w:p>
        </w:tc>
        <w:tc>
          <w:tcPr>
            <w:tcW w:w="1722" w:type="dxa"/>
          </w:tcPr>
          <w:p w:rsidR="006B2B80" w:rsidRDefault="006B2B80" w:rsidP="006B2B80">
            <w:pPr>
              <w:ind w:firstLine="176"/>
            </w:pPr>
            <w:r>
              <w:t>Да\Нет</w:t>
            </w:r>
          </w:p>
        </w:tc>
      </w:tr>
      <w:tr w:rsidR="006B2B80" w:rsidTr="006B2B80">
        <w:trPr>
          <w:trHeight w:val="408"/>
        </w:trPr>
        <w:tc>
          <w:tcPr>
            <w:tcW w:w="870" w:type="dxa"/>
          </w:tcPr>
          <w:p w:rsidR="006B2B80" w:rsidRDefault="006B2B80" w:rsidP="006B2B80">
            <w:pPr>
              <w:ind w:left="-739"/>
              <w:jc w:val="left"/>
            </w:pPr>
            <w:r>
              <w:t>2</w:t>
            </w:r>
          </w:p>
        </w:tc>
        <w:tc>
          <w:tcPr>
            <w:tcW w:w="7069" w:type="dxa"/>
          </w:tcPr>
          <w:p w:rsidR="006B2B80" w:rsidRDefault="006B2B80" w:rsidP="005E4883">
            <w:r>
              <w:t xml:space="preserve">Пациенту при установлении диагноза грибовидный микоз (ГМ), </w:t>
            </w:r>
            <w:r w:rsidRPr="00A25116">
              <w:t>при рецидиве</w:t>
            </w:r>
            <w:r w:rsidRPr="00237147">
              <w:t xml:space="preserve"> или прогрессировании, </w:t>
            </w:r>
            <w:r w:rsidRPr="00A25116">
              <w:t>выполнено патолого-анатомическое исследование биопсийного</w:t>
            </w:r>
            <w:r>
              <w:t xml:space="preserve"> материала кожи (если не выполнено в амбулаторных условиях).</w:t>
            </w:r>
          </w:p>
        </w:tc>
        <w:tc>
          <w:tcPr>
            <w:tcW w:w="1722" w:type="dxa"/>
          </w:tcPr>
          <w:p w:rsidR="006B2B80" w:rsidRDefault="006B2B80" w:rsidP="006B2B80">
            <w:pPr>
              <w:ind w:firstLine="176"/>
            </w:pPr>
            <w:r>
              <w:t>Да\Нет</w:t>
            </w:r>
          </w:p>
          <w:p w:rsidR="006B2B80" w:rsidRDefault="006B2B80" w:rsidP="006B2B80">
            <w:pPr>
              <w:ind w:firstLine="176"/>
            </w:pPr>
          </w:p>
        </w:tc>
      </w:tr>
      <w:tr w:rsidR="006B2B80" w:rsidTr="006B2B80">
        <w:tc>
          <w:tcPr>
            <w:tcW w:w="870" w:type="dxa"/>
          </w:tcPr>
          <w:p w:rsidR="006B2B80" w:rsidRDefault="006B2B80" w:rsidP="006B2B80">
            <w:pPr>
              <w:ind w:left="-739"/>
              <w:jc w:val="left"/>
            </w:pPr>
            <w:r>
              <w:t>3</w:t>
            </w:r>
          </w:p>
        </w:tc>
        <w:tc>
          <w:tcPr>
            <w:tcW w:w="7069" w:type="dxa"/>
          </w:tcPr>
          <w:p w:rsidR="006B2B80" w:rsidRDefault="006B2B80" w:rsidP="005E4883">
            <w:r>
              <w:t xml:space="preserve">Пациенту с подозрением на грибовидный микоз (ГМ) или с выявленным ГМ (поздние стадии), а также при рецидиве или прогрессировании, при установлении диагноза или для оценки эффективности в период терапии (при выявлении патологических изменений), выполнены инструментальные методы исследования (УЗИ периферических лимфоузлов, </w:t>
            </w:r>
            <w:r>
              <w:rPr>
                <w:rFonts w:eastAsia="Times New Roman"/>
              </w:rPr>
              <w:t>УЗИ периферических лимфоузлов, КТ органов грудногй клетки, брюшной полости, малого таза   ИЛИ ПЭТ/КТ</w:t>
            </w:r>
            <w:r>
              <w:t>), если не выполнено в амбулаторных условиях.</w:t>
            </w:r>
          </w:p>
        </w:tc>
        <w:tc>
          <w:tcPr>
            <w:tcW w:w="1722" w:type="dxa"/>
          </w:tcPr>
          <w:p w:rsidR="006B2B80" w:rsidRDefault="006B2B80" w:rsidP="006B2B80">
            <w:pPr>
              <w:ind w:firstLine="176"/>
            </w:pPr>
            <w:r>
              <w:t>Да\Нет</w:t>
            </w:r>
          </w:p>
        </w:tc>
      </w:tr>
      <w:tr w:rsidR="006B2B80" w:rsidTr="006B2B80">
        <w:trPr>
          <w:trHeight w:val="414"/>
        </w:trPr>
        <w:tc>
          <w:tcPr>
            <w:tcW w:w="870" w:type="dxa"/>
          </w:tcPr>
          <w:p w:rsidR="006B2B80" w:rsidRDefault="006B2B80" w:rsidP="006B2B80">
            <w:pPr>
              <w:ind w:left="-739"/>
              <w:jc w:val="left"/>
            </w:pPr>
            <w:r>
              <w:t>4</w:t>
            </w:r>
          </w:p>
        </w:tc>
        <w:tc>
          <w:tcPr>
            <w:tcW w:w="7069" w:type="dxa"/>
          </w:tcPr>
          <w:p w:rsidR="006B2B80" w:rsidRDefault="006B2B80" w:rsidP="005E4883">
            <w:r w:rsidRPr="0079163F">
              <w:t xml:space="preserve">Проведена пациенту с ранними стадиями грибовидного микоза </w:t>
            </w:r>
            <w:r w:rsidRPr="006B2B80">
              <w:t xml:space="preserve">терапия </w:t>
            </w:r>
            <w:r>
              <w:rPr>
                <w:color w:val="000000"/>
              </w:rPr>
              <w:t>кортикостероиды для дерматологического применения</w:t>
            </w:r>
            <w:r w:rsidRPr="0079163F">
              <w:t xml:space="preserve"> и/или ультрафиолетовое облучение кожи</w:t>
            </w:r>
          </w:p>
        </w:tc>
        <w:tc>
          <w:tcPr>
            <w:tcW w:w="1722" w:type="dxa"/>
          </w:tcPr>
          <w:p w:rsidR="006B2B80" w:rsidRDefault="006B2B80" w:rsidP="006B2B80">
            <w:pPr>
              <w:ind w:firstLine="176"/>
            </w:pPr>
            <w:r>
              <w:t>Да\Нет</w:t>
            </w:r>
          </w:p>
        </w:tc>
      </w:tr>
      <w:tr w:rsidR="006B2B80" w:rsidTr="006B2B80">
        <w:trPr>
          <w:trHeight w:val="414"/>
        </w:trPr>
        <w:tc>
          <w:tcPr>
            <w:tcW w:w="870" w:type="dxa"/>
          </w:tcPr>
          <w:p w:rsidR="006B2B80" w:rsidRDefault="006B2B80" w:rsidP="006B2B80">
            <w:pPr>
              <w:ind w:left="-739"/>
              <w:jc w:val="left"/>
            </w:pPr>
            <w:r>
              <w:t>5</w:t>
            </w:r>
          </w:p>
        </w:tc>
        <w:tc>
          <w:tcPr>
            <w:tcW w:w="7069" w:type="dxa"/>
          </w:tcPr>
          <w:p w:rsidR="006B2B80" w:rsidRDefault="006B2B80" w:rsidP="005E4883">
            <w:r>
              <w:t xml:space="preserve">Пациенту с впервые выявленными поздними стадиями ГМ или при их рецидиве, выполнена системная терапия </w:t>
            </w:r>
          </w:p>
        </w:tc>
        <w:tc>
          <w:tcPr>
            <w:tcW w:w="1722" w:type="dxa"/>
          </w:tcPr>
          <w:p w:rsidR="006B2B80" w:rsidRDefault="006B2B80" w:rsidP="006B2B80">
            <w:pPr>
              <w:ind w:firstLine="176"/>
            </w:pPr>
            <w:r>
              <w:t xml:space="preserve">Да\Нет </w:t>
            </w:r>
          </w:p>
        </w:tc>
      </w:tr>
    </w:tbl>
    <w:p w:rsidR="00AF3168" w:rsidRPr="0073723C" w:rsidRDefault="000C307B" w:rsidP="005627B3">
      <w:pPr>
        <w:ind w:firstLine="0"/>
        <w:rPr>
          <w:b/>
          <w:sz w:val="28"/>
          <w:szCs w:val="28"/>
        </w:rPr>
      </w:pPr>
      <w:bookmarkStart w:id="41" w:name="__RefHeading___doc_bible"/>
      <w:r>
        <w:rPr>
          <w:b/>
          <w:sz w:val="28"/>
          <w:szCs w:val="28"/>
        </w:rPr>
        <w:br w:type="page"/>
      </w:r>
    </w:p>
    <w:p w:rsidR="006E7028" w:rsidRPr="0073723C" w:rsidRDefault="001B7F70" w:rsidP="006E7028">
      <w:pPr>
        <w:pStyle w:val="CustomContentNormal"/>
      </w:pPr>
      <w:bookmarkStart w:id="42" w:name="_Toc84161288"/>
      <w:bookmarkStart w:id="43" w:name="_Hlk36902449"/>
      <w:bookmarkStart w:id="44" w:name="_Hlk36902369"/>
      <w:bookmarkEnd w:id="41"/>
      <w:r w:rsidRPr="001B7F70">
        <w:lastRenderedPageBreak/>
        <w:t>Список литературы</w:t>
      </w:r>
      <w:bookmarkEnd w:id="42"/>
    </w:p>
    <w:p w:rsidR="00C77CC6" w:rsidRPr="00D90170" w:rsidRDefault="00062499" w:rsidP="00D90170">
      <w:pPr>
        <w:pStyle w:val="afd"/>
        <w:widowControl w:val="0"/>
        <w:numPr>
          <w:ilvl w:val="0"/>
          <w:numId w:val="59"/>
        </w:numPr>
        <w:autoSpaceDE w:val="0"/>
        <w:autoSpaceDN w:val="0"/>
        <w:adjustRightInd w:val="0"/>
        <w:spacing w:before="100" w:after="100"/>
        <w:ind w:left="709" w:hanging="709"/>
        <w:rPr>
          <w:noProof/>
          <w:lang w:val="en-US"/>
        </w:rPr>
      </w:pPr>
      <w:r w:rsidRPr="001B7F70">
        <w:fldChar w:fldCharType="begin" w:fldLock="1"/>
      </w:r>
      <w:r w:rsidR="001B7F70" w:rsidRPr="00D90170">
        <w:rPr>
          <w:lang w:val="en-US"/>
        </w:rPr>
        <w:instrText xml:space="preserve">ADDIN Mendeley Bibliography CSL_BIBLIOGRAPHY </w:instrText>
      </w:r>
      <w:r w:rsidRPr="001B7F70">
        <w:fldChar w:fldCharType="separate"/>
      </w:r>
      <w:r w:rsidR="0016386D" w:rsidRPr="00D90170">
        <w:rPr>
          <w:noProof/>
          <w:lang w:val="en-US"/>
        </w:rPr>
        <w:t>Korgavkar K., Xiong M., Weinstock M. Changing incidence trends of cutaneous T-cell lymphoma. JAMA Dermatology. 2013;</w:t>
      </w:r>
      <w:r w:rsidR="00A727E0" w:rsidRPr="00D90170">
        <w:rPr>
          <w:noProof/>
          <w:lang w:val="en-US"/>
        </w:rPr>
        <w:t xml:space="preserve"> </w:t>
      </w:r>
      <w:r w:rsidR="0016386D" w:rsidRPr="00D90170">
        <w:rPr>
          <w:noProof/>
          <w:lang w:val="en-US"/>
        </w:rPr>
        <w:t>149</w:t>
      </w:r>
      <w:r w:rsidR="00A727E0" w:rsidRPr="00D90170">
        <w:rPr>
          <w:noProof/>
          <w:lang w:val="en-US"/>
        </w:rPr>
        <w:t xml:space="preserve"> </w:t>
      </w:r>
      <w:r w:rsidR="0016386D" w:rsidRPr="00D90170">
        <w:rPr>
          <w:noProof/>
          <w:lang w:val="en-US"/>
        </w:rPr>
        <w:t>(11):</w:t>
      </w:r>
      <w:r w:rsidR="00A727E0" w:rsidRPr="00D90170">
        <w:rPr>
          <w:noProof/>
          <w:lang w:val="en-US"/>
        </w:rPr>
        <w:t xml:space="preserve"> </w:t>
      </w:r>
      <w:r w:rsidR="0016386D" w:rsidRPr="00D90170">
        <w:rPr>
          <w:noProof/>
          <w:lang w:val="en-US"/>
        </w:rPr>
        <w:t>1295–</w:t>
      </w:r>
      <w:r w:rsidR="00A727E0" w:rsidRPr="00D90170">
        <w:rPr>
          <w:noProof/>
          <w:lang w:val="en-US"/>
        </w:rPr>
        <w:t>129</w:t>
      </w:r>
      <w:r w:rsidR="0016386D" w:rsidRPr="00D90170">
        <w:rPr>
          <w:noProof/>
          <w:lang w:val="en-US"/>
        </w:rPr>
        <w:t>9. DOI</w:t>
      </w:r>
      <w:r w:rsidR="00A727E0" w:rsidRPr="00D90170">
        <w:rPr>
          <w:noProof/>
          <w:lang w:val="en-US"/>
        </w:rPr>
        <w:t>:10.1001/jamadermatol.2013.5526</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73723C">
        <w:rPr>
          <w:noProof/>
          <w:lang w:val="en-US"/>
        </w:rPr>
        <w:t xml:space="preserve">Zwierzina H., Suciu S., </w:t>
      </w:r>
      <w:r>
        <w:rPr>
          <w:noProof/>
          <w:lang w:val="en-US"/>
        </w:rPr>
        <w:t>Loeffler-Ragg J.</w:t>
      </w:r>
      <w:r w:rsidRPr="0073723C">
        <w:rPr>
          <w:noProof/>
          <w:lang w:val="en-US"/>
        </w:rPr>
        <w:t xml:space="preserve"> et al. Low-dose cytosine arabinoside (LD-AraC) vs LD-AraC plus granulocyte/macrophage colony stimulating factor vs LD-AraC plus Interleukin-3 for myelodysplastic syndrome patients with a high risk of developing acute leukemia: final results of a randomized phase III study (06903) of the EORTC Leukemia Cooperative Group. Leukemia. 2005;19</w:t>
      </w:r>
      <w:r>
        <w:rPr>
          <w:noProof/>
        </w:rPr>
        <w:t xml:space="preserve"> </w:t>
      </w:r>
      <w:r w:rsidRPr="0073723C">
        <w:rPr>
          <w:noProof/>
          <w:lang w:val="en-US"/>
        </w:rPr>
        <w:t>(11):1929–</w:t>
      </w:r>
      <w:r>
        <w:rPr>
          <w:noProof/>
        </w:rPr>
        <w:t>19</w:t>
      </w:r>
      <w:r w:rsidRPr="0073723C">
        <w:rPr>
          <w:noProof/>
          <w:lang w:val="en-US"/>
        </w:rPr>
        <w:t>33. DOI:10.1038/sj.leu.2403934.</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Keehn </w:t>
      </w:r>
      <w:r>
        <w:rPr>
          <w:noProof/>
          <w:lang w:val="en-US"/>
        </w:rPr>
        <w:t>C.A., Belongie I.P., Shistik G.</w:t>
      </w:r>
      <w:r w:rsidRPr="001B7F70">
        <w:rPr>
          <w:noProof/>
          <w:lang w:val="en-US"/>
        </w:rPr>
        <w:t xml:space="preserve"> et al. The diagnosis, staging, and treatment options for mycosis fungoides. Cancer Control. 2007;</w:t>
      </w:r>
      <w:r>
        <w:rPr>
          <w:noProof/>
        </w:rPr>
        <w:t xml:space="preserve"> </w:t>
      </w:r>
      <w:r w:rsidRPr="001B7F70">
        <w:rPr>
          <w:noProof/>
          <w:lang w:val="en-US"/>
        </w:rPr>
        <w:t>14</w:t>
      </w:r>
      <w:r>
        <w:rPr>
          <w:noProof/>
        </w:rPr>
        <w:t xml:space="preserve"> </w:t>
      </w:r>
      <w:r w:rsidRPr="001B7F70">
        <w:rPr>
          <w:noProof/>
          <w:lang w:val="en-US"/>
        </w:rPr>
        <w:t>(2):</w:t>
      </w:r>
      <w:r>
        <w:rPr>
          <w:noProof/>
        </w:rPr>
        <w:t xml:space="preserve"> </w:t>
      </w:r>
      <w:r w:rsidRPr="001B7F70">
        <w:rPr>
          <w:noProof/>
          <w:lang w:val="en-US"/>
        </w:rPr>
        <w:t>102–</w:t>
      </w:r>
      <w:r>
        <w:rPr>
          <w:noProof/>
        </w:rPr>
        <w:t>1</w:t>
      </w:r>
      <w:r w:rsidRPr="001B7F70">
        <w:rPr>
          <w:noProof/>
          <w:lang w:val="en-US"/>
        </w:rPr>
        <w:t>11. DOI:10.1177/107327480701400203.</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Cerroni L. Mycosis fungoides-clinical and histopathologic features, differential diagnosis, and treatment. Semin Cutan Med Surg. 2018;</w:t>
      </w:r>
      <w:r>
        <w:rPr>
          <w:noProof/>
        </w:rPr>
        <w:t xml:space="preserve"> </w:t>
      </w:r>
      <w:r w:rsidRPr="001B7F70">
        <w:rPr>
          <w:noProof/>
          <w:lang w:val="en-US"/>
        </w:rPr>
        <w:t>37</w:t>
      </w:r>
      <w:r>
        <w:rPr>
          <w:noProof/>
        </w:rPr>
        <w:t xml:space="preserve"> </w:t>
      </w:r>
      <w:r w:rsidRPr="001B7F70">
        <w:rPr>
          <w:noProof/>
          <w:lang w:val="en-US"/>
        </w:rPr>
        <w:t>(1):</w:t>
      </w:r>
      <w:r>
        <w:rPr>
          <w:noProof/>
        </w:rPr>
        <w:t xml:space="preserve"> </w:t>
      </w:r>
      <w:r w:rsidRPr="001B7F70">
        <w:rPr>
          <w:noProof/>
          <w:lang w:val="en-US"/>
        </w:rPr>
        <w:t>2–10. DOI:10.12788/j.sder.2018.002.</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Willemze R. Mycosis fungoides variants-clinicopathologic features, differential diagnosis, and treatment. Semin Cutan Med Surg. 2018;</w:t>
      </w:r>
      <w:r>
        <w:rPr>
          <w:noProof/>
        </w:rPr>
        <w:t xml:space="preserve"> </w:t>
      </w:r>
      <w:r w:rsidRPr="001B7F70">
        <w:rPr>
          <w:noProof/>
          <w:lang w:val="en-US"/>
        </w:rPr>
        <w:t>37</w:t>
      </w:r>
      <w:r>
        <w:rPr>
          <w:noProof/>
        </w:rPr>
        <w:t xml:space="preserve"> </w:t>
      </w:r>
      <w:r w:rsidRPr="001B7F70">
        <w:rPr>
          <w:noProof/>
          <w:lang w:val="en-US"/>
        </w:rPr>
        <w:t>(1):11–</w:t>
      </w:r>
      <w:r>
        <w:rPr>
          <w:noProof/>
        </w:rPr>
        <w:t>1</w:t>
      </w:r>
      <w:r w:rsidRPr="001B7F70">
        <w:rPr>
          <w:noProof/>
          <w:lang w:val="en-US"/>
        </w:rPr>
        <w:t>7. DOI:10.12788/j.sder.2018.004.</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Olsen E., Vonderheid E., Pimpinelli N. et al. Revisions to the staging and classification of mycosis fungoides and Sézary syndrome: A proposal of the International Society for Cutaneous Lymphomas (ISCL) and the cutaneous lymphoma task force of the European Organization of Research and Treatment of Cancer (EORTC). </w:t>
      </w:r>
      <w:r w:rsidRPr="00A727E0">
        <w:rPr>
          <w:noProof/>
        </w:rPr>
        <w:t>Blood. 2007 15;</w:t>
      </w:r>
      <w:r>
        <w:rPr>
          <w:noProof/>
          <w:lang w:val="en-US"/>
        </w:rPr>
        <w:t xml:space="preserve"> </w:t>
      </w:r>
      <w:r w:rsidRPr="00A727E0">
        <w:rPr>
          <w:noProof/>
        </w:rPr>
        <w:t>110</w:t>
      </w:r>
      <w:r>
        <w:rPr>
          <w:noProof/>
          <w:lang w:val="en-US"/>
        </w:rPr>
        <w:t xml:space="preserve"> </w:t>
      </w:r>
      <w:r w:rsidRPr="00A727E0">
        <w:rPr>
          <w:noProof/>
        </w:rPr>
        <w:t>(6):</w:t>
      </w:r>
      <w:r>
        <w:rPr>
          <w:noProof/>
          <w:lang w:val="en-US"/>
        </w:rPr>
        <w:t xml:space="preserve"> </w:t>
      </w:r>
      <w:r w:rsidRPr="00A727E0">
        <w:rPr>
          <w:noProof/>
        </w:rPr>
        <w:t>1713</w:t>
      </w:r>
      <w:r w:rsidRPr="001B7F70">
        <w:rPr>
          <w:noProof/>
          <w:lang w:val="en-US"/>
        </w:rPr>
        <w:t>–</w:t>
      </w:r>
      <w:r>
        <w:rPr>
          <w:noProof/>
          <w:lang w:val="en-US"/>
        </w:rPr>
        <w:t>17</w:t>
      </w:r>
      <w:r w:rsidRPr="00A727E0">
        <w:rPr>
          <w:noProof/>
        </w:rPr>
        <w:t>22.</w:t>
      </w:r>
      <w:r w:rsidRPr="001B7F70">
        <w:rPr>
          <w:noProof/>
          <w:lang w:val="en-US"/>
        </w:rPr>
        <w:t xml:space="preserve"> DOI:10.1182/blood-2007-03-055749.</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A727E0">
        <w:rPr>
          <w:noProof/>
          <w:lang w:val="en-US"/>
        </w:rPr>
        <w:t>Horwitz S</w:t>
      </w:r>
      <w:r>
        <w:rPr>
          <w:noProof/>
          <w:lang w:val="en-US"/>
        </w:rPr>
        <w:t>.</w:t>
      </w:r>
      <w:r w:rsidRPr="00A727E0">
        <w:rPr>
          <w:noProof/>
          <w:lang w:val="en-US"/>
        </w:rPr>
        <w:t>M</w:t>
      </w:r>
      <w:r>
        <w:rPr>
          <w:noProof/>
          <w:lang w:val="en-US"/>
        </w:rPr>
        <w:t>.</w:t>
      </w:r>
      <w:r w:rsidRPr="00A727E0">
        <w:rPr>
          <w:noProof/>
          <w:lang w:val="en-US"/>
        </w:rPr>
        <w:t>, Olsen E</w:t>
      </w:r>
      <w:r>
        <w:rPr>
          <w:noProof/>
          <w:lang w:val="en-US"/>
        </w:rPr>
        <w:t>.</w:t>
      </w:r>
      <w:r w:rsidRPr="00A727E0">
        <w:rPr>
          <w:noProof/>
          <w:lang w:val="en-US"/>
        </w:rPr>
        <w:t>A</w:t>
      </w:r>
      <w:r>
        <w:rPr>
          <w:noProof/>
          <w:lang w:val="en-US"/>
        </w:rPr>
        <w:t>.</w:t>
      </w:r>
      <w:r w:rsidRPr="00A727E0">
        <w:rPr>
          <w:noProof/>
          <w:lang w:val="en-US"/>
        </w:rPr>
        <w:t>, Duvic M</w:t>
      </w:r>
      <w:r>
        <w:rPr>
          <w:noProof/>
          <w:lang w:val="en-US"/>
        </w:rPr>
        <w:t>.</w:t>
      </w:r>
      <w:r w:rsidRPr="00A727E0">
        <w:rPr>
          <w:noProof/>
          <w:lang w:val="en-US"/>
        </w:rPr>
        <w:t xml:space="preserve"> </w:t>
      </w:r>
      <w:r>
        <w:rPr>
          <w:noProof/>
          <w:lang w:val="en-US"/>
        </w:rPr>
        <w:t>et al</w:t>
      </w:r>
      <w:r w:rsidRPr="00A727E0">
        <w:rPr>
          <w:noProof/>
          <w:lang w:val="en-US"/>
        </w:rPr>
        <w:t xml:space="preserve">. Review of the treatment of mycosis fungoides and sézary syndrome: a stage-based approach. </w:t>
      </w:r>
      <w:r w:rsidRPr="00A727E0">
        <w:rPr>
          <w:noProof/>
        </w:rPr>
        <w:t>J Natl Compr Canc Netw. 2008;</w:t>
      </w:r>
      <w:r>
        <w:rPr>
          <w:noProof/>
          <w:lang w:val="en-US"/>
        </w:rPr>
        <w:t xml:space="preserve"> </w:t>
      </w:r>
      <w:r w:rsidRPr="00A727E0">
        <w:rPr>
          <w:noProof/>
        </w:rPr>
        <w:t>6</w:t>
      </w:r>
      <w:r>
        <w:rPr>
          <w:noProof/>
          <w:lang w:val="en-US"/>
        </w:rPr>
        <w:t xml:space="preserve"> </w:t>
      </w:r>
      <w:r w:rsidRPr="00A727E0">
        <w:rPr>
          <w:noProof/>
        </w:rPr>
        <w:t>(4):</w:t>
      </w:r>
      <w:r>
        <w:rPr>
          <w:noProof/>
          <w:lang w:val="en-US"/>
        </w:rPr>
        <w:t xml:space="preserve"> </w:t>
      </w:r>
      <w:r w:rsidRPr="00A727E0">
        <w:rPr>
          <w:noProof/>
        </w:rPr>
        <w:t>436</w:t>
      </w:r>
      <w:r w:rsidRPr="001B7F70">
        <w:rPr>
          <w:noProof/>
          <w:lang w:val="en-US"/>
        </w:rPr>
        <w:t>–</w:t>
      </w:r>
      <w:r>
        <w:rPr>
          <w:noProof/>
          <w:lang w:val="en-US"/>
        </w:rPr>
        <w:t>4</w:t>
      </w:r>
      <w:r w:rsidRPr="00A727E0">
        <w:rPr>
          <w:noProof/>
        </w:rPr>
        <w:t>42. doi: 10.6004/jnccn.2008.0033</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Pr>
          <w:noProof/>
          <w:lang w:val="en-US"/>
        </w:rPr>
        <w:t>Delfau-Larue M.</w:t>
      </w:r>
      <w:r w:rsidRPr="001B7F70">
        <w:rPr>
          <w:noProof/>
          <w:lang w:val="en-US"/>
        </w:rPr>
        <w:t>H., Laroche L., Wechsler J. et al. Diagnostic value of dominant T-cell clones in peripheral blood in 363 patients presenting consecutively with a clinical suspicion of cutaneous lymphoma. Blood. 2000;</w:t>
      </w:r>
      <w:r>
        <w:rPr>
          <w:noProof/>
          <w:lang w:val="en-US"/>
        </w:rPr>
        <w:t xml:space="preserve"> </w:t>
      </w:r>
      <w:r w:rsidRPr="001B7F70">
        <w:rPr>
          <w:noProof/>
          <w:lang w:val="en-US"/>
        </w:rPr>
        <w:t>96</w:t>
      </w:r>
      <w:r>
        <w:rPr>
          <w:noProof/>
          <w:lang w:val="en-US"/>
        </w:rPr>
        <w:t xml:space="preserve"> </w:t>
      </w:r>
      <w:r w:rsidRPr="001B7F70">
        <w:rPr>
          <w:noProof/>
          <w:lang w:val="en-US"/>
        </w:rPr>
        <w:t>(9):</w:t>
      </w:r>
      <w:r>
        <w:rPr>
          <w:noProof/>
          <w:lang w:val="en-US"/>
        </w:rPr>
        <w:t xml:space="preserve"> </w:t>
      </w:r>
      <w:r w:rsidRPr="001B7F70">
        <w:rPr>
          <w:noProof/>
          <w:lang w:val="en-US"/>
        </w:rPr>
        <w:t>2987–</w:t>
      </w:r>
      <w:r>
        <w:rPr>
          <w:noProof/>
          <w:lang w:val="en-US"/>
        </w:rPr>
        <w:t>29</w:t>
      </w:r>
      <w:r w:rsidRPr="001B7F70">
        <w:rPr>
          <w:noProof/>
          <w:lang w:val="en-US"/>
        </w:rPr>
        <w:t>9</w:t>
      </w:r>
      <w:r>
        <w:rPr>
          <w:noProof/>
          <w:lang w:val="en-US"/>
        </w:rPr>
        <w:t>2. DOI:10.1182/blood.v96.9.2987</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Po</w:t>
      </w:r>
      <w:r>
        <w:rPr>
          <w:noProof/>
          <w:lang w:val="en-US"/>
        </w:rPr>
        <w:t>nti R., Quaglino P., Novelli M.</w:t>
      </w:r>
      <w:r w:rsidRPr="001B7F70">
        <w:rPr>
          <w:noProof/>
          <w:lang w:val="en-US"/>
        </w:rPr>
        <w:t xml:space="preserve"> et al. T-cell receptor </w:t>
      </w:r>
      <w:r w:rsidRPr="001B7F70">
        <w:rPr>
          <w:noProof/>
        </w:rPr>
        <w:t>γ</w:t>
      </w:r>
      <w:r w:rsidRPr="001B7F70">
        <w:rPr>
          <w:noProof/>
          <w:lang w:val="en-US"/>
        </w:rPr>
        <w:t xml:space="preserve"> gene rearrangement by multiplex polymerase chain reaction/heteroduplex analysis in patients with cutaneous T-cell lymphoma (mycosis fungoides/Sézary syndrome) and benign inflammatory disease: Correlation with clinical, histological and </w:t>
      </w:r>
      <w:r>
        <w:rPr>
          <w:noProof/>
          <w:lang w:val="en-US"/>
        </w:rPr>
        <w:t>immunophenotypical findings</w:t>
      </w:r>
      <w:r w:rsidRPr="001B7F70">
        <w:rPr>
          <w:noProof/>
          <w:lang w:val="en-US"/>
        </w:rPr>
        <w:t>. Br J Dermatol. 2005;</w:t>
      </w:r>
      <w:r>
        <w:rPr>
          <w:noProof/>
          <w:lang w:val="en-US"/>
        </w:rPr>
        <w:t xml:space="preserve"> </w:t>
      </w:r>
      <w:r w:rsidRPr="001B7F70">
        <w:rPr>
          <w:noProof/>
          <w:lang w:val="en-US"/>
        </w:rPr>
        <w:t>153</w:t>
      </w:r>
      <w:r>
        <w:rPr>
          <w:noProof/>
          <w:lang w:val="en-US"/>
        </w:rPr>
        <w:t xml:space="preserve"> </w:t>
      </w:r>
      <w:r w:rsidRPr="001B7F70">
        <w:rPr>
          <w:noProof/>
          <w:lang w:val="en-US"/>
        </w:rPr>
        <w:t>(3):</w:t>
      </w:r>
      <w:r>
        <w:rPr>
          <w:noProof/>
          <w:lang w:val="en-US"/>
        </w:rPr>
        <w:t xml:space="preserve"> </w:t>
      </w:r>
      <w:r w:rsidRPr="001B7F70">
        <w:rPr>
          <w:noProof/>
          <w:lang w:val="en-US"/>
        </w:rPr>
        <w:t>565–</w:t>
      </w:r>
      <w:r>
        <w:rPr>
          <w:noProof/>
          <w:lang w:val="en-US"/>
        </w:rPr>
        <w:t>5</w:t>
      </w:r>
      <w:r w:rsidRPr="001B7F70">
        <w:rPr>
          <w:noProof/>
          <w:lang w:val="en-US"/>
        </w:rPr>
        <w:t>73. DOI:10.1111/j.1365-2133.2005.06649.x</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Kirsch I.R.</w:t>
      </w:r>
      <w:r>
        <w:rPr>
          <w:noProof/>
          <w:lang w:val="en-US"/>
        </w:rPr>
        <w:t>, Watanabe R., O’Malley J.T.</w:t>
      </w:r>
      <w:r w:rsidRPr="001B7F70">
        <w:rPr>
          <w:noProof/>
          <w:lang w:val="en-US"/>
        </w:rPr>
        <w:t xml:space="preserve"> et al. TCR sequencing facilitates diagnosis and identifies mature T cells as the cell of origin in CTCL. Sci Transl Med. </w:t>
      </w:r>
      <w:r w:rsidRPr="00A727E0">
        <w:rPr>
          <w:noProof/>
        </w:rPr>
        <w:t>2015 Oct 7;7</w:t>
      </w:r>
      <w:r>
        <w:rPr>
          <w:noProof/>
          <w:lang w:val="en-US"/>
        </w:rPr>
        <w:t xml:space="preserve"> </w:t>
      </w:r>
      <w:r w:rsidRPr="00A727E0">
        <w:rPr>
          <w:noProof/>
        </w:rPr>
        <w:t>(308):</w:t>
      </w:r>
      <w:r>
        <w:rPr>
          <w:noProof/>
          <w:lang w:val="en-US"/>
        </w:rPr>
        <w:t xml:space="preserve"> </w:t>
      </w:r>
      <w:r w:rsidRPr="00A727E0">
        <w:rPr>
          <w:noProof/>
        </w:rPr>
        <w:lastRenderedPageBreak/>
        <w:t>308ra158.</w:t>
      </w:r>
      <w:r w:rsidRPr="001B7F70">
        <w:rPr>
          <w:noProof/>
          <w:lang w:val="en-US"/>
        </w:rPr>
        <w:t xml:space="preserve"> DOI:10.1126/scitranslmed.aaa9122</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A727E0">
        <w:rPr>
          <w:noProof/>
          <w:lang w:val="en-US"/>
        </w:rPr>
        <w:t>Matos T</w:t>
      </w:r>
      <w:r>
        <w:rPr>
          <w:noProof/>
          <w:lang w:val="en-US"/>
        </w:rPr>
        <w:t>.</w:t>
      </w:r>
      <w:r w:rsidRPr="00A727E0">
        <w:rPr>
          <w:noProof/>
          <w:lang w:val="en-US"/>
        </w:rPr>
        <w:t>R</w:t>
      </w:r>
      <w:r>
        <w:rPr>
          <w:noProof/>
          <w:lang w:val="en-US"/>
        </w:rPr>
        <w:t>.</w:t>
      </w:r>
      <w:r w:rsidRPr="00A727E0">
        <w:rPr>
          <w:noProof/>
          <w:lang w:val="en-US"/>
        </w:rPr>
        <w:t>, de Rie M</w:t>
      </w:r>
      <w:r>
        <w:rPr>
          <w:noProof/>
          <w:lang w:val="en-US"/>
        </w:rPr>
        <w:t>.</w:t>
      </w:r>
      <w:r w:rsidRPr="00A727E0">
        <w:rPr>
          <w:noProof/>
          <w:lang w:val="en-US"/>
        </w:rPr>
        <w:t>A</w:t>
      </w:r>
      <w:r>
        <w:rPr>
          <w:noProof/>
          <w:lang w:val="en-US"/>
        </w:rPr>
        <w:t>.</w:t>
      </w:r>
      <w:r w:rsidRPr="00A727E0">
        <w:rPr>
          <w:noProof/>
          <w:lang w:val="en-US"/>
        </w:rPr>
        <w:t>, Teunissen M</w:t>
      </w:r>
      <w:r>
        <w:rPr>
          <w:noProof/>
          <w:lang w:val="en-US"/>
        </w:rPr>
        <w:t>.</w:t>
      </w:r>
      <w:r w:rsidRPr="00A727E0">
        <w:rPr>
          <w:noProof/>
          <w:lang w:val="en-US"/>
        </w:rPr>
        <w:t>B</w:t>
      </w:r>
      <w:r>
        <w:rPr>
          <w:noProof/>
          <w:lang w:val="en-US"/>
        </w:rPr>
        <w:t>.</w:t>
      </w:r>
      <w:r w:rsidRPr="00A727E0">
        <w:rPr>
          <w:noProof/>
          <w:lang w:val="en-US"/>
        </w:rPr>
        <w:t xml:space="preserve"> Research </w:t>
      </w:r>
      <w:r>
        <w:rPr>
          <w:noProof/>
          <w:lang w:val="en-US"/>
        </w:rPr>
        <w:t>t</w:t>
      </w:r>
      <w:r w:rsidRPr="00A727E0">
        <w:rPr>
          <w:noProof/>
          <w:lang w:val="en-US"/>
        </w:rPr>
        <w:t xml:space="preserve">echniques </w:t>
      </w:r>
      <w:r>
        <w:rPr>
          <w:noProof/>
          <w:lang w:val="en-US"/>
        </w:rPr>
        <w:t>m</w:t>
      </w:r>
      <w:r w:rsidRPr="00A727E0">
        <w:rPr>
          <w:noProof/>
          <w:lang w:val="en-US"/>
        </w:rPr>
        <w:t xml:space="preserve">ade </w:t>
      </w:r>
      <w:r>
        <w:rPr>
          <w:noProof/>
          <w:lang w:val="en-US"/>
        </w:rPr>
        <w:t>s</w:t>
      </w:r>
      <w:r w:rsidRPr="00A727E0">
        <w:rPr>
          <w:noProof/>
          <w:lang w:val="en-US"/>
        </w:rPr>
        <w:t>imple: High-</w:t>
      </w:r>
      <w:r>
        <w:rPr>
          <w:noProof/>
          <w:lang w:val="en-US"/>
        </w:rPr>
        <w:t>t</w:t>
      </w:r>
      <w:r w:rsidRPr="00A727E0">
        <w:rPr>
          <w:noProof/>
          <w:lang w:val="en-US"/>
        </w:rPr>
        <w:t xml:space="preserve">hroughput </w:t>
      </w:r>
      <w:r>
        <w:rPr>
          <w:noProof/>
          <w:lang w:val="en-US"/>
        </w:rPr>
        <w:t>s</w:t>
      </w:r>
      <w:r w:rsidRPr="00A727E0">
        <w:rPr>
          <w:noProof/>
          <w:lang w:val="en-US"/>
        </w:rPr>
        <w:t>equencing of the T-</w:t>
      </w:r>
      <w:r>
        <w:rPr>
          <w:noProof/>
          <w:lang w:val="en-US"/>
        </w:rPr>
        <w:t>c</w:t>
      </w:r>
      <w:r w:rsidRPr="00A727E0">
        <w:rPr>
          <w:noProof/>
          <w:lang w:val="en-US"/>
        </w:rPr>
        <w:t xml:space="preserve">ell </w:t>
      </w:r>
      <w:r>
        <w:rPr>
          <w:noProof/>
          <w:lang w:val="en-US"/>
        </w:rPr>
        <w:t>r</w:t>
      </w:r>
      <w:r w:rsidRPr="00A727E0">
        <w:rPr>
          <w:noProof/>
          <w:lang w:val="en-US"/>
        </w:rPr>
        <w:t>eceptor. J Invest Dermatol. 2017;</w:t>
      </w:r>
      <w:r>
        <w:rPr>
          <w:noProof/>
          <w:lang w:val="en-US"/>
        </w:rPr>
        <w:t xml:space="preserve"> </w:t>
      </w:r>
      <w:r w:rsidRPr="00A727E0">
        <w:rPr>
          <w:noProof/>
          <w:lang w:val="en-US"/>
        </w:rPr>
        <w:t>137</w:t>
      </w:r>
      <w:r>
        <w:rPr>
          <w:noProof/>
          <w:lang w:val="en-US"/>
        </w:rPr>
        <w:t xml:space="preserve"> </w:t>
      </w:r>
      <w:r w:rsidRPr="00A727E0">
        <w:rPr>
          <w:noProof/>
          <w:lang w:val="en-US"/>
        </w:rPr>
        <w:t>(6):</w:t>
      </w:r>
      <w:r>
        <w:rPr>
          <w:noProof/>
          <w:lang w:val="en-US"/>
        </w:rPr>
        <w:t xml:space="preserve"> </w:t>
      </w:r>
      <w:r w:rsidRPr="00A727E0">
        <w:rPr>
          <w:noProof/>
          <w:lang w:val="en-US"/>
        </w:rPr>
        <w:t>e131</w:t>
      </w:r>
      <w:r w:rsidRPr="001B7F70">
        <w:rPr>
          <w:noProof/>
          <w:lang w:val="en-US"/>
        </w:rPr>
        <w:t>–</w:t>
      </w:r>
      <w:r w:rsidRPr="00A727E0">
        <w:rPr>
          <w:noProof/>
          <w:lang w:val="en-US"/>
        </w:rPr>
        <w:t xml:space="preserve">e138. </w:t>
      </w:r>
      <w:r w:rsidRPr="001B7F70">
        <w:rPr>
          <w:noProof/>
          <w:lang w:val="en-US"/>
        </w:rPr>
        <w:t>DOI:10.1016/j.jid.2017.04.001</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A727E0">
        <w:rPr>
          <w:noProof/>
          <w:lang w:val="en-US"/>
        </w:rPr>
        <w:t>Scherer F</w:t>
      </w:r>
      <w:r>
        <w:rPr>
          <w:noProof/>
          <w:lang w:val="en-US"/>
        </w:rPr>
        <w:t>.</w:t>
      </w:r>
      <w:r w:rsidRPr="00A727E0">
        <w:rPr>
          <w:noProof/>
          <w:lang w:val="en-US"/>
        </w:rPr>
        <w:t>, Kurtz D</w:t>
      </w:r>
      <w:r>
        <w:rPr>
          <w:noProof/>
          <w:lang w:val="en-US"/>
        </w:rPr>
        <w:t>.</w:t>
      </w:r>
      <w:r w:rsidRPr="00A727E0">
        <w:rPr>
          <w:noProof/>
          <w:lang w:val="en-US"/>
        </w:rPr>
        <w:t>M</w:t>
      </w:r>
      <w:r>
        <w:rPr>
          <w:noProof/>
          <w:lang w:val="en-US"/>
        </w:rPr>
        <w:t>.</w:t>
      </w:r>
      <w:r w:rsidRPr="00A727E0">
        <w:rPr>
          <w:noProof/>
          <w:lang w:val="en-US"/>
        </w:rPr>
        <w:t>, Diehn M</w:t>
      </w:r>
      <w:r>
        <w:rPr>
          <w:noProof/>
          <w:lang w:val="en-US"/>
        </w:rPr>
        <w:t>.</w:t>
      </w:r>
      <w:r w:rsidRPr="00A727E0">
        <w:rPr>
          <w:noProof/>
          <w:lang w:val="en-US"/>
        </w:rPr>
        <w:t>, Alizadeh A</w:t>
      </w:r>
      <w:r>
        <w:rPr>
          <w:noProof/>
          <w:lang w:val="en-US"/>
        </w:rPr>
        <w:t>.</w:t>
      </w:r>
      <w:r w:rsidRPr="00A727E0">
        <w:rPr>
          <w:noProof/>
          <w:lang w:val="en-US"/>
        </w:rPr>
        <w:t>A. High-throughput sequencing for noninvasive disease detection in hematol</w:t>
      </w:r>
      <w:r>
        <w:rPr>
          <w:noProof/>
          <w:lang w:val="en-US"/>
        </w:rPr>
        <w:t>ogic malignancies. Blood. 2017</w:t>
      </w:r>
      <w:r w:rsidRPr="00A727E0">
        <w:rPr>
          <w:noProof/>
          <w:lang w:val="en-US"/>
        </w:rPr>
        <w:t>;</w:t>
      </w:r>
      <w:r>
        <w:rPr>
          <w:noProof/>
          <w:lang w:val="en-US"/>
        </w:rPr>
        <w:t xml:space="preserve"> </w:t>
      </w:r>
      <w:r w:rsidRPr="00A727E0">
        <w:rPr>
          <w:noProof/>
          <w:lang w:val="en-US"/>
        </w:rPr>
        <w:t>130</w:t>
      </w:r>
      <w:r>
        <w:rPr>
          <w:noProof/>
          <w:lang w:val="en-US"/>
        </w:rPr>
        <w:t xml:space="preserve"> </w:t>
      </w:r>
      <w:r w:rsidRPr="00A727E0">
        <w:rPr>
          <w:noProof/>
          <w:lang w:val="en-US"/>
        </w:rPr>
        <w:t>(4):</w:t>
      </w:r>
      <w:r>
        <w:rPr>
          <w:noProof/>
          <w:lang w:val="en-US"/>
        </w:rPr>
        <w:t xml:space="preserve"> 440</w:t>
      </w:r>
      <w:r w:rsidRPr="001B7F70">
        <w:rPr>
          <w:noProof/>
          <w:lang w:val="en-US"/>
        </w:rPr>
        <w:t>–</w:t>
      </w:r>
      <w:r>
        <w:rPr>
          <w:noProof/>
          <w:lang w:val="en-US"/>
        </w:rPr>
        <w:t>452</w:t>
      </w:r>
      <w:r w:rsidRPr="001B7F70">
        <w:rPr>
          <w:noProof/>
          <w:lang w:val="en-US"/>
        </w:rPr>
        <w:t>. DOI:10.1182/blood-2017-03-735639</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705229">
        <w:rPr>
          <w:noProof/>
          <w:lang w:val="en-US"/>
        </w:rPr>
        <w:t>Jawed S</w:t>
      </w:r>
      <w:r>
        <w:rPr>
          <w:noProof/>
          <w:lang w:val="en-US"/>
        </w:rPr>
        <w:t>.</w:t>
      </w:r>
      <w:r w:rsidRPr="00705229">
        <w:rPr>
          <w:noProof/>
          <w:lang w:val="en-US"/>
        </w:rPr>
        <w:t>I</w:t>
      </w:r>
      <w:r>
        <w:rPr>
          <w:noProof/>
          <w:lang w:val="en-US"/>
        </w:rPr>
        <w:t>.</w:t>
      </w:r>
      <w:r w:rsidRPr="00705229">
        <w:rPr>
          <w:noProof/>
          <w:lang w:val="en-US"/>
        </w:rPr>
        <w:t>, Myskowski P</w:t>
      </w:r>
      <w:r>
        <w:rPr>
          <w:noProof/>
          <w:lang w:val="en-US"/>
        </w:rPr>
        <w:t>.</w:t>
      </w:r>
      <w:r w:rsidRPr="00705229">
        <w:rPr>
          <w:noProof/>
          <w:lang w:val="en-US"/>
        </w:rPr>
        <w:t>L</w:t>
      </w:r>
      <w:r>
        <w:rPr>
          <w:noProof/>
          <w:lang w:val="en-US"/>
        </w:rPr>
        <w:t>.</w:t>
      </w:r>
      <w:r w:rsidRPr="00705229">
        <w:rPr>
          <w:noProof/>
          <w:lang w:val="en-US"/>
        </w:rPr>
        <w:t>, Horwitz S</w:t>
      </w:r>
      <w:r>
        <w:rPr>
          <w:noProof/>
          <w:lang w:val="en-US"/>
        </w:rPr>
        <w:t>.</w:t>
      </w:r>
      <w:r w:rsidRPr="00705229">
        <w:rPr>
          <w:noProof/>
          <w:lang w:val="en-US"/>
        </w:rPr>
        <w:t xml:space="preserve"> </w:t>
      </w:r>
      <w:r>
        <w:rPr>
          <w:noProof/>
          <w:lang w:val="en-US"/>
        </w:rPr>
        <w:t>et al</w:t>
      </w:r>
      <w:r w:rsidRPr="00705229">
        <w:rPr>
          <w:noProof/>
          <w:lang w:val="en-US"/>
        </w:rPr>
        <w:t>. Primary cutaneous T-cell lymphoma (mycosis fungoides and Sézary syndrome): part I. Diagnosis: clinical and histopathologic features and new molecular and biologic markers. J Am Acad Dermatol. 2014;</w:t>
      </w:r>
      <w:r>
        <w:rPr>
          <w:noProof/>
          <w:lang w:val="en-US"/>
        </w:rPr>
        <w:t xml:space="preserve"> </w:t>
      </w:r>
      <w:r w:rsidRPr="00705229">
        <w:rPr>
          <w:noProof/>
          <w:lang w:val="en-US"/>
        </w:rPr>
        <w:t>70</w:t>
      </w:r>
      <w:r>
        <w:rPr>
          <w:noProof/>
          <w:lang w:val="en-US"/>
        </w:rPr>
        <w:t xml:space="preserve"> </w:t>
      </w:r>
      <w:r w:rsidRPr="00705229">
        <w:rPr>
          <w:noProof/>
          <w:lang w:val="en-US"/>
        </w:rPr>
        <w:t>(2):</w:t>
      </w:r>
      <w:r>
        <w:rPr>
          <w:noProof/>
          <w:lang w:val="en-US"/>
        </w:rPr>
        <w:t xml:space="preserve"> </w:t>
      </w:r>
      <w:r w:rsidRPr="00705229">
        <w:rPr>
          <w:noProof/>
          <w:lang w:val="en-US"/>
        </w:rPr>
        <w:t>205.e1</w:t>
      </w:r>
      <w:r w:rsidRPr="001B7F70">
        <w:rPr>
          <w:noProof/>
          <w:lang w:val="en-US"/>
        </w:rPr>
        <w:t>–</w:t>
      </w:r>
      <w:r w:rsidRPr="00705229">
        <w:rPr>
          <w:noProof/>
          <w:lang w:val="en-US"/>
        </w:rPr>
        <w:t>16</w:t>
      </w:r>
      <w:r w:rsidRPr="001B7F70">
        <w:rPr>
          <w:noProof/>
          <w:lang w:val="en-US"/>
        </w:rPr>
        <w:t xml:space="preserve"> DOI:10.1016/j.jaad.2013.07.049</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Rea B., Haun P., Emerson R. et al. Role of high-throughput sequencing in the diagnosis of cutaneous T-cell lymphoma. J Clin Pathol. 2018;</w:t>
      </w:r>
      <w:r>
        <w:rPr>
          <w:noProof/>
          <w:lang w:val="en-US"/>
        </w:rPr>
        <w:t xml:space="preserve"> </w:t>
      </w:r>
      <w:r w:rsidRPr="001B7F70">
        <w:rPr>
          <w:noProof/>
          <w:lang w:val="en-US"/>
        </w:rPr>
        <w:t>71</w:t>
      </w:r>
      <w:r>
        <w:rPr>
          <w:noProof/>
          <w:lang w:val="en-US"/>
        </w:rPr>
        <w:t xml:space="preserve"> </w:t>
      </w:r>
      <w:r w:rsidRPr="001B7F70">
        <w:rPr>
          <w:noProof/>
          <w:lang w:val="en-US"/>
        </w:rPr>
        <w:t>(9):</w:t>
      </w:r>
      <w:r>
        <w:rPr>
          <w:noProof/>
          <w:lang w:val="en-US"/>
        </w:rPr>
        <w:t xml:space="preserve"> </w:t>
      </w:r>
      <w:r w:rsidRPr="001B7F70">
        <w:rPr>
          <w:noProof/>
          <w:lang w:val="en-US"/>
        </w:rPr>
        <w:t>814–</w:t>
      </w:r>
      <w:r>
        <w:rPr>
          <w:noProof/>
          <w:lang w:val="en-US"/>
        </w:rPr>
        <w:t>8</w:t>
      </w:r>
      <w:r w:rsidRPr="001B7F70">
        <w:rPr>
          <w:noProof/>
          <w:lang w:val="en-US"/>
        </w:rPr>
        <w:t>20. DOI:10.1136/jclinpath-2018-205004</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705229">
        <w:rPr>
          <w:noProof/>
          <w:lang w:val="en-US"/>
        </w:rPr>
        <w:t>Ferner R</w:t>
      </w:r>
      <w:r>
        <w:rPr>
          <w:noProof/>
          <w:lang w:val="en-US"/>
        </w:rPr>
        <w:t>.</w:t>
      </w:r>
      <w:r w:rsidRPr="00705229">
        <w:rPr>
          <w:noProof/>
          <w:lang w:val="en-US"/>
        </w:rPr>
        <w:t>E. Adverse drug reactions in dermatology. Clin Exp Dermatol. 2015;</w:t>
      </w:r>
      <w:r>
        <w:rPr>
          <w:noProof/>
          <w:lang w:val="en-US"/>
        </w:rPr>
        <w:t xml:space="preserve"> </w:t>
      </w:r>
      <w:r w:rsidRPr="00705229">
        <w:rPr>
          <w:noProof/>
          <w:lang w:val="en-US"/>
        </w:rPr>
        <w:t>40</w:t>
      </w:r>
      <w:r>
        <w:rPr>
          <w:noProof/>
          <w:lang w:val="en-US"/>
        </w:rPr>
        <w:t xml:space="preserve"> </w:t>
      </w:r>
      <w:r w:rsidRPr="00705229">
        <w:rPr>
          <w:noProof/>
          <w:lang w:val="en-US"/>
        </w:rPr>
        <w:t>(2):</w:t>
      </w:r>
      <w:r>
        <w:rPr>
          <w:noProof/>
          <w:lang w:val="en-US"/>
        </w:rPr>
        <w:t xml:space="preserve"> </w:t>
      </w:r>
      <w:r w:rsidRPr="00705229">
        <w:rPr>
          <w:noProof/>
          <w:lang w:val="en-US"/>
        </w:rPr>
        <w:t>105</w:t>
      </w:r>
      <w:r w:rsidRPr="001B7F70">
        <w:rPr>
          <w:noProof/>
          <w:lang w:val="en-US"/>
        </w:rPr>
        <w:t>–</w:t>
      </w:r>
      <w:r>
        <w:rPr>
          <w:noProof/>
          <w:lang w:val="en-US"/>
        </w:rPr>
        <w:t>10</w:t>
      </w:r>
      <w:r w:rsidRPr="00705229">
        <w:rPr>
          <w:noProof/>
          <w:lang w:val="en-US"/>
        </w:rPr>
        <w:t>9</w:t>
      </w:r>
      <w:r w:rsidRPr="001B7F70">
        <w:rPr>
          <w:noProof/>
          <w:lang w:val="en-US"/>
        </w:rPr>
        <w:t>. DOI:10.1111/ced.12572</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Federic</w:t>
      </w:r>
      <w:r>
        <w:rPr>
          <w:noProof/>
          <w:lang w:val="en-US"/>
        </w:rPr>
        <w:t>o M., Bellei M., Marcheselli L.</w:t>
      </w:r>
      <w:r w:rsidRPr="001B7F70">
        <w:rPr>
          <w:noProof/>
          <w:lang w:val="en-US"/>
        </w:rPr>
        <w:t xml:space="preserve"> et al. Peripheral T cell lymphoma, not otherwise specified (PTCL-NOS). A new prognostic model developed by the International T cell Project Network. Br J Haematol. 2018;</w:t>
      </w:r>
      <w:r>
        <w:rPr>
          <w:noProof/>
          <w:lang w:val="en-US"/>
        </w:rPr>
        <w:t xml:space="preserve"> </w:t>
      </w:r>
      <w:r w:rsidRPr="001B7F70">
        <w:rPr>
          <w:noProof/>
          <w:lang w:val="en-US"/>
        </w:rPr>
        <w:t>181</w:t>
      </w:r>
      <w:r>
        <w:rPr>
          <w:noProof/>
          <w:lang w:val="en-US"/>
        </w:rPr>
        <w:t xml:space="preserve"> </w:t>
      </w:r>
      <w:r w:rsidRPr="001B7F70">
        <w:rPr>
          <w:noProof/>
          <w:lang w:val="en-US"/>
        </w:rPr>
        <w:t>(6):</w:t>
      </w:r>
      <w:r>
        <w:rPr>
          <w:noProof/>
          <w:lang w:val="en-US"/>
        </w:rPr>
        <w:t xml:space="preserve"> </w:t>
      </w:r>
      <w:r w:rsidRPr="001B7F70">
        <w:rPr>
          <w:noProof/>
          <w:lang w:val="en-US"/>
        </w:rPr>
        <w:t>760–</w:t>
      </w:r>
      <w:r>
        <w:rPr>
          <w:noProof/>
          <w:lang w:val="en-US"/>
        </w:rPr>
        <w:t>76</w:t>
      </w:r>
      <w:r w:rsidRPr="001B7F70">
        <w:rPr>
          <w:noProof/>
          <w:lang w:val="en-US"/>
        </w:rPr>
        <w:t>9. DOI:10.1111/bjh.15258</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Huang D.Y., Hu Y.F., Wei N., et al. Innovative analysis of predictors for overall survival from systemic non-Hodgkin T cell lymphoma using quantile regression analysis. Chin Med J (Engl). 2019;</w:t>
      </w:r>
      <w:r>
        <w:rPr>
          <w:noProof/>
          <w:lang w:val="en-US"/>
        </w:rPr>
        <w:t xml:space="preserve"> </w:t>
      </w:r>
      <w:r w:rsidRPr="001B7F70">
        <w:rPr>
          <w:noProof/>
          <w:lang w:val="en-US"/>
        </w:rPr>
        <w:t>132</w:t>
      </w:r>
      <w:r>
        <w:rPr>
          <w:noProof/>
          <w:lang w:val="en-US"/>
        </w:rPr>
        <w:t xml:space="preserve"> </w:t>
      </w:r>
      <w:r w:rsidRPr="001B7F70">
        <w:rPr>
          <w:noProof/>
          <w:lang w:val="en-US"/>
        </w:rPr>
        <w:t>(3):</w:t>
      </w:r>
      <w:r>
        <w:rPr>
          <w:noProof/>
          <w:lang w:val="en-US"/>
        </w:rPr>
        <w:t xml:space="preserve"> </w:t>
      </w:r>
      <w:r w:rsidRPr="001B7F70">
        <w:rPr>
          <w:noProof/>
          <w:lang w:val="en-US"/>
        </w:rPr>
        <w:t>294–301. DOI:10.1097/CM9.0000000000000088</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705229">
        <w:rPr>
          <w:noProof/>
          <w:lang w:val="en-US"/>
        </w:rPr>
        <w:t>Olsen E</w:t>
      </w:r>
      <w:r>
        <w:rPr>
          <w:noProof/>
          <w:lang w:val="en-US"/>
        </w:rPr>
        <w:t>.</w:t>
      </w:r>
      <w:r w:rsidRPr="00705229">
        <w:rPr>
          <w:noProof/>
          <w:lang w:val="en-US"/>
        </w:rPr>
        <w:t>A. Interferon in the treatment of cutaneous T-cell lymphoma. Dermatol Ther. 2003;</w:t>
      </w:r>
      <w:r>
        <w:rPr>
          <w:noProof/>
          <w:lang w:val="en-US"/>
        </w:rPr>
        <w:t xml:space="preserve"> </w:t>
      </w:r>
      <w:r w:rsidRPr="00705229">
        <w:rPr>
          <w:noProof/>
          <w:lang w:val="en-US"/>
        </w:rPr>
        <w:t>16</w:t>
      </w:r>
      <w:r>
        <w:rPr>
          <w:noProof/>
          <w:lang w:val="en-US"/>
        </w:rPr>
        <w:t xml:space="preserve"> </w:t>
      </w:r>
      <w:r w:rsidRPr="00705229">
        <w:rPr>
          <w:noProof/>
          <w:lang w:val="en-US"/>
        </w:rPr>
        <w:t>(4):</w:t>
      </w:r>
      <w:r>
        <w:rPr>
          <w:noProof/>
          <w:lang w:val="en-US"/>
        </w:rPr>
        <w:t xml:space="preserve"> </w:t>
      </w:r>
      <w:r w:rsidRPr="00705229">
        <w:rPr>
          <w:noProof/>
          <w:lang w:val="en-US"/>
        </w:rPr>
        <w:t>311</w:t>
      </w:r>
      <w:r w:rsidRPr="001B7F70">
        <w:rPr>
          <w:noProof/>
          <w:lang w:val="en-US"/>
        </w:rPr>
        <w:t>–</w:t>
      </w:r>
      <w:r>
        <w:rPr>
          <w:noProof/>
          <w:lang w:val="en-US"/>
        </w:rPr>
        <w:t>3</w:t>
      </w:r>
      <w:r w:rsidRPr="00705229">
        <w:rPr>
          <w:noProof/>
          <w:lang w:val="en-US"/>
        </w:rPr>
        <w:t>21</w:t>
      </w:r>
      <w:r w:rsidRPr="001B7F70">
        <w:rPr>
          <w:noProof/>
          <w:lang w:val="en-US"/>
        </w:rPr>
        <w:t>. DOI:10.1111/j.1396-0296.2003.01643.x</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Campbell J.</w:t>
      </w:r>
      <w:r>
        <w:rPr>
          <w:noProof/>
          <w:lang w:val="en-US"/>
        </w:rPr>
        <w:t>M., Bateman E., Stephenson M.D.</w:t>
      </w:r>
      <w:r w:rsidRPr="001B7F70">
        <w:rPr>
          <w:noProof/>
          <w:lang w:val="en-US"/>
        </w:rPr>
        <w:t xml:space="preserve"> et al. </w:t>
      </w:r>
      <w:r w:rsidRPr="00705229">
        <w:rPr>
          <w:noProof/>
          <w:lang w:val="en-US"/>
        </w:rPr>
        <w:t xml:space="preserve">Methotrexate-induced toxicity pharmacogenetics: an umbrella review of systematic reviews and meta-analyses. </w:t>
      </w:r>
      <w:r w:rsidRPr="00705229">
        <w:rPr>
          <w:noProof/>
        </w:rPr>
        <w:t>Cancer Chemother Pharmacol. 2016;</w:t>
      </w:r>
      <w:r>
        <w:rPr>
          <w:noProof/>
          <w:lang w:val="en-US"/>
        </w:rPr>
        <w:t xml:space="preserve"> </w:t>
      </w:r>
      <w:r w:rsidRPr="00705229">
        <w:rPr>
          <w:noProof/>
        </w:rPr>
        <w:t>78</w:t>
      </w:r>
      <w:r>
        <w:rPr>
          <w:noProof/>
          <w:lang w:val="en-US"/>
        </w:rPr>
        <w:t xml:space="preserve"> </w:t>
      </w:r>
      <w:r w:rsidRPr="00705229">
        <w:rPr>
          <w:noProof/>
        </w:rPr>
        <w:t>(1):</w:t>
      </w:r>
      <w:r>
        <w:rPr>
          <w:noProof/>
          <w:lang w:val="en-US"/>
        </w:rPr>
        <w:t xml:space="preserve"> </w:t>
      </w:r>
      <w:r w:rsidRPr="00705229">
        <w:rPr>
          <w:noProof/>
        </w:rPr>
        <w:t>27</w:t>
      </w:r>
      <w:r w:rsidRPr="001B7F70">
        <w:rPr>
          <w:noProof/>
          <w:lang w:val="en-US"/>
        </w:rPr>
        <w:t>–</w:t>
      </w:r>
      <w:r w:rsidRPr="00705229">
        <w:rPr>
          <w:noProof/>
        </w:rPr>
        <w:t>39.</w:t>
      </w:r>
      <w:r w:rsidRPr="001B7F70">
        <w:rPr>
          <w:noProof/>
          <w:lang w:val="en-US"/>
        </w:rPr>
        <w:t xml:space="preserve"> DOI:10.1007/s00280-016-3043-5</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Mann B.S., Johnson J.R., Cohen M.H. et al. FDA </w:t>
      </w:r>
      <w:r>
        <w:rPr>
          <w:noProof/>
          <w:lang w:val="en-US"/>
        </w:rPr>
        <w:t>a</w:t>
      </w:r>
      <w:r w:rsidRPr="001B7F70">
        <w:rPr>
          <w:noProof/>
          <w:lang w:val="en-US"/>
        </w:rPr>
        <w:t xml:space="preserve">pproval </w:t>
      </w:r>
      <w:r>
        <w:rPr>
          <w:noProof/>
          <w:lang w:val="en-US"/>
        </w:rPr>
        <w:t>s</w:t>
      </w:r>
      <w:r w:rsidRPr="001B7F70">
        <w:rPr>
          <w:noProof/>
          <w:lang w:val="en-US"/>
        </w:rPr>
        <w:t xml:space="preserve">ummary: Vorinostat for </w:t>
      </w:r>
      <w:r>
        <w:rPr>
          <w:noProof/>
          <w:lang w:val="en-US"/>
        </w:rPr>
        <w:t>t</w:t>
      </w:r>
      <w:r w:rsidRPr="001B7F70">
        <w:rPr>
          <w:noProof/>
          <w:lang w:val="en-US"/>
        </w:rPr>
        <w:t xml:space="preserve">reatment of </w:t>
      </w:r>
      <w:r>
        <w:rPr>
          <w:noProof/>
          <w:lang w:val="en-US"/>
        </w:rPr>
        <w:t>a</w:t>
      </w:r>
      <w:r w:rsidRPr="001B7F70">
        <w:rPr>
          <w:noProof/>
          <w:lang w:val="en-US"/>
        </w:rPr>
        <w:t xml:space="preserve">dvanced </w:t>
      </w:r>
      <w:r>
        <w:rPr>
          <w:noProof/>
          <w:lang w:val="en-US"/>
        </w:rPr>
        <w:t>p</w:t>
      </w:r>
      <w:r w:rsidRPr="001B7F70">
        <w:rPr>
          <w:noProof/>
          <w:lang w:val="en-US"/>
        </w:rPr>
        <w:t xml:space="preserve">rimary </w:t>
      </w:r>
      <w:r>
        <w:rPr>
          <w:noProof/>
          <w:lang w:val="en-US"/>
        </w:rPr>
        <w:t>c</w:t>
      </w:r>
      <w:r w:rsidRPr="001B7F70">
        <w:rPr>
          <w:noProof/>
          <w:lang w:val="en-US"/>
        </w:rPr>
        <w:t>utaneous T‐</w:t>
      </w:r>
      <w:r>
        <w:rPr>
          <w:noProof/>
          <w:lang w:val="en-US"/>
        </w:rPr>
        <w:t>c</w:t>
      </w:r>
      <w:r w:rsidRPr="001B7F70">
        <w:rPr>
          <w:noProof/>
          <w:lang w:val="en-US"/>
        </w:rPr>
        <w:t xml:space="preserve">ell </w:t>
      </w:r>
      <w:r>
        <w:rPr>
          <w:noProof/>
          <w:lang w:val="en-US"/>
        </w:rPr>
        <w:t>l</w:t>
      </w:r>
      <w:r w:rsidRPr="001B7F70">
        <w:rPr>
          <w:noProof/>
          <w:lang w:val="en-US"/>
        </w:rPr>
        <w:t>ymphoma. Oncologist. 2007;</w:t>
      </w:r>
      <w:r>
        <w:rPr>
          <w:noProof/>
          <w:lang w:val="en-US"/>
        </w:rPr>
        <w:t xml:space="preserve"> </w:t>
      </w:r>
      <w:r w:rsidRPr="001B7F70">
        <w:rPr>
          <w:noProof/>
          <w:lang w:val="en-US"/>
        </w:rPr>
        <w:t>12</w:t>
      </w:r>
      <w:r>
        <w:rPr>
          <w:noProof/>
          <w:lang w:val="en-US"/>
        </w:rPr>
        <w:t xml:space="preserve"> </w:t>
      </w:r>
      <w:r w:rsidRPr="001B7F70">
        <w:rPr>
          <w:noProof/>
          <w:lang w:val="en-US"/>
        </w:rPr>
        <w:t>(10):</w:t>
      </w:r>
      <w:r>
        <w:rPr>
          <w:noProof/>
          <w:lang w:val="en-US"/>
        </w:rPr>
        <w:t xml:space="preserve"> </w:t>
      </w:r>
      <w:r w:rsidRPr="001B7F70">
        <w:rPr>
          <w:noProof/>
          <w:lang w:val="en-US"/>
        </w:rPr>
        <w:t>1247–</w:t>
      </w:r>
      <w:r>
        <w:rPr>
          <w:noProof/>
          <w:lang w:val="en-US"/>
        </w:rPr>
        <w:t>12</w:t>
      </w:r>
      <w:r w:rsidRPr="001B7F70">
        <w:rPr>
          <w:noProof/>
          <w:lang w:val="en-US"/>
        </w:rPr>
        <w:t>52. DOI:10.1634/theoncologist.12-10-1247</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Pr</w:t>
      </w:r>
      <w:r>
        <w:rPr>
          <w:noProof/>
          <w:lang w:val="en-US"/>
        </w:rPr>
        <w:t>ince H.M., Kim Y.H., Horwitz S.</w:t>
      </w:r>
      <w:r w:rsidRPr="001B7F70">
        <w:rPr>
          <w:noProof/>
          <w:lang w:val="en-US"/>
        </w:rPr>
        <w:t xml:space="preserve"> et al. Brentuximab vedotin or physician’s choice in CD30-positive cutaneous T-cell lymphoma (ALCANZA): an international, open-label, randomised, phase 3, multicentre trial. Lancet. 2017;</w:t>
      </w:r>
      <w:r>
        <w:rPr>
          <w:noProof/>
          <w:lang w:val="en-US"/>
        </w:rPr>
        <w:t xml:space="preserve"> </w:t>
      </w:r>
      <w:r w:rsidRPr="001B7F70">
        <w:rPr>
          <w:noProof/>
          <w:lang w:val="en-US"/>
        </w:rPr>
        <w:t>390</w:t>
      </w:r>
      <w:r>
        <w:rPr>
          <w:noProof/>
          <w:lang w:val="en-US"/>
        </w:rPr>
        <w:t xml:space="preserve"> </w:t>
      </w:r>
      <w:r w:rsidRPr="001B7F70">
        <w:rPr>
          <w:noProof/>
          <w:lang w:val="en-US"/>
        </w:rPr>
        <w:t>(10094):</w:t>
      </w:r>
      <w:r>
        <w:rPr>
          <w:noProof/>
          <w:lang w:val="en-US"/>
        </w:rPr>
        <w:t xml:space="preserve"> </w:t>
      </w:r>
      <w:r w:rsidRPr="001B7F70">
        <w:rPr>
          <w:noProof/>
          <w:lang w:val="en-US"/>
        </w:rPr>
        <w:t>555–</w:t>
      </w:r>
      <w:r>
        <w:rPr>
          <w:noProof/>
          <w:lang w:val="en-US"/>
        </w:rPr>
        <w:t>5</w:t>
      </w:r>
      <w:r w:rsidRPr="001B7F70">
        <w:rPr>
          <w:noProof/>
          <w:lang w:val="en-US"/>
        </w:rPr>
        <w:t>66. DOI:10.1016/S0140-6736(17)31266-7</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lastRenderedPageBreak/>
        <w:t>Gerami P., Guitart J. The spectrum of histopathologic and immunohistochemical findings in folliculotropic mycosis fungoides. Am J Surg Pathol. 2007;</w:t>
      </w:r>
      <w:r>
        <w:rPr>
          <w:noProof/>
          <w:lang w:val="en-US"/>
        </w:rPr>
        <w:t xml:space="preserve"> </w:t>
      </w:r>
      <w:r w:rsidRPr="001B7F70">
        <w:rPr>
          <w:noProof/>
          <w:lang w:val="en-US"/>
        </w:rPr>
        <w:t>31</w:t>
      </w:r>
      <w:r>
        <w:rPr>
          <w:noProof/>
          <w:lang w:val="en-US"/>
        </w:rPr>
        <w:t xml:space="preserve"> </w:t>
      </w:r>
      <w:r w:rsidRPr="001B7F70">
        <w:rPr>
          <w:noProof/>
          <w:lang w:val="en-US"/>
        </w:rPr>
        <w:t>(9):</w:t>
      </w:r>
      <w:r>
        <w:rPr>
          <w:noProof/>
          <w:lang w:val="en-US"/>
        </w:rPr>
        <w:t xml:space="preserve"> </w:t>
      </w:r>
      <w:r w:rsidRPr="001B7F70">
        <w:rPr>
          <w:noProof/>
          <w:lang w:val="en-US"/>
        </w:rPr>
        <w:t>1430–</w:t>
      </w:r>
      <w:r>
        <w:rPr>
          <w:noProof/>
          <w:lang w:val="en-US"/>
        </w:rPr>
        <w:t>143</w:t>
      </w:r>
      <w:r w:rsidRPr="001B7F70">
        <w:rPr>
          <w:noProof/>
          <w:lang w:val="en-US"/>
        </w:rPr>
        <w:t>8. DOI:10.1097/PAS.0b013e3180439bdc</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705229">
        <w:rPr>
          <w:noProof/>
          <w:lang w:val="en-US"/>
        </w:rPr>
        <w:t>Alpdogan O</w:t>
      </w:r>
      <w:r>
        <w:rPr>
          <w:noProof/>
          <w:lang w:val="en-US"/>
        </w:rPr>
        <w:t>.</w:t>
      </w:r>
      <w:r w:rsidRPr="00705229">
        <w:rPr>
          <w:noProof/>
          <w:lang w:val="en-US"/>
        </w:rPr>
        <w:t>, Kartan S</w:t>
      </w:r>
      <w:r>
        <w:rPr>
          <w:noProof/>
          <w:lang w:val="en-US"/>
        </w:rPr>
        <w:t>.</w:t>
      </w:r>
      <w:r w:rsidRPr="00705229">
        <w:rPr>
          <w:noProof/>
          <w:lang w:val="en-US"/>
        </w:rPr>
        <w:t>, Johnson W</w:t>
      </w:r>
      <w:r>
        <w:rPr>
          <w:noProof/>
          <w:lang w:val="en-US"/>
        </w:rPr>
        <w:t>.</w:t>
      </w:r>
      <w:r w:rsidRPr="00705229">
        <w:rPr>
          <w:noProof/>
          <w:lang w:val="en-US"/>
        </w:rPr>
        <w:t xml:space="preserve"> </w:t>
      </w:r>
      <w:r>
        <w:rPr>
          <w:noProof/>
          <w:lang w:val="en-US"/>
        </w:rPr>
        <w:t>et al</w:t>
      </w:r>
      <w:r w:rsidRPr="00705229">
        <w:rPr>
          <w:noProof/>
          <w:lang w:val="en-US"/>
        </w:rPr>
        <w:t>. Systemic therapy of cutaneous T-cell lymphoma (CTCL). Chin Clin Oncol. 2019;</w:t>
      </w:r>
      <w:r>
        <w:rPr>
          <w:noProof/>
          <w:lang w:val="en-US"/>
        </w:rPr>
        <w:t xml:space="preserve"> </w:t>
      </w:r>
      <w:r w:rsidRPr="00705229">
        <w:rPr>
          <w:noProof/>
          <w:lang w:val="en-US"/>
        </w:rPr>
        <w:t>8</w:t>
      </w:r>
      <w:r>
        <w:rPr>
          <w:noProof/>
          <w:lang w:val="en-US"/>
        </w:rPr>
        <w:t xml:space="preserve"> </w:t>
      </w:r>
      <w:r w:rsidRPr="00705229">
        <w:rPr>
          <w:noProof/>
          <w:lang w:val="en-US"/>
        </w:rPr>
        <w:t>(1):</w:t>
      </w:r>
      <w:r>
        <w:rPr>
          <w:noProof/>
          <w:lang w:val="en-US"/>
        </w:rPr>
        <w:t xml:space="preserve"> </w:t>
      </w:r>
      <w:r w:rsidRPr="00705229">
        <w:rPr>
          <w:noProof/>
          <w:lang w:val="en-US"/>
        </w:rPr>
        <w:t>10</w:t>
      </w:r>
      <w:r w:rsidRPr="001B7F70">
        <w:rPr>
          <w:noProof/>
          <w:lang w:val="en-US"/>
        </w:rPr>
        <w:t>. DOI:10.21037/cco.2019.01.02</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Swerd</w:t>
      </w:r>
      <w:r>
        <w:rPr>
          <w:noProof/>
          <w:lang w:val="en-US"/>
        </w:rPr>
        <w:t>low S.H., Campo E., Pileri S.A.</w:t>
      </w:r>
      <w:r w:rsidRPr="001B7F70">
        <w:rPr>
          <w:noProof/>
          <w:lang w:val="en-US"/>
        </w:rPr>
        <w:t xml:space="preserve"> et al. </w:t>
      </w:r>
      <w:r w:rsidRPr="00705229">
        <w:rPr>
          <w:noProof/>
          <w:lang w:val="en-US"/>
        </w:rPr>
        <w:t xml:space="preserve">The 2016 revision of the World Health Organization classification of lymphoid neoplasms. </w:t>
      </w:r>
      <w:r w:rsidRPr="00705229">
        <w:rPr>
          <w:noProof/>
        </w:rPr>
        <w:t>Blood. 2016;</w:t>
      </w:r>
      <w:r>
        <w:rPr>
          <w:noProof/>
          <w:lang w:val="en-US"/>
        </w:rPr>
        <w:t xml:space="preserve"> </w:t>
      </w:r>
      <w:r w:rsidRPr="00705229">
        <w:rPr>
          <w:noProof/>
        </w:rPr>
        <w:t>127</w:t>
      </w:r>
      <w:r>
        <w:rPr>
          <w:noProof/>
          <w:lang w:val="en-US"/>
        </w:rPr>
        <w:t xml:space="preserve"> </w:t>
      </w:r>
      <w:r w:rsidRPr="00705229">
        <w:rPr>
          <w:noProof/>
        </w:rPr>
        <w:t>(20):</w:t>
      </w:r>
      <w:r>
        <w:rPr>
          <w:noProof/>
          <w:lang w:val="en-US"/>
        </w:rPr>
        <w:t xml:space="preserve"> </w:t>
      </w:r>
      <w:r w:rsidRPr="00705229">
        <w:rPr>
          <w:noProof/>
        </w:rPr>
        <w:t>2375</w:t>
      </w:r>
      <w:r w:rsidRPr="001B7F70">
        <w:rPr>
          <w:noProof/>
          <w:lang w:val="en-US"/>
        </w:rPr>
        <w:t>–</w:t>
      </w:r>
      <w:r>
        <w:rPr>
          <w:noProof/>
          <w:lang w:val="en-US"/>
        </w:rPr>
        <w:t>23</w:t>
      </w:r>
      <w:r w:rsidRPr="00705229">
        <w:rPr>
          <w:noProof/>
        </w:rPr>
        <w:t>90.</w:t>
      </w:r>
      <w:r w:rsidRPr="001B7F70">
        <w:rPr>
          <w:noProof/>
          <w:lang w:val="en-US"/>
        </w:rPr>
        <w:t xml:space="preserve"> DOI:10.1182/blood-2016-01-643569</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G</w:t>
      </w:r>
      <w:r>
        <w:rPr>
          <w:noProof/>
          <w:lang w:val="en-US"/>
        </w:rPr>
        <w:t>uitart J., Kennedy J., Ronan S.</w:t>
      </w:r>
      <w:r w:rsidRPr="001B7F70">
        <w:rPr>
          <w:noProof/>
          <w:lang w:val="en-US"/>
        </w:rPr>
        <w:t xml:space="preserve"> et al. Histologic criteria for the diagnosis of mycosis fungoides: Proposal for a grading system to standardize pathology reporting. J Cutan Pathol. 2001;</w:t>
      </w:r>
      <w:r>
        <w:rPr>
          <w:noProof/>
          <w:lang w:val="en-US"/>
        </w:rPr>
        <w:t xml:space="preserve"> </w:t>
      </w:r>
      <w:r w:rsidRPr="001B7F70">
        <w:rPr>
          <w:noProof/>
          <w:lang w:val="en-US"/>
        </w:rPr>
        <w:t>28</w:t>
      </w:r>
      <w:r>
        <w:rPr>
          <w:noProof/>
          <w:lang w:val="en-US"/>
        </w:rPr>
        <w:t xml:space="preserve"> </w:t>
      </w:r>
      <w:r w:rsidRPr="001B7F70">
        <w:rPr>
          <w:noProof/>
          <w:lang w:val="en-US"/>
        </w:rPr>
        <w:t>(4):</w:t>
      </w:r>
      <w:r>
        <w:rPr>
          <w:noProof/>
          <w:lang w:val="en-US"/>
        </w:rPr>
        <w:t xml:space="preserve"> </w:t>
      </w:r>
      <w:r w:rsidRPr="001B7F70">
        <w:rPr>
          <w:noProof/>
          <w:lang w:val="en-US"/>
        </w:rPr>
        <w:t>174–</w:t>
      </w:r>
      <w:r>
        <w:rPr>
          <w:noProof/>
          <w:lang w:val="en-US"/>
        </w:rPr>
        <w:t>1</w:t>
      </w:r>
      <w:r w:rsidRPr="001B7F70">
        <w:rPr>
          <w:noProof/>
          <w:lang w:val="en-US"/>
        </w:rPr>
        <w:t>83. DOI:10.1034/j.1600-0560.2001.028004174.x</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Raghavan S.S., Kim J. Histopathologic approach to epidermotropic lymphocytic infiltrates. </w:t>
      </w:r>
      <w:r w:rsidRPr="00705229">
        <w:rPr>
          <w:noProof/>
        </w:rPr>
        <w:t>Semin Cutan Med Surg. 2018;</w:t>
      </w:r>
      <w:r>
        <w:rPr>
          <w:noProof/>
          <w:lang w:val="en-US"/>
        </w:rPr>
        <w:t xml:space="preserve"> </w:t>
      </w:r>
      <w:r w:rsidRPr="00705229">
        <w:rPr>
          <w:noProof/>
        </w:rPr>
        <w:t>37</w:t>
      </w:r>
      <w:r>
        <w:rPr>
          <w:noProof/>
          <w:lang w:val="en-US"/>
        </w:rPr>
        <w:t xml:space="preserve"> </w:t>
      </w:r>
      <w:r w:rsidRPr="00705229">
        <w:rPr>
          <w:noProof/>
        </w:rPr>
        <w:t>(1):</w:t>
      </w:r>
      <w:r>
        <w:rPr>
          <w:noProof/>
          <w:lang w:val="en-US"/>
        </w:rPr>
        <w:t xml:space="preserve"> </w:t>
      </w:r>
      <w:r w:rsidRPr="00705229">
        <w:rPr>
          <w:noProof/>
        </w:rPr>
        <w:t>56</w:t>
      </w:r>
      <w:r w:rsidRPr="001B7F70">
        <w:rPr>
          <w:noProof/>
          <w:lang w:val="en-US"/>
        </w:rPr>
        <w:t>–</w:t>
      </w:r>
      <w:r w:rsidRPr="00705229">
        <w:rPr>
          <w:noProof/>
        </w:rPr>
        <w:t>60.</w:t>
      </w:r>
      <w:r w:rsidRPr="001B7F70">
        <w:rPr>
          <w:noProof/>
          <w:lang w:val="en-US"/>
        </w:rPr>
        <w:t xml:space="preserve"> DOI:10.12788/j.sder.2018.003</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Charli-Joseph Y., Toussaint-Caire S., Lome-Maldonado C. et al. Approach to dermal-based lymphoid infiltrates and proliferations. Semin Cutan Med Surg. 2018;</w:t>
      </w:r>
      <w:r>
        <w:rPr>
          <w:noProof/>
          <w:lang w:val="en-US"/>
        </w:rPr>
        <w:t xml:space="preserve"> </w:t>
      </w:r>
      <w:r w:rsidRPr="001B7F70">
        <w:rPr>
          <w:noProof/>
          <w:lang w:val="en-US"/>
        </w:rPr>
        <w:t>37</w:t>
      </w:r>
      <w:r>
        <w:rPr>
          <w:noProof/>
          <w:lang w:val="en-US"/>
        </w:rPr>
        <w:t xml:space="preserve"> </w:t>
      </w:r>
      <w:r w:rsidRPr="001B7F70">
        <w:rPr>
          <w:noProof/>
          <w:lang w:val="en-US"/>
        </w:rPr>
        <w:t>(1):</w:t>
      </w:r>
      <w:r>
        <w:rPr>
          <w:noProof/>
          <w:lang w:val="en-US"/>
        </w:rPr>
        <w:t xml:space="preserve"> </w:t>
      </w:r>
      <w:r w:rsidRPr="001B7F70">
        <w:rPr>
          <w:noProof/>
          <w:lang w:val="en-US"/>
        </w:rPr>
        <w:t>61–74. DOI:10.12788/j.sder.2018.015</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50144D">
        <w:rPr>
          <w:noProof/>
          <w:lang w:val="en-US"/>
        </w:rPr>
        <w:t>Kempf W</w:t>
      </w:r>
      <w:r>
        <w:rPr>
          <w:noProof/>
          <w:lang w:val="en-US"/>
        </w:rPr>
        <w:t>.</w:t>
      </w:r>
      <w:r w:rsidRPr="0050144D">
        <w:rPr>
          <w:noProof/>
          <w:lang w:val="en-US"/>
        </w:rPr>
        <w:t xml:space="preserve">, Mitteldorf C. Pathologic </w:t>
      </w:r>
      <w:r>
        <w:rPr>
          <w:noProof/>
          <w:lang w:val="en-US"/>
        </w:rPr>
        <w:t>d</w:t>
      </w:r>
      <w:r w:rsidRPr="0050144D">
        <w:rPr>
          <w:noProof/>
          <w:lang w:val="en-US"/>
        </w:rPr>
        <w:t xml:space="preserve">iagnosis of </w:t>
      </w:r>
      <w:r>
        <w:rPr>
          <w:noProof/>
          <w:lang w:val="en-US"/>
        </w:rPr>
        <w:t>c</w:t>
      </w:r>
      <w:r w:rsidRPr="0050144D">
        <w:rPr>
          <w:noProof/>
          <w:lang w:val="en-US"/>
        </w:rPr>
        <w:t xml:space="preserve">utaneous </w:t>
      </w:r>
      <w:r>
        <w:rPr>
          <w:noProof/>
          <w:lang w:val="en-US"/>
        </w:rPr>
        <w:t>l</w:t>
      </w:r>
      <w:r w:rsidRPr="0050144D">
        <w:rPr>
          <w:noProof/>
          <w:lang w:val="en-US"/>
        </w:rPr>
        <w:t>ymphomas. Dermatol Clin. 2015;</w:t>
      </w:r>
      <w:r>
        <w:rPr>
          <w:noProof/>
          <w:lang w:val="en-US"/>
        </w:rPr>
        <w:t xml:space="preserve"> </w:t>
      </w:r>
      <w:r w:rsidRPr="0050144D">
        <w:rPr>
          <w:noProof/>
          <w:lang w:val="en-US"/>
        </w:rPr>
        <w:t>33</w:t>
      </w:r>
      <w:r>
        <w:rPr>
          <w:noProof/>
          <w:lang w:val="en-US"/>
        </w:rPr>
        <w:t xml:space="preserve"> </w:t>
      </w:r>
      <w:r w:rsidRPr="0050144D">
        <w:rPr>
          <w:noProof/>
          <w:lang w:val="en-US"/>
        </w:rPr>
        <w:t>(4):</w:t>
      </w:r>
      <w:r>
        <w:rPr>
          <w:noProof/>
          <w:lang w:val="en-US"/>
        </w:rPr>
        <w:t xml:space="preserve"> </w:t>
      </w:r>
      <w:r w:rsidRPr="0050144D">
        <w:rPr>
          <w:noProof/>
          <w:lang w:val="en-US"/>
        </w:rPr>
        <w:t>655</w:t>
      </w:r>
      <w:r w:rsidRPr="001B7F70">
        <w:rPr>
          <w:noProof/>
          <w:lang w:val="en-US"/>
        </w:rPr>
        <w:t>–</w:t>
      </w:r>
      <w:r>
        <w:rPr>
          <w:noProof/>
          <w:lang w:val="en-US"/>
        </w:rPr>
        <w:t>6</w:t>
      </w:r>
      <w:r w:rsidRPr="0050144D">
        <w:rPr>
          <w:noProof/>
          <w:lang w:val="en-US"/>
        </w:rPr>
        <w:t>81.</w:t>
      </w:r>
      <w:r w:rsidRPr="001B7F70">
        <w:rPr>
          <w:noProof/>
          <w:lang w:val="en-US"/>
        </w:rPr>
        <w:t xml:space="preserve"> DOI:</w:t>
      </w:r>
      <w:r>
        <w:rPr>
          <w:noProof/>
          <w:lang w:val="en-US"/>
        </w:rPr>
        <w:t xml:space="preserve"> </w:t>
      </w:r>
      <w:r w:rsidRPr="001B7F70">
        <w:rPr>
          <w:noProof/>
          <w:lang w:val="en-US"/>
        </w:rPr>
        <w:t>10.1016/j.det.2015.05.002</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Vanderg</w:t>
      </w:r>
      <w:r>
        <w:rPr>
          <w:noProof/>
          <w:lang w:val="en-US"/>
        </w:rPr>
        <w:t>riff T., Nezafati K.A., Susa J.</w:t>
      </w:r>
      <w:r w:rsidRPr="001B7F70">
        <w:rPr>
          <w:noProof/>
          <w:lang w:val="en-US"/>
        </w:rPr>
        <w:t xml:space="preserve"> et al. Defining early mycosis fungoides: Validation of a diagnostic algorithm proposed by the International Society for Cutaneous Lymphomas. J Cutan Pathol. 2015;</w:t>
      </w:r>
      <w:r>
        <w:rPr>
          <w:noProof/>
          <w:lang w:val="en-US"/>
        </w:rPr>
        <w:t xml:space="preserve"> </w:t>
      </w:r>
      <w:r w:rsidRPr="001B7F70">
        <w:rPr>
          <w:noProof/>
          <w:lang w:val="en-US"/>
        </w:rPr>
        <w:t>42</w:t>
      </w:r>
      <w:r>
        <w:rPr>
          <w:noProof/>
          <w:lang w:val="en-US"/>
        </w:rPr>
        <w:t xml:space="preserve"> </w:t>
      </w:r>
      <w:r w:rsidRPr="001B7F70">
        <w:rPr>
          <w:noProof/>
          <w:lang w:val="en-US"/>
        </w:rPr>
        <w:t>(5):</w:t>
      </w:r>
      <w:r>
        <w:rPr>
          <w:noProof/>
          <w:lang w:val="en-US"/>
        </w:rPr>
        <w:t xml:space="preserve"> </w:t>
      </w:r>
      <w:r w:rsidRPr="001B7F70">
        <w:rPr>
          <w:noProof/>
          <w:lang w:val="en-US"/>
        </w:rPr>
        <w:t>318–</w:t>
      </w:r>
      <w:r>
        <w:rPr>
          <w:noProof/>
          <w:lang w:val="en-US"/>
        </w:rPr>
        <w:t>3</w:t>
      </w:r>
      <w:r w:rsidRPr="001B7F70">
        <w:rPr>
          <w:noProof/>
          <w:lang w:val="en-US"/>
        </w:rPr>
        <w:t>28. DOI:10.1111/cup.12470</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Pimpine</w:t>
      </w:r>
      <w:r>
        <w:rPr>
          <w:noProof/>
          <w:lang w:val="en-US"/>
        </w:rPr>
        <w:t>lli N., Olsen E.A., Santucci M.</w:t>
      </w:r>
      <w:r w:rsidRPr="001B7F70">
        <w:rPr>
          <w:noProof/>
          <w:lang w:val="en-US"/>
        </w:rPr>
        <w:t xml:space="preserve"> et al. Defining early mycosis fungoides. J Am Acad Dermatol. 2005;</w:t>
      </w:r>
      <w:r>
        <w:rPr>
          <w:noProof/>
          <w:lang w:val="en-US"/>
        </w:rPr>
        <w:t xml:space="preserve"> </w:t>
      </w:r>
      <w:r w:rsidRPr="001B7F70">
        <w:rPr>
          <w:noProof/>
          <w:lang w:val="en-US"/>
        </w:rPr>
        <w:t>53</w:t>
      </w:r>
      <w:r>
        <w:rPr>
          <w:noProof/>
          <w:lang w:val="en-US"/>
        </w:rPr>
        <w:t xml:space="preserve"> </w:t>
      </w:r>
      <w:r w:rsidRPr="001B7F70">
        <w:rPr>
          <w:noProof/>
          <w:lang w:val="en-US"/>
        </w:rPr>
        <w:t>(6):</w:t>
      </w:r>
      <w:r>
        <w:rPr>
          <w:noProof/>
          <w:lang w:val="en-US"/>
        </w:rPr>
        <w:t xml:space="preserve"> </w:t>
      </w:r>
      <w:r w:rsidRPr="001B7F70">
        <w:rPr>
          <w:noProof/>
          <w:lang w:val="en-US"/>
        </w:rPr>
        <w:t>1053–</w:t>
      </w:r>
      <w:r>
        <w:rPr>
          <w:noProof/>
          <w:lang w:val="en-US"/>
        </w:rPr>
        <w:t>10</w:t>
      </w:r>
      <w:r w:rsidRPr="001B7F70">
        <w:rPr>
          <w:noProof/>
          <w:lang w:val="en-US"/>
        </w:rPr>
        <w:t>63. DOI:10.1016/j.jaad.2005.08.057</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Kash N., Massone C., Fink-Puches R. et al. Phenotypic variation in different lesions of mycosis fungoides biopsied within a short period of time from the same patient. Am J Dermatopathol. 2016;</w:t>
      </w:r>
      <w:r>
        <w:rPr>
          <w:noProof/>
          <w:lang w:val="en-US"/>
        </w:rPr>
        <w:t xml:space="preserve"> </w:t>
      </w:r>
      <w:r w:rsidRPr="001B7F70">
        <w:rPr>
          <w:noProof/>
          <w:lang w:val="en-US"/>
        </w:rPr>
        <w:t>38</w:t>
      </w:r>
      <w:r>
        <w:rPr>
          <w:noProof/>
          <w:lang w:val="en-US"/>
        </w:rPr>
        <w:t xml:space="preserve"> </w:t>
      </w:r>
      <w:r w:rsidRPr="001B7F70">
        <w:rPr>
          <w:noProof/>
          <w:lang w:val="en-US"/>
        </w:rPr>
        <w:t>(7):</w:t>
      </w:r>
      <w:r>
        <w:rPr>
          <w:noProof/>
          <w:lang w:val="en-US"/>
        </w:rPr>
        <w:t xml:space="preserve"> </w:t>
      </w:r>
      <w:r w:rsidRPr="001B7F70">
        <w:rPr>
          <w:noProof/>
          <w:lang w:val="en-US"/>
        </w:rPr>
        <w:t>541–</w:t>
      </w:r>
      <w:r>
        <w:rPr>
          <w:noProof/>
          <w:lang w:val="en-US"/>
        </w:rPr>
        <w:t>54</w:t>
      </w:r>
      <w:r w:rsidRPr="001B7F70">
        <w:rPr>
          <w:noProof/>
          <w:lang w:val="en-US"/>
        </w:rPr>
        <w:t>5. DOI:10.1097/DAD.0000000000000493</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De Masson A., Batti</w:t>
      </w:r>
      <w:r>
        <w:rPr>
          <w:noProof/>
          <w:lang w:val="en-US"/>
        </w:rPr>
        <w:t>stella M., Vignon-Pennamen M.D.</w:t>
      </w:r>
      <w:r w:rsidRPr="001B7F70">
        <w:rPr>
          <w:noProof/>
          <w:lang w:val="en-US"/>
        </w:rPr>
        <w:t xml:space="preserve"> et al. Syringotropic mycosis fungoides: Clinical and histologic features, response to treatment, and outcome in 19 patients. J Am Acad Dermatol. 2014;</w:t>
      </w:r>
      <w:r>
        <w:rPr>
          <w:noProof/>
          <w:lang w:val="en-US"/>
        </w:rPr>
        <w:t xml:space="preserve"> </w:t>
      </w:r>
      <w:r w:rsidRPr="001B7F70">
        <w:rPr>
          <w:noProof/>
          <w:lang w:val="en-US"/>
        </w:rPr>
        <w:t>71</w:t>
      </w:r>
      <w:r>
        <w:rPr>
          <w:noProof/>
          <w:lang w:val="en-US"/>
        </w:rPr>
        <w:t xml:space="preserve"> </w:t>
      </w:r>
      <w:r w:rsidRPr="001B7F70">
        <w:rPr>
          <w:noProof/>
          <w:lang w:val="en-US"/>
        </w:rPr>
        <w:t>(5):</w:t>
      </w:r>
      <w:r>
        <w:rPr>
          <w:noProof/>
          <w:lang w:val="en-US"/>
        </w:rPr>
        <w:t xml:space="preserve"> </w:t>
      </w:r>
      <w:r w:rsidRPr="001B7F70">
        <w:rPr>
          <w:noProof/>
          <w:lang w:val="en-US"/>
        </w:rPr>
        <w:t>926–</w:t>
      </w:r>
      <w:r>
        <w:rPr>
          <w:noProof/>
          <w:lang w:val="en-US"/>
        </w:rPr>
        <w:t>9</w:t>
      </w:r>
      <w:r w:rsidRPr="001B7F70">
        <w:rPr>
          <w:noProof/>
          <w:lang w:val="en-US"/>
        </w:rPr>
        <w:t>34. DOI:10.1016/j.jaad.2014.06.033</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Pr>
          <w:noProof/>
          <w:lang w:val="en-US"/>
        </w:rPr>
        <w:t>Zhang Y., Wang Y., Yu R.</w:t>
      </w:r>
      <w:r w:rsidRPr="001B7F70">
        <w:rPr>
          <w:noProof/>
          <w:lang w:val="en-US"/>
        </w:rPr>
        <w:t xml:space="preserve"> et al. Molecular markers of early-stage mycosis fungoides. J Invest Dermatol. 2012;</w:t>
      </w:r>
      <w:r>
        <w:rPr>
          <w:noProof/>
          <w:lang w:val="en-US"/>
        </w:rPr>
        <w:t xml:space="preserve"> </w:t>
      </w:r>
      <w:r w:rsidRPr="001B7F70">
        <w:rPr>
          <w:noProof/>
          <w:lang w:val="en-US"/>
        </w:rPr>
        <w:t>132</w:t>
      </w:r>
      <w:r>
        <w:rPr>
          <w:noProof/>
          <w:lang w:val="en-US"/>
        </w:rPr>
        <w:t xml:space="preserve"> </w:t>
      </w:r>
      <w:r w:rsidRPr="001B7F70">
        <w:rPr>
          <w:noProof/>
          <w:lang w:val="en-US"/>
        </w:rPr>
        <w:t>(6):</w:t>
      </w:r>
      <w:r>
        <w:rPr>
          <w:noProof/>
          <w:lang w:val="en-US"/>
        </w:rPr>
        <w:t xml:space="preserve"> </w:t>
      </w:r>
      <w:r w:rsidRPr="001B7F70">
        <w:rPr>
          <w:noProof/>
          <w:lang w:val="en-US"/>
        </w:rPr>
        <w:t>1698–</w:t>
      </w:r>
      <w:r>
        <w:rPr>
          <w:noProof/>
          <w:lang w:val="en-US"/>
        </w:rPr>
        <w:t>1</w:t>
      </w:r>
      <w:r w:rsidRPr="001B7F70">
        <w:rPr>
          <w:noProof/>
          <w:lang w:val="en-US"/>
        </w:rPr>
        <w:t>706. DOI:10.1038/jid.2012.13</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Haghighi B., Smoller B.R., LeBoit P.E. et al. Pagetoid reticulosis (Woringer-Kolopp disease): An immunophenotypic, molecular, and clinicopathologic study. Mod Pathol. 2000;</w:t>
      </w:r>
      <w:r>
        <w:rPr>
          <w:noProof/>
          <w:lang w:val="en-US"/>
        </w:rPr>
        <w:t xml:space="preserve"> </w:t>
      </w:r>
      <w:r w:rsidRPr="001B7F70">
        <w:rPr>
          <w:noProof/>
          <w:lang w:val="en-US"/>
        </w:rPr>
        <w:t>13</w:t>
      </w:r>
      <w:r>
        <w:rPr>
          <w:noProof/>
          <w:lang w:val="en-US"/>
        </w:rPr>
        <w:t xml:space="preserve"> </w:t>
      </w:r>
      <w:r w:rsidRPr="001B7F70">
        <w:rPr>
          <w:noProof/>
          <w:lang w:val="en-US"/>
        </w:rPr>
        <w:t>(5):</w:t>
      </w:r>
      <w:r>
        <w:rPr>
          <w:noProof/>
          <w:lang w:val="en-US"/>
        </w:rPr>
        <w:t xml:space="preserve"> </w:t>
      </w:r>
      <w:r w:rsidRPr="001B7F70">
        <w:rPr>
          <w:noProof/>
          <w:lang w:val="en-US"/>
        </w:rPr>
        <w:t>502–</w:t>
      </w:r>
      <w:r>
        <w:rPr>
          <w:noProof/>
          <w:lang w:val="en-US"/>
        </w:rPr>
        <w:t>5</w:t>
      </w:r>
      <w:r w:rsidRPr="001B7F70">
        <w:rPr>
          <w:noProof/>
          <w:lang w:val="en-US"/>
        </w:rPr>
        <w:t>10. DOI:10.1038/modpathol.3880088</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lastRenderedPageBreak/>
        <w:t>Haththotu</w:t>
      </w:r>
      <w:r>
        <w:rPr>
          <w:noProof/>
          <w:lang w:val="en-US"/>
        </w:rPr>
        <w:t>wa R., Zilinskiene L., Oliff J.</w:t>
      </w:r>
      <w:r w:rsidRPr="001B7F70">
        <w:rPr>
          <w:noProof/>
          <w:lang w:val="en-US"/>
        </w:rPr>
        <w:t xml:space="preserve"> et al. Biopsy correlation of surface area vs. single‐axis measurements on computed tomography scan of lymph nodes in patients with erythrodermic mycosis fungoides and Sézary syndrome. Br J Dermatol. 2017;</w:t>
      </w:r>
      <w:r>
        <w:rPr>
          <w:noProof/>
          <w:lang w:val="en-US"/>
        </w:rPr>
        <w:t xml:space="preserve"> </w:t>
      </w:r>
      <w:r w:rsidRPr="001B7F70">
        <w:rPr>
          <w:noProof/>
          <w:lang w:val="en-US"/>
        </w:rPr>
        <w:t>177</w:t>
      </w:r>
      <w:r>
        <w:rPr>
          <w:noProof/>
          <w:lang w:val="en-US"/>
        </w:rPr>
        <w:t xml:space="preserve"> </w:t>
      </w:r>
      <w:r w:rsidRPr="001B7F70">
        <w:rPr>
          <w:noProof/>
          <w:lang w:val="en-US"/>
        </w:rPr>
        <w:t>(3):</w:t>
      </w:r>
      <w:r>
        <w:rPr>
          <w:noProof/>
          <w:lang w:val="en-US"/>
        </w:rPr>
        <w:t xml:space="preserve"> </w:t>
      </w:r>
      <w:r w:rsidRPr="001B7F70">
        <w:rPr>
          <w:noProof/>
          <w:lang w:val="en-US"/>
        </w:rPr>
        <w:t>877–</w:t>
      </w:r>
      <w:r>
        <w:rPr>
          <w:noProof/>
          <w:lang w:val="en-US"/>
        </w:rPr>
        <w:t>87</w:t>
      </w:r>
      <w:r w:rsidRPr="001B7F70">
        <w:rPr>
          <w:noProof/>
          <w:lang w:val="en-US"/>
        </w:rPr>
        <w:t>8. DOI:10.1111/bjd.15266</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Salhany K.E., Greer J.P., Cousar J.B. et al. Marrow involvement in cutaneous T-cell lymphoma. A clinicopathologic study of 60 cases. Am J Clin Pathol. 1989;</w:t>
      </w:r>
      <w:r>
        <w:rPr>
          <w:noProof/>
          <w:lang w:val="en-US"/>
        </w:rPr>
        <w:t xml:space="preserve"> </w:t>
      </w:r>
      <w:r w:rsidRPr="001B7F70">
        <w:rPr>
          <w:noProof/>
          <w:lang w:val="en-US"/>
        </w:rPr>
        <w:t>92</w:t>
      </w:r>
      <w:r>
        <w:rPr>
          <w:noProof/>
          <w:lang w:val="en-US"/>
        </w:rPr>
        <w:t xml:space="preserve"> </w:t>
      </w:r>
      <w:r w:rsidRPr="001B7F70">
        <w:rPr>
          <w:noProof/>
          <w:lang w:val="en-US"/>
        </w:rPr>
        <w:t>(6):</w:t>
      </w:r>
      <w:r>
        <w:rPr>
          <w:noProof/>
          <w:lang w:val="en-US"/>
        </w:rPr>
        <w:t xml:space="preserve"> </w:t>
      </w:r>
      <w:r w:rsidRPr="001B7F70">
        <w:rPr>
          <w:noProof/>
          <w:lang w:val="en-US"/>
        </w:rPr>
        <w:t>747–</w:t>
      </w:r>
      <w:r>
        <w:rPr>
          <w:noProof/>
          <w:lang w:val="en-US"/>
        </w:rPr>
        <w:t>7</w:t>
      </w:r>
      <w:r w:rsidRPr="001B7F70">
        <w:rPr>
          <w:noProof/>
          <w:lang w:val="en-US"/>
        </w:rPr>
        <w:t>54. DOI:10.1093/ajcp/92.6.747</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Horna P., Wang S</w:t>
      </w:r>
      <w:r>
        <w:rPr>
          <w:noProof/>
          <w:lang w:val="en-US"/>
        </w:rPr>
        <w:t>.A., Wolniak K.L.</w:t>
      </w:r>
      <w:r w:rsidRPr="001B7F70">
        <w:rPr>
          <w:noProof/>
          <w:lang w:val="en-US"/>
        </w:rPr>
        <w:t xml:space="preserve"> et al. </w:t>
      </w:r>
      <w:r w:rsidRPr="0050144D">
        <w:rPr>
          <w:noProof/>
          <w:lang w:val="en-US"/>
        </w:rPr>
        <w:t xml:space="preserve">Flow cytometric evaluation of peripheral blood for suspected Sézary syndrome or mycosis fungoides: International guidelines for assay characteristics. </w:t>
      </w:r>
      <w:r w:rsidRPr="0050144D">
        <w:rPr>
          <w:noProof/>
        </w:rPr>
        <w:t>Cytometry B Clin Cytom. 2021</w:t>
      </w:r>
      <w:r w:rsidRPr="001B7F70">
        <w:rPr>
          <w:noProof/>
          <w:lang w:val="en-US"/>
        </w:rPr>
        <w:t>;</w:t>
      </w:r>
      <w:r>
        <w:rPr>
          <w:noProof/>
          <w:lang w:val="en-US"/>
        </w:rPr>
        <w:t xml:space="preserve"> </w:t>
      </w:r>
      <w:r w:rsidRPr="001B7F70">
        <w:rPr>
          <w:noProof/>
          <w:lang w:val="en-US"/>
        </w:rPr>
        <w:t>100</w:t>
      </w:r>
      <w:r>
        <w:rPr>
          <w:noProof/>
          <w:lang w:val="en-US"/>
        </w:rPr>
        <w:t xml:space="preserve"> </w:t>
      </w:r>
      <w:r w:rsidRPr="001B7F70">
        <w:rPr>
          <w:noProof/>
          <w:lang w:val="en-US"/>
        </w:rPr>
        <w:t>(2):</w:t>
      </w:r>
      <w:r>
        <w:rPr>
          <w:noProof/>
          <w:lang w:val="en-US"/>
        </w:rPr>
        <w:t xml:space="preserve"> </w:t>
      </w:r>
      <w:r w:rsidRPr="001B7F70">
        <w:rPr>
          <w:noProof/>
          <w:lang w:val="en-US"/>
        </w:rPr>
        <w:t>142–</w:t>
      </w:r>
      <w:r>
        <w:rPr>
          <w:noProof/>
          <w:lang w:val="en-US"/>
        </w:rPr>
        <w:t>1</w:t>
      </w:r>
      <w:r w:rsidRPr="001B7F70">
        <w:rPr>
          <w:noProof/>
          <w:lang w:val="en-US"/>
        </w:rPr>
        <w:t>55. DOI:10.1002/cyto.b.21878</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Kim</w:t>
      </w:r>
      <w:r>
        <w:rPr>
          <w:noProof/>
          <w:lang w:val="en-US"/>
        </w:rPr>
        <w:t xml:space="preserve"> E.J., Hess S., Richardson S.K.</w:t>
      </w:r>
      <w:r w:rsidRPr="001B7F70">
        <w:rPr>
          <w:noProof/>
          <w:lang w:val="en-US"/>
        </w:rPr>
        <w:t xml:space="preserve"> et al. Immunopathogenesis and therapy of cutaneous T cell lymphoma. J Clin Invest. 2005;</w:t>
      </w:r>
      <w:r>
        <w:rPr>
          <w:noProof/>
          <w:lang w:val="en-US"/>
        </w:rPr>
        <w:t xml:space="preserve"> </w:t>
      </w:r>
      <w:r w:rsidRPr="001B7F70">
        <w:rPr>
          <w:noProof/>
          <w:lang w:val="en-US"/>
        </w:rPr>
        <w:t>115</w:t>
      </w:r>
      <w:r>
        <w:rPr>
          <w:noProof/>
          <w:lang w:val="en-US"/>
        </w:rPr>
        <w:t xml:space="preserve"> </w:t>
      </w:r>
      <w:r w:rsidRPr="001B7F70">
        <w:rPr>
          <w:noProof/>
          <w:lang w:val="en-US"/>
        </w:rPr>
        <w:t>(4):</w:t>
      </w:r>
      <w:r>
        <w:rPr>
          <w:noProof/>
          <w:lang w:val="en-US"/>
        </w:rPr>
        <w:t xml:space="preserve"> </w:t>
      </w:r>
      <w:r w:rsidRPr="001B7F70">
        <w:rPr>
          <w:noProof/>
          <w:lang w:val="en-US"/>
        </w:rPr>
        <w:t>798–812. DOI:10.1172/jci24826</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50144D">
        <w:rPr>
          <w:noProof/>
          <w:lang w:val="en-US"/>
        </w:rPr>
        <w:t>Zackheim H</w:t>
      </w:r>
      <w:r>
        <w:rPr>
          <w:noProof/>
          <w:lang w:val="en-US"/>
        </w:rPr>
        <w:t>.</w:t>
      </w:r>
      <w:r w:rsidRPr="0050144D">
        <w:rPr>
          <w:noProof/>
          <w:lang w:val="en-US"/>
        </w:rPr>
        <w:t>S. Treatment of patch-stage mycosis fungoides with topical corticosteroids. Dermatol Ther. 2003;</w:t>
      </w:r>
      <w:r>
        <w:rPr>
          <w:noProof/>
          <w:lang w:val="en-US"/>
        </w:rPr>
        <w:t xml:space="preserve"> </w:t>
      </w:r>
      <w:r w:rsidRPr="0050144D">
        <w:rPr>
          <w:noProof/>
          <w:lang w:val="en-US"/>
        </w:rPr>
        <w:t>16</w:t>
      </w:r>
      <w:r>
        <w:rPr>
          <w:noProof/>
          <w:lang w:val="en-US"/>
        </w:rPr>
        <w:t xml:space="preserve"> </w:t>
      </w:r>
      <w:r w:rsidRPr="0050144D">
        <w:rPr>
          <w:noProof/>
          <w:lang w:val="en-US"/>
        </w:rPr>
        <w:t>(4):</w:t>
      </w:r>
      <w:r>
        <w:rPr>
          <w:noProof/>
          <w:lang w:val="en-US"/>
        </w:rPr>
        <w:t xml:space="preserve"> </w:t>
      </w:r>
      <w:r w:rsidRPr="0050144D">
        <w:rPr>
          <w:noProof/>
          <w:lang w:val="en-US"/>
        </w:rPr>
        <w:t>283</w:t>
      </w:r>
      <w:r w:rsidRPr="001B7F70">
        <w:rPr>
          <w:noProof/>
          <w:lang w:val="en-US"/>
        </w:rPr>
        <w:t>–</w:t>
      </w:r>
      <w:r>
        <w:rPr>
          <w:noProof/>
          <w:lang w:val="en-US"/>
        </w:rPr>
        <w:t>28</w:t>
      </w:r>
      <w:r w:rsidRPr="0050144D">
        <w:rPr>
          <w:noProof/>
          <w:lang w:val="en-US"/>
        </w:rPr>
        <w:t>7</w:t>
      </w:r>
      <w:r w:rsidRPr="001B7F70">
        <w:rPr>
          <w:noProof/>
          <w:lang w:val="en-US"/>
        </w:rPr>
        <w:t>. DOI:10.1111/j.1396-0296.2003.01639.x</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Diederen P.V., Van Weelden H., Sanders C.J. et al. Narrowband UVB and psoralen-UVA in the treatment of early-stage mycosis fungoides: A retrospective study. J Am Acad Dermatol. 2003;</w:t>
      </w:r>
      <w:r>
        <w:rPr>
          <w:noProof/>
          <w:lang w:val="en-US"/>
        </w:rPr>
        <w:t xml:space="preserve"> </w:t>
      </w:r>
      <w:r w:rsidRPr="001B7F70">
        <w:rPr>
          <w:noProof/>
          <w:lang w:val="en-US"/>
        </w:rPr>
        <w:t>48</w:t>
      </w:r>
      <w:r>
        <w:rPr>
          <w:noProof/>
          <w:lang w:val="en-US"/>
        </w:rPr>
        <w:t xml:space="preserve"> </w:t>
      </w:r>
      <w:r w:rsidRPr="001B7F70">
        <w:rPr>
          <w:noProof/>
          <w:lang w:val="en-US"/>
        </w:rPr>
        <w:t>(2):</w:t>
      </w:r>
      <w:r>
        <w:rPr>
          <w:noProof/>
          <w:lang w:val="en-US"/>
        </w:rPr>
        <w:t xml:space="preserve"> </w:t>
      </w:r>
      <w:r w:rsidRPr="001B7F70">
        <w:rPr>
          <w:noProof/>
          <w:lang w:val="en-US"/>
        </w:rPr>
        <w:t>215–</w:t>
      </w:r>
      <w:r>
        <w:rPr>
          <w:noProof/>
          <w:lang w:val="en-US"/>
        </w:rPr>
        <w:t>21</w:t>
      </w:r>
      <w:r w:rsidRPr="001B7F70">
        <w:rPr>
          <w:noProof/>
          <w:lang w:val="en-US"/>
        </w:rPr>
        <w:t>9. DOI:10.1067/mjd.2003.80</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Gathers</w:t>
      </w:r>
      <w:r>
        <w:rPr>
          <w:noProof/>
          <w:lang w:val="en-US"/>
        </w:rPr>
        <w:t xml:space="preserve"> R.C., Scherschun L., Malick F.</w:t>
      </w:r>
      <w:r w:rsidRPr="001B7F70">
        <w:rPr>
          <w:noProof/>
          <w:lang w:val="en-US"/>
        </w:rPr>
        <w:t xml:space="preserve"> et al. Narrowband UVB phototherapy for early-stage mycosis fungoides. J Am Acad Dermatol. 2002;</w:t>
      </w:r>
      <w:r>
        <w:rPr>
          <w:noProof/>
        </w:rPr>
        <w:t xml:space="preserve"> </w:t>
      </w:r>
      <w:r w:rsidRPr="001B7F70">
        <w:rPr>
          <w:noProof/>
          <w:lang w:val="en-US"/>
        </w:rPr>
        <w:t>47</w:t>
      </w:r>
      <w:r>
        <w:rPr>
          <w:noProof/>
        </w:rPr>
        <w:t xml:space="preserve"> </w:t>
      </w:r>
      <w:r w:rsidRPr="001B7F70">
        <w:rPr>
          <w:noProof/>
          <w:lang w:val="en-US"/>
        </w:rPr>
        <w:t>(2):</w:t>
      </w:r>
      <w:r>
        <w:rPr>
          <w:noProof/>
        </w:rPr>
        <w:t xml:space="preserve"> </w:t>
      </w:r>
      <w:r w:rsidRPr="001B7F70">
        <w:rPr>
          <w:noProof/>
          <w:lang w:val="en-US"/>
        </w:rPr>
        <w:t>191–</w:t>
      </w:r>
      <w:r>
        <w:rPr>
          <w:noProof/>
        </w:rPr>
        <w:t>19</w:t>
      </w:r>
      <w:r w:rsidRPr="001B7F70">
        <w:rPr>
          <w:noProof/>
          <w:lang w:val="en-US"/>
        </w:rPr>
        <w:t>7. DOI:10.1067/mjd.2002.120911</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Ponte P., Serrão V., Apetato M. Efficacy of narrowband UVB vs. PUVA in patients with early-stage mycosis fungoides. J Eur Acad Dermatology Venereol. 2010;</w:t>
      </w:r>
      <w:r>
        <w:rPr>
          <w:noProof/>
        </w:rPr>
        <w:t xml:space="preserve"> </w:t>
      </w:r>
      <w:r w:rsidRPr="001B7F70">
        <w:rPr>
          <w:noProof/>
          <w:lang w:val="en-US"/>
        </w:rPr>
        <w:t>24</w:t>
      </w:r>
      <w:r>
        <w:rPr>
          <w:noProof/>
        </w:rPr>
        <w:t xml:space="preserve"> </w:t>
      </w:r>
      <w:r w:rsidRPr="001B7F70">
        <w:rPr>
          <w:noProof/>
          <w:lang w:val="en-US"/>
        </w:rPr>
        <w:t>(6):</w:t>
      </w:r>
      <w:r>
        <w:rPr>
          <w:noProof/>
        </w:rPr>
        <w:t xml:space="preserve"> </w:t>
      </w:r>
      <w:r w:rsidRPr="001B7F70">
        <w:rPr>
          <w:noProof/>
          <w:lang w:val="en-US"/>
        </w:rPr>
        <w:t>716–</w:t>
      </w:r>
      <w:r>
        <w:rPr>
          <w:noProof/>
        </w:rPr>
        <w:t>7</w:t>
      </w:r>
      <w:r w:rsidRPr="001B7F70">
        <w:rPr>
          <w:noProof/>
          <w:lang w:val="en-US"/>
        </w:rPr>
        <w:t>21. DOI:10.1111/j.1468-3083.2009.03500.x</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rPr>
        <w:t>Кубанов</w:t>
      </w:r>
      <w:r w:rsidRPr="00F84513">
        <w:rPr>
          <w:noProof/>
        </w:rPr>
        <w:t xml:space="preserve"> </w:t>
      </w:r>
      <w:r w:rsidRPr="001B7F70">
        <w:rPr>
          <w:noProof/>
        </w:rPr>
        <w:t>А</w:t>
      </w:r>
      <w:r w:rsidRPr="00F84513">
        <w:rPr>
          <w:noProof/>
        </w:rPr>
        <w:t>.</w:t>
      </w:r>
      <w:r w:rsidRPr="001B7F70">
        <w:rPr>
          <w:noProof/>
        </w:rPr>
        <w:t>А</w:t>
      </w:r>
      <w:r w:rsidRPr="00F84513">
        <w:rPr>
          <w:noProof/>
        </w:rPr>
        <w:t xml:space="preserve">., </w:t>
      </w:r>
      <w:r w:rsidRPr="001B7F70">
        <w:rPr>
          <w:noProof/>
        </w:rPr>
        <w:t>Карамова</w:t>
      </w:r>
      <w:r w:rsidRPr="00F84513">
        <w:rPr>
          <w:noProof/>
        </w:rPr>
        <w:t xml:space="preserve"> </w:t>
      </w:r>
      <w:r w:rsidRPr="001B7F70">
        <w:rPr>
          <w:noProof/>
        </w:rPr>
        <w:t>А</w:t>
      </w:r>
      <w:r w:rsidRPr="00F84513">
        <w:rPr>
          <w:noProof/>
        </w:rPr>
        <w:t>.</w:t>
      </w:r>
      <w:r w:rsidRPr="001B7F70">
        <w:rPr>
          <w:noProof/>
        </w:rPr>
        <w:t>Э</w:t>
      </w:r>
      <w:r w:rsidRPr="00F84513">
        <w:rPr>
          <w:noProof/>
        </w:rPr>
        <w:t xml:space="preserve">., </w:t>
      </w:r>
      <w:r w:rsidRPr="001B7F70">
        <w:rPr>
          <w:noProof/>
        </w:rPr>
        <w:t>Знаменская</w:t>
      </w:r>
      <w:r w:rsidRPr="00F84513">
        <w:rPr>
          <w:noProof/>
        </w:rPr>
        <w:t xml:space="preserve"> </w:t>
      </w:r>
      <w:r w:rsidRPr="001B7F70">
        <w:rPr>
          <w:noProof/>
        </w:rPr>
        <w:t>Л</w:t>
      </w:r>
      <w:r w:rsidRPr="00F84513">
        <w:rPr>
          <w:noProof/>
        </w:rPr>
        <w:t>.</w:t>
      </w:r>
      <w:r w:rsidRPr="001B7F70">
        <w:rPr>
          <w:noProof/>
        </w:rPr>
        <w:t>Ф</w:t>
      </w:r>
      <w:r w:rsidRPr="00F84513">
        <w:rPr>
          <w:noProof/>
        </w:rPr>
        <w:t>.</w:t>
      </w:r>
      <w:r>
        <w:rPr>
          <w:noProof/>
        </w:rPr>
        <w:t xml:space="preserve"> и др.</w:t>
      </w:r>
      <w:r w:rsidRPr="00F84513">
        <w:rPr>
          <w:noProof/>
        </w:rPr>
        <w:t xml:space="preserve"> </w:t>
      </w:r>
      <w:r w:rsidRPr="001B7F70">
        <w:rPr>
          <w:noProof/>
        </w:rPr>
        <w:t>Фототерапия</w:t>
      </w:r>
      <w:r w:rsidRPr="00D90170">
        <w:rPr>
          <w:noProof/>
        </w:rPr>
        <w:t xml:space="preserve"> </w:t>
      </w:r>
      <w:r w:rsidRPr="001B7F70">
        <w:rPr>
          <w:noProof/>
        </w:rPr>
        <w:t>грибовидного</w:t>
      </w:r>
      <w:r w:rsidRPr="00D90170">
        <w:rPr>
          <w:noProof/>
        </w:rPr>
        <w:t xml:space="preserve"> </w:t>
      </w:r>
      <w:r w:rsidRPr="001B7F70">
        <w:rPr>
          <w:noProof/>
        </w:rPr>
        <w:t>микоза</w:t>
      </w:r>
      <w:r w:rsidRPr="00D90170">
        <w:rPr>
          <w:noProof/>
        </w:rPr>
        <w:t xml:space="preserve">. </w:t>
      </w:r>
      <w:r w:rsidRPr="001B7F70">
        <w:rPr>
          <w:noProof/>
        </w:rPr>
        <w:t>Онкогематология</w:t>
      </w:r>
      <w:r w:rsidRPr="001B7F70">
        <w:rPr>
          <w:noProof/>
          <w:lang w:val="en-US"/>
        </w:rPr>
        <w:t>. 2019;</w:t>
      </w:r>
      <w:r>
        <w:rPr>
          <w:noProof/>
        </w:rPr>
        <w:t xml:space="preserve"> </w:t>
      </w:r>
      <w:r w:rsidRPr="001B7F70">
        <w:rPr>
          <w:noProof/>
          <w:lang w:val="en-US"/>
        </w:rPr>
        <w:t>14</w:t>
      </w:r>
      <w:r>
        <w:rPr>
          <w:noProof/>
        </w:rPr>
        <w:t xml:space="preserve"> </w:t>
      </w:r>
      <w:r w:rsidRPr="001B7F70">
        <w:rPr>
          <w:noProof/>
          <w:lang w:val="en-US"/>
        </w:rPr>
        <w:t>(4):</w:t>
      </w:r>
      <w:r>
        <w:rPr>
          <w:noProof/>
        </w:rPr>
        <w:t xml:space="preserve"> </w:t>
      </w:r>
      <w:r w:rsidRPr="001B7F70">
        <w:rPr>
          <w:noProof/>
          <w:lang w:val="en-US"/>
        </w:rPr>
        <w:t>39–47.</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Quer</w:t>
      </w:r>
      <w:r>
        <w:rPr>
          <w:noProof/>
          <w:lang w:val="en-US"/>
        </w:rPr>
        <w:t>feld C., Rosen S.T., Kuzel T.M.</w:t>
      </w:r>
      <w:r w:rsidRPr="001B7F70">
        <w:rPr>
          <w:noProof/>
          <w:lang w:val="en-US"/>
        </w:rPr>
        <w:t xml:space="preserve"> et al. Long-term follow-up of patients with early-stage cutaneous T-cell lymphoma who achieved complete remission with psoralen plus UV-A monotherapy. Arch Dermatol. 2005;</w:t>
      </w:r>
      <w:r>
        <w:rPr>
          <w:noProof/>
        </w:rPr>
        <w:t xml:space="preserve"> </w:t>
      </w:r>
      <w:r w:rsidRPr="001B7F70">
        <w:rPr>
          <w:noProof/>
          <w:lang w:val="en-US"/>
        </w:rPr>
        <w:t>141</w:t>
      </w:r>
      <w:r>
        <w:rPr>
          <w:noProof/>
        </w:rPr>
        <w:t xml:space="preserve"> </w:t>
      </w:r>
      <w:r w:rsidRPr="001B7F70">
        <w:rPr>
          <w:noProof/>
          <w:lang w:val="en-US"/>
        </w:rPr>
        <w:t>(3):</w:t>
      </w:r>
      <w:r>
        <w:rPr>
          <w:noProof/>
        </w:rPr>
        <w:t xml:space="preserve"> </w:t>
      </w:r>
      <w:r w:rsidRPr="001B7F70">
        <w:rPr>
          <w:noProof/>
          <w:lang w:val="en-US"/>
        </w:rPr>
        <w:t>305–</w:t>
      </w:r>
      <w:r>
        <w:rPr>
          <w:noProof/>
        </w:rPr>
        <w:t>3</w:t>
      </w:r>
      <w:r w:rsidRPr="001B7F70">
        <w:rPr>
          <w:noProof/>
          <w:lang w:val="en-US"/>
        </w:rPr>
        <w:t>11. DOI:10.1001/archderm.141.3.305</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Hoppe R.T. </w:t>
      </w:r>
      <w:r w:rsidRPr="00F84513">
        <w:rPr>
          <w:noProof/>
          <w:lang w:val="en-US"/>
        </w:rPr>
        <w:t xml:space="preserve">Mycosis fungoides: radiation therapy. </w:t>
      </w:r>
      <w:r w:rsidRPr="00F84513">
        <w:rPr>
          <w:noProof/>
        </w:rPr>
        <w:t>Dermatol Ther. 2003;</w:t>
      </w:r>
      <w:r>
        <w:rPr>
          <w:noProof/>
        </w:rPr>
        <w:t xml:space="preserve"> </w:t>
      </w:r>
      <w:r w:rsidRPr="00F84513">
        <w:rPr>
          <w:noProof/>
        </w:rPr>
        <w:t>16</w:t>
      </w:r>
      <w:r>
        <w:rPr>
          <w:noProof/>
        </w:rPr>
        <w:t xml:space="preserve"> </w:t>
      </w:r>
      <w:r w:rsidRPr="00F84513">
        <w:rPr>
          <w:noProof/>
        </w:rPr>
        <w:t>(4):</w:t>
      </w:r>
      <w:r>
        <w:rPr>
          <w:noProof/>
        </w:rPr>
        <w:t xml:space="preserve"> </w:t>
      </w:r>
      <w:r w:rsidRPr="00F84513">
        <w:rPr>
          <w:noProof/>
        </w:rPr>
        <w:t>347</w:t>
      </w:r>
      <w:r w:rsidRPr="001B7F70">
        <w:rPr>
          <w:noProof/>
          <w:lang w:val="en-US"/>
        </w:rPr>
        <w:t>–</w:t>
      </w:r>
      <w:r>
        <w:rPr>
          <w:noProof/>
        </w:rPr>
        <w:t>3</w:t>
      </w:r>
      <w:r w:rsidRPr="00F84513">
        <w:rPr>
          <w:noProof/>
        </w:rPr>
        <w:t>54</w:t>
      </w:r>
      <w:r w:rsidRPr="001B7F70">
        <w:rPr>
          <w:noProof/>
          <w:lang w:val="en-US"/>
        </w:rPr>
        <w:t>. DOI:10.1111/j.1396-0296.2003.01647.x</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Hymes K.B. Choices in the treatment of cutaneous T-cell lymphoma. Oncology (Williston Park). 2007;</w:t>
      </w:r>
      <w:r>
        <w:rPr>
          <w:noProof/>
          <w:lang w:val="en-US"/>
        </w:rPr>
        <w:t xml:space="preserve"> </w:t>
      </w:r>
      <w:r w:rsidRPr="001B7F70">
        <w:rPr>
          <w:noProof/>
          <w:lang w:val="en-US"/>
        </w:rPr>
        <w:t>21</w:t>
      </w:r>
      <w:r>
        <w:rPr>
          <w:noProof/>
          <w:lang w:val="en-US"/>
        </w:rPr>
        <w:t xml:space="preserve"> </w:t>
      </w:r>
      <w:r w:rsidRPr="001B7F70">
        <w:rPr>
          <w:noProof/>
          <w:lang w:val="en-US"/>
        </w:rPr>
        <w:t>(2 Supp</w:t>
      </w:r>
      <w:r>
        <w:rPr>
          <w:noProof/>
          <w:lang w:val="en-US"/>
        </w:rPr>
        <w:t>l</w:t>
      </w:r>
      <w:r w:rsidRPr="001B7F70">
        <w:rPr>
          <w:noProof/>
          <w:lang w:val="en-US"/>
        </w:rPr>
        <w:t>. 1):</w:t>
      </w:r>
      <w:r>
        <w:rPr>
          <w:noProof/>
          <w:lang w:val="en-US"/>
        </w:rPr>
        <w:t xml:space="preserve"> </w:t>
      </w:r>
      <w:r w:rsidRPr="001B7F70">
        <w:rPr>
          <w:noProof/>
          <w:lang w:val="en-US"/>
        </w:rPr>
        <w:t>18–23.</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S</w:t>
      </w:r>
      <w:r>
        <w:rPr>
          <w:noProof/>
          <w:lang w:val="en-US"/>
        </w:rPr>
        <w:t>pecht L., Dabaja B., Illidge T.</w:t>
      </w:r>
      <w:r w:rsidRPr="001B7F70">
        <w:rPr>
          <w:noProof/>
          <w:lang w:val="en-US"/>
        </w:rPr>
        <w:t xml:space="preserve"> et al. </w:t>
      </w:r>
      <w:r w:rsidRPr="00B83389">
        <w:rPr>
          <w:noProof/>
          <w:lang w:val="en-US"/>
        </w:rPr>
        <w:t xml:space="preserve">Modern radiation therapy for primary cutaneous </w:t>
      </w:r>
      <w:r w:rsidRPr="00B83389">
        <w:rPr>
          <w:noProof/>
          <w:lang w:val="en-US"/>
        </w:rPr>
        <w:lastRenderedPageBreak/>
        <w:t xml:space="preserve">lymphomas: field and dose guidelines from the International Lymphoma Radiation Oncology Group. </w:t>
      </w:r>
      <w:r w:rsidRPr="00B83389">
        <w:rPr>
          <w:noProof/>
        </w:rPr>
        <w:t>Int J Radiat Oncol Biol Phys. 2015;</w:t>
      </w:r>
      <w:r>
        <w:rPr>
          <w:noProof/>
          <w:lang w:val="en-US"/>
        </w:rPr>
        <w:t xml:space="preserve"> </w:t>
      </w:r>
      <w:r w:rsidRPr="00B83389">
        <w:rPr>
          <w:noProof/>
        </w:rPr>
        <w:t>92</w:t>
      </w:r>
      <w:r>
        <w:rPr>
          <w:noProof/>
          <w:lang w:val="en-US"/>
        </w:rPr>
        <w:t xml:space="preserve"> </w:t>
      </w:r>
      <w:r w:rsidRPr="00B83389">
        <w:rPr>
          <w:noProof/>
        </w:rPr>
        <w:t>(1):</w:t>
      </w:r>
      <w:r>
        <w:rPr>
          <w:noProof/>
          <w:lang w:val="en-US"/>
        </w:rPr>
        <w:t xml:space="preserve"> </w:t>
      </w:r>
      <w:r w:rsidRPr="00B83389">
        <w:rPr>
          <w:noProof/>
        </w:rPr>
        <w:t>32</w:t>
      </w:r>
      <w:r w:rsidRPr="001B7F70">
        <w:rPr>
          <w:noProof/>
          <w:lang w:val="en-US"/>
        </w:rPr>
        <w:t>–</w:t>
      </w:r>
      <w:r>
        <w:rPr>
          <w:noProof/>
          <w:lang w:val="en-US"/>
        </w:rPr>
        <w:t>3</w:t>
      </w:r>
      <w:r w:rsidRPr="00B83389">
        <w:rPr>
          <w:noProof/>
        </w:rPr>
        <w:t>9</w:t>
      </w:r>
      <w:r w:rsidRPr="001B7F70">
        <w:rPr>
          <w:noProof/>
          <w:lang w:val="en-US"/>
        </w:rPr>
        <w:t>. DOI:10.1016/j.ijrobp.2015.01.008</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Zackheim H.S., Kashani-Sabet M., McMillan A. Low-dose methotrexate to treat mycosis fungoides: A retrospective study in 69 patients. J Am Acad Dermatol. 2003;</w:t>
      </w:r>
      <w:r>
        <w:rPr>
          <w:noProof/>
          <w:lang w:val="en-US"/>
        </w:rPr>
        <w:t xml:space="preserve"> </w:t>
      </w:r>
      <w:r w:rsidRPr="001B7F70">
        <w:rPr>
          <w:noProof/>
          <w:lang w:val="en-US"/>
        </w:rPr>
        <w:t>49</w:t>
      </w:r>
      <w:r>
        <w:rPr>
          <w:noProof/>
          <w:lang w:val="en-US"/>
        </w:rPr>
        <w:t xml:space="preserve"> </w:t>
      </w:r>
      <w:r w:rsidRPr="001B7F70">
        <w:rPr>
          <w:noProof/>
          <w:lang w:val="en-US"/>
        </w:rPr>
        <w:t>(5):</w:t>
      </w:r>
      <w:r>
        <w:rPr>
          <w:noProof/>
          <w:lang w:val="en-US"/>
        </w:rPr>
        <w:t xml:space="preserve"> </w:t>
      </w:r>
      <w:r w:rsidRPr="001B7F70">
        <w:rPr>
          <w:noProof/>
          <w:lang w:val="en-US"/>
        </w:rPr>
        <w:t>873–</w:t>
      </w:r>
      <w:r>
        <w:rPr>
          <w:noProof/>
          <w:lang w:val="en-US"/>
        </w:rPr>
        <w:t>87</w:t>
      </w:r>
      <w:r w:rsidRPr="001B7F70">
        <w:rPr>
          <w:noProof/>
          <w:lang w:val="en-US"/>
        </w:rPr>
        <w:t>8. DOI:10.1016/S0190-9622(03)01591-3</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Prince H.M., Whittaker S., Hoppe R.T. </w:t>
      </w:r>
      <w:r w:rsidRPr="00B83389">
        <w:rPr>
          <w:noProof/>
          <w:lang w:val="en-US"/>
        </w:rPr>
        <w:t xml:space="preserve">How I treat mycosis fungoides and Sézary syndrome. </w:t>
      </w:r>
      <w:r w:rsidRPr="00B83389">
        <w:rPr>
          <w:noProof/>
        </w:rPr>
        <w:t>Blood. 2009;</w:t>
      </w:r>
      <w:r>
        <w:rPr>
          <w:noProof/>
          <w:lang w:val="en-US"/>
        </w:rPr>
        <w:t xml:space="preserve"> </w:t>
      </w:r>
      <w:r w:rsidRPr="00B83389">
        <w:rPr>
          <w:noProof/>
        </w:rPr>
        <w:t>114</w:t>
      </w:r>
      <w:r>
        <w:rPr>
          <w:noProof/>
          <w:lang w:val="en-US"/>
        </w:rPr>
        <w:t xml:space="preserve"> </w:t>
      </w:r>
      <w:r w:rsidRPr="00B83389">
        <w:rPr>
          <w:noProof/>
        </w:rPr>
        <w:t>(20):</w:t>
      </w:r>
      <w:r>
        <w:rPr>
          <w:noProof/>
          <w:lang w:val="en-US"/>
        </w:rPr>
        <w:t xml:space="preserve"> </w:t>
      </w:r>
      <w:r w:rsidRPr="00B83389">
        <w:rPr>
          <w:noProof/>
        </w:rPr>
        <w:t>4337</w:t>
      </w:r>
      <w:r w:rsidRPr="001B7F70">
        <w:rPr>
          <w:noProof/>
          <w:lang w:val="en-US"/>
        </w:rPr>
        <w:t>–</w:t>
      </w:r>
      <w:r>
        <w:rPr>
          <w:noProof/>
          <w:lang w:val="en-US"/>
        </w:rPr>
        <w:t>43</w:t>
      </w:r>
      <w:r w:rsidRPr="00B83389">
        <w:rPr>
          <w:noProof/>
        </w:rPr>
        <w:t>53</w:t>
      </w:r>
      <w:r w:rsidRPr="001B7F70">
        <w:rPr>
          <w:noProof/>
          <w:lang w:val="en-US"/>
        </w:rPr>
        <w:t>. DOI:10.1182/blood-2009-07-202895</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Duvic M., Talpur R., Ni X. et al. Phase 2 trial of oral vorinostat (suberoylanilide hydroxamic acid, SAHA) for refractory cutaneous T-cell lymphoma (CTCL). Blood. 2007;</w:t>
      </w:r>
      <w:r>
        <w:rPr>
          <w:noProof/>
          <w:lang w:val="en-US"/>
        </w:rPr>
        <w:t xml:space="preserve"> </w:t>
      </w:r>
      <w:r w:rsidRPr="001B7F70">
        <w:rPr>
          <w:noProof/>
          <w:lang w:val="en-US"/>
        </w:rPr>
        <w:t>109</w:t>
      </w:r>
      <w:r>
        <w:rPr>
          <w:noProof/>
          <w:lang w:val="en-US"/>
        </w:rPr>
        <w:t xml:space="preserve"> </w:t>
      </w:r>
      <w:r w:rsidRPr="001B7F70">
        <w:rPr>
          <w:noProof/>
          <w:lang w:val="en-US"/>
        </w:rPr>
        <w:t>(1):</w:t>
      </w:r>
      <w:r>
        <w:rPr>
          <w:noProof/>
          <w:lang w:val="en-US"/>
        </w:rPr>
        <w:t xml:space="preserve"> </w:t>
      </w:r>
      <w:r w:rsidRPr="001B7F70">
        <w:rPr>
          <w:noProof/>
          <w:lang w:val="en-US"/>
        </w:rPr>
        <w:t>31–</w:t>
      </w:r>
      <w:r>
        <w:rPr>
          <w:noProof/>
          <w:lang w:val="en-US"/>
        </w:rPr>
        <w:t>3</w:t>
      </w:r>
      <w:r w:rsidRPr="001B7F70">
        <w:rPr>
          <w:noProof/>
          <w:lang w:val="en-US"/>
        </w:rPr>
        <w:t>9. DOI:10.1182/blood-2006-06-025999</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O</w:t>
      </w:r>
      <w:r>
        <w:rPr>
          <w:noProof/>
          <w:lang w:val="en-US"/>
        </w:rPr>
        <w:t>lsen E.A., Kim Y.H., Kuzel T.M.</w:t>
      </w:r>
      <w:r w:rsidRPr="001B7F70">
        <w:rPr>
          <w:noProof/>
          <w:lang w:val="en-US"/>
        </w:rPr>
        <w:t xml:space="preserve"> et al. Phase IIB multicenter trial of vorinostat in patients with persistent, progressive, or treatment refractory cutaneous </w:t>
      </w:r>
      <w:r>
        <w:rPr>
          <w:noProof/>
          <w:lang w:val="en-US"/>
        </w:rPr>
        <w:t>T</w:t>
      </w:r>
      <w:r w:rsidRPr="001B7F70">
        <w:rPr>
          <w:noProof/>
          <w:lang w:val="en-US"/>
        </w:rPr>
        <w:t>-cell lymphoma. J Clin Oncol. 2007;</w:t>
      </w:r>
      <w:r>
        <w:rPr>
          <w:noProof/>
          <w:lang w:val="en-US"/>
        </w:rPr>
        <w:t xml:space="preserve"> </w:t>
      </w:r>
      <w:r w:rsidRPr="001B7F70">
        <w:rPr>
          <w:noProof/>
          <w:lang w:val="en-US"/>
        </w:rPr>
        <w:t>25</w:t>
      </w:r>
      <w:r>
        <w:rPr>
          <w:noProof/>
          <w:lang w:val="en-US"/>
        </w:rPr>
        <w:t xml:space="preserve"> </w:t>
      </w:r>
      <w:r w:rsidRPr="001B7F70">
        <w:rPr>
          <w:noProof/>
          <w:lang w:val="en-US"/>
        </w:rPr>
        <w:t>(21):</w:t>
      </w:r>
      <w:r>
        <w:rPr>
          <w:noProof/>
          <w:lang w:val="en-US"/>
        </w:rPr>
        <w:t xml:space="preserve"> </w:t>
      </w:r>
      <w:r w:rsidRPr="001B7F70">
        <w:rPr>
          <w:noProof/>
          <w:lang w:val="en-US"/>
        </w:rPr>
        <w:t>3109–</w:t>
      </w:r>
      <w:r>
        <w:rPr>
          <w:noProof/>
          <w:lang w:val="en-US"/>
        </w:rPr>
        <w:t>31</w:t>
      </w:r>
      <w:r w:rsidRPr="001B7F70">
        <w:rPr>
          <w:noProof/>
          <w:lang w:val="en-US"/>
        </w:rPr>
        <w:t>15. DOI:10.1200/JCO.2006.10.2434</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Pr>
          <w:noProof/>
          <w:lang w:val="en-US"/>
        </w:rPr>
        <w:t>Duvic M., Olsen E., Breneman D.</w:t>
      </w:r>
      <w:r w:rsidRPr="001B7F70">
        <w:rPr>
          <w:noProof/>
          <w:lang w:val="en-US"/>
        </w:rPr>
        <w:t xml:space="preserve"> et al. Evaluation of the long-term tolerability and clinical benefit of vorinostat in patients with advanced cutaneous T-cell lymphoma. Clin Lymphoma Myeloma. 2009;</w:t>
      </w:r>
      <w:r>
        <w:rPr>
          <w:noProof/>
          <w:lang w:val="en-US"/>
        </w:rPr>
        <w:t xml:space="preserve"> </w:t>
      </w:r>
      <w:r w:rsidRPr="001B7F70">
        <w:rPr>
          <w:noProof/>
          <w:lang w:val="en-US"/>
        </w:rPr>
        <w:t>9</w:t>
      </w:r>
      <w:r>
        <w:rPr>
          <w:noProof/>
          <w:lang w:val="en-US"/>
        </w:rPr>
        <w:t xml:space="preserve"> </w:t>
      </w:r>
      <w:r w:rsidRPr="001B7F70">
        <w:rPr>
          <w:noProof/>
          <w:lang w:val="en-US"/>
        </w:rPr>
        <w:t>(6):</w:t>
      </w:r>
      <w:r>
        <w:rPr>
          <w:noProof/>
          <w:lang w:val="en-US"/>
        </w:rPr>
        <w:t xml:space="preserve"> </w:t>
      </w:r>
      <w:r w:rsidRPr="001B7F70">
        <w:rPr>
          <w:noProof/>
          <w:lang w:val="en-US"/>
        </w:rPr>
        <w:t>412–</w:t>
      </w:r>
      <w:r>
        <w:rPr>
          <w:noProof/>
          <w:lang w:val="en-US"/>
        </w:rPr>
        <w:t>41</w:t>
      </w:r>
      <w:r w:rsidRPr="001B7F70">
        <w:rPr>
          <w:noProof/>
          <w:lang w:val="en-US"/>
        </w:rPr>
        <w:t>6. DOI:10.3816/CLM.2009.n.082</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Zinzan</w:t>
      </w:r>
      <w:r>
        <w:rPr>
          <w:noProof/>
          <w:lang w:val="en-US"/>
        </w:rPr>
        <w:t>i P.L., Baliva G., Magagnoli M.</w:t>
      </w:r>
      <w:r w:rsidRPr="001B7F70">
        <w:rPr>
          <w:noProof/>
          <w:lang w:val="en-US"/>
        </w:rPr>
        <w:t xml:space="preserve"> et al. Gemcitabine treatment in pretreated cutaneous T-cell lymphoma: Experience in 44 patients. J Clin Oncol. 2000;</w:t>
      </w:r>
      <w:r>
        <w:rPr>
          <w:noProof/>
          <w:lang w:val="en-US"/>
        </w:rPr>
        <w:t xml:space="preserve"> </w:t>
      </w:r>
      <w:r w:rsidRPr="001B7F70">
        <w:rPr>
          <w:noProof/>
          <w:lang w:val="en-US"/>
        </w:rPr>
        <w:t>18</w:t>
      </w:r>
      <w:r>
        <w:rPr>
          <w:noProof/>
          <w:lang w:val="en-US"/>
        </w:rPr>
        <w:t xml:space="preserve"> </w:t>
      </w:r>
      <w:r w:rsidRPr="001B7F70">
        <w:rPr>
          <w:noProof/>
          <w:lang w:val="en-US"/>
        </w:rPr>
        <w:t>(13):</w:t>
      </w:r>
      <w:r>
        <w:rPr>
          <w:noProof/>
          <w:lang w:val="en-US"/>
        </w:rPr>
        <w:t xml:space="preserve"> </w:t>
      </w:r>
      <w:r w:rsidRPr="001B7F70">
        <w:rPr>
          <w:noProof/>
          <w:lang w:val="en-US"/>
        </w:rPr>
        <w:t>2603–</w:t>
      </w:r>
      <w:r>
        <w:rPr>
          <w:noProof/>
          <w:lang w:val="en-US"/>
        </w:rPr>
        <w:t>260</w:t>
      </w:r>
      <w:r w:rsidRPr="001B7F70">
        <w:rPr>
          <w:noProof/>
          <w:lang w:val="en-US"/>
        </w:rPr>
        <w:t>6. DOI:10.1200/JCO.2000.18.13.2603</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Kim</w:t>
      </w:r>
      <w:r>
        <w:rPr>
          <w:noProof/>
          <w:lang w:val="en-US"/>
        </w:rPr>
        <w:t xml:space="preserve"> Y.H., Tavallaee M., Sundram U.</w:t>
      </w:r>
      <w:r w:rsidRPr="001B7F70">
        <w:rPr>
          <w:noProof/>
          <w:lang w:val="en-US"/>
        </w:rPr>
        <w:t xml:space="preserve"> et al. Phase II investigator-initiated study of brentuximab vedotin in mycosis fungoides and Sézary syndrome with variable CD30 expression level: A multi-institution collaborative project. J Clin Oncol. 2015;</w:t>
      </w:r>
      <w:r>
        <w:rPr>
          <w:noProof/>
          <w:lang w:val="en-US"/>
        </w:rPr>
        <w:t xml:space="preserve"> </w:t>
      </w:r>
      <w:r w:rsidRPr="001B7F70">
        <w:rPr>
          <w:noProof/>
          <w:lang w:val="en-US"/>
        </w:rPr>
        <w:t>33</w:t>
      </w:r>
      <w:r>
        <w:rPr>
          <w:noProof/>
          <w:lang w:val="en-US"/>
        </w:rPr>
        <w:t xml:space="preserve"> </w:t>
      </w:r>
      <w:r w:rsidRPr="001B7F70">
        <w:rPr>
          <w:noProof/>
          <w:lang w:val="en-US"/>
        </w:rPr>
        <w:t>(32):</w:t>
      </w:r>
      <w:r>
        <w:rPr>
          <w:noProof/>
          <w:lang w:val="en-US"/>
        </w:rPr>
        <w:t xml:space="preserve"> </w:t>
      </w:r>
      <w:r w:rsidRPr="001B7F70">
        <w:rPr>
          <w:noProof/>
          <w:lang w:val="en-US"/>
        </w:rPr>
        <w:t>3750–</w:t>
      </w:r>
      <w:r>
        <w:rPr>
          <w:noProof/>
          <w:lang w:val="en-US"/>
        </w:rPr>
        <w:t>375</w:t>
      </w:r>
      <w:r w:rsidRPr="001B7F70">
        <w:rPr>
          <w:noProof/>
          <w:lang w:val="en-US"/>
        </w:rPr>
        <w:t>8. DOI:10.1200/JCO.2014.60.3969</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Chung C.G., Poligone B. </w:t>
      </w:r>
      <w:r w:rsidRPr="00B83389">
        <w:rPr>
          <w:noProof/>
          <w:lang w:val="en-US"/>
        </w:rPr>
        <w:t xml:space="preserve">Other </w:t>
      </w:r>
      <w:r>
        <w:rPr>
          <w:noProof/>
          <w:lang w:val="en-US"/>
        </w:rPr>
        <w:t>c</w:t>
      </w:r>
      <w:r w:rsidRPr="00B83389">
        <w:rPr>
          <w:noProof/>
          <w:lang w:val="en-US"/>
        </w:rPr>
        <w:t xml:space="preserve">hemotherapeutic </w:t>
      </w:r>
      <w:r>
        <w:rPr>
          <w:noProof/>
          <w:lang w:val="en-US"/>
        </w:rPr>
        <w:t>a</w:t>
      </w:r>
      <w:r w:rsidRPr="00B83389">
        <w:rPr>
          <w:noProof/>
          <w:lang w:val="en-US"/>
        </w:rPr>
        <w:t xml:space="preserve">gents in </w:t>
      </w:r>
      <w:r>
        <w:rPr>
          <w:noProof/>
          <w:lang w:val="en-US"/>
        </w:rPr>
        <w:t>c</w:t>
      </w:r>
      <w:r w:rsidRPr="00B83389">
        <w:rPr>
          <w:noProof/>
          <w:lang w:val="en-US"/>
        </w:rPr>
        <w:t>utaneous T-</w:t>
      </w:r>
      <w:r>
        <w:rPr>
          <w:noProof/>
          <w:lang w:val="en-US"/>
        </w:rPr>
        <w:t>c</w:t>
      </w:r>
      <w:r w:rsidRPr="00B83389">
        <w:rPr>
          <w:noProof/>
          <w:lang w:val="en-US"/>
        </w:rPr>
        <w:t xml:space="preserve">ell </w:t>
      </w:r>
      <w:r>
        <w:rPr>
          <w:noProof/>
          <w:lang w:val="en-US"/>
        </w:rPr>
        <w:t>l</w:t>
      </w:r>
      <w:r w:rsidRPr="00B83389">
        <w:rPr>
          <w:noProof/>
          <w:lang w:val="en-US"/>
        </w:rPr>
        <w:t>ymphoma. Dermatol Clin. 2015;</w:t>
      </w:r>
      <w:r>
        <w:rPr>
          <w:noProof/>
          <w:lang w:val="en-US"/>
        </w:rPr>
        <w:t xml:space="preserve"> </w:t>
      </w:r>
      <w:r w:rsidRPr="00B83389">
        <w:rPr>
          <w:noProof/>
          <w:lang w:val="en-US"/>
        </w:rPr>
        <w:t>33</w:t>
      </w:r>
      <w:r>
        <w:rPr>
          <w:noProof/>
          <w:lang w:val="en-US"/>
        </w:rPr>
        <w:t xml:space="preserve"> </w:t>
      </w:r>
      <w:r w:rsidRPr="00B83389">
        <w:rPr>
          <w:noProof/>
          <w:lang w:val="en-US"/>
        </w:rPr>
        <w:t>(4):</w:t>
      </w:r>
      <w:r>
        <w:rPr>
          <w:noProof/>
          <w:lang w:val="en-US"/>
        </w:rPr>
        <w:t xml:space="preserve"> </w:t>
      </w:r>
      <w:r w:rsidRPr="00B83389">
        <w:rPr>
          <w:noProof/>
          <w:lang w:val="en-US"/>
        </w:rPr>
        <w:t>787</w:t>
      </w:r>
      <w:r w:rsidRPr="001B7F70">
        <w:rPr>
          <w:noProof/>
          <w:lang w:val="en-US"/>
        </w:rPr>
        <w:t>–</w:t>
      </w:r>
      <w:r w:rsidRPr="00B83389">
        <w:rPr>
          <w:noProof/>
          <w:lang w:val="en-US"/>
        </w:rPr>
        <w:t>805</w:t>
      </w:r>
      <w:r>
        <w:rPr>
          <w:noProof/>
          <w:lang w:val="en-US"/>
        </w:rPr>
        <w:t>.</w:t>
      </w:r>
      <w:r w:rsidRPr="001B7F70">
        <w:rPr>
          <w:noProof/>
          <w:lang w:val="en-US"/>
        </w:rPr>
        <w:t xml:space="preserve"> DOI:10.1016/j.det.2015.05.012</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Purnak S., Azar J., Mark L.A. Etoposide as a single agent in the treatment of mycosis fungoides: A retrospective analysis. Dermatol Ther. 2018;</w:t>
      </w:r>
      <w:r>
        <w:rPr>
          <w:noProof/>
          <w:lang w:val="en-US"/>
        </w:rPr>
        <w:t xml:space="preserve"> </w:t>
      </w:r>
      <w:r w:rsidRPr="001B7F70">
        <w:rPr>
          <w:noProof/>
          <w:lang w:val="en-US"/>
        </w:rPr>
        <w:t>31</w:t>
      </w:r>
      <w:r>
        <w:rPr>
          <w:noProof/>
          <w:lang w:val="en-US"/>
        </w:rPr>
        <w:t xml:space="preserve"> </w:t>
      </w:r>
      <w:r w:rsidRPr="001B7F70">
        <w:rPr>
          <w:noProof/>
          <w:lang w:val="en-US"/>
        </w:rPr>
        <w:t>(2):</w:t>
      </w:r>
      <w:r>
        <w:rPr>
          <w:noProof/>
          <w:lang w:val="en-US"/>
        </w:rPr>
        <w:t xml:space="preserve"> </w:t>
      </w:r>
      <w:r w:rsidRPr="001B7F70">
        <w:rPr>
          <w:noProof/>
          <w:lang w:val="en-US"/>
        </w:rPr>
        <w:t>e12586. DOI:10.1111/dth.12586</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Damaj</w:t>
      </w:r>
      <w:r>
        <w:rPr>
          <w:noProof/>
          <w:lang w:val="en-US"/>
        </w:rPr>
        <w:t xml:space="preserve"> G., Gressin R., Bouabdallah K.</w:t>
      </w:r>
      <w:r w:rsidRPr="001B7F70">
        <w:rPr>
          <w:noProof/>
          <w:lang w:val="en-US"/>
        </w:rPr>
        <w:t xml:space="preserve"> et al. Results from a prospective, open-label, phase II trial of bendamustine in refractory or relapsed T-cell lymphomas: The BENTLY trial. J Clin Oncol. 2013;</w:t>
      </w:r>
      <w:r>
        <w:rPr>
          <w:noProof/>
          <w:lang w:val="en-US"/>
        </w:rPr>
        <w:t xml:space="preserve"> </w:t>
      </w:r>
      <w:r w:rsidRPr="001B7F70">
        <w:rPr>
          <w:noProof/>
          <w:lang w:val="en-US"/>
        </w:rPr>
        <w:t>31</w:t>
      </w:r>
      <w:r>
        <w:rPr>
          <w:noProof/>
          <w:lang w:val="en-US"/>
        </w:rPr>
        <w:t xml:space="preserve"> </w:t>
      </w:r>
      <w:r w:rsidRPr="001B7F70">
        <w:rPr>
          <w:noProof/>
          <w:lang w:val="en-US"/>
        </w:rPr>
        <w:t>(1):</w:t>
      </w:r>
      <w:r>
        <w:rPr>
          <w:noProof/>
          <w:lang w:val="en-US"/>
        </w:rPr>
        <w:t xml:space="preserve"> </w:t>
      </w:r>
      <w:r w:rsidRPr="001B7F70">
        <w:rPr>
          <w:noProof/>
          <w:lang w:val="en-US"/>
        </w:rPr>
        <w:t>104–</w:t>
      </w:r>
      <w:r>
        <w:rPr>
          <w:noProof/>
          <w:lang w:val="en-US"/>
        </w:rPr>
        <w:t>1</w:t>
      </w:r>
      <w:r w:rsidRPr="001B7F70">
        <w:rPr>
          <w:noProof/>
          <w:lang w:val="en-US"/>
        </w:rPr>
        <w:t>10. DOI:10.1200/JCO.2012.43.7285</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Zinzani P.L., Musuraca G., Toni M. et al. Phase II trial of proteasome inhibitor bortezomib in patients with relapsed or refractory cutaneous T-cell lymphoma. J Clin Oncol. 2007;</w:t>
      </w:r>
      <w:r>
        <w:rPr>
          <w:noProof/>
          <w:lang w:val="en-US"/>
        </w:rPr>
        <w:t xml:space="preserve"> </w:t>
      </w:r>
      <w:r w:rsidRPr="001B7F70">
        <w:rPr>
          <w:noProof/>
          <w:lang w:val="en-US"/>
        </w:rPr>
        <w:t>25</w:t>
      </w:r>
      <w:r>
        <w:rPr>
          <w:noProof/>
          <w:lang w:val="en-US"/>
        </w:rPr>
        <w:t xml:space="preserve"> </w:t>
      </w:r>
      <w:r w:rsidRPr="001B7F70">
        <w:rPr>
          <w:noProof/>
          <w:lang w:val="en-US"/>
        </w:rPr>
        <w:lastRenderedPageBreak/>
        <w:t>(27):</w:t>
      </w:r>
      <w:r>
        <w:rPr>
          <w:noProof/>
          <w:lang w:val="en-US"/>
        </w:rPr>
        <w:t xml:space="preserve"> </w:t>
      </w:r>
      <w:r w:rsidRPr="001B7F70">
        <w:rPr>
          <w:noProof/>
          <w:lang w:val="en-US"/>
        </w:rPr>
        <w:t>4293–</w:t>
      </w:r>
      <w:r>
        <w:rPr>
          <w:noProof/>
          <w:lang w:val="en-US"/>
        </w:rPr>
        <w:t>429</w:t>
      </w:r>
      <w:r w:rsidRPr="001B7F70">
        <w:rPr>
          <w:noProof/>
          <w:lang w:val="en-US"/>
        </w:rPr>
        <w:t>7. DOI:10.1200/JCO.2007.11.4207</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Fisher R.I., Gaynor E.R., Dahlberg S. et al. Comparison of a Standard Regimen (CHOP) with Three Intensive Chemotherapy Regimens for Advanced Non-Hodgkin’s Lymphoma. N Engl J Med. 1993;</w:t>
      </w:r>
      <w:r>
        <w:rPr>
          <w:noProof/>
          <w:lang w:val="en-US"/>
        </w:rPr>
        <w:t xml:space="preserve"> </w:t>
      </w:r>
      <w:r w:rsidRPr="001B7F70">
        <w:rPr>
          <w:noProof/>
          <w:lang w:val="en-US"/>
        </w:rPr>
        <w:t>328</w:t>
      </w:r>
      <w:r>
        <w:rPr>
          <w:noProof/>
          <w:lang w:val="en-US"/>
        </w:rPr>
        <w:t xml:space="preserve"> </w:t>
      </w:r>
      <w:r w:rsidRPr="001B7F70">
        <w:rPr>
          <w:noProof/>
          <w:lang w:val="en-US"/>
        </w:rPr>
        <w:t>(14):</w:t>
      </w:r>
      <w:r>
        <w:rPr>
          <w:noProof/>
          <w:lang w:val="en-US"/>
        </w:rPr>
        <w:t xml:space="preserve"> </w:t>
      </w:r>
      <w:r w:rsidRPr="001B7F70">
        <w:rPr>
          <w:noProof/>
          <w:lang w:val="en-US"/>
        </w:rPr>
        <w:t>1002–</w:t>
      </w:r>
      <w:r>
        <w:rPr>
          <w:noProof/>
          <w:lang w:val="en-US"/>
        </w:rPr>
        <w:t>100</w:t>
      </w:r>
      <w:r w:rsidRPr="001B7F70">
        <w:rPr>
          <w:noProof/>
          <w:lang w:val="en-US"/>
        </w:rPr>
        <w:t>6. DOI:10.1056/nejm199304083281404</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T</w:t>
      </w:r>
      <w:r>
        <w:rPr>
          <w:noProof/>
          <w:lang w:val="en-US"/>
        </w:rPr>
        <w:t>rautinger F., Eder J., Assaf C.</w:t>
      </w:r>
      <w:r w:rsidRPr="001B7F70">
        <w:rPr>
          <w:noProof/>
          <w:lang w:val="en-US"/>
        </w:rPr>
        <w:t xml:space="preserve"> et al. </w:t>
      </w:r>
      <w:r w:rsidRPr="00B83389">
        <w:rPr>
          <w:noProof/>
          <w:lang w:val="en-US"/>
        </w:rPr>
        <w:t xml:space="preserve">European Organisation for Research and Treatment of Cancer consensus recommendations for the treatment of mycosis fungoides/Sézary syndrome </w:t>
      </w:r>
      <w:r w:rsidRPr="001B7F70">
        <w:rPr>
          <w:noProof/>
          <w:lang w:val="en-US"/>
        </w:rPr>
        <w:t>–</w:t>
      </w:r>
      <w:r w:rsidRPr="00B83389">
        <w:rPr>
          <w:noProof/>
          <w:lang w:val="en-US"/>
        </w:rPr>
        <w:t xml:space="preserve"> Update 2017. Eur J Cancer. 2017 May;</w:t>
      </w:r>
      <w:r>
        <w:rPr>
          <w:noProof/>
          <w:lang w:val="en-US"/>
        </w:rPr>
        <w:t xml:space="preserve"> </w:t>
      </w:r>
      <w:r w:rsidRPr="00B83389">
        <w:rPr>
          <w:noProof/>
          <w:lang w:val="en-US"/>
        </w:rPr>
        <w:t>77:</w:t>
      </w:r>
      <w:r>
        <w:rPr>
          <w:noProof/>
          <w:lang w:val="en-US"/>
        </w:rPr>
        <w:t xml:space="preserve"> </w:t>
      </w:r>
      <w:r w:rsidRPr="00B83389">
        <w:rPr>
          <w:noProof/>
          <w:lang w:val="en-US"/>
        </w:rPr>
        <w:t>57</w:t>
      </w:r>
      <w:r w:rsidRPr="001B7F70">
        <w:rPr>
          <w:noProof/>
          <w:lang w:val="en-US"/>
        </w:rPr>
        <w:t>–</w:t>
      </w:r>
      <w:r w:rsidRPr="00B83389">
        <w:rPr>
          <w:noProof/>
          <w:lang w:val="en-US"/>
        </w:rPr>
        <w:t>74</w:t>
      </w:r>
      <w:r w:rsidRPr="001B7F70">
        <w:rPr>
          <w:noProof/>
          <w:lang w:val="en-US"/>
        </w:rPr>
        <w:t>. DOI:10.1016/j.ejca.2017.02.027</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Grozea P.N., Jones S.E., McKelvey E.M. Combination chemotherapy for mycosis fungoides: a Southwest Oncology Group study. Cancer Treat Rep. 1979;</w:t>
      </w:r>
      <w:r>
        <w:rPr>
          <w:noProof/>
          <w:lang w:val="en-US"/>
        </w:rPr>
        <w:t xml:space="preserve"> </w:t>
      </w:r>
      <w:r w:rsidRPr="001B7F70">
        <w:rPr>
          <w:noProof/>
          <w:lang w:val="en-US"/>
        </w:rPr>
        <w:t>63</w:t>
      </w:r>
      <w:r>
        <w:rPr>
          <w:noProof/>
          <w:lang w:val="en-US"/>
        </w:rPr>
        <w:t xml:space="preserve"> </w:t>
      </w:r>
      <w:r w:rsidRPr="001B7F70">
        <w:rPr>
          <w:noProof/>
          <w:lang w:val="en-US"/>
        </w:rPr>
        <w:t>(4):</w:t>
      </w:r>
      <w:r>
        <w:rPr>
          <w:noProof/>
          <w:lang w:val="en-US"/>
        </w:rPr>
        <w:t xml:space="preserve"> </w:t>
      </w:r>
      <w:r w:rsidRPr="001B7F70">
        <w:rPr>
          <w:noProof/>
          <w:lang w:val="en-US"/>
        </w:rPr>
        <w:t>647–</w:t>
      </w:r>
      <w:r>
        <w:rPr>
          <w:noProof/>
          <w:lang w:val="en-US"/>
        </w:rPr>
        <w:t>6</w:t>
      </w:r>
      <w:r w:rsidRPr="001B7F70">
        <w:rPr>
          <w:noProof/>
          <w:lang w:val="en-US"/>
        </w:rPr>
        <w:t>53.</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Kim S.J., Yoon D.H., Kang H.J. et al. Bortezomib in combination with CHOP as first-line treatment for patients with stage III/IV peripheral T-cell lymphomas: A multicentre, single-arm, phase 2 trial. Eur J Cancer. 2012;</w:t>
      </w:r>
      <w:r>
        <w:rPr>
          <w:noProof/>
          <w:lang w:val="en-US"/>
        </w:rPr>
        <w:t xml:space="preserve"> </w:t>
      </w:r>
      <w:r w:rsidRPr="001B7F70">
        <w:rPr>
          <w:noProof/>
          <w:lang w:val="en-US"/>
        </w:rPr>
        <w:t>48</w:t>
      </w:r>
      <w:r>
        <w:rPr>
          <w:noProof/>
          <w:lang w:val="en-US"/>
        </w:rPr>
        <w:t xml:space="preserve"> </w:t>
      </w:r>
      <w:r w:rsidRPr="001B7F70">
        <w:rPr>
          <w:noProof/>
          <w:lang w:val="en-US"/>
        </w:rPr>
        <w:t>(17):</w:t>
      </w:r>
      <w:r>
        <w:rPr>
          <w:noProof/>
          <w:lang w:val="en-US"/>
        </w:rPr>
        <w:t xml:space="preserve"> </w:t>
      </w:r>
      <w:r w:rsidRPr="001B7F70">
        <w:rPr>
          <w:noProof/>
          <w:lang w:val="en-US"/>
        </w:rPr>
        <w:t>3223–</w:t>
      </w:r>
      <w:r>
        <w:rPr>
          <w:noProof/>
          <w:lang w:val="en-US"/>
        </w:rPr>
        <w:t>32</w:t>
      </w:r>
      <w:r w:rsidRPr="001B7F70">
        <w:rPr>
          <w:noProof/>
          <w:lang w:val="en-US"/>
        </w:rPr>
        <w:t>31. DOI:10.1016/j.ejca.2012.06.003</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Pr>
          <w:noProof/>
          <w:lang w:val="en-US"/>
        </w:rPr>
        <w:t>Wu P.A., Kim Y.H., Lavori P.W.</w:t>
      </w:r>
      <w:r w:rsidRPr="001B7F70">
        <w:rPr>
          <w:noProof/>
          <w:lang w:val="en-US"/>
        </w:rPr>
        <w:t xml:space="preserve"> et al. A </w:t>
      </w:r>
      <w:r>
        <w:rPr>
          <w:noProof/>
          <w:lang w:val="en-US"/>
        </w:rPr>
        <w:t>m</w:t>
      </w:r>
      <w:r w:rsidRPr="001B7F70">
        <w:rPr>
          <w:noProof/>
          <w:lang w:val="en-US"/>
        </w:rPr>
        <w:t xml:space="preserve">eta-analysis of </w:t>
      </w:r>
      <w:r>
        <w:rPr>
          <w:noProof/>
          <w:lang w:val="en-US"/>
        </w:rPr>
        <w:t>p</w:t>
      </w:r>
      <w:r w:rsidRPr="001B7F70">
        <w:rPr>
          <w:noProof/>
          <w:lang w:val="en-US"/>
        </w:rPr>
        <w:t xml:space="preserve">atients </w:t>
      </w:r>
      <w:r>
        <w:rPr>
          <w:noProof/>
          <w:lang w:val="en-US"/>
        </w:rPr>
        <w:t>r</w:t>
      </w:r>
      <w:r w:rsidRPr="001B7F70">
        <w:rPr>
          <w:noProof/>
          <w:lang w:val="en-US"/>
        </w:rPr>
        <w:t xml:space="preserve">eceiving </w:t>
      </w:r>
      <w:r>
        <w:rPr>
          <w:noProof/>
          <w:lang w:val="en-US"/>
        </w:rPr>
        <w:t>a</w:t>
      </w:r>
      <w:r w:rsidRPr="001B7F70">
        <w:rPr>
          <w:noProof/>
          <w:lang w:val="en-US"/>
        </w:rPr>
        <w:t xml:space="preserve">llogeneic or </w:t>
      </w:r>
      <w:r>
        <w:rPr>
          <w:noProof/>
          <w:lang w:val="en-US"/>
        </w:rPr>
        <w:t>a</w:t>
      </w:r>
      <w:r w:rsidRPr="001B7F70">
        <w:rPr>
          <w:noProof/>
          <w:lang w:val="en-US"/>
        </w:rPr>
        <w:t xml:space="preserve">utologous </w:t>
      </w:r>
      <w:r>
        <w:rPr>
          <w:noProof/>
          <w:lang w:val="en-US"/>
        </w:rPr>
        <w:t>h</w:t>
      </w:r>
      <w:r w:rsidRPr="001B7F70">
        <w:rPr>
          <w:noProof/>
          <w:lang w:val="en-US"/>
        </w:rPr>
        <w:t xml:space="preserve">ematopoietic </w:t>
      </w:r>
      <w:r>
        <w:rPr>
          <w:noProof/>
          <w:lang w:val="en-US"/>
        </w:rPr>
        <w:t>s</w:t>
      </w:r>
      <w:r w:rsidRPr="001B7F70">
        <w:rPr>
          <w:noProof/>
          <w:lang w:val="en-US"/>
        </w:rPr>
        <w:t xml:space="preserve">tem </w:t>
      </w:r>
      <w:r>
        <w:rPr>
          <w:noProof/>
          <w:lang w:val="en-US"/>
        </w:rPr>
        <w:t>c</w:t>
      </w:r>
      <w:r w:rsidRPr="001B7F70">
        <w:rPr>
          <w:noProof/>
          <w:lang w:val="en-US"/>
        </w:rPr>
        <w:t xml:space="preserve">ell </w:t>
      </w:r>
      <w:r>
        <w:rPr>
          <w:noProof/>
          <w:lang w:val="en-US"/>
        </w:rPr>
        <w:t>t</w:t>
      </w:r>
      <w:r w:rsidRPr="001B7F70">
        <w:rPr>
          <w:noProof/>
          <w:lang w:val="en-US"/>
        </w:rPr>
        <w:t xml:space="preserve">ransplant in </w:t>
      </w:r>
      <w:r>
        <w:rPr>
          <w:noProof/>
          <w:lang w:val="en-US"/>
        </w:rPr>
        <w:t>m</w:t>
      </w:r>
      <w:r w:rsidRPr="001B7F70">
        <w:rPr>
          <w:noProof/>
          <w:lang w:val="en-US"/>
        </w:rPr>
        <w:t xml:space="preserve">ycosis </w:t>
      </w:r>
      <w:r>
        <w:rPr>
          <w:noProof/>
          <w:lang w:val="en-US"/>
        </w:rPr>
        <w:t>f</w:t>
      </w:r>
      <w:r w:rsidRPr="001B7F70">
        <w:rPr>
          <w:noProof/>
          <w:lang w:val="en-US"/>
        </w:rPr>
        <w:t xml:space="preserve">ungoides and Sézary </w:t>
      </w:r>
      <w:r>
        <w:rPr>
          <w:noProof/>
          <w:lang w:val="en-US"/>
        </w:rPr>
        <w:t>s</w:t>
      </w:r>
      <w:r w:rsidRPr="001B7F70">
        <w:rPr>
          <w:noProof/>
          <w:lang w:val="en-US"/>
        </w:rPr>
        <w:t>yndrome. Biol Blood Marrow Transplant. 2009;</w:t>
      </w:r>
      <w:r>
        <w:rPr>
          <w:noProof/>
          <w:lang w:val="en-US"/>
        </w:rPr>
        <w:t xml:space="preserve"> </w:t>
      </w:r>
      <w:r w:rsidRPr="001B7F70">
        <w:rPr>
          <w:noProof/>
          <w:lang w:val="en-US"/>
        </w:rPr>
        <w:t>15</w:t>
      </w:r>
      <w:r>
        <w:rPr>
          <w:noProof/>
          <w:lang w:val="en-US"/>
        </w:rPr>
        <w:t xml:space="preserve"> </w:t>
      </w:r>
      <w:r w:rsidRPr="001B7F70">
        <w:rPr>
          <w:noProof/>
          <w:lang w:val="en-US"/>
        </w:rPr>
        <w:t>(8):</w:t>
      </w:r>
      <w:r>
        <w:rPr>
          <w:noProof/>
          <w:lang w:val="en-US"/>
        </w:rPr>
        <w:t xml:space="preserve"> </w:t>
      </w:r>
      <w:r w:rsidRPr="001B7F70">
        <w:rPr>
          <w:noProof/>
          <w:lang w:val="en-US"/>
        </w:rPr>
        <w:t>982–</w:t>
      </w:r>
      <w:r>
        <w:rPr>
          <w:noProof/>
          <w:lang w:val="en-US"/>
        </w:rPr>
        <w:t>9</w:t>
      </w:r>
      <w:r w:rsidRPr="001B7F70">
        <w:rPr>
          <w:noProof/>
          <w:lang w:val="en-US"/>
        </w:rPr>
        <w:t>90. DOI:10.1016/j.bbmt.2009.04.017</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D</w:t>
      </w:r>
      <w:r>
        <w:rPr>
          <w:noProof/>
          <w:lang w:val="en-US"/>
        </w:rPr>
        <w:t>uarte R.F., Canals C., Onida F.</w:t>
      </w:r>
      <w:r w:rsidRPr="001B7F70">
        <w:rPr>
          <w:noProof/>
          <w:lang w:val="en-US"/>
        </w:rPr>
        <w:t xml:space="preserve"> et al. Allogeneic hematopoietic cell transplantation for patients with mycosis fungoides and Sézary syndrome: A retrospective analysis of the lymphoma working party of the European group for blood and marrow transplantation. J Clin Oncol. 2010;</w:t>
      </w:r>
      <w:r>
        <w:rPr>
          <w:noProof/>
          <w:lang w:val="en-US"/>
        </w:rPr>
        <w:t xml:space="preserve"> </w:t>
      </w:r>
      <w:r w:rsidRPr="001B7F70">
        <w:rPr>
          <w:noProof/>
          <w:lang w:val="en-US"/>
        </w:rPr>
        <w:t>28</w:t>
      </w:r>
      <w:r>
        <w:rPr>
          <w:noProof/>
          <w:lang w:val="en-US"/>
        </w:rPr>
        <w:t xml:space="preserve"> </w:t>
      </w:r>
      <w:r w:rsidRPr="001B7F70">
        <w:rPr>
          <w:noProof/>
          <w:lang w:val="en-US"/>
        </w:rPr>
        <w:t>(29):</w:t>
      </w:r>
      <w:r>
        <w:rPr>
          <w:noProof/>
          <w:lang w:val="en-US"/>
        </w:rPr>
        <w:t xml:space="preserve"> </w:t>
      </w:r>
      <w:r w:rsidRPr="001B7F70">
        <w:rPr>
          <w:noProof/>
          <w:lang w:val="en-US"/>
        </w:rPr>
        <w:t>4492–</w:t>
      </w:r>
      <w:r>
        <w:rPr>
          <w:noProof/>
          <w:lang w:val="en-US"/>
        </w:rPr>
        <w:t>449</w:t>
      </w:r>
      <w:r w:rsidRPr="001B7F70">
        <w:rPr>
          <w:noProof/>
          <w:lang w:val="en-US"/>
        </w:rPr>
        <w:t>9. DOI:10.1200/JCO.2010.29.3241</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Serrano L., Martinez-Escala M.E., Zhou X.A. et al. Pruritus in </w:t>
      </w:r>
      <w:r>
        <w:rPr>
          <w:noProof/>
          <w:lang w:val="en-US"/>
        </w:rPr>
        <w:t>c</w:t>
      </w:r>
      <w:r w:rsidRPr="001B7F70">
        <w:rPr>
          <w:noProof/>
          <w:lang w:val="en-US"/>
        </w:rPr>
        <w:t>utaneous T-</w:t>
      </w:r>
      <w:r>
        <w:rPr>
          <w:noProof/>
          <w:lang w:val="en-US"/>
        </w:rPr>
        <w:t>c</w:t>
      </w:r>
      <w:r w:rsidRPr="001B7F70">
        <w:rPr>
          <w:noProof/>
          <w:lang w:val="en-US"/>
        </w:rPr>
        <w:t xml:space="preserve">ell </w:t>
      </w:r>
      <w:r>
        <w:rPr>
          <w:noProof/>
          <w:lang w:val="en-US"/>
        </w:rPr>
        <w:t>l</w:t>
      </w:r>
      <w:r w:rsidRPr="001B7F70">
        <w:rPr>
          <w:noProof/>
          <w:lang w:val="en-US"/>
        </w:rPr>
        <w:t xml:space="preserve">ymphoma and </w:t>
      </w:r>
      <w:r>
        <w:rPr>
          <w:noProof/>
          <w:lang w:val="en-US"/>
        </w:rPr>
        <w:t>i</w:t>
      </w:r>
      <w:r w:rsidRPr="001B7F70">
        <w:rPr>
          <w:noProof/>
          <w:lang w:val="en-US"/>
        </w:rPr>
        <w:t xml:space="preserve">ts </w:t>
      </w:r>
      <w:r>
        <w:rPr>
          <w:noProof/>
          <w:lang w:val="en-US"/>
        </w:rPr>
        <w:t>m</w:t>
      </w:r>
      <w:r w:rsidRPr="001B7F70">
        <w:rPr>
          <w:noProof/>
          <w:lang w:val="en-US"/>
        </w:rPr>
        <w:t>anagement</w:t>
      </w:r>
      <w:r>
        <w:rPr>
          <w:noProof/>
          <w:lang w:val="en-US"/>
        </w:rPr>
        <w:t>.</w:t>
      </w:r>
      <w:r w:rsidRPr="001B7F70">
        <w:rPr>
          <w:noProof/>
          <w:lang w:val="en-US"/>
        </w:rPr>
        <w:t xml:space="preserve"> </w:t>
      </w:r>
      <w:r w:rsidRPr="00566DB4">
        <w:rPr>
          <w:noProof/>
        </w:rPr>
        <w:t>Dermatol Clin. 2018;</w:t>
      </w:r>
      <w:r>
        <w:rPr>
          <w:noProof/>
          <w:lang w:val="en-US"/>
        </w:rPr>
        <w:t xml:space="preserve"> </w:t>
      </w:r>
      <w:r w:rsidRPr="00566DB4">
        <w:rPr>
          <w:noProof/>
        </w:rPr>
        <w:t>36</w:t>
      </w:r>
      <w:r>
        <w:rPr>
          <w:noProof/>
          <w:lang w:val="en-US"/>
        </w:rPr>
        <w:t xml:space="preserve"> </w:t>
      </w:r>
      <w:r w:rsidRPr="00566DB4">
        <w:rPr>
          <w:noProof/>
        </w:rPr>
        <w:t>(3):</w:t>
      </w:r>
      <w:r>
        <w:rPr>
          <w:noProof/>
          <w:lang w:val="en-US"/>
        </w:rPr>
        <w:t xml:space="preserve"> </w:t>
      </w:r>
      <w:r w:rsidRPr="00566DB4">
        <w:rPr>
          <w:noProof/>
        </w:rPr>
        <w:t>245</w:t>
      </w:r>
      <w:r w:rsidRPr="001B7F70">
        <w:rPr>
          <w:noProof/>
          <w:lang w:val="en-US"/>
        </w:rPr>
        <w:t>–</w:t>
      </w:r>
      <w:r w:rsidRPr="00566DB4">
        <w:rPr>
          <w:noProof/>
        </w:rPr>
        <w:t>258.</w:t>
      </w:r>
      <w:r w:rsidRPr="001B7F70">
        <w:rPr>
          <w:noProof/>
          <w:lang w:val="en-US"/>
        </w:rPr>
        <w:t xml:space="preserve"> DOI</w:t>
      </w:r>
      <w:r w:rsidRPr="00B06390">
        <w:rPr>
          <w:noProof/>
          <w:lang w:val="en-US"/>
        </w:rPr>
        <w:t>:10.1016/</w:t>
      </w:r>
      <w:r w:rsidRPr="001B7F70">
        <w:rPr>
          <w:noProof/>
          <w:lang w:val="en-US"/>
        </w:rPr>
        <w:t>j</w:t>
      </w:r>
      <w:r w:rsidRPr="00B06390">
        <w:rPr>
          <w:noProof/>
          <w:lang w:val="en-US"/>
        </w:rPr>
        <w:t>.</w:t>
      </w:r>
      <w:r w:rsidRPr="001B7F70">
        <w:rPr>
          <w:noProof/>
          <w:lang w:val="en-US"/>
        </w:rPr>
        <w:t>det</w:t>
      </w:r>
      <w:r w:rsidRPr="00B06390">
        <w:rPr>
          <w:noProof/>
          <w:lang w:val="en-US"/>
        </w:rPr>
        <w:t>.2018.02.011</w:t>
      </w:r>
    </w:p>
    <w:p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rPr>
        <w:t>Лезвинская Е.М., Вавилов А.М. Лимфопролиферативные опухоли кожи: руководство для врачей. М</w:t>
      </w:r>
      <w:r w:rsidR="007F36A7" w:rsidRPr="007F36A7">
        <w:rPr>
          <w:noProof/>
          <w:lang w:val="en-US"/>
        </w:rPr>
        <w:t xml:space="preserve">.: </w:t>
      </w:r>
      <w:r w:rsidRPr="001B7F70">
        <w:rPr>
          <w:noProof/>
        </w:rPr>
        <w:t>Практическая</w:t>
      </w:r>
      <w:r w:rsidR="007F36A7" w:rsidRPr="007F36A7">
        <w:rPr>
          <w:noProof/>
          <w:lang w:val="en-US"/>
        </w:rPr>
        <w:t xml:space="preserve"> </w:t>
      </w:r>
      <w:r w:rsidRPr="001B7F70">
        <w:rPr>
          <w:noProof/>
        </w:rPr>
        <w:t>медицина</w:t>
      </w:r>
      <w:r w:rsidR="007F36A7" w:rsidRPr="007F36A7">
        <w:rPr>
          <w:noProof/>
          <w:lang w:val="en-US"/>
        </w:rPr>
        <w:t>; 2010</w:t>
      </w:r>
      <w:r>
        <w:rPr>
          <w:noProof/>
        </w:rPr>
        <w:t>, 366 с.</w:t>
      </w:r>
    </w:p>
    <w:p w:rsidR="00D90170" w:rsidRDefault="00E84EB4" w:rsidP="00D90170">
      <w:pPr>
        <w:pStyle w:val="afd"/>
        <w:widowControl w:val="0"/>
        <w:numPr>
          <w:ilvl w:val="0"/>
          <w:numId w:val="59"/>
        </w:numPr>
        <w:autoSpaceDE w:val="0"/>
        <w:autoSpaceDN w:val="0"/>
        <w:adjustRightInd w:val="0"/>
        <w:spacing w:before="100" w:after="100"/>
        <w:ind w:left="709" w:hanging="709"/>
        <w:rPr>
          <w:noProof/>
          <w:lang w:val="en-US"/>
        </w:rPr>
      </w:pPr>
      <w:r w:rsidRPr="00E84EB4">
        <w:rPr>
          <w:noProof/>
          <w:lang w:val="en-US"/>
        </w:rPr>
        <w:t>Wolff J</w:t>
      </w:r>
      <w:r>
        <w:rPr>
          <w:noProof/>
          <w:lang w:val="en-US"/>
        </w:rPr>
        <w:t>.</w:t>
      </w:r>
      <w:r w:rsidRPr="00E84EB4">
        <w:rPr>
          <w:noProof/>
          <w:lang w:val="en-US"/>
        </w:rPr>
        <w:t>M</w:t>
      </w:r>
      <w:r>
        <w:rPr>
          <w:noProof/>
          <w:lang w:val="en-US"/>
        </w:rPr>
        <w:t>.</w:t>
      </w:r>
      <w:r w:rsidRPr="00E84EB4">
        <w:rPr>
          <w:noProof/>
          <w:lang w:val="en-US"/>
        </w:rPr>
        <w:t>, Zitelli J</w:t>
      </w:r>
      <w:r>
        <w:rPr>
          <w:noProof/>
          <w:lang w:val="en-US"/>
        </w:rPr>
        <w:t>.</w:t>
      </w:r>
      <w:r w:rsidRPr="00E84EB4">
        <w:rPr>
          <w:noProof/>
          <w:lang w:val="en-US"/>
        </w:rPr>
        <w:t>A</w:t>
      </w:r>
      <w:r>
        <w:rPr>
          <w:noProof/>
          <w:lang w:val="en-US"/>
        </w:rPr>
        <w:t>.</w:t>
      </w:r>
      <w:r w:rsidRPr="00E84EB4">
        <w:rPr>
          <w:noProof/>
          <w:lang w:val="en-US"/>
        </w:rPr>
        <w:t>, Rabin B</w:t>
      </w:r>
      <w:r>
        <w:rPr>
          <w:noProof/>
          <w:lang w:val="en-US"/>
        </w:rPr>
        <w:t>.</w:t>
      </w:r>
      <w:r w:rsidRPr="00E84EB4">
        <w:rPr>
          <w:noProof/>
          <w:lang w:val="en-US"/>
        </w:rPr>
        <w:t>S</w:t>
      </w:r>
      <w:r>
        <w:rPr>
          <w:noProof/>
          <w:lang w:val="en-US"/>
        </w:rPr>
        <w:t>. et al</w:t>
      </w:r>
      <w:r w:rsidRPr="00E84EB4">
        <w:rPr>
          <w:noProof/>
          <w:lang w:val="en-US"/>
        </w:rPr>
        <w:t>. Intralesional interferon in the treatment of early mycosis fungoides. J Am Acad Dermatol. 1985; 13 (4): 604</w:t>
      </w:r>
      <w:r w:rsidRPr="001B7F70">
        <w:rPr>
          <w:noProof/>
          <w:lang w:val="en-US"/>
        </w:rPr>
        <w:t>–</w:t>
      </w:r>
      <w:r w:rsidRPr="00E84EB4">
        <w:rPr>
          <w:noProof/>
          <w:lang w:val="en-US"/>
        </w:rPr>
        <w:t>612. doi: 10.1016/s0190-9622(85)70205-8</w:t>
      </w:r>
    </w:p>
    <w:p w:rsidR="00E84EB4" w:rsidRDefault="00E84EB4" w:rsidP="00D90170">
      <w:pPr>
        <w:pStyle w:val="afd"/>
        <w:widowControl w:val="0"/>
        <w:numPr>
          <w:ilvl w:val="0"/>
          <w:numId w:val="59"/>
        </w:numPr>
        <w:autoSpaceDE w:val="0"/>
        <w:autoSpaceDN w:val="0"/>
        <w:adjustRightInd w:val="0"/>
        <w:spacing w:before="100" w:after="100"/>
        <w:ind w:left="709" w:hanging="709"/>
        <w:rPr>
          <w:noProof/>
          <w:lang w:val="en-US"/>
        </w:rPr>
      </w:pPr>
      <w:r w:rsidRPr="00E84EB4">
        <w:rPr>
          <w:noProof/>
          <w:lang w:val="en-US"/>
        </w:rPr>
        <w:t>Tan E</w:t>
      </w:r>
      <w:r>
        <w:rPr>
          <w:noProof/>
          <w:lang w:val="en-US"/>
        </w:rPr>
        <w:t>.</w:t>
      </w:r>
      <w:r w:rsidRPr="00E84EB4">
        <w:rPr>
          <w:noProof/>
          <w:lang w:val="en-US"/>
        </w:rPr>
        <w:t>, Tay Y</w:t>
      </w:r>
      <w:r>
        <w:rPr>
          <w:noProof/>
          <w:lang w:val="en-US"/>
        </w:rPr>
        <w:t>.</w:t>
      </w:r>
      <w:r w:rsidRPr="00E84EB4">
        <w:rPr>
          <w:noProof/>
          <w:lang w:val="en-US"/>
        </w:rPr>
        <w:t>K</w:t>
      </w:r>
      <w:r>
        <w:rPr>
          <w:noProof/>
          <w:lang w:val="en-US"/>
        </w:rPr>
        <w:t>.</w:t>
      </w:r>
      <w:r w:rsidRPr="00E84EB4">
        <w:rPr>
          <w:noProof/>
          <w:lang w:val="en-US"/>
        </w:rPr>
        <w:t>, Giam Y</w:t>
      </w:r>
      <w:r>
        <w:rPr>
          <w:noProof/>
          <w:lang w:val="en-US"/>
        </w:rPr>
        <w:t>.</w:t>
      </w:r>
      <w:r w:rsidRPr="00E84EB4">
        <w:rPr>
          <w:noProof/>
          <w:lang w:val="en-US"/>
        </w:rPr>
        <w:t>C. Profile and outcome of childhood mycosis fungoides in Singapore. Pediatr Dermatol. 2000;</w:t>
      </w:r>
      <w:r>
        <w:rPr>
          <w:noProof/>
          <w:lang w:val="en-US"/>
        </w:rPr>
        <w:t xml:space="preserve"> </w:t>
      </w:r>
      <w:r w:rsidRPr="00E84EB4">
        <w:rPr>
          <w:noProof/>
          <w:lang w:val="en-US"/>
        </w:rPr>
        <w:t>17</w:t>
      </w:r>
      <w:r>
        <w:rPr>
          <w:noProof/>
          <w:lang w:val="en-US"/>
        </w:rPr>
        <w:t xml:space="preserve"> </w:t>
      </w:r>
      <w:r w:rsidRPr="00E84EB4">
        <w:rPr>
          <w:noProof/>
          <w:lang w:val="en-US"/>
        </w:rPr>
        <w:t>(5):</w:t>
      </w:r>
      <w:r>
        <w:rPr>
          <w:noProof/>
          <w:lang w:val="en-US"/>
        </w:rPr>
        <w:t xml:space="preserve"> </w:t>
      </w:r>
      <w:r w:rsidRPr="00E84EB4">
        <w:rPr>
          <w:noProof/>
          <w:lang w:val="en-US"/>
        </w:rPr>
        <w:t>352</w:t>
      </w:r>
      <w:r w:rsidRPr="001B7F70">
        <w:rPr>
          <w:noProof/>
          <w:lang w:val="en-US"/>
        </w:rPr>
        <w:t>–</w:t>
      </w:r>
      <w:r>
        <w:rPr>
          <w:noProof/>
          <w:lang w:val="en-US"/>
        </w:rPr>
        <w:t>35</w:t>
      </w:r>
      <w:r w:rsidRPr="00E84EB4">
        <w:rPr>
          <w:noProof/>
          <w:lang w:val="en-US"/>
        </w:rPr>
        <w:t>6. doi: 10.1046/j.1525-1470.2000.017005352.x</w:t>
      </w:r>
    </w:p>
    <w:p w:rsidR="00E84EB4" w:rsidRDefault="00E84EB4" w:rsidP="00D90170">
      <w:pPr>
        <w:pStyle w:val="afd"/>
        <w:widowControl w:val="0"/>
        <w:numPr>
          <w:ilvl w:val="0"/>
          <w:numId w:val="59"/>
        </w:numPr>
        <w:autoSpaceDE w:val="0"/>
        <w:autoSpaceDN w:val="0"/>
        <w:adjustRightInd w:val="0"/>
        <w:spacing w:before="100" w:after="100"/>
        <w:ind w:left="709" w:hanging="709"/>
        <w:rPr>
          <w:noProof/>
          <w:lang w:val="en-US"/>
        </w:rPr>
      </w:pPr>
      <w:r w:rsidRPr="00E84EB4">
        <w:rPr>
          <w:noProof/>
          <w:lang w:val="en-US"/>
        </w:rPr>
        <w:t>Geller S</w:t>
      </w:r>
      <w:r>
        <w:rPr>
          <w:noProof/>
          <w:lang w:val="en-US"/>
        </w:rPr>
        <w:t>.</w:t>
      </w:r>
      <w:r w:rsidRPr="00E84EB4">
        <w:rPr>
          <w:noProof/>
          <w:lang w:val="en-US"/>
        </w:rPr>
        <w:t>, Myskowski P</w:t>
      </w:r>
      <w:r>
        <w:rPr>
          <w:noProof/>
          <w:lang w:val="en-US"/>
        </w:rPr>
        <w:t>.</w:t>
      </w:r>
      <w:r w:rsidRPr="00E84EB4">
        <w:rPr>
          <w:noProof/>
          <w:lang w:val="en-US"/>
        </w:rPr>
        <w:t>L. Topical clobetasol propionate treatment and cutaneous adverse effects in patients with early-stage mycosis fungoides: an observational study. Cutis. 2020;</w:t>
      </w:r>
      <w:r>
        <w:rPr>
          <w:noProof/>
          <w:lang w:val="en-US"/>
        </w:rPr>
        <w:t xml:space="preserve"> </w:t>
      </w:r>
      <w:r w:rsidRPr="00E84EB4">
        <w:rPr>
          <w:noProof/>
          <w:lang w:val="en-US"/>
        </w:rPr>
        <w:t>105</w:t>
      </w:r>
      <w:r>
        <w:rPr>
          <w:noProof/>
          <w:lang w:val="en-US"/>
        </w:rPr>
        <w:t xml:space="preserve"> </w:t>
      </w:r>
      <w:r w:rsidRPr="00E84EB4">
        <w:rPr>
          <w:noProof/>
          <w:lang w:val="en-US"/>
        </w:rPr>
        <w:t>(5):</w:t>
      </w:r>
      <w:r>
        <w:rPr>
          <w:noProof/>
          <w:lang w:val="en-US"/>
        </w:rPr>
        <w:t xml:space="preserve"> </w:t>
      </w:r>
      <w:r w:rsidRPr="00E84EB4">
        <w:rPr>
          <w:noProof/>
          <w:lang w:val="en-US"/>
        </w:rPr>
        <w:t>E27</w:t>
      </w:r>
      <w:r w:rsidRPr="001B7F70">
        <w:rPr>
          <w:noProof/>
          <w:lang w:val="en-US"/>
        </w:rPr>
        <w:t>–</w:t>
      </w:r>
      <w:r w:rsidRPr="00E84EB4">
        <w:rPr>
          <w:noProof/>
          <w:lang w:val="en-US"/>
        </w:rPr>
        <w:t>E32</w:t>
      </w:r>
    </w:p>
    <w:p w:rsidR="00E84EB4" w:rsidRDefault="00E84EB4" w:rsidP="00D90170">
      <w:pPr>
        <w:pStyle w:val="afd"/>
        <w:widowControl w:val="0"/>
        <w:numPr>
          <w:ilvl w:val="0"/>
          <w:numId w:val="59"/>
        </w:numPr>
        <w:autoSpaceDE w:val="0"/>
        <w:autoSpaceDN w:val="0"/>
        <w:adjustRightInd w:val="0"/>
        <w:spacing w:before="100" w:after="100"/>
        <w:ind w:left="709" w:hanging="709"/>
        <w:rPr>
          <w:noProof/>
          <w:lang w:val="en-US"/>
        </w:rPr>
      </w:pPr>
      <w:r w:rsidRPr="00E84EB4">
        <w:rPr>
          <w:noProof/>
          <w:lang w:val="en-US"/>
        </w:rPr>
        <w:t>Patraquim C</w:t>
      </w:r>
      <w:r>
        <w:rPr>
          <w:noProof/>
          <w:lang w:val="en-US"/>
        </w:rPr>
        <w:t>.</w:t>
      </w:r>
      <w:r w:rsidRPr="00E84EB4">
        <w:rPr>
          <w:noProof/>
          <w:lang w:val="en-US"/>
        </w:rPr>
        <w:t>, Gomes M</w:t>
      </w:r>
      <w:r>
        <w:rPr>
          <w:noProof/>
          <w:lang w:val="en-US"/>
        </w:rPr>
        <w:t>.</w:t>
      </w:r>
      <w:r w:rsidRPr="00E84EB4">
        <w:rPr>
          <w:noProof/>
          <w:lang w:val="en-US"/>
        </w:rPr>
        <w:t>M</w:t>
      </w:r>
      <w:r>
        <w:rPr>
          <w:noProof/>
          <w:lang w:val="en-US"/>
        </w:rPr>
        <w:t>.</w:t>
      </w:r>
      <w:r w:rsidRPr="00E84EB4">
        <w:rPr>
          <w:noProof/>
          <w:lang w:val="en-US"/>
        </w:rPr>
        <w:t>, Garcez C</w:t>
      </w:r>
      <w:r>
        <w:rPr>
          <w:noProof/>
          <w:lang w:val="en-US"/>
        </w:rPr>
        <w:t>. et al</w:t>
      </w:r>
      <w:r w:rsidRPr="00E84EB4">
        <w:rPr>
          <w:noProof/>
          <w:lang w:val="en-US"/>
        </w:rPr>
        <w:t xml:space="preserve">. Childhood </w:t>
      </w:r>
      <w:r>
        <w:rPr>
          <w:noProof/>
          <w:lang w:val="en-US"/>
        </w:rPr>
        <w:t>h</w:t>
      </w:r>
      <w:r w:rsidRPr="00E84EB4">
        <w:rPr>
          <w:noProof/>
          <w:lang w:val="en-US"/>
        </w:rPr>
        <w:t xml:space="preserve">ypopigmented </w:t>
      </w:r>
      <w:r>
        <w:rPr>
          <w:noProof/>
          <w:lang w:val="en-US"/>
        </w:rPr>
        <w:t>m</w:t>
      </w:r>
      <w:r w:rsidRPr="00E84EB4">
        <w:rPr>
          <w:noProof/>
          <w:lang w:val="en-US"/>
        </w:rPr>
        <w:t xml:space="preserve">ycosis </w:t>
      </w:r>
      <w:r>
        <w:rPr>
          <w:noProof/>
          <w:lang w:val="en-US"/>
        </w:rPr>
        <w:t>f</w:t>
      </w:r>
      <w:r w:rsidRPr="00E84EB4">
        <w:rPr>
          <w:noProof/>
          <w:lang w:val="en-US"/>
        </w:rPr>
        <w:t xml:space="preserve">ungoides: </w:t>
      </w:r>
      <w:r w:rsidRPr="00E84EB4">
        <w:rPr>
          <w:noProof/>
          <w:lang w:val="en-US"/>
        </w:rPr>
        <w:lastRenderedPageBreak/>
        <w:t xml:space="preserve">A </w:t>
      </w:r>
      <w:r>
        <w:rPr>
          <w:noProof/>
          <w:lang w:val="en-US"/>
        </w:rPr>
        <w:t>r</w:t>
      </w:r>
      <w:r w:rsidRPr="00E84EB4">
        <w:rPr>
          <w:noProof/>
          <w:lang w:val="en-US"/>
        </w:rPr>
        <w:t xml:space="preserve">are </w:t>
      </w:r>
      <w:r>
        <w:rPr>
          <w:noProof/>
          <w:lang w:val="en-US"/>
        </w:rPr>
        <w:t>d</w:t>
      </w:r>
      <w:r w:rsidRPr="00E84EB4">
        <w:rPr>
          <w:noProof/>
          <w:lang w:val="en-US"/>
        </w:rPr>
        <w:t>iagnosis. Case Rep Pediatr. 2016;</w:t>
      </w:r>
      <w:r>
        <w:rPr>
          <w:noProof/>
          <w:lang w:val="en-US"/>
        </w:rPr>
        <w:t xml:space="preserve"> </w:t>
      </w:r>
      <w:r w:rsidRPr="00E84EB4">
        <w:rPr>
          <w:noProof/>
          <w:lang w:val="en-US"/>
        </w:rPr>
        <w:t>2016:</w:t>
      </w:r>
      <w:r>
        <w:rPr>
          <w:noProof/>
          <w:lang w:val="en-US"/>
        </w:rPr>
        <w:t xml:space="preserve"> </w:t>
      </w:r>
      <w:r w:rsidRPr="00E84EB4">
        <w:rPr>
          <w:noProof/>
          <w:lang w:val="en-US"/>
        </w:rPr>
        <w:t>8564389. doi: 10.1155/2016/8564389</w:t>
      </w:r>
    </w:p>
    <w:p w:rsidR="00E84EB4" w:rsidRDefault="00E84EB4" w:rsidP="00D90170">
      <w:pPr>
        <w:pStyle w:val="afd"/>
        <w:widowControl w:val="0"/>
        <w:numPr>
          <w:ilvl w:val="0"/>
          <w:numId w:val="59"/>
        </w:numPr>
        <w:autoSpaceDE w:val="0"/>
        <w:autoSpaceDN w:val="0"/>
        <w:adjustRightInd w:val="0"/>
        <w:spacing w:before="100" w:after="100"/>
        <w:ind w:left="709" w:hanging="709"/>
        <w:rPr>
          <w:noProof/>
          <w:lang w:val="en-US"/>
        </w:rPr>
      </w:pPr>
      <w:r w:rsidRPr="00E84EB4">
        <w:rPr>
          <w:noProof/>
          <w:lang w:val="en-US"/>
        </w:rPr>
        <w:t>Itoh K</w:t>
      </w:r>
      <w:r>
        <w:rPr>
          <w:noProof/>
          <w:lang w:val="en-US"/>
        </w:rPr>
        <w:t>.</w:t>
      </w:r>
      <w:r w:rsidRPr="00E84EB4">
        <w:rPr>
          <w:noProof/>
          <w:lang w:val="en-US"/>
        </w:rPr>
        <w:t>, Ohtsu T</w:t>
      </w:r>
      <w:r>
        <w:rPr>
          <w:noProof/>
          <w:lang w:val="en-US"/>
        </w:rPr>
        <w:t>.</w:t>
      </w:r>
      <w:r w:rsidRPr="00E84EB4">
        <w:rPr>
          <w:noProof/>
          <w:lang w:val="en-US"/>
        </w:rPr>
        <w:t>, Fukuda H</w:t>
      </w:r>
      <w:r>
        <w:rPr>
          <w:noProof/>
          <w:lang w:val="en-US"/>
        </w:rPr>
        <w:t>.</w:t>
      </w:r>
      <w:r w:rsidRPr="00E84EB4">
        <w:rPr>
          <w:noProof/>
          <w:lang w:val="en-US"/>
        </w:rPr>
        <w:t xml:space="preserve"> </w:t>
      </w:r>
      <w:r>
        <w:rPr>
          <w:noProof/>
          <w:lang w:val="en-US"/>
        </w:rPr>
        <w:t>et al</w:t>
      </w:r>
      <w:r w:rsidRPr="00E84EB4">
        <w:rPr>
          <w:noProof/>
          <w:lang w:val="en-US"/>
        </w:rPr>
        <w:t xml:space="preserve">. Randomized phase II study of biweekly CHOP and dose-escalated CHOP with prophylactic use of lenograstim (glycosylated G-CSF) in aggressive non-Hodgkin's lymphoma: Japan Clinical Oncology Group Study 9505. </w:t>
      </w:r>
      <w:r w:rsidRPr="00E84EB4">
        <w:rPr>
          <w:noProof/>
        </w:rPr>
        <w:t>Ann Oncol. 2002;</w:t>
      </w:r>
      <w:r>
        <w:rPr>
          <w:noProof/>
          <w:lang w:val="en-US"/>
        </w:rPr>
        <w:t xml:space="preserve"> </w:t>
      </w:r>
      <w:r w:rsidRPr="00E84EB4">
        <w:rPr>
          <w:noProof/>
        </w:rPr>
        <w:t>13</w:t>
      </w:r>
      <w:r>
        <w:rPr>
          <w:noProof/>
          <w:lang w:val="en-US"/>
        </w:rPr>
        <w:t xml:space="preserve"> </w:t>
      </w:r>
      <w:r w:rsidRPr="00E84EB4">
        <w:rPr>
          <w:noProof/>
        </w:rPr>
        <w:t>(9):</w:t>
      </w:r>
      <w:r>
        <w:rPr>
          <w:noProof/>
          <w:lang w:val="en-US"/>
        </w:rPr>
        <w:t xml:space="preserve"> </w:t>
      </w:r>
      <w:r w:rsidRPr="00E84EB4">
        <w:rPr>
          <w:noProof/>
        </w:rPr>
        <w:t>1347</w:t>
      </w:r>
      <w:r w:rsidRPr="001B7F70">
        <w:rPr>
          <w:noProof/>
          <w:lang w:val="en-US"/>
        </w:rPr>
        <w:t>–</w:t>
      </w:r>
      <w:r>
        <w:rPr>
          <w:noProof/>
          <w:lang w:val="en-US"/>
        </w:rPr>
        <w:t>13</w:t>
      </w:r>
      <w:r w:rsidRPr="00E84EB4">
        <w:rPr>
          <w:noProof/>
        </w:rPr>
        <w:t>55. doi: 10.1093/annonc/mdf287</w:t>
      </w:r>
    </w:p>
    <w:p w:rsidR="00E84EB4" w:rsidRDefault="00E84EB4" w:rsidP="00D90170">
      <w:pPr>
        <w:pStyle w:val="afd"/>
        <w:widowControl w:val="0"/>
        <w:numPr>
          <w:ilvl w:val="0"/>
          <w:numId w:val="59"/>
        </w:numPr>
        <w:autoSpaceDE w:val="0"/>
        <w:autoSpaceDN w:val="0"/>
        <w:adjustRightInd w:val="0"/>
        <w:spacing w:before="100" w:after="100"/>
        <w:ind w:left="709" w:hanging="709"/>
        <w:rPr>
          <w:noProof/>
          <w:lang w:val="en-US"/>
        </w:rPr>
      </w:pPr>
      <w:r w:rsidRPr="00E84EB4">
        <w:rPr>
          <w:noProof/>
          <w:lang w:val="en-US"/>
        </w:rPr>
        <w:t>Foss F</w:t>
      </w:r>
      <w:r>
        <w:rPr>
          <w:noProof/>
          <w:lang w:val="en-US"/>
        </w:rPr>
        <w:t>.</w:t>
      </w:r>
      <w:r w:rsidRPr="00E84EB4">
        <w:rPr>
          <w:noProof/>
          <w:lang w:val="en-US"/>
        </w:rPr>
        <w:t>M</w:t>
      </w:r>
      <w:r>
        <w:rPr>
          <w:noProof/>
          <w:lang w:val="en-US"/>
        </w:rPr>
        <w:t>.</w:t>
      </w:r>
      <w:r w:rsidRPr="00E84EB4">
        <w:rPr>
          <w:noProof/>
          <w:lang w:val="en-US"/>
        </w:rPr>
        <w:t>, Sjak-Shie N</w:t>
      </w:r>
      <w:r>
        <w:rPr>
          <w:noProof/>
          <w:lang w:val="en-US"/>
        </w:rPr>
        <w:t>.</w:t>
      </w:r>
      <w:r w:rsidRPr="00E84EB4">
        <w:rPr>
          <w:noProof/>
          <w:lang w:val="en-US"/>
        </w:rPr>
        <w:t>, Goy A</w:t>
      </w:r>
      <w:r>
        <w:rPr>
          <w:noProof/>
          <w:lang w:val="en-US"/>
        </w:rPr>
        <w:t>. et al</w:t>
      </w:r>
      <w:r w:rsidRPr="00E84EB4">
        <w:rPr>
          <w:noProof/>
          <w:lang w:val="en-US"/>
        </w:rPr>
        <w:t>. A multicenter phase II trial to determine the safety and efficacy of combination therapy with denileukin diftitox and cyclophosphamide, doxorubicin, vincristine and prednisone in untreated peripheral T-cell lymphoma: the CONCEPT study. Leuk Lymphoma. 2013;</w:t>
      </w:r>
      <w:r>
        <w:rPr>
          <w:noProof/>
          <w:lang w:val="en-US"/>
        </w:rPr>
        <w:t xml:space="preserve"> </w:t>
      </w:r>
      <w:r w:rsidRPr="00E84EB4">
        <w:rPr>
          <w:noProof/>
          <w:lang w:val="en-US"/>
        </w:rPr>
        <w:t>54</w:t>
      </w:r>
      <w:r>
        <w:rPr>
          <w:noProof/>
          <w:lang w:val="en-US"/>
        </w:rPr>
        <w:t xml:space="preserve"> </w:t>
      </w:r>
      <w:r w:rsidRPr="00E84EB4">
        <w:rPr>
          <w:noProof/>
          <w:lang w:val="en-US"/>
        </w:rPr>
        <w:t>(7):</w:t>
      </w:r>
      <w:r>
        <w:rPr>
          <w:noProof/>
          <w:lang w:val="en-US"/>
        </w:rPr>
        <w:t xml:space="preserve"> </w:t>
      </w:r>
      <w:r w:rsidRPr="00E84EB4">
        <w:rPr>
          <w:noProof/>
          <w:lang w:val="en-US"/>
        </w:rPr>
        <w:t>1373</w:t>
      </w:r>
      <w:r w:rsidRPr="001B7F70">
        <w:rPr>
          <w:noProof/>
          <w:lang w:val="en-US"/>
        </w:rPr>
        <w:t>–</w:t>
      </w:r>
      <w:r>
        <w:rPr>
          <w:noProof/>
          <w:lang w:val="en-US"/>
        </w:rPr>
        <w:t>137</w:t>
      </w:r>
      <w:r w:rsidRPr="00E84EB4">
        <w:rPr>
          <w:noProof/>
          <w:lang w:val="en-US"/>
        </w:rPr>
        <w:t>9. doi: 10.3109/10428194.2012.742521</w:t>
      </w:r>
    </w:p>
    <w:p w:rsidR="00E84EB4" w:rsidRPr="005019D7" w:rsidRDefault="005019D7" w:rsidP="00D90170">
      <w:pPr>
        <w:pStyle w:val="afd"/>
        <w:widowControl w:val="0"/>
        <w:numPr>
          <w:ilvl w:val="0"/>
          <w:numId w:val="59"/>
        </w:numPr>
        <w:autoSpaceDE w:val="0"/>
        <w:autoSpaceDN w:val="0"/>
        <w:adjustRightInd w:val="0"/>
        <w:spacing w:before="100" w:after="100"/>
        <w:ind w:left="709" w:hanging="709"/>
        <w:rPr>
          <w:noProof/>
          <w:lang w:val="en-US"/>
        </w:rPr>
      </w:pPr>
      <w:r w:rsidRPr="00CF46D6">
        <w:rPr>
          <w:szCs w:val="24"/>
          <w:lang w:val="en-US"/>
        </w:rPr>
        <w:t xml:space="preserve">Aparna C, Renuka IV, Rajani M, Sailabala G, Annapurna P. Primary extranodal lymphomas - spectrum of distribution and morphology with immunophenotyping: A 3-year institutional study. </w:t>
      </w:r>
      <w:r w:rsidRPr="00CF46D6">
        <w:rPr>
          <w:szCs w:val="24"/>
        </w:rPr>
        <w:t>Med J DY Patil Univ 2015;</w:t>
      </w:r>
      <w:r>
        <w:rPr>
          <w:szCs w:val="24"/>
          <w:lang w:val="en-US"/>
        </w:rPr>
        <w:t xml:space="preserve"> </w:t>
      </w:r>
      <w:r w:rsidRPr="00CF46D6">
        <w:rPr>
          <w:szCs w:val="24"/>
        </w:rPr>
        <w:t>8:</w:t>
      </w:r>
      <w:r>
        <w:rPr>
          <w:szCs w:val="24"/>
          <w:lang w:val="en-US"/>
        </w:rPr>
        <w:t xml:space="preserve"> </w:t>
      </w:r>
      <w:r w:rsidRPr="00CF46D6">
        <w:rPr>
          <w:szCs w:val="24"/>
        </w:rPr>
        <w:t>138</w:t>
      </w:r>
      <w:r w:rsidRPr="001B7F70">
        <w:rPr>
          <w:noProof/>
          <w:lang w:val="en-US"/>
        </w:rPr>
        <w:t>–</w:t>
      </w:r>
      <w:r>
        <w:rPr>
          <w:szCs w:val="24"/>
          <w:lang w:val="en-US"/>
        </w:rPr>
        <w:t>1</w:t>
      </w:r>
      <w:r w:rsidRPr="00CF46D6">
        <w:rPr>
          <w:szCs w:val="24"/>
        </w:rPr>
        <w:t>43</w:t>
      </w:r>
      <w:r>
        <w:rPr>
          <w:szCs w:val="24"/>
          <w:lang w:val="en-US"/>
        </w:rPr>
        <w:t xml:space="preserve">. </w:t>
      </w:r>
      <w:r w:rsidRPr="005019D7">
        <w:rPr>
          <w:b/>
          <w:bCs/>
          <w:szCs w:val="24"/>
        </w:rPr>
        <w:t>DOI</w:t>
      </w:r>
      <w:r>
        <w:rPr>
          <w:szCs w:val="24"/>
        </w:rPr>
        <w:t>:10.4103/0975-2870.153137</w:t>
      </w:r>
    </w:p>
    <w:p w:rsidR="005019D7" w:rsidRPr="00217732" w:rsidRDefault="005019D7" w:rsidP="00D90170">
      <w:pPr>
        <w:pStyle w:val="afd"/>
        <w:widowControl w:val="0"/>
        <w:numPr>
          <w:ilvl w:val="0"/>
          <w:numId w:val="59"/>
        </w:numPr>
        <w:autoSpaceDE w:val="0"/>
        <w:autoSpaceDN w:val="0"/>
        <w:adjustRightInd w:val="0"/>
        <w:spacing w:before="100" w:after="100"/>
        <w:ind w:left="709" w:hanging="709"/>
        <w:rPr>
          <w:noProof/>
          <w:lang w:val="en-US"/>
        </w:rPr>
      </w:pPr>
      <w:r w:rsidRPr="005019D7">
        <w:rPr>
          <w:noProof/>
          <w:lang w:val="en-US"/>
        </w:rPr>
        <w:t>Hooper M.</w:t>
      </w:r>
      <w:r>
        <w:rPr>
          <w:noProof/>
          <w:lang w:val="en-US"/>
        </w:rPr>
        <w:t>, Zhang Y., Taylor E.</w:t>
      </w:r>
      <w:r w:rsidRPr="005019D7">
        <w:rPr>
          <w:noProof/>
          <w:lang w:val="en-US"/>
        </w:rPr>
        <w:t xml:space="preserve"> et al. Practice patterns in children, adolescents, and young adults with mycosis fungoides: Single institution study. </w:t>
      </w:r>
      <w:r w:rsidR="00217732">
        <w:rPr>
          <w:noProof/>
          <w:lang w:val="en-US"/>
        </w:rPr>
        <w:t>J</w:t>
      </w:r>
      <w:r w:rsidR="00217732" w:rsidRPr="00217732">
        <w:rPr>
          <w:noProof/>
          <w:lang w:val="en-US"/>
        </w:rPr>
        <w:t xml:space="preserve"> </w:t>
      </w:r>
      <w:r w:rsidR="00217732">
        <w:rPr>
          <w:noProof/>
          <w:lang w:val="en-US"/>
        </w:rPr>
        <w:t>Clin</w:t>
      </w:r>
      <w:r w:rsidR="00217732" w:rsidRPr="00217732">
        <w:rPr>
          <w:noProof/>
          <w:lang w:val="en-US"/>
        </w:rPr>
        <w:t xml:space="preserve"> </w:t>
      </w:r>
      <w:r w:rsidR="00217732">
        <w:rPr>
          <w:noProof/>
          <w:lang w:val="en-US"/>
        </w:rPr>
        <w:t>Oncol</w:t>
      </w:r>
      <w:r w:rsidR="00217732" w:rsidRPr="00217732">
        <w:rPr>
          <w:noProof/>
          <w:lang w:val="en-US"/>
        </w:rPr>
        <w:t>.</w:t>
      </w:r>
      <w:r w:rsidR="00217732">
        <w:rPr>
          <w:noProof/>
          <w:lang w:val="en-US"/>
        </w:rPr>
        <w:t xml:space="preserve"> </w:t>
      </w:r>
      <w:r w:rsidRPr="00217732">
        <w:rPr>
          <w:noProof/>
          <w:lang w:val="en-US"/>
        </w:rPr>
        <w:t>2021</w:t>
      </w:r>
      <w:r w:rsidR="00217732">
        <w:rPr>
          <w:noProof/>
          <w:lang w:val="en-US"/>
        </w:rPr>
        <w:t>; 39 (15 Suppl.).</w:t>
      </w:r>
      <w:r w:rsidR="00217732" w:rsidRPr="00217732">
        <w:rPr>
          <w:rFonts w:ascii="Arial" w:hAnsi="Arial" w:cs="Arial"/>
          <w:b/>
          <w:bCs/>
          <w:color w:val="555555"/>
          <w:sz w:val="17"/>
          <w:szCs w:val="17"/>
          <w:shd w:val="clear" w:color="auto" w:fill="FFFFFF"/>
          <w:lang w:val="en-US"/>
        </w:rPr>
        <w:t xml:space="preserve"> </w:t>
      </w:r>
      <w:r w:rsidR="00217732" w:rsidRPr="00217732">
        <w:rPr>
          <w:bCs/>
          <w:noProof/>
          <w:lang w:val="en-US"/>
        </w:rPr>
        <w:t>Meeting Abstract</w:t>
      </w:r>
      <w:r w:rsidR="00217732">
        <w:rPr>
          <w:bCs/>
          <w:noProof/>
          <w:lang w:val="en-US"/>
        </w:rPr>
        <w:t>.</w:t>
      </w:r>
      <w:r w:rsidR="00217732" w:rsidRPr="00217732">
        <w:rPr>
          <w:bCs/>
          <w:noProof/>
          <w:lang w:val="en-US"/>
        </w:rPr>
        <w:t xml:space="preserve"> 2021 ASCO Annual Meeting I</w:t>
      </w:r>
      <w:r w:rsidR="00217732">
        <w:rPr>
          <w:bCs/>
          <w:noProof/>
          <w:lang w:val="en-US"/>
        </w:rPr>
        <w:t>:</w:t>
      </w:r>
      <w:r w:rsidR="00217732">
        <w:rPr>
          <w:noProof/>
          <w:lang w:val="en-US"/>
        </w:rPr>
        <w:t xml:space="preserve"> </w:t>
      </w:r>
      <w:r w:rsidR="00217732" w:rsidRPr="00217732">
        <w:rPr>
          <w:bCs/>
          <w:noProof/>
          <w:lang w:val="en-US"/>
        </w:rPr>
        <w:t>e19553</w:t>
      </w:r>
      <w:r w:rsidR="00217732">
        <w:rPr>
          <w:bCs/>
          <w:noProof/>
          <w:lang w:val="en-US"/>
        </w:rPr>
        <w:t xml:space="preserve">. </w:t>
      </w:r>
      <w:r w:rsidR="00217732" w:rsidRPr="00217732">
        <w:rPr>
          <w:bCs/>
          <w:noProof/>
        </w:rPr>
        <w:t>DOI: 10.1200/JCO.2021.39.15_suppl.e19553</w:t>
      </w:r>
    </w:p>
    <w:p w:rsidR="005019D7" w:rsidRDefault="005019D7" w:rsidP="00D90170">
      <w:pPr>
        <w:pStyle w:val="afd"/>
        <w:widowControl w:val="0"/>
        <w:numPr>
          <w:ilvl w:val="0"/>
          <w:numId w:val="59"/>
        </w:numPr>
        <w:autoSpaceDE w:val="0"/>
        <w:autoSpaceDN w:val="0"/>
        <w:adjustRightInd w:val="0"/>
        <w:spacing w:before="100" w:after="100"/>
        <w:ind w:left="709" w:hanging="709"/>
        <w:rPr>
          <w:noProof/>
          <w:lang w:val="en-US"/>
        </w:rPr>
      </w:pPr>
      <w:r>
        <w:rPr>
          <w:noProof/>
        </w:rPr>
        <w:t>Мякова</w:t>
      </w:r>
      <w:r w:rsidRPr="006C7346">
        <w:rPr>
          <w:noProof/>
        </w:rPr>
        <w:t xml:space="preserve"> </w:t>
      </w:r>
      <w:r>
        <w:rPr>
          <w:noProof/>
        </w:rPr>
        <w:t>Н</w:t>
      </w:r>
      <w:r w:rsidRPr="006C7346">
        <w:rPr>
          <w:noProof/>
        </w:rPr>
        <w:t>.</w:t>
      </w:r>
      <w:r w:rsidRPr="005019D7">
        <w:rPr>
          <w:noProof/>
        </w:rPr>
        <w:t>В</w:t>
      </w:r>
      <w:r w:rsidRPr="006C7346">
        <w:rPr>
          <w:noProof/>
        </w:rPr>
        <w:t xml:space="preserve">., </w:t>
      </w:r>
      <w:r>
        <w:rPr>
          <w:noProof/>
        </w:rPr>
        <w:t>Абрамов</w:t>
      </w:r>
      <w:r w:rsidRPr="006C7346">
        <w:rPr>
          <w:noProof/>
        </w:rPr>
        <w:t xml:space="preserve"> </w:t>
      </w:r>
      <w:r>
        <w:rPr>
          <w:noProof/>
        </w:rPr>
        <w:t>Д</w:t>
      </w:r>
      <w:r w:rsidRPr="006C7346">
        <w:rPr>
          <w:noProof/>
        </w:rPr>
        <w:t>.</w:t>
      </w:r>
      <w:r>
        <w:rPr>
          <w:noProof/>
        </w:rPr>
        <w:t>С</w:t>
      </w:r>
      <w:r w:rsidRPr="006C7346">
        <w:rPr>
          <w:noProof/>
        </w:rPr>
        <w:t xml:space="preserve">., </w:t>
      </w:r>
      <w:r>
        <w:rPr>
          <w:noProof/>
        </w:rPr>
        <w:t>Пшонкин</w:t>
      </w:r>
      <w:r w:rsidRPr="006C7346">
        <w:rPr>
          <w:noProof/>
        </w:rPr>
        <w:t xml:space="preserve"> </w:t>
      </w:r>
      <w:r>
        <w:rPr>
          <w:noProof/>
        </w:rPr>
        <w:t>А</w:t>
      </w:r>
      <w:r w:rsidRPr="006C7346">
        <w:rPr>
          <w:noProof/>
        </w:rPr>
        <w:t>.</w:t>
      </w:r>
      <w:r>
        <w:rPr>
          <w:noProof/>
        </w:rPr>
        <w:t>В</w:t>
      </w:r>
      <w:r w:rsidRPr="006C7346">
        <w:rPr>
          <w:noProof/>
        </w:rPr>
        <w:t xml:space="preserve">., </w:t>
      </w:r>
      <w:r>
        <w:rPr>
          <w:noProof/>
        </w:rPr>
        <w:t>Коновалов</w:t>
      </w:r>
      <w:r w:rsidRPr="006C7346">
        <w:rPr>
          <w:noProof/>
        </w:rPr>
        <w:t xml:space="preserve"> </w:t>
      </w:r>
      <w:r>
        <w:rPr>
          <w:noProof/>
        </w:rPr>
        <w:t>Д</w:t>
      </w:r>
      <w:r w:rsidRPr="006C7346">
        <w:rPr>
          <w:noProof/>
        </w:rPr>
        <w:t>.</w:t>
      </w:r>
      <w:r>
        <w:rPr>
          <w:noProof/>
        </w:rPr>
        <w:t>М</w:t>
      </w:r>
      <w:r w:rsidRPr="006C7346">
        <w:rPr>
          <w:noProof/>
        </w:rPr>
        <w:t xml:space="preserve">. </w:t>
      </w:r>
      <w:r w:rsidRPr="005019D7">
        <w:rPr>
          <w:noProof/>
        </w:rPr>
        <w:t>Редкий</w:t>
      </w:r>
      <w:r w:rsidRPr="006C7346">
        <w:rPr>
          <w:noProof/>
        </w:rPr>
        <w:t xml:space="preserve"> </w:t>
      </w:r>
      <w:r w:rsidRPr="005019D7">
        <w:rPr>
          <w:noProof/>
        </w:rPr>
        <w:t>случай</w:t>
      </w:r>
      <w:r w:rsidRPr="006C7346">
        <w:rPr>
          <w:noProof/>
        </w:rPr>
        <w:t xml:space="preserve"> </w:t>
      </w:r>
      <w:r w:rsidRPr="005019D7">
        <w:rPr>
          <w:noProof/>
        </w:rPr>
        <w:t>грибовидного</w:t>
      </w:r>
      <w:r w:rsidRPr="006C7346">
        <w:rPr>
          <w:noProof/>
        </w:rPr>
        <w:t xml:space="preserve"> </w:t>
      </w:r>
      <w:r w:rsidRPr="005019D7">
        <w:rPr>
          <w:noProof/>
        </w:rPr>
        <w:t>микоза</w:t>
      </w:r>
      <w:r w:rsidRPr="006C7346">
        <w:rPr>
          <w:noProof/>
        </w:rPr>
        <w:t xml:space="preserve"> </w:t>
      </w:r>
      <w:r w:rsidRPr="005019D7">
        <w:rPr>
          <w:noProof/>
        </w:rPr>
        <w:t>у</w:t>
      </w:r>
      <w:r w:rsidRPr="006C7346">
        <w:rPr>
          <w:noProof/>
        </w:rPr>
        <w:t xml:space="preserve"> </w:t>
      </w:r>
      <w:r w:rsidRPr="005019D7">
        <w:rPr>
          <w:noProof/>
        </w:rPr>
        <w:t>детей</w:t>
      </w:r>
      <w:r w:rsidRPr="006C7346">
        <w:rPr>
          <w:noProof/>
        </w:rPr>
        <w:t xml:space="preserve">. </w:t>
      </w:r>
      <w:r w:rsidRPr="005019D7">
        <w:rPr>
          <w:noProof/>
        </w:rPr>
        <w:t>Собственное</w:t>
      </w:r>
      <w:r w:rsidRPr="00217732">
        <w:rPr>
          <w:noProof/>
          <w:lang w:val="en-US"/>
        </w:rPr>
        <w:t xml:space="preserve"> </w:t>
      </w:r>
      <w:r w:rsidRPr="005019D7">
        <w:rPr>
          <w:noProof/>
        </w:rPr>
        <w:t>наблюдение</w:t>
      </w:r>
      <w:r w:rsidRPr="005019D7">
        <w:rPr>
          <w:noProof/>
          <w:lang w:val="en-US"/>
        </w:rPr>
        <w:t xml:space="preserve"> </w:t>
      </w:r>
      <w:r w:rsidRPr="005019D7">
        <w:rPr>
          <w:noProof/>
        </w:rPr>
        <w:t>и</w:t>
      </w:r>
      <w:r w:rsidRPr="005019D7">
        <w:rPr>
          <w:noProof/>
          <w:lang w:val="en-US"/>
        </w:rPr>
        <w:t xml:space="preserve"> </w:t>
      </w:r>
      <w:r w:rsidRPr="005019D7">
        <w:rPr>
          <w:noProof/>
        </w:rPr>
        <w:t>обзор литературы</w:t>
      </w:r>
      <w:r>
        <w:rPr>
          <w:noProof/>
        </w:rPr>
        <w:t>.</w:t>
      </w:r>
      <w:r w:rsidRPr="005019D7">
        <w:rPr>
          <w:noProof/>
        </w:rPr>
        <w:t xml:space="preserve"> Доктор</w:t>
      </w:r>
      <w:r w:rsidRPr="005019D7">
        <w:rPr>
          <w:noProof/>
          <w:lang w:val="en-US"/>
        </w:rPr>
        <w:t xml:space="preserve">. </w:t>
      </w:r>
      <w:r w:rsidRPr="005019D7">
        <w:rPr>
          <w:noProof/>
        </w:rPr>
        <w:t>Ру</w:t>
      </w:r>
      <w:r w:rsidRPr="005019D7">
        <w:rPr>
          <w:noProof/>
          <w:lang w:val="en-US"/>
        </w:rPr>
        <w:t>. 2015; 13 (114)</w:t>
      </w:r>
      <w:r>
        <w:rPr>
          <w:noProof/>
        </w:rPr>
        <w:t>:</w:t>
      </w:r>
      <w:r w:rsidRPr="005019D7">
        <w:rPr>
          <w:noProof/>
          <w:lang w:val="en-US"/>
        </w:rPr>
        <w:t xml:space="preserve"> 73–79.</w:t>
      </w:r>
    </w:p>
    <w:p w:rsidR="00217732" w:rsidRDefault="00217732" w:rsidP="00D90170">
      <w:pPr>
        <w:pStyle w:val="afd"/>
        <w:widowControl w:val="0"/>
        <w:numPr>
          <w:ilvl w:val="0"/>
          <w:numId w:val="59"/>
        </w:numPr>
        <w:autoSpaceDE w:val="0"/>
        <w:autoSpaceDN w:val="0"/>
        <w:adjustRightInd w:val="0"/>
        <w:spacing w:before="100" w:after="100"/>
        <w:ind w:left="709" w:hanging="709"/>
        <w:rPr>
          <w:noProof/>
          <w:lang w:val="en-US"/>
        </w:rPr>
      </w:pPr>
      <w:r w:rsidRPr="00217732">
        <w:rPr>
          <w:noProof/>
          <w:lang w:val="en-US"/>
        </w:rPr>
        <w:t>Reich A</w:t>
      </w:r>
      <w:r>
        <w:rPr>
          <w:noProof/>
          <w:lang w:val="en-US"/>
        </w:rPr>
        <w:t>.</w:t>
      </w:r>
      <w:r w:rsidRPr="00217732">
        <w:rPr>
          <w:noProof/>
          <w:lang w:val="en-US"/>
        </w:rPr>
        <w:t>, Wróbel G</w:t>
      </w:r>
      <w:r>
        <w:rPr>
          <w:noProof/>
          <w:lang w:val="en-US"/>
        </w:rPr>
        <w:t>.</w:t>
      </w:r>
      <w:r w:rsidRPr="00217732">
        <w:rPr>
          <w:noProof/>
          <w:lang w:val="en-US"/>
        </w:rPr>
        <w:t>, Kazanowska B</w:t>
      </w:r>
      <w:r>
        <w:rPr>
          <w:noProof/>
          <w:lang w:val="en-US"/>
        </w:rPr>
        <w:t>. et al</w:t>
      </w:r>
      <w:r w:rsidRPr="00217732">
        <w:rPr>
          <w:noProof/>
          <w:lang w:val="en-US"/>
        </w:rPr>
        <w:t>. Skin involvement in highly malignant non-Hodgkin lymphomas of childhood and adolescence. Acta Dermatovenerol Alp Pannonica Adriat. 2006;</w:t>
      </w:r>
      <w:r w:rsidR="00502D50">
        <w:rPr>
          <w:noProof/>
          <w:lang w:val="en-US"/>
        </w:rPr>
        <w:t xml:space="preserve"> </w:t>
      </w:r>
      <w:r w:rsidRPr="00217732">
        <w:rPr>
          <w:noProof/>
          <w:lang w:val="en-US"/>
        </w:rPr>
        <w:t>15</w:t>
      </w:r>
      <w:r w:rsidR="00502D50">
        <w:rPr>
          <w:noProof/>
          <w:lang w:val="en-US"/>
        </w:rPr>
        <w:t xml:space="preserve"> </w:t>
      </w:r>
      <w:r w:rsidRPr="00217732">
        <w:rPr>
          <w:noProof/>
          <w:lang w:val="en-US"/>
        </w:rPr>
        <w:t>(4):</w:t>
      </w:r>
      <w:r w:rsidR="00502D50">
        <w:rPr>
          <w:noProof/>
          <w:lang w:val="en-US"/>
        </w:rPr>
        <w:t xml:space="preserve"> </w:t>
      </w:r>
      <w:r w:rsidRPr="00217732">
        <w:rPr>
          <w:noProof/>
          <w:lang w:val="en-US"/>
        </w:rPr>
        <w:t>158</w:t>
      </w:r>
      <w:r w:rsidR="00502D50" w:rsidRPr="005019D7">
        <w:rPr>
          <w:noProof/>
          <w:lang w:val="en-US"/>
        </w:rPr>
        <w:t>–</w:t>
      </w:r>
      <w:r>
        <w:rPr>
          <w:noProof/>
          <w:lang w:val="en-US"/>
        </w:rPr>
        <w:t>1</w:t>
      </w:r>
      <w:r w:rsidRPr="00217732">
        <w:rPr>
          <w:noProof/>
          <w:lang w:val="en-US"/>
        </w:rPr>
        <w:t>68</w:t>
      </w:r>
      <w:r w:rsidR="00502D50">
        <w:rPr>
          <w:noProof/>
          <w:lang w:val="en-US"/>
        </w:rPr>
        <w:t>.</w:t>
      </w:r>
    </w:p>
    <w:p w:rsidR="00415E00" w:rsidRPr="00502D50" w:rsidRDefault="00502D50" w:rsidP="00502D50">
      <w:pPr>
        <w:pStyle w:val="afd"/>
        <w:widowControl w:val="0"/>
        <w:numPr>
          <w:ilvl w:val="0"/>
          <w:numId w:val="59"/>
        </w:numPr>
        <w:autoSpaceDE w:val="0"/>
        <w:autoSpaceDN w:val="0"/>
        <w:adjustRightInd w:val="0"/>
        <w:spacing w:before="100" w:after="100"/>
        <w:ind w:left="567" w:hanging="567"/>
        <w:rPr>
          <w:sz w:val="28"/>
          <w:szCs w:val="28"/>
        </w:rPr>
      </w:pPr>
      <w:r w:rsidRPr="00502D50">
        <w:rPr>
          <w:szCs w:val="24"/>
        </w:rPr>
        <w:t>Горенкова Л.Г., Пенская Е.А., Кравченко С.К. и др. Лечение резистентных форм грибовидного микоза и синдрома Сезари. Клиническая онкогематология. Фундаментальные исследования и клиническая практика. 2017; 10 ( 3): 366</w:t>
      </w:r>
      <w:r w:rsidR="007F36A7" w:rsidRPr="007F36A7">
        <w:rPr>
          <w:noProof/>
        </w:rPr>
        <w:t>–</w:t>
      </w:r>
      <w:r w:rsidRPr="00502D50">
        <w:rPr>
          <w:szCs w:val="24"/>
        </w:rPr>
        <w:t>371. DOI: 10.21320/2500-2139-2017-10-3-366-371</w:t>
      </w:r>
      <w:r w:rsidR="00062499" w:rsidRPr="001B7F70">
        <w:fldChar w:fldCharType="end"/>
      </w:r>
    </w:p>
    <w:p w:rsidR="00F01ADE" w:rsidRPr="0073723C" w:rsidRDefault="001B7F70" w:rsidP="00F01ADE">
      <w:pPr>
        <w:pStyle w:val="afff1"/>
      </w:pPr>
      <w:r w:rsidRPr="001B7F70">
        <w:br w:type="page"/>
      </w:r>
      <w:bookmarkStart w:id="45" w:name="__RefHeading___doc_a1"/>
      <w:bookmarkStart w:id="46" w:name="_Toc84161289"/>
      <w:bookmarkEnd w:id="43"/>
      <w:r w:rsidR="00CE089D" w:rsidRPr="0073723C">
        <w:lastRenderedPageBreak/>
        <w:t>Приложение А1. Состав рабочей группы</w:t>
      </w:r>
      <w:bookmarkEnd w:id="45"/>
      <w:r w:rsidR="00CE089D" w:rsidRPr="0073723C">
        <w:t xml:space="preserve"> по разработке и пересмотру клинических рекомендаций</w:t>
      </w:r>
      <w:bookmarkEnd w:id="46"/>
    </w:p>
    <w:p w:rsidR="005A5EAF" w:rsidRPr="0073723C" w:rsidRDefault="00CE089D" w:rsidP="005A5EAF">
      <w:pPr>
        <w:numPr>
          <w:ilvl w:val="0"/>
          <w:numId w:val="29"/>
        </w:numPr>
        <w:spacing w:before="100" w:beforeAutospacing="1" w:after="100" w:afterAutospacing="1"/>
      </w:pPr>
      <w:r w:rsidRPr="0073723C">
        <w:t>Кубанов Алексей Алексеевич –</w:t>
      </w:r>
      <w:r w:rsidR="005B3990">
        <w:t>академик</w:t>
      </w:r>
      <w:r w:rsidRPr="0073723C">
        <w:t xml:space="preserve"> РАН, доктор медицинских наук, профессор, Президент Российского общества дерматовенерологов и косметологов. </w:t>
      </w:r>
    </w:p>
    <w:p w:rsidR="005A5EAF" w:rsidRPr="0073723C" w:rsidRDefault="007F36A7" w:rsidP="005A5EAF">
      <w:pPr>
        <w:numPr>
          <w:ilvl w:val="0"/>
          <w:numId w:val="29"/>
        </w:numPr>
        <w:spacing w:before="100" w:beforeAutospacing="1" w:after="100" w:afterAutospacing="1"/>
      </w:pPr>
      <w:r w:rsidRPr="007F36A7">
        <w:t>Поддубная Ирина Владимировна – академик РАН, заслуженный деятель образования РФ, доктор медицинских наук, профессор, председатель Российского общества онкогематологов.</w:t>
      </w:r>
    </w:p>
    <w:p w:rsidR="005A5EAF" w:rsidRPr="0073723C" w:rsidRDefault="007F36A7" w:rsidP="005A5EAF">
      <w:pPr>
        <w:numPr>
          <w:ilvl w:val="0"/>
          <w:numId w:val="29"/>
        </w:numPr>
        <w:spacing w:before="100" w:beforeAutospacing="1" w:after="100" w:afterAutospacing="1"/>
      </w:pPr>
      <w:r w:rsidRPr="007F36A7">
        <w:t>Белоусова Ирена Эдуардовна – доктор медицинских наук, член Российского общества дерматовенерологов и косметологов.</w:t>
      </w:r>
    </w:p>
    <w:p w:rsidR="005A5EAF" w:rsidRPr="0073723C" w:rsidRDefault="007F36A7" w:rsidP="005A5EAF">
      <w:pPr>
        <w:numPr>
          <w:ilvl w:val="0"/>
          <w:numId w:val="29"/>
        </w:numPr>
        <w:spacing w:before="100" w:beforeAutospacing="1" w:after="100" w:afterAutospacing="1"/>
      </w:pPr>
      <w:r w:rsidRPr="007F36A7">
        <w:t>Самцов Алексей Викторович – доктор медицинских наук, профессор, Заслуженный деятель науки РФ, Заслуженный врач РФ, член Российского общества дерматовенерологов и косметологов.</w:t>
      </w:r>
    </w:p>
    <w:p w:rsidR="005A5EAF" w:rsidRPr="0073723C" w:rsidRDefault="007F36A7" w:rsidP="005A5EAF">
      <w:pPr>
        <w:numPr>
          <w:ilvl w:val="0"/>
          <w:numId w:val="29"/>
        </w:numPr>
        <w:spacing w:before="100" w:beforeAutospacing="1" w:after="100" w:afterAutospacing="1"/>
      </w:pPr>
      <w:r w:rsidRPr="007F36A7">
        <w:t>Знаменская Людмила Федоровна – доктор медицинских наук, член Российского общества дерматовенерологов и косметологов.</w:t>
      </w:r>
    </w:p>
    <w:p w:rsidR="005A5EAF" w:rsidRPr="0073723C" w:rsidRDefault="007F36A7" w:rsidP="005A5EAF">
      <w:pPr>
        <w:numPr>
          <w:ilvl w:val="0"/>
          <w:numId w:val="29"/>
        </w:numPr>
        <w:spacing w:before="100" w:beforeAutospacing="1" w:after="100" w:afterAutospacing="1"/>
      </w:pPr>
      <w:r w:rsidRPr="007F36A7">
        <w:t>Чикин Вадим Викторович – доктор медицинских наук,  член Российского общества дерматовенерологов и косметологов</w:t>
      </w:r>
    </w:p>
    <w:p w:rsidR="005A5EAF" w:rsidRPr="0073723C" w:rsidRDefault="007F36A7" w:rsidP="005A5EAF">
      <w:pPr>
        <w:numPr>
          <w:ilvl w:val="0"/>
          <w:numId w:val="29"/>
        </w:numPr>
        <w:spacing w:before="100" w:beforeAutospacing="1" w:after="100" w:afterAutospacing="1"/>
      </w:pPr>
      <w:r w:rsidRPr="007F36A7">
        <w:t>Карамова Арфеня Эдуардовна – кандидат медицинских наук, член Российского общества дерматовенерологов и косметологов. </w:t>
      </w:r>
    </w:p>
    <w:p w:rsidR="005A5EAF" w:rsidRPr="0073723C" w:rsidRDefault="007F36A7" w:rsidP="005A5EAF">
      <w:pPr>
        <w:numPr>
          <w:ilvl w:val="0"/>
          <w:numId w:val="29"/>
        </w:numPr>
        <w:spacing w:before="100" w:beforeAutospacing="1" w:after="100" w:afterAutospacing="1"/>
      </w:pPr>
      <w:r w:rsidRPr="007F36A7">
        <w:t>Кузьмин Алексей Александрович, главный врач КОГКБУЗ «Центр онкологии и медицинской радиологии», г. Киров.</w:t>
      </w:r>
    </w:p>
    <w:p w:rsidR="005A5EAF" w:rsidRPr="00957B53" w:rsidRDefault="007F36A7" w:rsidP="005A5EAF">
      <w:pPr>
        <w:numPr>
          <w:ilvl w:val="0"/>
          <w:numId w:val="29"/>
        </w:numPr>
        <w:spacing w:before="100" w:beforeAutospacing="1" w:after="100" w:afterAutospacing="1"/>
        <w:rPr>
          <w:color w:val="000000" w:themeColor="text1"/>
        </w:rPr>
      </w:pPr>
      <w:r w:rsidRPr="007F36A7">
        <w:t xml:space="preserve">Горенкова Лилия Гамилевна – кандидат медицинских наук, член </w:t>
      </w:r>
      <w:r w:rsidRPr="00957B53">
        <w:rPr>
          <w:color w:val="000000" w:themeColor="text1"/>
        </w:rPr>
        <w:t>Ассоциации содействия развити</w:t>
      </w:r>
      <w:bookmarkStart w:id="47" w:name="_GoBack"/>
      <w:bookmarkEnd w:id="47"/>
      <w:r w:rsidRPr="00957B53">
        <w:rPr>
          <w:color w:val="000000" w:themeColor="text1"/>
        </w:rPr>
        <w:t>ю гематологии и трансплантологии костного мозга "Национальное гематологическое общество".</w:t>
      </w:r>
    </w:p>
    <w:p w:rsidR="005A5EAF" w:rsidRPr="00957B53" w:rsidRDefault="007F36A7" w:rsidP="005A5EAF">
      <w:pPr>
        <w:numPr>
          <w:ilvl w:val="0"/>
          <w:numId w:val="29"/>
        </w:numPr>
        <w:spacing w:before="100" w:beforeAutospacing="1" w:after="100" w:afterAutospacing="1"/>
        <w:rPr>
          <w:strike/>
          <w:color w:val="000000" w:themeColor="text1"/>
        </w:rPr>
      </w:pPr>
      <w:r w:rsidRPr="00957B53">
        <w:rPr>
          <w:color w:val="000000" w:themeColor="text1"/>
        </w:rPr>
        <w:t>Кравченко Сергей Кириллович – кандидат медицинских наук, член Ассоциации содействия развитию гематологии и трансплантологии костного мозга "Национальное гематологическое общество"</w:t>
      </w:r>
    </w:p>
    <w:p w:rsidR="005F7D29" w:rsidRPr="0073723C" w:rsidRDefault="007F36A7" w:rsidP="005A5EAF">
      <w:pPr>
        <w:numPr>
          <w:ilvl w:val="0"/>
          <w:numId w:val="29"/>
        </w:numPr>
        <w:spacing w:before="100" w:beforeAutospacing="1" w:after="100" w:afterAutospacing="1"/>
        <w:rPr>
          <w:color w:val="000000" w:themeColor="text1"/>
        </w:rPr>
      </w:pPr>
      <w:r w:rsidRPr="00957B53">
        <w:rPr>
          <w:color w:val="000000" w:themeColor="text1"/>
        </w:rPr>
        <w:t>Чернова Наталья Геннадиевна –</w:t>
      </w:r>
      <w:r w:rsidR="00957B53">
        <w:rPr>
          <w:color w:val="000000" w:themeColor="text1"/>
        </w:rPr>
        <w:t xml:space="preserve"> </w:t>
      </w:r>
      <w:r w:rsidRPr="00957B53">
        <w:rPr>
          <w:color w:val="000000" w:themeColor="text1"/>
        </w:rPr>
        <w:t>к.м.н., заведующая отделением гематологии</w:t>
      </w:r>
      <w:r w:rsidRPr="007F36A7">
        <w:rPr>
          <w:color w:val="000000" w:themeColor="text1"/>
        </w:rPr>
        <w:t xml:space="preserve"> и </w:t>
      </w:r>
      <w:r w:rsidR="00FC1692" w:rsidRPr="00EE68C2">
        <w:t>х</w:t>
      </w:r>
      <w:r w:rsidR="00EE68C2">
        <w:rPr>
          <w:color w:val="000000" w:themeColor="text1"/>
        </w:rPr>
        <w:t>имиотерапии ГБУЗ «ГКБ40 ДЗМ</w:t>
      </w:r>
      <w:r w:rsidRPr="007F36A7">
        <w:rPr>
          <w:color w:val="000000" w:themeColor="text1"/>
        </w:rPr>
        <w:t>»</w:t>
      </w:r>
    </w:p>
    <w:p w:rsidR="005A5EAF" w:rsidRPr="0073723C" w:rsidRDefault="007F36A7" w:rsidP="00957B53">
      <w:pPr>
        <w:numPr>
          <w:ilvl w:val="0"/>
          <w:numId w:val="29"/>
        </w:numPr>
        <w:spacing w:before="100" w:beforeAutospacing="1" w:after="100" w:afterAutospacing="1"/>
      </w:pPr>
      <w:r w:rsidRPr="007F36A7">
        <w:t>Стефанов Дмитрий Николаевич – научный сотрудник, зав. научно-организационным отделом, ФГБУ «НМИЦ ДГОИ им. Дмитрия Рогачева» Минздрава России, член Российского общества онкогематологов.</w:t>
      </w:r>
    </w:p>
    <w:p w:rsidR="00126A58" w:rsidRDefault="007F36A7" w:rsidP="00957B53">
      <w:pPr>
        <w:numPr>
          <w:ilvl w:val="0"/>
          <w:numId w:val="29"/>
        </w:numPr>
        <w:spacing w:before="100" w:beforeAutospacing="1" w:after="100" w:afterAutospacing="1"/>
      </w:pPr>
      <w:r w:rsidRPr="007F36A7">
        <w:rPr>
          <w:rFonts w:eastAsia="Times New Roman"/>
        </w:rPr>
        <w:lastRenderedPageBreak/>
        <w:t xml:space="preserve">Воронцова Анастасия Александровна – научный сотрудник отдела дерматологии ФГБУ «Государственный научный центр дерматовенерологии и косметологии» </w:t>
      </w:r>
      <w:r w:rsidRPr="007F36A7">
        <w:t>Минздрава России, член Российского общества дерматовенерологов и косметологов. </w:t>
      </w:r>
    </w:p>
    <w:p w:rsidR="00B104EF" w:rsidRPr="0073723C" w:rsidRDefault="007F36A7" w:rsidP="00C5240D">
      <w:r w:rsidRPr="007F36A7">
        <w:rPr>
          <w:b/>
        </w:rPr>
        <w:t xml:space="preserve">Конфликт интересов: </w:t>
      </w:r>
      <w:r w:rsidRPr="007F36A7">
        <w:rPr>
          <w:szCs w:val="24"/>
        </w:rPr>
        <w:t>авторы заявляют об отсутствии конфликта интересов.</w:t>
      </w:r>
    </w:p>
    <w:p w:rsidR="000414F6" w:rsidRPr="0073723C" w:rsidRDefault="007F36A7" w:rsidP="00043A95">
      <w:pPr>
        <w:pStyle w:val="afff1"/>
        <w:jc w:val="both"/>
      </w:pPr>
      <w:r w:rsidRPr="007F36A7">
        <w:br w:type="page"/>
      </w:r>
      <w:bookmarkStart w:id="48" w:name="__RefHeading___doc_a2"/>
      <w:bookmarkStart w:id="49" w:name="_Toc84161290"/>
      <w:bookmarkEnd w:id="44"/>
      <w:r w:rsidRPr="007F36A7">
        <w:lastRenderedPageBreak/>
        <w:t>Приложение А2. Методология разработки клинических рекомендаций</w:t>
      </w:r>
      <w:bookmarkEnd w:id="48"/>
      <w:bookmarkEnd w:id="49"/>
    </w:p>
    <w:p w:rsidR="00275A41" w:rsidRPr="0073723C" w:rsidRDefault="000C307B" w:rsidP="00F756F0">
      <w:pPr>
        <w:pStyle w:val="aff7"/>
        <w:divId w:val="1333020968"/>
      </w:pPr>
      <w:r>
        <w:rPr>
          <w:rStyle w:val="affa"/>
          <w:u w:val="single"/>
        </w:rPr>
        <w:t>Целевая аудитория данных клинических рекомендаций:</w:t>
      </w:r>
    </w:p>
    <w:p w:rsidR="006446FF" w:rsidRPr="0073723C" w:rsidRDefault="00742DE6" w:rsidP="00F756F0">
      <w:pPr>
        <w:pStyle w:val="aff7"/>
        <w:divId w:val="1333020968"/>
      </w:pPr>
      <w:r w:rsidRPr="006C7346">
        <w:t>1.Врачи-специалисты: дерматовенерологи, гематологи, онкологи.</w:t>
      </w:r>
    </w:p>
    <w:p w:rsidR="00B104EF" w:rsidRPr="0073723C" w:rsidRDefault="00742DE6" w:rsidP="00F756F0">
      <w:pPr>
        <w:pStyle w:val="aff7"/>
        <w:divId w:val="1333020968"/>
      </w:pPr>
      <w:r w:rsidRPr="006C7346">
        <w:t xml:space="preserve">2.Преподаватели медицинских образовательных учреждений </w:t>
      </w:r>
      <w:r w:rsidR="000C307B" w:rsidRPr="000C307B">
        <w:rPr>
          <w:b/>
          <w:color w:val="000000" w:themeColor="text1"/>
        </w:rPr>
        <w:t>ВО и ДПО</w:t>
      </w:r>
      <w:r w:rsidRPr="006C7346">
        <w:rPr>
          <w:b/>
          <w:color w:val="FF0000"/>
        </w:rPr>
        <w:t xml:space="preserve"> </w:t>
      </w:r>
      <w:r w:rsidRPr="006C7346">
        <w:t>по специальности «Дерматовенерология»</w:t>
      </w:r>
    </w:p>
    <w:p w:rsidR="00A91645" w:rsidRPr="0073723C" w:rsidRDefault="000C307B" w:rsidP="00A91645">
      <w:pPr>
        <w:divId w:val="1333020968"/>
      </w:pPr>
      <w:bookmarkStart w:id="50" w:name="_Ref515967586"/>
      <w:r w:rsidRPr="000C307B">
        <w:rPr>
          <w:b/>
        </w:rPr>
        <w:t xml:space="preserve">Таблица </w:t>
      </w:r>
      <w:r w:rsidR="00062499" w:rsidRPr="0073723C">
        <w:rPr>
          <w:b/>
        </w:rPr>
        <w:fldChar w:fldCharType="begin"/>
      </w:r>
      <w:r w:rsidR="00742DE6" w:rsidRPr="006C7346">
        <w:rPr>
          <w:b/>
        </w:rPr>
        <w:instrText xml:space="preserve"> SEQ Таблица \* ARABIC </w:instrText>
      </w:r>
      <w:r w:rsidR="00062499" w:rsidRPr="0073723C">
        <w:rPr>
          <w:b/>
        </w:rPr>
        <w:fldChar w:fldCharType="separate"/>
      </w:r>
      <w:r w:rsidR="00CE089D" w:rsidRPr="0073723C">
        <w:rPr>
          <w:b/>
          <w:noProof/>
        </w:rPr>
        <w:t>1</w:t>
      </w:r>
      <w:r w:rsidR="00062499" w:rsidRPr="0073723C">
        <w:rPr>
          <w:b/>
        </w:rPr>
        <w:fldChar w:fldCharType="end"/>
      </w:r>
      <w:bookmarkEnd w:id="50"/>
      <w:r w:rsidR="00A91645" w:rsidRPr="0073723C">
        <w:rPr>
          <w:b/>
        </w:rPr>
        <w:t>.</w:t>
      </w:r>
      <w:r w:rsidR="00CE089D" w:rsidRPr="0073723C">
        <w:t>Шкала оценки уровней достоверности доказательств (УДД)для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678"/>
      </w:tblGrid>
      <w:tr w:rsidR="00A91645" w:rsidRPr="0073723C" w:rsidTr="00043A95">
        <w:trPr>
          <w:divId w:val="1333020968"/>
          <w:trHeight w:val="58"/>
        </w:trPr>
        <w:tc>
          <w:tcPr>
            <w:tcW w:w="427" w:type="pct"/>
          </w:tcPr>
          <w:p w:rsidR="00A91645" w:rsidRPr="0073723C" w:rsidRDefault="00CE089D" w:rsidP="00555107">
            <w:pPr>
              <w:pStyle w:val="afb"/>
              <w:spacing w:before="100" w:after="100"/>
              <w:ind w:firstLine="0"/>
            </w:pPr>
            <w:r w:rsidRPr="0073723C">
              <w:t>УДД</w:t>
            </w:r>
          </w:p>
        </w:tc>
        <w:tc>
          <w:tcPr>
            <w:tcW w:w="4573" w:type="pct"/>
          </w:tcPr>
          <w:p w:rsidR="00A91645" w:rsidRPr="0073723C" w:rsidRDefault="00CE089D" w:rsidP="00555107">
            <w:pPr>
              <w:pStyle w:val="afb"/>
              <w:spacing w:before="100" w:after="100"/>
              <w:ind w:firstLine="0"/>
            </w:pPr>
            <w:r w:rsidRPr="0073723C">
              <w:t>Расшифровка</w:t>
            </w:r>
          </w:p>
        </w:tc>
      </w:tr>
      <w:tr w:rsidR="00A91645" w:rsidRPr="0073723C" w:rsidTr="00043A95">
        <w:trPr>
          <w:divId w:val="1333020968"/>
        </w:trPr>
        <w:tc>
          <w:tcPr>
            <w:tcW w:w="427" w:type="pct"/>
          </w:tcPr>
          <w:p w:rsidR="00A91645" w:rsidRPr="006C7346" w:rsidRDefault="00742DE6" w:rsidP="00555107">
            <w:pPr>
              <w:pStyle w:val="afb"/>
              <w:suppressAutoHyphens/>
              <w:spacing w:before="100" w:after="100"/>
              <w:ind w:firstLine="0"/>
              <w:outlineLvl w:val="0"/>
            </w:pPr>
            <w:r w:rsidRPr="006C7346">
              <w:t>1</w:t>
            </w:r>
          </w:p>
        </w:tc>
        <w:tc>
          <w:tcPr>
            <w:tcW w:w="4573" w:type="pct"/>
          </w:tcPr>
          <w:p w:rsidR="00A91645" w:rsidRPr="006C7346" w:rsidRDefault="00742DE6" w:rsidP="00555107">
            <w:pPr>
              <w:pStyle w:val="afb"/>
              <w:suppressAutoHyphens/>
              <w:spacing w:before="100" w:after="100"/>
              <w:ind w:firstLine="0"/>
              <w:outlineLvl w:val="0"/>
            </w:pPr>
            <w:r w:rsidRPr="006C7346">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A91645" w:rsidRPr="0073723C" w:rsidTr="00043A95">
        <w:trPr>
          <w:divId w:val="1333020968"/>
        </w:trPr>
        <w:tc>
          <w:tcPr>
            <w:tcW w:w="427" w:type="pct"/>
          </w:tcPr>
          <w:p w:rsidR="00A91645" w:rsidRPr="006C7346" w:rsidRDefault="00742DE6" w:rsidP="00555107">
            <w:pPr>
              <w:pStyle w:val="afb"/>
              <w:suppressAutoHyphens/>
              <w:spacing w:before="100" w:after="100"/>
              <w:ind w:firstLine="0"/>
              <w:outlineLvl w:val="0"/>
            </w:pPr>
            <w:r w:rsidRPr="006C7346">
              <w:t>2</w:t>
            </w:r>
          </w:p>
        </w:tc>
        <w:tc>
          <w:tcPr>
            <w:tcW w:w="4573" w:type="pct"/>
          </w:tcPr>
          <w:p w:rsidR="00A91645" w:rsidRPr="006C7346" w:rsidRDefault="00742DE6" w:rsidP="00555107">
            <w:pPr>
              <w:pStyle w:val="afb"/>
              <w:suppressAutoHyphens/>
              <w:spacing w:before="100" w:after="100"/>
              <w:ind w:firstLine="0"/>
              <w:outlineLvl w:val="0"/>
            </w:pPr>
            <w:r w:rsidRPr="006C7346">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91645" w:rsidRPr="0073723C" w:rsidTr="00043A95">
        <w:trPr>
          <w:divId w:val="1333020968"/>
        </w:trPr>
        <w:tc>
          <w:tcPr>
            <w:tcW w:w="427" w:type="pct"/>
          </w:tcPr>
          <w:p w:rsidR="00A91645" w:rsidRPr="006C7346" w:rsidRDefault="00742DE6" w:rsidP="00555107">
            <w:pPr>
              <w:pStyle w:val="afb"/>
              <w:suppressAutoHyphens/>
              <w:spacing w:before="100" w:after="100"/>
              <w:ind w:firstLine="0"/>
              <w:outlineLvl w:val="0"/>
            </w:pPr>
            <w:r w:rsidRPr="006C7346">
              <w:t>3</w:t>
            </w:r>
          </w:p>
        </w:tc>
        <w:tc>
          <w:tcPr>
            <w:tcW w:w="4573" w:type="pct"/>
          </w:tcPr>
          <w:p w:rsidR="00A91645" w:rsidRPr="006C7346" w:rsidRDefault="00742DE6" w:rsidP="00555107">
            <w:pPr>
              <w:pStyle w:val="afb"/>
              <w:suppressAutoHyphens/>
              <w:spacing w:before="100" w:after="100"/>
              <w:ind w:firstLine="0"/>
              <w:outlineLvl w:val="0"/>
            </w:pPr>
            <w:r w:rsidRPr="006C7346">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A91645" w:rsidRPr="0073723C" w:rsidTr="00043A95">
        <w:trPr>
          <w:divId w:val="1333020968"/>
        </w:trPr>
        <w:tc>
          <w:tcPr>
            <w:tcW w:w="427" w:type="pct"/>
          </w:tcPr>
          <w:p w:rsidR="00A91645" w:rsidRPr="006C7346" w:rsidRDefault="00742DE6" w:rsidP="00555107">
            <w:pPr>
              <w:pStyle w:val="afb"/>
              <w:suppressAutoHyphens/>
              <w:spacing w:before="100" w:after="100"/>
              <w:ind w:firstLine="0"/>
              <w:outlineLvl w:val="0"/>
            </w:pPr>
            <w:r w:rsidRPr="006C7346">
              <w:t>4</w:t>
            </w:r>
          </w:p>
        </w:tc>
        <w:tc>
          <w:tcPr>
            <w:tcW w:w="4573" w:type="pct"/>
          </w:tcPr>
          <w:p w:rsidR="00A91645" w:rsidRPr="006C7346" w:rsidRDefault="00742DE6" w:rsidP="00555107">
            <w:pPr>
              <w:pStyle w:val="afb"/>
              <w:suppressAutoHyphens/>
              <w:spacing w:before="100" w:after="100"/>
              <w:ind w:firstLine="0"/>
              <w:outlineLvl w:val="0"/>
            </w:pPr>
            <w:r w:rsidRPr="006C7346">
              <w:t>Несравнительные исследования, описание клинического случая</w:t>
            </w:r>
          </w:p>
        </w:tc>
      </w:tr>
      <w:tr w:rsidR="00A91645" w:rsidRPr="0073723C" w:rsidTr="00043A95">
        <w:trPr>
          <w:divId w:val="1333020968"/>
        </w:trPr>
        <w:tc>
          <w:tcPr>
            <w:tcW w:w="427" w:type="pct"/>
          </w:tcPr>
          <w:p w:rsidR="00A91645" w:rsidRPr="006C7346" w:rsidRDefault="00742DE6" w:rsidP="00555107">
            <w:pPr>
              <w:pStyle w:val="afb"/>
              <w:suppressAutoHyphens/>
              <w:spacing w:before="100" w:after="100"/>
              <w:ind w:firstLine="0"/>
              <w:outlineLvl w:val="0"/>
            </w:pPr>
            <w:r w:rsidRPr="006C7346">
              <w:t>5</w:t>
            </w:r>
          </w:p>
        </w:tc>
        <w:tc>
          <w:tcPr>
            <w:tcW w:w="4573" w:type="pct"/>
          </w:tcPr>
          <w:p w:rsidR="00A91645" w:rsidRPr="006C7346" w:rsidRDefault="00742DE6" w:rsidP="00555107">
            <w:pPr>
              <w:pStyle w:val="afb"/>
              <w:suppressAutoHyphens/>
              <w:spacing w:before="100" w:after="100"/>
              <w:ind w:firstLine="0"/>
              <w:outlineLvl w:val="0"/>
            </w:pPr>
            <w:r w:rsidRPr="006C7346">
              <w:t>Имеется лишь обоснование механизма действия или мнение экспертов</w:t>
            </w:r>
          </w:p>
        </w:tc>
      </w:tr>
    </w:tbl>
    <w:p w:rsidR="00A91645" w:rsidRPr="006C7346" w:rsidRDefault="00A91645" w:rsidP="00F756F0">
      <w:pPr>
        <w:pStyle w:val="aff7"/>
        <w:divId w:val="1333020968"/>
        <w:rPr>
          <w:rStyle w:val="affa"/>
        </w:rPr>
      </w:pPr>
    </w:p>
    <w:p w:rsidR="005C7877" w:rsidRPr="0073723C" w:rsidRDefault="001B7F70" w:rsidP="005C7877">
      <w:pPr>
        <w:divId w:val="1333020968"/>
      </w:pPr>
      <w:bookmarkStart w:id="51" w:name="_Ref515967623"/>
      <w:r w:rsidRPr="008B1745">
        <w:rPr>
          <w:b/>
        </w:rPr>
        <w:t xml:space="preserve">Таблица </w:t>
      </w:r>
      <w:r w:rsidR="00062499" w:rsidRPr="0073723C">
        <w:rPr>
          <w:b/>
        </w:rPr>
        <w:fldChar w:fldCharType="begin"/>
      </w:r>
      <w:r w:rsidRPr="008B1745">
        <w:rPr>
          <w:b/>
        </w:rPr>
        <w:instrText xml:space="preserve"> SEQ Таблица \* ARABIC </w:instrText>
      </w:r>
      <w:r w:rsidR="00062499" w:rsidRPr="0073723C">
        <w:rPr>
          <w:b/>
        </w:rPr>
        <w:fldChar w:fldCharType="separate"/>
      </w:r>
      <w:r w:rsidR="00CE089D" w:rsidRPr="0073723C">
        <w:rPr>
          <w:b/>
          <w:noProof/>
        </w:rPr>
        <w:t>2</w:t>
      </w:r>
      <w:r w:rsidR="00062499" w:rsidRPr="0073723C">
        <w:rPr>
          <w:b/>
        </w:rPr>
        <w:fldChar w:fldCharType="end"/>
      </w:r>
      <w:bookmarkEnd w:id="51"/>
      <w:r w:rsidR="00A91645" w:rsidRPr="0073723C">
        <w:rPr>
          <w:b/>
        </w:rPr>
        <w:t>.</w:t>
      </w:r>
      <w:r w:rsidR="00CE089D" w:rsidRPr="0073723C">
        <w:t>Шкала оценки уровней достоверности доказательств (УДД)для методов профилактики, лечения и реабилитации (профилактических, лечебных, реабилитационных 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914"/>
      </w:tblGrid>
      <w:tr w:rsidR="005C7877" w:rsidRPr="0073723C" w:rsidTr="00043A95">
        <w:trPr>
          <w:divId w:val="1333020968"/>
        </w:trPr>
        <w:tc>
          <w:tcPr>
            <w:tcW w:w="360" w:type="pct"/>
          </w:tcPr>
          <w:p w:rsidR="005C7877" w:rsidRPr="0073723C" w:rsidRDefault="00CE089D" w:rsidP="00555107">
            <w:pPr>
              <w:pStyle w:val="afb"/>
              <w:spacing w:before="100" w:after="100"/>
              <w:ind w:firstLine="0"/>
            </w:pPr>
            <w:r w:rsidRPr="0073723C">
              <w:t>УДД</w:t>
            </w:r>
          </w:p>
        </w:tc>
        <w:tc>
          <w:tcPr>
            <w:tcW w:w="4640" w:type="pct"/>
          </w:tcPr>
          <w:p w:rsidR="005C7877" w:rsidRPr="0073723C" w:rsidRDefault="00CE089D" w:rsidP="00555107">
            <w:pPr>
              <w:pStyle w:val="afb"/>
              <w:spacing w:before="100" w:after="100"/>
              <w:ind w:firstLine="0"/>
            </w:pPr>
            <w:r w:rsidRPr="0073723C">
              <w:t xml:space="preserve">Расшифровка </w:t>
            </w:r>
          </w:p>
        </w:tc>
      </w:tr>
      <w:tr w:rsidR="005C7877" w:rsidRPr="0073723C" w:rsidTr="00043A95">
        <w:trPr>
          <w:divId w:val="1333020968"/>
        </w:trPr>
        <w:tc>
          <w:tcPr>
            <w:tcW w:w="360" w:type="pct"/>
          </w:tcPr>
          <w:p w:rsidR="005C7877" w:rsidRPr="006C7346" w:rsidRDefault="00742DE6" w:rsidP="00555107">
            <w:pPr>
              <w:pStyle w:val="afb"/>
              <w:suppressAutoHyphens/>
              <w:spacing w:before="100" w:after="100"/>
              <w:ind w:firstLine="0"/>
              <w:outlineLvl w:val="0"/>
            </w:pPr>
            <w:r w:rsidRPr="006C7346">
              <w:t>1</w:t>
            </w:r>
          </w:p>
        </w:tc>
        <w:tc>
          <w:tcPr>
            <w:tcW w:w="4640" w:type="pct"/>
          </w:tcPr>
          <w:p w:rsidR="005C7877" w:rsidRPr="006C7346" w:rsidRDefault="00742DE6" w:rsidP="00555107">
            <w:pPr>
              <w:pStyle w:val="afb"/>
              <w:suppressAutoHyphens/>
              <w:spacing w:before="100" w:after="100"/>
              <w:ind w:firstLine="0"/>
              <w:outlineLvl w:val="0"/>
            </w:pPr>
            <w:r w:rsidRPr="006C7346">
              <w:t>Систематический обзор РКИ с применением мета-анализа</w:t>
            </w:r>
          </w:p>
        </w:tc>
      </w:tr>
      <w:tr w:rsidR="005C7877" w:rsidRPr="0073723C" w:rsidTr="00043A95">
        <w:trPr>
          <w:divId w:val="1333020968"/>
        </w:trPr>
        <w:tc>
          <w:tcPr>
            <w:tcW w:w="360" w:type="pct"/>
          </w:tcPr>
          <w:p w:rsidR="005C7877" w:rsidRPr="006C7346" w:rsidRDefault="00742DE6" w:rsidP="00555107">
            <w:pPr>
              <w:pStyle w:val="afb"/>
              <w:suppressAutoHyphens/>
              <w:spacing w:before="100" w:after="100"/>
              <w:ind w:firstLine="0"/>
              <w:outlineLvl w:val="0"/>
              <w:rPr>
                <w:lang w:val="en-US"/>
              </w:rPr>
            </w:pPr>
            <w:r w:rsidRPr="006C7346">
              <w:t>2</w:t>
            </w:r>
          </w:p>
        </w:tc>
        <w:tc>
          <w:tcPr>
            <w:tcW w:w="4640" w:type="pct"/>
          </w:tcPr>
          <w:p w:rsidR="005C7877" w:rsidRPr="006C7346" w:rsidRDefault="00742DE6" w:rsidP="00555107">
            <w:pPr>
              <w:pStyle w:val="afb"/>
              <w:suppressAutoHyphens/>
              <w:spacing w:before="100" w:after="100"/>
              <w:ind w:firstLine="0"/>
              <w:outlineLvl w:val="0"/>
            </w:pPr>
            <w:r w:rsidRPr="006C7346">
              <w:t>Отдельные РКИ и систематические обзоры исследований любого дизайна, за исключением РКИ, с применением мета-анализа</w:t>
            </w:r>
          </w:p>
        </w:tc>
      </w:tr>
      <w:tr w:rsidR="005C7877" w:rsidRPr="0073723C" w:rsidTr="00043A95">
        <w:trPr>
          <w:divId w:val="1333020968"/>
        </w:trPr>
        <w:tc>
          <w:tcPr>
            <w:tcW w:w="360" w:type="pct"/>
          </w:tcPr>
          <w:p w:rsidR="005C7877" w:rsidRPr="006C7346" w:rsidRDefault="00742DE6" w:rsidP="00555107">
            <w:pPr>
              <w:pStyle w:val="afb"/>
              <w:suppressAutoHyphens/>
              <w:spacing w:before="100" w:after="100"/>
              <w:ind w:firstLine="0"/>
              <w:outlineLvl w:val="0"/>
            </w:pPr>
            <w:r w:rsidRPr="006C7346">
              <w:t>3</w:t>
            </w:r>
          </w:p>
        </w:tc>
        <w:tc>
          <w:tcPr>
            <w:tcW w:w="4640" w:type="pct"/>
          </w:tcPr>
          <w:p w:rsidR="005C7877" w:rsidRPr="006C7346" w:rsidRDefault="00742DE6" w:rsidP="00555107">
            <w:pPr>
              <w:pStyle w:val="afb"/>
              <w:suppressAutoHyphens/>
              <w:spacing w:before="100" w:after="100"/>
              <w:ind w:firstLine="0"/>
              <w:outlineLvl w:val="0"/>
            </w:pPr>
            <w:r w:rsidRPr="006C7346">
              <w:t>Нерандомизированные сравнительные исследования, в т.ч. когортные исследования</w:t>
            </w:r>
          </w:p>
        </w:tc>
      </w:tr>
      <w:tr w:rsidR="005C7877" w:rsidRPr="0073723C" w:rsidTr="00043A95">
        <w:trPr>
          <w:divId w:val="1333020968"/>
        </w:trPr>
        <w:tc>
          <w:tcPr>
            <w:tcW w:w="360" w:type="pct"/>
          </w:tcPr>
          <w:p w:rsidR="005C7877" w:rsidRPr="006C7346" w:rsidRDefault="00742DE6" w:rsidP="00555107">
            <w:pPr>
              <w:pStyle w:val="afb"/>
              <w:suppressAutoHyphens/>
              <w:spacing w:before="100" w:after="100"/>
              <w:ind w:firstLine="0"/>
              <w:outlineLvl w:val="0"/>
            </w:pPr>
            <w:r w:rsidRPr="006C7346">
              <w:t>4</w:t>
            </w:r>
          </w:p>
        </w:tc>
        <w:tc>
          <w:tcPr>
            <w:tcW w:w="4640" w:type="pct"/>
          </w:tcPr>
          <w:p w:rsidR="005C7877" w:rsidRPr="006C7346" w:rsidRDefault="00742DE6" w:rsidP="00555107">
            <w:pPr>
              <w:pStyle w:val="afb"/>
              <w:suppressAutoHyphens/>
              <w:spacing w:before="100" w:after="100"/>
              <w:ind w:firstLine="0"/>
              <w:outlineLvl w:val="0"/>
            </w:pPr>
            <w:r w:rsidRPr="006C7346">
              <w:t>Несравнительные исследования, описание клинического случая или серии случаев, исследования «случай-контроль»</w:t>
            </w:r>
          </w:p>
        </w:tc>
      </w:tr>
      <w:tr w:rsidR="005C7877" w:rsidRPr="0073723C" w:rsidTr="00043A95">
        <w:trPr>
          <w:divId w:val="1333020968"/>
        </w:trPr>
        <w:tc>
          <w:tcPr>
            <w:tcW w:w="360" w:type="pct"/>
          </w:tcPr>
          <w:p w:rsidR="005C7877" w:rsidRPr="006C7346" w:rsidRDefault="00742DE6" w:rsidP="00555107">
            <w:pPr>
              <w:pStyle w:val="afb"/>
              <w:suppressAutoHyphens/>
              <w:spacing w:before="100" w:after="100"/>
              <w:ind w:firstLine="0"/>
              <w:outlineLvl w:val="0"/>
            </w:pPr>
            <w:r w:rsidRPr="006C7346">
              <w:t>5</w:t>
            </w:r>
          </w:p>
        </w:tc>
        <w:tc>
          <w:tcPr>
            <w:tcW w:w="4640" w:type="pct"/>
          </w:tcPr>
          <w:p w:rsidR="005C7877" w:rsidRPr="006C7346" w:rsidRDefault="00742DE6" w:rsidP="00555107">
            <w:pPr>
              <w:pStyle w:val="afb"/>
              <w:suppressAutoHyphens/>
              <w:spacing w:before="100" w:after="100"/>
              <w:ind w:firstLine="0"/>
              <w:outlineLvl w:val="0"/>
            </w:pPr>
            <w:r w:rsidRPr="006C7346">
              <w:t>Имеется лишь обоснование механизма действия вмешательства (доклинические исследования) или мнение экспертов</w:t>
            </w:r>
          </w:p>
        </w:tc>
      </w:tr>
    </w:tbl>
    <w:p w:rsidR="005C7877" w:rsidRPr="006C7346" w:rsidRDefault="005C7877" w:rsidP="005C7877">
      <w:pPr>
        <w:pStyle w:val="aff7"/>
        <w:divId w:val="1333020968"/>
        <w:rPr>
          <w:rStyle w:val="affa"/>
        </w:rPr>
      </w:pPr>
    </w:p>
    <w:p w:rsidR="009C0364" w:rsidRPr="0073723C" w:rsidRDefault="001B7F70" w:rsidP="009C0364">
      <w:pPr>
        <w:divId w:val="1333020968"/>
      </w:pPr>
      <w:bookmarkStart w:id="52" w:name="_Ref515967732"/>
      <w:r w:rsidRPr="008B1745">
        <w:rPr>
          <w:b/>
        </w:rPr>
        <w:t xml:space="preserve">Таблица </w:t>
      </w:r>
      <w:bookmarkEnd w:id="52"/>
      <w:r w:rsidRPr="008B1745">
        <w:rPr>
          <w:b/>
        </w:rPr>
        <w:t>3.</w:t>
      </w:r>
      <w:r w:rsidR="00742DE6" w:rsidRPr="006C7346">
        <w:t>Шкала оценки уровней убедительности рекомендаций(УУР)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8137"/>
      </w:tblGrid>
      <w:tr w:rsidR="009C0364" w:rsidRPr="0073723C" w:rsidTr="00043A95">
        <w:trPr>
          <w:divId w:val="1333020968"/>
        </w:trPr>
        <w:tc>
          <w:tcPr>
            <w:tcW w:w="712" w:type="pct"/>
          </w:tcPr>
          <w:p w:rsidR="009C0364" w:rsidRPr="0073723C" w:rsidRDefault="00CE089D" w:rsidP="00F95275">
            <w:pPr>
              <w:spacing w:line="240" w:lineRule="auto"/>
              <w:ind w:firstLine="0"/>
              <w:jc w:val="center"/>
              <w:rPr>
                <w:b/>
                <w:color w:val="000000"/>
                <w:szCs w:val="24"/>
              </w:rPr>
            </w:pPr>
            <w:r w:rsidRPr="0073723C">
              <w:rPr>
                <w:b/>
                <w:color w:val="000000"/>
                <w:szCs w:val="24"/>
              </w:rPr>
              <w:lastRenderedPageBreak/>
              <w:t>УУР</w:t>
            </w:r>
          </w:p>
        </w:tc>
        <w:tc>
          <w:tcPr>
            <w:tcW w:w="4288" w:type="pct"/>
          </w:tcPr>
          <w:p w:rsidR="009C0364" w:rsidRPr="0073723C" w:rsidRDefault="00CE089D" w:rsidP="00F95275">
            <w:pPr>
              <w:spacing w:line="240" w:lineRule="auto"/>
              <w:ind w:firstLine="0"/>
              <w:jc w:val="center"/>
              <w:rPr>
                <w:b/>
                <w:color w:val="000000"/>
                <w:szCs w:val="24"/>
              </w:rPr>
            </w:pPr>
            <w:r w:rsidRPr="0073723C">
              <w:rPr>
                <w:b/>
                <w:color w:val="000000"/>
                <w:szCs w:val="24"/>
              </w:rPr>
              <w:t>Расшифровка</w:t>
            </w:r>
          </w:p>
        </w:tc>
      </w:tr>
      <w:tr w:rsidR="009C0364" w:rsidRPr="0073723C" w:rsidTr="00043A95">
        <w:trPr>
          <w:divId w:val="1333020968"/>
          <w:trHeight w:val="1060"/>
        </w:trPr>
        <w:tc>
          <w:tcPr>
            <w:tcW w:w="712" w:type="pct"/>
          </w:tcPr>
          <w:p w:rsidR="009C0364" w:rsidRPr="0073723C" w:rsidRDefault="00742DE6" w:rsidP="00F95275">
            <w:pPr>
              <w:spacing w:line="240" w:lineRule="auto"/>
              <w:ind w:firstLine="0"/>
              <w:jc w:val="center"/>
              <w:rPr>
                <w:color w:val="000000"/>
                <w:szCs w:val="24"/>
              </w:rPr>
            </w:pPr>
            <w:r w:rsidRPr="006C7346">
              <w:rPr>
                <w:color w:val="000000"/>
                <w:szCs w:val="24"/>
                <w:lang w:val="en-US"/>
              </w:rPr>
              <w:t>A</w:t>
            </w:r>
          </w:p>
        </w:tc>
        <w:tc>
          <w:tcPr>
            <w:tcW w:w="4288" w:type="pct"/>
          </w:tcPr>
          <w:p w:rsidR="009C0364" w:rsidRPr="0073723C" w:rsidRDefault="00742DE6" w:rsidP="00F95275">
            <w:pPr>
              <w:spacing w:line="240" w:lineRule="auto"/>
              <w:ind w:firstLine="0"/>
              <w:rPr>
                <w:color w:val="000000"/>
                <w:szCs w:val="24"/>
              </w:rPr>
            </w:pPr>
            <w:r w:rsidRPr="006C7346">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73723C" w:rsidTr="00043A95">
        <w:trPr>
          <w:divId w:val="1333020968"/>
          <w:trHeight w:val="558"/>
        </w:trPr>
        <w:tc>
          <w:tcPr>
            <w:tcW w:w="712" w:type="pct"/>
          </w:tcPr>
          <w:p w:rsidR="009C0364" w:rsidRPr="0073723C" w:rsidRDefault="00742DE6" w:rsidP="00F95275">
            <w:pPr>
              <w:spacing w:line="240" w:lineRule="auto"/>
              <w:ind w:firstLine="0"/>
              <w:jc w:val="center"/>
              <w:rPr>
                <w:color w:val="000000"/>
                <w:szCs w:val="24"/>
              </w:rPr>
            </w:pPr>
            <w:r w:rsidRPr="006C7346">
              <w:rPr>
                <w:color w:val="000000"/>
                <w:szCs w:val="24"/>
              </w:rPr>
              <w:t>B</w:t>
            </w:r>
          </w:p>
        </w:tc>
        <w:tc>
          <w:tcPr>
            <w:tcW w:w="4288" w:type="pct"/>
          </w:tcPr>
          <w:p w:rsidR="009C0364" w:rsidRPr="0073723C" w:rsidRDefault="00742DE6" w:rsidP="00F95275">
            <w:pPr>
              <w:spacing w:line="240" w:lineRule="auto"/>
              <w:ind w:firstLine="0"/>
              <w:rPr>
                <w:color w:val="000000"/>
                <w:szCs w:val="24"/>
              </w:rPr>
            </w:pPr>
            <w:r w:rsidRPr="006C7346">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73723C" w:rsidTr="00043A95">
        <w:trPr>
          <w:divId w:val="1333020968"/>
          <w:trHeight w:val="798"/>
        </w:trPr>
        <w:tc>
          <w:tcPr>
            <w:tcW w:w="712" w:type="pct"/>
          </w:tcPr>
          <w:p w:rsidR="009C0364" w:rsidRPr="0073723C" w:rsidRDefault="00742DE6" w:rsidP="00F95275">
            <w:pPr>
              <w:spacing w:line="240" w:lineRule="auto"/>
              <w:ind w:firstLine="0"/>
              <w:jc w:val="center"/>
              <w:rPr>
                <w:color w:val="000000"/>
                <w:szCs w:val="24"/>
              </w:rPr>
            </w:pPr>
            <w:r w:rsidRPr="006C7346">
              <w:rPr>
                <w:color w:val="000000"/>
                <w:szCs w:val="24"/>
              </w:rPr>
              <w:t>C</w:t>
            </w:r>
          </w:p>
        </w:tc>
        <w:tc>
          <w:tcPr>
            <w:tcW w:w="4288" w:type="pct"/>
          </w:tcPr>
          <w:p w:rsidR="009C0364" w:rsidRPr="0073723C" w:rsidRDefault="00742DE6" w:rsidP="00F95275">
            <w:pPr>
              <w:spacing w:line="240" w:lineRule="auto"/>
              <w:ind w:firstLine="0"/>
              <w:rPr>
                <w:color w:val="000000"/>
                <w:szCs w:val="24"/>
              </w:rPr>
            </w:pPr>
            <w:r w:rsidRPr="006C7346">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1D24E4" w:rsidRPr="0073723C" w:rsidRDefault="001D24E4" w:rsidP="00F756F0">
      <w:pPr>
        <w:pStyle w:val="aff7"/>
        <w:divId w:val="1333020968"/>
        <w:rPr>
          <w:rStyle w:val="affa"/>
        </w:rPr>
      </w:pPr>
    </w:p>
    <w:p w:rsidR="00275A41" w:rsidRPr="0073723C" w:rsidRDefault="000C307B" w:rsidP="00F756F0">
      <w:pPr>
        <w:pStyle w:val="aff7"/>
        <w:divId w:val="1333020968"/>
        <w:rPr>
          <w:rFonts w:eastAsia="Times New Roman"/>
        </w:rPr>
      </w:pPr>
      <w:r>
        <w:rPr>
          <w:rStyle w:val="affa"/>
        </w:rPr>
        <w:t>Порядок обновления клинических рекомендаций.</w:t>
      </w:r>
    </w:p>
    <w:p w:rsidR="00275A41" w:rsidRPr="0073723C" w:rsidRDefault="00742DE6" w:rsidP="00F756F0">
      <w:pPr>
        <w:divId w:val="1333020968"/>
      </w:pPr>
      <w:r w:rsidRPr="006C7346">
        <w:t>Механизм обновления клинических рекомендаций предусматривает их систематическую актуализацию – не реже чем один раз в три года,а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
    <w:p w:rsidR="000414F6" w:rsidRPr="0073723C" w:rsidRDefault="00742DE6" w:rsidP="00F81529">
      <w:pPr>
        <w:pStyle w:val="afff1"/>
        <w:outlineLvl w:val="9"/>
      </w:pPr>
      <w:r w:rsidRPr="006C7346">
        <w:br w:type="page"/>
      </w:r>
      <w:bookmarkStart w:id="53" w:name="__RefHeading___doc_a3"/>
      <w:r w:rsidR="007F36A7" w:rsidRPr="007F36A7">
        <w:lastRenderedPageBreak/>
        <w:t xml:space="preserve">Приложение А3. </w:t>
      </w:r>
      <w:bookmarkEnd w:id="53"/>
      <w:r w:rsidR="007F36A7" w:rsidRPr="007F36A7">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p>
    <w:p w:rsidR="006446FF" w:rsidRPr="0073723C" w:rsidRDefault="006446FF" w:rsidP="001D6E4A"/>
    <w:p w:rsidR="00A40003" w:rsidRPr="0073723C" w:rsidRDefault="00A40003" w:rsidP="00A40003">
      <w:pPr>
        <w:pStyle w:val="afff1"/>
      </w:pPr>
      <w:r w:rsidRPr="0073723C">
        <w:t>Алгоритм диагностики ранних форм грибовидного микоза</w:t>
      </w:r>
    </w:p>
    <w:p w:rsidR="00A40003" w:rsidRPr="0073723C" w:rsidRDefault="00A40003" w:rsidP="00A40003">
      <w:pPr>
        <w:pStyle w:val="afff1"/>
      </w:pPr>
    </w:p>
    <w:tbl>
      <w:tblPr>
        <w:tblW w:w="9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5"/>
        <w:gridCol w:w="2460"/>
        <w:gridCol w:w="1545"/>
      </w:tblGrid>
      <w:tr w:rsidR="00A40003" w:rsidRPr="0073723C" w:rsidTr="00A727E0">
        <w:tc>
          <w:tcPr>
            <w:tcW w:w="5925" w:type="dxa"/>
            <w:tcBorders>
              <w:top w:val="single" w:sz="6" w:space="0" w:color="000000"/>
              <w:left w:val="single" w:sz="6" w:space="0" w:color="000000"/>
              <w:bottom w:val="single" w:sz="6" w:space="0" w:color="000000"/>
              <w:right w:val="single" w:sz="6" w:space="0" w:color="000000"/>
            </w:tcBorders>
            <w:vAlign w:val="center"/>
            <w:hideMark/>
          </w:tcPr>
          <w:p w:rsidR="00A40003" w:rsidRPr="0073723C" w:rsidRDefault="00A40003" w:rsidP="00A727E0">
            <w:pPr>
              <w:pStyle w:val="afb"/>
              <w:ind w:right="-179"/>
              <w:jc w:val="left"/>
              <w:rPr>
                <w:rFonts w:eastAsiaTheme="minorEastAsia"/>
                <w:b/>
              </w:rPr>
            </w:pPr>
            <w:r w:rsidRPr="000C307B">
              <w:rPr>
                <w:b/>
              </w:rPr>
              <w:t>Признаки</w:t>
            </w:r>
          </w:p>
        </w:tc>
        <w:tc>
          <w:tcPr>
            <w:tcW w:w="2460" w:type="dxa"/>
            <w:tcBorders>
              <w:top w:val="single" w:sz="6" w:space="0" w:color="000000"/>
              <w:left w:val="single" w:sz="6" w:space="0" w:color="000000"/>
              <w:bottom w:val="single" w:sz="6" w:space="0" w:color="000000"/>
              <w:right w:val="single" w:sz="6" w:space="0" w:color="000000"/>
            </w:tcBorders>
            <w:vAlign w:val="center"/>
            <w:hideMark/>
          </w:tcPr>
          <w:p w:rsidR="00A40003" w:rsidRPr="0073723C" w:rsidRDefault="00A40003" w:rsidP="00A727E0">
            <w:pPr>
              <w:pStyle w:val="afb"/>
              <w:ind w:right="-179" w:firstLine="179"/>
              <w:jc w:val="left"/>
              <w:rPr>
                <w:rFonts w:eastAsiaTheme="minorEastAsia"/>
                <w:b/>
              </w:rPr>
            </w:pPr>
            <w:r w:rsidRPr="000C307B">
              <w:rPr>
                <w:b/>
              </w:rPr>
              <w:t>Критерии оценки</w:t>
            </w:r>
          </w:p>
        </w:tc>
        <w:tc>
          <w:tcPr>
            <w:tcW w:w="1545" w:type="dxa"/>
            <w:tcBorders>
              <w:top w:val="single" w:sz="6" w:space="0" w:color="000000"/>
              <w:left w:val="single" w:sz="6" w:space="0" w:color="000000"/>
              <w:bottom w:val="single" w:sz="6" w:space="0" w:color="000000"/>
              <w:right w:val="single" w:sz="6" w:space="0" w:color="000000"/>
            </w:tcBorders>
            <w:vAlign w:val="center"/>
            <w:hideMark/>
          </w:tcPr>
          <w:p w:rsidR="00A40003" w:rsidRPr="0073723C" w:rsidRDefault="00A40003" w:rsidP="00A727E0">
            <w:pPr>
              <w:pStyle w:val="afb"/>
              <w:ind w:right="-179" w:firstLine="128"/>
              <w:jc w:val="left"/>
              <w:rPr>
                <w:rFonts w:eastAsiaTheme="minorEastAsia"/>
                <w:b/>
              </w:rPr>
            </w:pPr>
            <w:r w:rsidRPr="000C307B">
              <w:rPr>
                <w:b/>
              </w:rPr>
              <w:t>Количество баллов</w:t>
            </w:r>
          </w:p>
        </w:tc>
      </w:tr>
      <w:tr w:rsidR="00A40003" w:rsidRPr="0073723C" w:rsidTr="00A727E0">
        <w:tc>
          <w:tcPr>
            <w:tcW w:w="9930" w:type="dxa"/>
            <w:gridSpan w:val="3"/>
            <w:tcBorders>
              <w:top w:val="single" w:sz="6" w:space="0" w:color="000000"/>
              <w:left w:val="single" w:sz="6" w:space="0" w:color="000000"/>
              <w:bottom w:val="single" w:sz="6" w:space="0" w:color="000000"/>
              <w:right w:val="single" w:sz="6" w:space="0" w:color="000000"/>
            </w:tcBorders>
            <w:vAlign w:val="center"/>
            <w:hideMark/>
          </w:tcPr>
          <w:p w:rsidR="00A40003" w:rsidRPr="0073723C" w:rsidRDefault="00A40003" w:rsidP="00A727E0">
            <w:pPr>
              <w:pStyle w:val="afb"/>
              <w:ind w:firstLine="128"/>
              <w:jc w:val="center"/>
              <w:rPr>
                <w:rFonts w:eastAsiaTheme="minorEastAsia"/>
                <w:b/>
              </w:rPr>
            </w:pPr>
            <w:r w:rsidRPr="000C307B">
              <w:rPr>
                <w:b/>
              </w:rPr>
              <w:t>Клинические</w:t>
            </w:r>
          </w:p>
        </w:tc>
      </w:tr>
      <w:tr w:rsidR="00A40003" w:rsidRPr="0073723C" w:rsidTr="00A727E0">
        <w:tc>
          <w:tcPr>
            <w:tcW w:w="5925" w:type="dxa"/>
            <w:tcBorders>
              <w:top w:val="single" w:sz="6" w:space="0" w:color="000000"/>
              <w:left w:val="single" w:sz="6" w:space="0" w:color="000000"/>
              <w:bottom w:val="single" w:sz="6" w:space="0" w:color="000000"/>
              <w:right w:val="single" w:sz="6" w:space="0" w:color="000000"/>
            </w:tcBorders>
            <w:hideMark/>
          </w:tcPr>
          <w:p w:rsidR="00A40003" w:rsidRPr="0073723C" w:rsidRDefault="00A40003" w:rsidP="00A727E0">
            <w:pPr>
              <w:pStyle w:val="afb"/>
              <w:spacing w:beforeAutospacing="0" w:afterAutospacing="0" w:line="240" w:lineRule="auto"/>
              <w:ind w:right="105" w:firstLine="289"/>
              <w:rPr>
                <w:rFonts w:eastAsiaTheme="minorEastAsia"/>
              </w:rPr>
            </w:pPr>
            <w:r w:rsidRPr="0079163F">
              <w:t>Основные:</w:t>
            </w:r>
          </w:p>
          <w:p w:rsidR="00A40003" w:rsidRPr="0073723C" w:rsidRDefault="00A40003" w:rsidP="00A727E0">
            <w:pPr>
              <w:pStyle w:val="afb"/>
              <w:spacing w:beforeAutospacing="0" w:afterAutospacing="0" w:line="240" w:lineRule="auto"/>
              <w:ind w:right="105" w:firstLine="289"/>
            </w:pPr>
            <w:r w:rsidRPr="0079163F">
              <w:t>Наличие стабильных и/или прогрессирующих пятен или «тонких» бляшек.</w:t>
            </w:r>
          </w:p>
          <w:p w:rsidR="00A40003" w:rsidRPr="0073723C" w:rsidRDefault="00A40003" w:rsidP="00A727E0">
            <w:pPr>
              <w:pStyle w:val="afb"/>
              <w:spacing w:beforeAutospacing="0" w:afterAutospacing="0" w:line="240" w:lineRule="auto"/>
              <w:ind w:right="105" w:firstLine="289"/>
            </w:pPr>
            <w:r w:rsidRPr="0079163F">
              <w:t>Дополнительные:</w:t>
            </w:r>
          </w:p>
          <w:p w:rsidR="00A40003" w:rsidRPr="0073723C" w:rsidRDefault="00A40003" w:rsidP="00A727E0">
            <w:pPr>
              <w:numPr>
                <w:ilvl w:val="0"/>
                <w:numId w:val="31"/>
              </w:numPr>
              <w:spacing w:line="240" w:lineRule="auto"/>
              <w:ind w:right="105" w:firstLine="289"/>
              <w:jc w:val="left"/>
              <w:rPr>
                <w:rFonts w:eastAsia="Times New Roman"/>
              </w:rPr>
            </w:pPr>
            <w:r w:rsidRPr="0079163F">
              <w:rPr>
                <w:rFonts w:eastAsia="Times New Roman"/>
              </w:rPr>
              <w:t>Локализация высыпаний в областях, не подвергающихся инсоляции.</w:t>
            </w:r>
          </w:p>
          <w:p w:rsidR="00A40003" w:rsidRPr="0073723C" w:rsidRDefault="00A40003" w:rsidP="00A727E0">
            <w:pPr>
              <w:numPr>
                <w:ilvl w:val="0"/>
                <w:numId w:val="31"/>
              </w:numPr>
              <w:spacing w:line="240" w:lineRule="auto"/>
              <w:ind w:right="105" w:firstLine="289"/>
              <w:jc w:val="left"/>
              <w:rPr>
                <w:rFonts w:eastAsia="Times New Roman"/>
              </w:rPr>
            </w:pPr>
            <w:r w:rsidRPr="0079163F">
              <w:rPr>
                <w:rFonts w:eastAsia="Times New Roman"/>
              </w:rPr>
              <w:t>Вариабельность формы и размеров высыпаний.</w:t>
            </w:r>
          </w:p>
          <w:p w:rsidR="00A40003" w:rsidRPr="0073723C" w:rsidRDefault="00A40003" w:rsidP="00A727E0">
            <w:pPr>
              <w:numPr>
                <w:ilvl w:val="0"/>
                <w:numId w:val="31"/>
              </w:numPr>
              <w:spacing w:line="240" w:lineRule="auto"/>
              <w:ind w:right="105" w:firstLine="289"/>
              <w:jc w:val="left"/>
              <w:rPr>
                <w:rFonts w:eastAsia="Times New Roman"/>
                <w:szCs w:val="24"/>
              </w:rPr>
            </w:pPr>
            <w:r w:rsidRPr="0079163F">
              <w:rPr>
                <w:rFonts w:eastAsia="Times New Roman"/>
              </w:rPr>
              <w:t>Пойкилодермия.</w:t>
            </w:r>
          </w:p>
        </w:tc>
        <w:tc>
          <w:tcPr>
            <w:tcW w:w="2460" w:type="dxa"/>
            <w:tcBorders>
              <w:top w:val="single" w:sz="6" w:space="0" w:color="000000"/>
              <w:left w:val="single" w:sz="6" w:space="0" w:color="000000"/>
              <w:bottom w:val="single" w:sz="6" w:space="0" w:color="000000"/>
              <w:right w:val="single" w:sz="6" w:space="0" w:color="000000"/>
            </w:tcBorders>
            <w:vAlign w:val="center"/>
            <w:hideMark/>
          </w:tcPr>
          <w:p w:rsidR="00A40003" w:rsidRPr="0073723C" w:rsidRDefault="00A40003" w:rsidP="00A727E0">
            <w:pPr>
              <w:pStyle w:val="afb"/>
              <w:spacing w:beforeAutospacing="0" w:afterAutospacing="0" w:line="240" w:lineRule="auto"/>
              <w:ind w:right="155" w:firstLine="181"/>
              <w:rPr>
                <w:rFonts w:eastAsiaTheme="minorEastAsia"/>
              </w:rPr>
            </w:pPr>
            <w:r w:rsidRPr="0079163F">
              <w:t>2 балла за основной и два дополнительных критерия</w:t>
            </w:r>
          </w:p>
          <w:p w:rsidR="00A40003" w:rsidRPr="0073723C" w:rsidRDefault="00A40003" w:rsidP="00A727E0">
            <w:pPr>
              <w:pStyle w:val="afb"/>
              <w:spacing w:beforeAutospacing="0" w:afterAutospacing="0" w:line="240" w:lineRule="auto"/>
              <w:ind w:right="155" w:firstLine="181"/>
              <w:rPr>
                <w:rFonts w:eastAsiaTheme="minorEastAsia"/>
              </w:rPr>
            </w:pPr>
            <w:r w:rsidRPr="0079163F">
              <w:t>1 балл за основной и 1 дополнительный критерий</w:t>
            </w:r>
          </w:p>
        </w:tc>
        <w:tc>
          <w:tcPr>
            <w:tcW w:w="1545" w:type="dxa"/>
            <w:tcBorders>
              <w:top w:val="single" w:sz="6" w:space="0" w:color="000000"/>
              <w:left w:val="single" w:sz="6" w:space="0" w:color="000000"/>
              <w:bottom w:val="single" w:sz="6" w:space="0" w:color="000000"/>
              <w:right w:val="single" w:sz="6" w:space="0" w:color="000000"/>
            </w:tcBorders>
            <w:hideMark/>
          </w:tcPr>
          <w:p w:rsidR="00A40003" w:rsidRPr="0073723C" w:rsidRDefault="00A40003" w:rsidP="00A727E0">
            <w:pPr>
              <w:ind w:firstLine="128"/>
              <w:rPr>
                <w:rFonts w:eastAsia="Times New Roman"/>
                <w:szCs w:val="24"/>
              </w:rPr>
            </w:pPr>
          </w:p>
        </w:tc>
      </w:tr>
      <w:tr w:rsidR="00A40003" w:rsidRPr="0073723C" w:rsidTr="00A727E0">
        <w:tc>
          <w:tcPr>
            <w:tcW w:w="9930" w:type="dxa"/>
            <w:gridSpan w:val="3"/>
            <w:tcBorders>
              <w:top w:val="single" w:sz="6" w:space="0" w:color="000000"/>
              <w:left w:val="single" w:sz="6" w:space="0" w:color="000000"/>
              <w:bottom w:val="single" w:sz="6" w:space="0" w:color="000000"/>
              <w:right w:val="single" w:sz="6" w:space="0" w:color="000000"/>
            </w:tcBorders>
            <w:vAlign w:val="center"/>
            <w:hideMark/>
          </w:tcPr>
          <w:p w:rsidR="00A40003" w:rsidRPr="0073723C" w:rsidRDefault="00A40003" w:rsidP="00A727E0">
            <w:pPr>
              <w:pStyle w:val="afb"/>
              <w:ind w:firstLine="128"/>
              <w:jc w:val="center"/>
              <w:rPr>
                <w:rFonts w:eastAsiaTheme="minorEastAsia"/>
                <w:b/>
              </w:rPr>
            </w:pPr>
            <w:r w:rsidRPr="000C307B">
              <w:rPr>
                <w:b/>
              </w:rPr>
              <w:t>Гистопатологические</w:t>
            </w:r>
          </w:p>
        </w:tc>
      </w:tr>
      <w:tr w:rsidR="00A40003" w:rsidRPr="0073723C" w:rsidTr="00A727E0">
        <w:tc>
          <w:tcPr>
            <w:tcW w:w="5925" w:type="dxa"/>
            <w:tcBorders>
              <w:top w:val="single" w:sz="6" w:space="0" w:color="000000"/>
              <w:left w:val="single" w:sz="6" w:space="0" w:color="000000"/>
              <w:bottom w:val="single" w:sz="6" w:space="0" w:color="000000"/>
              <w:right w:val="single" w:sz="6" w:space="0" w:color="000000"/>
            </w:tcBorders>
            <w:hideMark/>
          </w:tcPr>
          <w:p w:rsidR="00A40003" w:rsidRPr="0073723C" w:rsidRDefault="00A40003" w:rsidP="00A727E0">
            <w:pPr>
              <w:pStyle w:val="afb"/>
              <w:spacing w:beforeAutospacing="0" w:afterAutospacing="0" w:line="240" w:lineRule="auto"/>
              <w:ind w:firstLine="292"/>
              <w:rPr>
                <w:rFonts w:eastAsiaTheme="minorEastAsia"/>
              </w:rPr>
            </w:pPr>
            <w:r w:rsidRPr="0079163F">
              <w:t>Основные:</w:t>
            </w:r>
          </w:p>
          <w:p w:rsidR="00A40003" w:rsidRPr="0073723C" w:rsidRDefault="00A40003" w:rsidP="00A727E0">
            <w:pPr>
              <w:pStyle w:val="afb"/>
              <w:spacing w:beforeAutospacing="0" w:afterAutospacing="0" w:line="240" w:lineRule="auto"/>
              <w:ind w:firstLine="292"/>
            </w:pPr>
            <w:r w:rsidRPr="0079163F">
              <w:t>Поверхностный лимфоидный инфильтрат.</w:t>
            </w:r>
          </w:p>
          <w:p w:rsidR="00A40003" w:rsidRPr="0073723C" w:rsidRDefault="00A40003" w:rsidP="00A727E0">
            <w:pPr>
              <w:pStyle w:val="afb"/>
              <w:spacing w:beforeAutospacing="0" w:afterAutospacing="0" w:line="240" w:lineRule="auto"/>
              <w:ind w:firstLine="292"/>
            </w:pPr>
            <w:r w:rsidRPr="0079163F">
              <w:t>Дополнительные:</w:t>
            </w:r>
          </w:p>
          <w:p w:rsidR="00A40003" w:rsidRPr="0073723C" w:rsidRDefault="00A40003" w:rsidP="00A727E0">
            <w:pPr>
              <w:numPr>
                <w:ilvl w:val="0"/>
                <w:numId w:val="32"/>
              </w:numPr>
              <w:spacing w:line="240" w:lineRule="auto"/>
              <w:ind w:firstLine="292"/>
              <w:jc w:val="left"/>
              <w:rPr>
                <w:rFonts w:eastAsia="Times New Roman"/>
              </w:rPr>
            </w:pPr>
            <w:r w:rsidRPr="0079163F">
              <w:rPr>
                <w:rFonts w:eastAsia="Times New Roman"/>
              </w:rPr>
              <w:t>Эпидермотропизм без спонгиоза.</w:t>
            </w:r>
          </w:p>
          <w:p w:rsidR="00A40003" w:rsidRPr="0073723C" w:rsidRDefault="00A40003" w:rsidP="00A727E0">
            <w:pPr>
              <w:numPr>
                <w:ilvl w:val="0"/>
                <w:numId w:val="32"/>
              </w:numPr>
              <w:spacing w:line="240" w:lineRule="auto"/>
              <w:ind w:firstLine="292"/>
              <w:jc w:val="left"/>
              <w:rPr>
                <w:rFonts w:eastAsia="Times New Roman"/>
                <w:szCs w:val="24"/>
              </w:rPr>
            </w:pPr>
            <w:r w:rsidRPr="0079163F">
              <w:rPr>
                <w:rFonts w:eastAsia="Times New Roman"/>
              </w:rPr>
              <w:t>Лимфоидная атипия (клетки с гиперхромными увеличенными ядрами или неправильным или церебриформным</w:t>
            </w:r>
            <w:r>
              <w:rPr>
                <w:rFonts w:eastAsia="Times New Roman"/>
              </w:rPr>
              <w:t xml:space="preserve"> </w:t>
            </w:r>
            <w:r w:rsidRPr="0079163F">
              <w:rPr>
                <w:rFonts w:eastAsia="Times New Roman"/>
              </w:rPr>
              <w:t>конт</w:t>
            </w:r>
            <w:r>
              <w:rPr>
                <w:rFonts w:eastAsia="Times New Roman"/>
              </w:rPr>
              <w:t>у</w:t>
            </w:r>
            <w:r w:rsidRPr="0079163F">
              <w:rPr>
                <w:rFonts w:eastAsia="Times New Roman"/>
              </w:rPr>
              <w:t>ром ядра).</w:t>
            </w:r>
          </w:p>
        </w:tc>
        <w:tc>
          <w:tcPr>
            <w:tcW w:w="2460" w:type="dxa"/>
            <w:tcBorders>
              <w:top w:val="single" w:sz="6" w:space="0" w:color="000000"/>
              <w:left w:val="single" w:sz="6" w:space="0" w:color="000000"/>
              <w:bottom w:val="single" w:sz="6" w:space="0" w:color="000000"/>
              <w:right w:val="single" w:sz="6" w:space="0" w:color="000000"/>
            </w:tcBorders>
            <w:vAlign w:val="center"/>
            <w:hideMark/>
          </w:tcPr>
          <w:p w:rsidR="00A40003" w:rsidRPr="0073723C" w:rsidRDefault="00A40003" w:rsidP="00A727E0">
            <w:pPr>
              <w:pStyle w:val="afb"/>
              <w:spacing w:beforeAutospacing="0" w:afterAutospacing="0" w:line="240" w:lineRule="auto"/>
              <w:ind w:left="179" w:right="155" w:firstLine="179"/>
              <w:rPr>
                <w:rFonts w:eastAsiaTheme="minorEastAsia"/>
              </w:rPr>
            </w:pPr>
            <w:r w:rsidRPr="0079163F">
              <w:t>2 балла за основной и два дополнительных признака</w:t>
            </w:r>
          </w:p>
          <w:p w:rsidR="00A40003" w:rsidRPr="0073723C" w:rsidRDefault="00A40003" w:rsidP="00A727E0">
            <w:pPr>
              <w:pStyle w:val="afb"/>
              <w:spacing w:beforeAutospacing="0" w:afterAutospacing="0" w:line="240" w:lineRule="auto"/>
              <w:ind w:left="179" w:right="155" w:firstLine="179"/>
              <w:rPr>
                <w:rFonts w:eastAsiaTheme="minorEastAsia"/>
              </w:rPr>
            </w:pPr>
            <w:r w:rsidRPr="0079163F">
              <w:t>1 балл за основной и 1 дополнительный признак</w:t>
            </w:r>
          </w:p>
        </w:tc>
        <w:tc>
          <w:tcPr>
            <w:tcW w:w="1545" w:type="dxa"/>
            <w:tcBorders>
              <w:top w:val="single" w:sz="6" w:space="0" w:color="000000"/>
              <w:left w:val="single" w:sz="6" w:space="0" w:color="000000"/>
              <w:bottom w:val="single" w:sz="6" w:space="0" w:color="000000"/>
              <w:right w:val="single" w:sz="6" w:space="0" w:color="000000"/>
            </w:tcBorders>
            <w:hideMark/>
          </w:tcPr>
          <w:p w:rsidR="00A40003" w:rsidRPr="0073723C" w:rsidRDefault="00A40003" w:rsidP="00A727E0">
            <w:pPr>
              <w:spacing w:line="240" w:lineRule="auto"/>
              <w:ind w:firstLine="292"/>
              <w:rPr>
                <w:rFonts w:eastAsia="Times New Roman"/>
                <w:szCs w:val="24"/>
              </w:rPr>
            </w:pPr>
          </w:p>
        </w:tc>
      </w:tr>
      <w:tr w:rsidR="00A40003" w:rsidRPr="0073723C" w:rsidTr="00A727E0">
        <w:tc>
          <w:tcPr>
            <w:tcW w:w="9930" w:type="dxa"/>
            <w:gridSpan w:val="3"/>
            <w:tcBorders>
              <w:top w:val="single" w:sz="6" w:space="0" w:color="000000"/>
              <w:left w:val="single" w:sz="6" w:space="0" w:color="000000"/>
              <w:bottom w:val="single" w:sz="6" w:space="0" w:color="000000"/>
              <w:right w:val="single" w:sz="6" w:space="0" w:color="000000"/>
            </w:tcBorders>
            <w:vAlign w:val="center"/>
            <w:hideMark/>
          </w:tcPr>
          <w:p w:rsidR="00A40003" w:rsidRPr="0073723C" w:rsidRDefault="00A40003" w:rsidP="00A727E0">
            <w:pPr>
              <w:pStyle w:val="afb"/>
              <w:rPr>
                <w:rFonts w:eastAsiaTheme="minorEastAsia"/>
              </w:rPr>
            </w:pPr>
            <w:r w:rsidRPr="0079163F">
              <w:t>Молекулярно-биологические</w:t>
            </w:r>
          </w:p>
        </w:tc>
      </w:tr>
      <w:tr w:rsidR="00A40003" w:rsidRPr="0073723C" w:rsidTr="00A727E0">
        <w:tc>
          <w:tcPr>
            <w:tcW w:w="5925" w:type="dxa"/>
            <w:tcBorders>
              <w:top w:val="single" w:sz="6" w:space="0" w:color="000000"/>
              <w:left w:val="single" w:sz="6" w:space="0" w:color="000000"/>
              <w:bottom w:val="single" w:sz="6" w:space="0" w:color="000000"/>
              <w:right w:val="single" w:sz="6" w:space="0" w:color="000000"/>
            </w:tcBorders>
            <w:hideMark/>
          </w:tcPr>
          <w:p w:rsidR="00A40003" w:rsidRPr="0073723C" w:rsidRDefault="00A40003" w:rsidP="00A727E0">
            <w:pPr>
              <w:pStyle w:val="afb"/>
              <w:ind w:right="105"/>
              <w:rPr>
                <w:rFonts w:eastAsiaTheme="minorEastAsia"/>
              </w:rPr>
            </w:pPr>
            <w:r w:rsidRPr="0079163F">
              <w:t>Клональная перестройка гена Т-клеточного рецептора</w:t>
            </w:r>
          </w:p>
        </w:tc>
        <w:tc>
          <w:tcPr>
            <w:tcW w:w="2460" w:type="dxa"/>
            <w:tcBorders>
              <w:top w:val="single" w:sz="6" w:space="0" w:color="000000"/>
              <w:left w:val="single" w:sz="6" w:space="0" w:color="000000"/>
              <w:bottom w:val="single" w:sz="6" w:space="0" w:color="000000"/>
              <w:right w:val="single" w:sz="6" w:space="0" w:color="000000"/>
            </w:tcBorders>
            <w:vAlign w:val="center"/>
            <w:hideMark/>
          </w:tcPr>
          <w:p w:rsidR="00A40003" w:rsidRPr="0073723C" w:rsidRDefault="00A40003" w:rsidP="00A727E0">
            <w:pPr>
              <w:pStyle w:val="afb"/>
              <w:rPr>
                <w:rFonts w:eastAsiaTheme="minorEastAsia"/>
              </w:rPr>
            </w:pPr>
            <w:r w:rsidRPr="0079163F">
              <w:t>1 балл</w:t>
            </w:r>
          </w:p>
        </w:tc>
        <w:tc>
          <w:tcPr>
            <w:tcW w:w="1545" w:type="dxa"/>
            <w:tcBorders>
              <w:top w:val="single" w:sz="6" w:space="0" w:color="000000"/>
              <w:left w:val="single" w:sz="6" w:space="0" w:color="000000"/>
              <w:bottom w:val="single" w:sz="6" w:space="0" w:color="000000"/>
              <w:right w:val="single" w:sz="6" w:space="0" w:color="000000"/>
            </w:tcBorders>
            <w:hideMark/>
          </w:tcPr>
          <w:p w:rsidR="00A40003" w:rsidRPr="0073723C" w:rsidRDefault="00A40003" w:rsidP="00A727E0">
            <w:pPr>
              <w:rPr>
                <w:rFonts w:eastAsia="Times New Roman"/>
                <w:szCs w:val="24"/>
              </w:rPr>
            </w:pPr>
          </w:p>
        </w:tc>
      </w:tr>
      <w:tr w:rsidR="00A40003" w:rsidRPr="0073723C" w:rsidTr="00A727E0">
        <w:tc>
          <w:tcPr>
            <w:tcW w:w="9930" w:type="dxa"/>
            <w:gridSpan w:val="3"/>
            <w:tcBorders>
              <w:top w:val="single" w:sz="6" w:space="0" w:color="000000"/>
              <w:left w:val="single" w:sz="6" w:space="0" w:color="000000"/>
              <w:bottom w:val="single" w:sz="6" w:space="0" w:color="000000"/>
              <w:right w:val="single" w:sz="6" w:space="0" w:color="000000"/>
            </w:tcBorders>
            <w:vAlign w:val="center"/>
            <w:hideMark/>
          </w:tcPr>
          <w:p w:rsidR="00A40003" w:rsidRPr="0073723C" w:rsidRDefault="00A40003" w:rsidP="00A727E0">
            <w:pPr>
              <w:pStyle w:val="afb"/>
              <w:ind w:left="292" w:firstLine="292"/>
              <w:jc w:val="center"/>
              <w:rPr>
                <w:rFonts w:eastAsiaTheme="minorEastAsia"/>
                <w:b/>
              </w:rPr>
            </w:pPr>
            <w:r w:rsidRPr="000C307B">
              <w:rPr>
                <w:b/>
              </w:rPr>
              <w:t>Иммунопатологические</w:t>
            </w:r>
          </w:p>
        </w:tc>
      </w:tr>
      <w:tr w:rsidR="00A40003" w:rsidRPr="0073723C" w:rsidTr="00A727E0">
        <w:tc>
          <w:tcPr>
            <w:tcW w:w="5925" w:type="dxa"/>
            <w:tcBorders>
              <w:top w:val="single" w:sz="6" w:space="0" w:color="000000"/>
              <w:left w:val="single" w:sz="6" w:space="0" w:color="000000"/>
              <w:bottom w:val="single" w:sz="6" w:space="0" w:color="000000"/>
              <w:right w:val="single" w:sz="6" w:space="0" w:color="000000"/>
            </w:tcBorders>
            <w:hideMark/>
          </w:tcPr>
          <w:p w:rsidR="00A40003" w:rsidRPr="0073723C" w:rsidRDefault="00A40003" w:rsidP="00A727E0">
            <w:pPr>
              <w:numPr>
                <w:ilvl w:val="0"/>
                <w:numId w:val="33"/>
              </w:numPr>
              <w:spacing w:before="100" w:beforeAutospacing="1" w:after="100" w:afterAutospacing="1" w:line="240" w:lineRule="auto"/>
              <w:ind w:left="292" w:firstLine="292"/>
              <w:jc w:val="left"/>
              <w:rPr>
                <w:rFonts w:eastAsia="Times New Roman"/>
              </w:rPr>
            </w:pPr>
            <w:r w:rsidRPr="0079163F">
              <w:rPr>
                <w:rFonts w:eastAsia="Times New Roman"/>
              </w:rPr>
              <w:t>Количество CD2+, CD3+, и/или CD5+ Т-клеток &lt; 50%.</w:t>
            </w:r>
          </w:p>
          <w:p w:rsidR="00A40003" w:rsidRPr="0073723C" w:rsidRDefault="00A40003" w:rsidP="00A727E0">
            <w:pPr>
              <w:numPr>
                <w:ilvl w:val="0"/>
                <w:numId w:val="33"/>
              </w:numPr>
              <w:spacing w:before="100" w:beforeAutospacing="1" w:after="100" w:afterAutospacing="1" w:line="240" w:lineRule="auto"/>
              <w:ind w:left="292" w:firstLine="292"/>
              <w:jc w:val="left"/>
              <w:rPr>
                <w:rFonts w:eastAsia="Times New Roman"/>
              </w:rPr>
            </w:pPr>
            <w:r w:rsidRPr="0079163F">
              <w:rPr>
                <w:rFonts w:eastAsia="Times New Roman"/>
              </w:rPr>
              <w:t>Количество CD7+ Т-клеток &lt; 10%.</w:t>
            </w:r>
          </w:p>
          <w:p w:rsidR="00A40003" w:rsidRPr="0073723C" w:rsidRDefault="00A40003" w:rsidP="00A727E0">
            <w:pPr>
              <w:numPr>
                <w:ilvl w:val="0"/>
                <w:numId w:val="33"/>
              </w:numPr>
              <w:spacing w:before="100" w:beforeAutospacing="1" w:after="100" w:afterAutospacing="1" w:line="240" w:lineRule="auto"/>
              <w:ind w:left="292" w:firstLine="292"/>
              <w:jc w:val="left"/>
              <w:rPr>
                <w:rFonts w:eastAsia="Times New Roman"/>
                <w:szCs w:val="24"/>
              </w:rPr>
            </w:pPr>
            <w:r w:rsidRPr="0079163F">
              <w:rPr>
                <w:rFonts w:eastAsia="Times New Roman"/>
              </w:rPr>
              <w:t>Эпидермально/дермальное несоответствие экспрессии CD2, CD3, CD5 и CD7 (дефицит экспрессии в эпидермисе).</w:t>
            </w:r>
          </w:p>
        </w:tc>
        <w:tc>
          <w:tcPr>
            <w:tcW w:w="2460" w:type="dxa"/>
            <w:tcBorders>
              <w:top w:val="single" w:sz="6" w:space="0" w:color="000000"/>
              <w:left w:val="single" w:sz="6" w:space="0" w:color="000000"/>
              <w:bottom w:val="single" w:sz="6" w:space="0" w:color="000000"/>
              <w:right w:val="single" w:sz="6" w:space="0" w:color="000000"/>
            </w:tcBorders>
            <w:vAlign w:val="center"/>
            <w:hideMark/>
          </w:tcPr>
          <w:p w:rsidR="00A40003" w:rsidRPr="0073723C" w:rsidRDefault="00A40003" w:rsidP="00A727E0">
            <w:pPr>
              <w:pStyle w:val="afb"/>
              <w:ind w:left="292" w:right="155" w:firstLine="292"/>
              <w:rPr>
                <w:rFonts w:eastAsiaTheme="minorEastAsia"/>
              </w:rPr>
            </w:pPr>
            <w:r w:rsidRPr="0079163F">
              <w:t>1 балл за один или более признак</w:t>
            </w:r>
          </w:p>
        </w:tc>
        <w:tc>
          <w:tcPr>
            <w:tcW w:w="1545" w:type="dxa"/>
            <w:tcBorders>
              <w:top w:val="single" w:sz="6" w:space="0" w:color="000000"/>
              <w:left w:val="single" w:sz="6" w:space="0" w:color="000000"/>
              <w:bottom w:val="single" w:sz="6" w:space="0" w:color="000000"/>
              <w:right w:val="single" w:sz="6" w:space="0" w:color="000000"/>
            </w:tcBorders>
            <w:hideMark/>
          </w:tcPr>
          <w:p w:rsidR="00A40003" w:rsidRPr="0073723C" w:rsidRDefault="00A40003" w:rsidP="00A727E0">
            <w:pPr>
              <w:ind w:left="292" w:firstLine="292"/>
              <w:rPr>
                <w:rFonts w:eastAsia="Times New Roman"/>
                <w:szCs w:val="24"/>
              </w:rPr>
            </w:pPr>
          </w:p>
        </w:tc>
      </w:tr>
      <w:tr w:rsidR="00A40003" w:rsidRPr="0073723C" w:rsidTr="00A727E0">
        <w:tc>
          <w:tcPr>
            <w:tcW w:w="8385" w:type="dxa"/>
            <w:gridSpan w:val="2"/>
            <w:tcBorders>
              <w:top w:val="single" w:sz="6" w:space="0" w:color="000000"/>
              <w:left w:val="single" w:sz="6" w:space="0" w:color="000000"/>
              <w:bottom w:val="single" w:sz="6" w:space="0" w:color="000000"/>
              <w:right w:val="single" w:sz="6" w:space="0" w:color="000000"/>
            </w:tcBorders>
            <w:vAlign w:val="center"/>
            <w:hideMark/>
          </w:tcPr>
          <w:p w:rsidR="00A40003" w:rsidRPr="0073723C" w:rsidRDefault="00A40003" w:rsidP="00A727E0">
            <w:pPr>
              <w:pStyle w:val="afb"/>
              <w:rPr>
                <w:rFonts w:eastAsiaTheme="minorEastAsia"/>
              </w:rPr>
            </w:pPr>
            <w:r w:rsidRPr="0079163F">
              <w:t>Итого</w:t>
            </w:r>
          </w:p>
        </w:tc>
        <w:tc>
          <w:tcPr>
            <w:tcW w:w="1545" w:type="dxa"/>
            <w:tcBorders>
              <w:top w:val="single" w:sz="6" w:space="0" w:color="000000"/>
              <w:left w:val="single" w:sz="6" w:space="0" w:color="000000"/>
              <w:bottom w:val="single" w:sz="6" w:space="0" w:color="000000"/>
              <w:right w:val="single" w:sz="6" w:space="0" w:color="000000"/>
            </w:tcBorders>
            <w:hideMark/>
          </w:tcPr>
          <w:p w:rsidR="00A40003" w:rsidRPr="0073723C" w:rsidRDefault="00A40003" w:rsidP="00A727E0">
            <w:pPr>
              <w:pStyle w:val="afb"/>
              <w:rPr>
                <w:rFonts w:eastAsiaTheme="minorEastAsia"/>
              </w:rPr>
            </w:pPr>
            <w:r w:rsidRPr="0079163F">
              <w:t>*</w:t>
            </w:r>
          </w:p>
        </w:tc>
      </w:tr>
    </w:tbl>
    <w:p w:rsidR="00A40003" w:rsidRDefault="00A40003" w:rsidP="00A40003">
      <w:pPr>
        <w:ind w:firstLine="0"/>
      </w:pPr>
      <w:r w:rsidRPr="0079163F">
        <w:t>*Диагноз грибовидного микоза считается правомерным при общей сумме ≥ 4 баллов из любых разделов таблицы.</w:t>
      </w:r>
    </w:p>
    <w:p w:rsidR="003B659A" w:rsidRPr="0073723C" w:rsidRDefault="003B659A" w:rsidP="003B659A">
      <w:pPr>
        <w:pStyle w:val="afff1"/>
      </w:pPr>
      <w:r w:rsidRPr="006C7346">
        <w:lastRenderedPageBreak/>
        <w:t xml:space="preserve">Стадирование грибовидного микоза согласно рекомендациям </w:t>
      </w:r>
      <w:r w:rsidRPr="006C7346">
        <w:rPr>
          <w:lang w:val="en-US"/>
        </w:rPr>
        <w:t>ISLE</w:t>
      </w:r>
      <w:r w:rsidRPr="006C7346">
        <w:t>-</w:t>
      </w:r>
      <w:r w:rsidRPr="006C7346">
        <w:rPr>
          <w:lang w:val="en-US"/>
        </w:rPr>
        <w:t>EORTC</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4"/>
        <w:gridCol w:w="1209"/>
        <w:gridCol w:w="1350"/>
        <w:gridCol w:w="1193"/>
        <w:gridCol w:w="1656"/>
      </w:tblGrid>
      <w:tr w:rsidR="003B659A" w:rsidRPr="0073723C" w:rsidTr="007F4181">
        <w:tc>
          <w:tcPr>
            <w:tcW w:w="10290" w:type="dxa"/>
            <w:gridSpan w:val="5"/>
            <w:tcBorders>
              <w:top w:val="single" w:sz="6" w:space="0" w:color="000000"/>
              <w:left w:val="single" w:sz="6" w:space="0" w:color="000000"/>
              <w:bottom w:val="single" w:sz="6" w:space="0" w:color="000000"/>
              <w:right w:val="single" w:sz="6" w:space="0" w:color="000000"/>
            </w:tcBorders>
            <w:hideMark/>
          </w:tcPr>
          <w:p w:rsidR="003B659A" w:rsidRPr="0073723C" w:rsidRDefault="003B659A" w:rsidP="007F4181">
            <w:pPr>
              <w:pStyle w:val="afb"/>
              <w:spacing w:beforeAutospacing="0" w:afterAutospacing="0" w:line="240" w:lineRule="auto"/>
              <w:rPr>
                <w:rFonts w:eastAsiaTheme="minorEastAsia"/>
              </w:rPr>
            </w:pPr>
            <w:r w:rsidRPr="0073723C">
              <w:rPr>
                <w:rStyle w:val="affa"/>
              </w:rPr>
              <w:t>Кожа</w:t>
            </w:r>
          </w:p>
          <w:p w:rsidR="003B659A" w:rsidRPr="0073723C" w:rsidRDefault="003B659A" w:rsidP="007F4181">
            <w:pPr>
              <w:pStyle w:val="afb"/>
              <w:spacing w:beforeAutospacing="0" w:afterAutospacing="0" w:line="240" w:lineRule="auto"/>
            </w:pPr>
            <w:r w:rsidRPr="006C7346">
              <w:t>Т</w:t>
            </w:r>
            <w:r w:rsidRPr="006C7346">
              <w:rPr>
                <w:vertAlign w:val="subscript"/>
              </w:rPr>
              <w:t>1</w:t>
            </w:r>
            <w:r w:rsidRPr="006C7346">
              <w:t>   Ограниченные пятна, папулы, и/или бляшки, покрывающие &lt;10% кожного покрова.</w:t>
            </w:r>
          </w:p>
          <w:p w:rsidR="003B659A" w:rsidRPr="0073723C" w:rsidRDefault="003B659A" w:rsidP="007F4181">
            <w:pPr>
              <w:pStyle w:val="afb"/>
              <w:spacing w:beforeAutospacing="0" w:afterAutospacing="0" w:line="240" w:lineRule="auto"/>
            </w:pPr>
            <w:r w:rsidRPr="006C7346">
              <w:t>           Т</w:t>
            </w:r>
            <w:r w:rsidRPr="006C7346">
              <w:rPr>
                <w:vertAlign w:val="subscript"/>
              </w:rPr>
              <w:t>1а</w:t>
            </w:r>
            <w:r w:rsidRPr="006C7346">
              <w:t xml:space="preserve"> – только пятна</w:t>
            </w:r>
          </w:p>
          <w:p w:rsidR="003B659A" w:rsidRPr="0073723C" w:rsidRDefault="003B659A" w:rsidP="007F4181">
            <w:pPr>
              <w:pStyle w:val="afb"/>
              <w:spacing w:beforeAutospacing="0" w:afterAutospacing="0" w:line="240" w:lineRule="auto"/>
            </w:pPr>
            <w:r w:rsidRPr="006C7346">
              <w:t>           Т</w:t>
            </w:r>
            <w:r w:rsidRPr="006C7346">
              <w:rPr>
                <w:vertAlign w:val="subscript"/>
              </w:rPr>
              <w:t>1b</w:t>
            </w:r>
            <w:r w:rsidRPr="006C7346">
              <w:t xml:space="preserve"> – бляшки ± пятна</w:t>
            </w:r>
          </w:p>
          <w:p w:rsidR="003B659A" w:rsidRPr="0073723C" w:rsidRDefault="003B659A" w:rsidP="007F4181">
            <w:pPr>
              <w:pStyle w:val="afb"/>
              <w:spacing w:beforeAutospacing="0" w:afterAutospacing="0" w:line="240" w:lineRule="auto"/>
            </w:pPr>
            <w:r w:rsidRPr="006C7346">
              <w:t>Т</w:t>
            </w:r>
            <w:r w:rsidRPr="006C7346">
              <w:rPr>
                <w:vertAlign w:val="subscript"/>
              </w:rPr>
              <w:t>2</w:t>
            </w:r>
            <w:r w:rsidRPr="006C7346">
              <w:t>   Пятна, папулы, и/или бляшки, покрывающие &gt;10% кожного покрова.</w:t>
            </w:r>
          </w:p>
          <w:p w:rsidR="003B659A" w:rsidRPr="0073723C" w:rsidRDefault="003B659A" w:rsidP="007F4181">
            <w:pPr>
              <w:pStyle w:val="afb"/>
              <w:spacing w:beforeAutospacing="0" w:afterAutospacing="0" w:line="240" w:lineRule="auto"/>
            </w:pPr>
            <w:r w:rsidRPr="006C7346">
              <w:t>          Т</w:t>
            </w:r>
            <w:r w:rsidRPr="006C7346">
              <w:rPr>
                <w:vertAlign w:val="subscript"/>
              </w:rPr>
              <w:t>2а</w:t>
            </w:r>
            <w:r w:rsidRPr="006C7346">
              <w:t xml:space="preserve"> – только пятна</w:t>
            </w:r>
          </w:p>
          <w:p w:rsidR="003B659A" w:rsidRPr="0073723C" w:rsidRDefault="003B659A" w:rsidP="007F4181">
            <w:pPr>
              <w:pStyle w:val="afb"/>
              <w:spacing w:beforeAutospacing="0" w:afterAutospacing="0" w:line="240" w:lineRule="auto"/>
            </w:pPr>
            <w:r w:rsidRPr="006C7346">
              <w:t>          Т</w:t>
            </w:r>
            <w:r w:rsidRPr="006C7346">
              <w:rPr>
                <w:vertAlign w:val="subscript"/>
              </w:rPr>
              <w:t>2b</w:t>
            </w:r>
            <w:r w:rsidRPr="006C7346">
              <w:t xml:space="preserve"> - бляшки ± пятна</w:t>
            </w:r>
          </w:p>
          <w:p w:rsidR="003B659A" w:rsidRPr="0073723C" w:rsidRDefault="003B659A" w:rsidP="007F4181">
            <w:pPr>
              <w:pStyle w:val="afb"/>
              <w:spacing w:beforeAutospacing="0" w:afterAutospacing="0" w:line="240" w:lineRule="auto"/>
            </w:pPr>
            <w:r w:rsidRPr="006C7346">
              <w:t>Т</w:t>
            </w:r>
            <w:r w:rsidRPr="006C7346">
              <w:rPr>
                <w:vertAlign w:val="subscript"/>
              </w:rPr>
              <w:t>3</w:t>
            </w:r>
            <w:r w:rsidRPr="006C7346">
              <w:t>   Один или более узлов (≥1 см в диаметре)</w:t>
            </w:r>
          </w:p>
          <w:p w:rsidR="003B659A" w:rsidRPr="0073723C" w:rsidRDefault="003B659A" w:rsidP="007F4181">
            <w:pPr>
              <w:pStyle w:val="afb"/>
              <w:spacing w:beforeAutospacing="0" w:afterAutospacing="0" w:line="240" w:lineRule="auto"/>
            </w:pPr>
            <w:r w:rsidRPr="006C7346">
              <w:t>Т</w:t>
            </w:r>
            <w:r w:rsidRPr="006C7346">
              <w:rPr>
                <w:vertAlign w:val="subscript"/>
              </w:rPr>
              <w:t>4</w:t>
            </w:r>
            <w:r w:rsidRPr="006C7346">
              <w:t>   Сливающаяся эритема, покрывающая ≥80% поверхности тела</w:t>
            </w:r>
          </w:p>
          <w:p w:rsidR="003B659A" w:rsidRPr="0073723C" w:rsidRDefault="003B659A" w:rsidP="007F4181">
            <w:pPr>
              <w:pStyle w:val="afb"/>
              <w:spacing w:beforeAutospacing="0" w:afterAutospacing="0" w:line="240" w:lineRule="auto"/>
            </w:pPr>
            <w:r>
              <w:rPr>
                <w:rStyle w:val="affa"/>
              </w:rPr>
              <w:t>Лимфатические узлы</w:t>
            </w:r>
          </w:p>
          <w:p w:rsidR="003B659A" w:rsidRPr="0073723C" w:rsidRDefault="003B659A" w:rsidP="007F4181">
            <w:pPr>
              <w:pStyle w:val="afb"/>
              <w:spacing w:beforeAutospacing="0" w:afterAutospacing="0" w:line="240" w:lineRule="auto"/>
            </w:pPr>
            <w:r w:rsidRPr="006C7346">
              <w:t>N</w:t>
            </w:r>
            <w:r w:rsidRPr="006C7346">
              <w:rPr>
                <w:vertAlign w:val="subscript"/>
              </w:rPr>
              <w:t>0</w:t>
            </w:r>
            <w:r w:rsidRPr="006C7346">
              <w:t>   Нет увеличения периферических лимфатических узлов, их биопсия не требуется</w:t>
            </w:r>
          </w:p>
          <w:p w:rsidR="003B659A" w:rsidRPr="0073723C" w:rsidRDefault="003B659A" w:rsidP="007F4181">
            <w:pPr>
              <w:pStyle w:val="afb"/>
              <w:spacing w:beforeAutospacing="0" w:afterAutospacing="0" w:line="240" w:lineRule="auto"/>
            </w:pPr>
            <w:r w:rsidRPr="006C7346">
              <w:t>N</w:t>
            </w:r>
            <w:r w:rsidRPr="006C7346">
              <w:rPr>
                <w:vertAlign w:val="subscript"/>
              </w:rPr>
              <w:t>1</w:t>
            </w:r>
            <w:r w:rsidRPr="006C7346">
              <w:t>   Периферические лимфатические узлы увеличены; гистопатология Dutchgrade 1 или NCI LN</w:t>
            </w:r>
            <w:r w:rsidRPr="006C7346">
              <w:rPr>
                <w:vertAlign w:val="subscript"/>
              </w:rPr>
              <w:t>0-2</w:t>
            </w:r>
          </w:p>
          <w:p w:rsidR="003B659A" w:rsidRPr="0073723C" w:rsidRDefault="003B659A" w:rsidP="007F4181">
            <w:pPr>
              <w:pStyle w:val="afb"/>
              <w:spacing w:beforeAutospacing="0" w:afterAutospacing="0" w:line="240" w:lineRule="auto"/>
            </w:pPr>
            <w:r w:rsidRPr="006C7346">
              <w:t>            N</w:t>
            </w:r>
            <w:r w:rsidRPr="006C7346">
              <w:rPr>
                <w:vertAlign w:val="subscript"/>
              </w:rPr>
              <w:t>1a</w:t>
            </w:r>
            <w:r w:rsidRPr="006C7346">
              <w:t xml:space="preserve"> – клон-негативны</w:t>
            </w:r>
          </w:p>
          <w:p w:rsidR="003B659A" w:rsidRPr="0073723C" w:rsidRDefault="003B659A" w:rsidP="007F4181">
            <w:pPr>
              <w:pStyle w:val="afb"/>
              <w:spacing w:beforeAutospacing="0" w:afterAutospacing="0" w:line="240" w:lineRule="auto"/>
            </w:pPr>
            <w:r w:rsidRPr="006C7346">
              <w:t>            N</w:t>
            </w:r>
            <w:r w:rsidRPr="006C7346">
              <w:rPr>
                <w:vertAlign w:val="subscript"/>
              </w:rPr>
              <w:t>1b</w:t>
            </w:r>
            <w:r w:rsidRPr="006C7346">
              <w:t xml:space="preserve"> – клон-позитивны</w:t>
            </w:r>
          </w:p>
          <w:p w:rsidR="003B659A" w:rsidRPr="0073723C" w:rsidRDefault="003B659A" w:rsidP="007F4181">
            <w:pPr>
              <w:pStyle w:val="afb"/>
              <w:spacing w:beforeAutospacing="0" w:afterAutospacing="0" w:line="240" w:lineRule="auto"/>
            </w:pPr>
            <w:r w:rsidRPr="006C7346">
              <w:t>N</w:t>
            </w:r>
            <w:r w:rsidRPr="006C7346">
              <w:rPr>
                <w:vertAlign w:val="subscript"/>
              </w:rPr>
              <w:t>2</w:t>
            </w:r>
            <w:r w:rsidRPr="006C7346">
              <w:t>   Периферические лимфатические узлы увеличены; гистопатология Dutchgrade 2 или NCI LN</w:t>
            </w:r>
            <w:r w:rsidRPr="006C7346">
              <w:rPr>
                <w:vertAlign w:val="subscript"/>
              </w:rPr>
              <w:t>3</w:t>
            </w:r>
          </w:p>
          <w:p w:rsidR="003B659A" w:rsidRPr="0073723C" w:rsidRDefault="003B659A" w:rsidP="007F4181">
            <w:pPr>
              <w:pStyle w:val="afb"/>
              <w:spacing w:beforeAutospacing="0" w:afterAutospacing="0" w:line="240" w:lineRule="auto"/>
            </w:pPr>
            <w:r w:rsidRPr="006C7346">
              <w:t>            N</w:t>
            </w:r>
            <w:r w:rsidRPr="006C7346">
              <w:rPr>
                <w:vertAlign w:val="subscript"/>
              </w:rPr>
              <w:t>2a</w:t>
            </w:r>
            <w:r w:rsidRPr="006C7346">
              <w:t xml:space="preserve"> – клон-негативны</w:t>
            </w:r>
          </w:p>
          <w:p w:rsidR="003B659A" w:rsidRPr="0073723C" w:rsidRDefault="003B659A" w:rsidP="007F4181">
            <w:pPr>
              <w:pStyle w:val="afb"/>
              <w:spacing w:beforeAutospacing="0" w:afterAutospacing="0" w:line="240" w:lineRule="auto"/>
            </w:pPr>
            <w:r w:rsidRPr="006C7346">
              <w:t>            N</w:t>
            </w:r>
            <w:r w:rsidRPr="006C7346">
              <w:rPr>
                <w:vertAlign w:val="subscript"/>
              </w:rPr>
              <w:t>2b</w:t>
            </w:r>
            <w:r w:rsidRPr="006C7346">
              <w:t xml:space="preserve"> – клон-позитивны</w:t>
            </w:r>
          </w:p>
          <w:p w:rsidR="003B659A" w:rsidRPr="0073723C" w:rsidRDefault="003B659A" w:rsidP="007F4181">
            <w:pPr>
              <w:pStyle w:val="afb"/>
              <w:spacing w:beforeAutospacing="0" w:afterAutospacing="0" w:line="240" w:lineRule="auto"/>
            </w:pPr>
            <w:r w:rsidRPr="006C7346">
              <w:t>N</w:t>
            </w:r>
            <w:r w:rsidRPr="006C7346">
              <w:rPr>
                <w:vertAlign w:val="subscript"/>
              </w:rPr>
              <w:t>3</w:t>
            </w:r>
            <w:r w:rsidRPr="006C7346">
              <w:t>   Периферические лимфатические узлы увеличены; гистопатология Dutchgrade 3-4 или NCI LN</w:t>
            </w:r>
            <w:r w:rsidRPr="006C7346">
              <w:rPr>
                <w:vertAlign w:val="subscript"/>
              </w:rPr>
              <w:t>4</w:t>
            </w:r>
            <w:r w:rsidRPr="006C7346">
              <w:t>, клон-позитивны или негативны</w:t>
            </w:r>
          </w:p>
          <w:p w:rsidR="003B659A" w:rsidRPr="0073723C" w:rsidRDefault="003B659A" w:rsidP="007F4181">
            <w:pPr>
              <w:pStyle w:val="afb"/>
              <w:spacing w:beforeAutospacing="0" w:afterAutospacing="0" w:line="240" w:lineRule="auto"/>
            </w:pPr>
            <w:r w:rsidRPr="006C7346">
              <w:t>N</w:t>
            </w:r>
            <w:r w:rsidRPr="006C7346">
              <w:rPr>
                <w:vertAlign w:val="subscript"/>
              </w:rPr>
              <w:t>X</w:t>
            </w:r>
            <w:r w:rsidRPr="006C7346">
              <w:t>   Периферические лимфатические узлы увеличены, нет гистологического подтверждения</w:t>
            </w:r>
          </w:p>
          <w:p w:rsidR="003B659A" w:rsidRPr="0073723C" w:rsidRDefault="003B659A" w:rsidP="007F4181">
            <w:pPr>
              <w:pStyle w:val="afb"/>
              <w:spacing w:beforeAutospacing="0" w:afterAutospacing="0" w:line="240" w:lineRule="auto"/>
            </w:pPr>
            <w:r>
              <w:rPr>
                <w:rStyle w:val="affa"/>
              </w:rPr>
              <w:t>Внутренние органы</w:t>
            </w:r>
          </w:p>
          <w:p w:rsidR="003B659A" w:rsidRPr="0073723C" w:rsidRDefault="003B659A" w:rsidP="007F4181">
            <w:pPr>
              <w:pStyle w:val="afb"/>
              <w:spacing w:beforeAutospacing="0" w:afterAutospacing="0" w:line="240" w:lineRule="auto"/>
            </w:pPr>
            <w:r w:rsidRPr="006C7346">
              <w:t>M</w:t>
            </w:r>
            <w:r w:rsidRPr="006C7346">
              <w:rPr>
                <w:vertAlign w:val="subscript"/>
              </w:rPr>
              <w:t>0</w:t>
            </w:r>
            <w:r w:rsidRPr="006C7346">
              <w:t>   Нет вовлечения внутренних органов</w:t>
            </w:r>
          </w:p>
          <w:p w:rsidR="003B659A" w:rsidRPr="0073723C" w:rsidRDefault="003B659A" w:rsidP="007F4181">
            <w:pPr>
              <w:pStyle w:val="afb"/>
              <w:spacing w:beforeAutospacing="0" w:afterAutospacing="0" w:line="240" w:lineRule="auto"/>
            </w:pPr>
            <w:r w:rsidRPr="006C7346">
              <w:t>M</w:t>
            </w:r>
            <w:r w:rsidRPr="006C7346">
              <w:rPr>
                <w:vertAlign w:val="subscript"/>
              </w:rPr>
              <w:t>1</w:t>
            </w:r>
            <w:r w:rsidRPr="006C7346">
              <w:t>   Вовлечение внутренних органов (с уточнением органа и морфологическим подтверждением)</w:t>
            </w:r>
          </w:p>
          <w:p w:rsidR="003B659A" w:rsidRPr="0073723C" w:rsidRDefault="003B659A" w:rsidP="007F4181">
            <w:pPr>
              <w:pStyle w:val="afb"/>
              <w:spacing w:beforeAutospacing="0" w:afterAutospacing="0" w:line="240" w:lineRule="auto"/>
            </w:pPr>
            <w:r>
              <w:rPr>
                <w:rStyle w:val="affa"/>
              </w:rPr>
              <w:t>Кровь</w:t>
            </w:r>
          </w:p>
          <w:p w:rsidR="003B659A" w:rsidRPr="0073723C" w:rsidRDefault="003B659A" w:rsidP="007F4181">
            <w:pPr>
              <w:pStyle w:val="afb"/>
              <w:spacing w:beforeAutospacing="0" w:afterAutospacing="0" w:line="240" w:lineRule="auto"/>
            </w:pPr>
            <w:r w:rsidRPr="006C7346">
              <w:t>B</w:t>
            </w:r>
            <w:r w:rsidRPr="006C7346">
              <w:rPr>
                <w:vertAlign w:val="subscript"/>
              </w:rPr>
              <w:t>0</w:t>
            </w:r>
            <w:r w:rsidRPr="006C7346">
              <w:t>   Отсутствие значительного вовлечения крови: атипичные (Сезари) клетки составляют ≤5% лимфоцитов периферической крови</w:t>
            </w:r>
          </w:p>
          <w:p w:rsidR="003B659A" w:rsidRPr="0073723C" w:rsidRDefault="003B659A" w:rsidP="007F4181">
            <w:pPr>
              <w:pStyle w:val="afb"/>
              <w:spacing w:beforeAutospacing="0" w:afterAutospacing="0" w:line="240" w:lineRule="auto"/>
            </w:pPr>
            <w:r w:rsidRPr="006C7346">
              <w:t>            B</w:t>
            </w:r>
            <w:r w:rsidRPr="006C7346">
              <w:rPr>
                <w:vertAlign w:val="subscript"/>
              </w:rPr>
              <w:t>0a</w:t>
            </w:r>
            <w:r w:rsidRPr="006C7346">
              <w:t xml:space="preserve"> – клон-негативны</w:t>
            </w:r>
          </w:p>
          <w:p w:rsidR="003B659A" w:rsidRPr="0073723C" w:rsidRDefault="003B659A" w:rsidP="007F4181">
            <w:pPr>
              <w:pStyle w:val="afb"/>
              <w:spacing w:beforeAutospacing="0" w:afterAutospacing="0" w:line="240" w:lineRule="auto"/>
            </w:pPr>
            <w:r w:rsidRPr="006C7346">
              <w:t>            B</w:t>
            </w:r>
            <w:r w:rsidRPr="006C7346">
              <w:rPr>
                <w:vertAlign w:val="subscript"/>
              </w:rPr>
              <w:t>0b</w:t>
            </w:r>
            <w:r w:rsidRPr="006C7346">
              <w:t xml:space="preserve"> – клон-позитивны</w:t>
            </w:r>
          </w:p>
          <w:p w:rsidR="003B659A" w:rsidRPr="0073723C" w:rsidRDefault="003B659A" w:rsidP="007F4181">
            <w:pPr>
              <w:pStyle w:val="afb"/>
              <w:spacing w:beforeAutospacing="0" w:afterAutospacing="0" w:line="240" w:lineRule="auto"/>
            </w:pPr>
            <w:r w:rsidRPr="006C7346">
              <w:t>B</w:t>
            </w:r>
            <w:r w:rsidRPr="006C7346">
              <w:rPr>
                <w:vertAlign w:val="subscript"/>
              </w:rPr>
              <w:t>1</w:t>
            </w:r>
            <w:r w:rsidRPr="006C7346">
              <w:t>   Умеренное вовлечение крови: атипичные (Сезари) клетки составляют &gt;5% лимфоцитов периферической крови</w:t>
            </w:r>
          </w:p>
          <w:p w:rsidR="003B659A" w:rsidRPr="0073723C" w:rsidRDefault="003B659A" w:rsidP="007F4181">
            <w:pPr>
              <w:pStyle w:val="afb"/>
              <w:spacing w:beforeAutospacing="0" w:afterAutospacing="0" w:line="240" w:lineRule="auto"/>
            </w:pPr>
            <w:r w:rsidRPr="006C7346">
              <w:t>            B</w:t>
            </w:r>
            <w:r w:rsidRPr="006C7346">
              <w:rPr>
                <w:vertAlign w:val="subscript"/>
              </w:rPr>
              <w:t>1a</w:t>
            </w:r>
            <w:r w:rsidRPr="006C7346">
              <w:t xml:space="preserve"> – клон-негативны</w:t>
            </w:r>
          </w:p>
          <w:p w:rsidR="003B659A" w:rsidRPr="0073723C" w:rsidRDefault="003B659A" w:rsidP="007F4181">
            <w:pPr>
              <w:pStyle w:val="afb"/>
              <w:spacing w:beforeAutospacing="0" w:afterAutospacing="0" w:line="240" w:lineRule="auto"/>
            </w:pPr>
            <w:r w:rsidRPr="006C7346">
              <w:t>            B</w:t>
            </w:r>
            <w:r w:rsidRPr="006C7346">
              <w:rPr>
                <w:vertAlign w:val="subscript"/>
              </w:rPr>
              <w:t>2b</w:t>
            </w:r>
            <w:r w:rsidRPr="006C7346">
              <w:t xml:space="preserve"> – клон-позитивны</w:t>
            </w:r>
          </w:p>
          <w:p w:rsidR="003B659A" w:rsidRPr="0073723C" w:rsidRDefault="003B659A" w:rsidP="007F4181">
            <w:pPr>
              <w:pStyle w:val="afb"/>
              <w:spacing w:beforeAutospacing="0" w:afterAutospacing="0" w:line="240" w:lineRule="auto"/>
              <w:rPr>
                <w:rFonts w:eastAsiaTheme="minorEastAsia"/>
              </w:rPr>
            </w:pPr>
            <w:r w:rsidRPr="006C7346">
              <w:t>B</w:t>
            </w:r>
            <w:r w:rsidRPr="006C7346">
              <w:rPr>
                <w:vertAlign w:val="subscript"/>
              </w:rPr>
              <w:t>3</w:t>
            </w:r>
            <w:r w:rsidRPr="006C7346">
              <w:t>   Значительное вовлечение крови: ≥1000/µL клеток Сезари с позитивным клоном</w:t>
            </w:r>
          </w:p>
        </w:tc>
      </w:tr>
      <w:tr w:rsidR="003B659A" w:rsidRPr="0073723C" w:rsidTr="007F4181">
        <w:tc>
          <w:tcPr>
            <w:tcW w:w="4500" w:type="dxa"/>
            <w:tcBorders>
              <w:top w:val="single" w:sz="6" w:space="0" w:color="000000"/>
              <w:left w:val="single" w:sz="6" w:space="0" w:color="000000"/>
              <w:bottom w:val="single" w:sz="6" w:space="0" w:color="000000"/>
              <w:right w:val="single" w:sz="6" w:space="0" w:color="000000"/>
            </w:tcBorders>
            <w:hideMark/>
          </w:tcPr>
          <w:p w:rsidR="003B659A" w:rsidRPr="0073723C" w:rsidRDefault="003B659A" w:rsidP="007F4181">
            <w:pPr>
              <w:pStyle w:val="afb"/>
              <w:rPr>
                <w:rFonts w:eastAsiaTheme="minorEastAsia"/>
                <w:b/>
              </w:rPr>
            </w:pPr>
            <w:r w:rsidRPr="000C307B">
              <w:rPr>
                <w:b/>
              </w:rPr>
              <w:t>Стадии</w:t>
            </w:r>
          </w:p>
        </w:tc>
        <w:tc>
          <w:tcPr>
            <w:tcW w:w="1260" w:type="dxa"/>
            <w:tcBorders>
              <w:top w:val="single" w:sz="6" w:space="0" w:color="000000"/>
              <w:left w:val="single" w:sz="6" w:space="0" w:color="000000"/>
              <w:bottom w:val="single" w:sz="6" w:space="0" w:color="000000"/>
              <w:right w:val="single" w:sz="6" w:space="0" w:color="000000"/>
            </w:tcBorders>
            <w:hideMark/>
          </w:tcPr>
          <w:p w:rsidR="003B659A" w:rsidRPr="0073723C" w:rsidRDefault="003B659A" w:rsidP="007F4181">
            <w:pPr>
              <w:pStyle w:val="afb"/>
              <w:jc w:val="center"/>
              <w:rPr>
                <w:rFonts w:eastAsiaTheme="minorEastAsia"/>
                <w:b/>
              </w:rPr>
            </w:pPr>
            <w:r w:rsidRPr="000C307B">
              <w:rPr>
                <w:b/>
              </w:rPr>
              <w:t>T</w:t>
            </w:r>
          </w:p>
        </w:tc>
        <w:tc>
          <w:tcPr>
            <w:tcW w:w="1440" w:type="dxa"/>
            <w:tcBorders>
              <w:top w:val="single" w:sz="6" w:space="0" w:color="000000"/>
              <w:left w:val="single" w:sz="6" w:space="0" w:color="000000"/>
              <w:bottom w:val="single" w:sz="6" w:space="0" w:color="000000"/>
              <w:right w:val="single" w:sz="6" w:space="0" w:color="000000"/>
            </w:tcBorders>
            <w:hideMark/>
          </w:tcPr>
          <w:p w:rsidR="003B659A" w:rsidRPr="0073723C" w:rsidRDefault="003B659A" w:rsidP="007F4181">
            <w:pPr>
              <w:pStyle w:val="afb"/>
              <w:jc w:val="center"/>
              <w:rPr>
                <w:rFonts w:eastAsiaTheme="minorEastAsia"/>
                <w:b/>
              </w:rPr>
            </w:pPr>
            <w:r w:rsidRPr="000C307B">
              <w:rPr>
                <w:b/>
              </w:rPr>
              <w:t>N</w:t>
            </w:r>
          </w:p>
        </w:tc>
        <w:tc>
          <w:tcPr>
            <w:tcW w:w="1260" w:type="dxa"/>
            <w:tcBorders>
              <w:top w:val="single" w:sz="6" w:space="0" w:color="000000"/>
              <w:left w:val="single" w:sz="6" w:space="0" w:color="000000"/>
              <w:bottom w:val="single" w:sz="6" w:space="0" w:color="000000"/>
              <w:right w:val="single" w:sz="6" w:space="0" w:color="000000"/>
            </w:tcBorders>
            <w:hideMark/>
          </w:tcPr>
          <w:p w:rsidR="003B659A" w:rsidRPr="0073723C" w:rsidRDefault="003B659A" w:rsidP="007F4181">
            <w:pPr>
              <w:pStyle w:val="afb"/>
              <w:jc w:val="center"/>
              <w:rPr>
                <w:rFonts w:eastAsiaTheme="minorEastAsia"/>
                <w:b/>
              </w:rPr>
            </w:pPr>
            <w:r w:rsidRPr="000C307B">
              <w:rPr>
                <w:b/>
              </w:rPr>
              <w:t>M</w:t>
            </w:r>
          </w:p>
        </w:tc>
        <w:tc>
          <w:tcPr>
            <w:tcW w:w="1830" w:type="dxa"/>
            <w:tcBorders>
              <w:top w:val="single" w:sz="6" w:space="0" w:color="000000"/>
              <w:left w:val="single" w:sz="6" w:space="0" w:color="000000"/>
              <w:bottom w:val="single" w:sz="6" w:space="0" w:color="000000"/>
              <w:right w:val="single" w:sz="6" w:space="0" w:color="000000"/>
            </w:tcBorders>
            <w:hideMark/>
          </w:tcPr>
          <w:p w:rsidR="003B659A" w:rsidRPr="0073723C" w:rsidRDefault="003B659A" w:rsidP="007F4181">
            <w:pPr>
              <w:pStyle w:val="afb"/>
              <w:jc w:val="center"/>
              <w:rPr>
                <w:rFonts w:eastAsiaTheme="minorEastAsia"/>
                <w:b/>
              </w:rPr>
            </w:pPr>
            <w:r w:rsidRPr="000C307B">
              <w:rPr>
                <w:b/>
              </w:rPr>
              <w:t>B</w:t>
            </w:r>
          </w:p>
        </w:tc>
      </w:tr>
      <w:tr w:rsidR="003B659A" w:rsidRPr="0073723C" w:rsidTr="007F4181">
        <w:tc>
          <w:tcPr>
            <w:tcW w:w="4500" w:type="dxa"/>
            <w:tcBorders>
              <w:top w:val="single" w:sz="6" w:space="0" w:color="000000"/>
              <w:left w:val="single" w:sz="6" w:space="0" w:color="000000"/>
              <w:bottom w:val="single" w:sz="6" w:space="0" w:color="000000"/>
              <w:right w:val="single" w:sz="6" w:space="0" w:color="000000"/>
            </w:tcBorders>
            <w:hideMark/>
          </w:tcPr>
          <w:p w:rsidR="003B659A" w:rsidRPr="0073723C" w:rsidRDefault="003B659A" w:rsidP="007F4181">
            <w:pPr>
              <w:pStyle w:val="afb"/>
              <w:spacing w:beforeAutospacing="0" w:afterAutospacing="0" w:line="240" w:lineRule="auto"/>
              <w:rPr>
                <w:rFonts w:eastAsiaTheme="minorEastAsia"/>
              </w:rPr>
            </w:pPr>
            <w:r w:rsidRPr="006C7346">
              <w:t>Ранние</w:t>
            </w:r>
          </w:p>
          <w:p w:rsidR="003B659A" w:rsidRPr="0073723C" w:rsidRDefault="003B659A" w:rsidP="007F4181">
            <w:pPr>
              <w:pStyle w:val="afb"/>
              <w:spacing w:beforeAutospacing="0" w:afterAutospacing="0" w:line="240" w:lineRule="auto"/>
              <w:ind w:left="1426" w:firstLine="575"/>
            </w:pPr>
            <w:r w:rsidRPr="006C7346">
              <w:t>IA</w:t>
            </w:r>
          </w:p>
          <w:p w:rsidR="003B659A" w:rsidRPr="0073723C" w:rsidRDefault="003B659A" w:rsidP="007F4181">
            <w:pPr>
              <w:pStyle w:val="afb"/>
              <w:spacing w:beforeAutospacing="0" w:afterAutospacing="0" w:line="240" w:lineRule="auto"/>
              <w:ind w:left="1426" w:firstLine="575"/>
            </w:pPr>
            <w:r w:rsidRPr="006C7346">
              <w:t>IB</w:t>
            </w:r>
          </w:p>
          <w:p w:rsidR="003B659A" w:rsidRPr="0073723C" w:rsidRDefault="003B659A" w:rsidP="007F4181">
            <w:pPr>
              <w:pStyle w:val="afb"/>
              <w:spacing w:beforeAutospacing="0" w:afterAutospacing="0" w:line="240" w:lineRule="auto"/>
              <w:ind w:left="1426" w:firstLine="575"/>
            </w:pPr>
            <w:r w:rsidRPr="006C7346">
              <w:t>IIA</w:t>
            </w:r>
          </w:p>
          <w:p w:rsidR="003B659A" w:rsidRPr="0073723C" w:rsidRDefault="003B659A" w:rsidP="007F4181">
            <w:pPr>
              <w:pStyle w:val="afb"/>
              <w:spacing w:beforeAutospacing="0" w:afterAutospacing="0" w:line="240" w:lineRule="auto"/>
            </w:pPr>
            <w:r w:rsidRPr="006C7346">
              <w:t>Поздние</w:t>
            </w:r>
          </w:p>
          <w:p w:rsidR="003B659A" w:rsidRPr="0073723C" w:rsidRDefault="003B659A" w:rsidP="007F4181">
            <w:pPr>
              <w:pStyle w:val="afb"/>
              <w:spacing w:beforeAutospacing="0" w:afterAutospacing="0" w:line="240" w:lineRule="auto"/>
              <w:ind w:firstLine="1993"/>
            </w:pPr>
            <w:r w:rsidRPr="006C7346">
              <w:t>IIB</w:t>
            </w:r>
          </w:p>
          <w:p w:rsidR="003B659A" w:rsidRPr="0073723C" w:rsidRDefault="003B659A" w:rsidP="007F4181">
            <w:pPr>
              <w:pStyle w:val="afb"/>
              <w:spacing w:beforeAutospacing="0" w:afterAutospacing="0" w:line="240" w:lineRule="auto"/>
              <w:ind w:firstLine="1993"/>
              <w:rPr>
                <w:lang w:val="en-US"/>
              </w:rPr>
            </w:pPr>
            <w:r w:rsidRPr="006C7346">
              <w:rPr>
                <w:lang w:val="en-US"/>
              </w:rPr>
              <w:t>III</w:t>
            </w:r>
          </w:p>
          <w:p w:rsidR="003B659A" w:rsidRPr="0073723C" w:rsidRDefault="003B659A" w:rsidP="007F4181">
            <w:pPr>
              <w:pStyle w:val="afb"/>
              <w:spacing w:beforeAutospacing="0" w:afterAutospacing="0" w:line="240" w:lineRule="auto"/>
              <w:ind w:firstLine="1993"/>
              <w:rPr>
                <w:lang w:val="en-US"/>
              </w:rPr>
            </w:pPr>
            <w:r w:rsidRPr="006C7346">
              <w:rPr>
                <w:lang w:val="en-US"/>
              </w:rPr>
              <w:t>IIIA</w:t>
            </w:r>
          </w:p>
          <w:p w:rsidR="003B659A" w:rsidRPr="0073723C" w:rsidRDefault="003B659A" w:rsidP="007F4181">
            <w:pPr>
              <w:pStyle w:val="afb"/>
              <w:spacing w:beforeAutospacing="0" w:afterAutospacing="0" w:line="240" w:lineRule="auto"/>
              <w:ind w:firstLine="1993"/>
              <w:rPr>
                <w:lang w:val="en-US"/>
              </w:rPr>
            </w:pPr>
            <w:r w:rsidRPr="006C7346">
              <w:rPr>
                <w:lang w:val="en-US"/>
              </w:rPr>
              <w:lastRenderedPageBreak/>
              <w:t>IIIB</w:t>
            </w:r>
          </w:p>
          <w:p w:rsidR="003B659A" w:rsidRPr="0073723C" w:rsidRDefault="003B659A" w:rsidP="007F4181">
            <w:pPr>
              <w:pStyle w:val="afb"/>
              <w:spacing w:beforeAutospacing="0" w:afterAutospacing="0" w:line="240" w:lineRule="auto"/>
              <w:ind w:firstLine="1993"/>
              <w:rPr>
                <w:lang w:val="en-US"/>
              </w:rPr>
            </w:pPr>
            <w:r w:rsidRPr="006C7346">
              <w:rPr>
                <w:lang w:val="en-US"/>
              </w:rPr>
              <w:t>IVA</w:t>
            </w:r>
            <w:r w:rsidRPr="006C7346">
              <w:rPr>
                <w:vertAlign w:val="subscript"/>
                <w:lang w:val="en-US"/>
              </w:rPr>
              <w:t>1</w:t>
            </w:r>
          </w:p>
          <w:p w:rsidR="003B659A" w:rsidRPr="0073723C" w:rsidRDefault="003B659A" w:rsidP="007F4181">
            <w:pPr>
              <w:pStyle w:val="afb"/>
              <w:spacing w:beforeAutospacing="0" w:afterAutospacing="0" w:line="240" w:lineRule="auto"/>
              <w:ind w:firstLine="1993"/>
              <w:rPr>
                <w:lang w:val="en-US"/>
              </w:rPr>
            </w:pPr>
            <w:r w:rsidRPr="006C7346">
              <w:rPr>
                <w:lang w:val="en-US"/>
              </w:rPr>
              <w:t>IVA</w:t>
            </w:r>
            <w:r w:rsidRPr="006C7346">
              <w:rPr>
                <w:vertAlign w:val="subscript"/>
                <w:lang w:val="en-US"/>
              </w:rPr>
              <w:t>2</w:t>
            </w:r>
          </w:p>
          <w:p w:rsidR="003B659A" w:rsidRPr="0073723C" w:rsidRDefault="003B659A" w:rsidP="007F4181">
            <w:pPr>
              <w:pStyle w:val="afb"/>
              <w:spacing w:beforeAutospacing="0" w:afterAutospacing="0" w:line="240" w:lineRule="auto"/>
              <w:ind w:firstLine="1993"/>
              <w:rPr>
                <w:rFonts w:eastAsiaTheme="minorEastAsia"/>
                <w:lang w:val="en-US"/>
              </w:rPr>
            </w:pPr>
            <w:r w:rsidRPr="006C7346">
              <w:rPr>
                <w:lang w:val="en-US"/>
              </w:rPr>
              <w:t>IVB</w:t>
            </w:r>
          </w:p>
        </w:tc>
        <w:tc>
          <w:tcPr>
            <w:tcW w:w="1260" w:type="dxa"/>
            <w:tcBorders>
              <w:top w:val="single" w:sz="6" w:space="0" w:color="000000"/>
              <w:left w:val="single" w:sz="6" w:space="0" w:color="000000"/>
              <w:bottom w:val="single" w:sz="6" w:space="0" w:color="000000"/>
              <w:right w:val="single" w:sz="6" w:space="0" w:color="000000"/>
            </w:tcBorders>
            <w:hideMark/>
          </w:tcPr>
          <w:p w:rsidR="003B659A" w:rsidRPr="0073723C" w:rsidRDefault="003B659A" w:rsidP="007F4181">
            <w:pPr>
              <w:pStyle w:val="afb"/>
              <w:spacing w:beforeAutospacing="0" w:afterAutospacing="0" w:line="240" w:lineRule="auto"/>
              <w:jc w:val="center"/>
              <w:rPr>
                <w:rFonts w:eastAsiaTheme="minorEastAsia"/>
                <w:lang w:val="en-US"/>
              </w:rPr>
            </w:pPr>
            <w:r w:rsidRPr="006C7346">
              <w:rPr>
                <w:lang w:val="en-US"/>
              </w:rPr>
              <w:lastRenderedPageBreak/>
              <w:t> </w:t>
            </w:r>
          </w:p>
          <w:p w:rsidR="003B659A" w:rsidRPr="0073723C" w:rsidRDefault="003B659A" w:rsidP="007F4181">
            <w:pPr>
              <w:pStyle w:val="afb"/>
              <w:spacing w:beforeAutospacing="0" w:afterAutospacing="0" w:line="240" w:lineRule="auto"/>
              <w:jc w:val="center"/>
            </w:pPr>
            <w:r w:rsidRPr="006C7346">
              <w:t>1</w:t>
            </w:r>
          </w:p>
          <w:p w:rsidR="003B659A" w:rsidRPr="0073723C" w:rsidRDefault="003B659A" w:rsidP="007F4181">
            <w:pPr>
              <w:pStyle w:val="afb"/>
              <w:spacing w:beforeAutospacing="0" w:afterAutospacing="0" w:line="240" w:lineRule="auto"/>
              <w:jc w:val="center"/>
            </w:pPr>
            <w:r w:rsidRPr="006C7346">
              <w:t>2</w:t>
            </w:r>
          </w:p>
          <w:p w:rsidR="003B659A" w:rsidRPr="0073723C" w:rsidRDefault="003B659A" w:rsidP="007F4181">
            <w:pPr>
              <w:pStyle w:val="afb"/>
              <w:spacing w:beforeAutospacing="0" w:afterAutospacing="0" w:line="240" w:lineRule="auto"/>
              <w:jc w:val="center"/>
            </w:pPr>
            <w:r w:rsidRPr="006C7346">
              <w:t>1,2</w:t>
            </w:r>
          </w:p>
          <w:p w:rsidR="003B659A" w:rsidRPr="0073723C" w:rsidRDefault="003B659A" w:rsidP="007F4181">
            <w:pPr>
              <w:pStyle w:val="afb"/>
              <w:spacing w:beforeAutospacing="0" w:afterAutospacing="0" w:line="240" w:lineRule="auto"/>
              <w:jc w:val="center"/>
            </w:pPr>
          </w:p>
          <w:p w:rsidR="003B659A" w:rsidRPr="0073723C" w:rsidRDefault="003B659A" w:rsidP="007F4181">
            <w:pPr>
              <w:pStyle w:val="afb"/>
              <w:spacing w:beforeAutospacing="0" w:afterAutospacing="0" w:line="240" w:lineRule="auto"/>
              <w:jc w:val="center"/>
            </w:pPr>
            <w:r w:rsidRPr="006C7346">
              <w:t>3</w:t>
            </w:r>
          </w:p>
          <w:p w:rsidR="003B659A" w:rsidRPr="0073723C" w:rsidRDefault="003B659A" w:rsidP="007F4181">
            <w:pPr>
              <w:pStyle w:val="afb"/>
              <w:spacing w:beforeAutospacing="0" w:afterAutospacing="0" w:line="240" w:lineRule="auto"/>
              <w:jc w:val="center"/>
            </w:pPr>
            <w:r w:rsidRPr="006C7346">
              <w:t>4</w:t>
            </w:r>
          </w:p>
          <w:p w:rsidR="003B659A" w:rsidRPr="0073723C" w:rsidRDefault="003B659A" w:rsidP="007F4181">
            <w:pPr>
              <w:pStyle w:val="afb"/>
              <w:spacing w:beforeAutospacing="0" w:afterAutospacing="0" w:line="240" w:lineRule="auto"/>
              <w:jc w:val="center"/>
            </w:pPr>
            <w:r w:rsidRPr="006C7346">
              <w:t>4</w:t>
            </w:r>
          </w:p>
          <w:p w:rsidR="003B659A" w:rsidRPr="0073723C" w:rsidRDefault="003B659A" w:rsidP="007F4181">
            <w:pPr>
              <w:pStyle w:val="afb"/>
              <w:spacing w:beforeAutospacing="0" w:afterAutospacing="0" w:line="240" w:lineRule="auto"/>
              <w:jc w:val="center"/>
            </w:pPr>
            <w:r w:rsidRPr="006C7346">
              <w:lastRenderedPageBreak/>
              <w:t>4</w:t>
            </w:r>
          </w:p>
          <w:p w:rsidR="003B659A" w:rsidRPr="0073723C" w:rsidRDefault="003B659A" w:rsidP="007F4181">
            <w:pPr>
              <w:pStyle w:val="afb"/>
              <w:spacing w:beforeAutospacing="0" w:afterAutospacing="0" w:line="240" w:lineRule="auto"/>
              <w:jc w:val="center"/>
            </w:pPr>
            <w:r w:rsidRPr="006C7346">
              <w:t>1-4</w:t>
            </w:r>
          </w:p>
          <w:p w:rsidR="003B659A" w:rsidRPr="0073723C" w:rsidRDefault="003B659A" w:rsidP="007F4181">
            <w:pPr>
              <w:pStyle w:val="afb"/>
              <w:spacing w:beforeAutospacing="0" w:afterAutospacing="0" w:line="240" w:lineRule="auto"/>
              <w:jc w:val="center"/>
            </w:pPr>
            <w:r w:rsidRPr="006C7346">
              <w:t>1-4</w:t>
            </w:r>
          </w:p>
          <w:p w:rsidR="003B659A" w:rsidRPr="0073723C" w:rsidRDefault="003B659A" w:rsidP="007F4181">
            <w:pPr>
              <w:pStyle w:val="afb"/>
              <w:spacing w:beforeAutospacing="0" w:afterAutospacing="0" w:line="240" w:lineRule="auto"/>
              <w:jc w:val="center"/>
              <w:rPr>
                <w:rFonts w:eastAsiaTheme="minorEastAsia"/>
              </w:rPr>
            </w:pPr>
            <w:r w:rsidRPr="006C7346">
              <w:t>1-4</w:t>
            </w:r>
          </w:p>
        </w:tc>
        <w:tc>
          <w:tcPr>
            <w:tcW w:w="1440" w:type="dxa"/>
            <w:tcBorders>
              <w:top w:val="single" w:sz="6" w:space="0" w:color="000000"/>
              <w:left w:val="single" w:sz="6" w:space="0" w:color="000000"/>
              <w:bottom w:val="single" w:sz="6" w:space="0" w:color="000000"/>
              <w:right w:val="single" w:sz="6" w:space="0" w:color="000000"/>
            </w:tcBorders>
            <w:hideMark/>
          </w:tcPr>
          <w:p w:rsidR="003B659A" w:rsidRPr="0073723C" w:rsidRDefault="003B659A" w:rsidP="007F4181">
            <w:pPr>
              <w:pStyle w:val="afb"/>
              <w:spacing w:beforeAutospacing="0" w:afterAutospacing="0" w:line="240" w:lineRule="auto"/>
              <w:jc w:val="center"/>
              <w:rPr>
                <w:rFonts w:eastAsiaTheme="minorEastAsia"/>
              </w:rPr>
            </w:pPr>
            <w:r w:rsidRPr="006C7346">
              <w:lastRenderedPageBreak/>
              <w:t> </w:t>
            </w:r>
          </w:p>
          <w:p w:rsidR="003B659A" w:rsidRPr="0073723C" w:rsidRDefault="003B659A" w:rsidP="007F4181">
            <w:pPr>
              <w:pStyle w:val="afb"/>
              <w:spacing w:beforeAutospacing="0" w:afterAutospacing="0" w:line="240" w:lineRule="auto"/>
              <w:jc w:val="center"/>
            </w:pPr>
            <w:r w:rsidRPr="006C7346">
              <w:t>0</w:t>
            </w:r>
          </w:p>
          <w:p w:rsidR="003B659A" w:rsidRPr="0073723C" w:rsidRDefault="003B659A" w:rsidP="007F4181">
            <w:pPr>
              <w:pStyle w:val="afb"/>
              <w:spacing w:beforeAutospacing="0" w:afterAutospacing="0" w:line="240" w:lineRule="auto"/>
              <w:jc w:val="center"/>
            </w:pPr>
            <w:r w:rsidRPr="006C7346">
              <w:t>0</w:t>
            </w:r>
          </w:p>
          <w:p w:rsidR="003B659A" w:rsidRPr="0073723C" w:rsidRDefault="003B659A" w:rsidP="007F4181">
            <w:pPr>
              <w:pStyle w:val="afb"/>
              <w:spacing w:beforeAutospacing="0" w:afterAutospacing="0" w:line="240" w:lineRule="auto"/>
              <w:jc w:val="center"/>
            </w:pPr>
            <w:r w:rsidRPr="006C7346">
              <w:t>1,2</w:t>
            </w:r>
          </w:p>
          <w:p w:rsidR="003B659A" w:rsidRPr="0073723C" w:rsidRDefault="003B659A" w:rsidP="007F4181">
            <w:pPr>
              <w:pStyle w:val="afb"/>
              <w:spacing w:beforeAutospacing="0" w:afterAutospacing="0" w:line="240" w:lineRule="auto"/>
              <w:jc w:val="center"/>
            </w:pPr>
          </w:p>
          <w:p w:rsidR="003B659A" w:rsidRPr="0073723C" w:rsidRDefault="003B659A" w:rsidP="007F4181">
            <w:pPr>
              <w:pStyle w:val="afb"/>
              <w:spacing w:beforeAutospacing="0" w:afterAutospacing="0" w:line="240" w:lineRule="auto"/>
              <w:jc w:val="center"/>
            </w:pPr>
            <w:r w:rsidRPr="006C7346">
              <w:t>0-2</w:t>
            </w:r>
          </w:p>
          <w:p w:rsidR="003B659A" w:rsidRPr="0073723C" w:rsidRDefault="003B659A" w:rsidP="007F4181">
            <w:pPr>
              <w:pStyle w:val="afb"/>
              <w:spacing w:beforeAutospacing="0" w:afterAutospacing="0" w:line="240" w:lineRule="auto"/>
              <w:jc w:val="center"/>
            </w:pPr>
            <w:r w:rsidRPr="006C7346">
              <w:t>0-2</w:t>
            </w:r>
          </w:p>
          <w:p w:rsidR="003B659A" w:rsidRPr="0073723C" w:rsidRDefault="003B659A" w:rsidP="007F4181">
            <w:pPr>
              <w:pStyle w:val="afb"/>
              <w:spacing w:beforeAutospacing="0" w:afterAutospacing="0" w:line="240" w:lineRule="auto"/>
              <w:jc w:val="center"/>
            </w:pPr>
            <w:r w:rsidRPr="006C7346">
              <w:t>0-2</w:t>
            </w:r>
          </w:p>
          <w:p w:rsidR="003B659A" w:rsidRPr="0073723C" w:rsidRDefault="003B659A" w:rsidP="007F4181">
            <w:pPr>
              <w:pStyle w:val="afb"/>
              <w:spacing w:beforeAutospacing="0" w:afterAutospacing="0" w:line="240" w:lineRule="auto"/>
              <w:jc w:val="center"/>
            </w:pPr>
            <w:r w:rsidRPr="006C7346">
              <w:lastRenderedPageBreak/>
              <w:t>0-2</w:t>
            </w:r>
          </w:p>
          <w:p w:rsidR="003B659A" w:rsidRPr="0073723C" w:rsidRDefault="003B659A" w:rsidP="007F4181">
            <w:pPr>
              <w:pStyle w:val="afb"/>
              <w:spacing w:beforeAutospacing="0" w:afterAutospacing="0" w:line="240" w:lineRule="auto"/>
              <w:jc w:val="center"/>
            </w:pPr>
            <w:r w:rsidRPr="006C7346">
              <w:t>0-2</w:t>
            </w:r>
          </w:p>
          <w:p w:rsidR="003B659A" w:rsidRPr="0073723C" w:rsidRDefault="003B659A" w:rsidP="007F4181">
            <w:pPr>
              <w:pStyle w:val="afb"/>
              <w:spacing w:beforeAutospacing="0" w:afterAutospacing="0" w:line="240" w:lineRule="auto"/>
              <w:jc w:val="center"/>
            </w:pPr>
            <w:r w:rsidRPr="006C7346">
              <w:t>3</w:t>
            </w:r>
          </w:p>
          <w:p w:rsidR="003B659A" w:rsidRPr="0073723C" w:rsidRDefault="003B659A" w:rsidP="007F4181">
            <w:pPr>
              <w:pStyle w:val="afb"/>
              <w:spacing w:beforeAutospacing="0" w:afterAutospacing="0" w:line="240" w:lineRule="auto"/>
              <w:jc w:val="center"/>
              <w:rPr>
                <w:rFonts w:eastAsiaTheme="minorEastAsia"/>
              </w:rPr>
            </w:pPr>
            <w:r w:rsidRPr="006C7346">
              <w:t>0-3</w:t>
            </w:r>
          </w:p>
        </w:tc>
        <w:tc>
          <w:tcPr>
            <w:tcW w:w="1260" w:type="dxa"/>
            <w:tcBorders>
              <w:top w:val="single" w:sz="6" w:space="0" w:color="000000"/>
              <w:left w:val="single" w:sz="6" w:space="0" w:color="000000"/>
              <w:bottom w:val="single" w:sz="6" w:space="0" w:color="000000"/>
              <w:right w:val="single" w:sz="6" w:space="0" w:color="000000"/>
            </w:tcBorders>
            <w:hideMark/>
          </w:tcPr>
          <w:p w:rsidR="003B659A" w:rsidRPr="0073723C" w:rsidRDefault="003B659A" w:rsidP="007F4181">
            <w:pPr>
              <w:pStyle w:val="afb"/>
              <w:spacing w:beforeAutospacing="0" w:afterAutospacing="0" w:line="240" w:lineRule="auto"/>
              <w:jc w:val="center"/>
              <w:rPr>
                <w:rFonts w:eastAsiaTheme="minorEastAsia"/>
              </w:rPr>
            </w:pPr>
            <w:r w:rsidRPr="006C7346">
              <w:lastRenderedPageBreak/>
              <w:t> </w:t>
            </w:r>
          </w:p>
          <w:p w:rsidR="003B659A" w:rsidRPr="0073723C" w:rsidRDefault="003B659A" w:rsidP="007F4181">
            <w:pPr>
              <w:pStyle w:val="afb"/>
              <w:spacing w:beforeAutospacing="0" w:afterAutospacing="0" w:line="240" w:lineRule="auto"/>
              <w:jc w:val="center"/>
            </w:pPr>
            <w:r w:rsidRPr="006C7346">
              <w:t>0</w:t>
            </w:r>
          </w:p>
          <w:p w:rsidR="003B659A" w:rsidRPr="0073723C" w:rsidRDefault="003B659A" w:rsidP="007F4181">
            <w:pPr>
              <w:pStyle w:val="afb"/>
              <w:spacing w:beforeAutospacing="0" w:afterAutospacing="0" w:line="240" w:lineRule="auto"/>
              <w:jc w:val="center"/>
            </w:pPr>
            <w:r w:rsidRPr="006C7346">
              <w:t>0</w:t>
            </w:r>
          </w:p>
          <w:p w:rsidR="003B659A" w:rsidRPr="0073723C" w:rsidRDefault="003B659A" w:rsidP="007F4181">
            <w:pPr>
              <w:pStyle w:val="afb"/>
              <w:spacing w:beforeAutospacing="0" w:afterAutospacing="0" w:line="240" w:lineRule="auto"/>
              <w:jc w:val="center"/>
            </w:pPr>
            <w:r w:rsidRPr="006C7346">
              <w:t>0</w:t>
            </w:r>
          </w:p>
          <w:p w:rsidR="003B659A" w:rsidRPr="0073723C" w:rsidRDefault="003B659A" w:rsidP="007F4181">
            <w:pPr>
              <w:pStyle w:val="afb"/>
              <w:spacing w:beforeAutospacing="0" w:afterAutospacing="0" w:line="240" w:lineRule="auto"/>
              <w:jc w:val="center"/>
            </w:pPr>
          </w:p>
          <w:p w:rsidR="003B659A" w:rsidRPr="0073723C" w:rsidRDefault="003B659A" w:rsidP="007F4181">
            <w:pPr>
              <w:pStyle w:val="afb"/>
              <w:spacing w:beforeAutospacing="0" w:afterAutospacing="0" w:line="240" w:lineRule="auto"/>
              <w:jc w:val="center"/>
            </w:pPr>
            <w:r w:rsidRPr="006C7346">
              <w:t>0</w:t>
            </w:r>
          </w:p>
          <w:p w:rsidR="003B659A" w:rsidRPr="0073723C" w:rsidRDefault="003B659A" w:rsidP="007F4181">
            <w:pPr>
              <w:pStyle w:val="afb"/>
              <w:spacing w:beforeAutospacing="0" w:afterAutospacing="0" w:line="240" w:lineRule="auto"/>
              <w:jc w:val="center"/>
            </w:pPr>
            <w:r w:rsidRPr="006C7346">
              <w:t>0</w:t>
            </w:r>
          </w:p>
          <w:p w:rsidR="003B659A" w:rsidRPr="0073723C" w:rsidRDefault="003B659A" w:rsidP="007F4181">
            <w:pPr>
              <w:pStyle w:val="afb"/>
              <w:spacing w:beforeAutospacing="0" w:afterAutospacing="0" w:line="240" w:lineRule="auto"/>
              <w:jc w:val="center"/>
            </w:pPr>
            <w:r w:rsidRPr="006C7346">
              <w:t>0</w:t>
            </w:r>
          </w:p>
          <w:p w:rsidR="003B659A" w:rsidRPr="0073723C" w:rsidRDefault="003B659A" w:rsidP="007F4181">
            <w:pPr>
              <w:pStyle w:val="afb"/>
              <w:spacing w:beforeAutospacing="0" w:afterAutospacing="0" w:line="240" w:lineRule="auto"/>
              <w:jc w:val="center"/>
            </w:pPr>
            <w:r w:rsidRPr="006C7346">
              <w:lastRenderedPageBreak/>
              <w:t>0</w:t>
            </w:r>
          </w:p>
          <w:p w:rsidR="003B659A" w:rsidRPr="0073723C" w:rsidRDefault="003B659A" w:rsidP="007F4181">
            <w:pPr>
              <w:pStyle w:val="afb"/>
              <w:spacing w:beforeAutospacing="0" w:afterAutospacing="0" w:line="240" w:lineRule="auto"/>
              <w:jc w:val="center"/>
            </w:pPr>
            <w:r w:rsidRPr="006C7346">
              <w:t>0</w:t>
            </w:r>
          </w:p>
          <w:p w:rsidR="003B659A" w:rsidRPr="0073723C" w:rsidRDefault="003B659A" w:rsidP="007F4181">
            <w:pPr>
              <w:pStyle w:val="afb"/>
              <w:spacing w:beforeAutospacing="0" w:afterAutospacing="0" w:line="240" w:lineRule="auto"/>
              <w:jc w:val="center"/>
            </w:pPr>
            <w:r w:rsidRPr="006C7346">
              <w:t>0</w:t>
            </w:r>
          </w:p>
          <w:p w:rsidR="003B659A" w:rsidRPr="0073723C" w:rsidRDefault="003B659A" w:rsidP="007F4181">
            <w:pPr>
              <w:pStyle w:val="afb"/>
              <w:spacing w:beforeAutospacing="0" w:afterAutospacing="0" w:line="240" w:lineRule="auto"/>
              <w:jc w:val="center"/>
              <w:rPr>
                <w:rFonts w:eastAsiaTheme="minorEastAsia"/>
              </w:rPr>
            </w:pPr>
            <w:r w:rsidRPr="006C7346">
              <w:t>1</w:t>
            </w:r>
          </w:p>
        </w:tc>
        <w:tc>
          <w:tcPr>
            <w:tcW w:w="1830" w:type="dxa"/>
            <w:tcBorders>
              <w:top w:val="single" w:sz="6" w:space="0" w:color="000000"/>
              <w:left w:val="single" w:sz="6" w:space="0" w:color="000000"/>
              <w:bottom w:val="single" w:sz="6" w:space="0" w:color="000000"/>
              <w:right w:val="single" w:sz="6" w:space="0" w:color="000000"/>
            </w:tcBorders>
            <w:hideMark/>
          </w:tcPr>
          <w:p w:rsidR="003B659A" w:rsidRPr="0073723C" w:rsidRDefault="003B659A" w:rsidP="007F4181">
            <w:pPr>
              <w:pStyle w:val="afb"/>
              <w:spacing w:beforeAutospacing="0" w:afterAutospacing="0" w:line="240" w:lineRule="auto"/>
              <w:jc w:val="center"/>
              <w:rPr>
                <w:rFonts w:eastAsiaTheme="minorEastAsia"/>
              </w:rPr>
            </w:pPr>
            <w:r w:rsidRPr="006C7346">
              <w:lastRenderedPageBreak/>
              <w:t> </w:t>
            </w:r>
          </w:p>
          <w:p w:rsidR="003B659A" w:rsidRPr="0073723C" w:rsidRDefault="003B659A" w:rsidP="007F4181">
            <w:pPr>
              <w:pStyle w:val="afb"/>
              <w:spacing w:beforeAutospacing="0" w:afterAutospacing="0" w:line="240" w:lineRule="auto"/>
              <w:jc w:val="center"/>
            </w:pPr>
            <w:r w:rsidRPr="006C7346">
              <w:t>0,1</w:t>
            </w:r>
          </w:p>
          <w:p w:rsidR="003B659A" w:rsidRPr="0073723C" w:rsidRDefault="003B659A" w:rsidP="007F4181">
            <w:pPr>
              <w:pStyle w:val="afb"/>
              <w:spacing w:beforeAutospacing="0" w:afterAutospacing="0" w:line="240" w:lineRule="auto"/>
              <w:jc w:val="center"/>
            </w:pPr>
            <w:r w:rsidRPr="006C7346">
              <w:t>0,1</w:t>
            </w:r>
          </w:p>
          <w:p w:rsidR="003B659A" w:rsidRPr="0073723C" w:rsidRDefault="003B659A" w:rsidP="007F4181">
            <w:pPr>
              <w:pStyle w:val="afb"/>
              <w:spacing w:beforeAutospacing="0" w:afterAutospacing="0" w:line="240" w:lineRule="auto"/>
              <w:jc w:val="center"/>
            </w:pPr>
            <w:r w:rsidRPr="006C7346">
              <w:t>0,1</w:t>
            </w:r>
          </w:p>
          <w:p w:rsidR="003B659A" w:rsidRPr="0073723C" w:rsidRDefault="003B659A" w:rsidP="007F4181">
            <w:pPr>
              <w:pStyle w:val="afb"/>
              <w:spacing w:beforeAutospacing="0" w:afterAutospacing="0" w:line="240" w:lineRule="auto"/>
              <w:jc w:val="center"/>
            </w:pPr>
          </w:p>
          <w:p w:rsidR="003B659A" w:rsidRPr="0073723C" w:rsidRDefault="003B659A" w:rsidP="007F4181">
            <w:pPr>
              <w:pStyle w:val="afb"/>
              <w:spacing w:beforeAutospacing="0" w:afterAutospacing="0" w:line="240" w:lineRule="auto"/>
              <w:jc w:val="center"/>
            </w:pPr>
            <w:r w:rsidRPr="006C7346">
              <w:t>0,1</w:t>
            </w:r>
          </w:p>
          <w:p w:rsidR="003B659A" w:rsidRPr="0073723C" w:rsidRDefault="003B659A" w:rsidP="007F4181">
            <w:pPr>
              <w:pStyle w:val="afb"/>
              <w:spacing w:beforeAutospacing="0" w:afterAutospacing="0" w:line="240" w:lineRule="auto"/>
              <w:jc w:val="center"/>
            </w:pPr>
            <w:r w:rsidRPr="006C7346">
              <w:t>0,1</w:t>
            </w:r>
          </w:p>
          <w:p w:rsidR="003B659A" w:rsidRPr="0073723C" w:rsidRDefault="003B659A" w:rsidP="007F4181">
            <w:pPr>
              <w:pStyle w:val="afb"/>
              <w:spacing w:beforeAutospacing="0" w:afterAutospacing="0" w:line="240" w:lineRule="auto"/>
              <w:jc w:val="center"/>
            </w:pPr>
            <w:r w:rsidRPr="006C7346">
              <w:t>0</w:t>
            </w:r>
          </w:p>
          <w:p w:rsidR="003B659A" w:rsidRPr="0073723C" w:rsidRDefault="003B659A" w:rsidP="007F4181">
            <w:pPr>
              <w:pStyle w:val="afb"/>
              <w:spacing w:beforeAutospacing="0" w:afterAutospacing="0" w:line="240" w:lineRule="auto"/>
              <w:jc w:val="center"/>
            </w:pPr>
            <w:r w:rsidRPr="006C7346">
              <w:lastRenderedPageBreak/>
              <w:t>1</w:t>
            </w:r>
          </w:p>
          <w:p w:rsidR="003B659A" w:rsidRPr="0073723C" w:rsidRDefault="003B659A" w:rsidP="007F4181">
            <w:pPr>
              <w:pStyle w:val="afb"/>
              <w:spacing w:beforeAutospacing="0" w:afterAutospacing="0" w:line="240" w:lineRule="auto"/>
              <w:jc w:val="center"/>
            </w:pPr>
            <w:r w:rsidRPr="006C7346">
              <w:t>2</w:t>
            </w:r>
          </w:p>
          <w:p w:rsidR="003B659A" w:rsidRPr="0073723C" w:rsidRDefault="003B659A" w:rsidP="007F4181">
            <w:pPr>
              <w:pStyle w:val="afb"/>
              <w:spacing w:beforeAutospacing="0" w:afterAutospacing="0" w:line="240" w:lineRule="auto"/>
              <w:jc w:val="center"/>
            </w:pPr>
            <w:r w:rsidRPr="006C7346">
              <w:t>0-2</w:t>
            </w:r>
          </w:p>
          <w:p w:rsidR="003B659A" w:rsidRPr="0073723C" w:rsidRDefault="003B659A" w:rsidP="007F4181">
            <w:pPr>
              <w:pStyle w:val="afb"/>
              <w:spacing w:beforeAutospacing="0" w:afterAutospacing="0" w:line="240" w:lineRule="auto"/>
              <w:jc w:val="center"/>
              <w:rPr>
                <w:rFonts w:eastAsiaTheme="minorEastAsia"/>
              </w:rPr>
            </w:pPr>
            <w:r w:rsidRPr="006C7346">
              <w:t>0-2</w:t>
            </w:r>
          </w:p>
        </w:tc>
      </w:tr>
    </w:tbl>
    <w:p w:rsidR="003B659A" w:rsidRPr="0073723C" w:rsidRDefault="003B659A" w:rsidP="003B659A">
      <w:pPr>
        <w:ind w:firstLine="0"/>
        <w:rPr>
          <w:lang w:val="en-US" w:eastAsia="ru-RU" w:bidi="ru-RU"/>
        </w:rPr>
      </w:pPr>
    </w:p>
    <w:p w:rsidR="003B659A" w:rsidRPr="0073723C" w:rsidRDefault="003B659A" w:rsidP="003B659A">
      <w:pPr>
        <w:pStyle w:val="1b"/>
        <w:shd w:val="clear" w:color="auto" w:fill="auto"/>
        <w:tabs>
          <w:tab w:val="left" w:leader="underscore" w:pos="10092"/>
        </w:tabs>
        <w:ind w:left="1520" w:firstLine="20"/>
        <w:rPr>
          <w:sz w:val="24"/>
          <w:szCs w:val="24"/>
          <w:lang w:val="en-US"/>
        </w:rPr>
      </w:pPr>
    </w:p>
    <w:p w:rsidR="003B659A" w:rsidRPr="0073723C" w:rsidRDefault="003B659A" w:rsidP="003B659A">
      <w:pPr>
        <w:pStyle w:val="1b"/>
        <w:shd w:val="clear" w:color="auto" w:fill="auto"/>
        <w:tabs>
          <w:tab w:val="left" w:leader="underscore" w:pos="10092"/>
        </w:tabs>
        <w:ind w:left="1520" w:firstLine="20"/>
        <w:rPr>
          <w:sz w:val="24"/>
          <w:szCs w:val="24"/>
          <w:lang w:val="en-US"/>
        </w:rPr>
      </w:pPr>
    </w:p>
    <w:p w:rsidR="003B659A" w:rsidRPr="0073723C" w:rsidRDefault="003B659A" w:rsidP="003B659A">
      <w:pPr>
        <w:pStyle w:val="1b"/>
        <w:shd w:val="clear" w:color="auto" w:fill="auto"/>
        <w:tabs>
          <w:tab w:val="left" w:leader="underscore" w:pos="10092"/>
        </w:tabs>
        <w:ind w:left="1520" w:firstLine="20"/>
        <w:rPr>
          <w:sz w:val="24"/>
          <w:szCs w:val="24"/>
          <w:lang w:val="en-US"/>
        </w:rPr>
      </w:pPr>
    </w:p>
    <w:p w:rsidR="003B659A" w:rsidRPr="0073723C" w:rsidRDefault="003B659A" w:rsidP="003B659A">
      <w:pPr>
        <w:pStyle w:val="1b"/>
        <w:shd w:val="clear" w:color="auto" w:fill="auto"/>
        <w:tabs>
          <w:tab w:val="left" w:leader="underscore" w:pos="10092"/>
        </w:tabs>
        <w:ind w:left="1520" w:firstLine="20"/>
        <w:rPr>
          <w:sz w:val="24"/>
          <w:szCs w:val="24"/>
          <w:lang w:val="en-US"/>
        </w:rPr>
      </w:pPr>
    </w:p>
    <w:p w:rsidR="003B659A" w:rsidRPr="0073723C" w:rsidRDefault="003B659A" w:rsidP="00A40003">
      <w:pPr>
        <w:ind w:firstLine="0"/>
        <w:rPr>
          <w:lang w:eastAsia="ru-RU" w:bidi="ru-RU"/>
        </w:rPr>
      </w:pPr>
    </w:p>
    <w:p w:rsidR="000414F6" w:rsidRPr="0073723C" w:rsidRDefault="007F36A7" w:rsidP="003B0404">
      <w:pPr>
        <w:pStyle w:val="CustomContentNormal"/>
      </w:pPr>
      <w:bookmarkStart w:id="54" w:name="__RefHeading___doc_b"/>
      <w:bookmarkStart w:id="55" w:name="_Toc84161291"/>
      <w:r w:rsidRPr="007F36A7">
        <w:t xml:space="preserve">Приложение Б. Алгоритмы </w:t>
      </w:r>
      <w:bookmarkEnd w:id="54"/>
      <w:r w:rsidRPr="007F36A7">
        <w:t>действий врача</w:t>
      </w:r>
      <w:bookmarkEnd w:id="55"/>
    </w:p>
    <w:p w:rsidR="00275A41" w:rsidRPr="0073723C" w:rsidRDefault="00275A41" w:rsidP="001D6E4A">
      <w:pPr>
        <w:ind w:firstLine="0"/>
        <w:divId w:val="764688137"/>
        <w:rPr>
          <w:rFonts w:eastAsia="Times New Roman"/>
        </w:rPr>
      </w:pPr>
    </w:p>
    <w:p w:rsidR="001D6E4A" w:rsidRPr="0073723C" w:rsidRDefault="001D6E4A" w:rsidP="001D6E4A">
      <w:pPr>
        <w:ind w:firstLine="0"/>
        <w:divId w:val="764688137"/>
        <w:rPr>
          <w:rFonts w:eastAsia="Times New Roman"/>
        </w:rPr>
      </w:pPr>
      <w:r w:rsidRPr="0073723C">
        <w:rPr>
          <w:rFonts w:eastAsia="Times New Roman"/>
          <w:noProof/>
          <w:lang w:eastAsia="ru-RU"/>
        </w:rPr>
        <w:lastRenderedPageBreak/>
        <w:drawing>
          <wp:inline distT="0" distB="0" distL="0" distR="0">
            <wp:extent cx="5936615" cy="6628953"/>
            <wp:effectExtent l="19050" t="0" r="6985"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6615" cy="6628953"/>
                    </a:xfrm>
                    <a:prstGeom prst="rect">
                      <a:avLst/>
                    </a:prstGeom>
                    <a:noFill/>
                    <a:ln>
                      <a:noFill/>
                    </a:ln>
                  </pic:spPr>
                </pic:pic>
              </a:graphicData>
            </a:graphic>
          </wp:inline>
        </w:drawing>
      </w:r>
    </w:p>
    <w:p w:rsidR="000414F6" w:rsidRPr="0073723C" w:rsidRDefault="00CE089D" w:rsidP="003B0404">
      <w:pPr>
        <w:pStyle w:val="CustomContentNormal"/>
      </w:pPr>
      <w:r w:rsidRPr="0073723C">
        <w:br w:type="page"/>
      </w:r>
      <w:bookmarkStart w:id="56" w:name="__RefHeading___doc_v"/>
      <w:bookmarkStart w:id="57" w:name="_Toc84161292"/>
      <w:r w:rsidRPr="0073723C">
        <w:lastRenderedPageBreak/>
        <w:t>Приложение В. Информация для пациент</w:t>
      </w:r>
      <w:bookmarkEnd w:id="56"/>
      <w:r w:rsidRPr="0073723C">
        <w:t>а</w:t>
      </w:r>
      <w:bookmarkEnd w:id="57"/>
    </w:p>
    <w:p w:rsidR="001D6E4A" w:rsidRPr="0073723C" w:rsidRDefault="00CE089D" w:rsidP="00ED4E3F">
      <w:pPr>
        <w:numPr>
          <w:ilvl w:val="0"/>
          <w:numId w:val="30"/>
        </w:numPr>
        <w:tabs>
          <w:tab w:val="left" w:pos="993"/>
        </w:tabs>
        <w:spacing w:before="100" w:beforeAutospacing="1" w:after="100" w:afterAutospacing="1"/>
        <w:ind w:left="0" w:firstLine="567"/>
        <w:rPr>
          <w:rFonts w:eastAsia="Times New Roman"/>
        </w:rPr>
      </w:pPr>
      <w:r w:rsidRPr="0073723C">
        <w:rPr>
          <w:rFonts w:eastAsia="Times New Roman"/>
        </w:rPr>
        <w:t>Грибовидный микоз относят к злокачественным заболеваниям кожи, с относительно благоприятным течением и медленной прогрессией. У большинства пациентов с ранними стадиями грибовидного микоза не происходит прогрессирования в более поздние стадии. Причина развития грибовидного микоза не установлена.</w:t>
      </w:r>
    </w:p>
    <w:p w:rsidR="001D6E4A" w:rsidRPr="0073723C" w:rsidRDefault="007F36A7" w:rsidP="00C32F88">
      <w:pPr>
        <w:numPr>
          <w:ilvl w:val="0"/>
          <w:numId w:val="30"/>
        </w:numPr>
        <w:tabs>
          <w:tab w:val="left" w:pos="993"/>
        </w:tabs>
        <w:spacing w:before="100" w:beforeAutospacing="1" w:after="100" w:afterAutospacing="1"/>
        <w:ind w:left="0" w:firstLine="567"/>
        <w:rPr>
          <w:rFonts w:eastAsia="Times New Roman"/>
        </w:rPr>
      </w:pPr>
      <w:r w:rsidRPr="007F36A7">
        <w:rPr>
          <w:rFonts w:eastAsia="Times New Roman"/>
        </w:rPr>
        <w:t>Проведение биопсии кожи с последующим гистологическим и/или иммуногистохимическим исследованием позволяет с высокой степенью достоверности верифицировать диагноз.</w:t>
      </w:r>
    </w:p>
    <w:p w:rsidR="001D6E4A" w:rsidRPr="0073723C" w:rsidRDefault="007F36A7" w:rsidP="00C32F88">
      <w:pPr>
        <w:numPr>
          <w:ilvl w:val="0"/>
          <w:numId w:val="30"/>
        </w:numPr>
        <w:tabs>
          <w:tab w:val="left" w:pos="993"/>
        </w:tabs>
        <w:spacing w:before="100" w:beforeAutospacing="1" w:after="100" w:afterAutospacing="1"/>
        <w:ind w:left="0" w:firstLine="567"/>
        <w:rPr>
          <w:rFonts w:eastAsia="Times New Roman"/>
        </w:rPr>
      </w:pPr>
      <w:r w:rsidRPr="007F36A7">
        <w:rPr>
          <w:rFonts w:eastAsia="Times New Roman"/>
        </w:rPr>
        <w:t>На поздних стадиях заболевания возможно поражение лимфатических узлов и внутренних органов. Поэтому необходимо находиться под постоянным диспансерным наблюдением, регулярно посещать врача-дерматовенеролога c целью стадирования грибовидного микоза, коррекции тактики лечения, своевременной диагностики возможной трансформации грибовидного микоза в более тяжелое заболевание – крупноклеточную лимфому.</w:t>
      </w:r>
    </w:p>
    <w:p w:rsidR="00174593" w:rsidRPr="0073723C" w:rsidRDefault="00174593" w:rsidP="001D6E4A">
      <w:pPr>
        <w:pStyle w:val="afb"/>
      </w:pPr>
    </w:p>
    <w:p w:rsidR="00174593" w:rsidRPr="0073723C" w:rsidRDefault="00174593" w:rsidP="00C4630C">
      <w:pPr>
        <w:pStyle w:val="aff7"/>
      </w:pPr>
    </w:p>
    <w:p w:rsidR="000D73B2" w:rsidRPr="0073723C" w:rsidRDefault="007F36A7" w:rsidP="00ED4E3F">
      <w:pPr>
        <w:pStyle w:val="afff1"/>
      </w:pPr>
      <w:r w:rsidRPr="007F36A7">
        <w:br w:type="page"/>
      </w:r>
      <w:bookmarkStart w:id="58" w:name="_Toc84161293"/>
      <w:bookmarkStart w:id="59" w:name="__RefHeading___doc_g"/>
    </w:p>
    <w:p w:rsidR="000D73B2" w:rsidRDefault="00742DE6" w:rsidP="00ED4E3F">
      <w:pPr>
        <w:pStyle w:val="afff1"/>
      </w:pPr>
      <w:r w:rsidRPr="006C7346">
        <w:lastRenderedPageBreak/>
        <w:t>Приложение Г1 - ГN. Шкалы оценки, вопросники и другие оценочные инструменты состояния пациента, приведенные в клинических рекомендациях</w:t>
      </w:r>
    </w:p>
    <w:p w:rsidR="00957B53" w:rsidRDefault="003B659A">
      <w:pPr>
        <w:pStyle w:val="afff1"/>
        <w:jc w:val="left"/>
      </w:pPr>
      <w:r>
        <w:t>Нет</w:t>
      </w:r>
    </w:p>
    <w:bookmarkEnd w:id="58"/>
    <w:p w:rsidR="00141879" w:rsidRPr="0073723C" w:rsidRDefault="00141879" w:rsidP="00141879">
      <w:pPr>
        <w:pStyle w:val="1b"/>
        <w:shd w:val="clear" w:color="auto" w:fill="auto"/>
        <w:tabs>
          <w:tab w:val="left" w:leader="underscore" w:pos="10092"/>
        </w:tabs>
        <w:ind w:left="1520" w:firstLine="20"/>
        <w:rPr>
          <w:sz w:val="24"/>
          <w:szCs w:val="24"/>
          <w:lang w:val="en-US"/>
        </w:rPr>
      </w:pPr>
    </w:p>
    <w:p w:rsidR="00141879" w:rsidRPr="0073723C" w:rsidRDefault="00141879" w:rsidP="00141879">
      <w:pPr>
        <w:pStyle w:val="1b"/>
        <w:shd w:val="clear" w:color="auto" w:fill="auto"/>
        <w:tabs>
          <w:tab w:val="left" w:leader="underscore" w:pos="10092"/>
        </w:tabs>
        <w:ind w:left="1520" w:firstLine="20"/>
        <w:rPr>
          <w:sz w:val="24"/>
          <w:szCs w:val="24"/>
          <w:lang w:val="en-US"/>
        </w:rPr>
      </w:pPr>
    </w:p>
    <w:p w:rsidR="00141879" w:rsidRPr="0073723C" w:rsidRDefault="00141879" w:rsidP="00141879">
      <w:pPr>
        <w:pStyle w:val="1b"/>
        <w:shd w:val="clear" w:color="auto" w:fill="auto"/>
        <w:tabs>
          <w:tab w:val="left" w:leader="underscore" w:pos="10092"/>
        </w:tabs>
        <w:ind w:left="1520" w:firstLine="20"/>
        <w:rPr>
          <w:sz w:val="24"/>
          <w:szCs w:val="24"/>
          <w:lang w:val="en-US"/>
        </w:rPr>
      </w:pPr>
    </w:p>
    <w:p w:rsidR="00141879" w:rsidRPr="0073723C" w:rsidRDefault="00141879" w:rsidP="00141879">
      <w:pPr>
        <w:pStyle w:val="1b"/>
        <w:shd w:val="clear" w:color="auto" w:fill="auto"/>
        <w:tabs>
          <w:tab w:val="left" w:leader="underscore" w:pos="10092"/>
        </w:tabs>
        <w:ind w:left="1520" w:firstLine="20"/>
        <w:rPr>
          <w:sz w:val="24"/>
          <w:szCs w:val="24"/>
          <w:lang w:val="en-US"/>
        </w:rPr>
      </w:pPr>
    </w:p>
    <w:bookmarkEnd w:id="59"/>
    <w:p w:rsidR="00427B0E" w:rsidRPr="0073723C" w:rsidRDefault="00427B0E" w:rsidP="00ED4E3F">
      <w:pPr>
        <w:pStyle w:val="afff1"/>
        <w:jc w:val="both"/>
        <w:rPr>
          <w:lang w:eastAsia="ru-RU" w:bidi="ru-RU"/>
        </w:rPr>
      </w:pPr>
    </w:p>
    <w:sectPr w:rsidR="00427B0E" w:rsidRPr="0073723C" w:rsidSect="00022F92">
      <w:headerReference w:type="default" r:id="rId9"/>
      <w:footerReference w:type="default" r:id="rId10"/>
      <w:pgSz w:w="11906" w:h="16838"/>
      <w:pgMar w:top="1134" w:right="707" w:bottom="1134" w:left="1701" w:header="708" w:footer="708" w:gutter="0"/>
      <w:cols w:space="720"/>
      <w:formProt w:val="0"/>
      <w:titlePg/>
      <w:docGrid w:linePitch="360" w:charSpace="-61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F2A12" w16cex:dateUtc="2022-11-16T06:21:00Z"/>
  <w16cex:commentExtensible w16cex:durableId="271F2A2F" w16cex:dateUtc="2022-11-16T06:21:00Z"/>
  <w16cex:commentExtensible w16cex:durableId="271F2A5A" w16cex:dateUtc="2022-11-16T06:22:00Z"/>
  <w16cex:commentExtensible w16cex:durableId="271F2A6F" w16cex:dateUtc="2022-11-16T06:22:00Z"/>
  <w16cex:commentExtensible w16cex:durableId="271F2B78" w16cex:dateUtc="2022-11-16T06:27:00Z"/>
  <w16cex:commentExtensible w16cex:durableId="27207786" w16cex:dateUtc="2022-11-17T06:04:00Z"/>
  <w16cex:commentExtensible w16cex:durableId="27207B7F" w16cex:dateUtc="2022-11-17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2876F8" w16cid:durableId="271F2A12"/>
  <w16cid:commentId w16cid:paraId="7310B4E6" w16cid:durableId="271F25ED"/>
  <w16cid:commentId w16cid:paraId="62F8D610" w16cid:durableId="271F25EE"/>
  <w16cid:commentId w16cid:paraId="7F38FD0C" w16cid:durableId="271F25EF"/>
  <w16cid:commentId w16cid:paraId="114DF5C4" w16cid:durableId="271F25F0"/>
  <w16cid:commentId w16cid:paraId="76DA2B0E" w16cid:durableId="271F25F1"/>
  <w16cid:commentId w16cid:paraId="2AB2A389" w16cid:durableId="271F25F2"/>
  <w16cid:commentId w16cid:paraId="6711131C" w16cid:durableId="271F25F3"/>
  <w16cid:commentId w16cid:paraId="15170C44" w16cid:durableId="271F25F4"/>
  <w16cid:commentId w16cid:paraId="7468E6FD" w16cid:durableId="271F25F5"/>
  <w16cid:commentId w16cid:paraId="77726C7F" w16cid:durableId="271F25F6"/>
  <w16cid:commentId w16cid:paraId="0B6327AB" w16cid:durableId="271F25F7"/>
  <w16cid:commentId w16cid:paraId="75F58CAE" w16cid:durableId="271F25F8"/>
  <w16cid:commentId w16cid:paraId="70011AB9" w16cid:durableId="271F2A2F"/>
  <w16cid:commentId w16cid:paraId="2EEA00E2" w16cid:durableId="271F2A5A"/>
  <w16cid:commentId w16cid:paraId="7E349639" w16cid:durableId="271F2A6F"/>
  <w16cid:commentId w16cid:paraId="2277379A" w16cid:durableId="271F2B78"/>
  <w16cid:commentId w16cid:paraId="24D69CD2" w16cid:durableId="271F25F9"/>
  <w16cid:commentId w16cid:paraId="584AEA7F" w16cid:durableId="271F25FA"/>
  <w16cid:commentId w16cid:paraId="34F43A57" w16cid:durableId="27207786"/>
  <w16cid:commentId w16cid:paraId="4D12EB8B" w16cid:durableId="271F25FB"/>
  <w16cid:commentId w16cid:paraId="69E3126E" w16cid:durableId="271F25FC"/>
  <w16cid:commentId w16cid:paraId="4746E51F" w16cid:durableId="271F25FD"/>
  <w16cid:commentId w16cid:paraId="05D0A3F7" w16cid:durableId="271F25FE"/>
  <w16cid:commentId w16cid:paraId="302EFC12" w16cid:durableId="271F25FF"/>
  <w16cid:commentId w16cid:paraId="15890101" w16cid:durableId="271F2600"/>
  <w16cid:commentId w16cid:paraId="7E60794C" w16cid:durableId="27207B7F"/>
  <w16cid:commentId w16cid:paraId="43F83B43" w16cid:durableId="271F2601"/>
  <w16cid:commentId w16cid:paraId="25064026" w16cid:durableId="271F2602"/>
  <w16cid:commentId w16cid:paraId="7BD7BE3A" w16cid:durableId="271F2603"/>
  <w16cid:commentId w16cid:paraId="1EA9C1C4" w16cid:durableId="271F2604"/>
  <w16cid:commentId w16cid:paraId="717B3811" w16cid:durableId="271F26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F99" w:rsidRDefault="00103F99">
      <w:pPr>
        <w:spacing w:line="240" w:lineRule="auto"/>
      </w:pPr>
      <w:r>
        <w:separator/>
      </w:r>
    </w:p>
    <w:p w:rsidR="00103F99" w:rsidRDefault="00103F99"/>
  </w:endnote>
  <w:endnote w:type="continuationSeparator" w:id="0">
    <w:p w:rsidR="00103F99" w:rsidRDefault="00103F99">
      <w:pPr>
        <w:spacing w:line="240" w:lineRule="auto"/>
      </w:pPr>
      <w:r>
        <w:continuationSeparator/>
      </w:r>
    </w:p>
    <w:p w:rsidR="00103F99" w:rsidRDefault="00103F99"/>
  </w:endnote>
  <w:endnote w:type="continuationNotice" w:id="1">
    <w:p w:rsidR="00103F99" w:rsidRDefault="00103F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font>
  <w:font w:name="Shaker 2 Lancet">
    <w:altName w:val="Shaker 2 Lance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LTStd-Roman">
    <w:altName w:val="MS Mincho"/>
    <w:panose1 w:val="00000000000000000000"/>
    <w:charset w:val="80"/>
    <w:family w:val="roman"/>
    <w:notTrueType/>
    <w:pitch w:val="default"/>
    <w:sig w:usb0="00000201" w:usb1="08070000" w:usb2="00000010" w:usb3="00000000" w:csb0="00020004" w:csb1="00000000"/>
  </w:font>
  <w:font w:name="MathematicalPiLTStd">
    <w:altName w:val="Arial"/>
    <w:charset w:val="A1"/>
    <w:family w:val="swiss"/>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B53" w:rsidRDefault="00103F99">
    <w:pPr>
      <w:pStyle w:val="afa"/>
      <w:jc w:val="center"/>
    </w:pPr>
    <w:r>
      <w:rPr>
        <w:noProof/>
      </w:rPr>
      <w:fldChar w:fldCharType="begin"/>
    </w:r>
    <w:r>
      <w:rPr>
        <w:noProof/>
      </w:rPr>
      <w:instrText>PAGE</w:instrText>
    </w:r>
    <w:r>
      <w:rPr>
        <w:noProof/>
      </w:rPr>
      <w:fldChar w:fldCharType="separate"/>
    </w:r>
    <w:r w:rsidR="00EE68C2">
      <w:rPr>
        <w:noProof/>
      </w:rPr>
      <w:t>43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F99" w:rsidRDefault="00103F99">
      <w:pPr>
        <w:spacing w:line="240" w:lineRule="auto"/>
      </w:pPr>
      <w:r>
        <w:separator/>
      </w:r>
    </w:p>
    <w:p w:rsidR="00103F99" w:rsidRDefault="00103F99"/>
  </w:footnote>
  <w:footnote w:type="continuationSeparator" w:id="0">
    <w:p w:rsidR="00103F99" w:rsidRDefault="00103F99">
      <w:pPr>
        <w:spacing w:line="240" w:lineRule="auto"/>
      </w:pPr>
      <w:r>
        <w:continuationSeparator/>
      </w:r>
    </w:p>
    <w:p w:rsidR="00103F99" w:rsidRDefault="00103F99"/>
  </w:footnote>
  <w:footnote w:type="continuationNotice" w:id="1">
    <w:p w:rsidR="00103F99" w:rsidRDefault="00103F9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B53" w:rsidRDefault="00957B53" w:rsidP="00186C35">
    <w:pPr>
      <w:pStyle w:val="af9"/>
      <w:ind w:firstLine="0"/>
      <w:rPr>
        <w:i/>
      </w:rPr>
    </w:pPr>
  </w:p>
  <w:p w:rsidR="00957B53" w:rsidRDefault="00957B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7A4"/>
    <w:multiLevelType w:val="multilevel"/>
    <w:tmpl w:val="A5ECE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96A89"/>
    <w:multiLevelType w:val="hybridMultilevel"/>
    <w:tmpl w:val="ABB25E8C"/>
    <w:lvl w:ilvl="0" w:tplc="05063346">
      <w:start w:val="1"/>
      <w:numFmt w:val="bullet"/>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2" w15:restartNumberingAfterBreak="0">
    <w:nsid w:val="039E6491"/>
    <w:multiLevelType w:val="multilevel"/>
    <w:tmpl w:val="D5C4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A5D76"/>
    <w:multiLevelType w:val="hybridMultilevel"/>
    <w:tmpl w:val="71564C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20779D"/>
    <w:multiLevelType w:val="multilevel"/>
    <w:tmpl w:val="1C681168"/>
    <w:lvl w:ilvl="0">
      <w:start w:val="1"/>
      <w:numFmt w:val="decimal"/>
      <w:lvlText w:val="%1."/>
      <w:lvlJc w:val="left"/>
      <w:pPr>
        <w:tabs>
          <w:tab w:val="num" w:pos="720"/>
        </w:tabs>
        <w:ind w:left="720" w:hanging="360"/>
      </w:pPr>
      <w:rPr>
        <w:i w:val="0"/>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6A0D58"/>
    <w:multiLevelType w:val="hybridMultilevel"/>
    <w:tmpl w:val="534AC682"/>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6" w15:restartNumberingAfterBreak="0">
    <w:nsid w:val="09FC4506"/>
    <w:multiLevelType w:val="multilevel"/>
    <w:tmpl w:val="56127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76FB2"/>
    <w:multiLevelType w:val="hybridMultilevel"/>
    <w:tmpl w:val="74F8D396"/>
    <w:lvl w:ilvl="0" w:tplc="CD5E3A2A">
      <w:start w:val="1"/>
      <w:numFmt w:val="bullet"/>
      <w:lvlText w:val=""/>
      <w:lvlJc w:val="left"/>
      <w:pPr>
        <w:ind w:left="786" w:hanging="360"/>
      </w:pPr>
      <w:rPr>
        <w:rFonts w:ascii="Symbol" w:hAnsi="Symbol"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02211EF"/>
    <w:multiLevelType w:val="multilevel"/>
    <w:tmpl w:val="658AC4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7B7ED8"/>
    <w:multiLevelType w:val="multilevel"/>
    <w:tmpl w:val="0D5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930E9"/>
    <w:multiLevelType w:val="hybridMultilevel"/>
    <w:tmpl w:val="3F54F6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D9A5012"/>
    <w:multiLevelType w:val="multilevel"/>
    <w:tmpl w:val="F2E27B3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14C79"/>
    <w:multiLevelType w:val="multilevel"/>
    <w:tmpl w:val="1832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A426EF1"/>
    <w:multiLevelType w:val="hybridMultilevel"/>
    <w:tmpl w:val="A4E8C9E6"/>
    <w:lvl w:ilvl="0" w:tplc="A502D16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A4852E6"/>
    <w:multiLevelType w:val="hybridMultilevel"/>
    <w:tmpl w:val="0F14CC4E"/>
    <w:lvl w:ilvl="0" w:tplc="2304CA0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B5F0B1C"/>
    <w:multiLevelType w:val="multilevel"/>
    <w:tmpl w:val="B5FC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43E0C"/>
    <w:multiLevelType w:val="multilevel"/>
    <w:tmpl w:val="37E26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706346"/>
    <w:multiLevelType w:val="multilevel"/>
    <w:tmpl w:val="98FC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A64EC1"/>
    <w:multiLevelType w:val="hybridMultilevel"/>
    <w:tmpl w:val="597A0942"/>
    <w:lvl w:ilvl="0" w:tplc="826E544E">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2B752E3"/>
    <w:multiLevelType w:val="multilevel"/>
    <w:tmpl w:val="507AC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8A10BD"/>
    <w:multiLevelType w:val="multilevel"/>
    <w:tmpl w:val="D1E0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CB4D80"/>
    <w:multiLevelType w:val="hybridMultilevel"/>
    <w:tmpl w:val="E56E6574"/>
    <w:lvl w:ilvl="0" w:tplc="2304CA0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3957050F"/>
    <w:multiLevelType w:val="hybridMultilevel"/>
    <w:tmpl w:val="6B6A1D8E"/>
    <w:lvl w:ilvl="0" w:tplc="A502D16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4" w15:restartNumberingAfterBreak="0">
    <w:nsid w:val="3A981D77"/>
    <w:multiLevelType w:val="multilevel"/>
    <w:tmpl w:val="4266C3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AAF1BC4"/>
    <w:multiLevelType w:val="multilevel"/>
    <w:tmpl w:val="CD92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0648E3"/>
    <w:multiLevelType w:val="hybridMultilevel"/>
    <w:tmpl w:val="18F0120C"/>
    <w:lvl w:ilvl="0" w:tplc="A502D164">
      <w:start w:val="1"/>
      <w:numFmt w:val="bullet"/>
      <w:lvlText w:val=""/>
      <w:lvlJc w:val="left"/>
      <w:pPr>
        <w:ind w:left="1287" w:hanging="360"/>
      </w:pPr>
      <w:rPr>
        <w:rFonts w:ascii="Symbol" w:hAnsi="Symbol" w:hint="default"/>
      </w:rPr>
    </w:lvl>
    <w:lvl w:ilvl="1" w:tplc="A502D164">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EF1656F"/>
    <w:multiLevelType w:val="multilevel"/>
    <w:tmpl w:val="36F8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3469AA"/>
    <w:multiLevelType w:val="multilevel"/>
    <w:tmpl w:val="CCE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C21906"/>
    <w:multiLevelType w:val="multilevel"/>
    <w:tmpl w:val="7B4C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23672B"/>
    <w:multiLevelType w:val="hybridMultilevel"/>
    <w:tmpl w:val="BAD05192"/>
    <w:lvl w:ilvl="0" w:tplc="D2B296C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CE53888"/>
    <w:multiLevelType w:val="hybridMultilevel"/>
    <w:tmpl w:val="024EC56C"/>
    <w:lvl w:ilvl="0" w:tplc="A502D164">
      <w:start w:val="1"/>
      <w:numFmt w:val="bullet"/>
      <w:lvlText w:val=""/>
      <w:lvlJc w:val="left"/>
      <w:pPr>
        <w:ind w:left="720" w:hanging="360"/>
      </w:pPr>
      <w:rPr>
        <w:rFonts w:ascii="Symbol" w:hAnsi="Symbol" w:hint="default"/>
      </w:rPr>
    </w:lvl>
    <w:lvl w:ilvl="1" w:tplc="A502D164">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D6559E6"/>
    <w:multiLevelType w:val="hybridMultilevel"/>
    <w:tmpl w:val="5DA605DA"/>
    <w:lvl w:ilvl="0" w:tplc="E9E6B1B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60C06"/>
    <w:multiLevelType w:val="multilevel"/>
    <w:tmpl w:val="C956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FC5802"/>
    <w:multiLevelType w:val="multilevel"/>
    <w:tmpl w:val="2D6C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3A2357"/>
    <w:multiLevelType w:val="hybridMultilevel"/>
    <w:tmpl w:val="155CF27E"/>
    <w:lvl w:ilvl="0" w:tplc="0419000F">
      <w:start w:val="1"/>
      <w:numFmt w:val="bullet"/>
      <w:lvlText w:val=""/>
      <w:lvlJc w:val="left"/>
      <w:pPr>
        <w:ind w:left="360" w:hanging="360"/>
      </w:pPr>
      <w:rPr>
        <w:rFonts w:ascii="Symbol" w:hAnsi="Symbol" w:hint="default"/>
      </w:rPr>
    </w:lvl>
    <w:lvl w:ilvl="1" w:tplc="04190019">
      <w:start w:val="1"/>
      <w:numFmt w:val="bullet"/>
      <w:lvlText w:val="o"/>
      <w:lvlJc w:val="left"/>
      <w:pPr>
        <w:ind w:left="1080" w:hanging="360"/>
      </w:pPr>
      <w:rPr>
        <w:rFonts w:ascii="Courier New" w:hAnsi="Courier New" w:cs="Courier New" w:hint="default"/>
      </w:rPr>
    </w:lvl>
    <w:lvl w:ilvl="2" w:tplc="0419001B">
      <w:start w:val="1"/>
      <w:numFmt w:val="bullet"/>
      <w:lvlText w:val=""/>
      <w:lvlJc w:val="left"/>
      <w:pPr>
        <w:ind w:left="1800" w:hanging="360"/>
      </w:pPr>
      <w:rPr>
        <w:rFonts w:ascii="Wingdings" w:hAnsi="Wingdings" w:hint="default"/>
      </w:rPr>
    </w:lvl>
    <w:lvl w:ilvl="3" w:tplc="0419000F">
      <w:start w:val="1"/>
      <w:numFmt w:val="bullet"/>
      <w:lvlText w:val=""/>
      <w:lvlJc w:val="left"/>
      <w:pPr>
        <w:ind w:left="2520" w:hanging="360"/>
      </w:pPr>
      <w:rPr>
        <w:rFonts w:ascii="Symbol" w:hAnsi="Symbol" w:hint="default"/>
      </w:rPr>
    </w:lvl>
    <w:lvl w:ilvl="4" w:tplc="04190019">
      <w:start w:val="1"/>
      <w:numFmt w:val="bullet"/>
      <w:lvlText w:val="o"/>
      <w:lvlJc w:val="left"/>
      <w:pPr>
        <w:ind w:left="3240" w:hanging="360"/>
      </w:pPr>
      <w:rPr>
        <w:rFonts w:ascii="Courier New" w:hAnsi="Courier New" w:cs="Courier New" w:hint="default"/>
      </w:rPr>
    </w:lvl>
    <w:lvl w:ilvl="5" w:tplc="0419001B">
      <w:start w:val="1"/>
      <w:numFmt w:val="bullet"/>
      <w:lvlText w:val=""/>
      <w:lvlJc w:val="left"/>
      <w:pPr>
        <w:ind w:left="3960" w:hanging="360"/>
      </w:pPr>
      <w:rPr>
        <w:rFonts w:ascii="Wingdings" w:hAnsi="Wingdings" w:hint="default"/>
      </w:rPr>
    </w:lvl>
    <w:lvl w:ilvl="6" w:tplc="0419000F">
      <w:start w:val="1"/>
      <w:numFmt w:val="bullet"/>
      <w:lvlText w:val=""/>
      <w:lvlJc w:val="left"/>
      <w:pPr>
        <w:ind w:left="4680" w:hanging="360"/>
      </w:pPr>
      <w:rPr>
        <w:rFonts w:ascii="Symbol" w:hAnsi="Symbol" w:hint="default"/>
      </w:rPr>
    </w:lvl>
    <w:lvl w:ilvl="7" w:tplc="04190019">
      <w:start w:val="1"/>
      <w:numFmt w:val="bullet"/>
      <w:lvlText w:val="o"/>
      <w:lvlJc w:val="left"/>
      <w:pPr>
        <w:ind w:left="5400" w:hanging="360"/>
      </w:pPr>
      <w:rPr>
        <w:rFonts w:ascii="Courier New" w:hAnsi="Courier New" w:cs="Courier New" w:hint="default"/>
      </w:rPr>
    </w:lvl>
    <w:lvl w:ilvl="8" w:tplc="0419001B">
      <w:start w:val="1"/>
      <w:numFmt w:val="bullet"/>
      <w:lvlText w:val=""/>
      <w:lvlJc w:val="left"/>
      <w:pPr>
        <w:ind w:left="6120" w:hanging="360"/>
      </w:pPr>
      <w:rPr>
        <w:rFonts w:ascii="Wingdings" w:hAnsi="Wingdings" w:hint="default"/>
      </w:rPr>
    </w:lvl>
  </w:abstractNum>
  <w:abstractNum w:abstractNumId="36" w15:restartNumberingAfterBreak="0">
    <w:nsid w:val="5066316C"/>
    <w:multiLevelType w:val="multilevel"/>
    <w:tmpl w:val="694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AA6045"/>
    <w:multiLevelType w:val="multilevel"/>
    <w:tmpl w:val="F334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5418B9"/>
    <w:multiLevelType w:val="hybridMultilevel"/>
    <w:tmpl w:val="2CFA00CA"/>
    <w:lvl w:ilvl="0" w:tplc="2304C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85C02D9"/>
    <w:multiLevelType w:val="multilevel"/>
    <w:tmpl w:val="F9C0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8A3271"/>
    <w:multiLevelType w:val="hybridMultilevel"/>
    <w:tmpl w:val="427CF01E"/>
    <w:lvl w:ilvl="0" w:tplc="09DA5912">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2" w15:restartNumberingAfterBreak="0">
    <w:nsid w:val="63AA35FD"/>
    <w:multiLevelType w:val="multilevel"/>
    <w:tmpl w:val="4C5CBFC6"/>
    <w:lvl w:ilvl="0">
      <w:start w:val="1"/>
      <w:numFmt w:val="bullet"/>
      <w:pStyle w:val="1"/>
      <w:lvlText w:val="·"/>
      <w:lvlJc w:val="left"/>
      <w:pPr>
        <w:tabs>
          <w:tab w:val="num" w:pos="360"/>
        </w:tabs>
        <w:ind w:left="36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960959"/>
    <w:multiLevelType w:val="hybridMultilevel"/>
    <w:tmpl w:val="78EC71AE"/>
    <w:lvl w:ilvl="0" w:tplc="A502D1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679C0E27"/>
    <w:multiLevelType w:val="multilevel"/>
    <w:tmpl w:val="4196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7B14D6"/>
    <w:multiLevelType w:val="multilevel"/>
    <w:tmpl w:val="FF30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E13715"/>
    <w:multiLevelType w:val="multilevel"/>
    <w:tmpl w:val="D5B2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936F37"/>
    <w:multiLevelType w:val="multilevel"/>
    <w:tmpl w:val="9FDC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CA1AF3"/>
    <w:multiLevelType w:val="multilevel"/>
    <w:tmpl w:val="346A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A74C8C"/>
    <w:multiLevelType w:val="multilevel"/>
    <w:tmpl w:val="C122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1" w15:restartNumberingAfterBreak="0">
    <w:nsid w:val="781F7E7E"/>
    <w:multiLevelType w:val="hybridMultilevel"/>
    <w:tmpl w:val="D7E60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85E0A6C"/>
    <w:multiLevelType w:val="hybridMultilevel"/>
    <w:tmpl w:val="232841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7BC91ECF"/>
    <w:multiLevelType w:val="multilevel"/>
    <w:tmpl w:val="288A86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C67600F"/>
    <w:multiLevelType w:val="multilevel"/>
    <w:tmpl w:val="F2E27B3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765064"/>
    <w:multiLevelType w:val="multilevel"/>
    <w:tmpl w:val="A2DA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8306E5"/>
    <w:multiLevelType w:val="multilevel"/>
    <w:tmpl w:val="74E0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50"/>
  </w:num>
  <w:num w:numId="3">
    <w:abstractNumId w:val="39"/>
  </w:num>
  <w:num w:numId="4">
    <w:abstractNumId w:val="13"/>
  </w:num>
  <w:num w:numId="5">
    <w:abstractNumId w:val="17"/>
  </w:num>
  <w:num w:numId="6">
    <w:abstractNumId w:val="24"/>
  </w:num>
  <w:num w:numId="7">
    <w:abstractNumId w:val="49"/>
  </w:num>
  <w:num w:numId="8">
    <w:abstractNumId w:val="53"/>
  </w:num>
  <w:num w:numId="9">
    <w:abstractNumId w:val="44"/>
  </w:num>
  <w:num w:numId="10">
    <w:abstractNumId w:val="47"/>
  </w:num>
  <w:num w:numId="11">
    <w:abstractNumId w:val="36"/>
  </w:num>
  <w:num w:numId="12">
    <w:abstractNumId w:val="9"/>
  </w:num>
  <w:num w:numId="13">
    <w:abstractNumId w:val="21"/>
  </w:num>
  <w:num w:numId="14">
    <w:abstractNumId w:val="19"/>
  </w:num>
  <w:num w:numId="15">
    <w:abstractNumId w:val="3"/>
  </w:num>
  <w:num w:numId="16">
    <w:abstractNumId w:val="28"/>
  </w:num>
  <w:num w:numId="17">
    <w:abstractNumId w:val="37"/>
  </w:num>
  <w:num w:numId="18">
    <w:abstractNumId w:val="43"/>
  </w:num>
  <w:num w:numId="19">
    <w:abstractNumId w:val="55"/>
  </w:num>
  <w:num w:numId="20">
    <w:abstractNumId w:val="45"/>
  </w:num>
  <w:num w:numId="21">
    <w:abstractNumId w:val="27"/>
  </w:num>
  <w:num w:numId="22">
    <w:abstractNumId w:val="12"/>
  </w:num>
  <w:num w:numId="23">
    <w:abstractNumId w:val="46"/>
  </w:num>
  <w:num w:numId="24">
    <w:abstractNumId w:val="25"/>
  </w:num>
  <w:num w:numId="25">
    <w:abstractNumId w:val="22"/>
  </w:num>
  <w:num w:numId="26">
    <w:abstractNumId w:val="15"/>
  </w:num>
  <w:num w:numId="27">
    <w:abstractNumId w:val="38"/>
  </w:num>
  <w:num w:numId="28">
    <w:abstractNumId w:val="40"/>
  </w:num>
  <w:num w:numId="29">
    <w:abstractNumId w:val="4"/>
  </w:num>
  <w:num w:numId="30">
    <w:abstractNumId w:val="34"/>
  </w:num>
  <w:num w:numId="31">
    <w:abstractNumId w:val="56"/>
  </w:num>
  <w:num w:numId="32">
    <w:abstractNumId w:val="0"/>
  </w:num>
  <w:num w:numId="33">
    <w:abstractNumId w:val="20"/>
  </w:num>
  <w:num w:numId="34">
    <w:abstractNumId w:val="32"/>
  </w:num>
  <w:num w:numId="35">
    <w:abstractNumId w:val="7"/>
  </w:num>
  <w:num w:numId="36">
    <w:abstractNumId w:val="6"/>
  </w:num>
  <w:num w:numId="37">
    <w:abstractNumId w:val="30"/>
  </w:num>
  <w:num w:numId="38">
    <w:abstractNumId w:val="54"/>
  </w:num>
  <w:num w:numId="39">
    <w:abstractNumId w:val="11"/>
  </w:num>
  <w:num w:numId="40">
    <w:abstractNumId w:val="16"/>
  </w:num>
  <w:num w:numId="41">
    <w:abstractNumId w:val="2"/>
  </w:num>
  <w:num w:numId="42">
    <w:abstractNumId w:val="52"/>
  </w:num>
  <w:num w:numId="43">
    <w:abstractNumId w:val="41"/>
  </w:num>
  <w:num w:numId="44">
    <w:abstractNumId w:val="1"/>
  </w:num>
  <w:num w:numId="45">
    <w:abstractNumId w:val="5"/>
  </w:num>
  <w:num w:numId="46">
    <w:abstractNumId w:val="23"/>
  </w:num>
  <w:num w:numId="47">
    <w:abstractNumId w:val="10"/>
  </w:num>
  <w:num w:numId="48">
    <w:abstractNumId w:val="14"/>
  </w:num>
  <w:num w:numId="49">
    <w:abstractNumId w:val="31"/>
  </w:num>
  <w:num w:numId="50">
    <w:abstractNumId w:val="26"/>
  </w:num>
  <w:num w:numId="51">
    <w:abstractNumId w:val="35"/>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num>
  <w:num w:numId="54">
    <w:abstractNumId w:val="29"/>
  </w:num>
  <w:num w:numId="55">
    <w:abstractNumId w:val="18"/>
  </w:num>
  <w:num w:numId="56">
    <w:abstractNumId w:val="33"/>
  </w:num>
  <w:num w:numId="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1800"/>
    <w:rsid w:val="00007DB2"/>
    <w:rsid w:val="00014889"/>
    <w:rsid w:val="00015EE5"/>
    <w:rsid w:val="00021FEA"/>
    <w:rsid w:val="00022F92"/>
    <w:rsid w:val="000366BC"/>
    <w:rsid w:val="000414F6"/>
    <w:rsid w:val="00042AE2"/>
    <w:rsid w:val="00043A95"/>
    <w:rsid w:val="00051F38"/>
    <w:rsid w:val="00053310"/>
    <w:rsid w:val="000538BE"/>
    <w:rsid w:val="00055441"/>
    <w:rsid w:val="0005627B"/>
    <w:rsid w:val="00060E10"/>
    <w:rsid w:val="00062499"/>
    <w:rsid w:val="00064FEC"/>
    <w:rsid w:val="00065D0C"/>
    <w:rsid w:val="00074B7A"/>
    <w:rsid w:val="000753A5"/>
    <w:rsid w:val="00081FCD"/>
    <w:rsid w:val="00092543"/>
    <w:rsid w:val="000926E1"/>
    <w:rsid w:val="00094ED6"/>
    <w:rsid w:val="000960B6"/>
    <w:rsid w:val="00097611"/>
    <w:rsid w:val="000A0112"/>
    <w:rsid w:val="000A1A3D"/>
    <w:rsid w:val="000A277C"/>
    <w:rsid w:val="000B0DCD"/>
    <w:rsid w:val="000B15C4"/>
    <w:rsid w:val="000B3938"/>
    <w:rsid w:val="000B7A71"/>
    <w:rsid w:val="000C307B"/>
    <w:rsid w:val="000C4907"/>
    <w:rsid w:val="000D098F"/>
    <w:rsid w:val="000D3573"/>
    <w:rsid w:val="000D60C5"/>
    <w:rsid w:val="000D73B2"/>
    <w:rsid w:val="000D796B"/>
    <w:rsid w:val="000E14DB"/>
    <w:rsid w:val="000E3014"/>
    <w:rsid w:val="000F0261"/>
    <w:rsid w:val="000F1699"/>
    <w:rsid w:val="000F1D76"/>
    <w:rsid w:val="000F4B7D"/>
    <w:rsid w:val="000F73E8"/>
    <w:rsid w:val="000F7F7E"/>
    <w:rsid w:val="0010148E"/>
    <w:rsid w:val="00101900"/>
    <w:rsid w:val="00103F99"/>
    <w:rsid w:val="00105D5F"/>
    <w:rsid w:val="001114AB"/>
    <w:rsid w:val="0011501E"/>
    <w:rsid w:val="00115C61"/>
    <w:rsid w:val="00116AC1"/>
    <w:rsid w:val="001211D7"/>
    <w:rsid w:val="00122110"/>
    <w:rsid w:val="00126A58"/>
    <w:rsid w:val="001324B0"/>
    <w:rsid w:val="001343B1"/>
    <w:rsid w:val="00137008"/>
    <w:rsid w:val="00141879"/>
    <w:rsid w:val="00142BF3"/>
    <w:rsid w:val="00143B97"/>
    <w:rsid w:val="00144C58"/>
    <w:rsid w:val="00146FA3"/>
    <w:rsid w:val="00150FA6"/>
    <w:rsid w:val="001542C0"/>
    <w:rsid w:val="00155D15"/>
    <w:rsid w:val="00160F61"/>
    <w:rsid w:val="0016386D"/>
    <w:rsid w:val="00164A38"/>
    <w:rsid w:val="00167F18"/>
    <w:rsid w:val="0017134D"/>
    <w:rsid w:val="00171D80"/>
    <w:rsid w:val="00172112"/>
    <w:rsid w:val="00173E1F"/>
    <w:rsid w:val="00174593"/>
    <w:rsid w:val="0017531C"/>
    <w:rsid w:val="00175C52"/>
    <w:rsid w:val="00182428"/>
    <w:rsid w:val="00186557"/>
    <w:rsid w:val="00186C35"/>
    <w:rsid w:val="00187BA3"/>
    <w:rsid w:val="0019112E"/>
    <w:rsid w:val="00194BC6"/>
    <w:rsid w:val="0019731A"/>
    <w:rsid w:val="001A3745"/>
    <w:rsid w:val="001B3808"/>
    <w:rsid w:val="001B7F70"/>
    <w:rsid w:val="001C17C1"/>
    <w:rsid w:val="001D24E4"/>
    <w:rsid w:val="001D40F8"/>
    <w:rsid w:val="001D484A"/>
    <w:rsid w:val="001D4E30"/>
    <w:rsid w:val="001D6E4A"/>
    <w:rsid w:val="001D76BA"/>
    <w:rsid w:val="001F1175"/>
    <w:rsid w:val="001F4A3C"/>
    <w:rsid w:val="001F4C43"/>
    <w:rsid w:val="00202505"/>
    <w:rsid w:val="00203179"/>
    <w:rsid w:val="00205E09"/>
    <w:rsid w:val="00207691"/>
    <w:rsid w:val="0020771B"/>
    <w:rsid w:val="00211F6B"/>
    <w:rsid w:val="002145F1"/>
    <w:rsid w:val="002165EA"/>
    <w:rsid w:val="0021676E"/>
    <w:rsid w:val="00217187"/>
    <w:rsid w:val="00217732"/>
    <w:rsid w:val="00221384"/>
    <w:rsid w:val="00234975"/>
    <w:rsid w:val="00237147"/>
    <w:rsid w:val="0024408D"/>
    <w:rsid w:val="0025228A"/>
    <w:rsid w:val="002530FC"/>
    <w:rsid w:val="002535E1"/>
    <w:rsid w:val="00255B40"/>
    <w:rsid w:val="00261387"/>
    <w:rsid w:val="00264798"/>
    <w:rsid w:val="002651E9"/>
    <w:rsid w:val="00266331"/>
    <w:rsid w:val="00266FE4"/>
    <w:rsid w:val="002738AC"/>
    <w:rsid w:val="002756B8"/>
    <w:rsid w:val="002758A4"/>
    <w:rsid w:val="00275A41"/>
    <w:rsid w:val="002816F2"/>
    <w:rsid w:val="00286AF3"/>
    <w:rsid w:val="002929B1"/>
    <w:rsid w:val="002930D1"/>
    <w:rsid w:val="002A0C02"/>
    <w:rsid w:val="002A3745"/>
    <w:rsid w:val="002A6444"/>
    <w:rsid w:val="002B6A70"/>
    <w:rsid w:val="002B7C64"/>
    <w:rsid w:val="002C165F"/>
    <w:rsid w:val="002C5AA7"/>
    <w:rsid w:val="002D0BB9"/>
    <w:rsid w:val="002D2CF7"/>
    <w:rsid w:val="002D50C7"/>
    <w:rsid w:val="002D7C9C"/>
    <w:rsid w:val="002E4835"/>
    <w:rsid w:val="002E6C4C"/>
    <w:rsid w:val="002F10A7"/>
    <w:rsid w:val="002F38B6"/>
    <w:rsid w:val="002F7719"/>
    <w:rsid w:val="00301C01"/>
    <w:rsid w:val="00301F05"/>
    <w:rsid w:val="00306BA6"/>
    <w:rsid w:val="0031061D"/>
    <w:rsid w:val="00311757"/>
    <w:rsid w:val="00313F82"/>
    <w:rsid w:val="00315A5D"/>
    <w:rsid w:val="0032061E"/>
    <w:rsid w:val="003256AD"/>
    <w:rsid w:val="00331304"/>
    <w:rsid w:val="00334F6C"/>
    <w:rsid w:val="00337A20"/>
    <w:rsid w:val="00341F20"/>
    <w:rsid w:val="00342EE0"/>
    <w:rsid w:val="00345C84"/>
    <w:rsid w:val="00347EAE"/>
    <w:rsid w:val="003527A8"/>
    <w:rsid w:val="00354395"/>
    <w:rsid w:val="0036228C"/>
    <w:rsid w:val="0036402D"/>
    <w:rsid w:val="00364741"/>
    <w:rsid w:val="0036684D"/>
    <w:rsid w:val="0036727F"/>
    <w:rsid w:val="003677E2"/>
    <w:rsid w:val="00371EC5"/>
    <w:rsid w:val="003723CA"/>
    <w:rsid w:val="00375417"/>
    <w:rsid w:val="00376207"/>
    <w:rsid w:val="003773D0"/>
    <w:rsid w:val="0037752C"/>
    <w:rsid w:val="00381476"/>
    <w:rsid w:val="00384B6A"/>
    <w:rsid w:val="0038545E"/>
    <w:rsid w:val="00387631"/>
    <w:rsid w:val="0039118F"/>
    <w:rsid w:val="0039294E"/>
    <w:rsid w:val="00392F30"/>
    <w:rsid w:val="003932CB"/>
    <w:rsid w:val="003948B1"/>
    <w:rsid w:val="003A0862"/>
    <w:rsid w:val="003A282F"/>
    <w:rsid w:val="003A54F8"/>
    <w:rsid w:val="003B0404"/>
    <w:rsid w:val="003B392D"/>
    <w:rsid w:val="003B659A"/>
    <w:rsid w:val="003B762E"/>
    <w:rsid w:val="003B7ADD"/>
    <w:rsid w:val="003D00F6"/>
    <w:rsid w:val="003D2607"/>
    <w:rsid w:val="003D5CDE"/>
    <w:rsid w:val="003E29AE"/>
    <w:rsid w:val="003E5DD5"/>
    <w:rsid w:val="003F0349"/>
    <w:rsid w:val="003F2561"/>
    <w:rsid w:val="003F2BCA"/>
    <w:rsid w:val="0040027D"/>
    <w:rsid w:val="00401CD5"/>
    <w:rsid w:val="00407213"/>
    <w:rsid w:val="00407C3B"/>
    <w:rsid w:val="004102DD"/>
    <w:rsid w:val="00410741"/>
    <w:rsid w:val="00410CC5"/>
    <w:rsid w:val="004112F1"/>
    <w:rsid w:val="00415E00"/>
    <w:rsid w:val="00420F02"/>
    <w:rsid w:val="004230DA"/>
    <w:rsid w:val="0042332B"/>
    <w:rsid w:val="00423C99"/>
    <w:rsid w:val="00425947"/>
    <w:rsid w:val="0042677E"/>
    <w:rsid w:val="00427B0E"/>
    <w:rsid w:val="0043294F"/>
    <w:rsid w:val="004339FC"/>
    <w:rsid w:val="00433ABE"/>
    <w:rsid w:val="00447378"/>
    <w:rsid w:val="00452809"/>
    <w:rsid w:val="00452CC8"/>
    <w:rsid w:val="00453DB8"/>
    <w:rsid w:val="00453EE9"/>
    <w:rsid w:val="004558DA"/>
    <w:rsid w:val="00467FA0"/>
    <w:rsid w:val="00474EAE"/>
    <w:rsid w:val="004773CB"/>
    <w:rsid w:val="00480CCA"/>
    <w:rsid w:val="00483A1D"/>
    <w:rsid w:val="00490942"/>
    <w:rsid w:val="004914BD"/>
    <w:rsid w:val="0049584C"/>
    <w:rsid w:val="0049662F"/>
    <w:rsid w:val="004971DF"/>
    <w:rsid w:val="004978B3"/>
    <w:rsid w:val="004A0BA3"/>
    <w:rsid w:val="004A482A"/>
    <w:rsid w:val="004A5932"/>
    <w:rsid w:val="004A604E"/>
    <w:rsid w:val="004B0CC8"/>
    <w:rsid w:val="004B2CFE"/>
    <w:rsid w:val="004C4AEF"/>
    <w:rsid w:val="004C6DE4"/>
    <w:rsid w:val="004D3472"/>
    <w:rsid w:val="004D3765"/>
    <w:rsid w:val="004D6B87"/>
    <w:rsid w:val="004E1288"/>
    <w:rsid w:val="004E5E50"/>
    <w:rsid w:val="004F413D"/>
    <w:rsid w:val="004F4F24"/>
    <w:rsid w:val="004F73F9"/>
    <w:rsid w:val="005008F9"/>
    <w:rsid w:val="00500BB1"/>
    <w:rsid w:val="0050144D"/>
    <w:rsid w:val="005019D7"/>
    <w:rsid w:val="00502A6F"/>
    <w:rsid w:val="00502D50"/>
    <w:rsid w:val="00504A70"/>
    <w:rsid w:val="005058EC"/>
    <w:rsid w:val="005136FD"/>
    <w:rsid w:val="00514EBE"/>
    <w:rsid w:val="005157E7"/>
    <w:rsid w:val="005158DA"/>
    <w:rsid w:val="0052193F"/>
    <w:rsid w:val="005219AF"/>
    <w:rsid w:val="0052679E"/>
    <w:rsid w:val="0053180C"/>
    <w:rsid w:val="0053208A"/>
    <w:rsid w:val="0053591E"/>
    <w:rsid w:val="00541160"/>
    <w:rsid w:val="0054252C"/>
    <w:rsid w:val="005527AD"/>
    <w:rsid w:val="00555107"/>
    <w:rsid w:val="00556FD8"/>
    <w:rsid w:val="005627B3"/>
    <w:rsid w:val="00562845"/>
    <w:rsid w:val="00566DB4"/>
    <w:rsid w:val="00572506"/>
    <w:rsid w:val="005734B4"/>
    <w:rsid w:val="0057709E"/>
    <w:rsid w:val="0058014C"/>
    <w:rsid w:val="00583004"/>
    <w:rsid w:val="00583773"/>
    <w:rsid w:val="005A5EAF"/>
    <w:rsid w:val="005A7A7B"/>
    <w:rsid w:val="005B3605"/>
    <w:rsid w:val="005B3990"/>
    <w:rsid w:val="005B4D4D"/>
    <w:rsid w:val="005B6D15"/>
    <w:rsid w:val="005B7062"/>
    <w:rsid w:val="005C2360"/>
    <w:rsid w:val="005C6F8A"/>
    <w:rsid w:val="005C7877"/>
    <w:rsid w:val="005D17C8"/>
    <w:rsid w:val="005D216C"/>
    <w:rsid w:val="005E458A"/>
    <w:rsid w:val="005F0EA6"/>
    <w:rsid w:val="005F5707"/>
    <w:rsid w:val="005F668D"/>
    <w:rsid w:val="005F7D29"/>
    <w:rsid w:val="006008D4"/>
    <w:rsid w:val="0060431B"/>
    <w:rsid w:val="00604B3E"/>
    <w:rsid w:val="006101AD"/>
    <w:rsid w:val="00614180"/>
    <w:rsid w:val="00624531"/>
    <w:rsid w:val="00625BEB"/>
    <w:rsid w:val="0062614E"/>
    <w:rsid w:val="006308E1"/>
    <w:rsid w:val="00630AB1"/>
    <w:rsid w:val="006364D5"/>
    <w:rsid w:val="006420DA"/>
    <w:rsid w:val="006425FF"/>
    <w:rsid w:val="006446FF"/>
    <w:rsid w:val="006534F0"/>
    <w:rsid w:val="00653525"/>
    <w:rsid w:val="00657334"/>
    <w:rsid w:val="00660D84"/>
    <w:rsid w:val="0066485C"/>
    <w:rsid w:val="0066740A"/>
    <w:rsid w:val="0067152C"/>
    <w:rsid w:val="00681DB7"/>
    <w:rsid w:val="00683154"/>
    <w:rsid w:val="006860F9"/>
    <w:rsid w:val="0068676A"/>
    <w:rsid w:val="00690549"/>
    <w:rsid w:val="00692328"/>
    <w:rsid w:val="006925F7"/>
    <w:rsid w:val="006A6A4C"/>
    <w:rsid w:val="006B0265"/>
    <w:rsid w:val="006B2B80"/>
    <w:rsid w:val="006C008B"/>
    <w:rsid w:val="006C0671"/>
    <w:rsid w:val="006C7346"/>
    <w:rsid w:val="006D0520"/>
    <w:rsid w:val="006D0EED"/>
    <w:rsid w:val="006D6DD8"/>
    <w:rsid w:val="006D78D3"/>
    <w:rsid w:val="006D7D82"/>
    <w:rsid w:val="006E0185"/>
    <w:rsid w:val="006E463A"/>
    <w:rsid w:val="006E67C5"/>
    <w:rsid w:val="006E7028"/>
    <w:rsid w:val="006F2678"/>
    <w:rsid w:val="006F4CC8"/>
    <w:rsid w:val="00700523"/>
    <w:rsid w:val="00701524"/>
    <w:rsid w:val="00705229"/>
    <w:rsid w:val="0071729B"/>
    <w:rsid w:val="0072615F"/>
    <w:rsid w:val="00734E29"/>
    <w:rsid w:val="007352EC"/>
    <w:rsid w:val="0073723C"/>
    <w:rsid w:val="00737BFE"/>
    <w:rsid w:val="007419FC"/>
    <w:rsid w:val="007426E1"/>
    <w:rsid w:val="00742DE6"/>
    <w:rsid w:val="00747153"/>
    <w:rsid w:val="0075206A"/>
    <w:rsid w:val="00753A19"/>
    <w:rsid w:val="007672FF"/>
    <w:rsid w:val="0077169A"/>
    <w:rsid w:val="00774F59"/>
    <w:rsid w:val="007775AB"/>
    <w:rsid w:val="00777752"/>
    <w:rsid w:val="00785CD3"/>
    <w:rsid w:val="0079163F"/>
    <w:rsid w:val="00795281"/>
    <w:rsid w:val="00797DAD"/>
    <w:rsid w:val="007A458C"/>
    <w:rsid w:val="007A52E6"/>
    <w:rsid w:val="007B1223"/>
    <w:rsid w:val="007B433E"/>
    <w:rsid w:val="007B6060"/>
    <w:rsid w:val="007B6C0A"/>
    <w:rsid w:val="007C3937"/>
    <w:rsid w:val="007D42AC"/>
    <w:rsid w:val="007D685E"/>
    <w:rsid w:val="007E1018"/>
    <w:rsid w:val="007E429F"/>
    <w:rsid w:val="007E5B76"/>
    <w:rsid w:val="007E679C"/>
    <w:rsid w:val="007F310E"/>
    <w:rsid w:val="007F36A7"/>
    <w:rsid w:val="007F3763"/>
    <w:rsid w:val="007F4181"/>
    <w:rsid w:val="007F506F"/>
    <w:rsid w:val="007F5239"/>
    <w:rsid w:val="007F529C"/>
    <w:rsid w:val="007F5B7F"/>
    <w:rsid w:val="007F6C24"/>
    <w:rsid w:val="007F7C04"/>
    <w:rsid w:val="007F7E5E"/>
    <w:rsid w:val="00805868"/>
    <w:rsid w:val="008141CB"/>
    <w:rsid w:val="0082327E"/>
    <w:rsid w:val="00825D63"/>
    <w:rsid w:val="0083040F"/>
    <w:rsid w:val="00834AEB"/>
    <w:rsid w:val="008358AE"/>
    <w:rsid w:val="008371F9"/>
    <w:rsid w:val="008375E6"/>
    <w:rsid w:val="00847A9A"/>
    <w:rsid w:val="00861F37"/>
    <w:rsid w:val="0086775C"/>
    <w:rsid w:val="008679B5"/>
    <w:rsid w:val="0087690E"/>
    <w:rsid w:val="00877EF5"/>
    <w:rsid w:val="008803AE"/>
    <w:rsid w:val="008805BA"/>
    <w:rsid w:val="00880AB4"/>
    <w:rsid w:val="0088766D"/>
    <w:rsid w:val="008879AF"/>
    <w:rsid w:val="00890B9B"/>
    <w:rsid w:val="00890C4B"/>
    <w:rsid w:val="00890D14"/>
    <w:rsid w:val="00893FAB"/>
    <w:rsid w:val="00894555"/>
    <w:rsid w:val="00895771"/>
    <w:rsid w:val="00897BA8"/>
    <w:rsid w:val="008A24EB"/>
    <w:rsid w:val="008A3DAD"/>
    <w:rsid w:val="008A5EA8"/>
    <w:rsid w:val="008A6D1F"/>
    <w:rsid w:val="008A6FDF"/>
    <w:rsid w:val="008B0CE2"/>
    <w:rsid w:val="008B1745"/>
    <w:rsid w:val="008B2286"/>
    <w:rsid w:val="008B3C12"/>
    <w:rsid w:val="008C0930"/>
    <w:rsid w:val="008D6C00"/>
    <w:rsid w:val="008D6F8C"/>
    <w:rsid w:val="008D7188"/>
    <w:rsid w:val="008E1B7D"/>
    <w:rsid w:val="008E7A23"/>
    <w:rsid w:val="008F387E"/>
    <w:rsid w:val="008F43A8"/>
    <w:rsid w:val="008F697E"/>
    <w:rsid w:val="008F7A33"/>
    <w:rsid w:val="00904DA1"/>
    <w:rsid w:val="00905047"/>
    <w:rsid w:val="00905A18"/>
    <w:rsid w:val="00906BDC"/>
    <w:rsid w:val="00910303"/>
    <w:rsid w:val="009103C4"/>
    <w:rsid w:val="00915438"/>
    <w:rsid w:val="0091604A"/>
    <w:rsid w:val="009160DE"/>
    <w:rsid w:val="00916D37"/>
    <w:rsid w:val="00921891"/>
    <w:rsid w:val="00924161"/>
    <w:rsid w:val="009244E4"/>
    <w:rsid w:val="009318D0"/>
    <w:rsid w:val="0093296F"/>
    <w:rsid w:val="00934C9A"/>
    <w:rsid w:val="009423C8"/>
    <w:rsid w:val="00942DB9"/>
    <w:rsid w:val="009470C1"/>
    <w:rsid w:val="0095473F"/>
    <w:rsid w:val="00957B53"/>
    <w:rsid w:val="00962163"/>
    <w:rsid w:val="00963F97"/>
    <w:rsid w:val="0097294B"/>
    <w:rsid w:val="009759CE"/>
    <w:rsid w:val="00982C83"/>
    <w:rsid w:val="009853A9"/>
    <w:rsid w:val="00985FE3"/>
    <w:rsid w:val="00986ACF"/>
    <w:rsid w:val="00991BF8"/>
    <w:rsid w:val="009B191B"/>
    <w:rsid w:val="009B4039"/>
    <w:rsid w:val="009B4208"/>
    <w:rsid w:val="009B7316"/>
    <w:rsid w:val="009C0364"/>
    <w:rsid w:val="009C25F0"/>
    <w:rsid w:val="009C62EE"/>
    <w:rsid w:val="009C6B5A"/>
    <w:rsid w:val="009D3419"/>
    <w:rsid w:val="009D68E7"/>
    <w:rsid w:val="009E0894"/>
    <w:rsid w:val="009E1126"/>
    <w:rsid w:val="009E2C2B"/>
    <w:rsid w:val="009E685D"/>
    <w:rsid w:val="009E76BA"/>
    <w:rsid w:val="009F2091"/>
    <w:rsid w:val="009F210E"/>
    <w:rsid w:val="009F7CB4"/>
    <w:rsid w:val="00A054AC"/>
    <w:rsid w:val="00A112DF"/>
    <w:rsid w:val="00A12DF9"/>
    <w:rsid w:val="00A130C4"/>
    <w:rsid w:val="00A216DC"/>
    <w:rsid w:val="00A22642"/>
    <w:rsid w:val="00A23E65"/>
    <w:rsid w:val="00A311CB"/>
    <w:rsid w:val="00A34BD6"/>
    <w:rsid w:val="00A34D84"/>
    <w:rsid w:val="00A40003"/>
    <w:rsid w:val="00A419A6"/>
    <w:rsid w:val="00A43CE5"/>
    <w:rsid w:val="00A509D8"/>
    <w:rsid w:val="00A529E2"/>
    <w:rsid w:val="00A53CD4"/>
    <w:rsid w:val="00A5415E"/>
    <w:rsid w:val="00A54521"/>
    <w:rsid w:val="00A546EB"/>
    <w:rsid w:val="00A557A3"/>
    <w:rsid w:val="00A55F71"/>
    <w:rsid w:val="00A571EA"/>
    <w:rsid w:val="00A57479"/>
    <w:rsid w:val="00A61B46"/>
    <w:rsid w:val="00A627B4"/>
    <w:rsid w:val="00A64341"/>
    <w:rsid w:val="00A65F51"/>
    <w:rsid w:val="00A6641C"/>
    <w:rsid w:val="00A70F44"/>
    <w:rsid w:val="00A7188E"/>
    <w:rsid w:val="00A726C2"/>
    <w:rsid w:val="00A727E0"/>
    <w:rsid w:val="00A74340"/>
    <w:rsid w:val="00A75957"/>
    <w:rsid w:val="00A7751F"/>
    <w:rsid w:val="00A77C5B"/>
    <w:rsid w:val="00A84901"/>
    <w:rsid w:val="00A8531D"/>
    <w:rsid w:val="00A859D3"/>
    <w:rsid w:val="00A85A89"/>
    <w:rsid w:val="00A86C94"/>
    <w:rsid w:val="00A86E5F"/>
    <w:rsid w:val="00A91645"/>
    <w:rsid w:val="00AA0534"/>
    <w:rsid w:val="00AA3BE3"/>
    <w:rsid w:val="00AA49EC"/>
    <w:rsid w:val="00AB2C68"/>
    <w:rsid w:val="00AB384B"/>
    <w:rsid w:val="00AB43B8"/>
    <w:rsid w:val="00AB7A06"/>
    <w:rsid w:val="00AC0B23"/>
    <w:rsid w:val="00AC18EA"/>
    <w:rsid w:val="00AC4625"/>
    <w:rsid w:val="00AD6C4D"/>
    <w:rsid w:val="00AE0EF1"/>
    <w:rsid w:val="00AE3266"/>
    <w:rsid w:val="00AE3406"/>
    <w:rsid w:val="00AF3168"/>
    <w:rsid w:val="00AF68B1"/>
    <w:rsid w:val="00B02C27"/>
    <w:rsid w:val="00B05591"/>
    <w:rsid w:val="00B0565A"/>
    <w:rsid w:val="00B06390"/>
    <w:rsid w:val="00B104EF"/>
    <w:rsid w:val="00B130CB"/>
    <w:rsid w:val="00B15C6A"/>
    <w:rsid w:val="00B204CB"/>
    <w:rsid w:val="00B20EE8"/>
    <w:rsid w:val="00B2215C"/>
    <w:rsid w:val="00B23363"/>
    <w:rsid w:val="00B30A33"/>
    <w:rsid w:val="00B30E1D"/>
    <w:rsid w:val="00B3680E"/>
    <w:rsid w:val="00B450F2"/>
    <w:rsid w:val="00B46390"/>
    <w:rsid w:val="00B63E4F"/>
    <w:rsid w:val="00B6445C"/>
    <w:rsid w:val="00B64CE6"/>
    <w:rsid w:val="00B65A2B"/>
    <w:rsid w:val="00B7080C"/>
    <w:rsid w:val="00B7479D"/>
    <w:rsid w:val="00B8195D"/>
    <w:rsid w:val="00B8218A"/>
    <w:rsid w:val="00B83389"/>
    <w:rsid w:val="00B8401B"/>
    <w:rsid w:val="00B84337"/>
    <w:rsid w:val="00B8507B"/>
    <w:rsid w:val="00B85140"/>
    <w:rsid w:val="00B937A6"/>
    <w:rsid w:val="00B950F6"/>
    <w:rsid w:val="00B95DDA"/>
    <w:rsid w:val="00BA31BA"/>
    <w:rsid w:val="00BA46B4"/>
    <w:rsid w:val="00BB24EF"/>
    <w:rsid w:val="00BC0F0B"/>
    <w:rsid w:val="00BC1485"/>
    <w:rsid w:val="00BC371B"/>
    <w:rsid w:val="00BC6CA7"/>
    <w:rsid w:val="00BD28DE"/>
    <w:rsid w:val="00BE396E"/>
    <w:rsid w:val="00BF1B70"/>
    <w:rsid w:val="00BF1B99"/>
    <w:rsid w:val="00BF3A59"/>
    <w:rsid w:val="00BF4990"/>
    <w:rsid w:val="00BF530F"/>
    <w:rsid w:val="00BF627D"/>
    <w:rsid w:val="00C00E35"/>
    <w:rsid w:val="00C048EB"/>
    <w:rsid w:val="00C10D41"/>
    <w:rsid w:val="00C15CF9"/>
    <w:rsid w:val="00C20DD2"/>
    <w:rsid w:val="00C20FE9"/>
    <w:rsid w:val="00C25750"/>
    <w:rsid w:val="00C30089"/>
    <w:rsid w:val="00C302C3"/>
    <w:rsid w:val="00C32828"/>
    <w:rsid w:val="00C32F88"/>
    <w:rsid w:val="00C34847"/>
    <w:rsid w:val="00C35CC3"/>
    <w:rsid w:val="00C4630C"/>
    <w:rsid w:val="00C47CBB"/>
    <w:rsid w:val="00C50E9F"/>
    <w:rsid w:val="00C5240D"/>
    <w:rsid w:val="00C53046"/>
    <w:rsid w:val="00C5559E"/>
    <w:rsid w:val="00C72E0F"/>
    <w:rsid w:val="00C76650"/>
    <w:rsid w:val="00C77363"/>
    <w:rsid w:val="00C77CC6"/>
    <w:rsid w:val="00C82C2D"/>
    <w:rsid w:val="00C849A4"/>
    <w:rsid w:val="00C84AA0"/>
    <w:rsid w:val="00C85A73"/>
    <w:rsid w:val="00C90911"/>
    <w:rsid w:val="00C90FBB"/>
    <w:rsid w:val="00C9258E"/>
    <w:rsid w:val="00CA2BEF"/>
    <w:rsid w:val="00CB1DF3"/>
    <w:rsid w:val="00CB29F4"/>
    <w:rsid w:val="00CB4F80"/>
    <w:rsid w:val="00CB5616"/>
    <w:rsid w:val="00CB562F"/>
    <w:rsid w:val="00CB6FFD"/>
    <w:rsid w:val="00CB71DA"/>
    <w:rsid w:val="00CB72E4"/>
    <w:rsid w:val="00CC12E9"/>
    <w:rsid w:val="00CC5156"/>
    <w:rsid w:val="00CC5BAC"/>
    <w:rsid w:val="00CC6F86"/>
    <w:rsid w:val="00CC7701"/>
    <w:rsid w:val="00CD2797"/>
    <w:rsid w:val="00CD3932"/>
    <w:rsid w:val="00CD53BC"/>
    <w:rsid w:val="00CD6C3E"/>
    <w:rsid w:val="00CD75E6"/>
    <w:rsid w:val="00CD77AA"/>
    <w:rsid w:val="00CE089D"/>
    <w:rsid w:val="00CE2B92"/>
    <w:rsid w:val="00CE3DF7"/>
    <w:rsid w:val="00CE7BCC"/>
    <w:rsid w:val="00CF387E"/>
    <w:rsid w:val="00CF3C04"/>
    <w:rsid w:val="00CF710C"/>
    <w:rsid w:val="00D02831"/>
    <w:rsid w:val="00D07C36"/>
    <w:rsid w:val="00D10CC1"/>
    <w:rsid w:val="00D150ED"/>
    <w:rsid w:val="00D17928"/>
    <w:rsid w:val="00D2153B"/>
    <w:rsid w:val="00D2226B"/>
    <w:rsid w:val="00D260BD"/>
    <w:rsid w:val="00D27740"/>
    <w:rsid w:val="00D27CE9"/>
    <w:rsid w:val="00D3121D"/>
    <w:rsid w:val="00D405FD"/>
    <w:rsid w:val="00D422AA"/>
    <w:rsid w:val="00D44140"/>
    <w:rsid w:val="00D447B5"/>
    <w:rsid w:val="00D47AD2"/>
    <w:rsid w:val="00D47FDE"/>
    <w:rsid w:val="00D513C6"/>
    <w:rsid w:val="00D51D3C"/>
    <w:rsid w:val="00D527A9"/>
    <w:rsid w:val="00D570F8"/>
    <w:rsid w:val="00D629F2"/>
    <w:rsid w:val="00D706A9"/>
    <w:rsid w:val="00D71051"/>
    <w:rsid w:val="00D74813"/>
    <w:rsid w:val="00D851D7"/>
    <w:rsid w:val="00D90170"/>
    <w:rsid w:val="00D96EAB"/>
    <w:rsid w:val="00DA4EB0"/>
    <w:rsid w:val="00DA504B"/>
    <w:rsid w:val="00DA6A92"/>
    <w:rsid w:val="00DB168B"/>
    <w:rsid w:val="00DB5606"/>
    <w:rsid w:val="00DC1F88"/>
    <w:rsid w:val="00DC79B6"/>
    <w:rsid w:val="00DD28D5"/>
    <w:rsid w:val="00DD29E7"/>
    <w:rsid w:val="00DE6ED6"/>
    <w:rsid w:val="00DF6A28"/>
    <w:rsid w:val="00E0145A"/>
    <w:rsid w:val="00E06AD2"/>
    <w:rsid w:val="00E10DBD"/>
    <w:rsid w:val="00E12C1C"/>
    <w:rsid w:val="00E13429"/>
    <w:rsid w:val="00E15F89"/>
    <w:rsid w:val="00E171AC"/>
    <w:rsid w:val="00E224DC"/>
    <w:rsid w:val="00E25728"/>
    <w:rsid w:val="00E30E69"/>
    <w:rsid w:val="00E311B4"/>
    <w:rsid w:val="00E405A6"/>
    <w:rsid w:val="00E4137C"/>
    <w:rsid w:val="00E43C16"/>
    <w:rsid w:val="00E46091"/>
    <w:rsid w:val="00E472BD"/>
    <w:rsid w:val="00E52805"/>
    <w:rsid w:val="00E55C77"/>
    <w:rsid w:val="00E57B21"/>
    <w:rsid w:val="00E606F0"/>
    <w:rsid w:val="00E64F94"/>
    <w:rsid w:val="00E65564"/>
    <w:rsid w:val="00E75D40"/>
    <w:rsid w:val="00E84EB4"/>
    <w:rsid w:val="00EA0D46"/>
    <w:rsid w:val="00EA197E"/>
    <w:rsid w:val="00EA542E"/>
    <w:rsid w:val="00EA610E"/>
    <w:rsid w:val="00EA70AE"/>
    <w:rsid w:val="00EB2B59"/>
    <w:rsid w:val="00EB71C3"/>
    <w:rsid w:val="00EB78B2"/>
    <w:rsid w:val="00ED08FF"/>
    <w:rsid w:val="00ED4E3F"/>
    <w:rsid w:val="00ED5436"/>
    <w:rsid w:val="00ED5598"/>
    <w:rsid w:val="00EE1012"/>
    <w:rsid w:val="00EE59C2"/>
    <w:rsid w:val="00EE68C2"/>
    <w:rsid w:val="00F01ADE"/>
    <w:rsid w:val="00F064DC"/>
    <w:rsid w:val="00F06F9D"/>
    <w:rsid w:val="00F122B0"/>
    <w:rsid w:val="00F201E7"/>
    <w:rsid w:val="00F24A66"/>
    <w:rsid w:val="00F33C21"/>
    <w:rsid w:val="00F40CD1"/>
    <w:rsid w:val="00F46701"/>
    <w:rsid w:val="00F5453E"/>
    <w:rsid w:val="00F560DD"/>
    <w:rsid w:val="00F60910"/>
    <w:rsid w:val="00F66EC3"/>
    <w:rsid w:val="00F70149"/>
    <w:rsid w:val="00F719A4"/>
    <w:rsid w:val="00F724A7"/>
    <w:rsid w:val="00F756F0"/>
    <w:rsid w:val="00F76439"/>
    <w:rsid w:val="00F76598"/>
    <w:rsid w:val="00F80DBE"/>
    <w:rsid w:val="00F81529"/>
    <w:rsid w:val="00F81854"/>
    <w:rsid w:val="00F81F28"/>
    <w:rsid w:val="00F8226D"/>
    <w:rsid w:val="00F84513"/>
    <w:rsid w:val="00F9020A"/>
    <w:rsid w:val="00F91582"/>
    <w:rsid w:val="00F93ED2"/>
    <w:rsid w:val="00F94246"/>
    <w:rsid w:val="00F95275"/>
    <w:rsid w:val="00F95887"/>
    <w:rsid w:val="00F96C29"/>
    <w:rsid w:val="00FA0B40"/>
    <w:rsid w:val="00FA54EB"/>
    <w:rsid w:val="00FA7992"/>
    <w:rsid w:val="00FB286B"/>
    <w:rsid w:val="00FB7FE4"/>
    <w:rsid w:val="00FC1692"/>
    <w:rsid w:val="00FC1A9A"/>
    <w:rsid w:val="00FC31C8"/>
    <w:rsid w:val="00FC49E2"/>
    <w:rsid w:val="00FC7C18"/>
    <w:rsid w:val="00FD0A28"/>
    <w:rsid w:val="00FD1C29"/>
    <w:rsid w:val="00FD3C60"/>
    <w:rsid w:val="00FD4952"/>
    <w:rsid w:val="00FD5011"/>
    <w:rsid w:val="00FE3A9E"/>
    <w:rsid w:val="00FE3DBC"/>
    <w:rsid w:val="00FE71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2B53FA-407C-451E-B950-5C25162C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Термины"/>
    <w:qFormat/>
    <w:rsid w:val="00EA610E"/>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0">
    <w:name w:val="No Spacing"/>
    <w:basedOn w:val="afd"/>
    <w:uiPriority w:val="1"/>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link w:val="16"/>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7">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5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basedOn w:val="a2"/>
    <w:uiPriority w:val="22"/>
    <w:qFormat/>
    <w:rsid w:val="009E685D"/>
    <w:rPr>
      <w:b/>
      <w:bCs/>
    </w:rPr>
  </w:style>
  <w:style w:type="character" w:styleId="affb">
    <w:name w:val="Emphasis"/>
    <w:basedOn w:val="a2"/>
    <w:uiPriority w:val="20"/>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36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lang w:eastAsia="en-US"/>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8">
    <w:name w:val="Текст в 1 разделе"/>
    <w:basedOn w:val="a0"/>
    <w:link w:val="19"/>
    <w:qFormat/>
    <w:rsid w:val="0021676E"/>
    <w:rPr>
      <w:rFonts w:eastAsia="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basedOn w:val="CustomContentNormal0"/>
    <w:link w:val="afff1"/>
    <w:rsid w:val="00C4630C"/>
    <w:rPr>
      <w:rFonts w:ascii="Times New Roman" w:eastAsia="Sans" w:hAnsi="Times New Roman"/>
      <w:b/>
      <w:sz w:val="28"/>
      <w:szCs w:val="22"/>
      <w:lang w:val="ru-RU" w:eastAsia="en-US" w:bidi="ar-SA"/>
    </w:rPr>
  </w:style>
  <w:style w:type="paragraph" w:customStyle="1" w:styleId="afff3">
    <w:name w:val="Таблицы"/>
    <w:basedOn w:val="afb"/>
    <w:link w:val="afff4"/>
    <w:qFormat/>
    <w:rsid w:val="0021676E"/>
    <w:pPr>
      <w:spacing w:line="240" w:lineRule="auto"/>
      <w:ind w:firstLine="0"/>
    </w:pPr>
  </w:style>
  <w:style w:type="character" w:customStyle="1" w:styleId="19">
    <w:name w:val="Текст в 1 разделе Знак"/>
    <w:basedOn w:val="a2"/>
    <w:link w:val="18"/>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pPr>
      <w:tabs>
        <w:tab w:val="num" w:pos="720"/>
      </w:tabs>
      <w:ind w:left="720" w:hanging="360"/>
    </w:pPr>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8"/>
    <w:link w:val="afffb"/>
    <w:qFormat/>
    <w:rsid w:val="00094ED6"/>
    <w:rPr>
      <w:i/>
      <w:color w:val="FF0000"/>
      <w:sz w:val="18"/>
    </w:rPr>
  </w:style>
  <w:style w:type="character" w:customStyle="1" w:styleId="afffb">
    <w:name w:val="Памятки Знак"/>
    <w:basedOn w:val="19"/>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b"/>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b">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Number">
    <w:name w:val="Number"/>
    <w:basedOn w:val="a0"/>
    <w:uiPriority w:val="99"/>
    <w:rsid w:val="00897BA8"/>
    <w:pPr>
      <w:autoSpaceDE w:val="0"/>
      <w:autoSpaceDN w:val="0"/>
      <w:adjustRightInd w:val="0"/>
      <w:spacing w:before="40"/>
      <w:ind w:left="715" w:hanging="6"/>
      <w:jc w:val="left"/>
    </w:pPr>
    <w:rPr>
      <w:rFonts w:eastAsiaTheme="minorEastAsia"/>
      <w:color w:val="000000"/>
      <w:szCs w:val="24"/>
      <w:lang w:eastAsia="ru-RU"/>
    </w:rPr>
  </w:style>
  <w:style w:type="character" w:customStyle="1" w:styleId="WW8Num3z4">
    <w:name w:val="WW8Num3z4"/>
    <w:rsid w:val="00897BA8"/>
    <w:rPr>
      <w:rFonts w:ascii="Courier New" w:hAnsi="Courier New" w:cs="Courier New"/>
    </w:rPr>
  </w:style>
  <w:style w:type="character" w:customStyle="1" w:styleId="16">
    <w:name w:val="Текст примечания Знак1"/>
    <w:basedOn w:val="a2"/>
    <w:link w:val="aff3"/>
    <w:uiPriority w:val="99"/>
    <w:rsid w:val="0060431B"/>
    <w:rPr>
      <w:rFonts w:ascii="Times New Roman" w:hAnsi="Times New Roman"/>
      <w:lang w:eastAsia="en-US"/>
    </w:rPr>
  </w:style>
  <w:style w:type="character" w:customStyle="1" w:styleId="1c">
    <w:name w:val="Неразрешенное упоминание1"/>
    <w:basedOn w:val="a2"/>
    <w:uiPriority w:val="99"/>
    <w:semiHidden/>
    <w:unhideWhenUsed/>
    <w:rsid w:val="00453EE9"/>
    <w:rPr>
      <w:color w:val="605E5C"/>
      <w:shd w:val="clear" w:color="auto" w:fill="E1DFDD"/>
    </w:rPr>
  </w:style>
  <w:style w:type="character" w:styleId="affff">
    <w:name w:val="FollowedHyperlink"/>
    <w:basedOn w:val="a2"/>
    <w:uiPriority w:val="99"/>
    <w:semiHidden/>
    <w:unhideWhenUsed/>
    <w:rsid w:val="00182428"/>
    <w:rPr>
      <w:color w:val="800080" w:themeColor="followedHyperlink"/>
      <w:u w:val="single"/>
    </w:rPr>
  </w:style>
  <w:style w:type="character" w:customStyle="1" w:styleId="tlid-translation">
    <w:name w:val="tlid-translation"/>
    <w:basedOn w:val="a2"/>
    <w:rsid w:val="0053208A"/>
  </w:style>
  <w:style w:type="character" w:customStyle="1" w:styleId="cit">
    <w:name w:val="cit"/>
    <w:basedOn w:val="a2"/>
    <w:rsid w:val="002A3745"/>
  </w:style>
  <w:style w:type="character" w:customStyle="1" w:styleId="A00">
    <w:name w:val="A0"/>
    <w:uiPriority w:val="99"/>
    <w:rsid w:val="002738AC"/>
    <w:rPr>
      <w:rFonts w:cs="Shaker 2 Lancet"/>
      <w:b/>
      <w:bCs/>
      <w:color w:val="000000"/>
      <w:sz w:val="14"/>
      <w:szCs w:val="14"/>
    </w:rPr>
  </w:style>
  <w:style w:type="paragraph" w:customStyle="1" w:styleId="affff0">
    <w:name w:val="Базовый"/>
    <w:rsid w:val="00785CD3"/>
    <w:pPr>
      <w:suppressAutoHyphens/>
      <w:spacing w:after="200" w:line="276" w:lineRule="auto"/>
    </w:pPr>
    <w:rPr>
      <w:rFonts w:eastAsia="SimSun" w:cs="Calibri"/>
      <w:sz w:val="22"/>
      <w:szCs w:val="22"/>
      <w:lang w:eastAsia="en-US"/>
    </w:rPr>
  </w:style>
  <w:style w:type="character" w:customStyle="1" w:styleId="24">
    <w:name w:val="Неразрешенное упоминание2"/>
    <w:basedOn w:val="a2"/>
    <w:uiPriority w:val="99"/>
    <w:semiHidden/>
    <w:unhideWhenUsed/>
    <w:rsid w:val="009759CE"/>
    <w:rPr>
      <w:color w:val="605E5C"/>
      <w:shd w:val="clear" w:color="auto" w:fill="E1DFDD"/>
    </w:rPr>
  </w:style>
  <w:style w:type="character" w:customStyle="1" w:styleId="30">
    <w:name w:val="Неразрешенное упоминание3"/>
    <w:basedOn w:val="a2"/>
    <w:uiPriority w:val="99"/>
    <w:semiHidden/>
    <w:unhideWhenUsed/>
    <w:rsid w:val="008E7A23"/>
    <w:rPr>
      <w:color w:val="605E5C"/>
      <w:shd w:val="clear" w:color="auto" w:fill="E1DFDD"/>
    </w:rPr>
  </w:style>
  <w:style w:type="character" w:customStyle="1" w:styleId="40">
    <w:name w:val="Неразрешенное упоминание4"/>
    <w:basedOn w:val="a2"/>
    <w:uiPriority w:val="99"/>
    <w:semiHidden/>
    <w:unhideWhenUsed/>
    <w:rsid w:val="00043A95"/>
    <w:rPr>
      <w:color w:val="605E5C"/>
      <w:shd w:val="clear" w:color="auto" w:fill="E1DFDD"/>
    </w:rPr>
  </w:style>
  <w:style w:type="character" w:customStyle="1" w:styleId="50">
    <w:name w:val="Неразрешенное упоминание5"/>
    <w:basedOn w:val="a2"/>
    <w:uiPriority w:val="99"/>
    <w:semiHidden/>
    <w:unhideWhenUsed/>
    <w:rsid w:val="00EA610E"/>
    <w:rPr>
      <w:color w:val="605E5C"/>
      <w:shd w:val="clear" w:color="auto" w:fill="E1DFDD"/>
    </w:rPr>
  </w:style>
  <w:style w:type="paragraph" w:customStyle="1" w:styleId="ConsPlusNormal">
    <w:name w:val="ConsPlusNormal"/>
    <w:rsid w:val="009D3419"/>
    <w:pPr>
      <w:widowControl w:val="0"/>
      <w:autoSpaceDE w:val="0"/>
      <w:autoSpaceDN w:val="0"/>
    </w:pPr>
    <w:rPr>
      <w:rFonts w:ascii="Arial" w:eastAsiaTheme="minorEastAsia" w:hAnsi="Arial" w:cs="Arial"/>
      <w:szCs w:val="22"/>
    </w:rPr>
  </w:style>
  <w:style w:type="paragraph" w:customStyle="1" w:styleId="ConsPlusNonformat">
    <w:name w:val="ConsPlusNonformat"/>
    <w:rsid w:val="009D3419"/>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sChild>
        <w:div w:id="925724966">
          <w:marLeft w:val="0"/>
          <w:marRight w:val="0"/>
          <w:marTop w:val="0"/>
          <w:marBottom w:val="0"/>
          <w:divBdr>
            <w:top w:val="none" w:sz="0" w:space="0" w:color="auto"/>
            <w:left w:val="none" w:sz="0" w:space="0" w:color="auto"/>
            <w:bottom w:val="none" w:sz="0" w:space="0" w:color="auto"/>
            <w:right w:val="none" w:sz="0" w:space="0" w:color="auto"/>
          </w:divBdr>
        </w:div>
      </w:divsChild>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386030854">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721056418">
      <w:bodyDiv w:val="1"/>
      <w:marLeft w:val="0"/>
      <w:marRight w:val="0"/>
      <w:marTop w:val="0"/>
      <w:marBottom w:val="0"/>
      <w:divBdr>
        <w:top w:val="none" w:sz="0" w:space="0" w:color="auto"/>
        <w:left w:val="none" w:sz="0" w:space="0" w:color="auto"/>
        <w:bottom w:val="none" w:sz="0" w:space="0" w:color="auto"/>
        <w:right w:val="none" w:sz="0" w:space="0" w:color="auto"/>
      </w:divBdr>
      <w:divsChild>
        <w:div w:id="661666544">
          <w:marLeft w:val="0"/>
          <w:marRight w:val="0"/>
          <w:marTop w:val="0"/>
          <w:marBottom w:val="0"/>
          <w:divBdr>
            <w:top w:val="none" w:sz="0" w:space="0" w:color="auto"/>
            <w:left w:val="none" w:sz="0" w:space="0" w:color="auto"/>
            <w:bottom w:val="none" w:sz="0" w:space="0" w:color="auto"/>
            <w:right w:val="none" w:sz="0" w:space="0" w:color="auto"/>
          </w:divBdr>
          <w:divsChild>
            <w:div w:id="29648311">
              <w:marLeft w:val="0"/>
              <w:marRight w:val="0"/>
              <w:marTop w:val="0"/>
              <w:marBottom w:val="0"/>
              <w:divBdr>
                <w:top w:val="none" w:sz="0" w:space="0" w:color="auto"/>
                <w:left w:val="none" w:sz="0" w:space="0" w:color="auto"/>
                <w:bottom w:val="none" w:sz="0" w:space="0" w:color="auto"/>
                <w:right w:val="none" w:sz="0" w:space="0" w:color="auto"/>
              </w:divBdr>
            </w:div>
            <w:div w:id="1001353751">
              <w:marLeft w:val="0"/>
              <w:marRight w:val="0"/>
              <w:marTop w:val="0"/>
              <w:marBottom w:val="0"/>
              <w:divBdr>
                <w:top w:val="none" w:sz="0" w:space="0" w:color="auto"/>
                <w:left w:val="none" w:sz="0" w:space="0" w:color="auto"/>
                <w:bottom w:val="none" w:sz="0" w:space="0" w:color="auto"/>
                <w:right w:val="none" w:sz="0" w:space="0" w:color="auto"/>
              </w:divBdr>
            </w:div>
            <w:div w:id="6444042">
              <w:marLeft w:val="0"/>
              <w:marRight w:val="0"/>
              <w:marTop w:val="0"/>
              <w:marBottom w:val="0"/>
              <w:divBdr>
                <w:top w:val="none" w:sz="0" w:space="0" w:color="auto"/>
                <w:left w:val="none" w:sz="0" w:space="0" w:color="auto"/>
                <w:bottom w:val="none" w:sz="0" w:space="0" w:color="auto"/>
                <w:right w:val="none" w:sz="0" w:space="0" w:color="auto"/>
              </w:divBdr>
            </w:div>
          </w:divsChild>
        </w:div>
        <w:div w:id="511453361">
          <w:marLeft w:val="0"/>
          <w:marRight w:val="0"/>
          <w:marTop w:val="0"/>
          <w:marBottom w:val="0"/>
          <w:divBdr>
            <w:top w:val="none" w:sz="0" w:space="0" w:color="auto"/>
            <w:left w:val="none" w:sz="0" w:space="0" w:color="auto"/>
            <w:bottom w:val="none" w:sz="0" w:space="0" w:color="auto"/>
            <w:right w:val="none" w:sz="0" w:space="0" w:color="auto"/>
          </w:divBdr>
        </w:div>
      </w:divsChild>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6156614">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sChild>
        <w:div w:id="1703431683">
          <w:marLeft w:val="0"/>
          <w:marRight w:val="0"/>
          <w:marTop w:val="0"/>
          <w:marBottom w:val="0"/>
          <w:divBdr>
            <w:top w:val="none" w:sz="0" w:space="0" w:color="auto"/>
            <w:left w:val="none" w:sz="0" w:space="0" w:color="auto"/>
            <w:bottom w:val="none" w:sz="0" w:space="0" w:color="auto"/>
            <w:right w:val="none" w:sz="0" w:space="0" w:color="auto"/>
          </w:divBdr>
        </w:div>
        <w:div w:id="1037971244">
          <w:marLeft w:val="0"/>
          <w:marRight w:val="0"/>
          <w:marTop w:val="0"/>
          <w:marBottom w:val="0"/>
          <w:divBdr>
            <w:top w:val="none" w:sz="0" w:space="0" w:color="auto"/>
            <w:left w:val="none" w:sz="0" w:space="0" w:color="auto"/>
            <w:bottom w:val="none" w:sz="0" w:space="0" w:color="auto"/>
            <w:right w:val="none" w:sz="0" w:space="0" w:color="auto"/>
          </w:divBdr>
        </w:div>
        <w:div w:id="951978140">
          <w:marLeft w:val="0"/>
          <w:marRight w:val="0"/>
          <w:marTop w:val="0"/>
          <w:marBottom w:val="0"/>
          <w:divBdr>
            <w:top w:val="none" w:sz="0" w:space="0" w:color="auto"/>
            <w:left w:val="none" w:sz="0" w:space="0" w:color="auto"/>
            <w:bottom w:val="none" w:sz="0" w:space="0" w:color="auto"/>
            <w:right w:val="none" w:sz="0" w:space="0" w:color="auto"/>
          </w:divBdr>
        </w:div>
        <w:div w:id="146485108">
          <w:marLeft w:val="0"/>
          <w:marRight w:val="0"/>
          <w:marTop w:val="0"/>
          <w:marBottom w:val="0"/>
          <w:divBdr>
            <w:top w:val="none" w:sz="0" w:space="0" w:color="auto"/>
            <w:left w:val="none" w:sz="0" w:space="0" w:color="auto"/>
            <w:bottom w:val="none" w:sz="0" w:space="0" w:color="auto"/>
            <w:right w:val="none" w:sz="0" w:space="0" w:color="auto"/>
          </w:divBdr>
        </w:div>
      </w:divsChild>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A7CC-6A33-4302-9A33-612D8A13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94710</Words>
  <Characters>539848</Characters>
  <Application>Microsoft Office Word</Application>
  <DocSecurity>0</DocSecurity>
  <Lines>4498</Lines>
  <Paragraphs>1266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633292</CharactersWithSpaces>
  <SharedDoc>false</SharedDoc>
  <HLinks>
    <vt:vector size="180" baseType="variant">
      <vt:variant>
        <vt:i4>1376317</vt:i4>
      </vt:variant>
      <vt:variant>
        <vt:i4>176</vt:i4>
      </vt:variant>
      <vt:variant>
        <vt:i4>0</vt:i4>
      </vt:variant>
      <vt:variant>
        <vt:i4>5</vt:i4>
      </vt:variant>
      <vt:variant>
        <vt:lpwstr/>
      </vt:variant>
      <vt:variant>
        <vt:lpwstr>_Toc16510491</vt:lpwstr>
      </vt:variant>
      <vt:variant>
        <vt:i4>1310781</vt:i4>
      </vt:variant>
      <vt:variant>
        <vt:i4>170</vt:i4>
      </vt:variant>
      <vt:variant>
        <vt:i4>0</vt:i4>
      </vt:variant>
      <vt:variant>
        <vt:i4>5</vt:i4>
      </vt:variant>
      <vt:variant>
        <vt:lpwstr/>
      </vt:variant>
      <vt:variant>
        <vt:lpwstr>_Toc16510490</vt:lpwstr>
      </vt:variant>
      <vt:variant>
        <vt:i4>1900604</vt:i4>
      </vt:variant>
      <vt:variant>
        <vt:i4>164</vt:i4>
      </vt:variant>
      <vt:variant>
        <vt:i4>0</vt:i4>
      </vt:variant>
      <vt:variant>
        <vt:i4>5</vt:i4>
      </vt:variant>
      <vt:variant>
        <vt:lpwstr/>
      </vt:variant>
      <vt:variant>
        <vt:lpwstr>_Toc16510489</vt:lpwstr>
      </vt:variant>
      <vt:variant>
        <vt:i4>1835068</vt:i4>
      </vt:variant>
      <vt:variant>
        <vt:i4>158</vt:i4>
      </vt:variant>
      <vt:variant>
        <vt:i4>0</vt:i4>
      </vt:variant>
      <vt:variant>
        <vt:i4>5</vt:i4>
      </vt:variant>
      <vt:variant>
        <vt:lpwstr/>
      </vt:variant>
      <vt:variant>
        <vt:lpwstr>_Toc16510488</vt:lpwstr>
      </vt:variant>
      <vt:variant>
        <vt:i4>1245244</vt:i4>
      </vt:variant>
      <vt:variant>
        <vt:i4>152</vt:i4>
      </vt:variant>
      <vt:variant>
        <vt:i4>0</vt:i4>
      </vt:variant>
      <vt:variant>
        <vt:i4>5</vt:i4>
      </vt:variant>
      <vt:variant>
        <vt:lpwstr/>
      </vt:variant>
      <vt:variant>
        <vt:lpwstr>_Toc16510487</vt:lpwstr>
      </vt:variant>
      <vt:variant>
        <vt:i4>1179708</vt:i4>
      </vt:variant>
      <vt:variant>
        <vt:i4>146</vt:i4>
      </vt:variant>
      <vt:variant>
        <vt:i4>0</vt:i4>
      </vt:variant>
      <vt:variant>
        <vt:i4>5</vt:i4>
      </vt:variant>
      <vt:variant>
        <vt:lpwstr/>
      </vt:variant>
      <vt:variant>
        <vt:lpwstr>_Toc16510486</vt:lpwstr>
      </vt:variant>
      <vt:variant>
        <vt:i4>1114172</vt:i4>
      </vt:variant>
      <vt:variant>
        <vt:i4>140</vt:i4>
      </vt:variant>
      <vt:variant>
        <vt:i4>0</vt:i4>
      </vt:variant>
      <vt:variant>
        <vt:i4>5</vt:i4>
      </vt:variant>
      <vt:variant>
        <vt:lpwstr/>
      </vt:variant>
      <vt:variant>
        <vt:lpwstr>_Toc16510485</vt:lpwstr>
      </vt:variant>
      <vt:variant>
        <vt:i4>1048636</vt:i4>
      </vt:variant>
      <vt:variant>
        <vt:i4>134</vt:i4>
      </vt:variant>
      <vt:variant>
        <vt:i4>0</vt:i4>
      </vt:variant>
      <vt:variant>
        <vt:i4>5</vt:i4>
      </vt:variant>
      <vt:variant>
        <vt:lpwstr/>
      </vt:variant>
      <vt:variant>
        <vt:lpwstr>_Toc16510484</vt:lpwstr>
      </vt:variant>
      <vt:variant>
        <vt:i4>1507388</vt:i4>
      </vt:variant>
      <vt:variant>
        <vt:i4>128</vt:i4>
      </vt:variant>
      <vt:variant>
        <vt:i4>0</vt:i4>
      </vt:variant>
      <vt:variant>
        <vt:i4>5</vt:i4>
      </vt:variant>
      <vt:variant>
        <vt:lpwstr/>
      </vt:variant>
      <vt:variant>
        <vt:lpwstr>_Toc16510483</vt:lpwstr>
      </vt:variant>
      <vt:variant>
        <vt:i4>1441852</vt:i4>
      </vt:variant>
      <vt:variant>
        <vt:i4>122</vt:i4>
      </vt:variant>
      <vt:variant>
        <vt:i4>0</vt:i4>
      </vt:variant>
      <vt:variant>
        <vt:i4>5</vt:i4>
      </vt:variant>
      <vt:variant>
        <vt:lpwstr/>
      </vt:variant>
      <vt:variant>
        <vt:lpwstr>_Toc16510482</vt:lpwstr>
      </vt:variant>
      <vt:variant>
        <vt:i4>1376316</vt:i4>
      </vt:variant>
      <vt:variant>
        <vt:i4>116</vt:i4>
      </vt:variant>
      <vt:variant>
        <vt:i4>0</vt:i4>
      </vt:variant>
      <vt:variant>
        <vt:i4>5</vt:i4>
      </vt:variant>
      <vt:variant>
        <vt:lpwstr/>
      </vt:variant>
      <vt:variant>
        <vt:lpwstr>_Toc16510481</vt:lpwstr>
      </vt:variant>
      <vt:variant>
        <vt:i4>1310780</vt:i4>
      </vt:variant>
      <vt:variant>
        <vt:i4>110</vt:i4>
      </vt:variant>
      <vt:variant>
        <vt:i4>0</vt:i4>
      </vt:variant>
      <vt:variant>
        <vt:i4>5</vt:i4>
      </vt:variant>
      <vt:variant>
        <vt:lpwstr/>
      </vt:variant>
      <vt:variant>
        <vt:lpwstr>_Toc16510480</vt:lpwstr>
      </vt:variant>
      <vt:variant>
        <vt:i4>1900595</vt:i4>
      </vt:variant>
      <vt:variant>
        <vt:i4>104</vt:i4>
      </vt:variant>
      <vt:variant>
        <vt:i4>0</vt:i4>
      </vt:variant>
      <vt:variant>
        <vt:i4>5</vt:i4>
      </vt:variant>
      <vt:variant>
        <vt:lpwstr/>
      </vt:variant>
      <vt:variant>
        <vt:lpwstr>_Toc16510479</vt:lpwstr>
      </vt:variant>
      <vt:variant>
        <vt:i4>1835059</vt:i4>
      </vt:variant>
      <vt:variant>
        <vt:i4>98</vt:i4>
      </vt:variant>
      <vt:variant>
        <vt:i4>0</vt:i4>
      </vt:variant>
      <vt:variant>
        <vt:i4>5</vt:i4>
      </vt:variant>
      <vt:variant>
        <vt:lpwstr/>
      </vt:variant>
      <vt:variant>
        <vt:lpwstr>_Toc16510478</vt:lpwstr>
      </vt:variant>
      <vt:variant>
        <vt:i4>1245235</vt:i4>
      </vt:variant>
      <vt:variant>
        <vt:i4>92</vt:i4>
      </vt:variant>
      <vt:variant>
        <vt:i4>0</vt:i4>
      </vt:variant>
      <vt:variant>
        <vt:i4>5</vt:i4>
      </vt:variant>
      <vt:variant>
        <vt:lpwstr/>
      </vt:variant>
      <vt:variant>
        <vt:lpwstr>_Toc16510477</vt:lpwstr>
      </vt:variant>
      <vt:variant>
        <vt:i4>1179699</vt:i4>
      </vt:variant>
      <vt:variant>
        <vt:i4>86</vt:i4>
      </vt:variant>
      <vt:variant>
        <vt:i4>0</vt:i4>
      </vt:variant>
      <vt:variant>
        <vt:i4>5</vt:i4>
      </vt:variant>
      <vt:variant>
        <vt:lpwstr/>
      </vt:variant>
      <vt:variant>
        <vt:lpwstr>_Toc16510476</vt:lpwstr>
      </vt:variant>
      <vt:variant>
        <vt:i4>1114163</vt:i4>
      </vt:variant>
      <vt:variant>
        <vt:i4>80</vt:i4>
      </vt:variant>
      <vt:variant>
        <vt:i4>0</vt:i4>
      </vt:variant>
      <vt:variant>
        <vt:i4>5</vt:i4>
      </vt:variant>
      <vt:variant>
        <vt:lpwstr/>
      </vt:variant>
      <vt:variant>
        <vt:lpwstr>_Toc16510475</vt:lpwstr>
      </vt:variant>
      <vt:variant>
        <vt:i4>1048627</vt:i4>
      </vt:variant>
      <vt:variant>
        <vt:i4>74</vt:i4>
      </vt:variant>
      <vt:variant>
        <vt:i4>0</vt:i4>
      </vt:variant>
      <vt:variant>
        <vt:i4>5</vt:i4>
      </vt:variant>
      <vt:variant>
        <vt:lpwstr/>
      </vt:variant>
      <vt:variant>
        <vt:lpwstr>_Toc16510474</vt:lpwstr>
      </vt:variant>
      <vt:variant>
        <vt:i4>1507379</vt:i4>
      </vt:variant>
      <vt:variant>
        <vt:i4>68</vt:i4>
      </vt:variant>
      <vt:variant>
        <vt:i4>0</vt:i4>
      </vt:variant>
      <vt:variant>
        <vt:i4>5</vt:i4>
      </vt:variant>
      <vt:variant>
        <vt:lpwstr/>
      </vt:variant>
      <vt:variant>
        <vt:lpwstr>_Toc16510473</vt:lpwstr>
      </vt:variant>
      <vt:variant>
        <vt:i4>1441843</vt:i4>
      </vt:variant>
      <vt:variant>
        <vt:i4>62</vt:i4>
      </vt:variant>
      <vt:variant>
        <vt:i4>0</vt:i4>
      </vt:variant>
      <vt:variant>
        <vt:i4>5</vt:i4>
      </vt:variant>
      <vt:variant>
        <vt:lpwstr/>
      </vt:variant>
      <vt:variant>
        <vt:lpwstr>_Toc16510472</vt:lpwstr>
      </vt:variant>
      <vt:variant>
        <vt:i4>1376307</vt:i4>
      </vt:variant>
      <vt:variant>
        <vt:i4>56</vt:i4>
      </vt:variant>
      <vt:variant>
        <vt:i4>0</vt:i4>
      </vt:variant>
      <vt:variant>
        <vt:i4>5</vt:i4>
      </vt:variant>
      <vt:variant>
        <vt:lpwstr/>
      </vt:variant>
      <vt:variant>
        <vt:lpwstr>_Toc16510471</vt:lpwstr>
      </vt:variant>
      <vt:variant>
        <vt:i4>1310771</vt:i4>
      </vt:variant>
      <vt:variant>
        <vt:i4>50</vt:i4>
      </vt:variant>
      <vt:variant>
        <vt:i4>0</vt:i4>
      </vt:variant>
      <vt:variant>
        <vt:i4>5</vt:i4>
      </vt:variant>
      <vt:variant>
        <vt:lpwstr/>
      </vt:variant>
      <vt:variant>
        <vt:lpwstr>_Toc16510470</vt:lpwstr>
      </vt:variant>
      <vt:variant>
        <vt:i4>1900594</vt:i4>
      </vt:variant>
      <vt:variant>
        <vt:i4>44</vt:i4>
      </vt:variant>
      <vt:variant>
        <vt:i4>0</vt:i4>
      </vt:variant>
      <vt:variant>
        <vt:i4>5</vt:i4>
      </vt:variant>
      <vt:variant>
        <vt:lpwstr/>
      </vt:variant>
      <vt:variant>
        <vt:lpwstr>_Toc16510469</vt:lpwstr>
      </vt:variant>
      <vt:variant>
        <vt:i4>1835058</vt:i4>
      </vt:variant>
      <vt:variant>
        <vt:i4>38</vt:i4>
      </vt:variant>
      <vt:variant>
        <vt:i4>0</vt:i4>
      </vt:variant>
      <vt:variant>
        <vt:i4>5</vt:i4>
      </vt:variant>
      <vt:variant>
        <vt:lpwstr/>
      </vt:variant>
      <vt:variant>
        <vt:lpwstr>_Toc16510468</vt:lpwstr>
      </vt:variant>
      <vt:variant>
        <vt:i4>1245234</vt:i4>
      </vt:variant>
      <vt:variant>
        <vt:i4>32</vt:i4>
      </vt:variant>
      <vt:variant>
        <vt:i4>0</vt:i4>
      </vt:variant>
      <vt:variant>
        <vt:i4>5</vt:i4>
      </vt:variant>
      <vt:variant>
        <vt:lpwstr/>
      </vt:variant>
      <vt:variant>
        <vt:lpwstr>_Toc16510467</vt:lpwstr>
      </vt:variant>
      <vt:variant>
        <vt:i4>1179698</vt:i4>
      </vt:variant>
      <vt:variant>
        <vt:i4>26</vt:i4>
      </vt:variant>
      <vt:variant>
        <vt:i4>0</vt:i4>
      </vt:variant>
      <vt:variant>
        <vt:i4>5</vt:i4>
      </vt:variant>
      <vt:variant>
        <vt:lpwstr/>
      </vt:variant>
      <vt:variant>
        <vt:lpwstr>_Toc16510466</vt:lpwstr>
      </vt:variant>
      <vt:variant>
        <vt:i4>1114162</vt:i4>
      </vt:variant>
      <vt:variant>
        <vt:i4>20</vt:i4>
      </vt:variant>
      <vt:variant>
        <vt:i4>0</vt:i4>
      </vt:variant>
      <vt:variant>
        <vt:i4>5</vt:i4>
      </vt:variant>
      <vt:variant>
        <vt:lpwstr/>
      </vt:variant>
      <vt:variant>
        <vt:lpwstr>_Toc16510465</vt:lpwstr>
      </vt:variant>
      <vt:variant>
        <vt:i4>1048626</vt:i4>
      </vt:variant>
      <vt:variant>
        <vt:i4>14</vt:i4>
      </vt:variant>
      <vt:variant>
        <vt:i4>0</vt:i4>
      </vt:variant>
      <vt:variant>
        <vt:i4>5</vt:i4>
      </vt:variant>
      <vt:variant>
        <vt:lpwstr/>
      </vt:variant>
      <vt:variant>
        <vt:lpwstr>_Toc16510464</vt:lpwstr>
      </vt:variant>
      <vt:variant>
        <vt:i4>1507378</vt:i4>
      </vt:variant>
      <vt:variant>
        <vt:i4>8</vt:i4>
      </vt:variant>
      <vt:variant>
        <vt:i4>0</vt:i4>
      </vt:variant>
      <vt:variant>
        <vt:i4>5</vt:i4>
      </vt:variant>
      <vt:variant>
        <vt:lpwstr/>
      </vt:variant>
      <vt:variant>
        <vt:lpwstr>_Toc16510463</vt:lpwstr>
      </vt:variant>
      <vt:variant>
        <vt:i4>1441842</vt:i4>
      </vt:variant>
      <vt:variant>
        <vt:i4>2</vt:i4>
      </vt:variant>
      <vt:variant>
        <vt:i4>0</vt:i4>
      </vt:variant>
      <vt:variant>
        <vt:i4>5</vt:i4>
      </vt:variant>
      <vt:variant>
        <vt:lpwstr/>
      </vt:variant>
      <vt:variant>
        <vt:lpwstr>_Toc16510462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Аль-Ради Любовь Саттаровна</cp:lastModifiedBy>
  <cp:revision>3</cp:revision>
  <cp:lastPrinted>2020-04-09T08:31:00Z</cp:lastPrinted>
  <dcterms:created xsi:type="dcterms:W3CDTF">2023-01-26T12:09:00Z</dcterms:created>
  <dcterms:modified xsi:type="dcterms:W3CDTF">2023-01-26T12:12:00Z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http://www.zotero.org/styles/elsevier-vancouver</vt:lpwstr>
  </property>
  <property fmtid="{D5CDD505-2E9C-101B-9397-08002B2CF9AE}" pid="18" name="Mendeley Recent Style Name 4_1">
    <vt:lpwstr>Elsevier - Vancouver</vt:lpwstr>
  </property>
  <property fmtid="{D5CDD505-2E9C-101B-9397-08002B2CF9AE}" pid="19" name="Mendeley Recent Style Id 5_1">
    <vt:lpwstr>http://csl.mendeley.com/styles/265073341/hematology-and-transfusiology-ver2</vt:lpwstr>
  </property>
  <property fmtid="{D5CDD505-2E9C-101B-9397-08002B2CF9AE}" pid="20" name="Mendeley Recent Style Name 5_1">
    <vt:lpwstr>Hematology and Transfusiology</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http://csl.mendeley.com/styles/265073341/hematology-and-transfusiology-ver2</vt:lpwstr>
  </property>
</Properties>
</file>