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5716"/>
        <w:tblW w:w="9484" w:type="dxa"/>
        <w:tblLook w:val="00A0" w:firstRow="1" w:lastRow="0" w:firstColumn="1" w:lastColumn="0" w:noHBand="0" w:noVBand="0"/>
      </w:tblPr>
      <w:tblGrid>
        <w:gridCol w:w="4769"/>
        <w:gridCol w:w="4715"/>
      </w:tblGrid>
      <w:tr w:rsidR="00A82A45" w:rsidRPr="00F242DD" w14:paraId="6F20D983" w14:textId="77777777" w:rsidTr="007873A0">
        <w:trPr>
          <w:trHeight w:val="360"/>
        </w:trPr>
        <w:tc>
          <w:tcPr>
            <w:tcW w:w="9484" w:type="dxa"/>
            <w:gridSpan w:val="2"/>
          </w:tcPr>
          <w:p w14:paraId="2BE44466" w14:textId="77777777" w:rsidR="00A82A45" w:rsidRPr="00F242DD" w:rsidRDefault="00A82A45" w:rsidP="00A80BA6">
            <w:pPr>
              <w:pStyle w:val="13"/>
              <w:rPr>
                <w:sz w:val="28"/>
                <w:szCs w:val="28"/>
              </w:rPr>
            </w:pPr>
            <w:bookmarkStart w:id="0" w:name="_Toc520213119"/>
            <w:r w:rsidRPr="0043696D">
              <w:rPr>
                <w:noProof/>
                <w:color w:val="767171"/>
              </w:rPr>
              <w:t xml:space="preserve">Клинические </w:t>
            </w:r>
            <w:r w:rsidRPr="00F242DD">
              <w:rPr>
                <w:noProof/>
                <w:color w:val="767171"/>
              </w:rPr>
              <w:t>рекомендации</w:t>
            </w:r>
          </w:p>
        </w:tc>
      </w:tr>
      <w:tr w:rsidR="00A82A45" w:rsidRPr="00F242DD" w14:paraId="36BFD1EC" w14:textId="77777777" w:rsidTr="007873A0">
        <w:trPr>
          <w:trHeight w:val="629"/>
        </w:trPr>
        <w:tc>
          <w:tcPr>
            <w:tcW w:w="9484" w:type="dxa"/>
            <w:gridSpan w:val="2"/>
          </w:tcPr>
          <w:p w14:paraId="5A457C56" w14:textId="77777777" w:rsidR="00A82A45" w:rsidRPr="00F242DD" w:rsidRDefault="00A82A45" w:rsidP="007873A0">
            <w:pPr>
              <w:tabs>
                <w:tab w:val="left" w:pos="6135"/>
              </w:tabs>
              <w:jc w:val="center"/>
              <w:rPr>
                <w:sz w:val="28"/>
                <w:szCs w:val="28"/>
              </w:rPr>
            </w:pPr>
            <w:r w:rsidRPr="00F242DD">
              <w:rPr>
                <w:b/>
                <w:color w:val="000000"/>
                <w:sz w:val="44"/>
                <w:szCs w:val="44"/>
              </w:rPr>
              <w:t>Множественная миелома</w:t>
            </w:r>
          </w:p>
        </w:tc>
      </w:tr>
      <w:tr w:rsidR="00A82A45" w:rsidRPr="00F242DD" w14:paraId="7A808902" w14:textId="77777777" w:rsidTr="007873A0">
        <w:trPr>
          <w:trHeight w:val="438"/>
        </w:trPr>
        <w:tc>
          <w:tcPr>
            <w:tcW w:w="4769" w:type="dxa"/>
          </w:tcPr>
          <w:p w14:paraId="77E52D0A" w14:textId="77777777" w:rsidR="00A82A45" w:rsidRPr="00F242DD" w:rsidRDefault="00A82A45" w:rsidP="007873A0">
            <w:pPr>
              <w:tabs>
                <w:tab w:val="left" w:pos="6135"/>
              </w:tabs>
              <w:spacing w:line="276" w:lineRule="auto"/>
              <w:jc w:val="right"/>
              <w:rPr>
                <w:szCs w:val="28"/>
              </w:rPr>
            </w:pPr>
            <w:r w:rsidRPr="00F242DD">
              <w:rPr>
                <w:color w:val="808080"/>
                <w:szCs w:val="28"/>
              </w:rPr>
              <w:t>Кодирование по Международной статистической классификации болезней и проблем, связанных со здоровьем:</w:t>
            </w:r>
          </w:p>
        </w:tc>
        <w:tc>
          <w:tcPr>
            <w:tcW w:w="4715" w:type="dxa"/>
          </w:tcPr>
          <w:p w14:paraId="2DFDBE76" w14:textId="77777777" w:rsidR="00A82A45" w:rsidRPr="00F242DD" w:rsidRDefault="00A82A45" w:rsidP="007873A0">
            <w:pPr>
              <w:tabs>
                <w:tab w:val="left" w:pos="6135"/>
              </w:tabs>
              <w:spacing w:line="276" w:lineRule="auto"/>
              <w:jc w:val="left"/>
              <w:rPr>
                <w:szCs w:val="28"/>
              </w:rPr>
            </w:pPr>
            <w:r w:rsidRPr="00F242DD">
              <w:rPr>
                <w:szCs w:val="28"/>
              </w:rPr>
              <w:t>C90.0</w:t>
            </w:r>
          </w:p>
        </w:tc>
      </w:tr>
      <w:tr w:rsidR="00A82A45" w:rsidRPr="00F242DD" w14:paraId="4ABA5D77" w14:textId="77777777" w:rsidTr="007873A0">
        <w:trPr>
          <w:trHeight w:val="321"/>
        </w:trPr>
        <w:tc>
          <w:tcPr>
            <w:tcW w:w="4769" w:type="dxa"/>
          </w:tcPr>
          <w:p w14:paraId="30151141" w14:textId="77777777" w:rsidR="00A82A45" w:rsidRPr="00F242DD" w:rsidRDefault="00A82A45" w:rsidP="007873A0">
            <w:pPr>
              <w:tabs>
                <w:tab w:val="left" w:pos="6135"/>
              </w:tabs>
              <w:spacing w:line="276" w:lineRule="auto"/>
              <w:jc w:val="right"/>
              <w:rPr>
                <w:color w:val="808080"/>
                <w:szCs w:val="28"/>
              </w:rPr>
            </w:pPr>
            <w:r w:rsidRPr="00F242DD">
              <w:rPr>
                <w:rStyle w:val="pop-slug-vol"/>
                <w:color w:val="767171"/>
                <w:szCs w:val="28"/>
              </w:rPr>
              <w:t>Возрастная группа:</w:t>
            </w:r>
          </w:p>
        </w:tc>
        <w:tc>
          <w:tcPr>
            <w:tcW w:w="4715" w:type="dxa"/>
          </w:tcPr>
          <w:p w14:paraId="3343CA73" w14:textId="77777777" w:rsidR="00A82A45" w:rsidRPr="00F242DD" w:rsidRDefault="00A82A45" w:rsidP="007873A0">
            <w:pPr>
              <w:tabs>
                <w:tab w:val="left" w:pos="6135"/>
              </w:tabs>
              <w:spacing w:line="276" w:lineRule="auto"/>
              <w:jc w:val="left"/>
              <w:rPr>
                <w:szCs w:val="28"/>
              </w:rPr>
            </w:pPr>
            <w:r w:rsidRPr="00F242DD">
              <w:rPr>
                <w:szCs w:val="28"/>
              </w:rPr>
              <w:t>взрослые</w:t>
            </w:r>
          </w:p>
        </w:tc>
      </w:tr>
      <w:tr w:rsidR="00A82A45" w:rsidRPr="00F242DD" w14:paraId="7975AAEB" w14:textId="77777777" w:rsidTr="007873A0">
        <w:trPr>
          <w:trHeight w:val="335"/>
        </w:trPr>
        <w:tc>
          <w:tcPr>
            <w:tcW w:w="4769" w:type="dxa"/>
          </w:tcPr>
          <w:p w14:paraId="6AA08734" w14:textId="77777777" w:rsidR="00A82A45" w:rsidRPr="00F242DD" w:rsidRDefault="00A82A45" w:rsidP="007873A0">
            <w:pPr>
              <w:tabs>
                <w:tab w:val="left" w:pos="6135"/>
              </w:tabs>
              <w:spacing w:line="276" w:lineRule="auto"/>
              <w:jc w:val="right"/>
              <w:rPr>
                <w:color w:val="808080"/>
                <w:szCs w:val="28"/>
              </w:rPr>
            </w:pPr>
            <w:r w:rsidRPr="00F242DD">
              <w:rPr>
                <w:color w:val="808080"/>
              </w:rPr>
              <w:t>Год утверждения:</w:t>
            </w:r>
          </w:p>
        </w:tc>
        <w:tc>
          <w:tcPr>
            <w:tcW w:w="4715" w:type="dxa"/>
          </w:tcPr>
          <w:p w14:paraId="2B6FC217" w14:textId="7D53043C" w:rsidR="00A82A45" w:rsidRPr="00F242DD" w:rsidRDefault="00A82A45" w:rsidP="00843ECB">
            <w:pPr>
              <w:tabs>
                <w:tab w:val="left" w:pos="6135"/>
              </w:tabs>
              <w:spacing w:line="276" w:lineRule="auto"/>
              <w:jc w:val="left"/>
            </w:pPr>
          </w:p>
        </w:tc>
      </w:tr>
      <w:tr w:rsidR="00A82A45" w:rsidRPr="00F242DD" w14:paraId="33CF8415" w14:textId="77777777" w:rsidTr="007873A0">
        <w:trPr>
          <w:trHeight w:val="120"/>
        </w:trPr>
        <w:tc>
          <w:tcPr>
            <w:tcW w:w="9484" w:type="dxa"/>
            <w:gridSpan w:val="2"/>
          </w:tcPr>
          <w:p w14:paraId="322AECE9" w14:textId="77777777" w:rsidR="00A82A45" w:rsidRPr="00F242DD" w:rsidRDefault="00A82A45" w:rsidP="007873A0">
            <w:pPr>
              <w:tabs>
                <w:tab w:val="left" w:pos="6135"/>
              </w:tabs>
              <w:rPr>
                <w:color w:val="FF0000"/>
                <w:sz w:val="20"/>
                <w:szCs w:val="20"/>
              </w:rPr>
            </w:pPr>
            <w:r w:rsidRPr="00F242DD">
              <w:rPr>
                <w:color w:val="808080"/>
              </w:rPr>
              <w:t>Разработчики клинических рекомендаций:</w:t>
            </w:r>
            <w:r w:rsidRPr="00F242DD">
              <w:rPr>
                <w:color w:val="FF0000"/>
                <w:sz w:val="20"/>
                <w:szCs w:val="20"/>
              </w:rPr>
              <w:t xml:space="preserve"> </w:t>
            </w:r>
          </w:p>
        </w:tc>
      </w:tr>
      <w:tr w:rsidR="00A82A45" w:rsidRPr="00F242DD" w14:paraId="59A39CB8" w14:textId="77777777" w:rsidTr="007873A0">
        <w:trPr>
          <w:trHeight w:val="1834"/>
        </w:trPr>
        <w:tc>
          <w:tcPr>
            <w:tcW w:w="9484" w:type="dxa"/>
            <w:gridSpan w:val="2"/>
          </w:tcPr>
          <w:p w14:paraId="2B53D4FD" w14:textId="5E73ECCA" w:rsidR="00A82A45" w:rsidRPr="00F242DD" w:rsidRDefault="0043696D" w:rsidP="007873A0">
            <w:pPr>
              <w:pStyle w:val="ad"/>
              <w:numPr>
                <w:ilvl w:val="0"/>
                <w:numId w:val="6"/>
              </w:numPr>
            </w:pPr>
            <w:r>
              <w:t>Ассоциация</w:t>
            </w:r>
            <w:r w:rsidR="00A82A45" w:rsidRPr="00F242DD">
              <w:t xml:space="preserve"> содействия развитию гематологии и трансплантологии костного мозга "Национальное гематологическое общество"</w:t>
            </w:r>
          </w:p>
          <w:p w14:paraId="6A8D9CEA" w14:textId="77777777" w:rsidR="001A50CB" w:rsidRDefault="00A82A45" w:rsidP="001A50CB">
            <w:pPr>
              <w:pStyle w:val="ad"/>
              <w:numPr>
                <w:ilvl w:val="0"/>
                <w:numId w:val="6"/>
              </w:numPr>
            </w:pPr>
            <w:r w:rsidRPr="00F242DD">
              <w:t>Региональная общественная организация "Общество онкогематологов"</w:t>
            </w:r>
            <w:r w:rsidR="001A50CB" w:rsidRPr="00F242DD">
              <w:t xml:space="preserve"> </w:t>
            </w:r>
          </w:p>
          <w:p w14:paraId="31D88597" w14:textId="52498C06" w:rsidR="001A50CB" w:rsidRPr="00F242DD" w:rsidRDefault="001A50CB" w:rsidP="001A50CB">
            <w:pPr>
              <w:pStyle w:val="ad"/>
              <w:numPr>
                <w:ilvl w:val="0"/>
                <w:numId w:val="6"/>
              </w:numPr>
            </w:pPr>
            <w:r w:rsidRPr="00F242DD">
              <w:t>Общероссийский национальный союз "Ассоциация онкологов России"</w:t>
            </w:r>
          </w:p>
          <w:p w14:paraId="52351641" w14:textId="5A89CE2A" w:rsidR="00A82A45" w:rsidRPr="00F242DD" w:rsidRDefault="00A82A45" w:rsidP="001A50CB">
            <w:pPr>
              <w:pStyle w:val="ad"/>
              <w:ind w:left="1068"/>
              <w:rPr>
                <w:b/>
                <w:sz w:val="28"/>
              </w:rPr>
            </w:pPr>
          </w:p>
        </w:tc>
      </w:tr>
    </w:tbl>
    <w:tbl>
      <w:tblPr>
        <w:tblpPr w:leftFromText="180" w:rightFromText="180" w:vertAnchor="text" w:horzAnchor="margin" w:tblpXSpec="center" w:tblpY="83"/>
        <w:tblW w:w="9039" w:type="dxa"/>
        <w:tblLook w:val="0000" w:firstRow="0" w:lastRow="0" w:firstColumn="0" w:lastColumn="0" w:noHBand="0" w:noVBand="0"/>
      </w:tblPr>
      <w:tblGrid>
        <w:gridCol w:w="2802"/>
        <w:gridCol w:w="3162"/>
        <w:gridCol w:w="3075"/>
      </w:tblGrid>
      <w:tr w:rsidR="007873A0" w:rsidRPr="00A37FA2" w14:paraId="2554EE98" w14:textId="77777777" w:rsidTr="00B86570">
        <w:trPr>
          <w:trHeight w:val="2621"/>
        </w:trPr>
        <w:tc>
          <w:tcPr>
            <w:tcW w:w="2802" w:type="dxa"/>
          </w:tcPr>
          <w:p w14:paraId="418FFFDB" w14:textId="0845A462" w:rsidR="007873A0" w:rsidRPr="00A37FA2" w:rsidRDefault="007873A0" w:rsidP="00B86570">
            <w:pPr>
              <w:spacing w:before="0" w:after="0"/>
              <w:rPr>
                <w:rFonts w:eastAsia="Times New Roman"/>
                <w:b/>
                <w:sz w:val="16"/>
                <w:szCs w:val="16"/>
              </w:rPr>
            </w:pPr>
          </w:p>
        </w:tc>
        <w:tc>
          <w:tcPr>
            <w:tcW w:w="3162" w:type="dxa"/>
          </w:tcPr>
          <w:p w14:paraId="1777429A" w14:textId="607BCBC8" w:rsidR="007873A0" w:rsidRPr="00A37FA2" w:rsidRDefault="007873A0" w:rsidP="007873A0">
            <w:pPr>
              <w:spacing w:before="0" w:after="0"/>
              <w:jc w:val="center"/>
              <w:rPr>
                <w:rFonts w:eastAsia="Times New Roman"/>
                <w:bCs/>
                <w:sz w:val="16"/>
                <w:szCs w:val="16"/>
              </w:rPr>
            </w:pPr>
          </w:p>
        </w:tc>
        <w:tc>
          <w:tcPr>
            <w:tcW w:w="3075" w:type="dxa"/>
          </w:tcPr>
          <w:p w14:paraId="3072207B" w14:textId="74D668B5" w:rsidR="007873A0" w:rsidRPr="00A37FA2" w:rsidRDefault="007873A0" w:rsidP="007873A0">
            <w:pPr>
              <w:spacing w:before="0" w:after="0"/>
              <w:rPr>
                <w:rFonts w:eastAsia="Times New Roman"/>
                <w:b/>
                <w:sz w:val="16"/>
                <w:szCs w:val="16"/>
              </w:rPr>
            </w:pPr>
          </w:p>
        </w:tc>
      </w:tr>
    </w:tbl>
    <w:p w14:paraId="1E1116D9" w14:textId="4FB589D8" w:rsidR="00036C84" w:rsidRPr="00F242DD" w:rsidRDefault="00430246" w:rsidP="00036C84">
      <w:r w:rsidRPr="00F242DD">
        <w:rPr>
          <w:noProof/>
          <w:lang w:eastAsia="ru-RU"/>
        </w:rPr>
        <mc:AlternateContent>
          <mc:Choice Requires="wps">
            <w:drawing>
              <wp:anchor distT="0" distB="0" distL="114300" distR="114300" simplePos="0" relativeHeight="251653632" behindDoc="1" locked="0" layoutInCell="1" allowOverlap="1" wp14:anchorId="0DE24CE6" wp14:editId="20BCDD9A">
                <wp:simplePos x="0" y="0"/>
                <wp:positionH relativeFrom="page">
                  <wp:posOffset>361950</wp:posOffset>
                </wp:positionH>
                <wp:positionV relativeFrom="paragraph">
                  <wp:posOffset>-405765</wp:posOffset>
                </wp:positionV>
                <wp:extent cx="6889115" cy="10058400"/>
                <wp:effectExtent l="0" t="0" r="6985" b="0"/>
                <wp:wrapNone/>
                <wp:docPr id="81"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9115" cy="10058400"/>
                        </a:xfrm>
                        <a:prstGeom prst="rect">
                          <a:avLst/>
                        </a:prstGeom>
                        <a:solidFill>
                          <a:srgbClr val="FFFFFF"/>
                        </a:solidFill>
                        <a:ln w="12700" cap="flat" cmpd="sng" algn="ctr">
                          <a:noFill/>
                          <a:prstDash val="solid"/>
                          <a:miter lim="800000"/>
                        </a:ln>
                        <a:effectLst/>
                      </wps:spPr>
                      <wps:txbx>
                        <w:txbxContent>
                          <w:p w14:paraId="13AA1399" w14:textId="77777777" w:rsidR="00795E89" w:rsidRDefault="00795E89" w:rsidP="007873A0">
                            <w:pPr>
                              <w:spacing w:before="0" w:after="0"/>
                              <w:jc w:val="center"/>
                              <w:rPr>
                                <w:rFonts w:eastAsia="Times New Roman"/>
                                <w:bCs/>
                                <w:sz w:val="20"/>
                                <w:szCs w:val="20"/>
                              </w:rPr>
                            </w:pPr>
                            <w:bookmarkStart w:id="1" w:name="_Hlk31706458"/>
                          </w:p>
                          <w:p w14:paraId="6D7C645F" w14:textId="77777777" w:rsidR="00795E89" w:rsidRDefault="00795E89" w:rsidP="007873A0">
                            <w:pPr>
                              <w:spacing w:before="0" w:after="0"/>
                              <w:jc w:val="center"/>
                              <w:rPr>
                                <w:rFonts w:eastAsia="Times New Roman"/>
                                <w:bCs/>
                                <w:sz w:val="20"/>
                                <w:szCs w:val="20"/>
                              </w:rPr>
                            </w:pPr>
                          </w:p>
                          <w:p w14:paraId="63A23A32" w14:textId="77777777" w:rsidR="00795E89" w:rsidRDefault="00795E89" w:rsidP="007873A0">
                            <w:pPr>
                              <w:spacing w:before="0" w:after="0"/>
                              <w:jc w:val="center"/>
                              <w:rPr>
                                <w:rFonts w:eastAsia="Times New Roman"/>
                                <w:bCs/>
                                <w:sz w:val="20"/>
                                <w:szCs w:val="20"/>
                              </w:rPr>
                            </w:pPr>
                          </w:p>
                          <w:p w14:paraId="3FAEEC20" w14:textId="77777777" w:rsidR="00795E89" w:rsidRDefault="00795E89" w:rsidP="007873A0">
                            <w:pPr>
                              <w:spacing w:before="0" w:after="0"/>
                              <w:jc w:val="center"/>
                              <w:rPr>
                                <w:rFonts w:eastAsia="Times New Roman"/>
                                <w:bCs/>
                                <w:sz w:val="20"/>
                                <w:szCs w:val="20"/>
                              </w:rPr>
                            </w:pPr>
                          </w:p>
                          <w:p w14:paraId="46C14D9A" w14:textId="77777777" w:rsidR="00795E89" w:rsidRDefault="00795E89" w:rsidP="007873A0">
                            <w:pPr>
                              <w:spacing w:before="0" w:after="0"/>
                              <w:jc w:val="center"/>
                              <w:rPr>
                                <w:rFonts w:eastAsia="Times New Roman"/>
                                <w:bCs/>
                                <w:sz w:val="20"/>
                                <w:szCs w:val="20"/>
                              </w:rPr>
                            </w:pPr>
                          </w:p>
                          <w:p w14:paraId="03469BB9" w14:textId="77777777" w:rsidR="00795E89" w:rsidRDefault="00795E89" w:rsidP="007873A0">
                            <w:pPr>
                              <w:spacing w:before="0" w:after="0"/>
                              <w:jc w:val="center"/>
                              <w:rPr>
                                <w:rFonts w:eastAsia="Times New Roman"/>
                                <w:bCs/>
                                <w:sz w:val="20"/>
                                <w:szCs w:val="20"/>
                              </w:rPr>
                            </w:pPr>
                          </w:p>
                          <w:p w14:paraId="4DF705B0" w14:textId="77777777" w:rsidR="00795E89" w:rsidRDefault="00795E89" w:rsidP="007873A0">
                            <w:pPr>
                              <w:spacing w:before="0" w:after="0"/>
                              <w:jc w:val="center"/>
                              <w:rPr>
                                <w:rFonts w:eastAsia="Times New Roman"/>
                                <w:bCs/>
                                <w:sz w:val="20"/>
                                <w:szCs w:val="20"/>
                              </w:rPr>
                            </w:pPr>
                          </w:p>
                          <w:p w14:paraId="1D44B1CB" w14:textId="77777777" w:rsidR="00795E89" w:rsidRDefault="00795E89" w:rsidP="007873A0">
                            <w:pPr>
                              <w:spacing w:before="0" w:after="0"/>
                              <w:jc w:val="center"/>
                              <w:rPr>
                                <w:rFonts w:eastAsia="Times New Roman"/>
                                <w:bCs/>
                                <w:sz w:val="20"/>
                                <w:szCs w:val="20"/>
                              </w:rPr>
                            </w:pPr>
                          </w:p>
                          <w:p w14:paraId="2248C91F" w14:textId="77777777" w:rsidR="00795E89" w:rsidRDefault="00795E89" w:rsidP="007873A0">
                            <w:pPr>
                              <w:spacing w:before="0" w:after="0"/>
                              <w:jc w:val="center"/>
                              <w:rPr>
                                <w:rFonts w:eastAsia="Times New Roman"/>
                                <w:bCs/>
                                <w:sz w:val="20"/>
                                <w:szCs w:val="20"/>
                              </w:rPr>
                            </w:pPr>
                          </w:p>
                          <w:p w14:paraId="23DCD8A4" w14:textId="77777777" w:rsidR="00795E89" w:rsidRDefault="00795E89" w:rsidP="007873A0">
                            <w:pPr>
                              <w:spacing w:before="0" w:after="0"/>
                              <w:jc w:val="center"/>
                              <w:rPr>
                                <w:rFonts w:eastAsia="Times New Roman"/>
                                <w:bCs/>
                                <w:sz w:val="20"/>
                                <w:szCs w:val="20"/>
                              </w:rPr>
                            </w:pPr>
                          </w:p>
                          <w:p w14:paraId="609BD8BC" w14:textId="77777777" w:rsidR="00795E89" w:rsidRDefault="00795E89" w:rsidP="007873A0">
                            <w:pPr>
                              <w:spacing w:before="0" w:after="0"/>
                              <w:jc w:val="center"/>
                              <w:rPr>
                                <w:rFonts w:eastAsia="Times New Roman"/>
                                <w:bCs/>
                                <w:sz w:val="20"/>
                                <w:szCs w:val="20"/>
                              </w:rPr>
                            </w:pPr>
                          </w:p>
                          <w:p w14:paraId="20615A03" w14:textId="77777777" w:rsidR="00795E89" w:rsidRDefault="00795E89" w:rsidP="007873A0">
                            <w:pPr>
                              <w:spacing w:before="0" w:after="0"/>
                              <w:jc w:val="center"/>
                              <w:rPr>
                                <w:rFonts w:eastAsia="Times New Roman"/>
                                <w:bCs/>
                                <w:sz w:val="20"/>
                                <w:szCs w:val="20"/>
                              </w:rPr>
                            </w:pPr>
                          </w:p>
                          <w:p w14:paraId="5469449B" w14:textId="77777777" w:rsidR="00795E89" w:rsidRDefault="00795E89" w:rsidP="007873A0">
                            <w:pPr>
                              <w:spacing w:before="0" w:after="0"/>
                              <w:jc w:val="center"/>
                              <w:rPr>
                                <w:rFonts w:eastAsia="Times New Roman"/>
                                <w:bCs/>
                                <w:sz w:val="20"/>
                                <w:szCs w:val="20"/>
                              </w:rPr>
                            </w:pPr>
                          </w:p>
                          <w:p w14:paraId="0D2B1E08" w14:textId="77777777" w:rsidR="00795E89" w:rsidRDefault="00795E89" w:rsidP="007873A0">
                            <w:pPr>
                              <w:spacing w:before="0" w:after="0"/>
                              <w:jc w:val="center"/>
                              <w:rPr>
                                <w:rFonts w:eastAsia="Times New Roman"/>
                                <w:bCs/>
                                <w:sz w:val="20"/>
                                <w:szCs w:val="20"/>
                              </w:rPr>
                            </w:pPr>
                          </w:p>
                          <w:p w14:paraId="0C3E696F" w14:textId="77777777" w:rsidR="00795E89" w:rsidRDefault="00795E89" w:rsidP="007873A0">
                            <w:pPr>
                              <w:spacing w:before="0" w:after="0"/>
                              <w:jc w:val="center"/>
                              <w:rPr>
                                <w:rFonts w:eastAsia="Times New Roman"/>
                                <w:bCs/>
                                <w:sz w:val="20"/>
                                <w:szCs w:val="20"/>
                              </w:rPr>
                            </w:pPr>
                          </w:p>
                          <w:p w14:paraId="57755674" w14:textId="77777777" w:rsidR="00795E89" w:rsidRDefault="00795E89" w:rsidP="007873A0">
                            <w:pPr>
                              <w:spacing w:before="0" w:after="0"/>
                              <w:jc w:val="center"/>
                              <w:rPr>
                                <w:rFonts w:eastAsia="Times New Roman"/>
                                <w:bCs/>
                                <w:sz w:val="20"/>
                                <w:szCs w:val="20"/>
                              </w:rPr>
                            </w:pPr>
                          </w:p>
                          <w:p w14:paraId="690F9286" w14:textId="77777777" w:rsidR="00795E89" w:rsidRDefault="00795E89" w:rsidP="007873A0">
                            <w:pPr>
                              <w:spacing w:before="0" w:after="0"/>
                              <w:jc w:val="center"/>
                              <w:rPr>
                                <w:rFonts w:eastAsia="Times New Roman"/>
                                <w:bCs/>
                                <w:sz w:val="20"/>
                                <w:szCs w:val="20"/>
                              </w:rPr>
                            </w:pPr>
                          </w:p>
                          <w:p w14:paraId="46D8B0AC" w14:textId="77777777" w:rsidR="00795E89" w:rsidRDefault="00795E89" w:rsidP="007873A0">
                            <w:pPr>
                              <w:spacing w:before="0" w:after="0"/>
                              <w:jc w:val="center"/>
                              <w:rPr>
                                <w:rFonts w:eastAsia="Times New Roman"/>
                                <w:bCs/>
                                <w:sz w:val="20"/>
                                <w:szCs w:val="20"/>
                              </w:rPr>
                            </w:pPr>
                          </w:p>
                          <w:p w14:paraId="1FDC3BD7" w14:textId="77777777" w:rsidR="00795E89" w:rsidRDefault="00795E89" w:rsidP="007873A0">
                            <w:pPr>
                              <w:spacing w:before="0" w:after="0"/>
                              <w:jc w:val="center"/>
                              <w:rPr>
                                <w:rFonts w:eastAsia="Times New Roman"/>
                                <w:bCs/>
                                <w:sz w:val="20"/>
                                <w:szCs w:val="20"/>
                              </w:rPr>
                            </w:pPr>
                          </w:p>
                          <w:p w14:paraId="49FD3EB2" w14:textId="77777777" w:rsidR="00795E89" w:rsidRDefault="00795E89" w:rsidP="007873A0">
                            <w:pPr>
                              <w:spacing w:before="0" w:after="0"/>
                              <w:jc w:val="center"/>
                              <w:rPr>
                                <w:rFonts w:eastAsia="Times New Roman"/>
                                <w:bCs/>
                                <w:sz w:val="20"/>
                                <w:szCs w:val="20"/>
                              </w:rPr>
                            </w:pPr>
                          </w:p>
                          <w:p w14:paraId="25C7F060" w14:textId="77777777" w:rsidR="00795E89" w:rsidRDefault="00795E89" w:rsidP="007873A0">
                            <w:pPr>
                              <w:spacing w:before="0" w:after="0"/>
                              <w:jc w:val="center"/>
                              <w:rPr>
                                <w:rFonts w:eastAsia="Times New Roman"/>
                                <w:bCs/>
                                <w:sz w:val="20"/>
                                <w:szCs w:val="20"/>
                              </w:rPr>
                            </w:pPr>
                          </w:p>
                          <w:p w14:paraId="5226BC6C" w14:textId="77777777" w:rsidR="00795E89" w:rsidRDefault="00795E89" w:rsidP="007873A0">
                            <w:pPr>
                              <w:spacing w:before="0" w:after="0"/>
                              <w:jc w:val="center"/>
                              <w:rPr>
                                <w:rFonts w:eastAsia="Times New Roman"/>
                                <w:bCs/>
                                <w:sz w:val="20"/>
                                <w:szCs w:val="20"/>
                              </w:rPr>
                            </w:pPr>
                          </w:p>
                          <w:p w14:paraId="23C56472" w14:textId="77777777" w:rsidR="00795E89" w:rsidRDefault="00795E89" w:rsidP="007873A0">
                            <w:pPr>
                              <w:spacing w:before="0" w:after="0"/>
                              <w:jc w:val="center"/>
                              <w:rPr>
                                <w:rFonts w:eastAsia="Times New Roman"/>
                                <w:bCs/>
                                <w:sz w:val="20"/>
                                <w:szCs w:val="20"/>
                              </w:rPr>
                            </w:pPr>
                          </w:p>
                          <w:p w14:paraId="2EB1B75A" w14:textId="77777777" w:rsidR="00795E89" w:rsidRDefault="00795E89" w:rsidP="007873A0">
                            <w:pPr>
                              <w:spacing w:before="0" w:after="0"/>
                              <w:jc w:val="center"/>
                              <w:rPr>
                                <w:rFonts w:eastAsia="Times New Roman"/>
                                <w:bCs/>
                                <w:sz w:val="20"/>
                                <w:szCs w:val="20"/>
                              </w:rPr>
                            </w:pPr>
                          </w:p>
                          <w:p w14:paraId="3F03F584" w14:textId="77777777" w:rsidR="00795E89" w:rsidRDefault="00795E89" w:rsidP="007873A0">
                            <w:pPr>
                              <w:spacing w:before="0" w:after="0"/>
                              <w:jc w:val="center"/>
                              <w:rPr>
                                <w:rFonts w:eastAsia="Times New Roman"/>
                                <w:bCs/>
                                <w:sz w:val="20"/>
                                <w:szCs w:val="20"/>
                              </w:rPr>
                            </w:pPr>
                          </w:p>
                          <w:p w14:paraId="7F721135" w14:textId="77777777" w:rsidR="00795E89" w:rsidRDefault="00795E89" w:rsidP="007873A0">
                            <w:pPr>
                              <w:spacing w:before="0" w:after="0"/>
                              <w:jc w:val="center"/>
                              <w:rPr>
                                <w:rFonts w:eastAsia="Times New Roman"/>
                                <w:bCs/>
                                <w:sz w:val="20"/>
                                <w:szCs w:val="20"/>
                              </w:rPr>
                            </w:pPr>
                          </w:p>
                          <w:p w14:paraId="02A50B60" w14:textId="77777777" w:rsidR="00795E89" w:rsidRDefault="00795E89" w:rsidP="007873A0">
                            <w:pPr>
                              <w:spacing w:before="0" w:after="0"/>
                              <w:jc w:val="center"/>
                              <w:rPr>
                                <w:rFonts w:eastAsia="Times New Roman"/>
                                <w:bCs/>
                                <w:sz w:val="20"/>
                                <w:szCs w:val="20"/>
                              </w:rPr>
                            </w:pPr>
                          </w:p>
                          <w:p w14:paraId="1D42B458" w14:textId="77777777" w:rsidR="00795E89" w:rsidRDefault="00795E89" w:rsidP="007873A0">
                            <w:pPr>
                              <w:spacing w:before="0" w:after="0"/>
                              <w:jc w:val="center"/>
                              <w:rPr>
                                <w:rFonts w:eastAsia="Times New Roman"/>
                                <w:bCs/>
                                <w:sz w:val="20"/>
                                <w:szCs w:val="20"/>
                              </w:rPr>
                            </w:pPr>
                          </w:p>
                          <w:p w14:paraId="5043E908" w14:textId="77777777" w:rsidR="00795E89" w:rsidRDefault="00795E89" w:rsidP="007873A0">
                            <w:pPr>
                              <w:spacing w:before="0" w:after="0"/>
                              <w:jc w:val="center"/>
                              <w:rPr>
                                <w:rFonts w:eastAsia="Times New Roman"/>
                                <w:bCs/>
                                <w:sz w:val="20"/>
                                <w:szCs w:val="20"/>
                              </w:rPr>
                            </w:pPr>
                          </w:p>
                          <w:p w14:paraId="07149F06" w14:textId="465203E0" w:rsidR="00795E89" w:rsidRDefault="00795E89" w:rsidP="007873A0">
                            <w:pPr>
                              <w:spacing w:before="0" w:after="0"/>
                              <w:jc w:val="center"/>
                              <w:rPr>
                                <w:rFonts w:eastAsia="Times New Roman"/>
                                <w:bCs/>
                                <w:sz w:val="20"/>
                                <w:szCs w:val="20"/>
                              </w:rPr>
                            </w:pPr>
                          </w:p>
                          <w:p w14:paraId="536B8D3A" w14:textId="6015D6A4" w:rsidR="00795E89" w:rsidRDefault="00795E89" w:rsidP="007873A0">
                            <w:pPr>
                              <w:spacing w:before="0" w:after="0"/>
                              <w:jc w:val="center"/>
                              <w:rPr>
                                <w:rFonts w:eastAsia="Times New Roman"/>
                                <w:bCs/>
                                <w:sz w:val="20"/>
                                <w:szCs w:val="20"/>
                              </w:rPr>
                            </w:pPr>
                          </w:p>
                          <w:p w14:paraId="40D832FC" w14:textId="4128CC7B" w:rsidR="00795E89" w:rsidRDefault="00795E89" w:rsidP="007873A0">
                            <w:pPr>
                              <w:spacing w:before="0" w:after="0"/>
                              <w:jc w:val="center"/>
                              <w:rPr>
                                <w:rFonts w:eastAsia="Times New Roman"/>
                                <w:bCs/>
                                <w:sz w:val="20"/>
                                <w:szCs w:val="20"/>
                              </w:rPr>
                            </w:pPr>
                          </w:p>
                          <w:p w14:paraId="553969D7" w14:textId="169E512C" w:rsidR="00795E89" w:rsidRDefault="00795E89" w:rsidP="007873A0">
                            <w:pPr>
                              <w:spacing w:before="0" w:after="0"/>
                              <w:jc w:val="center"/>
                              <w:rPr>
                                <w:rFonts w:eastAsia="Times New Roman"/>
                                <w:bCs/>
                                <w:sz w:val="20"/>
                                <w:szCs w:val="20"/>
                              </w:rPr>
                            </w:pPr>
                          </w:p>
                          <w:p w14:paraId="529CC652" w14:textId="6371209D" w:rsidR="00795E89" w:rsidRDefault="00795E89" w:rsidP="007873A0">
                            <w:pPr>
                              <w:spacing w:before="0" w:after="0"/>
                              <w:jc w:val="center"/>
                              <w:rPr>
                                <w:rFonts w:eastAsia="Times New Roman"/>
                                <w:bCs/>
                                <w:sz w:val="20"/>
                                <w:szCs w:val="20"/>
                              </w:rPr>
                            </w:pPr>
                          </w:p>
                          <w:p w14:paraId="05FD054C" w14:textId="56C0FB6A" w:rsidR="00795E89" w:rsidRDefault="00795E89" w:rsidP="007873A0">
                            <w:pPr>
                              <w:spacing w:before="0" w:after="0"/>
                              <w:jc w:val="center"/>
                              <w:rPr>
                                <w:rFonts w:eastAsia="Times New Roman"/>
                                <w:bCs/>
                                <w:sz w:val="20"/>
                                <w:szCs w:val="20"/>
                              </w:rPr>
                            </w:pPr>
                          </w:p>
                          <w:p w14:paraId="447A044C" w14:textId="1803BBF1" w:rsidR="00795E89" w:rsidRDefault="00795E89" w:rsidP="007873A0">
                            <w:pPr>
                              <w:spacing w:before="0" w:after="0"/>
                              <w:jc w:val="center"/>
                              <w:rPr>
                                <w:rFonts w:eastAsia="Times New Roman"/>
                                <w:bCs/>
                                <w:sz w:val="20"/>
                                <w:szCs w:val="20"/>
                              </w:rPr>
                            </w:pPr>
                          </w:p>
                          <w:p w14:paraId="624DC857" w14:textId="5D0BAFDC" w:rsidR="00795E89" w:rsidRDefault="00795E89" w:rsidP="007873A0">
                            <w:pPr>
                              <w:spacing w:before="0" w:after="0"/>
                              <w:jc w:val="center"/>
                              <w:rPr>
                                <w:rFonts w:eastAsia="Times New Roman"/>
                                <w:bCs/>
                                <w:sz w:val="20"/>
                                <w:szCs w:val="20"/>
                              </w:rPr>
                            </w:pPr>
                          </w:p>
                          <w:p w14:paraId="2466673C" w14:textId="07933A3F" w:rsidR="00795E89" w:rsidRDefault="00795E89" w:rsidP="007873A0">
                            <w:pPr>
                              <w:spacing w:before="0" w:after="0"/>
                              <w:jc w:val="center"/>
                              <w:rPr>
                                <w:rFonts w:eastAsia="Times New Roman"/>
                                <w:bCs/>
                                <w:sz w:val="20"/>
                                <w:szCs w:val="20"/>
                              </w:rPr>
                            </w:pPr>
                          </w:p>
                          <w:p w14:paraId="362E475F" w14:textId="2874E21A" w:rsidR="00795E89" w:rsidRDefault="00795E89" w:rsidP="007873A0">
                            <w:pPr>
                              <w:spacing w:before="0" w:after="0"/>
                              <w:jc w:val="center"/>
                              <w:rPr>
                                <w:rFonts w:eastAsia="Times New Roman"/>
                                <w:bCs/>
                                <w:sz w:val="20"/>
                                <w:szCs w:val="20"/>
                              </w:rPr>
                            </w:pPr>
                          </w:p>
                          <w:p w14:paraId="2712CA13" w14:textId="16DF1173" w:rsidR="00795E89" w:rsidRDefault="00795E89" w:rsidP="007873A0">
                            <w:pPr>
                              <w:spacing w:before="0" w:after="0"/>
                              <w:jc w:val="center"/>
                              <w:rPr>
                                <w:rFonts w:eastAsia="Times New Roman"/>
                                <w:bCs/>
                                <w:sz w:val="20"/>
                                <w:szCs w:val="20"/>
                              </w:rPr>
                            </w:pPr>
                          </w:p>
                          <w:p w14:paraId="06AD1464" w14:textId="38F3E8DD" w:rsidR="00795E89" w:rsidRDefault="00795E89" w:rsidP="007873A0">
                            <w:pPr>
                              <w:spacing w:before="0" w:after="0"/>
                              <w:jc w:val="center"/>
                              <w:rPr>
                                <w:rFonts w:eastAsia="Times New Roman"/>
                                <w:bCs/>
                                <w:sz w:val="20"/>
                                <w:szCs w:val="20"/>
                              </w:rPr>
                            </w:pPr>
                          </w:p>
                          <w:p w14:paraId="00394A65" w14:textId="77777777" w:rsidR="00795E89" w:rsidRDefault="00795E89" w:rsidP="007873A0">
                            <w:pPr>
                              <w:spacing w:before="0" w:after="0"/>
                              <w:jc w:val="center"/>
                              <w:rPr>
                                <w:rFonts w:eastAsia="Times New Roman"/>
                                <w:bCs/>
                                <w:sz w:val="20"/>
                                <w:szCs w:val="20"/>
                              </w:rPr>
                            </w:pPr>
                          </w:p>
                          <w:p w14:paraId="5E911CFE" w14:textId="77777777" w:rsidR="00795E89" w:rsidRDefault="00795E89" w:rsidP="007873A0">
                            <w:pPr>
                              <w:spacing w:before="0" w:after="0"/>
                              <w:jc w:val="center"/>
                              <w:rPr>
                                <w:rFonts w:eastAsia="Times New Roman"/>
                                <w:bCs/>
                                <w:sz w:val="20"/>
                                <w:szCs w:val="20"/>
                              </w:rPr>
                            </w:pPr>
                          </w:p>
                          <w:bookmarkEnd w:id="1"/>
                          <w:p w14:paraId="088E12AC" w14:textId="65F1839D" w:rsidR="00795E89" w:rsidRPr="00A37FA2" w:rsidRDefault="00795E89" w:rsidP="007873A0">
                            <w:pPr>
                              <w:spacing w:before="0" w:after="0"/>
                              <w:jc w:val="center"/>
                              <w:rPr>
                                <w:rFonts w:eastAsia="Times New Roman" w:cs="Courier New"/>
                                <w:bCs/>
                                <w:szCs w:val="20"/>
                                <w:lang w:eastAsia="ru-RU"/>
                              </w:rPr>
                            </w:pPr>
                          </w:p>
                          <w:p w14:paraId="5D299EC5" w14:textId="77777777" w:rsidR="00795E89" w:rsidRDefault="00795E89" w:rsidP="007873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24CE6" id="Прямоугольник 5" o:spid="_x0000_s1026" style="position:absolute;left:0;text-align:left;margin-left:28.5pt;margin-top:-31.95pt;width:542.45pt;height:11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" stroked="f" strokeweight="1pt">
                <v:path arrowok="t"/>
                <v:textbox>
                  <w:txbxContent>
                    <w:p w14:paraId="13AA1399" w14:textId="77777777" w:rsidR="00795E89" w:rsidRDefault="00795E89" w:rsidP="007873A0">
                      <w:pPr>
                        <w:spacing w:before="0" w:after="0"/>
                        <w:jc w:val="center"/>
                        <w:rPr>
                          <w:rFonts w:eastAsia="Times New Roman"/>
                          <w:bCs/>
                          <w:sz w:val="20"/>
                          <w:szCs w:val="20"/>
                        </w:rPr>
                      </w:pPr>
                      <w:bookmarkStart w:id="2" w:name="_Hlk31706458"/>
                    </w:p>
                    <w:p w14:paraId="6D7C645F" w14:textId="77777777" w:rsidR="00795E89" w:rsidRDefault="00795E89" w:rsidP="007873A0">
                      <w:pPr>
                        <w:spacing w:before="0" w:after="0"/>
                        <w:jc w:val="center"/>
                        <w:rPr>
                          <w:rFonts w:eastAsia="Times New Roman"/>
                          <w:bCs/>
                          <w:sz w:val="20"/>
                          <w:szCs w:val="20"/>
                        </w:rPr>
                      </w:pPr>
                    </w:p>
                    <w:p w14:paraId="63A23A32" w14:textId="77777777" w:rsidR="00795E89" w:rsidRDefault="00795E89" w:rsidP="007873A0">
                      <w:pPr>
                        <w:spacing w:before="0" w:after="0"/>
                        <w:jc w:val="center"/>
                        <w:rPr>
                          <w:rFonts w:eastAsia="Times New Roman"/>
                          <w:bCs/>
                          <w:sz w:val="20"/>
                          <w:szCs w:val="20"/>
                        </w:rPr>
                      </w:pPr>
                    </w:p>
                    <w:p w14:paraId="3FAEEC20" w14:textId="77777777" w:rsidR="00795E89" w:rsidRDefault="00795E89" w:rsidP="007873A0">
                      <w:pPr>
                        <w:spacing w:before="0" w:after="0"/>
                        <w:jc w:val="center"/>
                        <w:rPr>
                          <w:rFonts w:eastAsia="Times New Roman"/>
                          <w:bCs/>
                          <w:sz w:val="20"/>
                          <w:szCs w:val="20"/>
                        </w:rPr>
                      </w:pPr>
                    </w:p>
                    <w:p w14:paraId="46C14D9A" w14:textId="77777777" w:rsidR="00795E89" w:rsidRDefault="00795E89" w:rsidP="007873A0">
                      <w:pPr>
                        <w:spacing w:before="0" w:after="0"/>
                        <w:jc w:val="center"/>
                        <w:rPr>
                          <w:rFonts w:eastAsia="Times New Roman"/>
                          <w:bCs/>
                          <w:sz w:val="20"/>
                          <w:szCs w:val="20"/>
                        </w:rPr>
                      </w:pPr>
                    </w:p>
                    <w:p w14:paraId="03469BB9" w14:textId="77777777" w:rsidR="00795E89" w:rsidRDefault="00795E89" w:rsidP="007873A0">
                      <w:pPr>
                        <w:spacing w:before="0" w:after="0"/>
                        <w:jc w:val="center"/>
                        <w:rPr>
                          <w:rFonts w:eastAsia="Times New Roman"/>
                          <w:bCs/>
                          <w:sz w:val="20"/>
                          <w:szCs w:val="20"/>
                        </w:rPr>
                      </w:pPr>
                    </w:p>
                    <w:p w14:paraId="4DF705B0" w14:textId="77777777" w:rsidR="00795E89" w:rsidRDefault="00795E89" w:rsidP="007873A0">
                      <w:pPr>
                        <w:spacing w:before="0" w:after="0"/>
                        <w:jc w:val="center"/>
                        <w:rPr>
                          <w:rFonts w:eastAsia="Times New Roman"/>
                          <w:bCs/>
                          <w:sz w:val="20"/>
                          <w:szCs w:val="20"/>
                        </w:rPr>
                      </w:pPr>
                    </w:p>
                    <w:p w14:paraId="1D44B1CB" w14:textId="77777777" w:rsidR="00795E89" w:rsidRDefault="00795E89" w:rsidP="007873A0">
                      <w:pPr>
                        <w:spacing w:before="0" w:after="0"/>
                        <w:jc w:val="center"/>
                        <w:rPr>
                          <w:rFonts w:eastAsia="Times New Roman"/>
                          <w:bCs/>
                          <w:sz w:val="20"/>
                          <w:szCs w:val="20"/>
                        </w:rPr>
                      </w:pPr>
                    </w:p>
                    <w:p w14:paraId="2248C91F" w14:textId="77777777" w:rsidR="00795E89" w:rsidRDefault="00795E89" w:rsidP="007873A0">
                      <w:pPr>
                        <w:spacing w:before="0" w:after="0"/>
                        <w:jc w:val="center"/>
                        <w:rPr>
                          <w:rFonts w:eastAsia="Times New Roman"/>
                          <w:bCs/>
                          <w:sz w:val="20"/>
                          <w:szCs w:val="20"/>
                        </w:rPr>
                      </w:pPr>
                    </w:p>
                    <w:p w14:paraId="23DCD8A4" w14:textId="77777777" w:rsidR="00795E89" w:rsidRDefault="00795E89" w:rsidP="007873A0">
                      <w:pPr>
                        <w:spacing w:before="0" w:after="0"/>
                        <w:jc w:val="center"/>
                        <w:rPr>
                          <w:rFonts w:eastAsia="Times New Roman"/>
                          <w:bCs/>
                          <w:sz w:val="20"/>
                          <w:szCs w:val="20"/>
                        </w:rPr>
                      </w:pPr>
                    </w:p>
                    <w:p w14:paraId="609BD8BC" w14:textId="77777777" w:rsidR="00795E89" w:rsidRDefault="00795E89" w:rsidP="007873A0">
                      <w:pPr>
                        <w:spacing w:before="0" w:after="0"/>
                        <w:jc w:val="center"/>
                        <w:rPr>
                          <w:rFonts w:eastAsia="Times New Roman"/>
                          <w:bCs/>
                          <w:sz w:val="20"/>
                          <w:szCs w:val="20"/>
                        </w:rPr>
                      </w:pPr>
                    </w:p>
                    <w:p w14:paraId="20615A03" w14:textId="77777777" w:rsidR="00795E89" w:rsidRDefault="00795E89" w:rsidP="007873A0">
                      <w:pPr>
                        <w:spacing w:before="0" w:after="0"/>
                        <w:jc w:val="center"/>
                        <w:rPr>
                          <w:rFonts w:eastAsia="Times New Roman"/>
                          <w:bCs/>
                          <w:sz w:val="20"/>
                          <w:szCs w:val="20"/>
                        </w:rPr>
                      </w:pPr>
                    </w:p>
                    <w:p w14:paraId="5469449B" w14:textId="77777777" w:rsidR="00795E89" w:rsidRDefault="00795E89" w:rsidP="007873A0">
                      <w:pPr>
                        <w:spacing w:before="0" w:after="0"/>
                        <w:jc w:val="center"/>
                        <w:rPr>
                          <w:rFonts w:eastAsia="Times New Roman"/>
                          <w:bCs/>
                          <w:sz w:val="20"/>
                          <w:szCs w:val="20"/>
                        </w:rPr>
                      </w:pPr>
                    </w:p>
                    <w:p w14:paraId="0D2B1E08" w14:textId="77777777" w:rsidR="00795E89" w:rsidRDefault="00795E89" w:rsidP="007873A0">
                      <w:pPr>
                        <w:spacing w:before="0" w:after="0"/>
                        <w:jc w:val="center"/>
                        <w:rPr>
                          <w:rFonts w:eastAsia="Times New Roman"/>
                          <w:bCs/>
                          <w:sz w:val="20"/>
                          <w:szCs w:val="20"/>
                        </w:rPr>
                      </w:pPr>
                    </w:p>
                    <w:p w14:paraId="0C3E696F" w14:textId="77777777" w:rsidR="00795E89" w:rsidRDefault="00795E89" w:rsidP="007873A0">
                      <w:pPr>
                        <w:spacing w:before="0" w:after="0"/>
                        <w:jc w:val="center"/>
                        <w:rPr>
                          <w:rFonts w:eastAsia="Times New Roman"/>
                          <w:bCs/>
                          <w:sz w:val="20"/>
                          <w:szCs w:val="20"/>
                        </w:rPr>
                      </w:pPr>
                    </w:p>
                    <w:p w14:paraId="57755674" w14:textId="77777777" w:rsidR="00795E89" w:rsidRDefault="00795E89" w:rsidP="007873A0">
                      <w:pPr>
                        <w:spacing w:before="0" w:after="0"/>
                        <w:jc w:val="center"/>
                        <w:rPr>
                          <w:rFonts w:eastAsia="Times New Roman"/>
                          <w:bCs/>
                          <w:sz w:val="20"/>
                          <w:szCs w:val="20"/>
                        </w:rPr>
                      </w:pPr>
                    </w:p>
                    <w:p w14:paraId="690F9286" w14:textId="77777777" w:rsidR="00795E89" w:rsidRDefault="00795E89" w:rsidP="007873A0">
                      <w:pPr>
                        <w:spacing w:before="0" w:after="0"/>
                        <w:jc w:val="center"/>
                        <w:rPr>
                          <w:rFonts w:eastAsia="Times New Roman"/>
                          <w:bCs/>
                          <w:sz w:val="20"/>
                          <w:szCs w:val="20"/>
                        </w:rPr>
                      </w:pPr>
                    </w:p>
                    <w:p w14:paraId="46D8B0AC" w14:textId="77777777" w:rsidR="00795E89" w:rsidRDefault="00795E89" w:rsidP="007873A0">
                      <w:pPr>
                        <w:spacing w:before="0" w:after="0"/>
                        <w:jc w:val="center"/>
                        <w:rPr>
                          <w:rFonts w:eastAsia="Times New Roman"/>
                          <w:bCs/>
                          <w:sz w:val="20"/>
                          <w:szCs w:val="20"/>
                        </w:rPr>
                      </w:pPr>
                    </w:p>
                    <w:p w14:paraId="1FDC3BD7" w14:textId="77777777" w:rsidR="00795E89" w:rsidRDefault="00795E89" w:rsidP="007873A0">
                      <w:pPr>
                        <w:spacing w:before="0" w:after="0"/>
                        <w:jc w:val="center"/>
                        <w:rPr>
                          <w:rFonts w:eastAsia="Times New Roman"/>
                          <w:bCs/>
                          <w:sz w:val="20"/>
                          <w:szCs w:val="20"/>
                        </w:rPr>
                      </w:pPr>
                    </w:p>
                    <w:p w14:paraId="49FD3EB2" w14:textId="77777777" w:rsidR="00795E89" w:rsidRDefault="00795E89" w:rsidP="007873A0">
                      <w:pPr>
                        <w:spacing w:before="0" w:after="0"/>
                        <w:jc w:val="center"/>
                        <w:rPr>
                          <w:rFonts w:eastAsia="Times New Roman"/>
                          <w:bCs/>
                          <w:sz w:val="20"/>
                          <w:szCs w:val="20"/>
                        </w:rPr>
                      </w:pPr>
                    </w:p>
                    <w:p w14:paraId="25C7F060" w14:textId="77777777" w:rsidR="00795E89" w:rsidRDefault="00795E89" w:rsidP="007873A0">
                      <w:pPr>
                        <w:spacing w:before="0" w:after="0"/>
                        <w:jc w:val="center"/>
                        <w:rPr>
                          <w:rFonts w:eastAsia="Times New Roman"/>
                          <w:bCs/>
                          <w:sz w:val="20"/>
                          <w:szCs w:val="20"/>
                        </w:rPr>
                      </w:pPr>
                    </w:p>
                    <w:p w14:paraId="5226BC6C" w14:textId="77777777" w:rsidR="00795E89" w:rsidRDefault="00795E89" w:rsidP="007873A0">
                      <w:pPr>
                        <w:spacing w:before="0" w:after="0"/>
                        <w:jc w:val="center"/>
                        <w:rPr>
                          <w:rFonts w:eastAsia="Times New Roman"/>
                          <w:bCs/>
                          <w:sz w:val="20"/>
                          <w:szCs w:val="20"/>
                        </w:rPr>
                      </w:pPr>
                    </w:p>
                    <w:p w14:paraId="23C56472" w14:textId="77777777" w:rsidR="00795E89" w:rsidRDefault="00795E89" w:rsidP="007873A0">
                      <w:pPr>
                        <w:spacing w:before="0" w:after="0"/>
                        <w:jc w:val="center"/>
                        <w:rPr>
                          <w:rFonts w:eastAsia="Times New Roman"/>
                          <w:bCs/>
                          <w:sz w:val="20"/>
                          <w:szCs w:val="20"/>
                        </w:rPr>
                      </w:pPr>
                    </w:p>
                    <w:p w14:paraId="2EB1B75A" w14:textId="77777777" w:rsidR="00795E89" w:rsidRDefault="00795E89" w:rsidP="007873A0">
                      <w:pPr>
                        <w:spacing w:before="0" w:after="0"/>
                        <w:jc w:val="center"/>
                        <w:rPr>
                          <w:rFonts w:eastAsia="Times New Roman"/>
                          <w:bCs/>
                          <w:sz w:val="20"/>
                          <w:szCs w:val="20"/>
                        </w:rPr>
                      </w:pPr>
                    </w:p>
                    <w:p w14:paraId="3F03F584" w14:textId="77777777" w:rsidR="00795E89" w:rsidRDefault="00795E89" w:rsidP="007873A0">
                      <w:pPr>
                        <w:spacing w:before="0" w:after="0"/>
                        <w:jc w:val="center"/>
                        <w:rPr>
                          <w:rFonts w:eastAsia="Times New Roman"/>
                          <w:bCs/>
                          <w:sz w:val="20"/>
                          <w:szCs w:val="20"/>
                        </w:rPr>
                      </w:pPr>
                    </w:p>
                    <w:p w14:paraId="7F721135" w14:textId="77777777" w:rsidR="00795E89" w:rsidRDefault="00795E89" w:rsidP="007873A0">
                      <w:pPr>
                        <w:spacing w:before="0" w:after="0"/>
                        <w:jc w:val="center"/>
                        <w:rPr>
                          <w:rFonts w:eastAsia="Times New Roman"/>
                          <w:bCs/>
                          <w:sz w:val="20"/>
                          <w:szCs w:val="20"/>
                        </w:rPr>
                      </w:pPr>
                    </w:p>
                    <w:p w14:paraId="02A50B60" w14:textId="77777777" w:rsidR="00795E89" w:rsidRDefault="00795E89" w:rsidP="007873A0">
                      <w:pPr>
                        <w:spacing w:before="0" w:after="0"/>
                        <w:jc w:val="center"/>
                        <w:rPr>
                          <w:rFonts w:eastAsia="Times New Roman"/>
                          <w:bCs/>
                          <w:sz w:val="20"/>
                          <w:szCs w:val="20"/>
                        </w:rPr>
                      </w:pPr>
                    </w:p>
                    <w:p w14:paraId="1D42B458" w14:textId="77777777" w:rsidR="00795E89" w:rsidRDefault="00795E89" w:rsidP="007873A0">
                      <w:pPr>
                        <w:spacing w:before="0" w:after="0"/>
                        <w:jc w:val="center"/>
                        <w:rPr>
                          <w:rFonts w:eastAsia="Times New Roman"/>
                          <w:bCs/>
                          <w:sz w:val="20"/>
                          <w:szCs w:val="20"/>
                        </w:rPr>
                      </w:pPr>
                    </w:p>
                    <w:p w14:paraId="5043E908" w14:textId="77777777" w:rsidR="00795E89" w:rsidRDefault="00795E89" w:rsidP="007873A0">
                      <w:pPr>
                        <w:spacing w:before="0" w:after="0"/>
                        <w:jc w:val="center"/>
                        <w:rPr>
                          <w:rFonts w:eastAsia="Times New Roman"/>
                          <w:bCs/>
                          <w:sz w:val="20"/>
                          <w:szCs w:val="20"/>
                        </w:rPr>
                      </w:pPr>
                    </w:p>
                    <w:p w14:paraId="07149F06" w14:textId="465203E0" w:rsidR="00795E89" w:rsidRDefault="00795E89" w:rsidP="007873A0">
                      <w:pPr>
                        <w:spacing w:before="0" w:after="0"/>
                        <w:jc w:val="center"/>
                        <w:rPr>
                          <w:rFonts w:eastAsia="Times New Roman"/>
                          <w:bCs/>
                          <w:sz w:val="20"/>
                          <w:szCs w:val="20"/>
                        </w:rPr>
                      </w:pPr>
                    </w:p>
                    <w:p w14:paraId="536B8D3A" w14:textId="6015D6A4" w:rsidR="00795E89" w:rsidRDefault="00795E89" w:rsidP="007873A0">
                      <w:pPr>
                        <w:spacing w:before="0" w:after="0"/>
                        <w:jc w:val="center"/>
                        <w:rPr>
                          <w:rFonts w:eastAsia="Times New Roman"/>
                          <w:bCs/>
                          <w:sz w:val="20"/>
                          <w:szCs w:val="20"/>
                        </w:rPr>
                      </w:pPr>
                    </w:p>
                    <w:p w14:paraId="40D832FC" w14:textId="4128CC7B" w:rsidR="00795E89" w:rsidRDefault="00795E89" w:rsidP="007873A0">
                      <w:pPr>
                        <w:spacing w:before="0" w:after="0"/>
                        <w:jc w:val="center"/>
                        <w:rPr>
                          <w:rFonts w:eastAsia="Times New Roman"/>
                          <w:bCs/>
                          <w:sz w:val="20"/>
                          <w:szCs w:val="20"/>
                        </w:rPr>
                      </w:pPr>
                    </w:p>
                    <w:p w14:paraId="553969D7" w14:textId="169E512C" w:rsidR="00795E89" w:rsidRDefault="00795E89" w:rsidP="007873A0">
                      <w:pPr>
                        <w:spacing w:before="0" w:after="0"/>
                        <w:jc w:val="center"/>
                        <w:rPr>
                          <w:rFonts w:eastAsia="Times New Roman"/>
                          <w:bCs/>
                          <w:sz w:val="20"/>
                          <w:szCs w:val="20"/>
                        </w:rPr>
                      </w:pPr>
                    </w:p>
                    <w:p w14:paraId="529CC652" w14:textId="6371209D" w:rsidR="00795E89" w:rsidRDefault="00795E89" w:rsidP="007873A0">
                      <w:pPr>
                        <w:spacing w:before="0" w:after="0"/>
                        <w:jc w:val="center"/>
                        <w:rPr>
                          <w:rFonts w:eastAsia="Times New Roman"/>
                          <w:bCs/>
                          <w:sz w:val="20"/>
                          <w:szCs w:val="20"/>
                        </w:rPr>
                      </w:pPr>
                    </w:p>
                    <w:p w14:paraId="05FD054C" w14:textId="56C0FB6A" w:rsidR="00795E89" w:rsidRDefault="00795E89" w:rsidP="007873A0">
                      <w:pPr>
                        <w:spacing w:before="0" w:after="0"/>
                        <w:jc w:val="center"/>
                        <w:rPr>
                          <w:rFonts w:eastAsia="Times New Roman"/>
                          <w:bCs/>
                          <w:sz w:val="20"/>
                          <w:szCs w:val="20"/>
                        </w:rPr>
                      </w:pPr>
                    </w:p>
                    <w:p w14:paraId="447A044C" w14:textId="1803BBF1" w:rsidR="00795E89" w:rsidRDefault="00795E89" w:rsidP="007873A0">
                      <w:pPr>
                        <w:spacing w:before="0" w:after="0"/>
                        <w:jc w:val="center"/>
                        <w:rPr>
                          <w:rFonts w:eastAsia="Times New Roman"/>
                          <w:bCs/>
                          <w:sz w:val="20"/>
                          <w:szCs w:val="20"/>
                        </w:rPr>
                      </w:pPr>
                    </w:p>
                    <w:p w14:paraId="624DC857" w14:textId="5D0BAFDC" w:rsidR="00795E89" w:rsidRDefault="00795E89" w:rsidP="007873A0">
                      <w:pPr>
                        <w:spacing w:before="0" w:after="0"/>
                        <w:jc w:val="center"/>
                        <w:rPr>
                          <w:rFonts w:eastAsia="Times New Roman"/>
                          <w:bCs/>
                          <w:sz w:val="20"/>
                          <w:szCs w:val="20"/>
                        </w:rPr>
                      </w:pPr>
                    </w:p>
                    <w:p w14:paraId="2466673C" w14:textId="07933A3F" w:rsidR="00795E89" w:rsidRDefault="00795E89" w:rsidP="007873A0">
                      <w:pPr>
                        <w:spacing w:before="0" w:after="0"/>
                        <w:jc w:val="center"/>
                        <w:rPr>
                          <w:rFonts w:eastAsia="Times New Roman"/>
                          <w:bCs/>
                          <w:sz w:val="20"/>
                          <w:szCs w:val="20"/>
                        </w:rPr>
                      </w:pPr>
                    </w:p>
                    <w:p w14:paraId="362E475F" w14:textId="2874E21A" w:rsidR="00795E89" w:rsidRDefault="00795E89" w:rsidP="007873A0">
                      <w:pPr>
                        <w:spacing w:before="0" w:after="0"/>
                        <w:jc w:val="center"/>
                        <w:rPr>
                          <w:rFonts w:eastAsia="Times New Roman"/>
                          <w:bCs/>
                          <w:sz w:val="20"/>
                          <w:szCs w:val="20"/>
                        </w:rPr>
                      </w:pPr>
                    </w:p>
                    <w:p w14:paraId="2712CA13" w14:textId="16DF1173" w:rsidR="00795E89" w:rsidRDefault="00795E89" w:rsidP="007873A0">
                      <w:pPr>
                        <w:spacing w:before="0" w:after="0"/>
                        <w:jc w:val="center"/>
                        <w:rPr>
                          <w:rFonts w:eastAsia="Times New Roman"/>
                          <w:bCs/>
                          <w:sz w:val="20"/>
                          <w:szCs w:val="20"/>
                        </w:rPr>
                      </w:pPr>
                    </w:p>
                    <w:p w14:paraId="06AD1464" w14:textId="38F3E8DD" w:rsidR="00795E89" w:rsidRDefault="00795E89" w:rsidP="007873A0">
                      <w:pPr>
                        <w:spacing w:before="0" w:after="0"/>
                        <w:jc w:val="center"/>
                        <w:rPr>
                          <w:rFonts w:eastAsia="Times New Roman"/>
                          <w:bCs/>
                          <w:sz w:val="20"/>
                          <w:szCs w:val="20"/>
                        </w:rPr>
                      </w:pPr>
                    </w:p>
                    <w:p w14:paraId="00394A65" w14:textId="77777777" w:rsidR="00795E89" w:rsidRDefault="00795E89" w:rsidP="007873A0">
                      <w:pPr>
                        <w:spacing w:before="0" w:after="0"/>
                        <w:jc w:val="center"/>
                        <w:rPr>
                          <w:rFonts w:eastAsia="Times New Roman"/>
                          <w:bCs/>
                          <w:sz w:val="20"/>
                          <w:szCs w:val="20"/>
                        </w:rPr>
                      </w:pPr>
                    </w:p>
                    <w:p w14:paraId="5E911CFE" w14:textId="77777777" w:rsidR="00795E89" w:rsidRDefault="00795E89" w:rsidP="007873A0">
                      <w:pPr>
                        <w:spacing w:before="0" w:after="0"/>
                        <w:jc w:val="center"/>
                        <w:rPr>
                          <w:rFonts w:eastAsia="Times New Roman"/>
                          <w:bCs/>
                          <w:sz w:val="20"/>
                          <w:szCs w:val="20"/>
                        </w:rPr>
                      </w:pPr>
                    </w:p>
                    <w:bookmarkEnd w:id="2"/>
                    <w:p w14:paraId="088E12AC" w14:textId="65F1839D" w:rsidR="00795E89" w:rsidRPr="00A37FA2" w:rsidRDefault="00795E89" w:rsidP="007873A0">
                      <w:pPr>
                        <w:spacing w:before="0" w:after="0"/>
                        <w:jc w:val="center"/>
                        <w:rPr>
                          <w:rFonts w:eastAsia="Times New Roman" w:cs="Courier New"/>
                          <w:bCs/>
                          <w:szCs w:val="20"/>
                          <w:lang w:eastAsia="ru-RU"/>
                        </w:rPr>
                      </w:pPr>
                    </w:p>
                    <w:p w14:paraId="5D299EC5" w14:textId="77777777" w:rsidR="00795E89" w:rsidRDefault="00795E89" w:rsidP="007873A0">
                      <w:pPr>
                        <w:jc w:val="center"/>
                      </w:pPr>
                    </w:p>
                  </w:txbxContent>
                </v:textbox>
                <w10:wrap anchorx="page"/>
              </v:rect>
            </w:pict>
          </mc:Fallback>
        </mc:AlternateContent>
      </w:r>
      <w:r w:rsidRPr="00F242DD">
        <w:rPr>
          <w:noProof/>
          <w:lang w:eastAsia="ru-RU"/>
        </w:rPr>
        <mc:AlternateContent>
          <mc:Choice Requires="wps">
            <w:drawing>
              <wp:anchor distT="0" distB="0" distL="114300" distR="114300" simplePos="0" relativeHeight="251652608" behindDoc="1" locked="0" layoutInCell="1" allowOverlap="1" wp14:anchorId="27709A2F" wp14:editId="25D7CF1F">
                <wp:simplePos x="0" y="0"/>
                <wp:positionH relativeFrom="page">
                  <wp:align>left</wp:align>
                </wp:positionH>
                <wp:positionV relativeFrom="paragraph">
                  <wp:posOffset>-855345</wp:posOffset>
                </wp:positionV>
                <wp:extent cx="7600950" cy="10953750"/>
                <wp:effectExtent l="0" t="0" r="0" b="0"/>
                <wp:wrapNone/>
                <wp:docPr id="80"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0" cy="10953750"/>
                        </a:xfrm>
                        <a:prstGeom prst="rect">
                          <a:avLst/>
                        </a:prstGeom>
                        <a:solidFill>
                          <a:srgbClr val="0B595D">
                            <a:alpha val="9804"/>
                          </a:srgbClr>
                        </a:solidFill>
                        <a:ln w="12700" cap="flat" cmpd="sng" algn="ctr">
                          <a:noFill/>
                          <a:prstDash val="solid"/>
                          <a:miter lim="800000"/>
                        </a:ln>
                        <a:effectLst/>
                      </wps:spPr>
                      <wps:txbx>
                        <w:txbxContent>
                          <w:p w14:paraId="4C95D56E" w14:textId="77777777" w:rsidR="00795E89" w:rsidRDefault="00795E89" w:rsidP="00036C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09A2F" id="Прямоугольник 3" o:spid="_x0000_s1027" style="position:absolute;left:0;text-align:left;margin-left:0;margin-top:-67.35pt;width:598.5pt;height:862.5pt;z-index:-2516638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" fillcolor="#0b595d" stroked="f" strokeweight="1pt">
                <v:fill opacity="6425f"/>
                <v:path arrowok="t"/>
                <v:textbox>
                  <w:txbxContent>
                    <w:p w14:paraId="4C95D56E" w14:textId="77777777" w:rsidR="00795E89" w:rsidRDefault="00795E89" w:rsidP="00036C84">
                      <w:pPr>
                        <w:jc w:val="center"/>
                      </w:pPr>
                    </w:p>
                  </w:txbxContent>
                </v:textbox>
                <w10:wrap anchorx="page"/>
              </v:rect>
            </w:pict>
          </mc:Fallback>
        </mc:AlternateContent>
      </w:r>
      <w:r w:rsidR="008B30C2" w:rsidRPr="00F242DD">
        <w:t xml:space="preserve">     </w:t>
      </w:r>
    </w:p>
    <w:bookmarkEnd w:id="0"/>
    <w:p w14:paraId="6E5ACABB" w14:textId="77777777" w:rsidR="007873A0" w:rsidRPr="00F242DD" w:rsidRDefault="007873A0" w:rsidP="0086466D">
      <w:pPr>
        <w:jc w:val="center"/>
        <w:rPr>
          <w:b/>
        </w:rPr>
      </w:pPr>
    </w:p>
    <w:p w14:paraId="79B5A94F" w14:textId="3E40D0B5" w:rsidR="0086466D" w:rsidRPr="00F242DD" w:rsidRDefault="007873A0" w:rsidP="007873A0">
      <w:pPr>
        <w:tabs>
          <w:tab w:val="left" w:pos="2775"/>
        </w:tabs>
        <w:rPr>
          <w:b/>
        </w:rPr>
      </w:pPr>
      <w:r>
        <w:rPr>
          <w:b/>
        </w:rPr>
        <w:tab/>
      </w:r>
    </w:p>
    <w:p w14:paraId="492D292B" w14:textId="77777777" w:rsidR="00FE0634" w:rsidRPr="00F242DD" w:rsidRDefault="00FE0634" w:rsidP="0086466D">
      <w:pPr>
        <w:jc w:val="center"/>
        <w:rPr>
          <w:b/>
        </w:rPr>
      </w:pPr>
    </w:p>
    <w:p w14:paraId="64913EFF" w14:textId="77777777" w:rsidR="006A50CD" w:rsidRPr="00F242DD" w:rsidRDefault="006A50CD">
      <w:pPr>
        <w:spacing w:before="0" w:after="0" w:line="240" w:lineRule="auto"/>
        <w:jc w:val="left"/>
        <w:rPr>
          <w:b/>
        </w:rPr>
      </w:pPr>
      <w:r w:rsidRPr="00F242DD">
        <w:rPr>
          <w:b/>
        </w:rPr>
        <w:br w:type="page"/>
      </w:r>
    </w:p>
    <w:p w14:paraId="332A9773" w14:textId="77777777" w:rsidR="008F3621" w:rsidRPr="00F242DD" w:rsidRDefault="0086466D" w:rsidP="002431B5">
      <w:pPr>
        <w:spacing w:before="0" w:after="0"/>
        <w:jc w:val="center"/>
        <w:rPr>
          <w:b/>
        </w:rPr>
      </w:pPr>
      <w:r w:rsidRPr="00F242DD">
        <w:rPr>
          <w:b/>
        </w:rPr>
        <w:lastRenderedPageBreak/>
        <w:t>Оглавление</w:t>
      </w:r>
    </w:p>
    <w:p w14:paraId="49A768A3" w14:textId="77777777" w:rsidR="006869AB" w:rsidRDefault="00A96FB6">
      <w:pPr>
        <w:pStyle w:val="11"/>
        <w:rPr>
          <w:rFonts w:asciiTheme="minorHAnsi" w:eastAsiaTheme="minorEastAsia" w:hAnsiTheme="minorHAnsi" w:cstheme="minorBidi"/>
          <w:bCs w:val="0"/>
          <w:sz w:val="22"/>
          <w:lang w:eastAsia="ru-RU"/>
        </w:rPr>
      </w:pPr>
      <w:r w:rsidRPr="00F242DD">
        <w:fldChar w:fldCharType="begin"/>
      </w:r>
      <w:r w:rsidR="00077BDE" w:rsidRPr="00F242DD">
        <w:instrText xml:space="preserve"> TOC \o "1-2" \h \z \u </w:instrText>
      </w:r>
      <w:r w:rsidRPr="00F242DD">
        <w:fldChar w:fldCharType="separate"/>
      </w:r>
      <w:hyperlink w:anchor="_Toc97734608" w:history="1">
        <w:r w:rsidR="006869AB" w:rsidRPr="00D86C6E">
          <w:rPr>
            <w:rStyle w:val="af2"/>
          </w:rPr>
          <w:t>Список</w:t>
        </w:r>
        <w:r w:rsidR="006869AB" w:rsidRPr="00D86C6E">
          <w:rPr>
            <w:rStyle w:val="af2"/>
            <w:lang w:val="en-US"/>
          </w:rPr>
          <w:t xml:space="preserve"> </w:t>
        </w:r>
        <w:r w:rsidR="006869AB" w:rsidRPr="00D86C6E">
          <w:rPr>
            <w:rStyle w:val="af2"/>
          </w:rPr>
          <w:t>сокращений</w:t>
        </w:r>
        <w:r w:rsidR="006869AB">
          <w:rPr>
            <w:webHidden/>
          </w:rPr>
          <w:tab/>
        </w:r>
        <w:r w:rsidR="006869AB">
          <w:rPr>
            <w:webHidden/>
          </w:rPr>
          <w:fldChar w:fldCharType="begin"/>
        </w:r>
        <w:r w:rsidR="006869AB">
          <w:rPr>
            <w:webHidden/>
          </w:rPr>
          <w:instrText xml:space="preserve"> PAGEREF _Toc97734608 \h </w:instrText>
        </w:r>
        <w:r w:rsidR="006869AB">
          <w:rPr>
            <w:webHidden/>
          </w:rPr>
        </w:r>
        <w:r w:rsidR="006869AB">
          <w:rPr>
            <w:webHidden/>
          </w:rPr>
          <w:fldChar w:fldCharType="separate"/>
        </w:r>
        <w:r w:rsidR="006869AB">
          <w:rPr>
            <w:webHidden/>
          </w:rPr>
          <w:t>5</w:t>
        </w:r>
        <w:r w:rsidR="006869AB">
          <w:rPr>
            <w:webHidden/>
          </w:rPr>
          <w:fldChar w:fldCharType="end"/>
        </w:r>
      </w:hyperlink>
    </w:p>
    <w:p w14:paraId="366622B0" w14:textId="77777777" w:rsidR="006869AB" w:rsidRDefault="002A355A">
      <w:pPr>
        <w:pStyle w:val="11"/>
        <w:rPr>
          <w:rFonts w:asciiTheme="minorHAnsi" w:eastAsiaTheme="minorEastAsia" w:hAnsiTheme="minorHAnsi" w:cstheme="minorBidi"/>
          <w:bCs w:val="0"/>
          <w:sz w:val="22"/>
          <w:lang w:eastAsia="ru-RU"/>
        </w:rPr>
      </w:pPr>
      <w:hyperlink w:anchor="_Toc97734609" w:history="1">
        <w:r w:rsidR="006869AB" w:rsidRPr="00D86C6E">
          <w:rPr>
            <w:rStyle w:val="af2"/>
          </w:rPr>
          <w:t>Термины и определения</w:t>
        </w:r>
        <w:r w:rsidR="006869AB">
          <w:rPr>
            <w:webHidden/>
          </w:rPr>
          <w:tab/>
        </w:r>
        <w:r w:rsidR="006869AB">
          <w:rPr>
            <w:webHidden/>
          </w:rPr>
          <w:fldChar w:fldCharType="begin"/>
        </w:r>
        <w:r w:rsidR="006869AB">
          <w:rPr>
            <w:webHidden/>
          </w:rPr>
          <w:instrText xml:space="preserve"> PAGEREF _Toc97734609 \h </w:instrText>
        </w:r>
        <w:r w:rsidR="006869AB">
          <w:rPr>
            <w:webHidden/>
          </w:rPr>
        </w:r>
        <w:r w:rsidR="006869AB">
          <w:rPr>
            <w:webHidden/>
          </w:rPr>
          <w:fldChar w:fldCharType="separate"/>
        </w:r>
        <w:r w:rsidR="006869AB">
          <w:rPr>
            <w:webHidden/>
          </w:rPr>
          <w:t>11</w:t>
        </w:r>
        <w:r w:rsidR="006869AB">
          <w:rPr>
            <w:webHidden/>
          </w:rPr>
          <w:fldChar w:fldCharType="end"/>
        </w:r>
      </w:hyperlink>
    </w:p>
    <w:p w14:paraId="074D7BE1" w14:textId="77777777" w:rsidR="006869AB" w:rsidRDefault="002A355A">
      <w:pPr>
        <w:pStyle w:val="11"/>
        <w:rPr>
          <w:rFonts w:asciiTheme="minorHAnsi" w:eastAsiaTheme="minorEastAsia" w:hAnsiTheme="minorHAnsi" w:cstheme="minorBidi"/>
          <w:bCs w:val="0"/>
          <w:sz w:val="22"/>
          <w:lang w:eastAsia="ru-RU"/>
        </w:rPr>
      </w:pPr>
      <w:hyperlink w:anchor="_Toc97734610" w:history="1">
        <w:r w:rsidR="006869AB" w:rsidRPr="00D86C6E">
          <w:rPr>
            <w:rStyle w:val="af2"/>
          </w:rPr>
          <w:t>1. Краткая информация по заболеванию или состоянию  (группе заболеваний или состояний)</w:t>
        </w:r>
        <w:r w:rsidR="006869AB">
          <w:rPr>
            <w:webHidden/>
          </w:rPr>
          <w:tab/>
        </w:r>
        <w:r w:rsidR="006869AB">
          <w:rPr>
            <w:webHidden/>
          </w:rPr>
          <w:fldChar w:fldCharType="begin"/>
        </w:r>
        <w:r w:rsidR="006869AB">
          <w:rPr>
            <w:webHidden/>
          </w:rPr>
          <w:instrText xml:space="preserve"> PAGEREF _Toc97734610 \h </w:instrText>
        </w:r>
        <w:r w:rsidR="006869AB">
          <w:rPr>
            <w:webHidden/>
          </w:rPr>
        </w:r>
        <w:r w:rsidR="006869AB">
          <w:rPr>
            <w:webHidden/>
          </w:rPr>
          <w:fldChar w:fldCharType="separate"/>
        </w:r>
        <w:r w:rsidR="006869AB">
          <w:rPr>
            <w:webHidden/>
          </w:rPr>
          <w:t>12</w:t>
        </w:r>
        <w:r w:rsidR="006869AB">
          <w:rPr>
            <w:webHidden/>
          </w:rPr>
          <w:fldChar w:fldCharType="end"/>
        </w:r>
      </w:hyperlink>
    </w:p>
    <w:p w14:paraId="42961438" w14:textId="77777777" w:rsidR="006869AB" w:rsidRDefault="002A355A">
      <w:pPr>
        <w:pStyle w:val="21"/>
        <w:rPr>
          <w:rFonts w:asciiTheme="minorHAnsi" w:eastAsiaTheme="minorEastAsia" w:hAnsiTheme="minorHAnsi" w:cstheme="minorBidi"/>
          <w:sz w:val="22"/>
          <w:lang w:eastAsia="ru-RU"/>
        </w:rPr>
      </w:pPr>
      <w:hyperlink w:anchor="_Toc97734611" w:history="1">
        <w:r w:rsidR="006869AB" w:rsidRPr="00D86C6E">
          <w:rPr>
            <w:rStyle w:val="af2"/>
          </w:rPr>
          <w:t>1.1 Определение заболевания или состояния (группы заболеваний или состояний)</w:t>
        </w:r>
        <w:r w:rsidR="006869AB">
          <w:rPr>
            <w:webHidden/>
          </w:rPr>
          <w:tab/>
        </w:r>
        <w:r w:rsidR="006869AB">
          <w:rPr>
            <w:webHidden/>
          </w:rPr>
          <w:fldChar w:fldCharType="begin"/>
        </w:r>
        <w:r w:rsidR="006869AB">
          <w:rPr>
            <w:webHidden/>
          </w:rPr>
          <w:instrText xml:space="preserve"> PAGEREF _Toc97734611 \h </w:instrText>
        </w:r>
        <w:r w:rsidR="006869AB">
          <w:rPr>
            <w:webHidden/>
          </w:rPr>
        </w:r>
        <w:r w:rsidR="006869AB">
          <w:rPr>
            <w:webHidden/>
          </w:rPr>
          <w:fldChar w:fldCharType="separate"/>
        </w:r>
        <w:r w:rsidR="006869AB">
          <w:rPr>
            <w:webHidden/>
          </w:rPr>
          <w:t>12</w:t>
        </w:r>
        <w:r w:rsidR="006869AB">
          <w:rPr>
            <w:webHidden/>
          </w:rPr>
          <w:fldChar w:fldCharType="end"/>
        </w:r>
      </w:hyperlink>
    </w:p>
    <w:p w14:paraId="12928C00" w14:textId="77777777" w:rsidR="006869AB" w:rsidRDefault="002A355A">
      <w:pPr>
        <w:pStyle w:val="21"/>
        <w:rPr>
          <w:rFonts w:asciiTheme="minorHAnsi" w:eastAsiaTheme="minorEastAsia" w:hAnsiTheme="minorHAnsi" w:cstheme="minorBidi"/>
          <w:sz w:val="22"/>
          <w:lang w:eastAsia="ru-RU"/>
        </w:rPr>
      </w:pPr>
      <w:hyperlink w:anchor="_Toc97734612" w:history="1">
        <w:r w:rsidR="006869AB" w:rsidRPr="00D86C6E">
          <w:rPr>
            <w:rStyle w:val="af2"/>
          </w:rPr>
          <w:t>1.2 Этиология и патогенез заболевания или состояния (группы заболеваний или состояний)</w:t>
        </w:r>
        <w:r w:rsidR="006869AB">
          <w:rPr>
            <w:webHidden/>
          </w:rPr>
          <w:tab/>
        </w:r>
        <w:r w:rsidR="006869AB">
          <w:rPr>
            <w:webHidden/>
          </w:rPr>
          <w:fldChar w:fldCharType="begin"/>
        </w:r>
        <w:r w:rsidR="006869AB">
          <w:rPr>
            <w:webHidden/>
          </w:rPr>
          <w:instrText xml:space="preserve"> PAGEREF _Toc97734612 \h </w:instrText>
        </w:r>
        <w:r w:rsidR="006869AB">
          <w:rPr>
            <w:webHidden/>
          </w:rPr>
        </w:r>
        <w:r w:rsidR="006869AB">
          <w:rPr>
            <w:webHidden/>
          </w:rPr>
          <w:fldChar w:fldCharType="separate"/>
        </w:r>
        <w:r w:rsidR="006869AB">
          <w:rPr>
            <w:webHidden/>
          </w:rPr>
          <w:t>12</w:t>
        </w:r>
        <w:r w:rsidR="006869AB">
          <w:rPr>
            <w:webHidden/>
          </w:rPr>
          <w:fldChar w:fldCharType="end"/>
        </w:r>
      </w:hyperlink>
    </w:p>
    <w:p w14:paraId="1B11A5CF" w14:textId="77777777" w:rsidR="006869AB" w:rsidRDefault="002A355A">
      <w:pPr>
        <w:pStyle w:val="21"/>
        <w:rPr>
          <w:rFonts w:asciiTheme="minorHAnsi" w:eastAsiaTheme="minorEastAsia" w:hAnsiTheme="minorHAnsi" w:cstheme="minorBidi"/>
          <w:sz w:val="22"/>
          <w:lang w:eastAsia="ru-RU"/>
        </w:rPr>
      </w:pPr>
      <w:hyperlink w:anchor="_Toc97734613" w:history="1">
        <w:r w:rsidR="006869AB" w:rsidRPr="00D86C6E">
          <w:rPr>
            <w:rStyle w:val="af2"/>
          </w:rPr>
          <w:t>1.3 Эпидемиология заболевания или состояния (группы заболеваний или состояний)</w:t>
        </w:r>
        <w:r w:rsidR="006869AB">
          <w:rPr>
            <w:webHidden/>
          </w:rPr>
          <w:tab/>
        </w:r>
        <w:r w:rsidR="006869AB">
          <w:rPr>
            <w:webHidden/>
          </w:rPr>
          <w:fldChar w:fldCharType="begin"/>
        </w:r>
        <w:r w:rsidR="006869AB">
          <w:rPr>
            <w:webHidden/>
          </w:rPr>
          <w:instrText xml:space="preserve"> PAGEREF _Toc97734613 \h </w:instrText>
        </w:r>
        <w:r w:rsidR="006869AB">
          <w:rPr>
            <w:webHidden/>
          </w:rPr>
        </w:r>
        <w:r w:rsidR="006869AB">
          <w:rPr>
            <w:webHidden/>
          </w:rPr>
          <w:fldChar w:fldCharType="separate"/>
        </w:r>
        <w:r w:rsidR="006869AB">
          <w:rPr>
            <w:webHidden/>
          </w:rPr>
          <w:t>12</w:t>
        </w:r>
        <w:r w:rsidR="006869AB">
          <w:rPr>
            <w:webHidden/>
          </w:rPr>
          <w:fldChar w:fldCharType="end"/>
        </w:r>
      </w:hyperlink>
    </w:p>
    <w:p w14:paraId="0F12A675" w14:textId="77777777" w:rsidR="006869AB" w:rsidRDefault="002A355A">
      <w:pPr>
        <w:pStyle w:val="21"/>
        <w:rPr>
          <w:rFonts w:asciiTheme="minorHAnsi" w:eastAsiaTheme="minorEastAsia" w:hAnsiTheme="minorHAnsi" w:cstheme="minorBidi"/>
          <w:sz w:val="22"/>
          <w:lang w:eastAsia="ru-RU"/>
        </w:rPr>
      </w:pPr>
      <w:hyperlink w:anchor="_Toc97734614" w:history="1">
        <w:r w:rsidR="006869AB" w:rsidRPr="00D86C6E">
          <w:rPr>
            <w:rStyle w:val="af2"/>
          </w:rPr>
          <w:t xml:space="preserve">1.4 </w:t>
        </w:r>
        <w:r w:rsidR="006869AB" w:rsidRPr="00D86C6E">
          <w:rPr>
            <w:rStyle w:val="af2"/>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6869AB">
          <w:rPr>
            <w:webHidden/>
          </w:rPr>
          <w:tab/>
        </w:r>
        <w:r w:rsidR="006869AB">
          <w:rPr>
            <w:webHidden/>
          </w:rPr>
          <w:fldChar w:fldCharType="begin"/>
        </w:r>
        <w:r w:rsidR="006869AB">
          <w:rPr>
            <w:webHidden/>
          </w:rPr>
          <w:instrText xml:space="preserve"> PAGEREF _Toc97734614 \h </w:instrText>
        </w:r>
        <w:r w:rsidR="006869AB">
          <w:rPr>
            <w:webHidden/>
          </w:rPr>
        </w:r>
        <w:r w:rsidR="006869AB">
          <w:rPr>
            <w:webHidden/>
          </w:rPr>
          <w:fldChar w:fldCharType="separate"/>
        </w:r>
        <w:r w:rsidR="006869AB">
          <w:rPr>
            <w:webHidden/>
          </w:rPr>
          <w:t>12</w:t>
        </w:r>
        <w:r w:rsidR="006869AB">
          <w:rPr>
            <w:webHidden/>
          </w:rPr>
          <w:fldChar w:fldCharType="end"/>
        </w:r>
      </w:hyperlink>
    </w:p>
    <w:p w14:paraId="59888914" w14:textId="77777777" w:rsidR="006869AB" w:rsidRDefault="002A355A">
      <w:pPr>
        <w:pStyle w:val="21"/>
        <w:rPr>
          <w:rFonts w:asciiTheme="minorHAnsi" w:eastAsiaTheme="minorEastAsia" w:hAnsiTheme="minorHAnsi" w:cstheme="minorBidi"/>
          <w:sz w:val="22"/>
          <w:lang w:eastAsia="ru-RU"/>
        </w:rPr>
      </w:pPr>
      <w:hyperlink w:anchor="_Toc97734615" w:history="1">
        <w:r w:rsidR="006869AB" w:rsidRPr="00D86C6E">
          <w:rPr>
            <w:rStyle w:val="af2"/>
          </w:rPr>
          <w:t>1.5 Классификация заболевания или состояния (группы заболеваний или состояний)</w:t>
        </w:r>
        <w:r w:rsidR="006869AB">
          <w:rPr>
            <w:webHidden/>
          </w:rPr>
          <w:tab/>
        </w:r>
        <w:r w:rsidR="006869AB">
          <w:rPr>
            <w:webHidden/>
          </w:rPr>
          <w:fldChar w:fldCharType="begin"/>
        </w:r>
        <w:r w:rsidR="006869AB">
          <w:rPr>
            <w:webHidden/>
          </w:rPr>
          <w:instrText xml:space="preserve"> PAGEREF _Toc97734615 \h </w:instrText>
        </w:r>
        <w:r w:rsidR="006869AB">
          <w:rPr>
            <w:webHidden/>
          </w:rPr>
        </w:r>
        <w:r w:rsidR="006869AB">
          <w:rPr>
            <w:webHidden/>
          </w:rPr>
          <w:fldChar w:fldCharType="separate"/>
        </w:r>
        <w:r w:rsidR="006869AB">
          <w:rPr>
            <w:webHidden/>
          </w:rPr>
          <w:t>12</w:t>
        </w:r>
        <w:r w:rsidR="006869AB">
          <w:rPr>
            <w:webHidden/>
          </w:rPr>
          <w:fldChar w:fldCharType="end"/>
        </w:r>
      </w:hyperlink>
    </w:p>
    <w:p w14:paraId="65FFB568" w14:textId="77777777" w:rsidR="006869AB" w:rsidRDefault="002A355A">
      <w:pPr>
        <w:pStyle w:val="21"/>
        <w:rPr>
          <w:rFonts w:asciiTheme="minorHAnsi" w:eastAsiaTheme="minorEastAsia" w:hAnsiTheme="minorHAnsi" w:cstheme="minorBidi"/>
          <w:sz w:val="22"/>
          <w:lang w:eastAsia="ru-RU"/>
        </w:rPr>
      </w:pPr>
      <w:hyperlink w:anchor="_Toc97734616" w:history="1">
        <w:r w:rsidR="006869AB" w:rsidRPr="00D86C6E">
          <w:rPr>
            <w:rStyle w:val="af2"/>
          </w:rPr>
          <w:t>1.6 Клиническая картина заболевания или состояния (группы заболеваний или состояний)</w:t>
        </w:r>
        <w:r w:rsidR="006869AB">
          <w:rPr>
            <w:webHidden/>
          </w:rPr>
          <w:tab/>
        </w:r>
        <w:r w:rsidR="006869AB">
          <w:rPr>
            <w:webHidden/>
          </w:rPr>
          <w:fldChar w:fldCharType="begin"/>
        </w:r>
        <w:r w:rsidR="006869AB">
          <w:rPr>
            <w:webHidden/>
          </w:rPr>
          <w:instrText xml:space="preserve"> PAGEREF _Toc97734616 \h </w:instrText>
        </w:r>
        <w:r w:rsidR="006869AB">
          <w:rPr>
            <w:webHidden/>
          </w:rPr>
        </w:r>
        <w:r w:rsidR="006869AB">
          <w:rPr>
            <w:webHidden/>
          </w:rPr>
          <w:fldChar w:fldCharType="separate"/>
        </w:r>
        <w:r w:rsidR="006869AB">
          <w:rPr>
            <w:webHidden/>
          </w:rPr>
          <w:t>15</w:t>
        </w:r>
        <w:r w:rsidR="006869AB">
          <w:rPr>
            <w:webHidden/>
          </w:rPr>
          <w:fldChar w:fldCharType="end"/>
        </w:r>
      </w:hyperlink>
    </w:p>
    <w:p w14:paraId="1DDF3B43" w14:textId="77777777" w:rsidR="006869AB" w:rsidRDefault="002A355A">
      <w:pPr>
        <w:pStyle w:val="21"/>
        <w:rPr>
          <w:rFonts w:asciiTheme="minorHAnsi" w:eastAsiaTheme="minorEastAsia" w:hAnsiTheme="minorHAnsi" w:cstheme="minorBidi"/>
          <w:sz w:val="22"/>
          <w:lang w:eastAsia="ru-RU"/>
        </w:rPr>
      </w:pPr>
      <w:hyperlink w:anchor="_Toc97734617" w:history="1">
        <w:r w:rsidR="006869AB" w:rsidRPr="00D86C6E">
          <w:rPr>
            <w:rStyle w:val="af2"/>
          </w:rPr>
          <w:t>1.7 Множественная миелома, осложненная почечной недостаточностью.</w:t>
        </w:r>
        <w:r w:rsidR="006869AB">
          <w:rPr>
            <w:webHidden/>
          </w:rPr>
          <w:tab/>
        </w:r>
        <w:r w:rsidR="006869AB">
          <w:rPr>
            <w:webHidden/>
          </w:rPr>
          <w:fldChar w:fldCharType="begin"/>
        </w:r>
        <w:r w:rsidR="006869AB">
          <w:rPr>
            <w:webHidden/>
          </w:rPr>
          <w:instrText xml:space="preserve"> PAGEREF _Toc97734617 \h </w:instrText>
        </w:r>
        <w:r w:rsidR="006869AB">
          <w:rPr>
            <w:webHidden/>
          </w:rPr>
        </w:r>
        <w:r w:rsidR="006869AB">
          <w:rPr>
            <w:webHidden/>
          </w:rPr>
          <w:fldChar w:fldCharType="separate"/>
        </w:r>
        <w:r w:rsidR="006869AB">
          <w:rPr>
            <w:webHidden/>
          </w:rPr>
          <w:t>15</w:t>
        </w:r>
        <w:r w:rsidR="006869AB">
          <w:rPr>
            <w:webHidden/>
          </w:rPr>
          <w:fldChar w:fldCharType="end"/>
        </w:r>
      </w:hyperlink>
    </w:p>
    <w:p w14:paraId="17F14312" w14:textId="77777777" w:rsidR="006869AB" w:rsidRDefault="002A355A">
      <w:pPr>
        <w:pStyle w:val="11"/>
        <w:rPr>
          <w:rFonts w:asciiTheme="minorHAnsi" w:eastAsiaTheme="minorEastAsia" w:hAnsiTheme="minorHAnsi" w:cstheme="minorBidi"/>
          <w:bCs w:val="0"/>
          <w:sz w:val="22"/>
          <w:lang w:eastAsia="ru-RU"/>
        </w:rPr>
      </w:pPr>
      <w:hyperlink w:anchor="_Toc97734618" w:history="1">
        <w:r w:rsidR="006869AB" w:rsidRPr="00D86C6E">
          <w:rPr>
            <w:rStyle w:val="af2"/>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6869AB">
          <w:rPr>
            <w:webHidden/>
          </w:rPr>
          <w:tab/>
        </w:r>
        <w:r w:rsidR="006869AB">
          <w:rPr>
            <w:webHidden/>
          </w:rPr>
          <w:fldChar w:fldCharType="begin"/>
        </w:r>
        <w:r w:rsidR="006869AB">
          <w:rPr>
            <w:webHidden/>
          </w:rPr>
          <w:instrText xml:space="preserve"> PAGEREF _Toc97734618 \h </w:instrText>
        </w:r>
        <w:r w:rsidR="006869AB">
          <w:rPr>
            <w:webHidden/>
          </w:rPr>
        </w:r>
        <w:r w:rsidR="006869AB">
          <w:rPr>
            <w:webHidden/>
          </w:rPr>
          <w:fldChar w:fldCharType="separate"/>
        </w:r>
        <w:r w:rsidR="006869AB">
          <w:rPr>
            <w:webHidden/>
          </w:rPr>
          <w:t>18</w:t>
        </w:r>
        <w:r w:rsidR="006869AB">
          <w:rPr>
            <w:webHidden/>
          </w:rPr>
          <w:fldChar w:fldCharType="end"/>
        </w:r>
      </w:hyperlink>
    </w:p>
    <w:p w14:paraId="1DA6D931" w14:textId="77777777" w:rsidR="006869AB" w:rsidRDefault="002A355A">
      <w:pPr>
        <w:pStyle w:val="21"/>
        <w:rPr>
          <w:rFonts w:asciiTheme="minorHAnsi" w:eastAsiaTheme="minorEastAsia" w:hAnsiTheme="minorHAnsi" w:cstheme="minorBidi"/>
          <w:sz w:val="22"/>
          <w:lang w:eastAsia="ru-RU"/>
        </w:rPr>
      </w:pPr>
      <w:hyperlink w:anchor="_Toc97734619" w:history="1">
        <w:r w:rsidR="006869AB" w:rsidRPr="00D86C6E">
          <w:rPr>
            <w:rStyle w:val="af2"/>
          </w:rPr>
          <w:t>2.1 Жалобы и анамнез</w:t>
        </w:r>
        <w:r w:rsidR="006869AB">
          <w:rPr>
            <w:webHidden/>
          </w:rPr>
          <w:tab/>
        </w:r>
        <w:r w:rsidR="006869AB">
          <w:rPr>
            <w:webHidden/>
          </w:rPr>
          <w:fldChar w:fldCharType="begin"/>
        </w:r>
        <w:r w:rsidR="006869AB">
          <w:rPr>
            <w:webHidden/>
          </w:rPr>
          <w:instrText xml:space="preserve"> PAGEREF _Toc97734619 \h </w:instrText>
        </w:r>
        <w:r w:rsidR="006869AB">
          <w:rPr>
            <w:webHidden/>
          </w:rPr>
        </w:r>
        <w:r w:rsidR="006869AB">
          <w:rPr>
            <w:webHidden/>
          </w:rPr>
          <w:fldChar w:fldCharType="separate"/>
        </w:r>
        <w:r w:rsidR="006869AB">
          <w:rPr>
            <w:webHidden/>
          </w:rPr>
          <w:t>19</w:t>
        </w:r>
        <w:r w:rsidR="006869AB">
          <w:rPr>
            <w:webHidden/>
          </w:rPr>
          <w:fldChar w:fldCharType="end"/>
        </w:r>
      </w:hyperlink>
    </w:p>
    <w:p w14:paraId="24E6E380" w14:textId="77777777" w:rsidR="006869AB" w:rsidRDefault="002A355A">
      <w:pPr>
        <w:pStyle w:val="21"/>
        <w:rPr>
          <w:rFonts w:asciiTheme="minorHAnsi" w:eastAsiaTheme="minorEastAsia" w:hAnsiTheme="minorHAnsi" w:cstheme="minorBidi"/>
          <w:sz w:val="22"/>
          <w:lang w:eastAsia="ru-RU"/>
        </w:rPr>
      </w:pPr>
      <w:hyperlink w:anchor="_Toc97734620" w:history="1">
        <w:r w:rsidR="006869AB" w:rsidRPr="00D86C6E">
          <w:rPr>
            <w:rStyle w:val="af2"/>
          </w:rPr>
          <w:t>2.2 Физикальное обследование</w:t>
        </w:r>
        <w:r w:rsidR="006869AB">
          <w:rPr>
            <w:webHidden/>
          </w:rPr>
          <w:tab/>
        </w:r>
        <w:r w:rsidR="006869AB">
          <w:rPr>
            <w:webHidden/>
          </w:rPr>
          <w:fldChar w:fldCharType="begin"/>
        </w:r>
        <w:r w:rsidR="006869AB">
          <w:rPr>
            <w:webHidden/>
          </w:rPr>
          <w:instrText xml:space="preserve"> PAGEREF _Toc97734620 \h </w:instrText>
        </w:r>
        <w:r w:rsidR="006869AB">
          <w:rPr>
            <w:webHidden/>
          </w:rPr>
        </w:r>
        <w:r w:rsidR="006869AB">
          <w:rPr>
            <w:webHidden/>
          </w:rPr>
          <w:fldChar w:fldCharType="separate"/>
        </w:r>
        <w:r w:rsidR="006869AB">
          <w:rPr>
            <w:webHidden/>
          </w:rPr>
          <w:t>19</w:t>
        </w:r>
        <w:r w:rsidR="006869AB">
          <w:rPr>
            <w:webHidden/>
          </w:rPr>
          <w:fldChar w:fldCharType="end"/>
        </w:r>
      </w:hyperlink>
    </w:p>
    <w:p w14:paraId="48B26FE7" w14:textId="77777777" w:rsidR="006869AB" w:rsidRDefault="002A355A">
      <w:pPr>
        <w:pStyle w:val="21"/>
        <w:rPr>
          <w:rFonts w:asciiTheme="minorHAnsi" w:eastAsiaTheme="minorEastAsia" w:hAnsiTheme="minorHAnsi" w:cstheme="minorBidi"/>
          <w:sz w:val="22"/>
          <w:lang w:eastAsia="ru-RU"/>
        </w:rPr>
      </w:pPr>
      <w:hyperlink w:anchor="_Toc97734621" w:history="1">
        <w:r w:rsidR="006869AB" w:rsidRPr="00D86C6E">
          <w:rPr>
            <w:rStyle w:val="af2"/>
          </w:rPr>
          <w:t>2.3 Лабораторные диагностические исследования</w:t>
        </w:r>
        <w:r w:rsidR="006869AB">
          <w:rPr>
            <w:webHidden/>
          </w:rPr>
          <w:tab/>
        </w:r>
        <w:r w:rsidR="006869AB">
          <w:rPr>
            <w:webHidden/>
          </w:rPr>
          <w:fldChar w:fldCharType="begin"/>
        </w:r>
        <w:r w:rsidR="006869AB">
          <w:rPr>
            <w:webHidden/>
          </w:rPr>
          <w:instrText xml:space="preserve"> PAGEREF _Toc97734621 \h </w:instrText>
        </w:r>
        <w:r w:rsidR="006869AB">
          <w:rPr>
            <w:webHidden/>
          </w:rPr>
        </w:r>
        <w:r w:rsidR="006869AB">
          <w:rPr>
            <w:webHidden/>
          </w:rPr>
          <w:fldChar w:fldCharType="separate"/>
        </w:r>
        <w:r w:rsidR="006869AB">
          <w:rPr>
            <w:webHidden/>
          </w:rPr>
          <w:t>19</w:t>
        </w:r>
        <w:r w:rsidR="006869AB">
          <w:rPr>
            <w:webHidden/>
          </w:rPr>
          <w:fldChar w:fldCharType="end"/>
        </w:r>
      </w:hyperlink>
    </w:p>
    <w:p w14:paraId="007BD8EC" w14:textId="77777777" w:rsidR="006869AB" w:rsidRDefault="002A355A">
      <w:pPr>
        <w:pStyle w:val="21"/>
        <w:rPr>
          <w:rFonts w:asciiTheme="minorHAnsi" w:eastAsiaTheme="minorEastAsia" w:hAnsiTheme="minorHAnsi" w:cstheme="minorBidi"/>
          <w:sz w:val="22"/>
          <w:lang w:eastAsia="ru-RU"/>
        </w:rPr>
      </w:pPr>
      <w:hyperlink w:anchor="_Toc97734622" w:history="1">
        <w:r w:rsidR="006869AB" w:rsidRPr="00D86C6E">
          <w:rPr>
            <w:rStyle w:val="af2"/>
          </w:rPr>
          <w:t>2.4 Инструментальные диагностические исследования</w:t>
        </w:r>
        <w:r w:rsidR="006869AB">
          <w:rPr>
            <w:webHidden/>
          </w:rPr>
          <w:tab/>
        </w:r>
        <w:r w:rsidR="006869AB">
          <w:rPr>
            <w:webHidden/>
          </w:rPr>
          <w:fldChar w:fldCharType="begin"/>
        </w:r>
        <w:r w:rsidR="006869AB">
          <w:rPr>
            <w:webHidden/>
          </w:rPr>
          <w:instrText xml:space="preserve"> PAGEREF _Toc97734622 \h </w:instrText>
        </w:r>
        <w:r w:rsidR="006869AB">
          <w:rPr>
            <w:webHidden/>
          </w:rPr>
        </w:r>
        <w:r w:rsidR="006869AB">
          <w:rPr>
            <w:webHidden/>
          </w:rPr>
          <w:fldChar w:fldCharType="separate"/>
        </w:r>
        <w:r w:rsidR="006869AB">
          <w:rPr>
            <w:webHidden/>
          </w:rPr>
          <w:t>23</w:t>
        </w:r>
        <w:r w:rsidR="006869AB">
          <w:rPr>
            <w:webHidden/>
          </w:rPr>
          <w:fldChar w:fldCharType="end"/>
        </w:r>
      </w:hyperlink>
    </w:p>
    <w:p w14:paraId="2A3D8DB5" w14:textId="77777777" w:rsidR="006869AB" w:rsidRDefault="002A355A">
      <w:pPr>
        <w:pStyle w:val="21"/>
        <w:rPr>
          <w:rFonts w:asciiTheme="minorHAnsi" w:eastAsiaTheme="minorEastAsia" w:hAnsiTheme="minorHAnsi" w:cstheme="minorBidi"/>
          <w:sz w:val="22"/>
          <w:lang w:eastAsia="ru-RU"/>
        </w:rPr>
      </w:pPr>
      <w:hyperlink w:anchor="_Toc97734623" w:history="1">
        <w:r w:rsidR="006869AB" w:rsidRPr="00D86C6E">
          <w:rPr>
            <w:rStyle w:val="af2"/>
          </w:rPr>
          <w:t>2.5 Иные диагностические исследования</w:t>
        </w:r>
        <w:r w:rsidR="006869AB">
          <w:rPr>
            <w:webHidden/>
          </w:rPr>
          <w:tab/>
        </w:r>
        <w:r w:rsidR="006869AB">
          <w:rPr>
            <w:webHidden/>
          </w:rPr>
          <w:fldChar w:fldCharType="begin"/>
        </w:r>
        <w:r w:rsidR="006869AB">
          <w:rPr>
            <w:webHidden/>
          </w:rPr>
          <w:instrText xml:space="preserve"> PAGEREF _Toc97734623 \h </w:instrText>
        </w:r>
        <w:r w:rsidR="006869AB">
          <w:rPr>
            <w:webHidden/>
          </w:rPr>
        </w:r>
        <w:r w:rsidR="006869AB">
          <w:rPr>
            <w:webHidden/>
          </w:rPr>
          <w:fldChar w:fldCharType="separate"/>
        </w:r>
        <w:r w:rsidR="006869AB">
          <w:rPr>
            <w:webHidden/>
          </w:rPr>
          <w:t>24</w:t>
        </w:r>
        <w:r w:rsidR="006869AB">
          <w:rPr>
            <w:webHidden/>
          </w:rPr>
          <w:fldChar w:fldCharType="end"/>
        </w:r>
      </w:hyperlink>
    </w:p>
    <w:p w14:paraId="16722689" w14:textId="77777777" w:rsidR="006869AB" w:rsidRDefault="002A355A">
      <w:pPr>
        <w:pStyle w:val="11"/>
        <w:rPr>
          <w:rFonts w:asciiTheme="minorHAnsi" w:eastAsiaTheme="minorEastAsia" w:hAnsiTheme="minorHAnsi" w:cstheme="minorBidi"/>
          <w:bCs w:val="0"/>
          <w:sz w:val="22"/>
          <w:lang w:eastAsia="ru-RU"/>
        </w:rPr>
      </w:pPr>
      <w:hyperlink w:anchor="_Toc97734624" w:history="1">
        <w:r w:rsidR="006869AB" w:rsidRPr="00D86C6E">
          <w:rPr>
            <w:rStyle w:val="af2"/>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6869AB">
          <w:rPr>
            <w:webHidden/>
          </w:rPr>
          <w:tab/>
        </w:r>
        <w:r w:rsidR="006869AB">
          <w:rPr>
            <w:webHidden/>
          </w:rPr>
          <w:fldChar w:fldCharType="begin"/>
        </w:r>
        <w:r w:rsidR="006869AB">
          <w:rPr>
            <w:webHidden/>
          </w:rPr>
          <w:instrText xml:space="preserve"> PAGEREF _Toc97734624 \h </w:instrText>
        </w:r>
        <w:r w:rsidR="006869AB">
          <w:rPr>
            <w:webHidden/>
          </w:rPr>
        </w:r>
        <w:r w:rsidR="006869AB">
          <w:rPr>
            <w:webHidden/>
          </w:rPr>
          <w:fldChar w:fldCharType="separate"/>
        </w:r>
        <w:r w:rsidR="006869AB">
          <w:rPr>
            <w:webHidden/>
          </w:rPr>
          <w:t>25</w:t>
        </w:r>
        <w:r w:rsidR="006869AB">
          <w:rPr>
            <w:webHidden/>
          </w:rPr>
          <w:fldChar w:fldCharType="end"/>
        </w:r>
      </w:hyperlink>
    </w:p>
    <w:p w14:paraId="343D0337" w14:textId="77777777" w:rsidR="006869AB" w:rsidRDefault="002A355A">
      <w:pPr>
        <w:pStyle w:val="21"/>
        <w:rPr>
          <w:rFonts w:asciiTheme="minorHAnsi" w:eastAsiaTheme="minorEastAsia" w:hAnsiTheme="minorHAnsi" w:cstheme="minorBidi"/>
          <w:sz w:val="22"/>
          <w:lang w:eastAsia="ru-RU"/>
        </w:rPr>
      </w:pPr>
      <w:hyperlink w:anchor="_Toc97734625" w:history="1">
        <w:r w:rsidR="006869AB" w:rsidRPr="00D86C6E">
          <w:rPr>
            <w:rStyle w:val="af2"/>
          </w:rPr>
          <w:t>3.1 Показания к началу терапии и определение стратегии лечения</w:t>
        </w:r>
        <w:r w:rsidR="006869AB">
          <w:rPr>
            <w:webHidden/>
          </w:rPr>
          <w:tab/>
        </w:r>
        <w:r w:rsidR="006869AB">
          <w:rPr>
            <w:webHidden/>
          </w:rPr>
          <w:fldChar w:fldCharType="begin"/>
        </w:r>
        <w:r w:rsidR="006869AB">
          <w:rPr>
            <w:webHidden/>
          </w:rPr>
          <w:instrText xml:space="preserve"> PAGEREF _Toc97734625 \h </w:instrText>
        </w:r>
        <w:r w:rsidR="006869AB">
          <w:rPr>
            <w:webHidden/>
          </w:rPr>
        </w:r>
        <w:r w:rsidR="006869AB">
          <w:rPr>
            <w:webHidden/>
          </w:rPr>
          <w:fldChar w:fldCharType="separate"/>
        </w:r>
        <w:r w:rsidR="006869AB">
          <w:rPr>
            <w:webHidden/>
          </w:rPr>
          <w:t>25</w:t>
        </w:r>
        <w:r w:rsidR="006869AB">
          <w:rPr>
            <w:webHidden/>
          </w:rPr>
          <w:fldChar w:fldCharType="end"/>
        </w:r>
      </w:hyperlink>
    </w:p>
    <w:p w14:paraId="23B121F9" w14:textId="77777777" w:rsidR="006869AB" w:rsidRDefault="002A355A">
      <w:pPr>
        <w:pStyle w:val="21"/>
        <w:rPr>
          <w:rFonts w:asciiTheme="minorHAnsi" w:eastAsiaTheme="minorEastAsia" w:hAnsiTheme="minorHAnsi" w:cstheme="minorBidi"/>
          <w:sz w:val="22"/>
          <w:lang w:eastAsia="ru-RU"/>
        </w:rPr>
      </w:pPr>
      <w:hyperlink w:anchor="_Toc97734626" w:history="1">
        <w:r w:rsidR="006869AB" w:rsidRPr="00D86C6E">
          <w:rPr>
            <w:rStyle w:val="af2"/>
          </w:rPr>
          <w:t>3.2 Лечение пациентов с впервые диагностированной ММ − не кандидатов на ВДХТ с ауто-ТГСК (старше 65 лет)</w:t>
        </w:r>
        <w:r w:rsidR="006869AB">
          <w:rPr>
            <w:webHidden/>
          </w:rPr>
          <w:tab/>
        </w:r>
        <w:r w:rsidR="006869AB">
          <w:rPr>
            <w:webHidden/>
          </w:rPr>
          <w:fldChar w:fldCharType="begin"/>
        </w:r>
        <w:r w:rsidR="006869AB">
          <w:rPr>
            <w:webHidden/>
          </w:rPr>
          <w:instrText xml:space="preserve"> PAGEREF _Toc97734626 \h </w:instrText>
        </w:r>
        <w:r w:rsidR="006869AB">
          <w:rPr>
            <w:webHidden/>
          </w:rPr>
        </w:r>
        <w:r w:rsidR="006869AB">
          <w:rPr>
            <w:webHidden/>
          </w:rPr>
          <w:fldChar w:fldCharType="separate"/>
        </w:r>
        <w:r w:rsidR="006869AB">
          <w:rPr>
            <w:webHidden/>
          </w:rPr>
          <w:t>26</w:t>
        </w:r>
        <w:r w:rsidR="006869AB">
          <w:rPr>
            <w:webHidden/>
          </w:rPr>
          <w:fldChar w:fldCharType="end"/>
        </w:r>
      </w:hyperlink>
    </w:p>
    <w:p w14:paraId="5D710624" w14:textId="77777777" w:rsidR="006869AB" w:rsidRDefault="002A355A">
      <w:pPr>
        <w:pStyle w:val="21"/>
        <w:rPr>
          <w:rFonts w:asciiTheme="minorHAnsi" w:eastAsiaTheme="minorEastAsia" w:hAnsiTheme="minorHAnsi" w:cstheme="minorBidi"/>
          <w:sz w:val="22"/>
          <w:lang w:eastAsia="ru-RU"/>
        </w:rPr>
      </w:pPr>
      <w:hyperlink w:anchor="_Toc97734627" w:history="1">
        <w:r w:rsidR="006869AB" w:rsidRPr="00D86C6E">
          <w:rPr>
            <w:rStyle w:val="af2"/>
          </w:rPr>
          <w:t>3.3 Лечение пациентов с впервые диагностированной ММ, кандидатов на ВДХТ с последующей ауто-ТГСК</w:t>
        </w:r>
        <w:r w:rsidR="006869AB">
          <w:rPr>
            <w:webHidden/>
          </w:rPr>
          <w:tab/>
        </w:r>
        <w:r w:rsidR="006869AB">
          <w:rPr>
            <w:webHidden/>
          </w:rPr>
          <w:fldChar w:fldCharType="begin"/>
        </w:r>
        <w:r w:rsidR="006869AB">
          <w:rPr>
            <w:webHidden/>
          </w:rPr>
          <w:instrText xml:space="preserve"> PAGEREF _Toc97734627 \h </w:instrText>
        </w:r>
        <w:r w:rsidR="006869AB">
          <w:rPr>
            <w:webHidden/>
          </w:rPr>
        </w:r>
        <w:r w:rsidR="006869AB">
          <w:rPr>
            <w:webHidden/>
          </w:rPr>
          <w:fldChar w:fldCharType="separate"/>
        </w:r>
        <w:r w:rsidR="006869AB">
          <w:rPr>
            <w:webHidden/>
          </w:rPr>
          <w:t>30</w:t>
        </w:r>
        <w:r w:rsidR="006869AB">
          <w:rPr>
            <w:webHidden/>
          </w:rPr>
          <w:fldChar w:fldCharType="end"/>
        </w:r>
      </w:hyperlink>
    </w:p>
    <w:p w14:paraId="54056982" w14:textId="77777777" w:rsidR="006869AB" w:rsidRDefault="002A355A">
      <w:pPr>
        <w:pStyle w:val="21"/>
        <w:rPr>
          <w:rFonts w:asciiTheme="minorHAnsi" w:eastAsiaTheme="minorEastAsia" w:hAnsiTheme="minorHAnsi" w:cstheme="minorBidi"/>
          <w:sz w:val="22"/>
          <w:lang w:eastAsia="ru-RU"/>
        </w:rPr>
      </w:pPr>
      <w:hyperlink w:anchor="_Toc97734628" w:history="1">
        <w:r w:rsidR="006869AB" w:rsidRPr="00D86C6E">
          <w:rPr>
            <w:rStyle w:val="af2"/>
            <w:bCs/>
          </w:rPr>
          <w:t>3.3.1 Индукционный этап терапии</w:t>
        </w:r>
        <w:r w:rsidR="006869AB">
          <w:rPr>
            <w:webHidden/>
          </w:rPr>
          <w:tab/>
        </w:r>
        <w:r w:rsidR="006869AB">
          <w:rPr>
            <w:webHidden/>
          </w:rPr>
          <w:fldChar w:fldCharType="begin"/>
        </w:r>
        <w:r w:rsidR="006869AB">
          <w:rPr>
            <w:webHidden/>
          </w:rPr>
          <w:instrText xml:space="preserve"> PAGEREF _Toc97734628 \h </w:instrText>
        </w:r>
        <w:r w:rsidR="006869AB">
          <w:rPr>
            <w:webHidden/>
          </w:rPr>
        </w:r>
        <w:r w:rsidR="006869AB">
          <w:rPr>
            <w:webHidden/>
          </w:rPr>
          <w:fldChar w:fldCharType="separate"/>
        </w:r>
        <w:r w:rsidR="006869AB">
          <w:rPr>
            <w:webHidden/>
          </w:rPr>
          <w:t>31</w:t>
        </w:r>
        <w:r w:rsidR="006869AB">
          <w:rPr>
            <w:webHidden/>
          </w:rPr>
          <w:fldChar w:fldCharType="end"/>
        </w:r>
      </w:hyperlink>
    </w:p>
    <w:p w14:paraId="6EAD7AE3" w14:textId="77777777" w:rsidR="006869AB" w:rsidRDefault="002A355A">
      <w:pPr>
        <w:pStyle w:val="21"/>
        <w:rPr>
          <w:rFonts w:asciiTheme="minorHAnsi" w:eastAsiaTheme="minorEastAsia" w:hAnsiTheme="minorHAnsi" w:cstheme="minorBidi"/>
          <w:sz w:val="22"/>
          <w:lang w:eastAsia="ru-RU"/>
        </w:rPr>
      </w:pPr>
      <w:hyperlink w:anchor="_Toc97734629" w:history="1">
        <w:r w:rsidR="006869AB" w:rsidRPr="00D86C6E">
          <w:rPr>
            <w:rStyle w:val="af2"/>
          </w:rPr>
          <w:t>3.3.2 Трансплантационный этап</w:t>
        </w:r>
        <w:r w:rsidR="006869AB">
          <w:rPr>
            <w:webHidden/>
          </w:rPr>
          <w:tab/>
        </w:r>
        <w:r w:rsidR="006869AB">
          <w:rPr>
            <w:webHidden/>
          </w:rPr>
          <w:fldChar w:fldCharType="begin"/>
        </w:r>
        <w:r w:rsidR="006869AB">
          <w:rPr>
            <w:webHidden/>
          </w:rPr>
          <w:instrText xml:space="preserve"> PAGEREF _Toc97734629 \h </w:instrText>
        </w:r>
        <w:r w:rsidR="006869AB">
          <w:rPr>
            <w:webHidden/>
          </w:rPr>
        </w:r>
        <w:r w:rsidR="006869AB">
          <w:rPr>
            <w:webHidden/>
          </w:rPr>
          <w:fldChar w:fldCharType="separate"/>
        </w:r>
        <w:r w:rsidR="006869AB">
          <w:rPr>
            <w:webHidden/>
          </w:rPr>
          <w:t>33</w:t>
        </w:r>
        <w:r w:rsidR="006869AB">
          <w:rPr>
            <w:webHidden/>
          </w:rPr>
          <w:fldChar w:fldCharType="end"/>
        </w:r>
      </w:hyperlink>
    </w:p>
    <w:p w14:paraId="10504E6E" w14:textId="77777777" w:rsidR="006869AB" w:rsidRDefault="002A355A">
      <w:pPr>
        <w:pStyle w:val="21"/>
        <w:rPr>
          <w:rFonts w:asciiTheme="minorHAnsi" w:eastAsiaTheme="minorEastAsia" w:hAnsiTheme="minorHAnsi" w:cstheme="minorBidi"/>
          <w:sz w:val="22"/>
          <w:lang w:eastAsia="ru-RU"/>
        </w:rPr>
      </w:pPr>
      <w:hyperlink w:anchor="_Toc97734630" w:history="1">
        <w:r w:rsidR="006869AB" w:rsidRPr="00D86C6E">
          <w:rPr>
            <w:rStyle w:val="af2"/>
          </w:rPr>
          <w:t>3.3.3 Этап консолидирующего лечения</w:t>
        </w:r>
        <w:r w:rsidR="006869AB">
          <w:rPr>
            <w:webHidden/>
          </w:rPr>
          <w:tab/>
        </w:r>
        <w:r w:rsidR="006869AB">
          <w:rPr>
            <w:webHidden/>
          </w:rPr>
          <w:fldChar w:fldCharType="begin"/>
        </w:r>
        <w:r w:rsidR="006869AB">
          <w:rPr>
            <w:webHidden/>
          </w:rPr>
          <w:instrText xml:space="preserve"> PAGEREF _Toc97734630 \h </w:instrText>
        </w:r>
        <w:r w:rsidR="006869AB">
          <w:rPr>
            <w:webHidden/>
          </w:rPr>
        </w:r>
        <w:r w:rsidR="006869AB">
          <w:rPr>
            <w:webHidden/>
          </w:rPr>
          <w:fldChar w:fldCharType="separate"/>
        </w:r>
        <w:r w:rsidR="006869AB">
          <w:rPr>
            <w:webHidden/>
          </w:rPr>
          <w:t>34</w:t>
        </w:r>
        <w:r w:rsidR="006869AB">
          <w:rPr>
            <w:webHidden/>
          </w:rPr>
          <w:fldChar w:fldCharType="end"/>
        </w:r>
      </w:hyperlink>
    </w:p>
    <w:p w14:paraId="73DD7E17" w14:textId="77777777" w:rsidR="006869AB" w:rsidRDefault="002A355A">
      <w:pPr>
        <w:pStyle w:val="21"/>
        <w:rPr>
          <w:rFonts w:asciiTheme="minorHAnsi" w:eastAsiaTheme="minorEastAsia" w:hAnsiTheme="minorHAnsi" w:cstheme="minorBidi"/>
          <w:sz w:val="22"/>
          <w:lang w:eastAsia="ru-RU"/>
        </w:rPr>
      </w:pPr>
      <w:hyperlink w:anchor="_Toc97734631" w:history="1">
        <w:r w:rsidR="006869AB" w:rsidRPr="00D86C6E">
          <w:rPr>
            <w:rStyle w:val="af2"/>
          </w:rPr>
          <w:t>3.4 Лечение рецидивов ММ</w:t>
        </w:r>
        <w:r w:rsidR="006869AB">
          <w:rPr>
            <w:webHidden/>
          </w:rPr>
          <w:tab/>
        </w:r>
        <w:r w:rsidR="006869AB">
          <w:rPr>
            <w:webHidden/>
          </w:rPr>
          <w:fldChar w:fldCharType="begin"/>
        </w:r>
        <w:r w:rsidR="006869AB">
          <w:rPr>
            <w:webHidden/>
          </w:rPr>
          <w:instrText xml:space="preserve"> PAGEREF _Toc97734631 \h </w:instrText>
        </w:r>
        <w:r w:rsidR="006869AB">
          <w:rPr>
            <w:webHidden/>
          </w:rPr>
        </w:r>
        <w:r w:rsidR="006869AB">
          <w:rPr>
            <w:webHidden/>
          </w:rPr>
          <w:fldChar w:fldCharType="separate"/>
        </w:r>
        <w:r w:rsidR="006869AB">
          <w:rPr>
            <w:webHidden/>
          </w:rPr>
          <w:t>36</w:t>
        </w:r>
        <w:r w:rsidR="006869AB">
          <w:rPr>
            <w:webHidden/>
          </w:rPr>
          <w:fldChar w:fldCharType="end"/>
        </w:r>
      </w:hyperlink>
    </w:p>
    <w:p w14:paraId="133B3809" w14:textId="77777777" w:rsidR="006869AB" w:rsidRDefault="002A355A">
      <w:pPr>
        <w:pStyle w:val="21"/>
        <w:rPr>
          <w:rFonts w:asciiTheme="minorHAnsi" w:eastAsiaTheme="minorEastAsia" w:hAnsiTheme="minorHAnsi" w:cstheme="minorBidi"/>
          <w:sz w:val="22"/>
          <w:lang w:eastAsia="ru-RU"/>
        </w:rPr>
      </w:pPr>
      <w:hyperlink w:anchor="_Toc97734632" w:history="1">
        <w:r w:rsidR="006869AB" w:rsidRPr="00D86C6E">
          <w:rPr>
            <w:rStyle w:val="af2"/>
          </w:rPr>
          <w:t>3.4.1 Лечение рецидива ММ, не отягощенного двойной рефрактерностью</w:t>
        </w:r>
        <w:r w:rsidR="006869AB">
          <w:rPr>
            <w:webHidden/>
          </w:rPr>
          <w:tab/>
        </w:r>
        <w:r w:rsidR="006869AB">
          <w:rPr>
            <w:webHidden/>
          </w:rPr>
          <w:fldChar w:fldCharType="begin"/>
        </w:r>
        <w:r w:rsidR="006869AB">
          <w:rPr>
            <w:webHidden/>
          </w:rPr>
          <w:instrText xml:space="preserve"> PAGEREF _Toc97734632 \h </w:instrText>
        </w:r>
        <w:r w:rsidR="006869AB">
          <w:rPr>
            <w:webHidden/>
          </w:rPr>
        </w:r>
        <w:r w:rsidR="006869AB">
          <w:rPr>
            <w:webHidden/>
          </w:rPr>
          <w:fldChar w:fldCharType="separate"/>
        </w:r>
        <w:r w:rsidR="006869AB">
          <w:rPr>
            <w:webHidden/>
          </w:rPr>
          <w:t>37</w:t>
        </w:r>
        <w:r w:rsidR="006869AB">
          <w:rPr>
            <w:webHidden/>
          </w:rPr>
          <w:fldChar w:fldCharType="end"/>
        </w:r>
      </w:hyperlink>
    </w:p>
    <w:p w14:paraId="61E17886" w14:textId="77777777" w:rsidR="006869AB" w:rsidRDefault="002A355A">
      <w:pPr>
        <w:pStyle w:val="21"/>
        <w:rPr>
          <w:rFonts w:asciiTheme="minorHAnsi" w:eastAsiaTheme="minorEastAsia" w:hAnsiTheme="minorHAnsi" w:cstheme="minorBidi"/>
          <w:sz w:val="22"/>
          <w:lang w:eastAsia="ru-RU"/>
        </w:rPr>
      </w:pPr>
      <w:hyperlink w:anchor="_Toc97734633" w:history="1">
        <w:r w:rsidR="006869AB" w:rsidRPr="00D86C6E">
          <w:rPr>
            <w:rStyle w:val="af2"/>
          </w:rPr>
          <w:t>3.4.2 Лечение рецидива ММ, отягощенного двойной рефрактерностью</w:t>
        </w:r>
        <w:r w:rsidR="006869AB">
          <w:rPr>
            <w:webHidden/>
          </w:rPr>
          <w:tab/>
        </w:r>
        <w:r w:rsidR="006869AB">
          <w:rPr>
            <w:webHidden/>
          </w:rPr>
          <w:fldChar w:fldCharType="begin"/>
        </w:r>
        <w:r w:rsidR="006869AB">
          <w:rPr>
            <w:webHidden/>
          </w:rPr>
          <w:instrText xml:space="preserve"> PAGEREF _Toc97734633 \h </w:instrText>
        </w:r>
        <w:r w:rsidR="006869AB">
          <w:rPr>
            <w:webHidden/>
          </w:rPr>
        </w:r>
        <w:r w:rsidR="006869AB">
          <w:rPr>
            <w:webHidden/>
          </w:rPr>
          <w:fldChar w:fldCharType="separate"/>
        </w:r>
        <w:r w:rsidR="006869AB">
          <w:rPr>
            <w:webHidden/>
          </w:rPr>
          <w:t>46</w:t>
        </w:r>
        <w:r w:rsidR="006869AB">
          <w:rPr>
            <w:webHidden/>
          </w:rPr>
          <w:fldChar w:fldCharType="end"/>
        </w:r>
      </w:hyperlink>
    </w:p>
    <w:p w14:paraId="21D9A2EB" w14:textId="77777777" w:rsidR="006869AB" w:rsidRDefault="002A355A">
      <w:pPr>
        <w:pStyle w:val="21"/>
        <w:rPr>
          <w:rFonts w:asciiTheme="minorHAnsi" w:eastAsiaTheme="minorEastAsia" w:hAnsiTheme="minorHAnsi" w:cstheme="minorBidi"/>
          <w:sz w:val="22"/>
          <w:lang w:eastAsia="ru-RU"/>
        </w:rPr>
      </w:pPr>
      <w:hyperlink w:anchor="_Toc97734634" w:history="1">
        <w:r w:rsidR="006869AB" w:rsidRPr="00D86C6E">
          <w:rPr>
            <w:rStyle w:val="af2"/>
          </w:rPr>
          <w:t>3.5 Лечение больных множественной миеломой с почечной недостаточностью</w:t>
        </w:r>
        <w:r w:rsidR="006869AB">
          <w:rPr>
            <w:webHidden/>
          </w:rPr>
          <w:tab/>
        </w:r>
        <w:r w:rsidR="006869AB">
          <w:rPr>
            <w:webHidden/>
          </w:rPr>
          <w:fldChar w:fldCharType="begin"/>
        </w:r>
        <w:r w:rsidR="006869AB">
          <w:rPr>
            <w:webHidden/>
          </w:rPr>
          <w:instrText xml:space="preserve"> PAGEREF _Toc97734634 \h </w:instrText>
        </w:r>
        <w:r w:rsidR="006869AB">
          <w:rPr>
            <w:webHidden/>
          </w:rPr>
        </w:r>
        <w:r w:rsidR="006869AB">
          <w:rPr>
            <w:webHidden/>
          </w:rPr>
          <w:fldChar w:fldCharType="separate"/>
        </w:r>
        <w:r w:rsidR="006869AB">
          <w:rPr>
            <w:webHidden/>
          </w:rPr>
          <w:t>49</w:t>
        </w:r>
        <w:r w:rsidR="006869AB">
          <w:rPr>
            <w:webHidden/>
          </w:rPr>
          <w:fldChar w:fldCharType="end"/>
        </w:r>
      </w:hyperlink>
    </w:p>
    <w:p w14:paraId="354BDCFA" w14:textId="77777777" w:rsidR="006869AB" w:rsidRDefault="002A355A">
      <w:pPr>
        <w:pStyle w:val="21"/>
        <w:rPr>
          <w:rFonts w:asciiTheme="minorHAnsi" w:eastAsiaTheme="minorEastAsia" w:hAnsiTheme="minorHAnsi" w:cstheme="minorBidi"/>
          <w:sz w:val="22"/>
          <w:lang w:eastAsia="ru-RU"/>
        </w:rPr>
      </w:pPr>
      <w:hyperlink w:anchor="_Toc97734635" w:history="1">
        <w:r w:rsidR="006869AB" w:rsidRPr="00D86C6E">
          <w:rPr>
            <w:rStyle w:val="af2"/>
          </w:rPr>
          <w:t>3.6 Сопроводительная терапия</w:t>
        </w:r>
        <w:r w:rsidR="006869AB">
          <w:rPr>
            <w:webHidden/>
          </w:rPr>
          <w:tab/>
        </w:r>
        <w:r w:rsidR="006869AB">
          <w:rPr>
            <w:webHidden/>
          </w:rPr>
          <w:fldChar w:fldCharType="begin"/>
        </w:r>
        <w:r w:rsidR="006869AB">
          <w:rPr>
            <w:webHidden/>
          </w:rPr>
          <w:instrText xml:space="preserve"> PAGEREF _Toc97734635 \h </w:instrText>
        </w:r>
        <w:r w:rsidR="006869AB">
          <w:rPr>
            <w:webHidden/>
          </w:rPr>
        </w:r>
        <w:r w:rsidR="006869AB">
          <w:rPr>
            <w:webHidden/>
          </w:rPr>
          <w:fldChar w:fldCharType="separate"/>
        </w:r>
        <w:r w:rsidR="006869AB">
          <w:rPr>
            <w:webHidden/>
          </w:rPr>
          <w:t>52</w:t>
        </w:r>
        <w:r w:rsidR="006869AB">
          <w:rPr>
            <w:webHidden/>
          </w:rPr>
          <w:fldChar w:fldCharType="end"/>
        </w:r>
      </w:hyperlink>
    </w:p>
    <w:p w14:paraId="3A6920DD" w14:textId="77777777" w:rsidR="006869AB" w:rsidRDefault="002A355A">
      <w:pPr>
        <w:pStyle w:val="21"/>
        <w:rPr>
          <w:rFonts w:asciiTheme="minorHAnsi" w:eastAsiaTheme="minorEastAsia" w:hAnsiTheme="minorHAnsi" w:cstheme="minorBidi"/>
          <w:sz w:val="22"/>
          <w:lang w:eastAsia="ru-RU"/>
        </w:rPr>
      </w:pPr>
      <w:hyperlink w:anchor="_Toc97734636" w:history="1">
        <w:r w:rsidR="006869AB" w:rsidRPr="00D86C6E">
          <w:rPr>
            <w:rStyle w:val="af2"/>
          </w:rPr>
          <w:t>3.7 Определение эффективности лечения</w:t>
        </w:r>
        <w:r w:rsidR="006869AB">
          <w:rPr>
            <w:webHidden/>
          </w:rPr>
          <w:tab/>
        </w:r>
        <w:r w:rsidR="006869AB">
          <w:rPr>
            <w:webHidden/>
          </w:rPr>
          <w:fldChar w:fldCharType="begin"/>
        </w:r>
        <w:r w:rsidR="006869AB">
          <w:rPr>
            <w:webHidden/>
          </w:rPr>
          <w:instrText xml:space="preserve"> PAGEREF _Toc97734636 \h </w:instrText>
        </w:r>
        <w:r w:rsidR="006869AB">
          <w:rPr>
            <w:webHidden/>
          </w:rPr>
        </w:r>
        <w:r w:rsidR="006869AB">
          <w:rPr>
            <w:webHidden/>
          </w:rPr>
          <w:fldChar w:fldCharType="separate"/>
        </w:r>
        <w:r w:rsidR="006869AB">
          <w:rPr>
            <w:webHidden/>
          </w:rPr>
          <w:t>54</w:t>
        </w:r>
        <w:r w:rsidR="006869AB">
          <w:rPr>
            <w:webHidden/>
          </w:rPr>
          <w:fldChar w:fldCharType="end"/>
        </w:r>
      </w:hyperlink>
    </w:p>
    <w:p w14:paraId="6E1E810B" w14:textId="77777777" w:rsidR="006869AB" w:rsidRDefault="002A355A">
      <w:pPr>
        <w:pStyle w:val="11"/>
        <w:rPr>
          <w:rFonts w:asciiTheme="minorHAnsi" w:eastAsiaTheme="minorEastAsia" w:hAnsiTheme="minorHAnsi" w:cstheme="minorBidi"/>
          <w:bCs w:val="0"/>
          <w:sz w:val="22"/>
          <w:lang w:eastAsia="ru-RU"/>
        </w:rPr>
      </w:pPr>
      <w:hyperlink w:anchor="_Toc97734637" w:history="1">
        <w:r w:rsidR="006869AB" w:rsidRPr="00D86C6E">
          <w:rPr>
            <w:rStyle w:val="af2"/>
          </w:rPr>
          <w:t>4. Медицинская реабилитация, медицинские показания  и противопоказания к применению методов реабилитации</w:t>
        </w:r>
        <w:r w:rsidR="006869AB">
          <w:rPr>
            <w:webHidden/>
          </w:rPr>
          <w:tab/>
        </w:r>
        <w:r w:rsidR="006869AB">
          <w:rPr>
            <w:webHidden/>
          </w:rPr>
          <w:fldChar w:fldCharType="begin"/>
        </w:r>
        <w:r w:rsidR="006869AB">
          <w:rPr>
            <w:webHidden/>
          </w:rPr>
          <w:instrText xml:space="preserve"> PAGEREF _Toc97734637 \h </w:instrText>
        </w:r>
        <w:r w:rsidR="006869AB">
          <w:rPr>
            <w:webHidden/>
          </w:rPr>
        </w:r>
        <w:r w:rsidR="006869AB">
          <w:rPr>
            <w:webHidden/>
          </w:rPr>
          <w:fldChar w:fldCharType="separate"/>
        </w:r>
        <w:r w:rsidR="006869AB">
          <w:rPr>
            <w:webHidden/>
          </w:rPr>
          <w:t>55</w:t>
        </w:r>
        <w:r w:rsidR="006869AB">
          <w:rPr>
            <w:webHidden/>
          </w:rPr>
          <w:fldChar w:fldCharType="end"/>
        </w:r>
      </w:hyperlink>
    </w:p>
    <w:p w14:paraId="23497D22" w14:textId="77777777" w:rsidR="006869AB" w:rsidRDefault="002A355A">
      <w:pPr>
        <w:pStyle w:val="11"/>
        <w:rPr>
          <w:rFonts w:asciiTheme="minorHAnsi" w:eastAsiaTheme="minorEastAsia" w:hAnsiTheme="minorHAnsi" w:cstheme="minorBidi"/>
          <w:bCs w:val="0"/>
          <w:sz w:val="22"/>
          <w:lang w:eastAsia="ru-RU"/>
        </w:rPr>
      </w:pPr>
      <w:hyperlink w:anchor="_Toc97734638" w:history="1">
        <w:r w:rsidR="006869AB" w:rsidRPr="00D86C6E">
          <w:rPr>
            <w:rStyle w:val="af2"/>
          </w:rPr>
          <w:t>5. Профилактика и диспансерное наблюдение, медицинские показания и противопоказания к применению методов профилактики</w:t>
        </w:r>
        <w:r w:rsidR="006869AB">
          <w:rPr>
            <w:webHidden/>
          </w:rPr>
          <w:tab/>
        </w:r>
        <w:r w:rsidR="006869AB">
          <w:rPr>
            <w:webHidden/>
          </w:rPr>
          <w:fldChar w:fldCharType="begin"/>
        </w:r>
        <w:r w:rsidR="006869AB">
          <w:rPr>
            <w:webHidden/>
          </w:rPr>
          <w:instrText xml:space="preserve"> PAGEREF _Toc97734638 \h </w:instrText>
        </w:r>
        <w:r w:rsidR="006869AB">
          <w:rPr>
            <w:webHidden/>
          </w:rPr>
        </w:r>
        <w:r w:rsidR="006869AB">
          <w:rPr>
            <w:webHidden/>
          </w:rPr>
          <w:fldChar w:fldCharType="separate"/>
        </w:r>
        <w:r w:rsidR="006869AB">
          <w:rPr>
            <w:webHidden/>
          </w:rPr>
          <w:t>56</w:t>
        </w:r>
        <w:r w:rsidR="006869AB">
          <w:rPr>
            <w:webHidden/>
          </w:rPr>
          <w:fldChar w:fldCharType="end"/>
        </w:r>
      </w:hyperlink>
    </w:p>
    <w:p w14:paraId="555237D3" w14:textId="77777777" w:rsidR="006869AB" w:rsidRDefault="002A355A">
      <w:pPr>
        <w:pStyle w:val="11"/>
        <w:rPr>
          <w:rFonts w:asciiTheme="minorHAnsi" w:eastAsiaTheme="minorEastAsia" w:hAnsiTheme="minorHAnsi" w:cstheme="minorBidi"/>
          <w:bCs w:val="0"/>
          <w:sz w:val="22"/>
          <w:lang w:eastAsia="ru-RU"/>
        </w:rPr>
      </w:pPr>
      <w:hyperlink w:anchor="_Toc97734639" w:history="1">
        <w:r w:rsidR="006869AB" w:rsidRPr="00D86C6E">
          <w:rPr>
            <w:rStyle w:val="af2"/>
          </w:rPr>
          <w:t>6. Организация оказания медицинской помощи</w:t>
        </w:r>
        <w:r w:rsidR="006869AB">
          <w:rPr>
            <w:webHidden/>
          </w:rPr>
          <w:tab/>
        </w:r>
        <w:r w:rsidR="006869AB">
          <w:rPr>
            <w:webHidden/>
          </w:rPr>
          <w:fldChar w:fldCharType="begin"/>
        </w:r>
        <w:r w:rsidR="006869AB">
          <w:rPr>
            <w:webHidden/>
          </w:rPr>
          <w:instrText xml:space="preserve"> PAGEREF _Toc97734639 \h </w:instrText>
        </w:r>
        <w:r w:rsidR="006869AB">
          <w:rPr>
            <w:webHidden/>
          </w:rPr>
        </w:r>
        <w:r w:rsidR="006869AB">
          <w:rPr>
            <w:webHidden/>
          </w:rPr>
          <w:fldChar w:fldCharType="separate"/>
        </w:r>
        <w:r w:rsidR="006869AB">
          <w:rPr>
            <w:webHidden/>
          </w:rPr>
          <w:t>57</w:t>
        </w:r>
        <w:r w:rsidR="006869AB">
          <w:rPr>
            <w:webHidden/>
          </w:rPr>
          <w:fldChar w:fldCharType="end"/>
        </w:r>
      </w:hyperlink>
    </w:p>
    <w:p w14:paraId="4E347584" w14:textId="77777777" w:rsidR="006869AB" w:rsidRDefault="002A355A">
      <w:pPr>
        <w:pStyle w:val="11"/>
        <w:rPr>
          <w:rFonts w:asciiTheme="minorHAnsi" w:eastAsiaTheme="minorEastAsia" w:hAnsiTheme="minorHAnsi" w:cstheme="minorBidi"/>
          <w:bCs w:val="0"/>
          <w:sz w:val="22"/>
          <w:lang w:eastAsia="ru-RU"/>
        </w:rPr>
      </w:pPr>
      <w:hyperlink w:anchor="_Toc97734640" w:history="1">
        <w:r w:rsidR="006869AB" w:rsidRPr="00D86C6E">
          <w:rPr>
            <w:rStyle w:val="af2"/>
          </w:rPr>
          <w:t>7. Дополнительная информация (в том числе факторы, влияющие на исход заболевания или состояния)</w:t>
        </w:r>
        <w:r w:rsidR="006869AB">
          <w:rPr>
            <w:webHidden/>
          </w:rPr>
          <w:tab/>
        </w:r>
        <w:r w:rsidR="006869AB">
          <w:rPr>
            <w:webHidden/>
          </w:rPr>
          <w:fldChar w:fldCharType="begin"/>
        </w:r>
        <w:r w:rsidR="006869AB">
          <w:rPr>
            <w:webHidden/>
          </w:rPr>
          <w:instrText xml:space="preserve"> PAGEREF _Toc97734640 \h </w:instrText>
        </w:r>
        <w:r w:rsidR="006869AB">
          <w:rPr>
            <w:webHidden/>
          </w:rPr>
        </w:r>
        <w:r w:rsidR="006869AB">
          <w:rPr>
            <w:webHidden/>
          </w:rPr>
          <w:fldChar w:fldCharType="separate"/>
        </w:r>
        <w:r w:rsidR="006869AB">
          <w:rPr>
            <w:webHidden/>
          </w:rPr>
          <w:t>60</w:t>
        </w:r>
        <w:r w:rsidR="006869AB">
          <w:rPr>
            <w:webHidden/>
          </w:rPr>
          <w:fldChar w:fldCharType="end"/>
        </w:r>
      </w:hyperlink>
    </w:p>
    <w:p w14:paraId="4D8D16F4" w14:textId="77777777" w:rsidR="006869AB" w:rsidRDefault="002A355A">
      <w:pPr>
        <w:pStyle w:val="11"/>
        <w:rPr>
          <w:rFonts w:asciiTheme="minorHAnsi" w:eastAsiaTheme="minorEastAsia" w:hAnsiTheme="minorHAnsi" w:cstheme="minorBidi"/>
          <w:bCs w:val="0"/>
          <w:sz w:val="22"/>
          <w:lang w:eastAsia="ru-RU"/>
        </w:rPr>
      </w:pPr>
      <w:hyperlink w:anchor="_Toc97734641" w:history="1">
        <w:r w:rsidR="006869AB" w:rsidRPr="00D86C6E">
          <w:rPr>
            <w:rStyle w:val="af2"/>
          </w:rPr>
          <w:t>Критерии оценки качества медицинской помощи</w:t>
        </w:r>
        <w:r w:rsidR="006869AB">
          <w:rPr>
            <w:webHidden/>
          </w:rPr>
          <w:tab/>
        </w:r>
        <w:r w:rsidR="006869AB">
          <w:rPr>
            <w:webHidden/>
          </w:rPr>
          <w:fldChar w:fldCharType="begin"/>
        </w:r>
        <w:r w:rsidR="006869AB">
          <w:rPr>
            <w:webHidden/>
          </w:rPr>
          <w:instrText xml:space="preserve"> PAGEREF _Toc97734641 \h </w:instrText>
        </w:r>
        <w:r w:rsidR="006869AB">
          <w:rPr>
            <w:webHidden/>
          </w:rPr>
        </w:r>
        <w:r w:rsidR="006869AB">
          <w:rPr>
            <w:webHidden/>
          </w:rPr>
          <w:fldChar w:fldCharType="separate"/>
        </w:r>
        <w:r w:rsidR="006869AB">
          <w:rPr>
            <w:webHidden/>
          </w:rPr>
          <w:t>62</w:t>
        </w:r>
        <w:r w:rsidR="006869AB">
          <w:rPr>
            <w:webHidden/>
          </w:rPr>
          <w:fldChar w:fldCharType="end"/>
        </w:r>
      </w:hyperlink>
    </w:p>
    <w:p w14:paraId="38B66BDA" w14:textId="77777777" w:rsidR="006869AB" w:rsidRDefault="002A355A">
      <w:pPr>
        <w:pStyle w:val="11"/>
        <w:rPr>
          <w:rFonts w:asciiTheme="minorHAnsi" w:eastAsiaTheme="minorEastAsia" w:hAnsiTheme="minorHAnsi" w:cstheme="minorBidi"/>
          <w:bCs w:val="0"/>
          <w:sz w:val="22"/>
          <w:lang w:eastAsia="ru-RU"/>
        </w:rPr>
      </w:pPr>
      <w:hyperlink w:anchor="_Toc97734642" w:history="1">
        <w:r w:rsidR="006869AB" w:rsidRPr="00D86C6E">
          <w:rPr>
            <w:rStyle w:val="af2"/>
          </w:rPr>
          <w:t>Список литературы</w:t>
        </w:r>
        <w:r w:rsidR="006869AB">
          <w:rPr>
            <w:webHidden/>
          </w:rPr>
          <w:tab/>
        </w:r>
        <w:r w:rsidR="006869AB">
          <w:rPr>
            <w:webHidden/>
          </w:rPr>
          <w:fldChar w:fldCharType="begin"/>
        </w:r>
        <w:r w:rsidR="006869AB">
          <w:rPr>
            <w:webHidden/>
          </w:rPr>
          <w:instrText xml:space="preserve"> PAGEREF _Toc97734642 \h </w:instrText>
        </w:r>
        <w:r w:rsidR="006869AB">
          <w:rPr>
            <w:webHidden/>
          </w:rPr>
        </w:r>
        <w:r w:rsidR="006869AB">
          <w:rPr>
            <w:webHidden/>
          </w:rPr>
          <w:fldChar w:fldCharType="separate"/>
        </w:r>
        <w:r w:rsidR="006869AB">
          <w:rPr>
            <w:webHidden/>
          </w:rPr>
          <w:t>64</w:t>
        </w:r>
        <w:r w:rsidR="006869AB">
          <w:rPr>
            <w:webHidden/>
          </w:rPr>
          <w:fldChar w:fldCharType="end"/>
        </w:r>
      </w:hyperlink>
    </w:p>
    <w:p w14:paraId="49546289" w14:textId="77777777" w:rsidR="006869AB" w:rsidRDefault="002A355A">
      <w:pPr>
        <w:pStyle w:val="11"/>
        <w:rPr>
          <w:rFonts w:asciiTheme="minorHAnsi" w:eastAsiaTheme="minorEastAsia" w:hAnsiTheme="minorHAnsi" w:cstheme="minorBidi"/>
          <w:bCs w:val="0"/>
          <w:sz w:val="22"/>
          <w:lang w:eastAsia="ru-RU"/>
        </w:rPr>
      </w:pPr>
      <w:hyperlink w:anchor="_Toc97734643" w:history="1">
        <w:r w:rsidR="006869AB" w:rsidRPr="00D86C6E">
          <w:rPr>
            <w:rStyle w:val="af2"/>
          </w:rPr>
          <w:t>Приложение А1. Состав рабочей группы по разработке и пересмотру клинических рекомендаций</w:t>
        </w:r>
        <w:r w:rsidR="006869AB">
          <w:rPr>
            <w:webHidden/>
          </w:rPr>
          <w:tab/>
        </w:r>
        <w:r w:rsidR="006869AB">
          <w:rPr>
            <w:webHidden/>
          </w:rPr>
          <w:fldChar w:fldCharType="begin"/>
        </w:r>
        <w:r w:rsidR="006869AB">
          <w:rPr>
            <w:webHidden/>
          </w:rPr>
          <w:instrText xml:space="preserve"> PAGEREF _Toc97734643 \h </w:instrText>
        </w:r>
        <w:r w:rsidR="006869AB">
          <w:rPr>
            <w:webHidden/>
          </w:rPr>
        </w:r>
        <w:r w:rsidR="006869AB">
          <w:rPr>
            <w:webHidden/>
          </w:rPr>
          <w:fldChar w:fldCharType="separate"/>
        </w:r>
        <w:r w:rsidR="006869AB">
          <w:rPr>
            <w:webHidden/>
          </w:rPr>
          <w:t>84</w:t>
        </w:r>
        <w:r w:rsidR="006869AB">
          <w:rPr>
            <w:webHidden/>
          </w:rPr>
          <w:fldChar w:fldCharType="end"/>
        </w:r>
      </w:hyperlink>
    </w:p>
    <w:p w14:paraId="45550187" w14:textId="77777777" w:rsidR="006869AB" w:rsidRDefault="002A355A">
      <w:pPr>
        <w:pStyle w:val="11"/>
        <w:rPr>
          <w:rFonts w:asciiTheme="minorHAnsi" w:eastAsiaTheme="minorEastAsia" w:hAnsiTheme="minorHAnsi" w:cstheme="minorBidi"/>
          <w:bCs w:val="0"/>
          <w:sz w:val="22"/>
          <w:lang w:eastAsia="ru-RU"/>
        </w:rPr>
      </w:pPr>
      <w:hyperlink w:anchor="_Toc97734644" w:history="1">
        <w:r w:rsidR="006869AB" w:rsidRPr="00D86C6E">
          <w:rPr>
            <w:rStyle w:val="af2"/>
          </w:rPr>
          <w:t>Приложение А2. Методология разработки клинических рекомендаций</w:t>
        </w:r>
        <w:r w:rsidR="006869AB">
          <w:rPr>
            <w:webHidden/>
          </w:rPr>
          <w:tab/>
        </w:r>
        <w:r w:rsidR="006869AB">
          <w:rPr>
            <w:webHidden/>
          </w:rPr>
          <w:fldChar w:fldCharType="begin"/>
        </w:r>
        <w:r w:rsidR="006869AB">
          <w:rPr>
            <w:webHidden/>
          </w:rPr>
          <w:instrText xml:space="preserve"> PAGEREF _Toc97734644 \h </w:instrText>
        </w:r>
        <w:r w:rsidR="006869AB">
          <w:rPr>
            <w:webHidden/>
          </w:rPr>
        </w:r>
        <w:r w:rsidR="006869AB">
          <w:rPr>
            <w:webHidden/>
          </w:rPr>
          <w:fldChar w:fldCharType="separate"/>
        </w:r>
        <w:r w:rsidR="006869AB">
          <w:rPr>
            <w:webHidden/>
          </w:rPr>
          <w:t>86</w:t>
        </w:r>
        <w:r w:rsidR="006869AB">
          <w:rPr>
            <w:webHidden/>
          </w:rPr>
          <w:fldChar w:fldCharType="end"/>
        </w:r>
      </w:hyperlink>
    </w:p>
    <w:p w14:paraId="69287720" w14:textId="77777777" w:rsidR="006869AB" w:rsidRDefault="002A355A">
      <w:pPr>
        <w:pStyle w:val="11"/>
        <w:rPr>
          <w:rFonts w:asciiTheme="minorHAnsi" w:eastAsiaTheme="minorEastAsia" w:hAnsiTheme="minorHAnsi" w:cstheme="minorBidi"/>
          <w:bCs w:val="0"/>
          <w:sz w:val="22"/>
          <w:lang w:eastAsia="ru-RU"/>
        </w:rPr>
      </w:pPr>
      <w:hyperlink w:anchor="_Toc97734645" w:history="1">
        <w:r w:rsidR="006869AB" w:rsidRPr="00D86C6E">
          <w:rPr>
            <w:rStyle w:val="af2"/>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6869AB">
          <w:rPr>
            <w:webHidden/>
          </w:rPr>
          <w:tab/>
        </w:r>
        <w:r w:rsidR="006869AB">
          <w:rPr>
            <w:webHidden/>
          </w:rPr>
          <w:fldChar w:fldCharType="begin"/>
        </w:r>
        <w:r w:rsidR="006869AB">
          <w:rPr>
            <w:webHidden/>
          </w:rPr>
          <w:instrText xml:space="preserve"> PAGEREF _Toc97734645 \h </w:instrText>
        </w:r>
        <w:r w:rsidR="006869AB">
          <w:rPr>
            <w:webHidden/>
          </w:rPr>
        </w:r>
        <w:r w:rsidR="006869AB">
          <w:rPr>
            <w:webHidden/>
          </w:rPr>
          <w:fldChar w:fldCharType="separate"/>
        </w:r>
        <w:r w:rsidR="006869AB">
          <w:rPr>
            <w:webHidden/>
          </w:rPr>
          <w:t>89</w:t>
        </w:r>
        <w:r w:rsidR="006869AB">
          <w:rPr>
            <w:webHidden/>
          </w:rPr>
          <w:fldChar w:fldCharType="end"/>
        </w:r>
      </w:hyperlink>
    </w:p>
    <w:p w14:paraId="506EF3B8" w14:textId="77777777" w:rsidR="006869AB" w:rsidRDefault="002A355A">
      <w:pPr>
        <w:pStyle w:val="21"/>
        <w:rPr>
          <w:rFonts w:asciiTheme="minorHAnsi" w:eastAsiaTheme="minorEastAsia" w:hAnsiTheme="minorHAnsi" w:cstheme="minorBidi"/>
          <w:sz w:val="22"/>
          <w:lang w:eastAsia="ru-RU"/>
        </w:rPr>
      </w:pPr>
      <w:hyperlink w:anchor="_Toc97734646" w:history="1">
        <w:r w:rsidR="006869AB" w:rsidRPr="00D86C6E">
          <w:rPr>
            <w:rStyle w:val="af2"/>
          </w:rPr>
          <w:t>Приложение А3.1 Схемы лекарственного лечения множественной миеломы</w:t>
        </w:r>
        <w:r w:rsidR="006869AB">
          <w:rPr>
            <w:webHidden/>
          </w:rPr>
          <w:tab/>
        </w:r>
        <w:r w:rsidR="006869AB">
          <w:rPr>
            <w:webHidden/>
          </w:rPr>
          <w:fldChar w:fldCharType="begin"/>
        </w:r>
        <w:r w:rsidR="006869AB">
          <w:rPr>
            <w:webHidden/>
          </w:rPr>
          <w:instrText xml:space="preserve"> PAGEREF _Toc97734646 \h </w:instrText>
        </w:r>
        <w:r w:rsidR="006869AB">
          <w:rPr>
            <w:webHidden/>
          </w:rPr>
        </w:r>
        <w:r w:rsidR="006869AB">
          <w:rPr>
            <w:webHidden/>
          </w:rPr>
          <w:fldChar w:fldCharType="separate"/>
        </w:r>
        <w:r w:rsidR="006869AB">
          <w:rPr>
            <w:webHidden/>
          </w:rPr>
          <w:t>89</w:t>
        </w:r>
        <w:r w:rsidR="006869AB">
          <w:rPr>
            <w:webHidden/>
          </w:rPr>
          <w:fldChar w:fldCharType="end"/>
        </w:r>
      </w:hyperlink>
    </w:p>
    <w:p w14:paraId="4B88C5AA" w14:textId="77777777" w:rsidR="006869AB" w:rsidRDefault="002A355A">
      <w:pPr>
        <w:pStyle w:val="21"/>
        <w:rPr>
          <w:rFonts w:asciiTheme="minorHAnsi" w:eastAsiaTheme="minorEastAsia" w:hAnsiTheme="minorHAnsi" w:cstheme="minorBidi"/>
          <w:sz w:val="22"/>
          <w:lang w:eastAsia="ru-RU"/>
        </w:rPr>
      </w:pPr>
      <w:hyperlink w:anchor="_Toc97734647" w:history="1">
        <w:r w:rsidR="006869AB" w:rsidRPr="00D86C6E">
          <w:rPr>
            <w:rStyle w:val="af2"/>
            <w:bCs/>
          </w:rPr>
          <w:t>Приложение А3.2. Рекомендации по коррекции дозы леналидомида** в зависимости от клиренса креатинина.</w:t>
        </w:r>
        <w:r w:rsidR="006869AB">
          <w:rPr>
            <w:webHidden/>
          </w:rPr>
          <w:tab/>
        </w:r>
        <w:r w:rsidR="006869AB">
          <w:rPr>
            <w:webHidden/>
          </w:rPr>
          <w:fldChar w:fldCharType="begin"/>
        </w:r>
        <w:r w:rsidR="006869AB">
          <w:rPr>
            <w:webHidden/>
          </w:rPr>
          <w:instrText xml:space="preserve"> PAGEREF _Toc97734647 \h </w:instrText>
        </w:r>
        <w:r w:rsidR="006869AB">
          <w:rPr>
            <w:webHidden/>
          </w:rPr>
        </w:r>
        <w:r w:rsidR="006869AB">
          <w:rPr>
            <w:webHidden/>
          </w:rPr>
          <w:fldChar w:fldCharType="separate"/>
        </w:r>
        <w:r w:rsidR="006869AB">
          <w:rPr>
            <w:webHidden/>
          </w:rPr>
          <w:t>100</w:t>
        </w:r>
        <w:r w:rsidR="006869AB">
          <w:rPr>
            <w:webHidden/>
          </w:rPr>
          <w:fldChar w:fldCharType="end"/>
        </w:r>
      </w:hyperlink>
    </w:p>
    <w:p w14:paraId="5913F335" w14:textId="77777777" w:rsidR="006869AB" w:rsidRDefault="002A355A">
      <w:pPr>
        <w:pStyle w:val="21"/>
        <w:rPr>
          <w:rFonts w:asciiTheme="minorHAnsi" w:eastAsiaTheme="minorEastAsia" w:hAnsiTheme="minorHAnsi" w:cstheme="minorBidi"/>
          <w:sz w:val="22"/>
          <w:lang w:eastAsia="ru-RU"/>
        </w:rPr>
      </w:pPr>
      <w:hyperlink w:anchor="_Toc97734648" w:history="1">
        <w:r w:rsidR="006869AB" w:rsidRPr="00D86C6E">
          <w:rPr>
            <w:rStyle w:val="af2"/>
            <w:bCs/>
          </w:rPr>
          <w:t>Приложение А3.3. Справочные материалы, включающие сведения о выполнении трансплантации аутологичных стволовых клеток крови при множественной миеломе</w:t>
        </w:r>
        <w:r w:rsidR="006869AB">
          <w:rPr>
            <w:webHidden/>
          </w:rPr>
          <w:tab/>
        </w:r>
        <w:r w:rsidR="006869AB">
          <w:rPr>
            <w:webHidden/>
          </w:rPr>
          <w:fldChar w:fldCharType="begin"/>
        </w:r>
        <w:r w:rsidR="006869AB">
          <w:rPr>
            <w:webHidden/>
          </w:rPr>
          <w:instrText xml:space="preserve"> PAGEREF _Toc97734648 \h </w:instrText>
        </w:r>
        <w:r w:rsidR="006869AB">
          <w:rPr>
            <w:webHidden/>
          </w:rPr>
        </w:r>
        <w:r w:rsidR="006869AB">
          <w:rPr>
            <w:webHidden/>
          </w:rPr>
          <w:fldChar w:fldCharType="separate"/>
        </w:r>
        <w:r w:rsidR="006869AB">
          <w:rPr>
            <w:webHidden/>
          </w:rPr>
          <w:t>101</w:t>
        </w:r>
        <w:r w:rsidR="006869AB">
          <w:rPr>
            <w:webHidden/>
          </w:rPr>
          <w:fldChar w:fldCharType="end"/>
        </w:r>
      </w:hyperlink>
    </w:p>
    <w:p w14:paraId="6D661A08" w14:textId="77777777" w:rsidR="006869AB" w:rsidRDefault="002A355A">
      <w:pPr>
        <w:pStyle w:val="21"/>
        <w:rPr>
          <w:rFonts w:asciiTheme="minorHAnsi" w:eastAsiaTheme="minorEastAsia" w:hAnsiTheme="minorHAnsi" w:cstheme="minorBidi"/>
          <w:sz w:val="22"/>
          <w:lang w:eastAsia="ru-RU"/>
        </w:rPr>
      </w:pPr>
      <w:hyperlink w:anchor="_Toc97734649" w:history="1">
        <w:r w:rsidR="006869AB" w:rsidRPr="00D86C6E">
          <w:rPr>
            <w:rStyle w:val="af2"/>
            <w:bCs/>
          </w:rPr>
          <w:t>Приложение А3.4, Инструментальные и лабораторные методы исследования на различных этапах терапии множественной миеломы</w:t>
        </w:r>
        <w:r w:rsidR="006869AB">
          <w:rPr>
            <w:webHidden/>
          </w:rPr>
          <w:tab/>
        </w:r>
        <w:r w:rsidR="006869AB">
          <w:rPr>
            <w:webHidden/>
          </w:rPr>
          <w:fldChar w:fldCharType="begin"/>
        </w:r>
        <w:r w:rsidR="006869AB">
          <w:rPr>
            <w:webHidden/>
          </w:rPr>
          <w:instrText xml:space="preserve"> PAGEREF _Toc97734649 \h </w:instrText>
        </w:r>
        <w:r w:rsidR="006869AB">
          <w:rPr>
            <w:webHidden/>
          </w:rPr>
        </w:r>
        <w:r w:rsidR="006869AB">
          <w:rPr>
            <w:webHidden/>
          </w:rPr>
          <w:fldChar w:fldCharType="separate"/>
        </w:r>
        <w:r w:rsidR="006869AB">
          <w:rPr>
            <w:webHidden/>
          </w:rPr>
          <w:t>126</w:t>
        </w:r>
        <w:r w:rsidR="006869AB">
          <w:rPr>
            <w:webHidden/>
          </w:rPr>
          <w:fldChar w:fldCharType="end"/>
        </w:r>
      </w:hyperlink>
    </w:p>
    <w:p w14:paraId="0101A6B0" w14:textId="77777777" w:rsidR="006869AB" w:rsidRDefault="002A355A">
      <w:pPr>
        <w:pStyle w:val="21"/>
        <w:rPr>
          <w:rFonts w:asciiTheme="minorHAnsi" w:eastAsiaTheme="minorEastAsia" w:hAnsiTheme="minorHAnsi" w:cstheme="minorBidi"/>
          <w:sz w:val="22"/>
          <w:lang w:eastAsia="ru-RU"/>
        </w:rPr>
      </w:pPr>
      <w:hyperlink w:anchor="_Toc97734650" w:history="1">
        <w:r w:rsidR="006869AB" w:rsidRPr="00D86C6E">
          <w:rPr>
            <w:rStyle w:val="af2"/>
          </w:rPr>
          <w:t>Приложение А3.5. Препараты, улучшающие метаболизм костной ткани у больных множественной миеломой</w:t>
        </w:r>
        <w:r w:rsidR="006869AB">
          <w:rPr>
            <w:webHidden/>
          </w:rPr>
          <w:tab/>
        </w:r>
        <w:r w:rsidR="006869AB">
          <w:rPr>
            <w:webHidden/>
          </w:rPr>
          <w:fldChar w:fldCharType="begin"/>
        </w:r>
        <w:r w:rsidR="006869AB">
          <w:rPr>
            <w:webHidden/>
          </w:rPr>
          <w:instrText xml:space="preserve"> PAGEREF _Toc97734650 \h </w:instrText>
        </w:r>
        <w:r w:rsidR="006869AB">
          <w:rPr>
            <w:webHidden/>
          </w:rPr>
        </w:r>
        <w:r w:rsidR="006869AB">
          <w:rPr>
            <w:webHidden/>
          </w:rPr>
          <w:fldChar w:fldCharType="separate"/>
        </w:r>
        <w:r w:rsidR="006869AB">
          <w:rPr>
            <w:webHidden/>
          </w:rPr>
          <w:t>137</w:t>
        </w:r>
        <w:r w:rsidR="006869AB">
          <w:rPr>
            <w:webHidden/>
          </w:rPr>
          <w:fldChar w:fldCharType="end"/>
        </w:r>
      </w:hyperlink>
    </w:p>
    <w:p w14:paraId="37645221" w14:textId="77777777" w:rsidR="006869AB" w:rsidRDefault="002A355A">
      <w:pPr>
        <w:pStyle w:val="21"/>
        <w:rPr>
          <w:rFonts w:asciiTheme="minorHAnsi" w:eastAsiaTheme="minorEastAsia" w:hAnsiTheme="minorHAnsi" w:cstheme="minorBidi"/>
          <w:sz w:val="22"/>
          <w:lang w:eastAsia="ru-RU"/>
        </w:rPr>
      </w:pPr>
      <w:hyperlink w:anchor="_Toc97734651" w:history="1">
        <w:r w:rsidR="006869AB" w:rsidRPr="00D86C6E">
          <w:rPr>
            <w:rStyle w:val="af2"/>
            <w:bCs/>
          </w:rPr>
          <w:t>Приложение А3.6. Профилактика и лечение тошноты и рвоты</w:t>
        </w:r>
        <w:r w:rsidR="006869AB">
          <w:rPr>
            <w:webHidden/>
          </w:rPr>
          <w:tab/>
        </w:r>
        <w:r w:rsidR="006869AB">
          <w:rPr>
            <w:webHidden/>
          </w:rPr>
          <w:fldChar w:fldCharType="begin"/>
        </w:r>
        <w:r w:rsidR="006869AB">
          <w:rPr>
            <w:webHidden/>
          </w:rPr>
          <w:instrText xml:space="preserve"> PAGEREF _Toc97734651 \h </w:instrText>
        </w:r>
        <w:r w:rsidR="006869AB">
          <w:rPr>
            <w:webHidden/>
          </w:rPr>
        </w:r>
        <w:r w:rsidR="006869AB">
          <w:rPr>
            <w:webHidden/>
          </w:rPr>
          <w:fldChar w:fldCharType="separate"/>
        </w:r>
        <w:r w:rsidR="006869AB">
          <w:rPr>
            <w:webHidden/>
          </w:rPr>
          <w:t>142</w:t>
        </w:r>
        <w:r w:rsidR="006869AB">
          <w:rPr>
            <w:webHidden/>
          </w:rPr>
          <w:fldChar w:fldCharType="end"/>
        </w:r>
      </w:hyperlink>
    </w:p>
    <w:p w14:paraId="1EAF8B91" w14:textId="77777777" w:rsidR="006869AB" w:rsidRDefault="002A355A">
      <w:pPr>
        <w:pStyle w:val="21"/>
        <w:rPr>
          <w:rFonts w:asciiTheme="minorHAnsi" w:eastAsiaTheme="minorEastAsia" w:hAnsiTheme="minorHAnsi" w:cstheme="minorBidi"/>
          <w:sz w:val="22"/>
          <w:lang w:eastAsia="ru-RU"/>
        </w:rPr>
      </w:pPr>
      <w:hyperlink w:anchor="_Toc97734652" w:history="1">
        <w:r w:rsidR="006869AB" w:rsidRPr="00D86C6E">
          <w:rPr>
            <w:rStyle w:val="af2"/>
            <w:bCs/>
          </w:rPr>
          <w:t>Приложение А3.7. Профилактика язвенной болезни желудка и 12-перстной кишки на фоне терапии глюкокортикостероидами</w:t>
        </w:r>
        <w:r w:rsidR="006869AB">
          <w:rPr>
            <w:webHidden/>
          </w:rPr>
          <w:tab/>
        </w:r>
        <w:r w:rsidR="006869AB">
          <w:rPr>
            <w:webHidden/>
          </w:rPr>
          <w:fldChar w:fldCharType="begin"/>
        </w:r>
        <w:r w:rsidR="006869AB">
          <w:rPr>
            <w:webHidden/>
          </w:rPr>
          <w:instrText xml:space="preserve"> PAGEREF _Toc97734652 \h </w:instrText>
        </w:r>
        <w:r w:rsidR="006869AB">
          <w:rPr>
            <w:webHidden/>
          </w:rPr>
        </w:r>
        <w:r w:rsidR="006869AB">
          <w:rPr>
            <w:webHidden/>
          </w:rPr>
          <w:fldChar w:fldCharType="separate"/>
        </w:r>
        <w:r w:rsidR="006869AB">
          <w:rPr>
            <w:webHidden/>
          </w:rPr>
          <w:t>151</w:t>
        </w:r>
        <w:r w:rsidR="006869AB">
          <w:rPr>
            <w:webHidden/>
          </w:rPr>
          <w:fldChar w:fldCharType="end"/>
        </w:r>
      </w:hyperlink>
    </w:p>
    <w:p w14:paraId="4F89F4DE" w14:textId="77777777" w:rsidR="006869AB" w:rsidRDefault="002A355A">
      <w:pPr>
        <w:pStyle w:val="21"/>
        <w:rPr>
          <w:rFonts w:asciiTheme="minorHAnsi" w:eastAsiaTheme="minorEastAsia" w:hAnsiTheme="minorHAnsi" w:cstheme="minorBidi"/>
          <w:sz w:val="22"/>
          <w:lang w:eastAsia="ru-RU"/>
        </w:rPr>
      </w:pPr>
      <w:hyperlink w:anchor="_Toc97734653" w:history="1">
        <w:r w:rsidR="006869AB" w:rsidRPr="00D86C6E">
          <w:rPr>
            <w:rStyle w:val="af2"/>
            <w:bCs/>
          </w:rPr>
          <w:t>Приложение А3.8. Нутритивная терапия</w:t>
        </w:r>
        <w:r w:rsidR="006869AB">
          <w:rPr>
            <w:webHidden/>
          </w:rPr>
          <w:tab/>
        </w:r>
        <w:r w:rsidR="006869AB">
          <w:rPr>
            <w:webHidden/>
          </w:rPr>
          <w:fldChar w:fldCharType="begin"/>
        </w:r>
        <w:r w:rsidR="006869AB">
          <w:rPr>
            <w:webHidden/>
          </w:rPr>
          <w:instrText xml:space="preserve"> PAGEREF _Toc97734653 \h </w:instrText>
        </w:r>
        <w:r w:rsidR="006869AB">
          <w:rPr>
            <w:webHidden/>
          </w:rPr>
        </w:r>
        <w:r w:rsidR="006869AB">
          <w:rPr>
            <w:webHidden/>
          </w:rPr>
          <w:fldChar w:fldCharType="separate"/>
        </w:r>
        <w:r w:rsidR="006869AB">
          <w:rPr>
            <w:webHidden/>
          </w:rPr>
          <w:t>154</w:t>
        </w:r>
        <w:r w:rsidR="006869AB">
          <w:rPr>
            <w:webHidden/>
          </w:rPr>
          <w:fldChar w:fldCharType="end"/>
        </w:r>
      </w:hyperlink>
    </w:p>
    <w:p w14:paraId="7A83D584" w14:textId="77777777" w:rsidR="006869AB" w:rsidRDefault="002A355A">
      <w:pPr>
        <w:pStyle w:val="21"/>
        <w:rPr>
          <w:rFonts w:asciiTheme="minorHAnsi" w:eastAsiaTheme="minorEastAsia" w:hAnsiTheme="minorHAnsi" w:cstheme="minorBidi"/>
          <w:sz w:val="22"/>
          <w:lang w:eastAsia="ru-RU"/>
        </w:rPr>
      </w:pPr>
      <w:hyperlink w:anchor="_Toc97734654" w:history="1">
        <w:r w:rsidR="006869AB" w:rsidRPr="00D86C6E">
          <w:rPr>
            <w:rStyle w:val="af2"/>
            <w:bCs/>
          </w:rPr>
          <w:t>Приложение А3.9. Профилактика, диагностика и лечение геморрагических осложнений при множественной миеломе</w:t>
        </w:r>
        <w:r w:rsidR="006869AB">
          <w:rPr>
            <w:webHidden/>
          </w:rPr>
          <w:tab/>
        </w:r>
        <w:r w:rsidR="006869AB">
          <w:rPr>
            <w:webHidden/>
          </w:rPr>
          <w:fldChar w:fldCharType="begin"/>
        </w:r>
        <w:r w:rsidR="006869AB">
          <w:rPr>
            <w:webHidden/>
          </w:rPr>
          <w:instrText xml:space="preserve"> PAGEREF _Toc97734654 \h </w:instrText>
        </w:r>
        <w:r w:rsidR="006869AB">
          <w:rPr>
            <w:webHidden/>
          </w:rPr>
        </w:r>
        <w:r w:rsidR="006869AB">
          <w:rPr>
            <w:webHidden/>
          </w:rPr>
          <w:fldChar w:fldCharType="separate"/>
        </w:r>
        <w:r w:rsidR="006869AB">
          <w:rPr>
            <w:webHidden/>
          </w:rPr>
          <w:t>158</w:t>
        </w:r>
        <w:r w:rsidR="006869AB">
          <w:rPr>
            <w:webHidden/>
          </w:rPr>
          <w:fldChar w:fldCharType="end"/>
        </w:r>
      </w:hyperlink>
    </w:p>
    <w:p w14:paraId="2EA3263C" w14:textId="77777777" w:rsidR="006869AB" w:rsidRDefault="002A355A">
      <w:pPr>
        <w:pStyle w:val="21"/>
        <w:rPr>
          <w:rFonts w:asciiTheme="minorHAnsi" w:eastAsiaTheme="minorEastAsia" w:hAnsiTheme="minorHAnsi" w:cstheme="minorBidi"/>
          <w:sz w:val="22"/>
          <w:lang w:eastAsia="ru-RU"/>
        </w:rPr>
      </w:pPr>
      <w:hyperlink w:anchor="_Toc97734655" w:history="1">
        <w:r w:rsidR="006869AB" w:rsidRPr="00D86C6E">
          <w:rPr>
            <w:rStyle w:val="af2"/>
            <w:bCs/>
          </w:rPr>
          <w:t>Приложение А3.10. Обеспечение сосудистого доступа</w:t>
        </w:r>
        <w:r w:rsidR="006869AB">
          <w:rPr>
            <w:webHidden/>
          </w:rPr>
          <w:tab/>
        </w:r>
        <w:r w:rsidR="006869AB">
          <w:rPr>
            <w:webHidden/>
          </w:rPr>
          <w:fldChar w:fldCharType="begin"/>
        </w:r>
        <w:r w:rsidR="006869AB">
          <w:rPr>
            <w:webHidden/>
          </w:rPr>
          <w:instrText xml:space="preserve"> PAGEREF _Toc97734655 \h </w:instrText>
        </w:r>
        <w:r w:rsidR="006869AB">
          <w:rPr>
            <w:webHidden/>
          </w:rPr>
        </w:r>
        <w:r w:rsidR="006869AB">
          <w:rPr>
            <w:webHidden/>
          </w:rPr>
          <w:fldChar w:fldCharType="separate"/>
        </w:r>
        <w:r w:rsidR="006869AB">
          <w:rPr>
            <w:webHidden/>
          </w:rPr>
          <w:t>162</w:t>
        </w:r>
        <w:r w:rsidR="006869AB">
          <w:rPr>
            <w:webHidden/>
          </w:rPr>
          <w:fldChar w:fldCharType="end"/>
        </w:r>
      </w:hyperlink>
    </w:p>
    <w:p w14:paraId="43FE9A3F" w14:textId="77777777" w:rsidR="006869AB" w:rsidRDefault="002A355A">
      <w:pPr>
        <w:pStyle w:val="21"/>
        <w:rPr>
          <w:rFonts w:asciiTheme="minorHAnsi" w:eastAsiaTheme="minorEastAsia" w:hAnsiTheme="minorHAnsi" w:cstheme="minorBidi"/>
          <w:sz w:val="22"/>
          <w:lang w:eastAsia="ru-RU"/>
        </w:rPr>
      </w:pPr>
      <w:hyperlink w:anchor="_Toc97734656" w:history="1">
        <w:r w:rsidR="006869AB" w:rsidRPr="00D86C6E">
          <w:rPr>
            <w:rStyle w:val="af2"/>
          </w:rPr>
          <w:t>Приложение А3.11. Сопроводительная терапия при введении моноклональных антител</w:t>
        </w:r>
        <w:r w:rsidR="006869AB">
          <w:rPr>
            <w:webHidden/>
          </w:rPr>
          <w:tab/>
        </w:r>
        <w:r w:rsidR="006869AB">
          <w:rPr>
            <w:webHidden/>
          </w:rPr>
          <w:fldChar w:fldCharType="begin"/>
        </w:r>
        <w:r w:rsidR="006869AB">
          <w:rPr>
            <w:webHidden/>
          </w:rPr>
          <w:instrText xml:space="preserve"> PAGEREF _Toc97734656 \h </w:instrText>
        </w:r>
        <w:r w:rsidR="006869AB">
          <w:rPr>
            <w:webHidden/>
          </w:rPr>
        </w:r>
        <w:r w:rsidR="006869AB">
          <w:rPr>
            <w:webHidden/>
          </w:rPr>
          <w:fldChar w:fldCharType="separate"/>
        </w:r>
        <w:r w:rsidR="006869AB">
          <w:rPr>
            <w:webHidden/>
          </w:rPr>
          <w:t>174</w:t>
        </w:r>
        <w:r w:rsidR="006869AB">
          <w:rPr>
            <w:webHidden/>
          </w:rPr>
          <w:fldChar w:fldCharType="end"/>
        </w:r>
      </w:hyperlink>
    </w:p>
    <w:p w14:paraId="1970438C" w14:textId="77777777" w:rsidR="006869AB" w:rsidRDefault="002A355A">
      <w:pPr>
        <w:pStyle w:val="21"/>
        <w:rPr>
          <w:rFonts w:asciiTheme="minorHAnsi" w:eastAsiaTheme="minorEastAsia" w:hAnsiTheme="minorHAnsi" w:cstheme="minorBidi"/>
          <w:sz w:val="22"/>
          <w:lang w:eastAsia="ru-RU"/>
        </w:rPr>
      </w:pPr>
      <w:hyperlink w:anchor="_Toc97734657" w:history="1">
        <w:r w:rsidR="006869AB" w:rsidRPr="00D86C6E">
          <w:rPr>
            <w:rStyle w:val="af2"/>
          </w:rPr>
          <w:t>Приложение А3.12. Профилактика тромботических осложнений</w:t>
        </w:r>
        <w:r w:rsidR="006869AB">
          <w:rPr>
            <w:webHidden/>
          </w:rPr>
          <w:tab/>
        </w:r>
        <w:r w:rsidR="006869AB">
          <w:rPr>
            <w:webHidden/>
          </w:rPr>
          <w:fldChar w:fldCharType="begin"/>
        </w:r>
        <w:r w:rsidR="006869AB">
          <w:rPr>
            <w:webHidden/>
          </w:rPr>
          <w:instrText xml:space="preserve"> PAGEREF _Toc97734657 \h </w:instrText>
        </w:r>
        <w:r w:rsidR="006869AB">
          <w:rPr>
            <w:webHidden/>
          </w:rPr>
        </w:r>
        <w:r w:rsidR="006869AB">
          <w:rPr>
            <w:webHidden/>
          </w:rPr>
          <w:fldChar w:fldCharType="separate"/>
        </w:r>
        <w:r w:rsidR="006869AB">
          <w:rPr>
            <w:webHidden/>
          </w:rPr>
          <w:t>179</w:t>
        </w:r>
        <w:r w:rsidR="006869AB">
          <w:rPr>
            <w:webHidden/>
          </w:rPr>
          <w:fldChar w:fldCharType="end"/>
        </w:r>
      </w:hyperlink>
    </w:p>
    <w:p w14:paraId="02DC117A" w14:textId="77777777" w:rsidR="006869AB" w:rsidRDefault="002A355A">
      <w:pPr>
        <w:pStyle w:val="21"/>
        <w:rPr>
          <w:rFonts w:asciiTheme="minorHAnsi" w:eastAsiaTheme="minorEastAsia" w:hAnsiTheme="minorHAnsi" w:cstheme="minorBidi"/>
          <w:sz w:val="22"/>
          <w:lang w:eastAsia="ru-RU"/>
        </w:rPr>
      </w:pPr>
      <w:hyperlink w:anchor="_Toc97734658" w:history="1">
        <w:r w:rsidR="006869AB" w:rsidRPr="00D86C6E">
          <w:rPr>
            <w:rStyle w:val="af2"/>
            <w:bCs/>
          </w:rPr>
          <w:t>Приложение А3.13. Применение компонентов донорской крови у гематологических пациентов</w:t>
        </w:r>
        <w:r w:rsidR="006869AB">
          <w:rPr>
            <w:webHidden/>
          </w:rPr>
          <w:tab/>
        </w:r>
        <w:r w:rsidR="006869AB">
          <w:rPr>
            <w:webHidden/>
          </w:rPr>
          <w:fldChar w:fldCharType="begin"/>
        </w:r>
        <w:r w:rsidR="006869AB">
          <w:rPr>
            <w:webHidden/>
          </w:rPr>
          <w:instrText xml:space="preserve"> PAGEREF _Toc97734658 \h </w:instrText>
        </w:r>
        <w:r w:rsidR="006869AB">
          <w:rPr>
            <w:webHidden/>
          </w:rPr>
        </w:r>
        <w:r w:rsidR="006869AB">
          <w:rPr>
            <w:webHidden/>
          </w:rPr>
          <w:fldChar w:fldCharType="separate"/>
        </w:r>
        <w:r w:rsidR="006869AB">
          <w:rPr>
            <w:webHidden/>
          </w:rPr>
          <w:t>186</w:t>
        </w:r>
        <w:r w:rsidR="006869AB">
          <w:rPr>
            <w:webHidden/>
          </w:rPr>
          <w:fldChar w:fldCharType="end"/>
        </w:r>
      </w:hyperlink>
    </w:p>
    <w:p w14:paraId="4F9730F6" w14:textId="77777777" w:rsidR="006869AB" w:rsidRDefault="002A355A">
      <w:pPr>
        <w:pStyle w:val="21"/>
        <w:rPr>
          <w:rFonts w:asciiTheme="minorHAnsi" w:eastAsiaTheme="minorEastAsia" w:hAnsiTheme="minorHAnsi" w:cstheme="minorBidi"/>
          <w:sz w:val="22"/>
          <w:lang w:eastAsia="ru-RU"/>
        </w:rPr>
      </w:pPr>
      <w:hyperlink w:anchor="_Toc97734659" w:history="1">
        <w:r w:rsidR="006869AB" w:rsidRPr="00D86C6E">
          <w:rPr>
            <w:rStyle w:val="af2"/>
            <w:bCs/>
          </w:rPr>
          <w:t>Приложение А3.14. Профилактика инфекционных осложнений</w:t>
        </w:r>
        <w:r w:rsidR="006869AB">
          <w:rPr>
            <w:webHidden/>
          </w:rPr>
          <w:tab/>
        </w:r>
        <w:r w:rsidR="006869AB">
          <w:rPr>
            <w:webHidden/>
          </w:rPr>
          <w:fldChar w:fldCharType="begin"/>
        </w:r>
        <w:r w:rsidR="006869AB">
          <w:rPr>
            <w:webHidden/>
          </w:rPr>
          <w:instrText xml:space="preserve"> PAGEREF _Toc97734659 \h </w:instrText>
        </w:r>
        <w:r w:rsidR="006869AB">
          <w:rPr>
            <w:webHidden/>
          </w:rPr>
        </w:r>
        <w:r w:rsidR="006869AB">
          <w:rPr>
            <w:webHidden/>
          </w:rPr>
          <w:fldChar w:fldCharType="separate"/>
        </w:r>
        <w:r w:rsidR="006869AB">
          <w:rPr>
            <w:webHidden/>
          </w:rPr>
          <w:t>207</w:t>
        </w:r>
        <w:r w:rsidR="006869AB">
          <w:rPr>
            <w:webHidden/>
          </w:rPr>
          <w:fldChar w:fldCharType="end"/>
        </w:r>
      </w:hyperlink>
    </w:p>
    <w:p w14:paraId="763E3DAF" w14:textId="77777777" w:rsidR="006869AB" w:rsidRDefault="002A355A">
      <w:pPr>
        <w:pStyle w:val="21"/>
        <w:rPr>
          <w:rFonts w:asciiTheme="minorHAnsi" w:eastAsiaTheme="minorEastAsia" w:hAnsiTheme="minorHAnsi" w:cstheme="minorBidi"/>
          <w:sz w:val="22"/>
          <w:lang w:eastAsia="ru-RU"/>
        </w:rPr>
      </w:pPr>
      <w:hyperlink w:anchor="_Toc97734660" w:history="1">
        <w:r w:rsidR="006869AB" w:rsidRPr="00D86C6E">
          <w:rPr>
            <w:rStyle w:val="af2"/>
          </w:rPr>
          <w:t>Приложение А3.15. Инфузионная терапия</w:t>
        </w:r>
        <w:r w:rsidR="006869AB">
          <w:rPr>
            <w:webHidden/>
          </w:rPr>
          <w:tab/>
        </w:r>
        <w:r w:rsidR="006869AB">
          <w:rPr>
            <w:webHidden/>
          </w:rPr>
          <w:fldChar w:fldCharType="begin"/>
        </w:r>
        <w:r w:rsidR="006869AB">
          <w:rPr>
            <w:webHidden/>
          </w:rPr>
          <w:instrText xml:space="preserve"> PAGEREF _Toc97734660 \h </w:instrText>
        </w:r>
        <w:r w:rsidR="006869AB">
          <w:rPr>
            <w:webHidden/>
          </w:rPr>
        </w:r>
        <w:r w:rsidR="006869AB">
          <w:rPr>
            <w:webHidden/>
          </w:rPr>
          <w:fldChar w:fldCharType="separate"/>
        </w:r>
        <w:r w:rsidR="006869AB">
          <w:rPr>
            <w:webHidden/>
          </w:rPr>
          <w:t>209</w:t>
        </w:r>
        <w:r w:rsidR="006869AB">
          <w:rPr>
            <w:webHidden/>
          </w:rPr>
          <w:fldChar w:fldCharType="end"/>
        </w:r>
      </w:hyperlink>
    </w:p>
    <w:p w14:paraId="4CD15E21" w14:textId="77777777" w:rsidR="006869AB" w:rsidRDefault="002A355A">
      <w:pPr>
        <w:pStyle w:val="21"/>
        <w:rPr>
          <w:rFonts w:asciiTheme="minorHAnsi" w:eastAsiaTheme="minorEastAsia" w:hAnsiTheme="minorHAnsi" w:cstheme="minorBidi"/>
          <w:sz w:val="22"/>
          <w:lang w:eastAsia="ru-RU"/>
        </w:rPr>
      </w:pPr>
      <w:hyperlink w:anchor="_Toc97734661" w:history="1">
        <w:r w:rsidR="006869AB" w:rsidRPr="00D86C6E">
          <w:rPr>
            <w:rStyle w:val="af2"/>
          </w:rPr>
          <w:t>Приложение А3.16. Рекомендации по лечению множественной миеломы в период беременности</w:t>
        </w:r>
        <w:r w:rsidR="006869AB">
          <w:rPr>
            <w:webHidden/>
          </w:rPr>
          <w:tab/>
        </w:r>
        <w:r w:rsidR="006869AB">
          <w:rPr>
            <w:webHidden/>
          </w:rPr>
          <w:fldChar w:fldCharType="begin"/>
        </w:r>
        <w:r w:rsidR="006869AB">
          <w:rPr>
            <w:webHidden/>
          </w:rPr>
          <w:instrText xml:space="preserve"> PAGEREF _Toc97734661 \h </w:instrText>
        </w:r>
        <w:r w:rsidR="006869AB">
          <w:rPr>
            <w:webHidden/>
          </w:rPr>
        </w:r>
        <w:r w:rsidR="006869AB">
          <w:rPr>
            <w:webHidden/>
          </w:rPr>
          <w:fldChar w:fldCharType="separate"/>
        </w:r>
        <w:r w:rsidR="006869AB">
          <w:rPr>
            <w:webHidden/>
          </w:rPr>
          <w:t>213</w:t>
        </w:r>
        <w:r w:rsidR="006869AB">
          <w:rPr>
            <w:webHidden/>
          </w:rPr>
          <w:fldChar w:fldCharType="end"/>
        </w:r>
      </w:hyperlink>
    </w:p>
    <w:p w14:paraId="17150610" w14:textId="77777777" w:rsidR="006869AB" w:rsidRDefault="002A355A">
      <w:pPr>
        <w:pStyle w:val="11"/>
        <w:rPr>
          <w:rFonts w:asciiTheme="minorHAnsi" w:eastAsiaTheme="minorEastAsia" w:hAnsiTheme="minorHAnsi" w:cstheme="minorBidi"/>
          <w:bCs w:val="0"/>
          <w:sz w:val="22"/>
          <w:lang w:eastAsia="ru-RU"/>
        </w:rPr>
      </w:pPr>
      <w:hyperlink w:anchor="_Toc97734662" w:history="1">
        <w:r w:rsidR="006869AB" w:rsidRPr="00D86C6E">
          <w:rPr>
            <w:rStyle w:val="af2"/>
          </w:rPr>
          <w:t>Приложение Б. Алгоритмы действий врача</w:t>
        </w:r>
        <w:r w:rsidR="006869AB">
          <w:rPr>
            <w:webHidden/>
          </w:rPr>
          <w:tab/>
        </w:r>
        <w:r w:rsidR="006869AB">
          <w:rPr>
            <w:webHidden/>
          </w:rPr>
          <w:fldChar w:fldCharType="begin"/>
        </w:r>
        <w:r w:rsidR="006869AB">
          <w:rPr>
            <w:webHidden/>
          </w:rPr>
          <w:instrText xml:space="preserve"> PAGEREF _Toc97734662 \h </w:instrText>
        </w:r>
        <w:r w:rsidR="006869AB">
          <w:rPr>
            <w:webHidden/>
          </w:rPr>
        </w:r>
        <w:r w:rsidR="006869AB">
          <w:rPr>
            <w:webHidden/>
          </w:rPr>
          <w:fldChar w:fldCharType="separate"/>
        </w:r>
        <w:r w:rsidR="006869AB">
          <w:rPr>
            <w:webHidden/>
          </w:rPr>
          <w:t>214</w:t>
        </w:r>
        <w:r w:rsidR="006869AB">
          <w:rPr>
            <w:webHidden/>
          </w:rPr>
          <w:fldChar w:fldCharType="end"/>
        </w:r>
      </w:hyperlink>
    </w:p>
    <w:p w14:paraId="1C9640C6" w14:textId="77777777" w:rsidR="006869AB" w:rsidRDefault="002A355A">
      <w:pPr>
        <w:pStyle w:val="11"/>
        <w:rPr>
          <w:rFonts w:asciiTheme="minorHAnsi" w:eastAsiaTheme="minorEastAsia" w:hAnsiTheme="minorHAnsi" w:cstheme="minorBidi"/>
          <w:bCs w:val="0"/>
          <w:sz w:val="22"/>
          <w:lang w:eastAsia="ru-RU"/>
        </w:rPr>
      </w:pPr>
      <w:hyperlink w:anchor="_Toc97734663" w:history="1">
        <w:r w:rsidR="006869AB" w:rsidRPr="00D86C6E">
          <w:rPr>
            <w:rStyle w:val="af2"/>
          </w:rPr>
          <w:t>Приложение В. Информация для пациентов</w:t>
        </w:r>
        <w:r w:rsidR="006869AB">
          <w:rPr>
            <w:webHidden/>
          </w:rPr>
          <w:tab/>
        </w:r>
        <w:r w:rsidR="006869AB">
          <w:rPr>
            <w:webHidden/>
          </w:rPr>
          <w:fldChar w:fldCharType="begin"/>
        </w:r>
        <w:r w:rsidR="006869AB">
          <w:rPr>
            <w:webHidden/>
          </w:rPr>
          <w:instrText xml:space="preserve"> PAGEREF _Toc97734663 \h </w:instrText>
        </w:r>
        <w:r w:rsidR="006869AB">
          <w:rPr>
            <w:webHidden/>
          </w:rPr>
        </w:r>
        <w:r w:rsidR="006869AB">
          <w:rPr>
            <w:webHidden/>
          </w:rPr>
          <w:fldChar w:fldCharType="separate"/>
        </w:r>
        <w:r w:rsidR="006869AB">
          <w:rPr>
            <w:webHidden/>
          </w:rPr>
          <w:t>216</w:t>
        </w:r>
        <w:r w:rsidR="006869AB">
          <w:rPr>
            <w:webHidden/>
          </w:rPr>
          <w:fldChar w:fldCharType="end"/>
        </w:r>
      </w:hyperlink>
    </w:p>
    <w:p w14:paraId="4B3F9ECE" w14:textId="77777777" w:rsidR="006869AB" w:rsidRDefault="002A355A">
      <w:pPr>
        <w:pStyle w:val="11"/>
        <w:rPr>
          <w:rFonts w:asciiTheme="minorHAnsi" w:eastAsiaTheme="minorEastAsia" w:hAnsiTheme="minorHAnsi" w:cstheme="minorBidi"/>
          <w:bCs w:val="0"/>
          <w:sz w:val="22"/>
          <w:lang w:eastAsia="ru-RU"/>
        </w:rPr>
      </w:pPr>
      <w:hyperlink w:anchor="_Toc97734664" w:history="1">
        <w:r w:rsidR="006869AB" w:rsidRPr="00D86C6E">
          <w:rPr>
            <w:rStyle w:val="af2"/>
          </w:rPr>
          <w:t>Приложение Г1. Шкалы оценки, вопросники и другие оценочные инструменты состояния пациента, приведенные в клинических рекомендациях</w:t>
        </w:r>
        <w:r w:rsidR="006869AB">
          <w:rPr>
            <w:webHidden/>
          </w:rPr>
          <w:tab/>
        </w:r>
        <w:r w:rsidR="006869AB">
          <w:rPr>
            <w:webHidden/>
          </w:rPr>
          <w:fldChar w:fldCharType="begin"/>
        </w:r>
        <w:r w:rsidR="006869AB">
          <w:rPr>
            <w:webHidden/>
          </w:rPr>
          <w:instrText xml:space="preserve"> PAGEREF _Toc97734664 \h </w:instrText>
        </w:r>
        <w:r w:rsidR="006869AB">
          <w:rPr>
            <w:webHidden/>
          </w:rPr>
        </w:r>
        <w:r w:rsidR="006869AB">
          <w:rPr>
            <w:webHidden/>
          </w:rPr>
          <w:fldChar w:fldCharType="separate"/>
        </w:r>
        <w:r w:rsidR="006869AB">
          <w:rPr>
            <w:webHidden/>
          </w:rPr>
          <w:t>217</w:t>
        </w:r>
        <w:r w:rsidR="006869AB">
          <w:rPr>
            <w:webHidden/>
          </w:rPr>
          <w:fldChar w:fldCharType="end"/>
        </w:r>
      </w:hyperlink>
    </w:p>
    <w:p w14:paraId="17B3095E" w14:textId="74749F9A" w:rsidR="008F3621" w:rsidRPr="00F242DD" w:rsidRDefault="00A96FB6" w:rsidP="00C9448D">
      <w:pPr>
        <w:spacing w:before="0" w:after="0"/>
        <w:jc w:val="left"/>
        <w:rPr>
          <w:b/>
        </w:rPr>
      </w:pPr>
      <w:r w:rsidRPr="00F242DD">
        <w:rPr>
          <w:b/>
        </w:rPr>
        <w:fldChar w:fldCharType="end"/>
      </w:r>
    </w:p>
    <w:p w14:paraId="4A7B11C5" w14:textId="77777777" w:rsidR="004D7374" w:rsidRPr="008B4A92" w:rsidRDefault="004D7374" w:rsidP="002431B5">
      <w:pPr>
        <w:pStyle w:val="1"/>
        <w:rPr>
          <w:lang w:val="en-US"/>
        </w:rPr>
      </w:pPr>
      <w:bookmarkStart w:id="2" w:name="_Toc520213121"/>
      <w:bookmarkStart w:id="3" w:name="_Toc97734608"/>
      <w:r w:rsidRPr="00F242DD">
        <w:lastRenderedPageBreak/>
        <w:t>Список</w:t>
      </w:r>
      <w:r w:rsidRPr="008B4A92">
        <w:rPr>
          <w:lang w:val="en-US"/>
        </w:rPr>
        <w:t xml:space="preserve"> </w:t>
      </w:r>
      <w:r w:rsidRPr="00F242DD">
        <w:t>сокращений</w:t>
      </w:r>
      <w:bookmarkEnd w:id="2"/>
      <w:bookmarkEnd w:id="3"/>
    </w:p>
    <w:p w14:paraId="2E62D1F4" w14:textId="77777777" w:rsidR="00A80BA6" w:rsidRPr="00E56E56" w:rsidRDefault="00A80BA6" w:rsidP="00A80BA6">
      <w:pPr>
        <w:spacing w:before="0" w:after="0"/>
        <w:rPr>
          <w:lang w:val="en-US"/>
        </w:rPr>
      </w:pPr>
      <w:r w:rsidRPr="008B4A92">
        <w:rPr>
          <w:b/>
          <w:lang w:val="en-US"/>
        </w:rPr>
        <w:t>A</w:t>
      </w:r>
      <w:r w:rsidRPr="00E56E56">
        <w:rPr>
          <w:b/>
          <w:lang w:val="en-US"/>
        </w:rPr>
        <w:t xml:space="preserve">. </w:t>
      </w:r>
      <w:r w:rsidRPr="008B4A92">
        <w:rPr>
          <w:b/>
          <w:lang w:val="en-US"/>
        </w:rPr>
        <w:t>baumannii</w:t>
      </w:r>
      <w:r w:rsidRPr="00E56E56">
        <w:rPr>
          <w:lang w:val="en-US"/>
        </w:rPr>
        <w:t xml:space="preserve"> – </w:t>
      </w:r>
      <w:r w:rsidRPr="008B4A92">
        <w:rPr>
          <w:lang w:val="en-US"/>
        </w:rPr>
        <w:t>Acinetobacter</w:t>
      </w:r>
      <w:r w:rsidRPr="00E56E56">
        <w:rPr>
          <w:lang w:val="en-US"/>
        </w:rPr>
        <w:t xml:space="preserve"> </w:t>
      </w:r>
      <w:r w:rsidRPr="008B4A92">
        <w:rPr>
          <w:lang w:val="en-US"/>
        </w:rPr>
        <w:t>baumannii</w:t>
      </w:r>
    </w:p>
    <w:p w14:paraId="201D4A4B" w14:textId="77777777" w:rsidR="00A80BA6" w:rsidRPr="00F242DD" w:rsidRDefault="00A80BA6" w:rsidP="00A80BA6">
      <w:pPr>
        <w:spacing w:before="0" w:after="0"/>
        <w:contextualSpacing/>
        <w:rPr>
          <w:rFonts w:eastAsia="Times New Roman"/>
          <w:szCs w:val="24"/>
        </w:rPr>
      </w:pPr>
      <w:r w:rsidRPr="00F242DD">
        <w:rPr>
          <w:rFonts w:eastAsia="Times New Roman"/>
          <w:b/>
          <w:szCs w:val="24"/>
        </w:rPr>
        <w:t xml:space="preserve">BBD </w:t>
      </w:r>
      <w:r w:rsidRPr="00F242DD">
        <w:rPr>
          <w:rFonts w:eastAsia="Times New Roman"/>
          <w:szCs w:val="24"/>
          <w:lang w:eastAsia="ru-RU"/>
        </w:rPr>
        <w:t xml:space="preserve">– </w:t>
      </w:r>
      <w:r w:rsidRPr="00F242DD">
        <w:rPr>
          <w:szCs w:val="24"/>
        </w:rPr>
        <w:t xml:space="preserve">режим иммунохимиотерапии, включающий бендамустин**, бортезомиб** и дексаметазон** </w:t>
      </w:r>
    </w:p>
    <w:p w14:paraId="1EB7F21F" w14:textId="77777777" w:rsidR="00A80BA6" w:rsidRDefault="00A80BA6" w:rsidP="00A80BA6">
      <w:pPr>
        <w:spacing w:before="0" w:after="0"/>
        <w:contextualSpacing/>
        <w:rPr>
          <w:szCs w:val="24"/>
        </w:rPr>
      </w:pPr>
      <w:r w:rsidRPr="003032A0">
        <w:rPr>
          <w:b/>
          <w:szCs w:val="24"/>
        </w:rPr>
        <w:t>beta-crocc laps</w:t>
      </w:r>
      <w:r w:rsidRPr="003032A0">
        <w:rPr>
          <w:szCs w:val="24"/>
        </w:rPr>
        <w:t xml:space="preserve"> – образующийся в результате деградации коллагена I типа С-терминальный белковый фрагмент, маркер резорбции костной ткани</w:t>
      </w:r>
    </w:p>
    <w:p w14:paraId="11D03EB2" w14:textId="77777777" w:rsidR="00A80BA6" w:rsidRPr="00F242DD" w:rsidRDefault="00A80BA6" w:rsidP="00A80BA6">
      <w:pPr>
        <w:spacing w:before="0" w:after="0"/>
        <w:contextualSpacing/>
        <w:rPr>
          <w:rFonts w:eastAsia="Times New Roman"/>
          <w:szCs w:val="24"/>
        </w:rPr>
      </w:pPr>
      <w:r w:rsidRPr="00F242DD">
        <w:rPr>
          <w:rFonts w:eastAsia="Times New Roman"/>
          <w:b/>
          <w:szCs w:val="24"/>
        </w:rPr>
        <w:t xml:space="preserve">BP </w:t>
      </w:r>
      <w:r w:rsidRPr="00F242DD">
        <w:rPr>
          <w:rFonts w:eastAsia="Times New Roman"/>
          <w:szCs w:val="24"/>
          <w:lang w:eastAsia="ru-RU"/>
        </w:rPr>
        <w:t xml:space="preserve">– </w:t>
      </w:r>
      <w:r w:rsidRPr="00F242DD">
        <w:rPr>
          <w:szCs w:val="24"/>
        </w:rPr>
        <w:t xml:space="preserve">режим иммунохимиотерапии, включающий бендамустин** и преднизолон** </w:t>
      </w:r>
    </w:p>
    <w:p w14:paraId="7D01E550" w14:textId="77777777" w:rsidR="00A80BA6" w:rsidRDefault="00A80BA6" w:rsidP="00A80BA6">
      <w:pPr>
        <w:spacing w:before="0" w:after="0"/>
        <w:contextualSpacing/>
        <w:rPr>
          <w:szCs w:val="24"/>
        </w:rPr>
      </w:pPr>
      <w:r w:rsidRPr="00F242DD">
        <w:rPr>
          <w:rFonts w:eastAsia="Times New Roman"/>
          <w:b/>
          <w:szCs w:val="24"/>
        </w:rPr>
        <w:t xml:space="preserve">BRD </w:t>
      </w:r>
      <w:r w:rsidRPr="00F242DD">
        <w:rPr>
          <w:rFonts w:eastAsia="Times New Roman"/>
          <w:szCs w:val="24"/>
          <w:lang w:eastAsia="ru-RU"/>
        </w:rPr>
        <w:t xml:space="preserve">– </w:t>
      </w:r>
      <w:r w:rsidRPr="00F242DD">
        <w:rPr>
          <w:szCs w:val="24"/>
        </w:rPr>
        <w:t xml:space="preserve">режим иммунохимиотерапии, включающий бендамустин**, леналидомид** и дексаметазон** </w:t>
      </w:r>
    </w:p>
    <w:p w14:paraId="4CC7262C" w14:textId="77777777" w:rsidR="00A80BA6" w:rsidRPr="00F960E7" w:rsidRDefault="00A80BA6" w:rsidP="00A80BA6">
      <w:pPr>
        <w:spacing w:before="0" w:after="0"/>
        <w:contextualSpacing/>
        <w:rPr>
          <w:rFonts w:eastAsia="Times New Roman"/>
          <w:szCs w:val="24"/>
          <w:lang w:val="en-US"/>
        </w:rPr>
      </w:pPr>
      <w:r w:rsidRPr="00F960E7">
        <w:rPr>
          <w:rFonts w:eastAsia="Times New Roman"/>
          <w:b/>
          <w:szCs w:val="24"/>
          <w:lang w:val="en-US"/>
        </w:rPr>
        <w:t>C. albicans</w:t>
      </w:r>
      <w:r w:rsidRPr="00F960E7">
        <w:rPr>
          <w:rFonts w:eastAsia="Times New Roman"/>
          <w:szCs w:val="24"/>
          <w:lang w:val="en-US"/>
        </w:rPr>
        <w:t xml:space="preserve"> – Candida albicans</w:t>
      </w:r>
    </w:p>
    <w:p w14:paraId="0F10466C" w14:textId="77777777" w:rsidR="00A80BA6" w:rsidRPr="00F960E7" w:rsidRDefault="00A80BA6" w:rsidP="00A80BA6">
      <w:pPr>
        <w:spacing w:before="0" w:after="0"/>
        <w:contextualSpacing/>
        <w:rPr>
          <w:rFonts w:eastAsia="Times New Roman"/>
          <w:szCs w:val="24"/>
          <w:lang w:val="en-US"/>
        </w:rPr>
      </w:pPr>
      <w:r w:rsidRPr="00F960E7">
        <w:rPr>
          <w:rFonts w:eastAsia="Times New Roman"/>
          <w:b/>
          <w:szCs w:val="24"/>
          <w:lang w:val="en-US"/>
        </w:rPr>
        <w:t>C. difficile</w:t>
      </w:r>
      <w:r w:rsidRPr="00F960E7">
        <w:rPr>
          <w:rFonts w:eastAsia="Times New Roman"/>
          <w:szCs w:val="24"/>
          <w:lang w:val="en-US"/>
        </w:rPr>
        <w:t xml:space="preserve"> – Clostridioides difficile</w:t>
      </w:r>
    </w:p>
    <w:p w14:paraId="7E6A47F1" w14:textId="77777777" w:rsidR="00A80BA6" w:rsidRPr="00F960E7" w:rsidRDefault="00A80BA6" w:rsidP="00A80BA6">
      <w:pPr>
        <w:spacing w:before="0" w:after="0"/>
        <w:contextualSpacing/>
        <w:rPr>
          <w:rFonts w:eastAsia="Times New Roman"/>
          <w:szCs w:val="24"/>
          <w:lang w:val="en-US"/>
        </w:rPr>
      </w:pPr>
      <w:r w:rsidRPr="00F960E7">
        <w:rPr>
          <w:rFonts w:eastAsia="Times New Roman"/>
          <w:b/>
          <w:szCs w:val="24"/>
          <w:lang w:val="en-US"/>
        </w:rPr>
        <w:t xml:space="preserve">C. neumonia </w:t>
      </w:r>
      <w:r w:rsidRPr="00F960E7">
        <w:rPr>
          <w:rFonts w:eastAsia="Times New Roman"/>
          <w:szCs w:val="24"/>
          <w:lang w:val="en-US"/>
        </w:rPr>
        <w:t>– Chlamydophila neumonia</w:t>
      </w:r>
    </w:p>
    <w:p w14:paraId="4E56D6EB" w14:textId="77777777" w:rsidR="00A80BA6" w:rsidRPr="00A80BA6" w:rsidRDefault="00A80BA6" w:rsidP="00A80BA6">
      <w:pPr>
        <w:spacing w:before="0" w:after="0"/>
        <w:contextualSpacing/>
        <w:rPr>
          <w:rFonts w:eastAsia="Times New Roman"/>
          <w:szCs w:val="24"/>
          <w:lang w:val="en-US" w:eastAsia="ru-RU"/>
        </w:rPr>
      </w:pPr>
      <w:r w:rsidRPr="00F960E7">
        <w:rPr>
          <w:rFonts w:eastAsia="Times New Roman"/>
          <w:b/>
          <w:szCs w:val="24"/>
          <w:lang w:val="en-US" w:eastAsia="ru-RU"/>
        </w:rPr>
        <w:t>CD</w:t>
      </w:r>
      <w:r w:rsidRPr="00A80BA6">
        <w:rPr>
          <w:rFonts w:eastAsia="Times New Roman"/>
          <w:szCs w:val="24"/>
          <w:lang w:val="en-US" w:eastAsia="ru-RU"/>
        </w:rPr>
        <w:t xml:space="preserve"> – </w:t>
      </w:r>
      <w:r w:rsidRPr="00F242DD">
        <w:rPr>
          <w:szCs w:val="24"/>
        </w:rPr>
        <w:t>режим</w:t>
      </w:r>
      <w:r w:rsidRPr="00A80BA6">
        <w:rPr>
          <w:szCs w:val="24"/>
          <w:lang w:val="en-US"/>
        </w:rPr>
        <w:t xml:space="preserve"> </w:t>
      </w:r>
      <w:r w:rsidRPr="00F242DD">
        <w:rPr>
          <w:szCs w:val="24"/>
        </w:rPr>
        <w:t>иммунохимиотерапии</w:t>
      </w:r>
      <w:r w:rsidRPr="00A80BA6">
        <w:rPr>
          <w:szCs w:val="24"/>
          <w:lang w:val="en-US"/>
        </w:rPr>
        <w:t xml:space="preserve">, </w:t>
      </w:r>
      <w:r w:rsidRPr="00F242DD">
        <w:rPr>
          <w:szCs w:val="24"/>
        </w:rPr>
        <w:t>включающий</w:t>
      </w:r>
      <w:r w:rsidRPr="00A80BA6">
        <w:rPr>
          <w:szCs w:val="24"/>
          <w:lang w:val="en-US"/>
        </w:rPr>
        <w:t xml:space="preserve"> </w:t>
      </w:r>
      <w:r w:rsidRPr="00F242DD">
        <w:rPr>
          <w:szCs w:val="24"/>
        </w:rPr>
        <w:t>циклофосфамид</w:t>
      </w:r>
      <w:r w:rsidRPr="00A80BA6">
        <w:rPr>
          <w:szCs w:val="24"/>
          <w:lang w:val="en-US"/>
        </w:rPr>
        <w:t xml:space="preserve">** </w:t>
      </w:r>
      <w:r w:rsidRPr="00F242DD">
        <w:rPr>
          <w:szCs w:val="24"/>
        </w:rPr>
        <w:t>и</w:t>
      </w:r>
      <w:r w:rsidRPr="00A80BA6">
        <w:rPr>
          <w:szCs w:val="24"/>
          <w:lang w:val="en-US"/>
        </w:rPr>
        <w:t xml:space="preserve"> </w:t>
      </w:r>
      <w:r w:rsidRPr="00F242DD">
        <w:rPr>
          <w:szCs w:val="24"/>
        </w:rPr>
        <w:t>преднизолон</w:t>
      </w:r>
      <w:r w:rsidRPr="00A80BA6">
        <w:rPr>
          <w:szCs w:val="24"/>
          <w:lang w:val="en-US"/>
        </w:rPr>
        <w:t xml:space="preserve">** </w:t>
      </w:r>
    </w:p>
    <w:p w14:paraId="747FE4A3" w14:textId="77777777" w:rsidR="00A80BA6" w:rsidRPr="00F960E7" w:rsidRDefault="00A80BA6" w:rsidP="00A80BA6">
      <w:pPr>
        <w:spacing w:before="0" w:after="0"/>
        <w:contextualSpacing/>
        <w:rPr>
          <w:rFonts w:eastAsia="Times New Roman"/>
          <w:szCs w:val="24"/>
          <w:lang w:val="en-US"/>
        </w:rPr>
      </w:pPr>
      <w:r w:rsidRPr="00F960E7">
        <w:rPr>
          <w:rFonts w:eastAsia="Times New Roman"/>
          <w:b/>
          <w:szCs w:val="24"/>
          <w:lang w:val="en-US"/>
        </w:rPr>
        <w:t>CIM</w:t>
      </w:r>
      <w:r w:rsidRPr="00F960E7">
        <w:rPr>
          <w:rFonts w:eastAsia="Times New Roman"/>
          <w:szCs w:val="24"/>
          <w:lang w:val="en-US"/>
        </w:rPr>
        <w:t xml:space="preserve"> – carbapenem inactivation method</w:t>
      </w:r>
    </w:p>
    <w:p w14:paraId="6973374D" w14:textId="77777777" w:rsidR="00A80BA6" w:rsidRPr="00A80BA6" w:rsidRDefault="00A80BA6" w:rsidP="00A80BA6">
      <w:pPr>
        <w:spacing w:before="0" w:after="0"/>
        <w:contextualSpacing/>
        <w:rPr>
          <w:rFonts w:eastAsia="Times New Roman"/>
          <w:szCs w:val="24"/>
          <w:lang w:val="en-US" w:eastAsia="ru-RU"/>
        </w:rPr>
      </w:pPr>
      <w:r w:rsidRPr="00A80BA6">
        <w:rPr>
          <w:rFonts w:eastAsia="Times New Roman"/>
          <w:b/>
          <w:szCs w:val="24"/>
          <w:lang w:val="en-US" w:eastAsia="ru-RU"/>
        </w:rPr>
        <w:t>CMV</w:t>
      </w:r>
      <w:r w:rsidRPr="00A80BA6">
        <w:rPr>
          <w:rFonts w:eastAsia="Times New Roman"/>
          <w:szCs w:val="24"/>
          <w:lang w:val="en-US" w:eastAsia="ru-RU"/>
        </w:rPr>
        <w:t xml:space="preserve"> – cytomegalovirus/</w:t>
      </w:r>
      <w:r>
        <w:rPr>
          <w:rFonts w:eastAsia="Times New Roman"/>
          <w:szCs w:val="24"/>
          <w:lang w:eastAsia="ru-RU"/>
        </w:rPr>
        <w:t>цитомегаловирус</w:t>
      </w:r>
    </w:p>
    <w:p w14:paraId="041D6902" w14:textId="77777777" w:rsidR="00A80BA6" w:rsidRPr="00F242DD" w:rsidRDefault="00A80BA6" w:rsidP="00A80BA6">
      <w:pPr>
        <w:spacing w:before="0" w:after="0"/>
        <w:contextualSpacing/>
        <w:rPr>
          <w:rFonts w:eastAsia="Times New Roman"/>
          <w:szCs w:val="24"/>
          <w:lang w:eastAsia="ru-RU"/>
        </w:rPr>
      </w:pPr>
      <w:r w:rsidRPr="00F242DD">
        <w:rPr>
          <w:rFonts w:eastAsia="Times New Roman"/>
          <w:b/>
          <w:szCs w:val="24"/>
          <w:lang w:val="en-US" w:eastAsia="ru-RU"/>
        </w:rPr>
        <w:t>CRAB</w:t>
      </w:r>
      <w:r w:rsidRPr="00F242DD">
        <w:rPr>
          <w:rFonts w:eastAsia="Times New Roman"/>
          <w:b/>
          <w:szCs w:val="24"/>
          <w:lang w:eastAsia="ru-RU"/>
        </w:rPr>
        <w:t xml:space="preserve"> –</w:t>
      </w:r>
      <w:r w:rsidRPr="00F242DD">
        <w:rPr>
          <w:rFonts w:eastAsia="Times New Roman"/>
          <w:szCs w:val="24"/>
          <w:lang w:eastAsia="ru-RU"/>
        </w:rPr>
        <w:t xml:space="preserve"> совокупность органных повреждений при симптоматической множественной миеломе: гиперкальциемия, дисфункция почек, анемия, повреждения костей</w:t>
      </w:r>
    </w:p>
    <w:p w14:paraId="775211A5" w14:textId="77777777" w:rsidR="00A80BA6" w:rsidRDefault="00A80BA6" w:rsidP="00A80BA6">
      <w:pPr>
        <w:spacing w:before="0" w:after="0"/>
        <w:contextualSpacing/>
        <w:rPr>
          <w:szCs w:val="24"/>
        </w:rPr>
      </w:pPr>
      <w:r w:rsidRPr="00F242DD">
        <w:rPr>
          <w:rFonts w:eastAsia="Times New Roman"/>
          <w:b/>
          <w:szCs w:val="24"/>
          <w:lang w:eastAsia="ru-RU"/>
        </w:rPr>
        <w:t>CVD</w:t>
      </w:r>
      <w:r w:rsidRPr="00F242DD">
        <w:rPr>
          <w:rFonts w:eastAsia="Times New Roman"/>
          <w:szCs w:val="24"/>
          <w:lang w:eastAsia="ru-RU"/>
        </w:rPr>
        <w:t xml:space="preserve"> – </w:t>
      </w:r>
      <w:r w:rsidRPr="00F242DD">
        <w:rPr>
          <w:szCs w:val="24"/>
        </w:rPr>
        <w:t xml:space="preserve">режим иммунохимиотерапии, включающий циклофосфамид**, бортезомиб** и дексаметазон** </w:t>
      </w:r>
    </w:p>
    <w:p w14:paraId="227BCF52" w14:textId="77777777" w:rsidR="00A80BA6" w:rsidRPr="00F242DD" w:rsidRDefault="00A80BA6" w:rsidP="00A80BA6">
      <w:pPr>
        <w:spacing w:before="0" w:after="0"/>
        <w:contextualSpacing/>
        <w:rPr>
          <w:rFonts w:eastAsia="Times New Roman"/>
          <w:szCs w:val="24"/>
          <w:lang w:eastAsia="ru-RU"/>
        </w:rPr>
      </w:pPr>
      <w:r w:rsidRPr="00F242DD">
        <w:rPr>
          <w:rFonts w:eastAsia="Times New Roman"/>
          <w:b/>
          <w:szCs w:val="24"/>
          <w:lang w:val="en-US" w:eastAsia="ru-RU"/>
        </w:rPr>
        <w:t>Dara</w:t>
      </w:r>
      <w:r w:rsidRPr="00F242DD">
        <w:rPr>
          <w:rFonts w:eastAsia="Times New Roman"/>
          <w:b/>
          <w:szCs w:val="24"/>
          <w:lang w:eastAsia="ru-RU"/>
        </w:rPr>
        <w:t>-</w:t>
      </w:r>
      <w:r w:rsidRPr="00F242DD">
        <w:rPr>
          <w:rFonts w:eastAsia="Times New Roman"/>
          <w:b/>
          <w:szCs w:val="24"/>
          <w:lang w:val="en-US" w:eastAsia="ru-RU"/>
        </w:rPr>
        <w:t>Rd</w:t>
      </w:r>
      <w:r w:rsidRPr="00F242DD">
        <w:rPr>
          <w:rFonts w:eastAsia="Times New Roman"/>
          <w:szCs w:val="24"/>
          <w:lang w:eastAsia="ru-RU"/>
        </w:rPr>
        <w:t xml:space="preserve"> – </w:t>
      </w:r>
      <w:r w:rsidRPr="00F242DD">
        <w:rPr>
          <w:szCs w:val="24"/>
        </w:rPr>
        <w:t xml:space="preserve">режим иммунохимиотерапии, включающий даратумумаб**, леналидомид** и дексаметазон** </w:t>
      </w:r>
    </w:p>
    <w:p w14:paraId="02CD3151" w14:textId="77777777" w:rsidR="00A80BA6" w:rsidRPr="00F242DD" w:rsidRDefault="00A80BA6" w:rsidP="00A80BA6">
      <w:pPr>
        <w:autoSpaceDE w:val="0"/>
        <w:autoSpaceDN w:val="0"/>
        <w:adjustRightInd w:val="0"/>
        <w:spacing w:before="0" w:after="0"/>
        <w:contextualSpacing/>
        <w:rPr>
          <w:szCs w:val="24"/>
          <w:lang w:eastAsia="ru-RU"/>
        </w:rPr>
      </w:pPr>
      <w:r w:rsidRPr="00F242DD">
        <w:rPr>
          <w:b/>
          <w:szCs w:val="24"/>
          <w:lang w:val="en-US" w:eastAsia="ru-RU"/>
        </w:rPr>
        <w:t>Dara</w:t>
      </w:r>
      <w:r w:rsidRPr="00F242DD">
        <w:rPr>
          <w:b/>
          <w:szCs w:val="24"/>
          <w:lang w:eastAsia="ru-RU"/>
        </w:rPr>
        <w:t>-</w:t>
      </w:r>
      <w:r w:rsidRPr="00F242DD">
        <w:rPr>
          <w:b/>
          <w:szCs w:val="24"/>
          <w:lang w:val="en-US" w:eastAsia="ru-RU"/>
        </w:rPr>
        <w:t>VD</w:t>
      </w:r>
      <w:r w:rsidRPr="00F242DD">
        <w:rPr>
          <w:b/>
          <w:szCs w:val="24"/>
          <w:lang w:eastAsia="ru-RU"/>
        </w:rPr>
        <w:t xml:space="preserve"> </w:t>
      </w:r>
      <w:r w:rsidRPr="00F242DD">
        <w:rPr>
          <w:rFonts w:eastAsia="Times New Roman"/>
          <w:szCs w:val="24"/>
          <w:lang w:eastAsia="ru-RU"/>
        </w:rPr>
        <w:t xml:space="preserve">– </w:t>
      </w:r>
      <w:r w:rsidRPr="00F242DD">
        <w:rPr>
          <w:szCs w:val="24"/>
        </w:rPr>
        <w:t xml:space="preserve">режим иммунохимиотерапии, включающий даратумумаб**, бортезомиб** и дексаметазон** </w:t>
      </w:r>
    </w:p>
    <w:p w14:paraId="14E9B091" w14:textId="77777777" w:rsidR="00A80BA6" w:rsidRPr="00F242DD" w:rsidRDefault="00A80BA6" w:rsidP="00A80BA6">
      <w:pPr>
        <w:autoSpaceDE w:val="0"/>
        <w:autoSpaceDN w:val="0"/>
        <w:adjustRightInd w:val="0"/>
        <w:spacing w:before="0" w:after="0"/>
        <w:contextualSpacing/>
        <w:rPr>
          <w:szCs w:val="24"/>
          <w:lang w:eastAsia="ru-RU"/>
        </w:rPr>
      </w:pPr>
      <w:r w:rsidRPr="00F242DD">
        <w:rPr>
          <w:b/>
          <w:szCs w:val="24"/>
          <w:lang w:val="en-US" w:eastAsia="ru-RU"/>
        </w:rPr>
        <w:t>Dara</w:t>
      </w:r>
      <w:r w:rsidRPr="00F242DD">
        <w:rPr>
          <w:b/>
          <w:szCs w:val="24"/>
          <w:lang w:eastAsia="ru-RU"/>
        </w:rPr>
        <w:t>-</w:t>
      </w:r>
      <w:r w:rsidRPr="00F242DD">
        <w:rPr>
          <w:b/>
          <w:szCs w:val="24"/>
          <w:lang w:val="en-US" w:eastAsia="ru-RU"/>
        </w:rPr>
        <w:t>VMP</w:t>
      </w:r>
      <w:r w:rsidRPr="00F242DD">
        <w:rPr>
          <w:b/>
          <w:szCs w:val="24"/>
          <w:lang w:eastAsia="ru-RU"/>
        </w:rPr>
        <w:t xml:space="preserve"> </w:t>
      </w:r>
      <w:r w:rsidRPr="00F242DD">
        <w:rPr>
          <w:rFonts w:eastAsia="Times New Roman"/>
          <w:szCs w:val="24"/>
          <w:lang w:eastAsia="ru-RU"/>
        </w:rPr>
        <w:t xml:space="preserve">– </w:t>
      </w:r>
      <w:r w:rsidRPr="00F242DD">
        <w:rPr>
          <w:szCs w:val="24"/>
        </w:rPr>
        <w:t xml:space="preserve">режим иммунохимиотерапии, включающий даратумумаб**, мелфалан**, бортезомиб** и преднизолон** </w:t>
      </w:r>
    </w:p>
    <w:p w14:paraId="642770BC" w14:textId="78313F04" w:rsidR="00A80BA6" w:rsidRDefault="00A80BA6" w:rsidP="00A80BA6">
      <w:pPr>
        <w:pStyle w:val="af7"/>
        <w:tabs>
          <w:tab w:val="left" w:pos="0"/>
        </w:tabs>
        <w:spacing w:after="0" w:line="360" w:lineRule="auto"/>
        <w:ind w:firstLine="0"/>
        <w:contextualSpacing/>
      </w:pPr>
      <w:r w:rsidRPr="00F242DD">
        <w:rPr>
          <w:b/>
          <w:lang w:eastAsia="ru-RU"/>
        </w:rPr>
        <w:t>DCEP</w:t>
      </w:r>
      <w:r w:rsidRPr="00F242DD">
        <w:rPr>
          <w:lang w:eastAsia="ru-RU"/>
        </w:rPr>
        <w:t xml:space="preserve"> – </w:t>
      </w:r>
      <w:r w:rsidRPr="00F242DD">
        <w:t xml:space="preserve">режим химиотерапии, включающий циклофосфамид**, </w:t>
      </w:r>
      <w:r w:rsidRPr="00F242DD">
        <w:rPr>
          <w:color w:val="000000"/>
        </w:rPr>
        <w:t>#</w:t>
      </w:r>
      <w:r>
        <w:t>э</w:t>
      </w:r>
      <w:r w:rsidRPr="00F242DD">
        <w:t xml:space="preserve">топозид**, </w:t>
      </w:r>
      <w:r w:rsidRPr="00F242DD">
        <w:rPr>
          <w:color w:val="000000"/>
        </w:rPr>
        <w:t>#</w:t>
      </w:r>
      <w:r w:rsidRPr="00F242DD">
        <w:t xml:space="preserve">цисплатин** и дексаметазон** </w:t>
      </w:r>
    </w:p>
    <w:p w14:paraId="581CC6C5" w14:textId="144B6E59" w:rsidR="00A80BA6" w:rsidRDefault="00A80BA6" w:rsidP="00A80BA6">
      <w:pPr>
        <w:pStyle w:val="af7"/>
        <w:tabs>
          <w:tab w:val="left" w:pos="0"/>
        </w:tabs>
        <w:spacing w:after="0" w:line="360" w:lineRule="auto"/>
        <w:ind w:firstLine="0"/>
        <w:contextualSpacing/>
      </w:pPr>
      <w:r w:rsidRPr="000039C3">
        <w:rPr>
          <w:b/>
        </w:rPr>
        <w:t>DHAP</w:t>
      </w:r>
      <w:r>
        <w:t xml:space="preserve"> </w:t>
      </w:r>
      <w:r w:rsidRPr="000039C3">
        <w:t xml:space="preserve">– </w:t>
      </w:r>
      <w:r>
        <w:t>режим</w:t>
      </w:r>
      <w:r w:rsidRPr="000039C3">
        <w:t xml:space="preserve"> химиотерапии</w:t>
      </w:r>
      <w:r>
        <w:t xml:space="preserve">, включающий </w:t>
      </w:r>
      <w:r w:rsidRPr="00F242DD">
        <w:rPr>
          <w:color w:val="000000"/>
        </w:rPr>
        <w:t>#</w:t>
      </w:r>
      <w:r w:rsidRPr="00F242DD">
        <w:t>цисплатин**</w:t>
      </w:r>
      <w:r>
        <w:t>, цитарабин**, дексометазон**</w:t>
      </w:r>
    </w:p>
    <w:p w14:paraId="630251AD" w14:textId="77777777" w:rsidR="00A80BA6" w:rsidRPr="00A80BA6" w:rsidRDefault="00A80BA6" w:rsidP="00A80BA6">
      <w:pPr>
        <w:pStyle w:val="af7"/>
        <w:tabs>
          <w:tab w:val="left" w:pos="0"/>
        </w:tabs>
        <w:spacing w:after="0" w:line="360" w:lineRule="auto"/>
        <w:ind w:firstLine="0"/>
        <w:contextualSpacing/>
        <w:rPr>
          <w:lang w:val="en-US"/>
        </w:rPr>
      </w:pPr>
      <w:r w:rsidRPr="00A80BA6">
        <w:rPr>
          <w:b/>
          <w:lang w:val="en-US"/>
        </w:rPr>
        <w:t>E. coli</w:t>
      </w:r>
      <w:r w:rsidRPr="00A80BA6">
        <w:rPr>
          <w:lang w:val="en-US"/>
        </w:rPr>
        <w:t xml:space="preserve"> – Escherichia coli</w:t>
      </w:r>
    </w:p>
    <w:p w14:paraId="6B043914" w14:textId="77777777" w:rsidR="00A80BA6" w:rsidRDefault="00A80BA6" w:rsidP="00A80BA6">
      <w:pPr>
        <w:pStyle w:val="af7"/>
        <w:tabs>
          <w:tab w:val="left" w:pos="0"/>
        </w:tabs>
        <w:spacing w:after="0" w:line="360" w:lineRule="auto"/>
        <w:ind w:firstLine="0"/>
        <w:contextualSpacing/>
        <w:rPr>
          <w:lang w:val="en-US"/>
        </w:rPr>
      </w:pPr>
      <w:r w:rsidRPr="00F960E7">
        <w:rPr>
          <w:b/>
          <w:lang w:val="en-US"/>
        </w:rPr>
        <w:t>E. faecalis</w:t>
      </w:r>
      <w:r w:rsidRPr="00F960E7">
        <w:rPr>
          <w:lang w:val="en-US"/>
        </w:rPr>
        <w:t xml:space="preserve"> – Enterococcus faecalis</w:t>
      </w:r>
    </w:p>
    <w:p w14:paraId="1C0EAF4D" w14:textId="77777777" w:rsidR="00A80BA6" w:rsidRDefault="00A80BA6" w:rsidP="00A80BA6">
      <w:pPr>
        <w:pStyle w:val="af7"/>
        <w:tabs>
          <w:tab w:val="left" w:pos="0"/>
        </w:tabs>
        <w:spacing w:after="0" w:line="360" w:lineRule="auto"/>
        <w:ind w:firstLine="0"/>
        <w:contextualSpacing/>
        <w:rPr>
          <w:lang w:val="en-US"/>
        </w:rPr>
      </w:pPr>
      <w:r w:rsidRPr="00F960E7">
        <w:rPr>
          <w:b/>
          <w:lang w:val="en-US"/>
        </w:rPr>
        <w:t>E. faecium</w:t>
      </w:r>
      <w:r w:rsidRPr="00F960E7">
        <w:rPr>
          <w:lang w:val="en-US"/>
        </w:rPr>
        <w:t xml:space="preserve"> – Enterococcus faecium</w:t>
      </w:r>
    </w:p>
    <w:p w14:paraId="7A67DA30" w14:textId="77777777" w:rsidR="00A80BA6" w:rsidRPr="00A80BA6" w:rsidRDefault="00A80BA6" w:rsidP="00A80BA6">
      <w:pPr>
        <w:pStyle w:val="af7"/>
        <w:tabs>
          <w:tab w:val="left" w:pos="0"/>
        </w:tabs>
        <w:spacing w:after="0" w:line="360" w:lineRule="auto"/>
        <w:ind w:firstLine="0"/>
        <w:contextualSpacing/>
        <w:rPr>
          <w:lang w:val="en-US"/>
        </w:rPr>
      </w:pPr>
      <w:r w:rsidRPr="00A80BA6">
        <w:rPr>
          <w:b/>
          <w:lang w:val="en-US"/>
        </w:rPr>
        <w:t>EBV</w:t>
      </w:r>
      <w:r w:rsidRPr="00A80BA6">
        <w:rPr>
          <w:lang w:val="en-US"/>
        </w:rPr>
        <w:t xml:space="preserve"> – Epstein-Barr virus/ </w:t>
      </w:r>
      <w:r>
        <w:t>вирус</w:t>
      </w:r>
      <w:r w:rsidRPr="00A80BA6">
        <w:rPr>
          <w:lang w:val="en-US"/>
        </w:rPr>
        <w:t xml:space="preserve"> </w:t>
      </w:r>
      <w:r>
        <w:t>Эпштейн</w:t>
      </w:r>
      <w:r w:rsidRPr="00A80BA6">
        <w:rPr>
          <w:lang w:val="en-US"/>
        </w:rPr>
        <w:t>-</w:t>
      </w:r>
      <w:r>
        <w:t>Барр</w:t>
      </w:r>
    </w:p>
    <w:p w14:paraId="7D2A4CA2" w14:textId="77777777" w:rsidR="00A80BA6" w:rsidRDefault="00A80BA6" w:rsidP="00A80BA6">
      <w:pPr>
        <w:pStyle w:val="af7"/>
        <w:tabs>
          <w:tab w:val="left" w:pos="0"/>
        </w:tabs>
        <w:spacing w:after="0" w:line="360" w:lineRule="auto"/>
        <w:ind w:firstLine="0"/>
        <w:contextualSpacing/>
      </w:pPr>
      <w:r w:rsidRPr="00F242DD">
        <w:rPr>
          <w:b/>
        </w:rPr>
        <w:lastRenderedPageBreak/>
        <w:t xml:space="preserve">EloRd </w:t>
      </w:r>
      <w:r w:rsidRPr="00F242DD">
        <w:rPr>
          <w:lang w:eastAsia="ru-RU"/>
        </w:rPr>
        <w:t xml:space="preserve">– </w:t>
      </w:r>
      <w:r w:rsidRPr="00F242DD">
        <w:t>режим иммунохимиотерапии, включающий элотузумаб</w:t>
      </w:r>
      <w:r>
        <w:t>**</w:t>
      </w:r>
      <w:r w:rsidRPr="00F242DD">
        <w:t xml:space="preserve">, леналидомид** и дексаметазон** </w:t>
      </w:r>
    </w:p>
    <w:p w14:paraId="5634053F" w14:textId="2E69798C" w:rsidR="00172C08" w:rsidRPr="00172C08" w:rsidRDefault="00172C08" w:rsidP="00A80BA6">
      <w:pPr>
        <w:spacing w:before="0" w:after="0"/>
        <w:contextualSpacing/>
        <w:rPr>
          <w:rFonts w:eastAsia="Times New Roman"/>
          <w:b/>
          <w:szCs w:val="24"/>
        </w:rPr>
      </w:pPr>
      <w:r>
        <w:rPr>
          <w:b/>
        </w:rPr>
        <w:t>Elo</w:t>
      </w:r>
      <w:r>
        <w:rPr>
          <w:b/>
          <w:lang w:val="en-US"/>
        </w:rPr>
        <w:t>P</w:t>
      </w:r>
      <w:r w:rsidRPr="00F242DD">
        <w:rPr>
          <w:b/>
        </w:rPr>
        <w:t>d</w:t>
      </w:r>
      <w:r>
        <w:rPr>
          <w:b/>
        </w:rPr>
        <w:t xml:space="preserve"> </w:t>
      </w:r>
      <w:r w:rsidRPr="00F242DD">
        <w:rPr>
          <w:lang w:eastAsia="ru-RU"/>
        </w:rPr>
        <w:t xml:space="preserve">– </w:t>
      </w:r>
      <w:r w:rsidRPr="00F242DD">
        <w:t>режим иммунохимиотерапии, включающий элотузумаб</w:t>
      </w:r>
      <w:r>
        <w:t>**</w:t>
      </w:r>
      <w:r w:rsidRPr="00F242DD">
        <w:t xml:space="preserve">, </w:t>
      </w:r>
      <w:r>
        <w:t>помалидомид</w:t>
      </w:r>
      <w:r w:rsidRPr="00F242DD">
        <w:t xml:space="preserve"> и дексаметазон**</w:t>
      </w:r>
    </w:p>
    <w:p w14:paraId="5ACAE3F4" w14:textId="77777777" w:rsidR="00A80BA6" w:rsidRPr="00F071AD" w:rsidRDefault="00A80BA6" w:rsidP="00A80BA6">
      <w:pPr>
        <w:spacing w:before="0" w:after="0"/>
        <w:contextualSpacing/>
        <w:rPr>
          <w:rFonts w:eastAsia="Times New Roman"/>
          <w:szCs w:val="24"/>
        </w:rPr>
      </w:pPr>
      <w:r w:rsidRPr="00F071AD">
        <w:rPr>
          <w:rFonts w:eastAsia="Times New Roman"/>
          <w:b/>
          <w:szCs w:val="24"/>
          <w:lang w:val="en-US"/>
        </w:rPr>
        <w:t>HHV</w:t>
      </w:r>
      <w:r w:rsidRPr="00F071AD">
        <w:rPr>
          <w:rFonts w:eastAsia="Times New Roman"/>
          <w:b/>
          <w:szCs w:val="24"/>
        </w:rPr>
        <w:t>-6</w:t>
      </w:r>
      <w:r w:rsidRPr="00F071AD">
        <w:rPr>
          <w:rFonts w:eastAsia="Times New Roman"/>
          <w:szCs w:val="24"/>
        </w:rPr>
        <w:t xml:space="preserve"> – </w:t>
      </w:r>
      <w:r w:rsidRPr="00F071AD">
        <w:rPr>
          <w:rFonts w:eastAsia="Times New Roman"/>
          <w:szCs w:val="24"/>
          <w:lang w:val="en-US"/>
        </w:rPr>
        <w:t>Human</w:t>
      </w:r>
      <w:r w:rsidRPr="00F071AD">
        <w:rPr>
          <w:rFonts w:eastAsia="Times New Roman"/>
          <w:szCs w:val="24"/>
        </w:rPr>
        <w:t xml:space="preserve"> </w:t>
      </w:r>
      <w:r w:rsidRPr="00F071AD">
        <w:rPr>
          <w:rFonts w:eastAsia="Times New Roman"/>
          <w:szCs w:val="24"/>
          <w:lang w:val="en-US"/>
        </w:rPr>
        <w:t>herpes</w:t>
      </w:r>
      <w:r w:rsidRPr="00F071AD">
        <w:rPr>
          <w:rFonts w:eastAsia="Times New Roman"/>
          <w:szCs w:val="24"/>
        </w:rPr>
        <w:t xml:space="preserve"> </w:t>
      </w:r>
      <w:r w:rsidRPr="00F071AD">
        <w:rPr>
          <w:rFonts w:eastAsia="Times New Roman"/>
          <w:szCs w:val="24"/>
          <w:lang w:val="en-US"/>
        </w:rPr>
        <w:t>virus</w:t>
      </w:r>
      <w:r w:rsidRPr="00F071AD">
        <w:rPr>
          <w:rFonts w:eastAsia="Times New Roman"/>
          <w:szCs w:val="24"/>
        </w:rPr>
        <w:t xml:space="preserve"> 6</w:t>
      </w:r>
      <w:r>
        <w:rPr>
          <w:rFonts w:eastAsia="Times New Roman"/>
          <w:szCs w:val="24"/>
        </w:rPr>
        <w:t>/вирус герпеса 6 типа</w:t>
      </w:r>
    </w:p>
    <w:p w14:paraId="3497E048" w14:textId="77777777" w:rsidR="00A80BA6" w:rsidRPr="00F071AD" w:rsidRDefault="00A80BA6" w:rsidP="00A80BA6">
      <w:pPr>
        <w:spacing w:before="0" w:after="0"/>
        <w:contextualSpacing/>
        <w:rPr>
          <w:rFonts w:eastAsia="Times New Roman"/>
          <w:szCs w:val="24"/>
        </w:rPr>
      </w:pPr>
      <w:r w:rsidRPr="00F071AD">
        <w:rPr>
          <w:rFonts w:eastAsia="Times New Roman"/>
          <w:b/>
          <w:szCs w:val="24"/>
          <w:lang w:val="en-US"/>
        </w:rPr>
        <w:t>HSV</w:t>
      </w:r>
      <w:r w:rsidRPr="00F071AD">
        <w:rPr>
          <w:rFonts w:eastAsia="Times New Roman"/>
          <w:szCs w:val="24"/>
        </w:rPr>
        <w:t xml:space="preserve"> – </w:t>
      </w:r>
      <w:r w:rsidRPr="00F071AD">
        <w:rPr>
          <w:rFonts w:eastAsia="Times New Roman"/>
          <w:szCs w:val="24"/>
          <w:lang w:val="en-US"/>
        </w:rPr>
        <w:t>Herpes</w:t>
      </w:r>
      <w:r w:rsidRPr="00F071AD">
        <w:rPr>
          <w:rFonts w:eastAsia="Times New Roman"/>
          <w:szCs w:val="24"/>
        </w:rPr>
        <w:t xml:space="preserve"> </w:t>
      </w:r>
      <w:r w:rsidRPr="00F071AD">
        <w:rPr>
          <w:rFonts w:eastAsia="Times New Roman"/>
          <w:szCs w:val="24"/>
          <w:lang w:val="en-US"/>
        </w:rPr>
        <w:t>simplex</w:t>
      </w:r>
      <w:r w:rsidRPr="00F071AD">
        <w:rPr>
          <w:rFonts w:eastAsia="Times New Roman"/>
          <w:szCs w:val="24"/>
        </w:rPr>
        <w:t xml:space="preserve"> </w:t>
      </w:r>
      <w:r w:rsidRPr="00F071AD">
        <w:rPr>
          <w:rFonts w:eastAsia="Times New Roman"/>
          <w:szCs w:val="24"/>
          <w:lang w:val="en-US"/>
        </w:rPr>
        <w:t>virus</w:t>
      </w:r>
      <w:r>
        <w:rPr>
          <w:rFonts w:eastAsia="Times New Roman"/>
          <w:szCs w:val="24"/>
        </w:rPr>
        <w:t>/ вирус простого герпеса</w:t>
      </w:r>
    </w:p>
    <w:p w14:paraId="4183FF6D" w14:textId="77777777" w:rsidR="00A80BA6" w:rsidRDefault="00A80BA6" w:rsidP="00A80BA6">
      <w:pPr>
        <w:spacing w:before="0" w:after="0"/>
        <w:contextualSpacing/>
        <w:rPr>
          <w:szCs w:val="24"/>
        </w:rPr>
      </w:pPr>
      <w:r w:rsidRPr="000039C3">
        <w:rPr>
          <w:b/>
          <w:szCs w:val="24"/>
        </w:rPr>
        <w:t>HT</w:t>
      </w:r>
      <w:r w:rsidRPr="000039C3">
        <w:rPr>
          <w:szCs w:val="24"/>
        </w:rPr>
        <w:t xml:space="preserve"> – гидрокситриптамин (серотонин)</w:t>
      </w:r>
    </w:p>
    <w:p w14:paraId="7FEAC732" w14:textId="77777777" w:rsidR="00A80BA6" w:rsidRPr="00F071AD" w:rsidRDefault="00A80BA6" w:rsidP="00A80BA6">
      <w:pPr>
        <w:spacing w:before="0" w:after="0"/>
        <w:contextualSpacing/>
        <w:rPr>
          <w:rFonts w:eastAsia="Times New Roman"/>
          <w:szCs w:val="24"/>
        </w:rPr>
      </w:pPr>
      <w:r w:rsidRPr="00F071AD">
        <w:rPr>
          <w:rFonts w:eastAsia="Times New Roman"/>
          <w:b/>
          <w:szCs w:val="24"/>
          <w:lang w:val="en-US"/>
        </w:rPr>
        <w:t>HZV</w:t>
      </w:r>
      <w:r w:rsidRPr="00F071AD">
        <w:rPr>
          <w:rFonts w:eastAsia="Times New Roman"/>
          <w:szCs w:val="24"/>
        </w:rPr>
        <w:t xml:space="preserve"> – </w:t>
      </w:r>
      <w:r w:rsidRPr="00F071AD">
        <w:rPr>
          <w:rFonts w:eastAsia="Times New Roman"/>
          <w:szCs w:val="24"/>
          <w:lang w:val="en-US"/>
        </w:rPr>
        <w:t>Herpes</w:t>
      </w:r>
      <w:r w:rsidRPr="00F071AD">
        <w:rPr>
          <w:rFonts w:eastAsia="Times New Roman"/>
          <w:szCs w:val="24"/>
        </w:rPr>
        <w:t xml:space="preserve"> </w:t>
      </w:r>
      <w:r w:rsidRPr="00F071AD">
        <w:rPr>
          <w:rFonts w:eastAsia="Times New Roman"/>
          <w:szCs w:val="24"/>
          <w:lang w:val="en-US"/>
        </w:rPr>
        <w:t>zoster</w:t>
      </w:r>
      <w:r w:rsidRPr="00F071AD">
        <w:rPr>
          <w:rFonts w:eastAsia="Times New Roman"/>
          <w:szCs w:val="24"/>
        </w:rPr>
        <w:t xml:space="preserve"> </w:t>
      </w:r>
      <w:r w:rsidRPr="00F071AD">
        <w:rPr>
          <w:rFonts w:eastAsia="Times New Roman"/>
          <w:szCs w:val="24"/>
          <w:lang w:val="en-US"/>
        </w:rPr>
        <w:t>virus</w:t>
      </w:r>
      <w:r>
        <w:rPr>
          <w:rFonts w:eastAsia="Times New Roman"/>
          <w:szCs w:val="24"/>
        </w:rPr>
        <w:t>/ вирус герпеса зостер</w:t>
      </w:r>
    </w:p>
    <w:p w14:paraId="6CE8B7C1" w14:textId="77777777" w:rsidR="00A80BA6" w:rsidRPr="00F242DD" w:rsidRDefault="00A80BA6" w:rsidP="00A80BA6">
      <w:pPr>
        <w:spacing w:before="0" w:after="0"/>
        <w:contextualSpacing/>
        <w:rPr>
          <w:szCs w:val="24"/>
        </w:rPr>
      </w:pPr>
      <w:r w:rsidRPr="00F242DD">
        <w:rPr>
          <w:b/>
          <w:szCs w:val="24"/>
          <w:lang w:val="en-US"/>
        </w:rPr>
        <w:t>Ig</w:t>
      </w:r>
      <w:r w:rsidRPr="00F242DD">
        <w:rPr>
          <w:szCs w:val="24"/>
        </w:rPr>
        <w:t xml:space="preserve"> − иммуноглобулин</w:t>
      </w:r>
    </w:p>
    <w:p w14:paraId="36DE6B36" w14:textId="77777777" w:rsidR="00A80BA6" w:rsidRPr="00F242DD" w:rsidRDefault="00A80BA6" w:rsidP="00A80BA6">
      <w:pPr>
        <w:spacing w:before="0" w:after="0"/>
        <w:contextualSpacing/>
        <w:rPr>
          <w:szCs w:val="24"/>
        </w:rPr>
      </w:pPr>
      <w:r w:rsidRPr="00F242DD">
        <w:rPr>
          <w:b/>
          <w:szCs w:val="24"/>
        </w:rPr>
        <w:t>IMWG</w:t>
      </w:r>
      <w:r w:rsidRPr="00F242DD">
        <w:rPr>
          <w:szCs w:val="24"/>
        </w:rPr>
        <w:t xml:space="preserve"> – Международная группа по изучению множественной миеломы</w:t>
      </w:r>
    </w:p>
    <w:p w14:paraId="67679C65" w14:textId="6C5058D9" w:rsidR="00172C08" w:rsidRPr="00172C08" w:rsidRDefault="00172C08" w:rsidP="00A80BA6">
      <w:pPr>
        <w:spacing w:before="0" w:after="0"/>
        <w:contextualSpacing/>
        <w:rPr>
          <w:b/>
          <w:szCs w:val="24"/>
        </w:rPr>
      </w:pPr>
      <w:r>
        <w:rPr>
          <w:b/>
          <w:szCs w:val="24"/>
          <w:lang w:val="en-US"/>
        </w:rPr>
        <w:t>IsaPd</w:t>
      </w:r>
      <w:r w:rsidRPr="00172C08">
        <w:rPr>
          <w:b/>
          <w:szCs w:val="24"/>
        </w:rPr>
        <w:t xml:space="preserve"> - </w:t>
      </w:r>
      <w:r w:rsidRPr="00F242DD">
        <w:t xml:space="preserve">режим иммунохимиотерапии, включающий </w:t>
      </w:r>
      <w:r>
        <w:t>изатуксимаб</w:t>
      </w:r>
      <w:r w:rsidRPr="00F242DD">
        <w:t xml:space="preserve">, </w:t>
      </w:r>
      <w:r>
        <w:t>помалидомид</w:t>
      </w:r>
      <w:r w:rsidRPr="00F242DD">
        <w:t xml:space="preserve"> и дексаметазон**</w:t>
      </w:r>
    </w:p>
    <w:p w14:paraId="0DC3D973" w14:textId="77777777" w:rsidR="00A80BA6" w:rsidRPr="00F242DD" w:rsidRDefault="00A80BA6" w:rsidP="00A80BA6">
      <w:pPr>
        <w:spacing w:before="0" w:after="0"/>
        <w:contextualSpacing/>
        <w:rPr>
          <w:szCs w:val="24"/>
        </w:rPr>
      </w:pPr>
      <w:r w:rsidRPr="00F242DD">
        <w:rPr>
          <w:b/>
          <w:szCs w:val="24"/>
        </w:rPr>
        <w:t>ISS</w:t>
      </w:r>
      <w:r w:rsidRPr="00F242DD">
        <w:rPr>
          <w:szCs w:val="24"/>
        </w:rPr>
        <w:t xml:space="preserve"> – международная система стадирования (International Staging System – ISS)</w:t>
      </w:r>
    </w:p>
    <w:p w14:paraId="2D79DAA8" w14:textId="77777777" w:rsidR="00A80BA6" w:rsidRDefault="00A80BA6" w:rsidP="00A80BA6">
      <w:pPr>
        <w:spacing w:before="0" w:after="0"/>
        <w:contextualSpacing/>
        <w:rPr>
          <w:szCs w:val="24"/>
        </w:rPr>
      </w:pPr>
      <w:r w:rsidRPr="00F242DD">
        <w:rPr>
          <w:rFonts w:eastAsia="Times New Roman"/>
          <w:b/>
          <w:szCs w:val="24"/>
        </w:rPr>
        <w:t xml:space="preserve">IxaRd </w:t>
      </w:r>
      <w:r w:rsidRPr="00F242DD">
        <w:rPr>
          <w:rFonts w:eastAsia="Times New Roman"/>
          <w:szCs w:val="24"/>
          <w:lang w:eastAsia="ru-RU"/>
        </w:rPr>
        <w:t xml:space="preserve">– </w:t>
      </w:r>
      <w:r w:rsidRPr="00F242DD">
        <w:rPr>
          <w:szCs w:val="24"/>
        </w:rPr>
        <w:t xml:space="preserve">режим иммунохимиотерапии, включающий иксазомиб**, леналидомид** и дексаметазон** </w:t>
      </w:r>
    </w:p>
    <w:p w14:paraId="36C63C9E" w14:textId="77777777" w:rsidR="00A80BA6" w:rsidRPr="008B4A92" w:rsidRDefault="00A80BA6" w:rsidP="00A80BA6">
      <w:pPr>
        <w:spacing w:before="0" w:after="0"/>
        <w:contextualSpacing/>
        <w:rPr>
          <w:rFonts w:eastAsia="Times New Roman"/>
          <w:szCs w:val="24"/>
          <w:lang w:val="en-US"/>
        </w:rPr>
      </w:pPr>
      <w:r w:rsidRPr="008B4A92">
        <w:rPr>
          <w:rFonts w:eastAsia="Times New Roman"/>
          <w:b/>
          <w:szCs w:val="24"/>
          <w:lang w:val="en-US"/>
        </w:rPr>
        <w:t>K. neumonia</w:t>
      </w:r>
      <w:r w:rsidRPr="008B4A92">
        <w:rPr>
          <w:rFonts w:eastAsia="Times New Roman"/>
          <w:szCs w:val="24"/>
          <w:lang w:val="en-US"/>
        </w:rPr>
        <w:t xml:space="preserve"> – Klebsiella neumonia</w:t>
      </w:r>
    </w:p>
    <w:p w14:paraId="6E104E37" w14:textId="77777777" w:rsidR="00A80BA6" w:rsidRPr="008B4A92" w:rsidRDefault="00A80BA6" w:rsidP="00A80BA6">
      <w:pPr>
        <w:spacing w:before="0" w:after="0"/>
        <w:contextualSpacing/>
        <w:rPr>
          <w:rFonts w:eastAsia="Times New Roman"/>
          <w:szCs w:val="24"/>
          <w:lang w:val="en-US"/>
        </w:rPr>
      </w:pPr>
      <w:r w:rsidRPr="008B4A92">
        <w:rPr>
          <w:rFonts w:eastAsia="Times New Roman"/>
          <w:b/>
          <w:szCs w:val="24"/>
          <w:lang w:val="en-US"/>
        </w:rPr>
        <w:t>KPC</w:t>
      </w:r>
      <w:r w:rsidRPr="008B4A92">
        <w:rPr>
          <w:rFonts w:eastAsia="Times New Roman"/>
          <w:szCs w:val="24"/>
          <w:lang w:val="en-US"/>
        </w:rPr>
        <w:t xml:space="preserve"> – Klebsiella neumonia carbapenemase</w:t>
      </w:r>
    </w:p>
    <w:p w14:paraId="02958580" w14:textId="77777777" w:rsidR="00A80BA6" w:rsidRDefault="00A80BA6" w:rsidP="00A80BA6">
      <w:pPr>
        <w:spacing w:before="0" w:after="0"/>
        <w:contextualSpacing/>
        <w:rPr>
          <w:szCs w:val="24"/>
        </w:rPr>
      </w:pPr>
      <w:r w:rsidRPr="00F242DD">
        <w:rPr>
          <w:rFonts w:eastAsia="Times New Roman"/>
          <w:b/>
          <w:szCs w:val="24"/>
        </w:rPr>
        <w:t xml:space="preserve">KRd </w:t>
      </w:r>
      <w:r w:rsidRPr="00F242DD">
        <w:rPr>
          <w:rFonts w:eastAsia="Times New Roman"/>
          <w:szCs w:val="24"/>
          <w:lang w:eastAsia="ru-RU"/>
        </w:rPr>
        <w:t xml:space="preserve">– </w:t>
      </w:r>
      <w:r w:rsidRPr="00F242DD">
        <w:rPr>
          <w:szCs w:val="24"/>
        </w:rPr>
        <w:t xml:space="preserve">режим иммунохимиотерапии, включающий карфилзомиб**, леналидомид** и дексаметазон** </w:t>
      </w:r>
    </w:p>
    <w:p w14:paraId="3D2F3A2B" w14:textId="77777777" w:rsidR="00A80BA6" w:rsidRPr="008B4A92" w:rsidRDefault="00A80BA6" w:rsidP="00A80BA6">
      <w:pPr>
        <w:spacing w:before="0" w:after="0"/>
        <w:contextualSpacing/>
        <w:rPr>
          <w:rFonts w:eastAsia="Times New Roman"/>
          <w:szCs w:val="24"/>
          <w:lang w:val="en-US"/>
        </w:rPr>
      </w:pPr>
      <w:r w:rsidRPr="008B4A92">
        <w:rPr>
          <w:rFonts w:eastAsia="Times New Roman"/>
          <w:b/>
          <w:szCs w:val="24"/>
          <w:lang w:val="en-US"/>
        </w:rPr>
        <w:t>L. monocytogenes</w:t>
      </w:r>
      <w:r w:rsidRPr="008B4A92">
        <w:rPr>
          <w:rFonts w:eastAsia="Times New Roman"/>
          <w:szCs w:val="24"/>
          <w:lang w:val="en-US"/>
        </w:rPr>
        <w:t xml:space="preserve"> – Listeria monocytogenes</w:t>
      </w:r>
    </w:p>
    <w:p w14:paraId="57D76614" w14:textId="77777777" w:rsidR="00A80BA6" w:rsidRPr="008B4A92" w:rsidRDefault="00A80BA6" w:rsidP="00A80BA6">
      <w:pPr>
        <w:spacing w:before="0" w:after="0"/>
        <w:contextualSpacing/>
        <w:rPr>
          <w:rFonts w:eastAsia="Times New Roman"/>
          <w:szCs w:val="24"/>
          <w:lang w:val="en-US"/>
        </w:rPr>
      </w:pPr>
      <w:r w:rsidRPr="008B4A92">
        <w:rPr>
          <w:rFonts w:eastAsia="Times New Roman"/>
          <w:b/>
          <w:szCs w:val="24"/>
          <w:lang w:val="en-US"/>
        </w:rPr>
        <w:t>L. pneumophila</w:t>
      </w:r>
      <w:r w:rsidRPr="008B4A92">
        <w:rPr>
          <w:rFonts w:eastAsia="Times New Roman"/>
          <w:szCs w:val="24"/>
          <w:lang w:val="en-US"/>
        </w:rPr>
        <w:t xml:space="preserve"> – Legionella pneumophila</w:t>
      </w:r>
    </w:p>
    <w:p w14:paraId="7D73F1AB" w14:textId="77777777" w:rsidR="00A80BA6" w:rsidRDefault="00A80BA6" w:rsidP="00A80BA6">
      <w:pPr>
        <w:spacing w:before="0" w:after="0"/>
        <w:contextualSpacing/>
        <w:rPr>
          <w:rFonts w:eastAsia="Times New Roman"/>
          <w:szCs w:val="24"/>
          <w:lang w:eastAsia="ru-RU"/>
        </w:rPr>
      </w:pPr>
      <w:proofErr w:type="gramStart"/>
      <w:r w:rsidRPr="008B4A92">
        <w:rPr>
          <w:rFonts w:eastAsia="Times New Roman"/>
          <w:b/>
          <w:szCs w:val="24"/>
          <w:lang w:val="en-US" w:eastAsia="ru-RU"/>
        </w:rPr>
        <w:t>M</w:t>
      </w:r>
      <w:r w:rsidRPr="00E56E56">
        <w:rPr>
          <w:rFonts w:eastAsia="Times New Roman"/>
          <w:b/>
          <w:szCs w:val="24"/>
          <w:lang w:eastAsia="ru-RU"/>
        </w:rPr>
        <w:t xml:space="preserve">.  </w:t>
      </w:r>
      <w:r w:rsidRPr="00F960E7">
        <w:rPr>
          <w:rFonts w:eastAsia="Times New Roman"/>
          <w:b/>
          <w:szCs w:val="24"/>
          <w:lang w:eastAsia="ru-RU"/>
        </w:rPr>
        <w:t>neumonia</w:t>
      </w:r>
      <w:proofErr w:type="gramEnd"/>
      <w:r>
        <w:rPr>
          <w:rFonts w:eastAsia="Times New Roman"/>
          <w:szCs w:val="24"/>
          <w:lang w:eastAsia="ru-RU"/>
        </w:rPr>
        <w:t xml:space="preserve"> – Mycoplasma</w:t>
      </w:r>
      <w:r w:rsidRPr="00F960E7">
        <w:rPr>
          <w:rFonts w:eastAsia="Times New Roman"/>
          <w:szCs w:val="24"/>
          <w:lang w:eastAsia="ru-RU"/>
        </w:rPr>
        <w:t xml:space="preserve"> neumonia</w:t>
      </w:r>
      <w:r w:rsidRPr="000039C3">
        <w:rPr>
          <w:rFonts w:eastAsia="Times New Roman"/>
          <w:szCs w:val="24"/>
          <w:lang w:eastAsia="ru-RU"/>
        </w:rPr>
        <w:t xml:space="preserve"> </w:t>
      </w:r>
    </w:p>
    <w:p w14:paraId="640B163E" w14:textId="77777777" w:rsidR="00A80BA6" w:rsidRDefault="00A80BA6" w:rsidP="00A80BA6">
      <w:pPr>
        <w:spacing w:before="0" w:after="0"/>
        <w:contextualSpacing/>
        <w:rPr>
          <w:rFonts w:eastAsia="Times New Roman"/>
          <w:szCs w:val="24"/>
          <w:lang w:eastAsia="ru-RU"/>
        </w:rPr>
      </w:pPr>
      <w:r w:rsidRPr="000039C3">
        <w:rPr>
          <w:rFonts w:eastAsia="Times New Roman"/>
          <w:b/>
          <w:szCs w:val="24"/>
          <w:lang w:eastAsia="ru-RU"/>
        </w:rPr>
        <w:t>MASCC</w:t>
      </w:r>
      <w:r w:rsidRPr="000039C3">
        <w:rPr>
          <w:rFonts w:eastAsia="Times New Roman"/>
          <w:szCs w:val="24"/>
          <w:lang w:eastAsia="ru-RU"/>
        </w:rPr>
        <w:t xml:space="preserve"> – Международная ассоциация по поддерживающему лечению в онкологии</w:t>
      </w:r>
    </w:p>
    <w:p w14:paraId="186142BC" w14:textId="77777777" w:rsidR="00A80BA6" w:rsidRPr="00A80BA6" w:rsidRDefault="00A80BA6" w:rsidP="00A80BA6">
      <w:pPr>
        <w:spacing w:before="0" w:after="0"/>
        <w:contextualSpacing/>
        <w:rPr>
          <w:rFonts w:eastAsia="Times New Roman"/>
          <w:szCs w:val="24"/>
          <w:lang w:eastAsia="ru-RU"/>
        </w:rPr>
      </w:pPr>
      <w:proofErr w:type="gramStart"/>
      <w:r w:rsidRPr="008B4A92">
        <w:rPr>
          <w:rFonts w:eastAsia="Times New Roman"/>
          <w:b/>
          <w:szCs w:val="24"/>
          <w:lang w:val="en-US" w:eastAsia="ru-RU"/>
        </w:rPr>
        <w:t>mCIM</w:t>
      </w:r>
      <w:proofErr w:type="gramEnd"/>
      <w:r w:rsidRPr="00A80BA6">
        <w:rPr>
          <w:rFonts w:eastAsia="Times New Roman"/>
          <w:szCs w:val="24"/>
          <w:lang w:eastAsia="ru-RU"/>
        </w:rPr>
        <w:t xml:space="preserve"> – </w:t>
      </w:r>
      <w:r w:rsidRPr="008B4A92">
        <w:rPr>
          <w:rFonts w:eastAsia="Times New Roman"/>
          <w:szCs w:val="24"/>
          <w:lang w:val="en-US" w:eastAsia="ru-RU"/>
        </w:rPr>
        <w:t>modified</w:t>
      </w:r>
      <w:r w:rsidRPr="00A80BA6">
        <w:rPr>
          <w:rFonts w:eastAsia="Times New Roman"/>
          <w:szCs w:val="24"/>
          <w:lang w:eastAsia="ru-RU"/>
        </w:rPr>
        <w:t xml:space="preserve"> </w:t>
      </w:r>
      <w:r w:rsidRPr="008B4A92">
        <w:rPr>
          <w:rFonts w:eastAsia="Times New Roman"/>
          <w:szCs w:val="24"/>
          <w:lang w:val="en-US" w:eastAsia="ru-RU"/>
        </w:rPr>
        <w:t>carbapenem</w:t>
      </w:r>
      <w:r w:rsidRPr="00A80BA6">
        <w:rPr>
          <w:rFonts w:eastAsia="Times New Roman"/>
          <w:szCs w:val="24"/>
          <w:lang w:eastAsia="ru-RU"/>
        </w:rPr>
        <w:t xml:space="preserve"> </w:t>
      </w:r>
      <w:r w:rsidRPr="008B4A92">
        <w:rPr>
          <w:rFonts w:eastAsia="Times New Roman"/>
          <w:szCs w:val="24"/>
          <w:lang w:val="en-US" w:eastAsia="ru-RU"/>
        </w:rPr>
        <w:t>inactivation</w:t>
      </w:r>
      <w:r w:rsidRPr="00A80BA6">
        <w:rPr>
          <w:rFonts w:eastAsia="Times New Roman"/>
          <w:szCs w:val="24"/>
          <w:lang w:eastAsia="ru-RU"/>
        </w:rPr>
        <w:t xml:space="preserve"> </w:t>
      </w:r>
      <w:r w:rsidRPr="008B4A92">
        <w:rPr>
          <w:rFonts w:eastAsia="Times New Roman"/>
          <w:szCs w:val="24"/>
          <w:lang w:val="en-US" w:eastAsia="ru-RU"/>
        </w:rPr>
        <w:t>method</w:t>
      </w:r>
    </w:p>
    <w:p w14:paraId="6649E396" w14:textId="2CD50368" w:rsidR="00A80BA6" w:rsidRPr="00F242DD" w:rsidRDefault="00A80BA6" w:rsidP="00A80BA6">
      <w:pPr>
        <w:spacing w:before="0" w:after="0"/>
        <w:contextualSpacing/>
        <w:rPr>
          <w:rFonts w:eastAsia="Times New Roman"/>
          <w:szCs w:val="24"/>
          <w:u w:val="single"/>
          <w:lang w:eastAsia="ru-RU"/>
        </w:rPr>
      </w:pPr>
      <w:r w:rsidRPr="00F242DD">
        <w:rPr>
          <w:rFonts w:eastAsia="Times New Roman"/>
          <w:b/>
          <w:szCs w:val="24"/>
          <w:lang w:eastAsia="ru-RU"/>
        </w:rPr>
        <w:t>MP</w:t>
      </w:r>
      <w:r w:rsidRPr="00F242DD">
        <w:rPr>
          <w:rFonts w:eastAsia="Times New Roman"/>
          <w:szCs w:val="24"/>
          <w:lang w:eastAsia="ru-RU"/>
        </w:rPr>
        <w:t xml:space="preserve"> – </w:t>
      </w:r>
      <w:r w:rsidRPr="00F242DD">
        <w:rPr>
          <w:szCs w:val="24"/>
        </w:rPr>
        <w:t xml:space="preserve">режим химиотерапии, включающий мелфалан** и преднизолон** </w:t>
      </w:r>
    </w:p>
    <w:p w14:paraId="3BACE1A9" w14:textId="77777777" w:rsidR="00A80BA6" w:rsidRDefault="00A80BA6" w:rsidP="00A80BA6">
      <w:pPr>
        <w:spacing w:before="0" w:after="0"/>
        <w:contextualSpacing/>
        <w:rPr>
          <w:szCs w:val="24"/>
        </w:rPr>
      </w:pPr>
      <w:r w:rsidRPr="00F242DD">
        <w:rPr>
          <w:rFonts w:eastAsia="Times New Roman"/>
          <w:b/>
          <w:szCs w:val="24"/>
          <w:lang w:eastAsia="ru-RU"/>
        </w:rPr>
        <w:t>MP</w:t>
      </w:r>
      <w:r w:rsidRPr="00F242DD">
        <w:rPr>
          <w:rFonts w:eastAsia="Times New Roman"/>
          <w:b/>
          <w:szCs w:val="24"/>
          <w:lang w:val="en-US" w:eastAsia="ru-RU"/>
        </w:rPr>
        <w:t>R</w:t>
      </w:r>
      <w:r w:rsidRPr="00F242DD">
        <w:rPr>
          <w:rFonts w:eastAsia="Times New Roman"/>
          <w:szCs w:val="24"/>
          <w:lang w:eastAsia="ru-RU"/>
        </w:rPr>
        <w:t xml:space="preserve"> – </w:t>
      </w:r>
      <w:r w:rsidRPr="00F242DD">
        <w:rPr>
          <w:szCs w:val="24"/>
        </w:rPr>
        <w:t xml:space="preserve">режим иммунохимиотерапии, включающий мелфалан**, леналидомид** и преднизолон** </w:t>
      </w:r>
    </w:p>
    <w:p w14:paraId="7259E702" w14:textId="77777777" w:rsidR="00A80BA6" w:rsidRDefault="00A80BA6" w:rsidP="00A80BA6">
      <w:pPr>
        <w:spacing w:before="0" w:after="0"/>
        <w:contextualSpacing/>
        <w:rPr>
          <w:rFonts w:eastAsia="Times New Roman"/>
          <w:szCs w:val="24"/>
          <w:lang w:val="en-US" w:eastAsia="ru-RU"/>
        </w:rPr>
      </w:pPr>
      <w:r w:rsidRPr="00F960E7">
        <w:rPr>
          <w:rFonts w:eastAsia="Times New Roman"/>
          <w:b/>
          <w:szCs w:val="24"/>
          <w:lang w:val="en-US" w:eastAsia="ru-RU"/>
        </w:rPr>
        <w:t>NDM</w:t>
      </w:r>
      <w:r w:rsidRPr="00F960E7">
        <w:rPr>
          <w:rFonts w:eastAsia="Times New Roman"/>
          <w:szCs w:val="24"/>
          <w:lang w:val="en-US" w:eastAsia="ru-RU"/>
        </w:rPr>
        <w:t xml:space="preserve"> – New Delhi metallo-</w:t>
      </w:r>
      <w:r w:rsidRPr="00F960E7">
        <w:rPr>
          <w:rFonts w:eastAsia="Times New Roman"/>
          <w:szCs w:val="24"/>
          <w:lang w:eastAsia="ru-RU"/>
        </w:rPr>
        <w:t>β</w:t>
      </w:r>
      <w:r w:rsidRPr="00F960E7">
        <w:rPr>
          <w:rFonts w:eastAsia="Times New Roman"/>
          <w:szCs w:val="24"/>
          <w:lang w:val="en-US" w:eastAsia="ru-RU"/>
        </w:rPr>
        <w:t>-lactamase</w:t>
      </w:r>
    </w:p>
    <w:p w14:paraId="7E003707" w14:textId="77777777" w:rsidR="00A80BA6" w:rsidRPr="000039C3" w:rsidRDefault="00A80BA6" w:rsidP="00A80BA6">
      <w:pPr>
        <w:spacing w:before="0" w:after="0"/>
        <w:contextualSpacing/>
        <w:rPr>
          <w:rFonts w:eastAsia="Times New Roman"/>
          <w:szCs w:val="24"/>
          <w:lang w:val="en-US" w:eastAsia="ru-RU"/>
        </w:rPr>
      </w:pPr>
      <w:r w:rsidRPr="000039C3">
        <w:rPr>
          <w:rFonts w:eastAsia="Times New Roman"/>
          <w:b/>
          <w:szCs w:val="24"/>
          <w:lang w:val="en-US" w:eastAsia="ru-RU"/>
        </w:rPr>
        <w:t>NK-1</w:t>
      </w:r>
      <w:r w:rsidRPr="000039C3">
        <w:rPr>
          <w:rFonts w:eastAsia="Times New Roman"/>
          <w:szCs w:val="24"/>
          <w:lang w:val="en-US" w:eastAsia="ru-RU"/>
        </w:rPr>
        <w:t xml:space="preserve"> – </w:t>
      </w:r>
      <w:r w:rsidRPr="000039C3">
        <w:rPr>
          <w:rFonts w:eastAsia="Times New Roman"/>
          <w:szCs w:val="24"/>
          <w:lang w:eastAsia="ru-RU"/>
        </w:rPr>
        <w:t>нейрокинин</w:t>
      </w:r>
      <w:r w:rsidRPr="000039C3">
        <w:rPr>
          <w:rFonts w:eastAsia="Times New Roman"/>
          <w:szCs w:val="24"/>
          <w:lang w:val="en-US" w:eastAsia="ru-RU"/>
        </w:rPr>
        <w:t>-1</w:t>
      </w:r>
    </w:p>
    <w:p w14:paraId="694BF8C2" w14:textId="77777777" w:rsidR="00A80BA6" w:rsidRPr="008B4A92" w:rsidRDefault="00A80BA6" w:rsidP="00A80BA6">
      <w:pPr>
        <w:spacing w:before="0" w:after="0"/>
        <w:contextualSpacing/>
        <w:rPr>
          <w:rFonts w:eastAsia="Times New Roman"/>
          <w:szCs w:val="24"/>
          <w:lang w:val="en-US" w:eastAsia="ru-RU"/>
        </w:rPr>
      </w:pPr>
      <w:r w:rsidRPr="003032A0">
        <w:rPr>
          <w:rFonts w:eastAsia="Times New Roman"/>
          <w:b/>
          <w:szCs w:val="24"/>
          <w:lang w:val="en-US" w:eastAsia="ru-RU"/>
        </w:rPr>
        <w:t>OPG</w:t>
      </w:r>
      <w:r w:rsidRPr="008B4A92">
        <w:rPr>
          <w:rFonts w:eastAsia="Times New Roman"/>
          <w:szCs w:val="24"/>
          <w:lang w:val="en-US" w:eastAsia="ru-RU"/>
        </w:rPr>
        <w:t xml:space="preserve"> - </w:t>
      </w:r>
      <w:r w:rsidRPr="003032A0">
        <w:rPr>
          <w:rFonts w:eastAsia="Times New Roman"/>
          <w:szCs w:val="24"/>
          <w:lang w:eastAsia="ru-RU"/>
        </w:rPr>
        <w:t>остеопротегерин</w:t>
      </w:r>
    </w:p>
    <w:p w14:paraId="22931600" w14:textId="77777777" w:rsidR="00A80BA6" w:rsidRDefault="00A80BA6" w:rsidP="00A80BA6">
      <w:pPr>
        <w:spacing w:before="0" w:after="0"/>
        <w:contextualSpacing/>
        <w:rPr>
          <w:rFonts w:eastAsia="Times New Roman"/>
          <w:szCs w:val="24"/>
          <w:lang w:val="en-US" w:eastAsia="ru-RU"/>
        </w:rPr>
      </w:pPr>
      <w:r w:rsidRPr="00F960E7">
        <w:rPr>
          <w:rFonts w:eastAsia="Times New Roman"/>
          <w:b/>
          <w:szCs w:val="24"/>
          <w:lang w:val="en-US" w:eastAsia="ru-RU"/>
        </w:rPr>
        <w:t>OXA-48</w:t>
      </w:r>
      <w:r w:rsidRPr="00F960E7">
        <w:rPr>
          <w:rFonts w:eastAsia="Times New Roman"/>
          <w:szCs w:val="24"/>
          <w:lang w:val="en-US" w:eastAsia="ru-RU"/>
        </w:rPr>
        <w:t xml:space="preserve"> – oxacillinase-48</w:t>
      </w:r>
    </w:p>
    <w:p w14:paraId="7FBFCA93" w14:textId="77777777" w:rsidR="00A80BA6" w:rsidRPr="00A80BA6" w:rsidRDefault="00A80BA6" w:rsidP="00A80BA6">
      <w:pPr>
        <w:spacing w:before="0" w:after="0"/>
        <w:contextualSpacing/>
        <w:rPr>
          <w:rFonts w:eastAsia="Times New Roman"/>
          <w:szCs w:val="24"/>
          <w:lang w:val="en-US"/>
        </w:rPr>
      </w:pPr>
      <w:r w:rsidRPr="00F960E7">
        <w:rPr>
          <w:rFonts w:eastAsia="Times New Roman"/>
          <w:b/>
          <w:szCs w:val="24"/>
          <w:lang w:val="en-US"/>
        </w:rPr>
        <w:t>P</w:t>
      </w:r>
      <w:r w:rsidRPr="00A80BA6">
        <w:rPr>
          <w:rFonts w:eastAsia="Times New Roman"/>
          <w:b/>
          <w:szCs w:val="24"/>
          <w:lang w:val="en-US"/>
        </w:rPr>
        <w:t xml:space="preserve">. </w:t>
      </w:r>
      <w:r w:rsidRPr="00F960E7">
        <w:rPr>
          <w:rFonts w:eastAsia="Times New Roman"/>
          <w:b/>
          <w:szCs w:val="24"/>
          <w:lang w:val="en-US"/>
        </w:rPr>
        <w:t>jirovecii</w:t>
      </w:r>
      <w:r w:rsidRPr="00A80BA6">
        <w:rPr>
          <w:rFonts w:eastAsia="Times New Roman"/>
          <w:szCs w:val="24"/>
          <w:lang w:val="en-US"/>
        </w:rPr>
        <w:t xml:space="preserve"> – </w:t>
      </w:r>
      <w:r w:rsidRPr="00F960E7">
        <w:rPr>
          <w:rFonts w:eastAsia="Times New Roman"/>
          <w:szCs w:val="24"/>
          <w:lang w:val="en-US"/>
        </w:rPr>
        <w:t>Pneumocystis</w:t>
      </w:r>
      <w:r w:rsidRPr="00A80BA6">
        <w:rPr>
          <w:rFonts w:eastAsia="Times New Roman"/>
          <w:szCs w:val="24"/>
          <w:lang w:val="en-US"/>
        </w:rPr>
        <w:t xml:space="preserve"> </w:t>
      </w:r>
      <w:r w:rsidRPr="00F960E7">
        <w:rPr>
          <w:rFonts w:eastAsia="Times New Roman"/>
          <w:szCs w:val="24"/>
          <w:lang w:val="en-US"/>
        </w:rPr>
        <w:t>jirovecii</w:t>
      </w:r>
    </w:p>
    <w:p w14:paraId="7BCB5BAA" w14:textId="77777777" w:rsidR="00A80BA6" w:rsidRPr="008B4A92" w:rsidRDefault="00A80BA6" w:rsidP="00A80BA6">
      <w:pPr>
        <w:spacing w:before="0" w:after="0"/>
        <w:contextualSpacing/>
        <w:rPr>
          <w:rFonts w:eastAsia="Times New Roman"/>
          <w:szCs w:val="24"/>
          <w:lang w:val="en-US" w:eastAsia="ru-RU"/>
        </w:rPr>
      </w:pPr>
      <w:r w:rsidRPr="00F960E7">
        <w:rPr>
          <w:rFonts w:eastAsia="Times New Roman"/>
          <w:b/>
          <w:szCs w:val="24"/>
          <w:lang w:val="en-US" w:eastAsia="ru-RU"/>
        </w:rPr>
        <w:t>PAD</w:t>
      </w:r>
      <w:r w:rsidRPr="008B4A92">
        <w:rPr>
          <w:rFonts w:eastAsia="Times New Roman"/>
          <w:szCs w:val="24"/>
          <w:lang w:val="en-US" w:eastAsia="ru-RU"/>
        </w:rPr>
        <w:t xml:space="preserve"> – </w:t>
      </w:r>
      <w:r w:rsidRPr="00F242DD">
        <w:rPr>
          <w:szCs w:val="24"/>
        </w:rPr>
        <w:t>режим</w:t>
      </w:r>
      <w:r w:rsidRPr="008B4A92">
        <w:rPr>
          <w:szCs w:val="24"/>
          <w:lang w:val="en-US"/>
        </w:rPr>
        <w:t xml:space="preserve"> </w:t>
      </w:r>
      <w:r w:rsidRPr="00F242DD">
        <w:rPr>
          <w:szCs w:val="24"/>
        </w:rPr>
        <w:t>иммунохимиотерапии</w:t>
      </w:r>
      <w:r w:rsidRPr="008B4A92">
        <w:rPr>
          <w:szCs w:val="24"/>
          <w:lang w:val="en-US"/>
        </w:rPr>
        <w:t xml:space="preserve">, </w:t>
      </w:r>
      <w:r w:rsidRPr="00F242DD">
        <w:rPr>
          <w:szCs w:val="24"/>
        </w:rPr>
        <w:t>включающий</w:t>
      </w:r>
      <w:r w:rsidRPr="008B4A92">
        <w:rPr>
          <w:szCs w:val="24"/>
          <w:lang w:val="en-US"/>
        </w:rPr>
        <w:t xml:space="preserve"> </w:t>
      </w:r>
      <w:r w:rsidRPr="00F242DD">
        <w:rPr>
          <w:szCs w:val="24"/>
        </w:rPr>
        <w:t>доксорубицин</w:t>
      </w:r>
      <w:r w:rsidRPr="008B4A92">
        <w:rPr>
          <w:szCs w:val="24"/>
          <w:lang w:val="en-US"/>
        </w:rPr>
        <w:t xml:space="preserve">**, </w:t>
      </w:r>
      <w:r w:rsidRPr="00F242DD">
        <w:rPr>
          <w:szCs w:val="24"/>
        </w:rPr>
        <w:t>бортезомиб</w:t>
      </w:r>
      <w:r w:rsidRPr="008B4A92">
        <w:rPr>
          <w:szCs w:val="24"/>
          <w:lang w:val="en-US"/>
        </w:rPr>
        <w:t xml:space="preserve">** </w:t>
      </w:r>
      <w:r w:rsidRPr="00F242DD">
        <w:rPr>
          <w:szCs w:val="24"/>
        </w:rPr>
        <w:t>и</w:t>
      </w:r>
      <w:r w:rsidRPr="008B4A92">
        <w:rPr>
          <w:szCs w:val="24"/>
          <w:lang w:val="en-US"/>
        </w:rPr>
        <w:t xml:space="preserve"> </w:t>
      </w:r>
      <w:r w:rsidRPr="00F242DD">
        <w:rPr>
          <w:szCs w:val="24"/>
        </w:rPr>
        <w:t>дексаметазон</w:t>
      </w:r>
      <w:r w:rsidRPr="008B4A92">
        <w:rPr>
          <w:szCs w:val="24"/>
          <w:lang w:val="en-US"/>
        </w:rPr>
        <w:t xml:space="preserve">** </w:t>
      </w:r>
    </w:p>
    <w:p w14:paraId="4388891C" w14:textId="77777777" w:rsidR="00A80BA6" w:rsidRDefault="00A80BA6" w:rsidP="00A80BA6">
      <w:pPr>
        <w:spacing w:before="0" w:after="0"/>
        <w:contextualSpacing/>
        <w:rPr>
          <w:szCs w:val="24"/>
        </w:rPr>
      </w:pPr>
      <w:r w:rsidRPr="00F242DD">
        <w:rPr>
          <w:rFonts w:eastAsia="Times New Roman"/>
          <w:b/>
          <w:szCs w:val="24"/>
        </w:rPr>
        <w:lastRenderedPageBreak/>
        <w:t xml:space="preserve">Pom + dex </w:t>
      </w:r>
      <w:r w:rsidRPr="00F242DD">
        <w:rPr>
          <w:rFonts w:eastAsia="Times New Roman"/>
          <w:szCs w:val="24"/>
          <w:lang w:eastAsia="ru-RU"/>
        </w:rPr>
        <w:t xml:space="preserve">– </w:t>
      </w:r>
      <w:r w:rsidRPr="00F242DD">
        <w:rPr>
          <w:szCs w:val="24"/>
        </w:rPr>
        <w:t>режим иммунохимиотерапии, включающий помалидомид и дексаметазон**</w:t>
      </w:r>
    </w:p>
    <w:p w14:paraId="6800D6DA" w14:textId="77777777" w:rsidR="00A80BA6" w:rsidRPr="00FD42BA" w:rsidRDefault="00A80BA6" w:rsidP="00A80BA6">
      <w:pPr>
        <w:spacing w:before="0" w:after="0"/>
        <w:contextualSpacing/>
        <w:rPr>
          <w:rFonts w:eastAsia="Times New Roman"/>
          <w:szCs w:val="24"/>
        </w:rPr>
      </w:pPr>
      <w:r w:rsidRPr="00F960E7">
        <w:rPr>
          <w:rFonts w:eastAsia="Times New Roman"/>
          <w:b/>
          <w:szCs w:val="24"/>
          <w:lang w:val="en-US"/>
        </w:rPr>
        <w:t>RAD</w:t>
      </w:r>
      <w:r w:rsidRPr="00FD42BA">
        <w:rPr>
          <w:rFonts w:eastAsia="Times New Roman"/>
          <w:b/>
          <w:szCs w:val="24"/>
        </w:rPr>
        <w:t xml:space="preserve"> </w:t>
      </w:r>
      <w:r w:rsidRPr="00FD42BA">
        <w:rPr>
          <w:rFonts w:eastAsia="Times New Roman"/>
          <w:szCs w:val="24"/>
          <w:lang w:eastAsia="ru-RU"/>
        </w:rPr>
        <w:t xml:space="preserve">– </w:t>
      </w:r>
      <w:r w:rsidRPr="00F242DD">
        <w:rPr>
          <w:szCs w:val="24"/>
        </w:rPr>
        <w:t>режим</w:t>
      </w:r>
      <w:r w:rsidRPr="00FD42BA">
        <w:rPr>
          <w:szCs w:val="24"/>
        </w:rPr>
        <w:t xml:space="preserve"> </w:t>
      </w:r>
      <w:r w:rsidRPr="00F242DD">
        <w:rPr>
          <w:szCs w:val="24"/>
        </w:rPr>
        <w:t>иммунохимиотерапии</w:t>
      </w:r>
      <w:r w:rsidRPr="00FD42BA">
        <w:rPr>
          <w:szCs w:val="24"/>
        </w:rPr>
        <w:t xml:space="preserve">, </w:t>
      </w:r>
      <w:r w:rsidRPr="00F242DD">
        <w:rPr>
          <w:szCs w:val="24"/>
        </w:rPr>
        <w:t>включающий</w:t>
      </w:r>
      <w:r w:rsidRPr="00FD42BA">
        <w:rPr>
          <w:szCs w:val="24"/>
        </w:rPr>
        <w:t xml:space="preserve"> </w:t>
      </w:r>
      <w:r w:rsidRPr="00F242DD">
        <w:rPr>
          <w:szCs w:val="24"/>
        </w:rPr>
        <w:t>леналидомид</w:t>
      </w:r>
      <w:r w:rsidRPr="00FD42BA">
        <w:rPr>
          <w:szCs w:val="24"/>
        </w:rPr>
        <w:t xml:space="preserve">**, </w:t>
      </w:r>
      <w:r w:rsidRPr="00F242DD">
        <w:rPr>
          <w:szCs w:val="24"/>
        </w:rPr>
        <w:t>доксорубицин</w:t>
      </w:r>
      <w:r w:rsidRPr="00FD42BA">
        <w:rPr>
          <w:szCs w:val="24"/>
        </w:rPr>
        <w:t xml:space="preserve">** </w:t>
      </w:r>
      <w:r w:rsidRPr="00F242DD">
        <w:rPr>
          <w:szCs w:val="24"/>
        </w:rPr>
        <w:t>и</w:t>
      </w:r>
      <w:r w:rsidRPr="00FD42BA">
        <w:rPr>
          <w:szCs w:val="24"/>
        </w:rPr>
        <w:t xml:space="preserve"> </w:t>
      </w:r>
      <w:r w:rsidRPr="00F242DD">
        <w:rPr>
          <w:szCs w:val="24"/>
        </w:rPr>
        <w:t>дексаметазон</w:t>
      </w:r>
      <w:r w:rsidRPr="00FD42BA">
        <w:rPr>
          <w:szCs w:val="24"/>
        </w:rPr>
        <w:t xml:space="preserve">** </w:t>
      </w:r>
    </w:p>
    <w:p w14:paraId="033F67AE" w14:textId="77777777" w:rsidR="00A80BA6" w:rsidRPr="003032A0" w:rsidRDefault="00A80BA6" w:rsidP="00A80BA6">
      <w:pPr>
        <w:spacing w:before="0" w:after="0"/>
        <w:contextualSpacing/>
        <w:rPr>
          <w:szCs w:val="24"/>
        </w:rPr>
      </w:pPr>
      <w:r w:rsidRPr="003032A0">
        <w:rPr>
          <w:b/>
          <w:szCs w:val="24"/>
        </w:rPr>
        <w:t>RANK</w:t>
      </w:r>
      <w:r w:rsidRPr="003032A0">
        <w:rPr>
          <w:szCs w:val="24"/>
        </w:rPr>
        <w:t xml:space="preserve"> - рецептор-активатор ядерного траскрипционного фактора NF-κB</w:t>
      </w:r>
    </w:p>
    <w:p w14:paraId="327922B4" w14:textId="77777777" w:rsidR="00A80BA6" w:rsidRDefault="00A80BA6" w:rsidP="00A80BA6">
      <w:pPr>
        <w:spacing w:before="0" w:after="0"/>
        <w:contextualSpacing/>
        <w:rPr>
          <w:szCs w:val="24"/>
        </w:rPr>
      </w:pPr>
      <w:r w:rsidRPr="003032A0">
        <w:rPr>
          <w:b/>
          <w:szCs w:val="24"/>
        </w:rPr>
        <w:t>RANKL</w:t>
      </w:r>
      <w:r w:rsidRPr="003032A0">
        <w:rPr>
          <w:szCs w:val="24"/>
        </w:rPr>
        <w:t xml:space="preserve"> – лиганд рецептора-активатора ядерного траскрипционного фактора NF-κB</w:t>
      </w:r>
    </w:p>
    <w:p w14:paraId="6C351879" w14:textId="77777777" w:rsidR="00A80BA6" w:rsidRPr="00F242DD" w:rsidRDefault="00A80BA6" w:rsidP="00A80BA6">
      <w:pPr>
        <w:spacing w:before="0" w:after="0"/>
        <w:contextualSpacing/>
        <w:rPr>
          <w:rFonts w:eastAsia="Times New Roman"/>
          <w:szCs w:val="24"/>
        </w:rPr>
      </w:pPr>
      <w:r w:rsidRPr="00F242DD">
        <w:rPr>
          <w:rFonts w:eastAsia="Times New Roman"/>
          <w:b/>
          <w:szCs w:val="24"/>
        </w:rPr>
        <w:t xml:space="preserve">RCD </w:t>
      </w:r>
      <w:r w:rsidRPr="00F242DD">
        <w:rPr>
          <w:rFonts w:eastAsia="Times New Roman"/>
          <w:szCs w:val="24"/>
          <w:lang w:eastAsia="ru-RU"/>
        </w:rPr>
        <w:t xml:space="preserve">– </w:t>
      </w:r>
      <w:r w:rsidRPr="00F242DD">
        <w:rPr>
          <w:szCs w:val="24"/>
        </w:rPr>
        <w:t xml:space="preserve">режим иммунохимиотерапии, включающий леналидомид**, циклофосфамид** и дексаметазон** </w:t>
      </w:r>
    </w:p>
    <w:p w14:paraId="4BF8DCEE" w14:textId="77777777" w:rsidR="00A80BA6" w:rsidRPr="00F242DD" w:rsidRDefault="00A80BA6" w:rsidP="00A80BA6">
      <w:pPr>
        <w:spacing w:before="0" w:after="0"/>
        <w:contextualSpacing/>
        <w:rPr>
          <w:rFonts w:eastAsia="Times New Roman"/>
          <w:szCs w:val="24"/>
        </w:rPr>
      </w:pPr>
      <w:r w:rsidRPr="00F242DD">
        <w:rPr>
          <w:rFonts w:eastAsia="Times New Roman"/>
          <w:b/>
          <w:szCs w:val="24"/>
        </w:rPr>
        <w:t xml:space="preserve">RCP </w:t>
      </w:r>
      <w:r w:rsidRPr="00F242DD">
        <w:rPr>
          <w:rFonts w:eastAsia="Times New Roman"/>
          <w:szCs w:val="24"/>
          <w:lang w:eastAsia="ru-RU"/>
        </w:rPr>
        <w:t xml:space="preserve">– </w:t>
      </w:r>
      <w:r w:rsidRPr="00F242DD">
        <w:rPr>
          <w:szCs w:val="24"/>
        </w:rPr>
        <w:t xml:space="preserve">режим иммунохимиотерапии, включающий ленадидомид**, циклофосфамид** и преднизолон** </w:t>
      </w:r>
    </w:p>
    <w:p w14:paraId="254083C9" w14:textId="77777777" w:rsidR="00A80BA6" w:rsidRPr="00F242DD" w:rsidRDefault="00A80BA6" w:rsidP="00A80BA6">
      <w:pPr>
        <w:spacing w:before="0" w:after="0"/>
        <w:contextualSpacing/>
        <w:rPr>
          <w:rFonts w:eastAsia="Times New Roman"/>
          <w:szCs w:val="24"/>
        </w:rPr>
      </w:pPr>
      <w:r w:rsidRPr="00F242DD">
        <w:rPr>
          <w:rFonts w:eastAsia="Times New Roman"/>
          <w:b/>
          <w:szCs w:val="24"/>
        </w:rPr>
        <w:t xml:space="preserve">Rd </w:t>
      </w:r>
      <w:r w:rsidRPr="00F242DD">
        <w:rPr>
          <w:rFonts w:eastAsia="Times New Roman"/>
          <w:szCs w:val="24"/>
          <w:lang w:eastAsia="ru-RU"/>
        </w:rPr>
        <w:t xml:space="preserve">– </w:t>
      </w:r>
      <w:r w:rsidRPr="00F242DD">
        <w:rPr>
          <w:szCs w:val="24"/>
        </w:rPr>
        <w:t xml:space="preserve">режим иммунохимиотерапии, включающий леналидомид** и дексаметазон** </w:t>
      </w:r>
    </w:p>
    <w:p w14:paraId="370C6A05" w14:textId="77777777" w:rsidR="00A80BA6" w:rsidRPr="00F242DD" w:rsidRDefault="00A80BA6" w:rsidP="00A80BA6">
      <w:pPr>
        <w:spacing w:before="0" w:after="0"/>
        <w:contextualSpacing/>
        <w:rPr>
          <w:rFonts w:eastAsia="Times New Roman"/>
          <w:szCs w:val="24"/>
          <w:lang w:eastAsia="ru-RU"/>
        </w:rPr>
      </w:pPr>
      <w:r w:rsidRPr="00F242DD">
        <w:rPr>
          <w:rFonts w:eastAsia="Times New Roman"/>
          <w:b/>
          <w:szCs w:val="24"/>
          <w:lang w:eastAsia="ru-RU"/>
        </w:rPr>
        <w:t>RD</w:t>
      </w:r>
      <w:r w:rsidRPr="00F242DD">
        <w:rPr>
          <w:rFonts w:eastAsia="Times New Roman"/>
          <w:szCs w:val="24"/>
          <w:lang w:eastAsia="ru-RU"/>
        </w:rPr>
        <w:t xml:space="preserve"> – </w:t>
      </w:r>
      <w:r w:rsidRPr="00F242DD">
        <w:rPr>
          <w:szCs w:val="24"/>
        </w:rPr>
        <w:t xml:space="preserve">режим иммунохимиотерапии, включающий леналидомид** и дексаметазон** </w:t>
      </w:r>
    </w:p>
    <w:p w14:paraId="724C1DE7" w14:textId="77777777" w:rsidR="00A80BA6" w:rsidRDefault="00A80BA6" w:rsidP="00A80BA6">
      <w:pPr>
        <w:spacing w:before="0" w:after="0"/>
        <w:contextualSpacing/>
        <w:rPr>
          <w:szCs w:val="24"/>
        </w:rPr>
      </w:pPr>
      <w:r w:rsidRPr="00F242DD">
        <w:rPr>
          <w:b/>
          <w:szCs w:val="24"/>
        </w:rPr>
        <w:t>R-ISS</w:t>
      </w:r>
      <w:r w:rsidRPr="00F242DD">
        <w:rPr>
          <w:szCs w:val="24"/>
        </w:rPr>
        <w:t xml:space="preserve"> – пересмотренная (revised) международная система стадирования</w:t>
      </w:r>
    </w:p>
    <w:p w14:paraId="6D2409D2" w14:textId="77777777" w:rsidR="00A80BA6" w:rsidRPr="008B4A92" w:rsidRDefault="00A80BA6" w:rsidP="00A80BA6">
      <w:pPr>
        <w:spacing w:before="0" w:after="0"/>
        <w:contextualSpacing/>
        <w:rPr>
          <w:szCs w:val="24"/>
          <w:lang w:val="en-US"/>
        </w:rPr>
      </w:pPr>
      <w:r w:rsidRPr="008B4A92">
        <w:rPr>
          <w:b/>
          <w:szCs w:val="24"/>
          <w:lang w:val="en-US"/>
        </w:rPr>
        <w:t>S. aureus</w:t>
      </w:r>
      <w:r w:rsidRPr="008B4A92">
        <w:rPr>
          <w:szCs w:val="24"/>
          <w:lang w:val="en-US"/>
        </w:rPr>
        <w:t xml:space="preserve"> – Staphylococcus aureus</w:t>
      </w:r>
    </w:p>
    <w:p w14:paraId="1A99B481" w14:textId="77777777" w:rsidR="00A80BA6" w:rsidRPr="008B4A92" w:rsidRDefault="00A80BA6" w:rsidP="00A80BA6">
      <w:pPr>
        <w:spacing w:before="0" w:after="0"/>
        <w:contextualSpacing/>
        <w:rPr>
          <w:szCs w:val="24"/>
          <w:lang w:val="en-US"/>
        </w:rPr>
      </w:pPr>
      <w:r w:rsidRPr="008B4A92">
        <w:rPr>
          <w:b/>
          <w:szCs w:val="24"/>
          <w:lang w:val="en-US"/>
        </w:rPr>
        <w:t>S. maltophilia</w:t>
      </w:r>
      <w:r w:rsidRPr="008B4A92">
        <w:rPr>
          <w:szCs w:val="24"/>
          <w:lang w:val="en-US"/>
        </w:rPr>
        <w:t xml:space="preserve"> – Stenotrophomonas maltophilia</w:t>
      </w:r>
    </w:p>
    <w:p w14:paraId="15AE6C0B" w14:textId="02F073AB" w:rsidR="00A80BA6" w:rsidRPr="00F242DD" w:rsidRDefault="00A80BA6" w:rsidP="00A80BA6">
      <w:pPr>
        <w:spacing w:before="0" w:after="0"/>
        <w:contextualSpacing/>
        <w:rPr>
          <w:szCs w:val="24"/>
        </w:rPr>
      </w:pPr>
      <w:r w:rsidRPr="00F242DD">
        <w:rPr>
          <w:rFonts w:eastAsia="Times New Roman"/>
          <w:b/>
          <w:szCs w:val="24"/>
          <w:lang w:eastAsia="ru-RU"/>
        </w:rPr>
        <w:t>VBAP</w:t>
      </w:r>
      <w:r w:rsidRPr="00F242DD">
        <w:rPr>
          <w:rFonts w:eastAsia="Times New Roman"/>
          <w:szCs w:val="24"/>
          <w:lang w:eastAsia="ru-RU"/>
        </w:rPr>
        <w:t xml:space="preserve"> – </w:t>
      </w:r>
      <w:r w:rsidRPr="00F242DD">
        <w:rPr>
          <w:szCs w:val="24"/>
        </w:rPr>
        <w:t xml:space="preserve">режим химиотерапии, включающий винкристин**, кармустин**, доксорубицин** и преднизолон** </w:t>
      </w:r>
    </w:p>
    <w:p w14:paraId="5F7397CB" w14:textId="5D921427" w:rsidR="00A80BA6" w:rsidRPr="00F242DD" w:rsidRDefault="00A80BA6" w:rsidP="00A80BA6">
      <w:pPr>
        <w:spacing w:before="0" w:after="0"/>
        <w:contextualSpacing/>
        <w:rPr>
          <w:szCs w:val="24"/>
        </w:rPr>
      </w:pPr>
      <w:r w:rsidRPr="00F242DD">
        <w:rPr>
          <w:rFonts w:eastAsia="Times New Roman"/>
          <w:b/>
          <w:szCs w:val="24"/>
          <w:lang w:eastAsia="ru-RU"/>
        </w:rPr>
        <w:t>VBMCP</w:t>
      </w:r>
      <w:r w:rsidRPr="00F242DD">
        <w:rPr>
          <w:rFonts w:eastAsia="Times New Roman"/>
          <w:szCs w:val="24"/>
          <w:lang w:eastAsia="ru-RU"/>
        </w:rPr>
        <w:t xml:space="preserve"> (M2) – </w:t>
      </w:r>
      <w:r w:rsidRPr="00F242DD">
        <w:rPr>
          <w:szCs w:val="24"/>
        </w:rPr>
        <w:t xml:space="preserve">режим химиотерапии, включающий винкристин**, кармустин**, мелфалан**, циклофосфамид** и преднизолон** </w:t>
      </w:r>
    </w:p>
    <w:p w14:paraId="7093309E" w14:textId="77777777" w:rsidR="00A80BA6" w:rsidRPr="00F242DD" w:rsidRDefault="00A80BA6" w:rsidP="00A80BA6">
      <w:pPr>
        <w:spacing w:before="0" w:after="0"/>
        <w:contextualSpacing/>
        <w:rPr>
          <w:rFonts w:eastAsia="Times New Roman"/>
          <w:szCs w:val="24"/>
          <w:lang w:eastAsia="ru-RU"/>
        </w:rPr>
      </w:pPr>
      <w:r w:rsidRPr="00F242DD">
        <w:rPr>
          <w:rFonts w:eastAsia="Times New Roman"/>
          <w:b/>
          <w:szCs w:val="24"/>
          <w:lang w:eastAsia="ru-RU"/>
        </w:rPr>
        <w:t>VCD</w:t>
      </w:r>
      <w:r w:rsidRPr="00F242DD">
        <w:rPr>
          <w:rFonts w:eastAsia="Times New Roman"/>
          <w:szCs w:val="24"/>
          <w:lang w:eastAsia="ru-RU"/>
        </w:rPr>
        <w:t xml:space="preserve"> – </w:t>
      </w:r>
      <w:r w:rsidRPr="00F242DD">
        <w:rPr>
          <w:szCs w:val="24"/>
        </w:rPr>
        <w:t xml:space="preserve">режим иммунохимиотерапии, включающий циклофосфамид**, бортезомиб** и дексаметазон** </w:t>
      </w:r>
    </w:p>
    <w:p w14:paraId="59BD107D" w14:textId="77777777" w:rsidR="00A80BA6" w:rsidRPr="00F242DD" w:rsidRDefault="00A80BA6" w:rsidP="00A80BA6">
      <w:pPr>
        <w:spacing w:before="0" w:after="0"/>
        <w:contextualSpacing/>
        <w:rPr>
          <w:rFonts w:eastAsia="Times New Roman"/>
          <w:szCs w:val="24"/>
          <w:lang w:eastAsia="ru-RU"/>
        </w:rPr>
      </w:pPr>
      <w:r w:rsidRPr="00F242DD">
        <w:rPr>
          <w:rFonts w:eastAsia="Times New Roman"/>
          <w:b/>
          <w:szCs w:val="24"/>
          <w:lang w:eastAsia="ru-RU"/>
        </w:rPr>
        <w:t>VCP</w:t>
      </w:r>
      <w:r w:rsidRPr="00F242DD">
        <w:rPr>
          <w:rFonts w:eastAsia="Times New Roman"/>
          <w:szCs w:val="24"/>
          <w:lang w:eastAsia="ru-RU"/>
        </w:rPr>
        <w:t xml:space="preserve"> – </w:t>
      </w:r>
      <w:r w:rsidRPr="00F242DD">
        <w:rPr>
          <w:szCs w:val="24"/>
        </w:rPr>
        <w:t xml:space="preserve">режим иммунохимиотерапии, включающий бортезомиб**, циклофосфамид** и преднизолон** </w:t>
      </w:r>
    </w:p>
    <w:p w14:paraId="452E6540" w14:textId="77777777" w:rsidR="00A80BA6" w:rsidRPr="00F242DD" w:rsidRDefault="00A80BA6" w:rsidP="00A80BA6">
      <w:pPr>
        <w:spacing w:before="0" w:after="0"/>
        <w:contextualSpacing/>
        <w:rPr>
          <w:rFonts w:eastAsia="Times New Roman"/>
          <w:szCs w:val="24"/>
          <w:lang w:eastAsia="ru-RU"/>
        </w:rPr>
      </w:pPr>
      <w:r w:rsidRPr="00F242DD">
        <w:rPr>
          <w:rFonts w:eastAsia="Times New Roman"/>
          <w:b/>
          <w:szCs w:val="24"/>
          <w:lang w:eastAsia="ru-RU"/>
        </w:rPr>
        <w:t>VD</w:t>
      </w:r>
      <w:r w:rsidRPr="00F242DD">
        <w:rPr>
          <w:rFonts w:eastAsia="Times New Roman"/>
          <w:szCs w:val="24"/>
          <w:lang w:eastAsia="ru-RU"/>
        </w:rPr>
        <w:t xml:space="preserve"> – </w:t>
      </w:r>
      <w:r w:rsidRPr="00F242DD">
        <w:rPr>
          <w:szCs w:val="24"/>
        </w:rPr>
        <w:t xml:space="preserve">режим иммунохимиотерапии, включающий бортезомиб** и дексаметазон** </w:t>
      </w:r>
    </w:p>
    <w:p w14:paraId="1FEF19ED" w14:textId="77777777" w:rsidR="00A80BA6" w:rsidRPr="00F242DD" w:rsidRDefault="00A80BA6" w:rsidP="00A80BA6">
      <w:pPr>
        <w:spacing w:before="0" w:after="0"/>
        <w:contextualSpacing/>
        <w:rPr>
          <w:szCs w:val="24"/>
        </w:rPr>
      </w:pPr>
      <w:r w:rsidRPr="00F242DD">
        <w:rPr>
          <w:rFonts w:eastAsia="Times New Roman"/>
          <w:b/>
          <w:szCs w:val="24"/>
          <w:lang w:eastAsia="ru-RU"/>
        </w:rPr>
        <w:t>VD-PACE</w:t>
      </w:r>
      <w:r w:rsidRPr="00F242DD">
        <w:rPr>
          <w:rFonts w:eastAsia="Times New Roman"/>
          <w:szCs w:val="24"/>
          <w:lang w:eastAsia="ru-RU"/>
        </w:rPr>
        <w:t xml:space="preserve"> – </w:t>
      </w:r>
      <w:r w:rsidRPr="00F242DD">
        <w:rPr>
          <w:szCs w:val="24"/>
        </w:rPr>
        <w:t xml:space="preserve">режим иммунохимиотерапии, включающий бортезомиб**, </w:t>
      </w:r>
      <w:r w:rsidRPr="00F242DD">
        <w:rPr>
          <w:color w:val="000000"/>
        </w:rPr>
        <w:t>#</w:t>
      </w:r>
      <w:r w:rsidRPr="00F242DD">
        <w:rPr>
          <w:szCs w:val="24"/>
        </w:rPr>
        <w:t xml:space="preserve">цисплатин**, доксорубицин**, циклофосфамид** и </w:t>
      </w:r>
      <w:r w:rsidRPr="00F242DD">
        <w:rPr>
          <w:color w:val="000000"/>
        </w:rPr>
        <w:t>#</w:t>
      </w:r>
      <w:r w:rsidRPr="00F242DD">
        <w:rPr>
          <w:szCs w:val="24"/>
        </w:rPr>
        <w:t xml:space="preserve">этопозид** </w:t>
      </w:r>
    </w:p>
    <w:p w14:paraId="32C24C20" w14:textId="77777777" w:rsidR="00A80BA6" w:rsidRPr="00F242DD" w:rsidRDefault="00A80BA6" w:rsidP="00A80BA6">
      <w:pPr>
        <w:spacing w:before="0" w:after="0"/>
        <w:contextualSpacing/>
        <w:rPr>
          <w:rFonts w:eastAsia="Times New Roman"/>
          <w:szCs w:val="24"/>
          <w:lang w:eastAsia="ru-RU"/>
        </w:rPr>
      </w:pPr>
      <w:r w:rsidRPr="00F242DD">
        <w:rPr>
          <w:rFonts w:eastAsia="Times New Roman"/>
          <w:b/>
          <w:szCs w:val="24"/>
          <w:lang w:eastAsia="ru-RU"/>
        </w:rPr>
        <w:t>Vel + PLD</w:t>
      </w:r>
      <w:r w:rsidRPr="00F242DD">
        <w:rPr>
          <w:rFonts w:eastAsia="Times New Roman"/>
          <w:szCs w:val="24"/>
          <w:lang w:eastAsia="ru-RU"/>
        </w:rPr>
        <w:t xml:space="preserve"> – </w:t>
      </w:r>
      <w:r w:rsidRPr="00F242DD">
        <w:rPr>
          <w:szCs w:val="24"/>
        </w:rPr>
        <w:t xml:space="preserve">режим иммунохимиотерапии, включающий бортезомиб** и </w:t>
      </w:r>
      <w:r w:rsidRPr="005A6202">
        <w:rPr>
          <w:szCs w:val="24"/>
        </w:rPr>
        <w:t>пегилированный липосомальный доксорубицин**</w:t>
      </w:r>
      <w:r w:rsidRPr="00F242DD">
        <w:rPr>
          <w:szCs w:val="24"/>
        </w:rPr>
        <w:t xml:space="preserve"> </w:t>
      </w:r>
    </w:p>
    <w:p w14:paraId="62EF35D9" w14:textId="77777777" w:rsidR="00A80BA6" w:rsidRPr="00F242DD" w:rsidRDefault="00A80BA6" w:rsidP="00A80BA6">
      <w:pPr>
        <w:spacing w:before="0" w:after="0"/>
        <w:contextualSpacing/>
        <w:rPr>
          <w:rFonts w:eastAsia="Times New Roman"/>
          <w:szCs w:val="24"/>
          <w:lang w:eastAsia="ru-RU"/>
        </w:rPr>
      </w:pPr>
      <w:r w:rsidRPr="00F242DD">
        <w:rPr>
          <w:rFonts w:eastAsia="Times New Roman"/>
          <w:b/>
          <w:szCs w:val="24"/>
          <w:lang w:eastAsia="ru-RU"/>
        </w:rPr>
        <w:t>VMCP</w:t>
      </w:r>
      <w:r w:rsidRPr="00F242DD">
        <w:rPr>
          <w:rFonts w:eastAsia="Times New Roman"/>
          <w:szCs w:val="24"/>
          <w:lang w:eastAsia="ru-RU"/>
        </w:rPr>
        <w:t xml:space="preserve"> – </w:t>
      </w:r>
      <w:r w:rsidRPr="00F242DD">
        <w:rPr>
          <w:szCs w:val="24"/>
        </w:rPr>
        <w:t xml:space="preserve">режим иммунохимиотерапии, включающий винкристин**, мелфалан**, циклофосфамид** и преднизолон** </w:t>
      </w:r>
    </w:p>
    <w:p w14:paraId="0DF1B7F4" w14:textId="77777777" w:rsidR="00A80BA6" w:rsidRPr="00F242DD" w:rsidRDefault="00A80BA6" w:rsidP="00A80BA6">
      <w:pPr>
        <w:spacing w:before="0" w:after="0"/>
        <w:contextualSpacing/>
        <w:rPr>
          <w:rFonts w:eastAsia="Times New Roman"/>
          <w:szCs w:val="24"/>
          <w:lang w:eastAsia="ru-RU"/>
        </w:rPr>
      </w:pPr>
      <w:r w:rsidRPr="00F242DD">
        <w:rPr>
          <w:rFonts w:eastAsia="Times New Roman"/>
          <w:b/>
          <w:szCs w:val="24"/>
          <w:lang w:eastAsia="ru-RU"/>
        </w:rPr>
        <w:t>VMP</w:t>
      </w:r>
      <w:r w:rsidRPr="00F242DD">
        <w:rPr>
          <w:rFonts w:eastAsia="Times New Roman"/>
          <w:szCs w:val="24"/>
          <w:lang w:eastAsia="ru-RU"/>
        </w:rPr>
        <w:t xml:space="preserve"> – </w:t>
      </w:r>
      <w:r w:rsidRPr="00F242DD">
        <w:rPr>
          <w:szCs w:val="24"/>
        </w:rPr>
        <w:t xml:space="preserve">режим иммунохимиотерапии, включающий мелфалан**, бортезомиб** и преднизолон** </w:t>
      </w:r>
    </w:p>
    <w:p w14:paraId="0D2AB142" w14:textId="77777777" w:rsidR="00A80BA6" w:rsidRPr="00F242DD" w:rsidRDefault="00A80BA6" w:rsidP="00A80BA6">
      <w:pPr>
        <w:spacing w:before="0" w:after="0"/>
        <w:contextualSpacing/>
        <w:rPr>
          <w:rFonts w:eastAsia="Times New Roman"/>
          <w:szCs w:val="24"/>
          <w:lang w:eastAsia="ru-RU"/>
        </w:rPr>
      </w:pPr>
      <w:r w:rsidRPr="00F242DD">
        <w:rPr>
          <w:rFonts w:eastAsia="Times New Roman"/>
          <w:b/>
          <w:szCs w:val="24"/>
          <w:lang w:eastAsia="ru-RU"/>
        </w:rPr>
        <w:t xml:space="preserve">VRD </w:t>
      </w:r>
      <w:r w:rsidRPr="00F242DD">
        <w:rPr>
          <w:rFonts w:eastAsia="Times New Roman"/>
          <w:szCs w:val="24"/>
          <w:lang w:eastAsia="ru-RU"/>
        </w:rPr>
        <w:t xml:space="preserve">– </w:t>
      </w:r>
      <w:r w:rsidRPr="00F242DD">
        <w:rPr>
          <w:szCs w:val="24"/>
        </w:rPr>
        <w:t xml:space="preserve">режим иммунохимиотерапии, включающий леналидомид**, бортезомиб** и дексаметазон** </w:t>
      </w:r>
    </w:p>
    <w:p w14:paraId="39DEEB7F" w14:textId="77777777" w:rsidR="00A80BA6" w:rsidRPr="003B17F2" w:rsidRDefault="00A80BA6" w:rsidP="00A80BA6">
      <w:pPr>
        <w:spacing w:before="0" w:after="0"/>
        <w:contextualSpacing/>
        <w:rPr>
          <w:szCs w:val="24"/>
        </w:rPr>
      </w:pPr>
      <w:r w:rsidRPr="003B17F2">
        <w:rPr>
          <w:b/>
          <w:szCs w:val="24"/>
        </w:rPr>
        <w:t xml:space="preserve">АВК </w:t>
      </w:r>
      <w:r w:rsidRPr="003B17F2">
        <w:rPr>
          <w:szCs w:val="24"/>
        </w:rPr>
        <w:t xml:space="preserve">– антагонисты витамина К </w:t>
      </w:r>
    </w:p>
    <w:p w14:paraId="37FD3BA8" w14:textId="77777777" w:rsidR="00A80BA6" w:rsidRPr="009A6A00" w:rsidRDefault="00A80BA6" w:rsidP="00A80BA6">
      <w:pPr>
        <w:spacing w:before="0" w:after="0"/>
        <w:contextualSpacing/>
        <w:rPr>
          <w:szCs w:val="24"/>
        </w:rPr>
      </w:pPr>
      <w:r w:rsidRPr="009A6A00">
        <w:rPr>
          <w:b/>
          <w:szCs w:val="24"/>
        </w:rPr>
        <w:lastRenderedPageBreak/>
        <w:t>АВТ</w:t>
      </w:r>
      <w:r w:rsidRPr="009A6A00">
        <w:rPr>
          <w:szCs w:val="24"/>
        </w:rPr>
        <w:t xml:space="preserve"> – абдоминальные венозные тромбозы </w:t>
      </w:r>
    </w:p>
    <w:p w14:paraId="08E671AE" w14:textId="77777777" w:rsidR="00A80BA6" w:rsidRDefault="00A80BA6" w:rsidP="00A80BA6">
      <w:pPr>
        <w:spacing w:before="0" w:after="0"/>
        <w:contextualSpacing/>
        <w:rPr>
          <w:szCs w:val="24"/>
        </w:rPr>
      </w:pPr>
      <w:r w:rsidRPr="009A6A00">
        <w:rPr>
          <w:b/>
          <w:szCs w:val="24"/>
        </w:rPr>
        <w:t xml:space="preserve">аГУС </w:t>
      </w:r>
      <w:r w:rsidRPr="009A6A00">
        <w:rPr>
          <w:szCs w:val="24"/>
        </w:rPr>
        <w:t>– атипичный гемолитико-уремический синдром</w:t>
      </w:r>
    </w:p>
    <w:p w14:paraId="0BA3C4EE" w14:textId="77777777" w:rsidR="00A80BA6" w:rsidRDefault="00A80BA6" w:rsidP="00A80BA6">
      <w:pPr>
        <w:spacing w:before="0" w:after="0"/>
        <w:contextualSpacing/>
        <w:rPr>
          <w:szCs w:val="24"/>
        </w:rPr>
      </w:pPr>
      <w:r w:rsidRPr="009A6A00">
        <w:rPr>
          <w:b/>
          <w:szCs w:val="24"/>
        </w:rPr>
        <w:t>АПТ</w:t>
      </w:r>
      <w:r w:rsidRPr="009A6A00">
        <w:rPr>
          <w:szCs w:val="24"/>
        </w:rPr>
        <w:t xml:space="preserve"> – абсолютный прирост тромбоцитов</w:t>
      </w:r>
    </w:p>
    <w:p w14:paraId="24C69217" w14:textId="77777777" w:rsidR="00A80BA6" w:rsidRDefault="00A80BA6" w:rsidP="00A80BA6">
      <w:pPr>
        <w:spacing w:before="0" w:after="0"/>
        <w:contextualSpacing/>
        <w:rPr>
          <w:szCs w:val="24"/>
        </w:rPr>
      </w:pPr>
      <w:r w:rsidRPr="003B17F2">
        <w:rPr>
          <w:b/>
          <w:szCs w:val="24"/>
        </w:rPr>
        <w:t>АТ III</w:t>
      </w:r>
      <w:r w:rsidRPr="003B17F2">
        <w:rPr>
          <w:szCs w:val="24"/>
        </w:rPr>
        <w:t xml:space="preserve"> – антитромбин III</w:t>
      </w:r>
    </w:p>
    <w:p w14:paraId="70DF3599" w14:textId="77777777" w:rsidR="00A80BA6" w:rsidRDefault="00A80BA6" w:rsidP="00A80BA6">
      <w:pPr>
        <w:spacing w:before="0" w:after="0"/>
        <w:contextualSpacing/>
        <w:rPr>
          <w:szCs w:val="24"/>
        </w:rPr>
      </w:pPr>
      <w:r w:rsidRPr="00F242DD">
        <w:rPr>
          <w:b/>
          <w:szCs w:val="24"/>
        </w:rPr>
        <w:t>Ауто-ТГСК</w:t>
      </w:r>
      <w:r w:rsidRPr="00F242DD">
        <w:rPr>
          <w:szCs w:val="24"/>
        </w:rPr>
        <w:t xml:space="preserve"> – трансплантация аутологичных гемопоэтических стволовых клеток</w:t>
      </w:r>
    </w:p>
    <w:p w14:paraId="3E182618" w14:textId="77777777" w:rsidR="00A80BA6" w:rsidRPr="003B17F2" w:rsidRDefault="00A80BA6" w:rsidP="00A80BA6">
      <w:pPr>
        <w:spacing w:before="0" w:after="0"/>
        <w:contextualSpacing/>
        <w:rPr>
          <w:szCs w:val="24"/>
        </w:rPr>
      </w:pPr>
      <w:r w:rsidRPr="003B17F2">
        <w:rPr>
          <w:b/>
          <w:szCs w:val="24"/>
        </w:rPr>
        <w:t>АЧТВ</w:t>
      </w:r>
      <w:r w:rsidRPr="003B17F2">
        <w:rPr>
          <w:szCs w:val="24"/>
        </w:rPr>
        <w:t xml:space="preserve"> – активированное частичное тромбопластиновое время </w:t>
      </w:r>
    </w:p>
    <w:p w14:paraId="3F7A35C5" w14:textId="77777777" w:rsidR="00A80BA6" w:rsidRPr="00F960E7" w:rsidRDefault="00A80BA6" w:rsidP="00A80BA6">
      <w:pPr>
        <w:spacing w:before="0" w:after="0"/>
        <w:contextualSpacing/>
        <w:rPr>
          <w:szCs w:val="24"/>
        </w:rPr>
      </w:pPr>
      <w:r w:rsidRPr="00F960E7">
        <w:rPr>
          <w:b/>
          <w:szCs w:val="24"/>
        </w:rPr>
        <w:t>БАЛ</w:t>
      </w:r>
      <w:r w:rsidRPr="00F960E7">
        <w:rPr>
          <w:szCs w:val="24"/>
        </w:rPr>
        <w:t xml:space="preserve"> – бронхоальвеолярный лаваж</w:t>
      </w:r>
    </w:p>
    <w:p w14:paraId="4E6D923E" w14:textId="77777777" w:rsidR="00A80BA6" w:rsidRPr="00F242DD" w:rsidRDefault="00A80BA6" w:rsidP="00A80BA6">
      <w:pPr>
        <w:spacing w:before="0" w:after="0"/>
        <w:contextualSpacing/>
        <w:rPr>
          <w:szCs w:val="24"/>
        </w:rPr>
      </w:pPr>
      <w:r w:rsidRPr="00F960E7">
        <w:rPr>
          <w:b/>
          <w:szCs w:val="24"/>
        </w:rPr>
        <w:t>БЛРС</w:t>
      </w:r>
      <w:r w:rsidRPr="00F960E7">
        <w:rPr>
          <w:szCs w:val="24"/>
        </w:rPr>
        <w:t xml:space="preserve"> – β-лактамазы расширенного спектра</w:t>
      </w:r>
    </w:p>
    <w:p w14:paraId="5C903FE5" w14:textId="77777777" w:rsidR="00A80BA6" w:rsidRPr="00F242DD" w:rsidRDefault="00A80BA6" w:rsidP="00A80BA6">
      <w:pPr>
        <w:spacing w:before="0" w:after="0"/>
        <w:contextualSpacing/>
        <w:rPr>
          <w:szCs w:val="24"/>
        </w:rPr>
      </w:pPr>
      <w:r w:rsidRPr="00F242DD">
        <w:rPr>
          <w:b/>
          <w:szCs w:val="24"/>
        </w:rPr>
        <w:t>ВБП</w:t>
      </w:r>
      <w:r w:rsidRPr="00F242DD">
        <w:rPr>
          <w:szCs w:val="24"/>
        </w:rPr>
        <w:t xml:space="preserve"> – выживаемость без прогрессирования</w:t>
      </w:r>
    </w:p>
    <w:p w14:paraId="24F01932" w14:textId="77777777" w:rsidR="00A80BA6" w:rsidRPr="009A6A00" w:rsidRDefault="00A80BA6" w:rsidP="00A80BA6">
      <w:pPr>
        <w:spacing w:before="0" w:after="0"/>
        <w:contextualSpacing/>
        <w:rPr>
          <w:szCs w:val="24"/>
        </w:rPr>
      </w:pPr>
      <w:r w:rsidRPr="009A6A00">
        <w:rPr>
          <w:b/>
          <w:szCs w:val="24"/>
        </w:rPr>
        <w:t>ВВИГ</w:t>
      </w:r>
      <w:r w:rsidRPr="009A6A00">
        <w:rPr>
          <w:szCs w:val="24"/>
        </w:rPr>
        <w:t xml:space="preserve"> – внутривенный иммуноглобулин  </w:t>
      </w:r>
    </w:p>
    <w:p w14:paraId="2A03674F" w14:textId="77777777" w:rsidR="00A80BA6" w:rsidRPr="00F242DD" w:rsidRDefault="00A80BA6" w:rsidP="00A80BA6">
      <w:pPr>
        <w:spacing w:before="0" w:after="0"/>
        <w:contextualSpacing/>
        <w:rPr>
          <w:szCs w:val="24"/>
        </w:rPr>
      </w:pPr>
      <w:r w:rsidRPr="00F242DD">
        <w:rPr>
          <w:b/>
          <w:szCs w:val="24"/>
        </w:rPr>
        <w:t xml:space="preserve">ВДП </w:t>
      </w:r>
      <w:r w:rsidRPr="00F242DD">
        <w:rPr>
          <w:szCs w:val="24"/>
        </w:rPr>
        <w:t>– выживаемость до прогрессии</w:t>
      </w:r>
    </w:p>
    <w:p w14:paraId="5F9F1ADD" w14:textId="77777777" w:rsidR="00A80BA6" w:rsidRDefault="00A80BA6" w:rsidP="00A80BA6">
      <w:pPr>
        <w:spacing w:before="0" w:after="0"/>
        <w:contextualSpacing/>
        <w:rPr>
          <w:szCs w:val="24"/>
        </w:rPr>
      </w:pPr>
      <w:r w:rsidRPr="00F242DD">
        <w:rPr>
          <w:b/>
          <w:szCs w:val="24"/>
        </w:rPr>
        <w:t>ВДХТ</w:t>
      </w:r>
      <w:r w:rsidRPr="00F242DD">
        <w:rPr>
          <w:szCs w:val="24"/>
        </w:rPr>
        <w:t xml:space="preserve"> – высокодозная химиотерапия</w:t>
      </w:r>
    </w:p>
    <w:p w14:paraId="75D66FF7" w14:textId="77777777" w:rsidR="00A80BA6" w:rsidRDefault="00A80BA6" w:rsidP="00A80BA6">
      <w:pPr>
        <w:spacing w:before="0" w:after="0"/>
        <w:contextualSpacing/>
        <w:rPr>
          <w:szCs w:val="24"/>
        </w:rPr>
      </w:pPr>
      <w:r w:rsidRPr="00F242DD">
        <w:rPr>
          <w:b/>
          <w:szCs w:val="24"/>
        </w:rPr>
        <w:t xml:space="preserve">ВОЗ </w:t>
      </w:r>
      <w:r w:rsidRPr="00F242DD">
        <w:rPr>
          <w:szCs w:val="24"/>
        </w:rPr>
        <w:t>– Всемирная организация здравоохранения</w:t>
      </w:r>
    </w:p>
    <w:p w14:paraId="3E925536" w14:textId="77777777" w:rsidR="00A80BA6" w:rsidRDefault="00A80BA6" w:rsidP="00A80BA6">
      <w:pPr>
        <w:spacing w:before="0" w:after="0"/>
        <w:contextualSpacing/>
        <w:rPr>
          <w:szCs w:val="24"/>
        </w:rPr>
      </w:pPr>
      <w:r w:rsidRPr="005F2918">
        <w:rPr>
          <w:b/>
          <w:szCs w:val="24"/>
        </w:rPr>
        <w:t>ВПВ</w:t>
      </w:r>
      <w:r>
        <w:rPr>
          <w:szCs w:val="24"/>
        </w:rPr>
        <w:tab/>
        <w:t xml:space="preserve">– </w:t>
      </w:r>
      <w:r w:rsidRPr="005F2918">
        <w:rPr>
          <w:szCs w:val="24"/>
        </w:rPr>
        <w:t>верхняя полая вена</w:t>
      </w:r>
    </w:p>
    <w:p w14:paraId="0EDBC379" w14:textId="77777777" w:rsidR="00A80BA6" w:rsidRPr="005F2918" w:rsidRDefault="00A80BA6" w:rsidP="00A80BA6">
      <w:pPr>
        <w:spacing w:before="0" w:after="0"/>
        <w:contextualSpacing/>
        <w:rPr>
          <w:szCs w:val="24"/>
        </w:rPr>
      </w:pPr>
      <w:r w:rsidRPr="001114BA">
        <w:rPr>
          <w:b/>
          <w:szCs w:val="24"/>
        </w:rPr>
        <w:t>ВПГ</w:t>
      </w:r>
      <w:r w:rsidRPr="001114BA">
        <w:rPr>
          <w:szCs w:val="24"/>
        </w:rPr>
        <w:t xml:space="preserve"> – вирус простого герпеса</w:t>
      </w:r>
    </w:p>
    <w:p w14:paraId="1FE6BE0B" w14:textId="77777777" w:rsidR="00A80BA6" w:rsidRPr="00F242DD" w:rsidRDefault="00A80BA6" w:rsidP="00A80BA6">
      <w:pPr>
        <w:spacing w:before="0" w:after="0"/>
        <w:contextualSpacing/>
        <w:rPr>
          <w:szCs w:val="24"/>
        </w:rPr>
      </w:pPr>
      <w:r w:rsidRPr="009A6A00">
        <w:rPr>
          <w:b/>
          <w:szCs w:val="24"/>
        </w:rPr>
        <w:t>ВТЭО</w:t>
      </w:r>
      <w:r w:rsidRPr="009A6A00">
        <w:rPr>
          <w:szCs w:val="24"/>
        </w:rPr>
        <w:t xml:space="preserve"> – венозные тромбоэмболические осложнения</w:t>
      </w:r>
    </w:p>
    <w:p w14:paraId="7215719A" w14:textId="77777777" w:rsidR="00A80BA6" w:rsidRPr="00F242DD" w:rsidRDefault="00A80BA6" w:rsidP="00A80BA6">
      <w:pPr>
        <w:spacing w:before="0" w:after="0"/>
        <w:contextualSpacing/>
        <w:rPr>
          <w:szCs w:val="24"/>
        </w:rPr>
      </w:pPr>
      <w:r w:rsidRPr="005F2918">
        <w:rPr>
          <w:b/>
          <w:szCs w:val="24"/>
        </w:rPr>
        <w:t>ВЯВ</w:t>
      </w:r>
      <w:r>
        <w:rPr>
          <w:szCs w:val="24"/>
        </w:rPr>
        <w:tab/>
        <w:t xml:space="preserve">– </w:t>
      </w:r>
      <w:r w:rsidRPr="005F2918">
        <w:rPr>
          <w:szCs w:val="24"/>
        </w:rPr>
        <w:t>внутренняя яремная вена</w:t>
      </w:r>
    </w:p>
    <w:p w14:paraId="3BB41755" w14:textId="77777777" w:rsidR="00A80BA6" w:rsidRDefault="00A80BA6" w:rsidP="00A80BA6">
      <w:pPr>
        <w:spacing w:before="0" w:after="0"/>
        <w:contextualSpacing/>
        <w:rPr>
          <w:szCs w:val="24"/>
        </w:rPr>
      </w:pPr>
      <w:r w:rsidRPr="009A6A00">
        <w:rPr>
          <w:b/>
          <w:szCs w:val="24"/>
        </w:rPr>
        <w:t>ГИТ</w:t>
      </w:r>
      <w:r w:rsidRPr="009A6A00">
        <w:rPr>
          <w:szCs w:val="24"/>
        </w:rPr>
        <w:t xml:space="preserve"> – гепарин-индуцированная тромбоцитопения  </w:t>
      </w:r>
    </w:p>
    <w:p w14:paraId="06EFF16C" w14:textId="77777777" w:rsidR="00A80BA6" w:rsidRDefault="00A80BA6" w:rsidP="00A80BA6">
      <w:pPr>
        <w:spacing w:before="0" w:after="0"/>
        <w:contextualSpacing/>
        <w:rPr>
          <w:szCs w:val="24"/>
        </w:rPr>
      </w:pPr>
      <w:r w:rsidRPr="003032A0">
        <w:rPr>
          <w:b/>
          <w:szCs w:val="24"/>
        </w:rPr>
        <w:t>ГКС</w:t>
      </w:r>
      <w:r w:rsidRPr="003032A0">
        <w:rPr>
          <w:szCs w:val="24"/>
        </w:rPr>
        <w:t xml:space="preserve"> – глюкокортикостероиды</w:t>
      </w:r>
    </w:p>
    <w:p w14:paraId="3E0D7209" w14:textId="77777777" w:rsidR="00A80BA6" w:rsidRPr="00F242DD" w:rsidRDefault="00A80BA6" w:rsidP="00A80BA6">
      <w:pPr>
        <w:spacing w:before="0" w:after="0"/>
        <w:contextualSpacing/>
        <w:rPr>
          <w:szCs w:val="24"/>
        </w:rPr>
      </w:pPr>
      <w:r w:rsidRPr="00F242DD">
        <w:rPr>
          <w:b/>
          <w:szCs w:val="24"/>
        </w:rPr>
        <w:t xml:space="preserve">Г-КСФ** </w:t>
      </w:r>
      <w:r w:rsidRPr="00F242DD">
        <w:rPr>
          <w:szCs w:val="24"/>
        </w:rPr>
        <w:t>– рекомбинантный человеческий гранулоцитарный колониестимулирующий фактор</w:t>
      </w:r>
    </w:p>
    <w:p w14:paraId="24DC86C8" w14:textId="77777777" w:rsidR="00A80BA6" w:rsidRDefault="00A80BA6" w:rsidP="00A80BA6">
      <w:pPr>
        <w:spacing w:before="0" w:after="0"/>
        <w:contextualSpacing/>
        <w:rPr>
          <w:szCs w:val="24"/>
        </w:rPr>
      </w:pPr>
      <w:r w:rsidRPr="00F242DD">
        <w:rPr>
          <w:b/>
          <w:szCs w:val="24"/>
        </w:rPr>
        <w:t>ГСК</w:t>
      </w:r>
      <w:r w:rsidRPr="00F242DD">
        <w:rPr>
          <w:szCs w:val="24"/>
        </w:rPr>
        <w:t xml:space="preserve"> – гемопоэтические стволовые клетки </w:t>
      </w:r>
    </w:p>
    <w:p w14:paraId="3B2B7362" w14:textId="77777777" w:rsidR="00A80BA6" w:rsidRDefault="00A80BA6" w:rsidP="00A80BA6">
      <w:pPr>
        <w:spacing w:before="0" w:after="0"/>
        <w:contextualSpacing/>
        <w:rPr>
          <w:szCs w:val="24"/>
        </w:rPr>
      </w:pPr>
      <w:r w:rsidRPr="003B17F2">
        <w:rPr>
          <w:b/>
          <w:szCs w:val="24"/>
        </w:rPr>
        <w:t>ДВС-синдром</w:t>
      </w:r>
      <w:r w:rsidRPr="003B17F2">
        <w:rPr>
          <w:szCs w:val="24"/>
        </w:rPr>
        <w:t xml:space="preserve"> – синдром диссеминированного свертывания крови</w:t>
      </w:r>
    </w:p>
    <w:p w14:paraId="0CF65072" w14:textId="77777777" w:rsidR="00A80BA6" w:rsidRDefault="00A80BA6" w:rsidP="00A80BA6">
      <w:pPr>
        <w:spacing w:before="0" w:after="0"/>
        <w:contextualSpacing/>
        <w:rPr>
          <w:szCs w:val="24"/>
        </w:rPr>
      </w:pPr>
      <w:r w:rsidRPr="00CF7D7E">
        <w:rPr>
          <w:b/>
          <w:szCs w:val="24"/>
        </w:rPr>
        <w:t>ДНК</w:t>
      </w:r>
      <w:r w:rsidRPr="00CF7D7E">
        <w:rPr>
          <w:szCs w:val="24"/>
        </w:rPr>
        <w:t xml:space="preserve"> – дезоксирибонуклеиновая кислота</w:t>
      </w:r>
    </w:p>
    <w:p w14:paraId="6078D0B9" w14:textId="77777777" w:rsidR="00A80BA6" w:rsidRDefault="00A80BA6" w:rsidP="00A80BA6">
      <w:pPr>
        <w:spacing w:before="0" w:after="0"/>
        <w:contextualSpacing/>
        <w:rPr>
          <w:szCs w:val="24"/>
        </w:rPr>
      </w:pPr>
      <w:r w:rsidRPr="003032A0">
        <w:rPr>
          <w:b/>
          <w:szCs w:val="24"/>
        </w:rPr>
        <w:t>ДПИД</w:t>
      </w:r>
      <w:r w:rsidRPr="003032A0">
        <w:rPr>
          <w:szCs w:val="24"/>
        </w:rPr>
        <w:t xml:space="preserve"> – дезоксипиридинолин, продукт деградации коллагена, специфический маркер резорбции кости</w:t>
      </w:r>
    </w:p>
    <w:p w14:paraId="15EC2299" w14:textId="77777777" w:rsidR="00A80BA6" w:rsidRDefault="00A80BA6" w:rsidP="00A80BA6">
      <w:pPr>
        <w:spacing w:before="0" w:after="0"/>
        <w:contextualSpacing/>
        <w:rPr>
          <w:szCs w:val="24"/>
        </w:rPr>
      </w:pPr>
      <w:r w:rsidRPr="003B17F2">
        <w:rPr>
          <w:b/>
          <w:szCs w:val="24"/>
        </w:rPr>
        <w:t>ЖКК</w:t>
      </w:r>
      <w:r w:rsidRPr="003B17F2">
        <w:rPr>
          <w:szCs w:val="24"/>
        </w:rPr>
        <w:t xml:space="preserve"> – желудочно-кишечное кровотечение</w:t>
      </w:r>
    </w:p>
    <w:p w14:paraId="1EF815CF" w14:textId="77777777" w:rsidR="00A80BA6" w:rsidRDefault="00A80BA6" w:rsidP="00A80BA6">
      <w:pPr>
        <w:spacing w:before="0" w:after="0"/>
        <w:contextualSpacing/>
        <w:rPr>
          <w:szCs w:val="24"/>
        </w:rPr>
      </w:pPr>
      <w:r w:rsidRPr="000039C3">
        <w:rPr>
          <w:b/>
          <w:szCs w:val="24"/>
        </w:rPr>
        <w:t>ЖКТ</w:t>
      </w:r>
      <w:r w:rsidRPr="000039C3">
        <w:rPr>
          <w:szCs w:val="24"/>
        </w:rPr>
        <w:t xml:space="preserve"> - желудочно-кишечный тракт</w:t>
      </w:r>
    </w:p>
    <w:p w14:paraId="2E6971F4" w14:textId="77777777" w:rsidR="00A80BA6" w:rsidRDefault="00A80BA6" w:rsidP="00A80BA6">
      <w:pPr>
        <w:spacing w:before="0" w:after="0"/>
        <w:contextualSpacing/>
        <w:rPr>
          <w:szCs w:val="24"/>
        </w:rPr>
      </w:pPr>
      <w:r w:rsidRPr="009A6A00">
        <w:rPr>
          <w:b/>
          <w:szCs w:val="24"/>
        </w:rPr>
        <w:t>ИМТ</w:t>
      </w:r>
      <w:r w:rsidRPr="009A6A00">
        <w:rPr>
          <w:szCs w:val="24"/>
        </w:rPr>
        <w:t xml:space="preserve"> – индекс массы тела  </w:t>
      </w:r>
    </w:p>
    <w:p w14:paraId="1E45699F" w14:textId="77777777" w:rsidR="00A80BA6" w:rsidRDefault="00A80BA6" w:rsidP="00A80BA6">
      <w:pPr>
        <w:spacing w:before="0" w:after="0"/>
      </w:pPr>
      <w:r w:rsidRPr="003B17F2">
        <w:rPr>
          <w:b/>
        </w:rPr>
        <w:t>ИПП</w:t>
      </w:r>
      <w:r w:rsidRPr="003B17F2">
        <w:t xml:space="preserve"> - ингибиторы протоновой помпы</w:t>
      </w:r>
    </w:p>
    <w:p w14:paraId="67F1B347" w14:textId="77777777" w:rsidR="00A80BA6" w:rsidRDefault="00A80BA6" w:rsidP="00A80BA6">
      <w:pPr>
        <w:spacing w:before="0" w:after="0"/>
      </w:pPr>
      <w:r w:rsidRPr="00EC5BD0">
        <w:rPr>
          <w:b/>
        </w:rPr>
        <w:t>ИТ</w:t>
      </w:r>
      <w:r>
        <w:t xml:space="preserve"> – инфузионная терапия </w:t>
      </w:r>
    </w:p>
    <w:p w14:paraId="3E77A5AD" w14:textId="77777777" w:rsidR="00A80BA6" w:rsidRPr="009A6A00" w:rsidRDefault="00A80BA6" w:rsidP="00A80BA6">
      <w:pPr>
        <w:spacing w:before="0" w:after="0"/>
        <w:contextualSpacing/>
        <w:rPr>
          <w:szCs w:val="24"/>
        </w:rPr>
      </w:pPr>
      <w:r w:rsidRPr="009A6A00">
        <w:rPr>
          <w:b/>
          <w:szCs w:val="24"/>
        </w:rPr>
        <w:t xml:space="preserve">ИТП </w:t>
      </w:r>
      <w:r w:rsidRPr="009A6A00">
        <w:rPr>
          <w:szCs w:val="24"/>
        </w:rPr>
        <w:t xml:space="preserve">– иммунная тромбоцитопения </w:t>
      </w:r>
    </w:p>
    <w:p w14:paraId="0F1BB37E" w14:textId="77777777" w:rsidR="00A80BA6" w:rsidRPr="00F20457" w:rsidRDefault="00A80BA6" w:rsidP="00A80BA6">
      <w:pPr>
        <w:spacing w:before="0" w:after="0"/>
        <w:contextualSpacing/>
        <w:rPr>
          <w:rFonts w:eastAsia="Times New Roman"/>
          <w:szCs w:val="24"/>
        </w:rPr>
      </w:pPr>
      <w:r w:rsidRPr="00F242DD">
        <w:rPr>
          <w:rFonts w:eastAsia="Times New Roman"/>
          <w:b/>
          <w:szCs w:val="24"/>
        </w:rPr>
        <w:t>К</w:t>
      </w:r>
      <w:r w:rsidRPr="00F242DD">
        <w:rPr>
          <w:rFonts w:eastAsia="Times New Roman"/>
          <w:b/>
          <w:szCs w:val="24"/>
          <w:lang w:val="en-US"/>
        </w:rPr>
        <w:t>d</w:t>
      </w:r>
      <w:r w:rsidRPr="00F20457">
        <w:rPr>
          <w:rFonts w:eastAsia="Times New Roman"/>
          <w:b/>
          <w:szCs w:val="24"/>
        </w:rPr>
        <w:t xml:space="preserve"> </w:t>
      </w:r>
      <w:r w:rsidRPr="00F20457">
        <w:rPr>
          <w:rFonts w:eastAsia="Times New Roman"/>
          <w:szCs w:val="24"/>
          <w:lang w:eastAsia="ru-RU"/>
        </w:rPr>
        <w:t xml:space="preserve">– </w:t>
      </w:r>
      <w:r w:rsidRPr="00F242DD">
        <w:rPr>
          <w:szCs w:val="24"/>
        </w:rPr>
        <w:t>режим</w:t>
      </w:r>
      <w:r w:rsidRPr="00F20457">
        <w:rPr>
          <w:szCs w:val="24"/>
        </w:rPr>
        <w:t xml:space="preserve"> </w:t>
      </w:r>
      <w:r w:rsidRPr="00F242DD">
        <w:rPr>
          <w:szCs w:val="24"/>
        </w:rPr>
        <w:t>иммунохимиотерапии</w:t>
      </w:r>
      <w:r w:rsidRPr="00F20457">
        <w:rPr>
          <w:szCs w:val="24"/>
        </w:rPr>
        <w:t xml:space="preserve">, </w:t>
      </w:r>
      <w:r w:rsidRPr="00F242DD">
        <w:rPr>
          <w:szCs w:val="24"/>
        </w:rPr>
        <w:t>включающий</w:t>
      </w:r>
      <w:r w:rsidRPr="00F20457">
        <w:rPr>
          <w:szCs w:val="24"/>
        </w:rPr>
        <w:t xml:space="preserve"> </w:t>
      </w:r>
      <w:r w:rsidRPr="00F242DD">
        <w:rPr>
          <w:szCs w:val="24"/>
        </w:rPr>
        <w:t>карфилзомиб</w:t>
      </w:r>
      <w:r w:rsidRPr="00F20457">
        <w:rPr>
          <w:szCs w:val="24"/>
        </w:rPr>
        <w:t xml:space="preserve">** </w:t>
      </w:r>
      <w:r w:rsidRPr="00F242DD">
        <w:rPr>
          <w:szCs w:val="24"/>
        </w:rPr>
        <w:t>и</w:t>
      </w:r>
      <w:r w:rsidRPr="00F20457">
        <w:rPr>
          <w:szCs w:val="24"/>
        </w:rPr>
        <w:t xml:space="preserve"> </w:t>
      </w:r>
      <w:r w:rsidRPr="00F242DD">
        <w:rPr>
          <w:szCs w:val="24"/>
        </w:rPr>
        <w:t>дексаметазон</w:t>
      </w:r>
      <w:r w:rsidRPr="00F20457">
        <w:rPr>
          <w:szCs w:val="24"/>
        </w:rPr>
        <w:t xml:space="preserve">** </w:t>
      </w:r>
    </w:p>
    <w:p w14:paraId="34C1B3DA" w14:textId="77777777" w:rsidR="00A80BA6" w:rsidRDefault="00A80BA6" w:rsidP="00A80BA6">
      <w:pPr>
        <w:spacing w:before="0" w:after="0"/>
      </w:pPr>
      <w:r>
        <w:rPr>
          <w:b/>
        </w:rPr>
        <w:t xml:space="preserve">КАИК </w:t>
      </w:r>
      <w:r>
        <w:t>– катетер-ассоциированная инфекция крови</w:t>
      </w:r>
    </w:p>
    <w:p w14:paraId="061D8C30" w14:textId="77777777" w:rsidR="00A80BA6" w:rsidRDefault="00A80BA6" w:rsidP="00A80BA6">
      <w:pPr>
        <w:spacing w:before="0" w:after="0"/>
      </w:pPr>
      <w:r w:rsidRPr="0096645F">
        <w:rPr>
          <w:b/>
        </w:rPr>
        <w:lastRenderedPageBreak/>
        <w:t>КАС</w:t>
      </w:r>
      <w:r>
        <w:tab/>
        <w:t>– катетер-ассоциированный стеноз</w:t>
      </w:r>
    </w:p>
    <w:p w14:paraId="3697C6AF" w14:textId="77777777" w:rsidR="00A80BA6" w:rsidRDefault="00A80BA6" w:rsidP="00A80BA6">
      <w:pPr>
        <w:spacing w:before="0" w:after="0"/>
      </w:pPr>
      <w:r w:rsidRPr="0096645F">
        <w:rPr>
          <w:b/>
        </w:rPr>
        <w:t>КАТ</w:t>
      </w:r>
      <w:r>
        <w:tab/>
        <w:t>– катетер-ассоциированный тромбоз</w:t>
      </w:r>
    </w:p>
    <w:p w14:paraId="77ADF8B8" w14:textId="77777777" w:rsidR="00A80BA6" w:rsidRDefault="00A80BA6" w:rsidP="00A80BA6">
      <w:pPr>
        <w:spacing w:before="0" w:after="0"/>
      </w:pPr>
      <w:r w:rsidRPr="00F960E7">
        <w:rPr>
          <w:b/>
        </w:rPr>
        <w:t>КОЕ</w:t>
      </w:r>
      <w:r w:rsidRPr="00F960E7">
        <w:t xml:space="preserve"> – колониеобразующая единица</w:t>
      </w:r>
    </w:p>
    <w:p w14:paraId="682BA02E" w14:textId="77777777" w:rsidR="00A80BA6" w:rsidRPr="00F242DD" w:rsidRDefault="00A80BA6" w:rsidP="00A80BA6">
      <w:pPr>
        <w:spacing w:before="0" w:after="0"/>
        <w:contextualSpacing/>
        <w:rPr>
          <w:szCs w:val="24"/>
        </w:rPr>
      </w:pPr>
      <w:r w:rsidRPr="00F242DD">
        <w:rPr>
          <w:b/>
          <w:szCs w:val="24"/>
        </w:rPr>
        <w:t>КТ</w:t>
      </w:r>
      <w:r w:rsidRPr="00F242DD">
        <w:rPr>
          <w:szCs w:val="24"/>
        </w:rPr>
        <w:t xml:space="preserve"> – компьютерная томография</w:t>
      </w:r>
    </w:p>
    <w:p w14:paraId="6CACEFC8" w14:textId="77777777" w:rsidR="00A80BA6" w:rsidRDefault="00A80BA6" w:rsidP="00A80BA6">
      <w:pPr>
        <w:spacing w:before="0" w:after="0"/>
        <w:contextualSpacing/>
        <w:rPr>
          <w:szCs w:val="24"/>
        </w:rPr>
      </w:pPr>
      <w:r w:rsidRPr="00F242DD">
        <w:rPr>
          <w:b/>
          <w:szCs w:val="24"/>
        </w:rPr>
        <w:t>ЛДГ</w:t>
      </w:r>
      <w:r w:rsidRPr="00F242DD">
        <w:rPr>
          <w:szCs w:val="24"/>
        </w:rPr>
        <w:t xml:space="preserve"> − лактатдегидрогеназа</w:t>
      </w:r>
      <w:r w:rsidRPr="00F960E7">
        <w:rPr>
          <w:szCs w:val="24"/>
        </w:rPr>
        <w:t xml:space="preserve"> </w:t>
      </w:r>
    </w:p>
    <w:p w14:paraId="4177BB26" w14:textId="77777777" w:rsidR="00A80BA6" w:rsidRDefault="00A80BA6" w:rsidP="00A80BA6">
      <w:pPr>
        <w:spacing w:before="0" w:after="0"/>
        <w:contextualSpacing/>
        <w:rPr>
          <w:szCs w:val="24"/>
        </w:rPr>
      </w:pPr>
      <w:r w:rsidRPr="00281081">
        <w:rPr>
          <w:b/>
          <w:szCs w:val="24"/>
        </w:rPr>
        <w:t>МГНЗ</w:t>
      </w:r>
      <w:r w:rsidRPr="00281081">
        <w:rPr>
          <w:szCs w:val="24"/>
        </w:rPr>
        <w:t xml:space="preserve"> – моноклональная гаммапатия неопределенного значения</w:t>
      </w:r>
    </w:p>
    <w:p w14:paraId="2953856F" w14:textId="77777777" w:rsidR="00A80BA6" w:rsidRPr="00F960E7" w:rsidRDefault="00A80BA6" w:rsidP="00A80BA6">
      <w:pPr>
        <w:spacing w:before="0" w:after="0"/>
        <w:contextualSpacing/>
        <w:rPr>
          <w:szCs w:val="24"/>
        </w:rPr>
      </w:pPr>
      <w:r w:rsidRPr="00F960E7">
        <w:rPr>
          <w:b/>
          <w:szCs w:val="24"/>
        </w:rPr>
        <w:t>МЕ</w:t>
      </w:r>
      <w:r w:rsidRPr="00F960E7">
        <w:rPr>
          <w:szCs w:val="24"/>
        </w:rPr>
        <w:t xml:space="preserve"> – международная единица</w:t>
      </w:r>
    </w:p>
    <w:p w14:paraId="0432CAFF" w14:textId="77777777" w:rsidR="00A80BA6" w:rsidRPr="00F242DD" w:rsidRDefault="00A80BA6" w:rsidP="00A80BA6">
      <w:pPr>
        <w:spacing w:before="0" w:after="0"/>
        <w:contextualSpacing/>
        <w:rPr>
          <w:szCs w:val="24"/>
        </w:rPr>
      </w:pPr>
      <w:r w:rsidRPr="00F242DD">
        <w:rPr>
          <w:b/>
          <w:szCs w:val="24"/>
        </w:rPr>
        <w:t>ММ</w:t>
      </w:r>
      <w:r w:rsidRPr="00F242DD">
        <w:rPr>
          <w:szCs w:val="24"/>
        </w:rPr>
        <w:t xml:space="preserve"> – множественная миелома </w:t>
      </w:r>
    </w:p>
    <w:p w14:paraId="2BA239AF" w14:textId="77777777" w:rsidR="00A80BA6" w:rsidRDefault="00A80BA6" w:rsidP="00A80BA6">
      <w:pPr>
        <w:spacing w:before="0" w:after="0"/>
        <w:contextualSpacing/>
        <w:rPr>
          <w:szCs w:val="24"/>
        </w:rPr>
      </w:pPr>
      <w:r w:rsidRPr="009A6A00">
        <w:rPr>
          <w:b/>
          <w:szCs w:val="24"/>
        </w:rPr>
        <w:t>МНО</w:t>
      </w:r>
      <w:r w:rsidRPr="009A6A00">
        <w:rPr>
          <w:szCs w:val="24"/>
        </w:rPr>
        <w:t xml:space="preserve"> –международное нормализованное отношение</w:t>
      </w:r>
    </w:p>
    <w:p w14:paraId="098BA606" w14:textId="77777777" w:rsidR="00A80BA6" w:rsidRDefault="00A80BA6" w:rsidP="00A80BA6">
      <w:pPr>
        <w:spacing w:before="0" w:after="0"/>
        <w:contextualSpacing/>
        <w:rPr>
          <w:szCs w:val="24"/>
        </w:rPr>
      </w:pPr>
      <w:r w:rsidRPr="00F242DD">
        <w:rPr>
          <w:b/>
          <w:szCs w:val="24"/>
        </w:rPr>
        <w:t>МОБ</w:t>
      </w:r>
      <w:r w:rsidRPr="00F242DD">
        <w:rPr>
          <w:szCs w:val="24"/>
        </w:rPr>
        <w:t xml:space="preserve"> – минимальная остаточная болезнь</w:t>
      </w:r>
    </w:p>
    <w:p w14:paraId="4D6CF78A" w14:textId="77777777" w:rsidR="00A80BA6" w:rsidRPr="00F960E7" w:rsidRDefault="00A80BA6" w:rsidP="00A80BA6">
      <w:pPr>
        <w:spacing w:before="0" w:after="0"/>
        <w:contextualSpacing/>
        <w:rPr>
          <w:szCs w:val="24"/>
        </w:rPr>
      </w:pPr>
      <w:r w:rsidRPr="00F960E7">
        <w:rPr>
          <w:b/>
          <w:szCs w:val="24"/>
        </w:rPr>
        <w:t>МПК</w:t>
      </w:r>
      <w:r w:rsidRPr="00F960E7">
        <w:rPr>
          <w:szCs w:val="24"/>
        </w:rPr>
        <w:t xml:space="preserve"> – минимальная подавляющая концентрация</w:t>
      </w:r>
    </w:p>
    <w:p w14:paraId="68614E49" w14:textId="77777777" w:rsidR="00A80BA6" w:rsidRDefault="00A80BA6" w:rsidP="00A80BA6">
      <w:pPr>
        <w:spacing w:before="0" w:after="0"/>
        <w:contextualSpacing/>
        <w:rPr>
          <w:szCs w:val="24"/>
        </w:rPr>
      </w:pPr>
      <w:r w:rsidRPr="00F960E7">
        <w:rPr>
          <w:b/>
          <w:szCs w:val="24"/>
        </w:rPr>
        <w:t>МРТ</w:t>
      </w:r>
      <w:r w:rsidRPr="00F960E7">
        <w:rPr>
          <w:szCs w:val="24"/>
        </w:rPr>
        <w:t xml:space="preserve"> – магнитно-резонансная томография</w:t>
      </w:r>
      <w:r>
        <w:rPr>
          <w:szCs w:val="24"/>
        </w:rPr>
        <w:t>\</w:t>
      </w:r>
    </w:p>
    <w:p w14:paraId="78052899" w14:textId="77777777" w:rsidR="00A80BA6" w:rsidRDefault="00A80BA6" w:rsidP="00A80BA6">
      <w:pPr>
        <w:spacing w:before="0" w:after="0"/>
        <w:contextualSpacing/>
        <w:rPr>
          <w:szCs w:val="24"/>
        </w:rPr>
      </w:pPr>
      <w:r w:rsidRPr="005F2918">
        <w:rPr>
          <w:b/>
          <w:szCs w:val="24"/>
        </w:rPr>
        <w:t>НМГ</w:t>
      </w:r>
      <w:r w:rsidRPr="005F2918">
        <w:rPr>
          <w:szCs w:val="24"/>
        </w:rPr>
        <w:t xml:space="preserve"> – низкомолекулярные гепарины</w:t>
      </w:r>
    </w:p>
    <w:p w14:paraId="78F36CDD" w14:textId="77777777" w:rsidR="00A80BA6" w:rsidRDefault="00A80BA6" w:rsidP="00A80BA6">
      <w:pPr>
        <w:spacing w:before="0" w:after="0"/>
        <w:contextualSpacing/>
        <w:rPr>
          <w:szCs w:val="24"/>
        </w:rPr>
      </w:pPr>
      <w:r w:rsidRPr="009A6A00">
        <w:rPr>
          <w:b/>
          <w:szCs w:val="24"/>
        </w:rPr>
        <w:t>НПВ</w:t>
      </w:r>
      <w:r>
        <w:rPr>
          <w:szCs w:val="24"/>
        </w:rPr>
        <w:tab/>
        <w:t xml:space="preserve">– </w:t>
      </w:r>
      <w:r w:rsidRPr="009A6A00">
        <w:rPr>
          <w:szCs w:val="24"/>
        </w:rPr>
        <w:t>нижняя полая вена</w:t>
      </w:r>
    </w:p>
    <w:p w14:paraId="2DA46115" w14:textId="77777777" w:rsidR="00A80BA6" w:rsidRPr="005F2918" w:rsidRDefault="00A80BA6" w:rsidP="00A80BA6">
      <w:pPr>
        <w:spacing w:before="0" w:after="0"/>
        <w:contextualSpacing/>
        <w:rPr>
          <w:szCs w:val="24"/>
        </w:rPr>
      </w:pPr>
      <w:r w:rsidRPr="005F2918">
        <w:rPr>
          <w:b/>
          <w:szCs w:val="24"/>
        </w:rPr>
        <w:t>НФГ</w:t>
      </w:r>
      <w:r w:rsidRPr="005F2918">
        <w:rPr>
          <w:szCs w:val="24"/>
        </w:rPr>
        <w:t xml:space="preserve"> – нефракционированный гепарин </w:t>
      </w:r>
    </w:p>
    <w:p w14:paraId="162D33C7" w14:textId="77777777" w:rsidR="00A80BA6" w:rsidRPr="00281081" w:rsidRDefault="00A80BA6" w:rsidP="00A80BA6">
      <w:pPr>
        <w:spacing w:before="0" w:after="0"/>
        <w:contextualSpacing/>
        <w:rPr>
          <w:szCs w:val="24"/>
        </w:rPr>
      </w:pPr>
      <w:r w:rsidRPr="009A6A00">
        <w:rPr>
          <w:b/>
          <w:szCs w:val="24"/>
        </w:rPr>
        <w:t>НХЛ</w:t>
      </w:r>
      <w:r w:rsidRPr="009A6A00">
        <w:rPr>
          <w:szCs w:val="24"/>
        </w:rPr>
        <w:t xml:space="preserve"> – неходжкинская лимфома</w:t>
      </w:r>
    </w:p>
    <w:p w14:paraId="5F282844" w14:textId="77777777" w:rsidR="00A80BA6" w:rsidRDefault="00A80BA6" w:rsidP="00A80BA6">
      <w:pPr>
        <w:spacing w:before="0" w:after="0"/>
        <w:contextualSpacing/>
        <w:rPr>
          <w:szCs w:val="24"/>
        </w:rPr>
      </w:pPr>
      <w:r w:rsidRPr="00F242DD">
        <w:rPr>
          <w:b/>
          <w:szCs w:val="24"/>
        </w:rPr>
        <w:t>ОВ</w:t>
      </w:r>
      <w:r w:rsidRPr="00F242DD">
        <w:rPr>
          <w:szCs w:val="24"/>
        </w:rPr>
        <w:t xml:space="preserve"> – общая выживаемость</w:t>
      </w:r>
    </w:p>
    <w:p w14:paraId="78B55DDC" w14:textId="77777777" w:rsidR="00A80BA6" w:rsidRPr="00F242DD" w:rsidRDefault="00A80BA6" w:rsidP="00A80BA6">
      <w:pPr>
        <w:spacing w:before="0" w:after="0"/>
        <w:contextualSpacing/>
        <w:rPr>
          <w:szCs w:val="24"/>
        </w:rPr>
      </w:pPr>
      <w:r w:rsidRPr="00F242DD">
        <w:rPr>
          <w:b/>
          <w:szCs w:val="24"/>
        </w:rPr>
        <w:t>ОХЧР</w:t>
      </w:r>
      <w:r w:rsidRPr="00F242DD">
        <w:rPr>
          <w:szCs w:val="24"/>
        </w:rPr>
        <w:t xml:space="preserve"> – очень хорошая частичная ремиссия</w:t>
      </w:r>
    </w:p>
    <w:p w14:paraId="60DEBEF3" w14:textId="77777777" w:rsidR="00A80BA6" w:rsidRDefault="00A80BA6" w:rsidP="00A80BA6">
      <w:pPr>
        <w:spacing w:before="0" w:after="0"/>
        <w:contextualSpacing/>
        <w:rPr>
          <w:szCs w:val="24"/>
        </w:rPr>
      </w:pPr>
      <w:r w:rsidRPr="009A6A00">
        <w:rPr>
          <w:b/>
          <w:szCs w:val="24"/>
        </w:rPr>
        <w:t>п/к</w:t>
      </w:r>
      <w:r w:rsidRPr="009A6A00">
        <w:rPr>
          <w:szCs w:val="24"/>
        </w:rPr>
        <w:t xml:space="preserve"> – подкожно</w:t>
      </w:r>
    </w:p>
    <w:p w14:paraId="5C505E0C" w14:textId="77777777" w:rsidR="00A80BA6" w:rsidRPr="00F242DD" w:rsidRDefault="00A80BA6" w:rsidP="00A80BA6">
      <w:pPr>
        <w:spacing w:before="0" w:after="0"/>
        <w:contextualSpacing/>
        <w:rPr>
          <w:szCs w:val="24"/>
        </w:rPr>
      </w:pPr>
      <w:r w:rsidRPr="009A6A00">
        <w:rPr>
          <w:b/>
          <w:szCs w:val="24"/>
        </w:rPr>
        <w:t>ПВ</w:t>
      </w:r>
      <w:r w:rsidRPr="009A6A00">
        <w:rPr>
          <w:szCs w:val="24"/>
        </w:rPr>
        <w:t xml:space="preserve"> – протромбиновое время</w:t>
      </w:r>
    </w:p>
    <w:p w14:paraId="1234D02C" w14:textId="77777777" w:rsidR="00A80BA6" w:rsidRPr="005F2918" w:rsidRDefault="00A80BA6" w:rsidP="00A80BA6">
      <w:pPr>
        <w:spacing w:before="0" w:after="0"/>
        <w:contextualSpacing/>
        <w:rPr>
          <w:szCs w:val="24"/>
        </w:rPr>
      </w:pPr>
      <w:r w:rsidRPr="009A6A00">
        <w:rPr>
          <w:b/>
          <w:szCs w:val="24"/>
        </w:rPr>
        <w:t>ПИЦВК</w:t>
      </w:r>
      <w:r>
        <w:rPr>
          <w:szCs w:val="24"/>
        </w:rPr>
        <w:t xml:space="preserve"> – </w:t>
      </w:r>
      <w:r w:rsidRPr="009A6A00">
        <w:rPr>
          <w:szCs w:val="24"/>
        </w:rPr>
        <w:t>периферически имплантируемый центральный венозный катетер</w:t>
      </w:r>
    </w:p>
    <w:p w14:paraId="0F22EB59" w14:textId="77777777" w:rsidR="00A80BA6" w:rsidRDefault="00A80BA6" w:rsidP="00A80BA6">
      <w:pPr>
        <w:spacing w:before="0" w:after="0"/>
        <w:contextualSpacing/>
        <w:rPr>
          <w:szCs w:val="24"/>
        </w:rPr>
      </w:pPr>
      <w:r w:rsidRPr="00F242DD">
        <w:rPr>
          <w:b/>
          <w:szCs w:val="24"/>
        </w:rPr>
        <w:t xml:space="preserve">ПК </w:t>
      </w:r>
      <w:r w:rsidRPr="00F242DD">
        <w:rPr>
          <w:szCs w:val="24"/>
        </w:rPr>
        <w:t>– плазматические клетки</w:t>
      </w:r>
    </w:p>
    <w:p w14:paraId="49AB741F" w14:textId="77777777" w:rsidR="00A80BA6" w:rsidRPr="00F242DD" w:rsidRDefault="00A80BA6" w:rsidP="00A80BA6">
      <w:pPr>
        <w:spacing w:before="0" w:after="0"/>
        <w:contextualSpacing/>
        <w:rPr>
          <w:szCs w:val="24"/>
        </w:rPr>
      </w:pPr>
      <w:r w:rsidRPr="00F242DD">
        <w:rPr>
          <w:b/>
          <w:szCs w:val="24"/>
        </w:rPr>
        <w:t>ПО</w:t>
      </w:r>
      <w:r w:rsidRPr="00F242DD">
        <w:rPr>
          <w:szCs w:val="24"/>
        </w:rPr>
        <w:t xml:space="preserve"> – противоопухолевый ответ</w:t>
      </w:r>
    </w:p>
    <w:p w14:paraId="5192AB58" w14:textId="77777777" w:rsidR="00A80BA6" w:rsidRDefault="00A80BA6" w:rsidP="00A80BA6">
      <w:pPr>
        <w:spacing w:before="0" w:after="0"/>
        <w:contextualSpacing/>
        <w:rPr>
          <w:szCs w:val="24"/>
        </w:rPr>
      </w:pPr>
      <w:r w:rsidRPr="005F2918">
        <w:rPr>
          <w:b/>
          <w:szCs w:val="24"/>
        </w:rPr>
        <w:t>ПОАК</w:t>
      </w:r>
      <w:r w:rsidRPr="005F2918">
        <w:rPr>
          <w:szCs w:val="24"/>
        </w:rPr>
        <w:t xml:space="preserve"> – прямые оральные антикоагулянты</w:t>
      </w:r>
    </w:p>
    <w:p w14:paraId="02C41FE5" w14:textId="77777777" w:rsidR="00A80BA6" w:rsidRDefault="00A80BA6" w:rsidP="00A80BA6">
      <w:pPr>
        <w:spacing w:before="0" w:after="0"/>
        <w:contextualSpacing/>
        <w:rPr>
          <w:szCs w:val="24"/>
        </w:rPr>
      </w:pPr>
      <w:r w:rsidRPr="00F242DD">
        <w:rPr>
          <w:b/>
          <w:szCs w:val="24"/>
        </w:rPr>
        <w:t>ПР</w:t>
      </w:r>
      <w:r w:rsidRPr="00F242DD">
        <w:rPr>
          <w:szCs w:val="24"/>
        </w:rPr>
        <w:t xml:space="preserve"> – полная ремиссия</w:t>
      </w:r>
    </w:p>
    <w:p w14:paraId="39084E43" w14:textId="77777777" w:rsidR="00A80BA6" w:rsidRDefault="00A80BA6" w:rsidP="00A80BA6">
      <w:pPr>
        <w:spacing w:before="0" w:after="0"/>
        <w:contextualSpacing/>
        <w:rPr>
          <w:szCs w:val="24"/>
        </w:rPr>
      </w:pPr>
      <w:r w:rsidRPr="00F071AD">
        <w:rPr>
          <w:b/>
          <w:szCs w:val="24"/>
        </w:rPr>
        <w:t>ПХТ</w:t>
      </w:r>
      <w:r w:rsidRPr="00F071AD">
        <w:rPr>
          <w:szCs w:val="24"/>
        </w:rPr>
        <w:t xml:space="preserve"> – полихимиотерапия</w:t>
      </w:r>
    </w:p>
    <w:p w14:paraId="0EAF316B" w14:textId="77777777" w:rsidR="00A80BA6" w:rsidRDefault="00A80BA6" w:rsidP="00A80BA6">
      <w:pPr>
        <w:spacing w:before="0" w:after="0"/>
        <w:contextualSpacing/>
        <w:rPr>
          <w:szCs w:val="24"/>
        </w:rPr>
      </w:pPr>
      <w:r w:rsidRPr="00F071AD">
        <w:rPr>
          <w:b/>
          <w:szCs w:val="24"/>
        </w:rPr>
        <w:t>ПЦР</w:t>
      </w:r>
      <w:r w:rsidRPr="00F071AD">
        <w:rPr>
          <w:szCs w:val="24"/>
        </w:rPr>
        <w:t xml:space="preserve"> – полимеразная цепная реакция</w:t>
      </w:r>
    </w:p>
    <w:p w14:paraId="72078E84" w14:textId="77777777" w:rsidR="00A80BA6" w:rsidRDefault="00A80BA6" w:rsidP="00A80BA6">
      <w:pPr>
        <w:spacing w:before="0" w:after="0"/>
        <w:contextualSpacing/>
        <w:rPr>
          <w:szCs w:val="24"/>
        </w:rPr>
      </w:pPr>
      <w:r w:rsidRPr="00F242DD">
        <w:rPr>
          <w:b/>
          <w:szCs w:val="24"/>
        </w:rPr>
        <w:t>ПЭТ</w:t>
      </w:r>
      <w:r w:rsidRPr="00F242DD">
        <w:rPr>
          <w:szCs w:val="24"/>
        </w:rPr>
        <w:t xml:space="preserve"> – позитронно-эмиссионная томография</w:t>
      </w:r>
    </w:p>
    <w:p w14:paraId="26F34415" w14:textId="77777777" w:rsidR="00A80BA6" w:rsidRDefault="00A80BA6" w:rsidP="00A80BA6">
      <w:pPr>
        <w:spacing w:before="0" w:after="0"/>
        <w:contextualSpacing/>
        <w:rPr>
          <w:szCs w:val="24"/>
        </w:rPr>
      </w:pPr>
      <w:r w:rsidRPr="009A6A00">
        <w:rPr>
          <w:b/>
          <w:szCs w:val="24"/>
        </w:rPr>
        <w:t>РЕ</w:t>
      </w:r>
      <w:r w:rsidRPr="009A6A00">
        <w:rPr>
          <w:szCs w:val="24"/>
        </w:rPr>
        <w:t xml:space="preserve"> – расчетные единицы</w:t>
      </w:r>
    </w:p>
    <w:p w14:paraId="5D87A348" w14:textId="77777777" w:rsidR="00A80BA6" w:rsidRDefault="00A80BA6" w:rsidP="00A80BA6">
      <w:pPr>
        <w:spacing w:before="0" w:after="0"/>
        <w:contextualSpacing/>
        <w:rPr>
          <w:szCs w:val="24"/>
        </w:rPr>
      </w:pPr>
      <w:r w:rsidRPr="00F071AD">
        <w:rPr>
          <w:b/>
          <w:szCs w:val="24"/>
        </w:rPr>
        <w:t>РТПХ</w:t>
      </w:r>
      <w:r w:rsidRPr="00F071AD">
        <w:rPr>
          <w:szCs w:val="24"/>
        </w:rPr>
        <w:t xml:space="preserve"> – реакция «трансплантат против хозяина»</w:t>
      </w:r>
    </w:p>
    <w:p w14:paraId="378FF033" w14:textId="77777777" w:rsidR="00A80BA6" w:rsidRPr="00F242DD" w:rsidRDefault="00A80BA6" w:rsidP="00A80BA6">
      <w:pPr>
        <w:spacing w:before="0" w:after="0"/>
        <w:contextualSpacing/>
        <w:rPr>
          <w:szCs w:val="24"/>
        </w:rPr>
      </w:pPr>
      <w:r w:rsidRPr="005F2918">
        <w:rPr>
          <w:b/>
          <w:szCs w:val="24"/>
        </w:rPr>
        <w:t>СЗП</w:t>
      </w:r>
      <w:r w:rsidRPr="005F2918">
        <w:rPr>
          <w:szCs w:val="24"/>
        </w:rPr>
        <w:t xml:space="preserve"> – свежезамороженная плазма</w:t>
      </w:r>
    </w:p>
    <w:p w14:paraId="27FEB5B6" w14:textId="77777777" w:rsidR="00A80BA6" w:rsidRDefault="00A80BA6" w:rsidP="00A80BA6">
      <w:pPr>
        <w:spacing w:before="0" w:after="0"/>
        <w:contextualSpacing/>
        <w:rPr>
          <w:szCs w:val="24"/>
        </w:rPr>
      </w:pPr>
      <w:r w:rsidRPr="00F960E7">
        <w:rPr>
          <w:b/>
          <w:szCs w:val="24"/>
        </w:rPr>
        <w:t>СКТ</w:t>
      </w:r>
      <w:r w:rsidRPr="00F960E7">
        <w:rPr>
          <w:szCs w:val="24"/>
        </w:rPr>
        <w:t xml:space="preserve"> –</w:t>
      </w:r>
      <w:r>
        <w:rPr>
          <w:szCs w:val="24"/>
        </w:rPr>
        <w:t xml:space="preserve"> </w:t>
      </w:r>
      <w:r w:rsidRPr="00F960E7">
        <w:rPr>
          <w:szCs w:val="24"/>
        </w:rPr>
        <w:t>спиральная компьютерная томография</w:t>
      </w:r>
    </w:p>
    <w:p w14:paraId="718DD125" w14:textId="77777777" w:rsidR="00A80BA6" w:rsidRDefault="00A80BA6" w:rsidP="00A80BA6">
      <w:pPr>
        <w:spacing w:before="0" w:after="0"/>
        <w:contextualSpacing/>
        <w:rPr>
          <w:szCs w:val="24"/>
        </w:rPr>
      </w:pPr>
      <w:r w:rsidRPr="003032A0">
        <w:rPr>
          <w:b/>
          <w:szCs w:val="24"/>
        </w:rPr>
        <w:t>СКФ</w:t>
      </w:r>
      <w:r w:rsidRPr="003032A0">
        <w:rPr>
          <w:szCs w:val="24"/>
        </w:rPr>
        <w:t xml:space="preserve"> – скорость клубочковой фильтрации</w:t>
      </w:r>
    </w:p>
    <w:p w14:paraId="689D63F6" w14:textId="77777777" w:rsidR="00A80BA6" w:rsidRDefault="00A80BA6" w:rsidP="00A80BA6">
      <w:pPr>
        <w:spacing w:before="0" w:after="0"/>
        <w:contextualSpacing/>
        <w:rPr>
          <w:szCs w:val="24"/>
        </w:rPr>
      </w:pPr>
      <w:r w:rsidRPr="00F242DD">
        <w:rPr>
          <w:b/>
          <w:szCs w:val="24"/>
        </w:rPr>
        <w:t>СЛЦ</w:t>
      </w:r>
      <w:r w:rsidRPr="00F242DD">
        <w:rPr>
          <w:szCs w:val="24"/>
        </w:rPr>
        <w:t xml:space="preserve"> – свободные легкие цепи (иммуноглобулинов)</w:t>
      </w:r>
    </w:p>
    <w:p w14:paraId="7910C761" w14:textId="77777777" w:rsidR="00A80BA6" w:rsidRDefault="00A80BA6" w:rsidP="00A80BA6">
      <w:pPr>
        <w:spacing w:before="0" w:after="0"/>
        <w:contextualSpacing/>
        <w:rPr>
          <w:szCs w:val="24"/>
        </w:rPr>
      </w:pPr>
      <w:r w:rsidRPr="00F071AD">
        <w:rPr>
          <w:b/>
          <w:szCs w:val="24"/>
        </w:rPr>
        <w:lastRenderedPageBreak/>
        <w:t>СМЖ</w:t>
      </w:r>
      <w:r w:rsidRPr="00F071AD">
        <w:rPr>
          <w:szCs w:val="24"/>
        </w:rPr>
        <w:t xml:space="preserve"> – спинномозговая жидкость</w:t>
      </w:r>
    </w:p>
    <w:p w14:paraId="13BDCD7A" w14:textId="77777777" w:rsidR="00A80BA6" w:rsidRDefault="00A80BA6" w:rsidP="00A80BA6">
      <w:pPr>
        <w:spacing w:before="0" w:after="0"/>
        <w:contextualSpacing/>
        <w:rPr>
          <w:szCs w:val="24"/>
        </w:rPr>
      </w:pPr>
      <w:r w:rsidRPr="009A6A00">
        <w:rPr>
          <w:b/>
          <w:szCs w:val="24"/>
        </w:rPr>
        <w:t>СПТ</w:t>
      </w:r>
      <w:r w:rsidRPr="009A6A00">
        <w:rPr>
          <w:szCs w:val="24"/>
        </w:rPr>
        <w:t xml:space="preserve"> – скорректированный прирост тромбоцитов</w:t>
      </w:r>
    </w:p>
    <w:p w14:paraId="738070BF" w14:textId="481BFC61" w:rsidR="00A80BA6" w:rsidRPr="00F242DD" w:rsidRDefault="00A80BA6" w:rsidP="00A80BA6">
      <w:pPr>
        <w:spacing w:before="0" w:after="0"/>
        <w:contextualSpacing/>
        <w:rPr>
          <w:szCs w:val="24"/>
        </w:rPr>
      </w:pPr>
      <w:r w:rsidRPr="00F242DD">
        <w:rPr>
          <w:rFonts w:eastAsia="Times New Roman"/>
          <w:b/>
          <w:szCs w:val="24"/>
          <w:lang w:eastAsia="ru-RU"/>
        </w:rPr>
        <w:t>СР</w:t>
      </w:r>
      <w:r w:rsidRPr="00F242DD">
        <w:rPr>
          <w:rFonts w:eastAsia="Times New Roman"/>
          <w:szCs w:val="24"/>
          <w:lang w:eastAsia="ru-RU"/>
        </w:rPr>
        <w:t xml:space="preserve"> – </w:t>
      </w:r>
      <w:r w:rsidRPr="00F242DD">
        <w:rPr>
          <w:szCs w:val="24"/>
        </w:rPr>
        <w:t xml:space="preserve">режим химиотерапии, включающий циклофосфамид** и преднизолон** </w:t>
      </w:r>
    </w:p>
    <w:p w14:paraId="21724EC4" w14:textId="77777777" w:rsidR="00A80BA6" w:rsidRPr="009A6A00" w:rsidRDefault="00A80BA6" w:rsidP="00A80BA6">
      <w:pPr>
        <w:spacing w:before="0" w:after="0"/>
        <w:contextualSpacing/>
        <w:rPr>
          <w:szCs w:val="24"/>
        </w:rPr>
      </w:pPr>
      <w:r w:rsidRPr="009A6A00">
        <w:rPr>
          <w:b/>
          <w:szCs w:val="24"/>
        </w:rPr>
        <w:t>ТВ</w:t>
      </w:r>
      <w:r w:rsidRPr="009A6A00">
        <w:rPr>
          <w:szCs w:val="24"/>
        </w:rPr>
        <w:t xml:space="preserve"> – тромбиновое время</w:t>
      </w:r>
    </w:p>
    <w:p w14:paraId="394486F3" w14:textId="77777777" w:rsidR="00A80BA6" w:rsidRDefault="00A80BA6" w:rsidP="00A80BA6">
      <w:pPr>
        <w:spacing w:before="0" w:after="0"/>
        <w:contextualSpacing/>
        <w:rPr>
          <w:szCs w:val="24"/>
        </w:rPr>
      </w:pPr>
      <w:r w:rsidRPr="00F071AD">
        <w:rPr>
          <w:b/>
          <w:szCs w:val="24"/>
        </w:rPr>
        <w:t>ТГСК</w:t>
      </w:r>
      <w:r w:rsidRPr="00F071AD">
        <w:rPr>
          <w:szCs w:val="24"/>
        </w:rPr>
        <w:t xml:space="preserve"> – трансплантация гемопоэтических стволовых клеток</w:t>
      </w:r>
    </w:p>
    <w:p w14:paraId="14F9F8A3" w14:textId="77777777" w:rsidR="00A80BA6" w:rsidRPr="009A6A00" w:rsidRDefault="00A80BA6" w:rsidP="00A80BA6">
      <w:pPr>
        <w:spacing w:before="0" w:after="0"/>
        <w:contextualSpacing/>
        <w:rPr>
          <w:szCs w:val="24"/>
        </w:rPr>
      </w:pPr>
      <w:r w:rsidRPr="009A6A00">
        <w:rPr>
          <w:b/>
          <w:szCs w:val="24"/>
        </w:rPr>
        <w:t>ТМА</w:t>
      </w:r>
      <w:r w:rsidRPr="009A6A00">
        <w:rPr>
          <w:szCs w:val="24"/>
        </w:rPr>
        <w:t xml:space="preserve"> – тромботическая микроангиопатия </w:t>
      </w:r>
    </w:p>
    <w:p w14:paraId="54C44F51" w14:textId="77777777" w:rsidR="00A80BA6" w:rsidRPr="009A6A00" w:rsidRDefault="00A80BA6" w:rsidP="00A80BA6">
      <w:pPr>
        <w:spacing w:before="0" w:after="0"/>
        <w:contextualSpacing/>
        <w:rPr>
          <w:szCs w:val="24"/>
        </w:rPr>
      </w:pPr>
      <w:r w:rsidRPr="009A6A00">
        <w:rPr>
          <w:b/>
          <w:szCs w:val="24"/>
        </w:rPr>
        <w:t>ТТП</w:t>
      </w:r>
      <w:r w:rsidRPr="009A6A00">
        <w:rPr>
          <w:szCs w:val="24"/>
        </w:rPr>
        <w:t xml:space="preserve"> – тромботическая тромбоцитопеническая пурпура </w:t>
      </w:r>
    </w:p>
    <w:p w14:paraId="0A23C8EB" w14:textId="77777777" w:rsidR="00A80BA6" w:rsidRDefault="00A80BA6" w:rsidP="00A80BA6">
      <w:pPr>
        <w:spacing w:before="0" w:after="0"/>
        <w:contextualSpacing/>
        <w:rPr>
          <w:szCs w:val="24"/>
        </w:rPr>
      </w:pPr>
      <w:r w:rsidRPr="009A6A00">
        <w:rPr>
          <w:b/>
          <w:szCs w:val="24"/>
        </w:rPr>
        <w:t>ТЭЛА</w:t>
      </w:r>
      <w:r w:rsidRPr="009A6A00">
        <w:rPr>
          <w:szCs w:val="24"/>
        </w:rPr>
        <w:t xml:space="preserve"> – тромбоэмболия легочной артерии  </w:t>
      </w:r>
    </w:p>
    <w:p w14:paraId="19DFA7D4" w14:textId="77777777" w:rsidR="00A80BA6" w:rsidRDefault="00A80BA6" w:rsidP="00A80BA6">
      <w:pPr>
        <w:spacing w:before="0" w:after="0"/>
        <w:contextualSpacing/>
        <w:rPr>
          <w:szCs w:val="24"/>
        </w:rPr>
      </w:pPr>
      <w:r w:rsidRPr="009A6A00">
        <w:rPr>
          <w:b/>
          <w:szCs w:val="24"/>
        </w:rPr>
        <w:t>УЗДГ</w:t>
      </w:r>
      <w:r w:rsidRPr="009A6A00">
        <w:rPr>
          <w:szCs w:val="24"/>
        </w:rPr>
        <w:t xml:space="preserve"> – ультразвуковая доплерография</w:t>
      </w:r>
    </w:p>
    <w:p w14:paraId="34363C4B" w14:textId="77777777" w:rsidR="00A80BA6" w:rsidRDefault="00A80BA6" w:rsidP="00A80BA6">
      <w:pPr>
        <w:spacing w:before="0" w:after="0"/>
        <w:contextualSpacing/>
        <w:rPr>
          <w:szCs w:val="24"/>
        </w:rPr>
      </w:pPr>
      <w:r w:rsidRPr="00F960E7">
        <w:rPr>
          <w:b/>
          <w:szCs w:val="24"/>
        </w:rPr>
        <w:t>УЗИ</w:t>
      </w:r>
      <w:r w:rsidRPr="00F960E7">
        <w:rPr>
          <w:szCs w:val="24"/>
        </w:rPr>
        <w:t xml:space="preserve"> – ультразвуковое исследование</w:t>
      </w:r>
    </w:p>
    <w:p w14:paraId="52975A9D" w14:textId="77777777" w:rsidR="00A80BA6" w:rsidRDefault="00A80BA6" w:rsidP="00A80BA6">
      <w:pPr>
        <w:spacing w:before="0" w:after="0"/>
        <w:contextualSpacing/>
        <w:rPr>
          <w:szCs w:val="24"/>
        </w:rPr>
      </w:pPr>
      <w:r w:rsidRPr="005F2918">
        <w:rPr>
          <w:b/>
          <w:szCs w:val="24"/>
        </w:rPr>
        <w:t>ХБП</w:t>
      </w:r>
      <w:r w:rsidRPr="005F2918">
        <w:rPr>
          <w:szCs w:val="24"/>
        </w:rPr>
        <w:t xml:space="preserve"> – хроническая болезнь почек</w:t>
      </w:r>
    </w:p>
    <w:p w14:paraId="198571B5" w14:textId="77777777" w:rsidR="00A80BA6" w:rsidRDefault="00A80BA6" w:rsidP="00A80BA6">
      <w:pPr>
        <w:spacing w:before="0" w:after="0"/>
        <w:contextualSpacing/>
        <w:rPr>
          <w:szCs w:val="24"/>
        </w:rPr>
      </w:pPr>
      <w:r w:rsidRPr="000039C3">
        <w:rPr>
          <w:b/>
          <w:szCs w:val="24"/>
        </w:rPr>
        <w:t>ХТ</w:t>
      </w:r>
      <w:r w:rsidRPr="000039C3">
        <w:rPr>
          <w:szCs w:val="24"/>
        </w:rPr>
        <w:t xml:space="preserve"> – химиотерапия</w:t>
      </w:r>
    </w:p>
    <w:p w14:paraId="2F67DAB0" w14:textId="77777777" w:rsidR="00A80BA6" w:rsidRDefault="00A80BA6" w:rsidP="00A80BA6">
      <w:pPr>
        <w:spacing w:before="0" w:after="0"/>
      </w:pPr>
      <w:r w:rsidRPr="00EC5BD0">
        <w:rPr>
          <w:b/>
        </w:rPr>
        <w:t>ЦВД</w:t>
      </w:r>
      <w:r>
        <w:t xml:space="preserve"> – центральное венозное давление</w:t>
      </w:r>
    </w:p>
    <w:p w14:paraId="3E3D52AD" w14:textId="77777777" w:rsidR="00A80BA6" w:rsidRDefault="00A80BA6" w:rsidP="00A80BA6">
      <w:pPr>
        <w:spacing w:before="0" w:after="0"/>
      </w:pPr>
      <w:r w:rsidRPr="00F960E7">
        <w:rPr>
          <w:b/>
        </w:rPr>
        <w:t>ЦВК</w:t>
      </w:r>
      <w:r>
        <w:t xml:space="preserve"> – центральный венозный катетер</w:t>
      </w:r>
    </w:p>
    <w:p w14:paraId="51998E4A" w14:textId="77777777" w:rsidR="00A80BA6" w:rsidRPr="00F242DD" w:rsidRDefault="00A80BA6" w:rsidP="00A80BA6">
      <w:pPr>
        <w:spacing w:before="0" w:after="0"/>
      </w:pPr>
      <w:r w:rsidRPr="00F960E7">
        <w:rPr>
          <w:b/>
        </w:rPr>
        <w:t>ЦНС</w:t>
      </w:r>
      <w:r>
        <w:t xml:space="preserve"> – центральная нервная система</w:t>
      </w:r>
    </w:p>
    <w:p w14:paraId="0AF485C0" w14:textId="77777777" w:rsidR="00A80BA6" w:rsidRDefault="00A80BA6" w:rsidP="00A80BA6">
      <w:pPr>
        <w:spacing w:before="0" w:after="0"/>
        <w:contextualSpacing/>
        <w:rPr>
          <w:szCs w:val="24"/>
        </w:rPr>
      </w:pPr>
      <w:r w:rsidRPr="00F242DD">
        <w:rPr>
          <w:b/>
          <w:szCs w:val="24"/>
        </w:rPr>
        <w:t>ЧР</w:t>
      </w:r>
      <w:r w:rsidRPr="00F242DD">
        <w:rPr>
          <w:szCs w:val="24"/>
        </w:rPr>
        <w:t xml:space="preserve"> – частичная ремиссия</w:t>
      </w:r>
    </w:p>
    <w:p w14:paraId="61BBDA8F" w14:textId="77777777" w:rsidR="00A80BA6" w:rsidRDefault="00A80BA6" w:rsidP="00A80BA6">
      <w:pPr>
        <w:spacing w:before="0" w:after="0"/>
        <w:contextualSpacing/>
        <w:rPr>
          <w:szCs w:val="24"/>
        </w:rPr>
      </w:pPr>
      <w:r w:rsidRPr="00281081">
        <w:rPr>
          <w:b/>
          <w:szCs w:val="24"/>
        </w:rPr>
        <w:t>ЭКГ</w:t>
      </w:r>
      <w:r w:rsidRPr="00281081">
        <w:rPr>
          <w:szCs w:val="24"/>
        </w:rPr>
        <w:t xml:space="preserve"> </w:t>
      </w:r>
      <w:r>
        <w:rPr>
          <w:szCs w:val="24"/>
        </w:rPr>
        <w:t>–</w:t>
      </w:r>
      <w:r w:rsidRPr="00281081">
        <w:rPr>
          <w:szCs w:val="24"/>
        </w:rPr>
        <w:t xml:space="preserve"> электрокардиограмма</w:t>
      </w:r>
    </w:p>
    <w:p w14:paraId="7EBC888C" w14:textId="77777777" w:rsidR="00A80BA6" w:rsidRDefault="00A80BA6" w:rsidP="00A80BA6">
      <w:pPr>
        <w:spacing w:before="0" w:after="0"/>
        <w:contextualSpacing/>
        <w:rPr>
          <w:szCs w:val="24"/>
        </w:rPr>
      </w:pPr>
      <w:r w:rsidRPr="009A6A00">
        <w:rPr>
          <w:b/>
          <w:szCs w:val="24"/>
        </w:rPr>
        <w:t>ЭСК</w:t>
      </w:r>
      <w:r w:rsidRPr="009A6A00">
        <w:rPr>
          <w:szCs w:val="24"/>
        </w:rPr>
        <w:t xml:space="preserve"> – эритроцитсодержащие компоненты кров</w:t>
      </w:r>
      <w:r>
        <w:rPr>
          <w:szCs w:val="24"/>
        </w:rPr>
        <w:t>и</w:t>
      </w:r>
    </w:p>
    <w:p w14:paraId="21CF5294" w14:textId="77777777" w:rsidR="00A80BA6" w:rsidRDefault="00A80BA6" w:rsidP="00A80BA6">
      <w:pPr>
        <w:spacing w:before="0" w:after="0"/>
        <w:contextualSpacing/>
        <w:rPr>
          <w:szCs w:val="24"/>
        </w:rPr>
      </w:pPr>
      <w:r w:rsidRPr="009A6A00">
        <w:rPr>
          <w:b/>
          <w:szCs w:val="24"/>
        </w:rPr>
        <w:t xml:space="preserve">ЭТ </w:t>
      </w:r>
      <w:r w:rsidRPr="009A6A00">
        <w:rPr>
          <w:szCs w:val="24"/>
        </w:rPr>
        <w:t>– эссенциальная тромбоцитемия</w:t>
      </w:r>
    </w:p>
    <w:p w14:paraId="299FCB03" w14:textId="77777777" w:rsidR="00A80BA6" w:rsidRPr="00F242DD" w:rsidRDefault="00A80BA6" w:rsidP="00A80BA6">
      <w:pPr>
        <w:spacing w:before="0" w:after="0"/>
        <w:contextualSpacing/>
        <w:rPr>
          <w:szCs w:val="24"/>
        </w:rPr>
      </w:pPr>
      <w:r w:rsidRPr="005F2918">
        <w:rPr>
          <w:b/>
          <w:szCs w:val="24"/>
        </w:rPr>
        <w:t>ЭФГДС</w:t>
      </w:r>
      <w:r w:rsidRPr="005F2918">
        <w:rPr>
          <w:szCs w:val="24"/>
        </w:rPr>
        <w:t xml:space="preserve"> – эзофагогастродуоденоскопия</w:t>
      </w:r>
    </w:p>
    <w:p w14:paraId="723C045C" w14:textId="77777777" w:rsidR="00A80BA6" w:rsidRDefault="00A80BA6" w:rsidP="00A80BA6">
      <w:pPr>
        <w:spacing w:before="0" w:after="0"/>
        <w:contextualSpacing/>
        <w:rPr>
          <w:szCs w:val="24"/>
        </w:rPr>
      </w:pPr>
      <w:r w:rsidRPr="00F960E7">
        <w:rPr>
          <w:b/>
          <w:szCs w:val="24"/>
        </w:rPr>
        <w:t>ЭхоКГ</w:t>
      </w:r>
      <w:r w:rsidRPr="00F960E7">
        <w:rPr>
          <w:szCs w:val="24"/>
        </w:rPr>
        <w:t xml:space="preserve"> – эхокардиография</w:t>
      </w:r>
    </w:p>
    <w:p w14:paraId="0AB26FA3" w14:textId="77777777" w:rsidR="00A80BA6" w:rsidRPr="00F242DD" w:rsidRDefault="00A80BA6" w:rsidP="00A80BA6">
      <w:pPr>
        <w:spacing w:before="0" w:after="0"/>
        <w:rPr>
          <w:rFonts w:eastAsia="GalsLightC"/>
          <w:szCs w:val="24"/>
        </w:rPr>
      </w:pPr>
      <w:r w:rsidRPr="00F242DD">
        <w:rPr>
          <w:rFonts w:eastAsia="GalsLightC"/>
          <w:szCs w:val="24"/>
        </w:rPr>
        <w:t>** – жизненно необходимые и важнейшие лекарственные препараты</w:t>
      </w:r>
    </w:p>
    <w:p w14:paraId="1B1EE07C" w14:textId="77777777" w:rsidR="00A80BA6" w:rsidRDefault="00A80BA6" w:rsidP="00A80BA6">
      <w:pPr>
        <w:pStyle w:val="a6"/>
        <w:spacing w:before="0" w:after="0"/>
        <w:ind w:left="0"/>
        <w:rPr>
          <w:color w:val="000000"/>
        </w:rPr>
      </w:pPr>
      <w:r w:rsidRPr="00F242DD">
        <w:rPr>
          <w:color w:val="000000"/>
        </w:rPr>
        <w:t># – препарат, применяющийся не в соответствии с показаниями к применению и противопоказаниями, способами применения и дозами, содержащимися в инструкции по применению лекарственного препарата (офф-лейбл)</w:t>
      </w:r>
    </w:p>
    <w:p w14:paraId="78D098BD" w14:textId="05805A2D" w:rsidR="001114BA" w:rsidRPr="001114BA" w:rsidRDefault="003B17F2" w:rsidP="001114BA">
      <w:pPr>
        <w:pStyle w:val="a6"/>
        <w:spacing w:before="0" w:after="0"/>
        <w:rPr>
          <w:color w:val="000000"/>
        </w:rPr>
      </w:pPr>
      <w:r w:rsidRPr="003B17F2">
        <w:rPr>
          <w:color w:val="000000"/>
        </w:rPr>
        <w:t xml:space="preserve"> </w:t>
      </w:r>
    </w:p>
    <w:p w14:paraId="756BDED0" w14:textId="77777777" w:rsidR="004D7374" w:rsidRPr="00281081" w:rsidRDefault="004D7374" w:rsidP="002431B5">
      <w:pPr>
        <w:pStyle w:val="1"/>
        <w:spacing w:before="0" w:after="0"/>
      </w:pPr>
      <w:bookmarkStart w:id="4" w:name="_Toc520213122"/>
      <w:bookmarkStart w:id="5" w:name="_Toc97734609"/>
      <w:r w:rsidRPr="00F242DD">
        <w:lastRenderedPageBreak/>
        <w:t>Термины</w:t>
      </w:r>
      <w:r w:rsidRPr="00281081">
        <w:t xml:space="preserve"> </w:t>
      </w:r>
      <w:r w:rsidRPr="00F242DD">
        <w:t>и</w:t>
      </w:r>
      <w:r w:rsidRPr="00281081">
        <w:t xml:space="preserve"> </w:t>
      </w:r>
      <w:r w:rsidRPr="00F242DD">
        <w:t>определения</w:t>
      </w:r>
      <w:bookmarkEnd w:id="4"/>
      <w:bookmarkEnd w:id="5"/>
    </w:p>
    <w:p w14:paraId="464FBAC3" w14:textId="77777777" w:rsidR="005134F6" w:rsidRPr="00F242DD" w:rsidRDefault="005134F6" w:rsidP="002431B5">
      <w:pPr>
        <w:spacing w:before="0" w:after="0"/>
        <w:contextualSpacing/>
      </w:pPr>
      <w:r w:rsidRPr="00F242DD">
        <w:rPr>
          <w:b/>
        </w:rPr>
        <w:t>Множественная миелома</w:t>
      </w:r>
      <w:r w:rsidRPr="00F242DD">
        <w:t xml:space="preserve"> – В-клеточная злокачественная опухоль, морфологическим субстратом которой являются плазматические клетки, продуцирующие моноклональный иммуноглобулин.</w:t>
      </w:r>
      <w:r w:rsidR="00FA65DC" w:rsidRPr="00F242DD">
        <w:t xml:space="preserve"> Согласно последней версии классификации </w:t>
      </w:r>
      <w:r w:rsidR="008816EE" w:rsidRPr="00F242DD">
        <w:t>Всемирной организации здравоохранения (</w:t>
      </w:r>
      <w:r w:rsidR="00FA65DC" w:rsidRPr="00F242DD">
        <w:t>ВОЗ</w:t>
      </w:r>
      <w:r w:rsidR="008816EE" w:rsidRPr="00F242DD">
        <w:t>)</w:t>
      </w:r>
      <w:r w:rsidR="00FA65DC" w:rsidRPr="00F242DD">
        <w:t xml:space="preserve"> 2017</w:t>
      </w:r>
      <w:r w:rsidR="00DA68C1" w:rsidRPr="00F242DD">
        <w:t> </w:t>
      </w:r>
      <w:r w:rsidR="00FA65DC" w:rsidRPr="00F242DD">
        <w:t>г</w:t>
      </w:r>
      <w:r w:rsidR="008816EE" w:rsidRPr="00F242DD">
        <w:t>.</w:t>
      </w:r>
      <w:r w:rsidR="00FA65DC" w:rsidRPr="00F242DD">
        <w:t xml:space="preserve"> термин </w:t>
      </w:r>
      <w:r w:rsidR="00DA68C1" w:rsidRPr="00F242DD">
        <w:t xml:space="preserve">«множественная миелома» </w:t>
      </w:r>
      <w:r w:rsidR="00FA65DC" w:rsidRPr="00F242DD">
        <w:t xml:space="preserve">заменен на термин </w:t>
      </w:r>
      <w:r w:rsidR="00DA68C1" w:rsidRPr="00F242DD">
        <w:t xml:space="preserve">«плазмоклеточная миелома» </w:t>
      </w:r>
      <w:r w:rsidR="00FA65DC" w:rsidRPr="00F242DD">
        <w:t xml:space="preserve">– заболевание, характеризующееся мультифокальной пролиферацией неопластических плазматических клеток, ассоциированное с секрецией </w:t>
      </w:r>
      <w:r w:rsidR="002311AE" w:rsidRPr="00F242DD">
        <w:t xml:space="preserve">моноклонального </w:t>
      </w:r>
      <w:r w:rsidR="00FA65DC" w:rsidRPr="00F242DD">
        <w:t>иммуноглобулина</w:t>
      </w:r>
      <w:r w:rsidR="00DA68C1" w:rsidRPr="00F242DD">
        <w:t>.</w:t>
      </w:r>
      <w:r w:rsidR="00FA65DC" w:rsidRPr="00F242DD">
        <w:t xml:space="preserve"> </w:t>
      </w:r>
    </w:p>
    <w:p w14:paraId="7BBCA593" w14:textId="77777777" w:rsidR="005134F6" w:rsidRPr="00F242DD" w:rsidRDefault="005134F6" w:rsidP="002431B5">
      <w:pPr>
        <w:spacing w:before="0" w:after="0"/>
        <w:contextualSpacing/>
      </w:pPr>
      <w:r w:rsidRPr="00F242DD">
        <w:rPr>
          <w:b/>
        </w:rPr>
        <w:t>Плазматическая клетка</w:t>
      </w:r>
      <w:r w:rsidRPr="00F242DD">
        <w:t xml:space="preserve"> – конечный этап дифференцировки В-лимфоцита. Функциональная активность – участие в формировании гуморального иммунитета, продукция антител.</w:t>
      </w:r>
    </w:p>
    <w:p w14:paraId="0F28F756" w14:textId="77777777" w:rsidR="005134F6" w:rsidRPr="00F242DD" w:rsidRDefault="005134F6" w:rsidP="002431B5">
      <w:pPr>
        <w:spacing w:before="0" w:after="0"/>
        <w:contextualSpacing/>
      </w:pPr>
      <w:r w:rsidRPr="00F242DD">
        <w:rPr>
          <w:b/>
        </w:rPr>
        <w:t>М</w:t>
      </w:r>
      <w:r w:rsidR="00825336" w:rsidRPr="00F242DD">
        <w:rPr>
          <w:b/>
        </w:rPr>
        <w:t>о</w:t>
      </w:r>
      <w:r w:rsidR="00EF56F9" w:rsidRPr="00F242DD">
        <w:rPr>
          <w:b/>
        </w:rPr>
        <w:t>нок</w:t>
      </w:r>
      <w:r w:rsidRPr="00F242DD">
        <w:rPr>
          <w:b/>
        </w:rPr>
        <w:t>лональный иммуноглобулин</w:t>
      </w:r>
      <w:r w:rsidRPr="00F242DD">
        <w:t xml:space="preserve"> – иммуноглобулин одного класса</w:t>
      </w:r>
      <w:r w:rsidR="00E717D4" w:rsidRPr="00F242DD">
        <w:t xml:space="preserve">, </w:t>
      </w:r>
      <w:r w:rsidR="00F96C93" w:rsidRPr="00F242DD">
        <w:t xml:space="preserve">который </w:t>
      </w:r>
      <w:r w:rsidRPr="00F242DD">
        <w:t>синтезиру</w:t>
      </w:r>
      <w:r w:rsidR="00F96C93" w:rsidRPr="00F242DD">
        <w:t>ется</w:t>
      </w:r>
      <w:r w:rsidRPr="00F242DD">
        <w:t xml:space="preserve"> в избыточном количестве опухолевой плазматической клеткой. Структура иммуноглобулина при этом не нарушена, но синтез иммуноглобулина или отдельных компонентов превосходит уровень физиологической потребности.</w:t>
      </w:r>
    </w:p>
    <w:p w14:paraId="0B3498AB" w14:textId="77777777" w:rsidR="0089441A" w:rsidRDefault="00FA65DC" w:rsidP="002431B5">
      <w:pPr>
        <w:spacing w:before="0" w:after="0"/>
        <w:contextualSpacing/>
        <w:rPr>
          <w:szCs w:val="24"/>
        </w:rPr>
      </w:pPr>
      <w:r w:rsidRPr="00F242DD">
        <w:rPr>
          <w:b/>
          <w:szCs w:val="24"/>
        </w:rPr>
        <w:t xml:space="preserve">Моноклональная гаммапатия </w:t>
      </w:r>
      <w:r w:rsidRPr="00F242DD">
        <w:rPr>
          <w:szCs w:val="24"/>
        </w:rPr>
        <w:t>– состояние, характеризующиеся присутствием иммуноглобулина одного класса</w:t>
      </w:r>
      <w:r w:rsidR="002311AE" w:rsidRPr="00F242DD">
        <w:rPr>
          <w:szCs w:val="24"/>
        </w:rPr>
        <w:t>.</w:t>
      </w:r>
      <w:r w:rsidR="00D50877" w:rsidRPr="00F242DD">
        <w:rPr>
          <w:szCs w:val="24"/>
        </w:rPr>
        <w:t xml:space="preserve"> </w:t>
      </w:r>
    </w:p>
    <w:p w14:paraId="31A54654" w14:textId="7BD18317" w:rsidR="005134F6" w:rsidRPr="00F242DD" w:rsidRDefault="005134F6" w:rsidP="002431B5">
      <w:pPr>
        <w:spacing w:before="0" w:after="0"/>
        <w:contextualSpacing/>
      </w:pPr>
      <w:r w:rsidRPr="00F242DD">
        <w:rPr>
          <w:b/>
        </w:rPr>
        <w:t>М-градиент</w:t>
      </w:r>
      <w:r w:rsidRPr="00F242DD">
        <w:t xml:space="preserve"> – узкая, четко очерченная полоса на электрофореграмме, которую образуют моноклональные иммуноглобулины.</w:t>
      </w:r>
    </w:p>
    <w:p w14:paraId="2C87E52D" w14:textId="77777777" w:rsidR="005134F6" w:rsidRPr="00F242DD" w:rsidRDefault="005134F6" w:rsidP="002431B5">
      <w:pPr>
        <w:spacing w:before="0" w:after="0"/>
        <w:contextualSpacing/>
      </w:pPr>
      <w:r w:rsidRPr="00F242DD">
        <w:rPr>
          <w:b/>
        </w:rPr>
        <w:t>Ремиссия</w:t>
      </w:r>
      <w:r w:rsidR="00D50877" w:rsidRPr="00F242DD">
        <w:rPr>
          <w:b/>
        </w:rPr>
        <w:t xml:space="preserve"> </w:t>
      </w:r>
      <w:r w:rsidR="00825336" w:rsidRPr="00F242DD">
        <w:t>–</w:t>
      </w:r>
      <w:r w:rsidRPr="00F242DD">
        <w:t xml:space="preserve"> период течения заболевания, который характеризуется значительным ослаблением или полным исчезновением симптомов заболевания, в том числе по данным выполненных лабораторных и инструментальных методов исследования.</w:t>
      </w:r>
    </w:p>
    <w:p w14:paraId="746FAEF5" w14:textId="77777777" w:rsidR="005134F6" w:rsidRPr="00F242DD" w:rsidRDefault="005134F6" w:rsidP="002431B5">
      <w:pPr>
        <w:spacing w:before="0" w:after="0"/>
        <w:contextualSpacing/>
      </w:pPr>
      <w:r w:rsidRPr="00F242DD">
        <w:rPr>
          <w:b/>
        </w:rPr>
        <w:t>Рецидив</w:t>
      </w:r>
      <w:r w:rsidRPr="00F242DD">
        <w:t xml:space="preserve"> – возврат клиники заболевания, в том числе и по данным лабораторных и инструментальных методов исследований.</w:t>
      </w:r>
    </w:p>
    <w:p w14:paraId="7B97F55F" w14:textId="77777777" w:rsidR="005134F6" w:rsidRPr="00F242DD" w:rsidRDefault="005134F6" w:rsidP="002431B5">
      <w:pPr>
        <w:spacing w:before="0" w:after="0"/>
        <w:contextualSpacing/>
      </w:pPr>
      <w:r w:rsidRPr="00F242DD">
        <w:rPr>
          <w:b/>
        </w:rPr>
        <w:t>Общая выживаемость</w:t>
      </w:r>
      <w:r w:rsidR="00A47DEE" w:rsidRPr="00F242DD">
        <w:rPr>
          <w:b/>
        </w:rPr>
        <w:t xml:space="preserve"> </w:t>
      </w:r>
      <w:r w:rsidR="00825336" w:rsidRPr="00F242DD">
        <w:t>–</w:t>
      </w:r>
      <w:r w:rsidRPr="00F242DD">
        <w:t xml:space="preserve"> рассчитывается от даты начала лечения до смерти от любой причины или</w:t>
      </w:r>
      <w:r w:rsidR="006E7B15" w:rsidRPr="00F242DD">
        <w:t xml:space="preserve"> до даты последней явки пациента</w:t>
      </w:r>
      <w:r w:rsidRPr="00F242DD">
        <w:t>.</w:t>
      </w:r>
    </w:p>
    <w:p w14:paraId="0FAD2DD5" w14:textId="77777777" w:rsidR="005134F6" w:rsidRPr="00F242DD" w:rsidRDefault="005134F6" w:rsidP="002431B5">
      <w:pPr>
        <w:spacing w:before="0" w:after="0"/>
        <w:contextualSpacing/>
      </w:pPr>
      <w:r w:rsidRPr="00F242DD">
        <w:rPr>
          <w:b/>
        </w:rPr>
        <w:t>Выживаемость без прогрессирования</w:t>
      </w:r>
      <w:r w:rsidR="00937770" w:rsidRPr="00F242DD">
        <w:rPr>
          <w:b/>
        </w:rPr>
        <w:t xml:space="preserve"> </w:t>
      </w:r>
      <w:r w:rsidR="00A56CC2" w:rsidRPr="00F242DD">
        <w:t>–</w:t>
      </w:r>
      <w:r w:rsidRPr="00F242DD">
        <w:t xml:space="preserve"> рассчитывается от даты начала лечения до прогрессирования болезни или смерти от любой причины.</w:t>
      </w:r>
    </w:p>
    <w:p w14:paraId="01C402A6" w14:textId="77777777" w:rsidR="004D7374" w:rsidRPr="00F242DD" w:rsidRDefault="004D7374" w:rsidP="002431B5">
      <w:pPr>
        <w:spacing w:before="0" w:after="0"/>
      </w:pPr>
    </w:p>
    <w:p w14:paraId="57A64B9B" w14:textId="77777777" w:rsidR="00B11FF3" w:rsidRPr="00F242DD" w:rsidRDefault="00B11FF3" w:rsidP="002431B5">
      <w:pPr>
        <w:spacing w:before="0" w:after="0"/>
      </w:pPr>
    </w:p>
    <w:p w14:paraId="21AF6715" w14:textId="77777777" w:rsidR="00B11FF3" w:rsidRPr="00F242DD" w:rsidRDefault="00B11FF3" w:rsidP="002431B5">
      <w:pPr>
        <w:spacing w:before="0" w:after="0"/>
      </w:pPr>
    </w:p>
    <w:p w14:paraId="61125F14" w14:textId="77777777" w:rsidR="00B11FF3" w:rsidRPr="00F242DD" w:rsidRDefault="00B11FF3" w:rsidP="002431B5">
      <w:pPr>
        <w:spacing w:before="0" w:after="0"/>
      </w:pPr>
    </w:p>
    <w:p w14:paraId="18D662ED" w14:textId="77777777" w:rsidR="00B11FF3" w:rsidRPr="00F242DD" w:rsidRDefault="00B11FF3" w:rsidP="002431B5">
      <w:pPr>
        <w:spacing w:before="0" w:after="0"/>
      </w:pPr>
    </w:p>
    <w:p w14:paraId="739DDDB5" w14:textId="77777777" w:rsidR="004D7374" w:rsidRPr="00F242DD" w:rsidRDefault="004D7374" w:rsidP="002431B5">
      <w:pPr>
        <w:pStyle w:val="1"/>
        <w:spacing w:before="0" w:after="0"/>
      </w:pPr>
      <w:bookmarkStart w:id="6" w:name="_Toc520213123"/>
      <w:bookmarkStart w:id="7" w:name="_Toc97734610"/>
      <w:r w:rsidRPr="00F242DD">
        <w:lastRenderedPageBreak/>
        <w:t>1. Краткая информация</w:t>
      </w:r>
      <w:bookmarkEnd w:id="6"/>
      <w:r w:rsidR="00131E36" w:rsidRPr="00F242DD">
        <w:t xml:space="preserve"> по заболеванию или состоянию </w:t>
      </w:r>
      <w:r w:rsidR="00764C72" w:rsidRPr="00F242DD">
        <w:br/>
      </w:r>
      <w:r w:rsidR="00131E36" w:rsidRPr="00F242DD">
        <w:t>(группе заболеваний или состояний)</w:t>
      </w:r>
      <w:bookmarkEnd w:id="7"/>
    </w:p>
    <w:p w14:paraId="0A4F7121" w14:textId="77777777" w:rsidR="004D7374" w:rsidRPr="00F242DD" w:rsidRDefault="004D7374" w:rsidP="002431B5">
      <w:pPr>
        <w:pStyle w:val="2"/>
      </w:pPr>
      <w:bookmarkStart w:id="8" w:name="_Toc97734611"/>
      <w:r w:rsidRPr="00F242DD">
        <w:t>1.1 Определение</w:t>
      </w:r>
      <w:r w:rsidR="00F56B62" w:rsidRPr="00F242DD">
        <w:t xml:space="preserve"> заболевания или состояния (группы заболеваний или состояний)</w:t>
      </w:r>
      <w:bookmarkEnd w:id="8"/>
      <w:r w:rsidR="00F56B62" w:rsidRPr="00F242DD">
        <w:t xml:space="preserve"> </w:t>
      </w:r>
    </w:p>
    <w:p w14:paraId="24B3A295" w14:textId="110DBED3" w:rsidR="004D7374" w:rsidRPr="00F242DD" w:rsidRDefault="00A56CC2" w:rsidP="002431B5">
      <w:pPr>
        <w:spacing w:before="0" w:after="0"/>
        <w:contextualSpacing/>
      </w:pPr>
      <w:r w:rsidRPr="00F242DD">
        <w:rPr>
          <w:b/>
        </w:rPr>
        <w:t>Множественная миелома</w:t>
      </w:r>
      <w:r w:rsidR="00E80729" w:rsidRPr="00F242DD">
        <w:rPr>
          <w:b/>
        </w:rPr>
        <w:t xml:space="preserve"> (ММ)</w:t>
      </w:r>
      <w:r w:rsidR="009918E5" w:rsidRPr="00F242DD">
        <w:rPr>
          <w:b/>
        </w:rPr>
        <w:t xml:space="preserve"> или</w:t>
      </w:r>
      <w:r w:rsidR="0045054E" w:rsidRPr="00F242DD">
        <w:rPr>
          <w:b/>
        </w:rPr>
        <w:t xml:space="preserve"> </w:t>
      </w:r>
      <w:r w:rsidR="009918E5" w:rsidRPr="00F242DD">
        <w:rPr>
          <w:b/>
        </w:rPr>
        <w:t>плазмоклеточная миелома (в редакции ВОЗ 2017</w:t>
      </w:r>
      <w:r w:rsidR="00E717D4" w:rsidRPr="00F242DD">
        <w:rPr>
          <w:b/>
        </w:rPr>
        <w:t> г.</w:t>
      </w:r>
      <w:r w:rsidR="009918E5" w:rsidRPr="00F242DD">
        <w:rPr>
          <w:b/>
        </w:rPr>
        <w:t xml:space="preserve">) </w:t>
      </w:r>
      <w:r w:rsidRPr="00F242DD">
        <w:t>– это В-клеточная злокачественная опухоль, морфологическим субстратом которой являются плазматические клетки</w:t>
      </w:r>
      <w:r w:rsidR="003A6BE5" w:rsidRPr="00F242DD">
        <w:t xml:space="preserve"> (ПК)</w:t>
      </w:r>
      <w:r w:rsidRPr="00F242DD">
        <w:t>, продуцирующие моноклональный иммуноглобулин</w:t>
      </w:r>
      <w:r w:rsidR="00E717D4" w:rsidRPr="00F242DD">
        <w:t xml:space="preserve"> </w:t>
      </w:r>
      <w:r w:rsidR="00A96FB6" w:rsidRPr="00F242DD">
        <w:fldChar w:fldCharType="begin" w:fldLock="1"/>
      </w:r>
      <w:r w:rsidR="00500F37">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F242DD">
        <w:fldChar w:fldCharType="separate"/>
      </w:r>
      <w:r w:rsidR="00E03159" w:rsidRPr="00E03159">
        <w:rPr>
          <w:noProof/>
        </w:rPr>
        <w:t>[1]</w:t>
      </w:r>
      <w:r w:rsidR="00A96FB6" w:rsidRPr="00F242DD">
        <w:fldChar w:fldCharType="end"/>
      </w:r>
      <w:r w:rsidRPr="00F242DD">
        <w:t>.</w:t>
      </w:r>
    </w:p>
    <w:p w14:paraId="1A70EC52" w14:textId="77777777" w:rsidR="004D7374" w:rsidRPr="00F242DD" w:rsidRDefault="004D7374" w:rsidP="002431B5">
      <w:pPr>
        <w:pStyle w:val="2"/>
      </w:pPr>
      <w:bookmarkStart w:id="9" w:name="_Toc97734612"/>
      <w:r w:rsidRPr="00F242DD">
        <w:t>1.2 Этиология и патогенез</w:t>
      </w:r>
      <w:r w:rsidR="00F56B62" w:rsidRPr="00F242DD">
        <w:t xml:space="preserve"> заболевания или состояния (группы заболеваний или состояний)</w:t>
      </w:r>
      <w:bookmarkEnd w:id="9"/>
      <w:r w:rsidR="00F56B62" w:rsidRPr="00F242DD">
        <w:t xml:space="preserve"> </w:t>
      </w:r>
    </w:p>
    <w:p w14:paraId="7926D67C" w14:textId="00BEDEEF" w:rsidR="004D7374" w:rsidRPr="00F242DD" w:rsidRDefault="009918E5" w:rsidP="002431B5">
      <w:pPr>
        <w:spacing w:before="0" w:after="0"/>
        <w:contextualSpacing/>
      </w:pPr>
      <w:r w:rsidRPr="00F242DD">
        <w:t xml:space="preserve">Патогенетически решающим фактом </w:t>
      </w:r>
      <w:r w:rsidR="00A045D5" w:rsidRPr="00F242DD">
        <w:t>является</w:t>
      </w:r>
      <w:r w:rsidRPr="00F242DD">
        <w:t xml:space="preserve"> длительная, хроническая антигенная стимуляция </w:t>
      </w:r>
      <w:r w:rsidR="00D22D1F" w:rsidRPr="00F242DD">
        <w:t>после</w:t>
      </w:r>
      <w:r w:rsidRPr="00F242DD">
        <w:t xml:space="preserve"> вирусных инфекций или других хронических заболеваний, длительного воздействия токсических веществ и радиации</w:t>
      </w:r>
      <w:r w:rsidR="00E717D4" w:rsidRPr="00F242DD">
        <w:t xml:space="preserve"> </w:t>
      </w:r>
      <w:r w:rsidR="00A96FB6" w:rsidRPr="00F242DD">
        <w:fldChar w:fldCharType="begin" w:fldLock="1"/>
      </w:r>
      <w:r w:rsidR="00500F37">
        <w:instrText>ADDIN CSL_CITATION {"citationItems":[{"id":"ITEM-1","itemData":{"DOI":"10.1007/s10147-015-0837-0","ISSN":"1437-7772","PMID":"25953678","abstract":"Multiple myeloma (MM), one of the most intractable malignancies, is characterized by the infiltration and growth of plasma cells, the most differentiated cells in the B-cell lineage, in the bone marrow. Despite the introduction of novel therapeutic agents, including proteasome inhibitors and immunomodulatory drugs, the prognosis of patients with MM is still worse than that of most hematological malignancies. A better understanding of the molecular pathogenesis of the disease is essential to achieve any improvement of treatment outcome of MM patients. All MM cases pass through the phase of asymptomatic expansion of clonal plasma cells, referred to as monoclonal gammopathy of undetermined significance (MGUS). It has long been believed that MM evolves linearly from MGUS to terminal phases, such as extramedullary tumors and plasma cell leukemia via the accumulation of novel mutations. However, recent studies using next-generation sequencing have disclosed the complex genomic architecture of the disease. At each step of progression, the acquisition of novel mutations is accompanied by subclonal evolution from reservoir clones with branching patterns. Each subclone may carry novel mutations and distinct phenotypes, including drug sensitivity. In addition, minor clones already exist at the MGUS stage, which could expand later in the clinical course, resulting in relapse and/or leukemic conversion. The ultimate goal of treatment is to eradicate all clones, including subclonal populations with distinct biological characteristics. This goal could be achieved by further improving treatment strategies that reflect the genomic landscape of the disease.","author":[{"dropping-particle":"","family":"Furukawa","given":"Yusuke","non-dropping-particle":"","parse-names":false,"suffix":""},{"dropping-particle":"","family":"Kikuchi","given":"Jiro","non-dropping-particle":"","parse-names":false,"suffix":""}],"container-title":"International journal of clinical oncology","id":"ITEM-1","issue":"3","issued":{"date-parts":[["2015","6"]]},"page":"413-22","title":"Molecular pathogenesis of multiple myeloma.","type":"article-journal","volume":"20"},"uris":["http://www.mendeley.com/documents/?uuid=7ed49ac3-6857-3524-ae38-7b0b832da3da"]},{"id":"ITEM-2","itemData":{"DOI":"10.1126/science.142.3598.1492","ISSN":"0036-8075","author":[{"dropping-particle":"","family":"Lewis","given":"E. B.","non-dropping-particle":"","parse-names":false,"suffix":""}],"container-title":"Science","id":"ITEM-2","issue":"3598","issued":{"date-parts":[["1963","12","13"]]},"page":"1492-1494","title":"Leukemia, Multiple Myeloma, and Aplastic Anemia in American Radiologists","type":"article-journal","volume":"142"},"uris":["http://www.mendeley.com/documents/?uuid=f7e95964-b09a-359f-9c6e-40c490e0de91"]},{"id":"ITEM-3","itemData":{"author":[{"dropping-particle":"","family":"Linet","given":"M.S.","non-dropping-particle":"","parse-names":false,"suffix":""},{"dropping-particle":"","family":"Harlow","given":"S.D.","non-dropping-particle":"","parse-names":false,"suffix":""},{"dropping-particle":"","family":"McLaughlin","given":"J.K.","non-dropping-particle":"","parse-names":false,"suffix":""}],"container-title":"Cancer Research","id":"ITEM-3","issue":"11","issued":{"date-parts":[["1987"]]},"page":"2978-2981","title":"A case-control study of multiple myeloma in whites: chronic antigenic stimulation, occupation, and drug use.","type":"article-journal","volume":"47"},"uris":["http://www.mendeley.com/documents/?uuid=75f5cfe5-6b6b-4d02-9463-6ba010e37d9e"]},{"id":"ITEM-4","itemData":{"ISSN":"0006-4971","PMID":"9414264","author":[{"dropping-particle":"","family":"Hallek","given":"M","non-dropping-particle":"","parse-names":false,"suffix":""},{"dropping-particle":"","family":"Bergsagel","given":"P L","non-dropping-particle":"","parse-names":false,"suffix":""},{"dropping-particle":"","family":"Anderson","given":"K C","non-dropping-particle":"","parse-names":false,"suffix":""}],"container-title":"Blood","id":"ITEM-4","issue":"1","issued":{"date-parts":[["1998","1","1"]]},"page":"3-21","title":"Multiple myeloma: increasing evidence for a multistep transformation process.","type":"article-journal","volume":"91"},"uris":["http://www.mendeley.com/documents/?uuid=98f51870-a144-3f83-9627-15e5bdfb6349"]}],"mendeley":{"formattedCitation":"[2–5]","plainTextFormattedCitation":"[2–5]","previouslyFormattedCitation":"[2–5]"},"properties":{"noteIndex":0},"schema":"https://github.com/citation-style-language/schema/raw/master/csl-citation.json"}</w:instrText>
      </w:r>
      <w:r w:rsidR="00A96FB6" w:rsidRPr="00F242DD">
        <w:fldChar w:fldCharType="separate"/>
      </w:r>
      <w:r w:rsidR="00E03159" w:rsidRPr="00E03159">
        <w:rPr>
          <w:noProof/>
        </w:rPr>
        <w:t>[2–5]</w:t>
      </w:r>
      <w:r w:rsidR="00A96FB6" w:rsidRPr="00F242DD">
        <w:fldChar w:fldCharType="end"/>
      </w:r>
      <w:r w:rsidR="00E717D4" w:rsidRPr="00F242DD">
        <w:t xml:space="preserve">. </w:t>
      </w:r>
      <w:r w:rsidR="00A045D5" w:rsidRPr="00F242DD">
        <w:t xml:space="preserve">В результате </w:t>
      </w:r>
      <w:r w:rsidR="0045054E" w:rsidRPr="00F242DD">
        <w:rPr>
          <w:rFonts w:eastAsia="Times New Roman"/>
          <w:color w:val="222222"/>
          <w:szCs w:val="24"/>
          <w:lang w:eastAsia="ru-RU"/>
        </w:rPr>
        <w:t>длительной серии генетических событий</w:t>
      </w:r>
      <w:r w:rsidR="00A045D5" w:rsidRPr="00F242DD">
        <w:rPr>
          <w:rFonts w:eastAsia="Times New Roman"/>
          <w:color w:val="222222"/>
          <w:szCs w:val="24"/>
          <w:lang w:eastAsia="ru-RU"/>
        </w:rPr>
        <w:t xml:space="preserve"> формируется патологическский клон В-клеток, способных к дифференцировке до </w:t>
      </w:r>
      <w:r w:rsidR="003A6BE5" w:rsidRPr="00F242DD">
        <w:rPr>
          <w:rFonts w:eastAsia="Times New Roman"/>
          <w:color w:val="222222"/>
          <w:szCs w:val="24"/>
          <w:lang w:eastAsia="ru-RU"/>
        </w:rPr>
        <w:t>ПК</w:t>
      </w:r>
      <w:r w:rsidR="00A045D5" w:rsidRPr="00F242DD">
        <w:rPr>
          <w:rFonts w:eastAsia="Times New Roman"/>
          <w:color w:val="222222"/>
          <w:szCs w:val="24"/>
          <w:lang w:eastAsia="ru-RU"/>
        </w:rPr>
        <w:t xml:space="preserve">, но продуцирующих нефункциональный иммуноглобулин. </w:t>
      </w:r>
      <w:r w:rsidR="0045054E" w:rsidRPr="00F242DD">
        <w:rPr>
          <w:rFonts w:eastAsia="Times New Roman"/>
          <w:color w:val="222222"/>
          <w:szCs w:val="24"/>
          <w:lang w:eastAsia="ru-RU"/>
        </w:rPr>
        <w:t>Биологические и клинические особенности ММ связаны с генетическими аберрациями, такими как перестройка</w:t>
      </w:r>
      <w:r w:rsidR="00A045D5" w:rsidRPr="00F242DD">
        <w:rPr>
          <w:rFonts w:eastAsia="Times New Roman"/>
          <w:color w:val="222222"/>
          <w:szCs w:val="24"/>
          <w:lang w:eastAsia="ru-RU"/>
        </w:rPr>
        <w:t xml:space="preserve"> локусов</w:t>
      </w:r>
      <w:r w:rsidR="0045054E" w:rsidRPr="00F242DD">
        <w:rPr>
          <w:rFonts w:eastAsia="Times New Roman"/>
          <w:color w:val="222222"/>
          <w:szCs w:val="24"/>
          <w:lang w:eastAsia="ru-RU"/>
        </w:rPr>
        <w:t xml:space="preserve"> генов тяжелой цепи</w:t>
      </w:r>
      <w:r w:rsidR="00A045D5" w:rsidRPr="00F242DD">
        <w:rPr>
          <w:rFonts w:eastAsia="Times New Roman"/>
          <w:color w:val="222222"/>
          <w:szCs w:val="24"/>
          <w:lang w:eastAsia="ru-RU"/>
        </w:rPr>
        <w:t xml:space="preserve"> иммуноглобулина (IGH)</w:t>
      </w:r>
      <w:r w:rsidR="00C840EE" w:rsidRPr="00F242DD">
        <w:rPr>
          <w:rFonts w:eastAsia="Times New Roman"/>
          <w:color w:val="222222"/>
          <w:szCs w:val="24"/>
          <w:lang w:eastAsia="ru-RU"/>
        </w:rPr>
        <w:t xml:space="preserve">, </w:t>
      </w:r>
      <w:r w:rsidR="0045054E" w:rsidRPr="00F242DD">
        <w:rPr>
          <w:rFonts w:eastAsia="Times New Roman"/>
          <w:color w:val="222222"/>
          <w:szCs w:val="24"/>
          <w:lang w:eastAsia="ru-RU"/>
        </w:rPr>
        <w:t>а также хромосомные делеции, мутации соматических генов и хромосомная гипердиплоидия с участием нечетного числа хромосом</w:t>
      </w:r>
      <w:r w:rsidR="00A045D5" w:rsidRPr="00F242DD">
        <w:rPr>
          <w:rFonts w:eastAsia="Times New Roman"/>
          <w:color w:val="222222"/>
          <w:szCs w:val="24"/>
          <w:lang w:eastAsia="ru-RU"/>
        </w:rPr>
        <w:t>. Наличие значительного количества различных генетических нарушений обусл</w:t>
      </w:r>
      <w:r w:rsidR="008030C8" w:rsidRPr="00F242DD">
        <w:rPr>
          <w:rFonts w:eastAsia="Times New Roman"/>
          <w:color w:val="222222"/>
          <w:szCs w:val="24"/>
          <w:lang w:eastAsia="ru-RU"/>
        </w:rPr>
        <w:t>о</w:t>
      </w:r>
      <w:r w:rsidR="00A045D5" w:rsidRPr="00F242DD">
        <w:rPr>
          <w:rFonts w:eastAsia="Times New Roman"/>
          <w:color w:val="222222"/>
          <w:szCs w:val="24"/>
          <w:lang w:eastAsia="ru-RU"/>
        </w:rPr>
        <w:t>вливает высокую вариабельность течения болезни</w:t>
      </w:r>
      <w:r w:rsidR="00C840EE" w:rsidRPr="00F242DD">
        <w:rPr>
          <w:rFonts w:eastAsia="Times New Roman"/>
          <w:color w:val="222222"/>
          <w:szCs w:val="24"/>
          <w:lang w:eastAsia="ru-RU"/>
        </w:rPr>
        <w:t xml:space="preserve"> </w:t>
      </w:r>
      <w:r w:rsidR="00A96FB6" w:rsidRPr="00F242DD">
        <w:rPr>
          <w:rFonts w:eastAsia="Times New Roman"/>
          <w:color w:val="222222"/>
          <w:szCs w:val="24"/>
          <w:lang w:eastAsia="ru-RU"/>
        </w:rPr>
        <w:fldChar w:fldCharType="begin" w:fldLock="1"/>
      </w:r>
      <w:r w:rsidR="00A14090">
        <w:rPr>
          <w:rFonts w:eastAsia="Times New Roman"/>
          <w:color w:val="222222"/>
          <w:szCs w:val="24"/>
          <w:lang w:eastAsia="ru-RU"/>
        </w:rPr>
        <w:instrText>ADDIN CSL_CITATION {"citationItems":[{"id":"ITEM-1","itemData":{"DOI":"10.1172/JCI61188","ISSN":"1558-8238","PMID":"23023717","abstract":"Multiple myeloma is a monoclonal tumor of plasma cells, and its development is preceded by a premalignant tumor with which it shares genetic abnormalities, including universal dysregulation of the cyclin D/retinoblastoma (cyclin D/RB) pathway. A complex interaction with the BM microenvironment, characterized by activation of osteoclasts and suppression of osteoblasts, leads to lytic bone disease. Intratumor genetic heterogeneity, which occurs in addition to intertumor heterogeneity, contributes to the rapid emergence of drug resistance in high-risk disease. Despite recent therapeutic advances, which have doubled the median survival time, myeloma continues to be a mostly incurable disease. Here we review the current understanding of myeloma pathogenesis and insight into new therapeutic strategies provided by animal models and genetic screens.","author":[{"dropping-particle":"","family":"Kuehl","given":"W Michael","non-dropping-particle":"","parse-names":false,"suffix":""},{"dropping-particle":"","family":"Bergsagel","given":"P Leif","non-dropping-particle":"","parse-names":false,"suffix":""}],"container-title":"The Journal of clinical investigation","id":"ITEM-1","issue":"10","issued":{"date-parts":[["2012","10"]]},"page":"3456-63","title":"Molecular pathogenesis of multiple myeloma and its premalignant precursor.","type":"article-journal","volume":"122"},"uris":["http://www.mendeley.com/documents/?uuid=cec0d1b0-5bbe-3cad-b7f6-f0c7352a7c55"]},{"id":"ITEM-2","itemData":{"DOI":"10.1038/nrc3257","ISSN":"1474-1768","PMID":"22495321","abstract":"Based on the clinical features of myeloma and related malignancies of plasma cells, it has been possible to generate a model system of myeloma progression from a normal plasma cell through smouldering myeloma to myeloma and then plasma cell leukaemia. Using this model system we can study at which points the genetic alterations identified through whole-tumour molecular analyses function in the initiation and progression of myeloma. Further genetic complexity, such as intraclonal heterogeneity, and insights into the molecular evolution and intraclonal dynamics in this model system are crucial to our understandings of tumour progression, treatment resistance and the use of currently available and future treatments.","author":[{"dropping-particle":"","family":"Morgan","given":"Gareth J","non-dropping-particle":"","parse-names":false,"suffix":""},{"dropping-particle":"","family":"Walker","given":"Brian A","non-dropping-particle":"","parse-names":false,"suffix":""},{"dropping-particle":"","family":"Davies","given":"Faith E","non-dropping-particle":"","parse-names":false,"suffix":""}],"container-title":"Nature reviews. Cancer","id":"ITEM-2","issue":"5","issued":{"date-parts":[["2012","4","12"]]},"page":"335-48","title":"The genetic architecture of multiple myeloma.","type":"article-journal","volume":"12"},"uris":["http://www.mendeley.com/documents/?uuid=22f30392-a9bf-3e38-be7b-8d6e10f4bec0"]},{"id":"ITEM-3","itemData":{"DOI":"10.1038/leu.2009.174","ISSN":"14765551","abstract":"Myeloma is a malignant proliferation of monoclonal plasma cells. Although morphologically similar, several subtypes of the disease have been identified at the genetic and molecular level. These genetic subtypes are associated with unique clinicopathological features and dissimilar outcome. At the top hierarchical level, myeloma can be divided into hyperdiploid and non-hyperdiploid subtypes. The latter is mainly composed of cases harboring IgH translocations, generally associated with more aggressive clinical features and shorter survival. The three main IgH translocations in myeloma are the t(11;14)(q13;q32), t(4;14)(p16;q32) and t(14;16)(q32;q23). Trisomies and a more indolent form of the disease characterize hyperdiploid myeloma. A number of genetic progression factors have been identified including deletions of chromosomes 13 and 17 and abnormalities of chromosome 1 (1p deletion and 1q amplification). Other key drivers of cell survival and proliferation have also been identified such as nuclear factor- B-activating mutations and other deregulation factors for the cyclin-dependent pathways regulators. Further understanding of the biological subtypes of the disease has come from the application of novel techniques such as gene expression profiling and array-based comparative genomic hybridization. The combination of data arising from these studies and that previously elucidated through other mechanisms allows for most myeloma cases to be classified under one of several genetic subtypes. This paper proposes a framework for the classification of myeloma subtypes and provides recommendations for genetic testing. This group proposes that genetic testing needs to be incorporated into daily clinical practice and also as an essential component of all ongoing and future clinical trials.","author":[{"dropping-particle":"","family":"Fonseca","given":"R.","non-dropping-particle":"","parse-names":false,"suffix":""},{"dropping-particle":"","family":"Bergsagel","given":"P. L.","non-dropping-particle":"","parse-names":false,"suffix":""},{"dropping-particle":"","family":"Drach","given":"J.","non-dropping-particle":"","parse-names":false,"suffix":""},{"dropping-particle":"","family":"Shaughnessy","given":"J.","non-dropping-particle":"","parse-names":false,"suffix":""},{"dropping-particle":"","family":"Gutierrez","given":"N.","non-dropping-particle":"","parse-names":false,"suffix":""},{"dropping-particle":"","family":"Stewart","given":"A. K.","non-dropping-particle":"","parse-names":false,"suffix":""},{"dropping-particle":"","family":"Morgan","given":"G.","non-dropping-particle":"","parse-names":false,"suffix":""},{"dropping-particle":"","family":"Ness","given":"B.","non-dropping-particle":"Van","parse-names":false,"suffix":""},{"dropping-particle":"","family":"Chesi","given":"M.","non-dropping-particle":"","parse-names":false,"suffix":""},{"dropping-particle":"","family":"Minvielle","given":"S.","non-dropping-particle":"","parse-names":false,"suffix":""},{"dropping-particle":"","family":"Neri","given":"A.","non-dropping-particle":"","parse-names":false,"suffix":""},{"dropping-particle":"","family":"Barlogie","given":"B.","non-dropping-particle":"","parse-names":false,"suffix":""},{"dropping-particle":"","family":"Kuehl","given":"W. M.","non-dropping-particle":"","parse-names":false,"suffix":""},{"dropping-particle":"","family":"Liebisch","given":"P.","non-dropping-particle":"","parse-names":false,"suffix":""},{"dropping-particle":"","family":"Davies","given":"F.","non-dropping-particle":"","parse-names":false,"suffix":""},{"dropping-particle":"","family":"Chen-Kiang","given":"S.","non-dropping-particle":"","parse-names":false,"suffix":""},{"dropping-particle":"","family":"Durie","given":"B. G.M.","non-dropping-particle":"","parse-names":false,"suffix":""},{"dropping-particle":"","family":"Carrasco","given":"R.","non-dropping-particle":"","parse-names":false,"suffix":""},{"dropping-particle":"","family":"Sezer","given":"O.","non-dropping-particle":"","parse-names":false,"suffix":""},{"dropping-particle":"","family":"Reiman","given":"T.","non-dropping-particle":"","parse-names":false,"suffix":""},{"dropping-particle":"","family":"Pilarski","given":"L.","non-dropping-particle":"","parse-names":false,"suffix":""},{"dropping-particle":"","family":"Avet-Loiseau","given":"H.","non-dropping-particle":"","parse-names":false,"suffix":""}],"container-title":"Leukemia","id":"ITEM-3","issue":"12","issued":{"date-parts":[["2009"]]},"page":"2210-2221","publisher":"Nature Publishing Group","title":"International Myeloma Working Group molecular classification of multiple myeloma: Spotlight review","type":"article","volume":"23"},"uris":["http://www.mendeley.com/documents/?uuid=eea161a0-d6ce-3fa3-9219-81304b897921"]},{"id":"ITEM-4","itemData":{"DOI":"10.1007/s10147-015-0837-0","ISSN":"1437-7772","PMID":"25953678","abstract":"Multiple myeloma (MM), one of the most intractable malignancies, is characterized by the infiltration and growth of plasma cells, the most differentiated cells in the B-cell lineage, in the bone marrow. Despite the introduction of novel therapeutic agents, including proteasome inhibitors and immunomodulatory drugs, the prognosis of patients with MM is still worse than that of most hematological malignancies. A better understanding of the molecular pathogenesis of the disease is essential to achieve any improvement of treatment outcome of MM patients. All MM cases pass through the phase of asymptomatic expansion of clonal plasma cells, referred to as monoclonal gammopathy of undetermined significance (MGUS). It has long been believed that MM evolves linearly from MGUS to terminal phases, such as extramedullary tumors and plasma cell leukemia via the accumulation of novel mutations. However, recent studies using next-generation sequencing have disclosed the complex genomic architecture of the disease. At each step of progression, the acquisition of novel mutations is accompanied by subclonal evolution from reservoir clones with branching patterns. Each subclone may carry novel mutations and distinct phenotypes, including drug sensitivity. In addition, minor clones already exist at the MGUS stage, which could expand later in the clinical course, resulting in relapse and/or leukemic conversion. The ultimate goal of treatment is to eradicate all clones, including subclonal populations with distinct biological characteristics. This goal could be achieved by further improving treatment strategies that reflect the genomic landscape of the disease.","author":[{"dropping-particle":"","family":"Furukawa","given":"Yusuke","non-dropping-particle":"","parse-names":false,"suffix":""},{"dropping-particle":"","family":"Kikuchi","given":"Jiro","non-dropping-particle":"","parse-names":false,"suffix":""}],"container-title":"International journal of clinical oncology","id":"ITEM-4","issue":"3","issued":{"date-parts":[["2015","6"]]},"page":"413-22","title":"Molecular pathogenesis of multiple myeloma.","type":"article-journal","volume":"20"},"uris":["http://www.mendeley.com/documents/?uuid=7ed49ac3-6857-3524-ae38-7b0b832da3da"]}],"mendeley":{"formattedCitation":"[2,6–8]","plainTextFormattedCitation":"[2,6–8]","previouslyFormattedCitation":"[2,6–8]"},"properties":{"noteIndex":0},"schema":"https://github.com/citation-style-language/schema/raw/master/csl-citation.json"}</w:instrText>
      </w:r>
      <w:r w:rsidR="00A96FB6" w:rsidRPr="00F242DD">
        <w:rPr>
          <w:rFonts w:eastAsia="Times New Roman"/>
          <w:color w:val="222222"/>
          <w:szCs w:val="24"/>
          <w:lang w:eastAsia="ru-RU"/>
        </w:rPr>
        <w:fldChar w:fldCharType="separate"/>
      </w:r>
      <w:r w:rsidR="00500F37" w:rsidRPr="00500F37">
        <w:rPr>
          <w:rFonts w:eastAsia="Times New Roman"/>
          <w:noProof/>
          <w:color w:val="222222"/>
          <w:szCs w:val="24"/>
          <w:lang w:eastAsia="ru-RU"/>
        </w:rPr>
        <w:t>[2,6–8]</w:t>
      </w:r>
      <w:r w:rsidR="00A96FB6" w:rsidRPr="00F242DD">
        <w:rPr>
          <w:rFonts w:eastAsia="Times New Roman"/>
          <w:color w:val="222222"/>
          <w:szCs w:val="24"/>
          <w:lang w:eastAsia="ru-RU"/>
        </w:rPr>
        <w:fldChar w:fldCharType="end"/>
      </w:r>
      <w:r w:rsidR="004A458B" w:rsidRPr="00F242DD">
        <w:t>.</w:t>
      </w:r>
    </w:p>
    <w:p w14:paraId="61FF44F0" w14:textId="77777777" w:rsidR="004D7374" w:rsidRPr="00F242DD" w:rsidRDefault="004D7374" w:rsidP="002431B5">
      <w:pPr>
        <w:pStyle w:val="2"/>
        <w:spacing w:before="0" w:after="0"/>
        <w:contextualSpacing/>
      </w:pPr>
      <w:bookmarkStart w:id="10" w:name="_Toc97734613"/>
      <w:r w:rsidRPr="00F242DD">
        <w:t>1.3 Эпидемиология</w:t>
      </w:r>
      <w:r w:rsidR="00F56B62" w:rsidRPr="00F242DD">
        <w:t xml:space="preserve"> заболевания или состояния (группы заболеваний или состояний)</w:t>
      </w:r>
      <w:bookmarkEnd w:id="10"/>
    </w:p>
    <w:p w14:paraId="190488A0" w14:textId="157BFAF9" w:rsidR="004D7374" w:rsidRPr="00F242DD" w:rsidRDefault="00CD79F9" w:rsidP="002431B5">
      <w:pPr>
        <w:spacing w:before="0" w:after="0"/>
        <w:contextualSpacing/>
      </w:pPr>
      <w:r w:rsidRPr="00F242DD">
        <w:t>Заболеваемость ММ</w:t>
      </w:r>
      <w:r w:rsidR="004A458B" w:rsidRPr="00F242DD">
        <w:t xml:space="preserve"> составляет приблизительно 1</w:t>
      </w:r>
      <w:r w:rsidRPr="00F242DD">
        <w:t> </w:t>
      </w:r>
      <w:r w:rsidR="004A458B" w:rsidRPr="00F242DD">
        <w:t>% среди всех злокачественных опухолей и до 10</w:t>
      </w:r>
      <w:r w:rsidRPr="00F242DD">
        <w:t>−</w:t>
      </w:r>
      <w:r w:rsidR="004A458B" w:rsidRPr="00F242DD">
        <w:t>1</w:t>
      </w:r>
      <w:r w:rsidR="002A5B1B" w:rsidRPr="00F242DD">
        <w:t>5</w:t>
      </w:r>
      <w:r w:rsidRPr="00F242DD">
        <w:t> </w:t>
      </w:r>
      <w:r w:rsidR="004A458B" w:rsidRPr="00F242DD">
        <w:t xml:space="preserve">% всех </w:t>
      </w:r>
      <w:r w:rsidR="002A5B1B" w:rsidRPr="00F242DD">
        <w:t>опухолей кроветворной и лимфоидной тканей</w:t>
      </w:r>
      <w:r w:rsidR="004A458B" w:rsidRPr="00F242DD">
        <w:t xml:space="preserve">. Заболевают преимущественно люди старшей возрастной группы. Средний возраст вновь заболевших </w:t>
      </w:r>
      <w:r w:rsidRPr="00F242DD">
        <w:t>− ≈</w:t>
      </w:r>
      <w:r w:rsidR="004A458B" w:rsidRPr="00F242DD">
        <w:t>70 лет, распространенность заболевания среди населения моложе 40 лет не превышает 2</w:t>
      </w:r>
      <w:r w:rsidR="00EF028E" w:rsidRPr="00F242DD">
        <w:t> </w:t>
      </w:r>
      <w:r w:rsidR="004A458B" w:rsidRPr="00F242DD">
        <w:t>%. В России в 2017 г. заболеваемость ММ составила 2,78 на 100</w:t>
      </w:r>
      <w:r w:rsidR="00C840EE" w:rsidRPr="00F242DD">
        <w:t> </w:t>
      </w:r>
      <w:r w:rsidR="00EF028E" w:rsidRPr="00F242DD">
        <w:t>тыс.</w:t>
      </w:r>
      <w:r w:rsidR="004A458B" w:rsidRPr="00F242DD">
        <w:t xml:space="preserve"> населения, впервые было диагностировано 4</w:t>
      </w:r>
      <w:r w:rsidR="00C840EE" w:rsidRPr="00F242DD">
        <w:t> </w:t>
      </w:r>
      <w:r w:rsidR="004A458B" w:rsidRPr="00F242DD">
        <w:t>075 случая, умерл</w:t>
      </w:r>
      <w:r w:rsidR="00EF028E" w:rsidRPr="00F242DD">
        <w:t>и</w:t>
      </w:r>
      <w:r w:rsidR="004A458B" w:rsidRPr="00F242DD">
        <w:t xml:space="preserve"> 2587 </w:t>
      </w:r>
      <w:r w:rsidR="00FB03BB" w:rsidRPr="00F242DD">
        <w:t>пациентов</w:t>
      </w:r>
      <w:r w:rsidR="00C840EE" w:rsidRPr="00F242DD">
        <w:rPr>
          <w:i/>
        </w:rPr>
        <w:t xml:space="preserve"> </w:t>
      </w:r>
      <w:r w:rsidR="00A96FB6" w:rsidRPr="00F242DD">
        <w:rPr>
          <w:i/>
        </w:rPr>
        <w:fldChar w:fldCharType="begin" w:fldLock="1"/>
      </w:r>
      <w:r w:rsidR="00500F37">
        <w:rPr>
          <w:i/>
        </w:rPr>
        <w:instrText>ADDIN CSL_CITATION {"citationItems":[{"id":"ITEM-1","itemData":{"editor":[{"dropping-particle":"","family":"Каприна","given":"А.Д.","non-dropping-particle":"","parse-names":false,"suffix":""},{"dropping-particle":"","family":"Старинского","given":"В.В.","non-dropping-particle":"","parse-names":false,"suffix":""},{"dropping-particle":"","family":"Петровой","given":"Г.В.","non-dropping-particle":"","parse-names":false,"suffix":""}],"id":"ITEM-1","issued":{"date-parts":[["2018"]]},"page":"250","publisher":"МНИОИ им. П.А. Герцена – филиал ФГБУ «НМИЦ радиологии» Минздрава России","publisher-place":"Москва","title":"Злокачественные новообразования в России в 2017 году (заболеваемость и смертность).","type":"chapter"},"uris":["http://www.mendeley.com/documents/?uuid=b2b5b931-a445-4c5e-9a6a-24ae98007055"]}],"mendeley":{"formattedCitation":"[9]","plainTextFormattedCitation":"[9]","previouslyFormattedCitation":"[9]"},"properties":{"noteIndex":0},"schema":"https://github.com/citation-style-language/schema/raw/master/csl-citation.json"}</w:instrText>
      </w:r>
      <w:r w:rsidR="00A96FB6" w:rsidRPr="00F242DD">
        <w:rPr>
          <w:i/>
        </w:rPr>
        <w:fldChar w:fldCharType="separate"/>
      </w:r>
      <w:r w:rsidR="00E03159" w:rsidRPr="00E03159">
        <w:rPr>
          <w:noProof/>
        </w:rPr>
        <w:t>[9]</w:t>
      </w:r>
      <w:r w:rsidR="00A96FB6" w:rsidRPr="00F242DD">
        <w:rPr>
          <w:i/>
        </w:rPr>
        <w:fldChar w:fldCharType="end"/>
      </w:r>
      <w:r w:rsidR="004A458B" w:rsidRPr="00F242DD">
        <w:t>.</w:t>
      </w:r>
    </w:p>
    <w:p w14:paraId="5DFA2901" w14:textId="77777777" w:rsidR="004D7374" w:rsidRPr="00F242DD" w:rsidRDefault="004D7374" w:rsidP="002431B5">
      <w:pPr>
        <w:pStyle w:val="2"/>
        <w:spacing w:before="0" w:after="0"/>
        <w:contextualSpacing/>
      </w:pPr>
      <w:bookmarkStart w:id="11" w:name="_Toc97734614"/>
      <w:r w:rsidRPr="00F242DD">
        <w:t xml:space="preserve">1.4 </w:t>
      </w:r>
      <w:r w:rsidR="00F56B62" w:rsidRPr="00F242DD">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1"/>
    </w:p>
    <w:p w14:paraId="6104051F" w14:textId="77777777" w:rsidR="004A458B" w:rsidRPr="00F242DD" w:rsidRDefault="004A458B" w:rsidP="002431B5">
      <w:pPr>
        <w:spacing w:before="0" w:after="0"/>
        <w:contextualSpacing/>
      </w:pPr>
      <w:r w:rsidRPr="00F242DD">
        <w:rPr>
          <w:b/>
        </w:rPr>
        <w:t xml:space="preserve">С90.0 </w:t>
      </w:r>
      <w:r w:rsidR="00EF028E" w:rsidRPr="00F242DD">
        <w:rPr>
          <w:b/>
        </w:rPr>
        <w:t>−</w:t>
      </w:r>
      <w:r w:rsidRPr="00F242DD">
        <w:t xml:space="preserve"> </w:t>
      </w:r>
      <w:r w:rsidR="00EF028E" w:rsidRPr="00F242DD">
        <w:t>м</w:t>
      </w:r>
      <w:r w:rsidRPr="00F242DD">
        <w:t xml:space="preserve">ножественная миелома </w:t>
      </w:r>
    </w:p>
    <w:p w14:paraId="72455678" w14:textId="77777777" w:rsidR="004D7374" w:rsidRPr="00F242DD" w:rsidRDefault="004D7374" w:rsidP="002431B5">
      <w:pPr>
        <w:pStyle w:val="2"/>
      </w:pPr>
      <w:bookmarkStart w:id="12" w:name="_Toc97734615"/>
      <w:r w:rsidRPr="00F242DD">
        <w:t xml:space="preserve">1.5 </w:t>
      </w:r>
      <w:r w:rsidR="00407D81" w:rsidRPr="00F242DD">
        <w:t>Классификация</w:t>
      </w:r>
      <w:r w:rsidR="00F56B62" w:rsidRPr="00F242DD">
        <w:t xml:space="preserve"> заболевания или состояния (группы заболеваний или состояний)</w:t>
      </w:r>
      <w:bookmarkEnd w:id="12"/>
    </w:p>
    <w:p w14:paraId="69131C1F" w14:textId="21625A02" w:rsidR="002A5B1B" w:rsidRPr="00F242DD" w:rsidRDefault="002A5B1B" w:rsidP="002431B5">
      <w:pPr>
        <w:spacing w:before="0" w:after="0"/>
        <w:contextualSpacing/>
      </w:pPr>
      <w:r w:rsidRPr="00F242DD">
        <w:t>Среди плазмо</w:t>
      </w:r>
      <w:r w:rsidR="00F96C93" w:rsidRPr="00F242DD">
        <w:t>кл</w:t>
      </w:r>
      <w:r w:rsidRPr="00F242DD">
        <w:t>еточных опухолей в настоящее время выделяют</w:t>
      </w:r>
      <w:r w:rsidR="00C840EE" w:rsidRPr="00F242DD">
        <w:t xml:space="preserve"> </w:t>
      </w:r>
      <w:r w:rsidR="00A96FB6" w:rsidRPr="00F242DD">
        <w:fldChar w:fldCharType="begin" w:fldLock="1"/>
      </w:r>
      <w:r w:rsidR="00500F37">
        <w:instrText>ADDIN CSL_CITATION {"citationItems":[{"id":"ITEM-1","itemData":{"author":[{"dropping-particle":"","family":"Бессмельцев","given":"С.С.","non-dropping-particle":"","parse-names":false,"suffix":""}],"container-title":"Вестник гематологии.","id":"ITEM-1","issue":"3","issued":{"date-parts":[["2014"]]},"page":"6-39","title":"Множественная миелома","type":"article-journal","volume":"10"},"uris":["http://www.mendeley.com/documents/?uuid=e5ebef23-a735-41f5-bc27-efea8b3f2c60"]}],"mendeley":{"formattedCitation":"[10]","plainTextFormattedCitation":"[10]","previouslyFormattedCitation":"[10]"},"properties":{"noteIndex":0},"schema":"https://github.com/citation-style-language/schema/raw/master/csl-citation.json"}</w:instrText>
      </w:r>
      <w:r w:rsidR="00A96FB6" w:rsidRPr="00F242DD">
        <w:fldChar w:fldCharType="separate"/>
      </w:r>
      <w:r w:rsidR="00E03159" w:rsidRPr="00E03159">
        <w:rPr>
          <w:noProof/>
        </w:rPr>
        <w:t>[10]</w:t>
      </w:r>
      <w:r w:rsidR="00A96FB6" w:rsidRPr="00F242DD">
        <w:fldChar w:fldCharType="end"/>
      </w:r>
      <w:r w:rsidRPr="00F242DD">
        <w:t>:</w:t>
      </w:r>
    </w:p>
    <w:p w14:paraId="1D2ACC12" w14:textId="77777777" w:rsidR="002A5B1B" w:rsidRPr="00F242DD" w:rsidRDefault="002A5B1B" w:rsidP="00893452">
      <w:pPr>
        <w:pStyle w:val="a6"/>
        <w:numPr>
          <w:ilvl w:val="0"/>
          <w:numId w:val="54"/>
        </w:numPr>
        <w:spacing w:before="0" w:after="0"/>
        <w:ind w:left="0" w:firstLine="0"/>
      </w:pPr>
      <w:r w:rsidRPr="00F242DD">
        <w:lastRenderedPageBreak/>
        <w:t>монокл</w:t>
      </w:r>
      <w:r w:rsidR="00C840EE" w:rsidRPr="00F242DD">
        <w:t>о</w:t>
      </w:r>
      <w:r w:rsidRPr="00F242DD">
        <w:t xml:space="preserve">нальную гаммапатию неясного генеза (не </w:t>
      </w:r>
      <w:r w:rsidRPr="00F242DD">
        <w:rPr>
          <w:lang w:val="en-US"/>
        </w:rPr>
        <w:t>Ig</w:t>
      </w:r>
      <w:r w:rsidRPr="00F242DD">
        <w:t>-</w:t>
      </w:r>
      <w:r w:rsidRPr="00F242DD">
        <w:rPr>
          <w:lang w:val="en-US"/>
        </w:rPr>
        <w:t>M</w:t>
      </w:r>
      <w:r w:rsidRPr="00F242DD">
        <w:t xml:space="preserve"> тип)</w:t>
      </w:r>
      <w:r w:rsidR="00C840EE" w:rsidRPr="00F242DD">
        <w:t>;</w:t>
      </w:r>
    </w:p>
    <w:p w14:paraId="0DE39D38" w14:textId="77777777" w:rsidR="002A5B1B" w:rsidRPr="00F242DD" w:rsidRDefault="002A5B1B" w:rsidP="00893452">
      <w:pPr>
        <w:pStyle w:val="a6"/>
        <w:numPr>
          <w:ilvl w:val="0"/>
          <w:numId w:val="54"/>
        </w:numPr>
        <w:spacing w:before="0" w:after="0"/>
        <w:ind w:left="0" w:firstLine="0"/>
      </w:pPr>
      <w:r w:rsidRPr="00F242DD">
        <w:t>моноколональн</w:t>
      </w:r>
      <w:r w:rsidR="005A572F" w:rsidRPr="00F242DD">
        <w:t>ую</w:t>
      </w:r>
      <w:r w:rsidRPr="00F242DD">
        <w:t xml:space="preserve"> гаммапати</w:t>
      </w:r>
      <w:r w:rsidR="005A572F" w:rsidRPr="00F242DD">
        <w:t>ю</w:t>
      </w:r>
      <w:r w:rsidRPr="00F242DD">
        <w:t xml:space="preserve"> неясного генеза с вовлечением легких цепей</w:t>
      </w:r>
      <w:r w:rsidR="00C840EE" w:rsidRPr="00F242DD">
        <w:t>;</w:t>
      </w:r>
    </w:p>
    <w:p w14:paraId="7013162D" w14:textId="5A948B80" w:rsidR="002A5B1B" w:rsidRPr="00F242DD" w:rsidRDefault="002A5B1B" w:rsidP="00893452">
      <w:pPr>
        <w:pStyle w:val="a6"/>
        <w:numPr>
          <w:ilvl w:val="0"/>
          <w:numId w:val="54"/>
        </w:numPr>
        <w:spacing w:before="0" w:after="0"/>
        <w:ind w:left="0" w:firstLine="0"/>
      </w:pPr>
      <w:r w:rsidRPr="00F242DD">
        <w:t>плазмоклеточную (множественную) миелому</w:t>
      </w:r>
      <w:r w:rsidR="00C840EE" w:rsidRPr="00F242DD">
        <w:t>;</w:t>
      </w:r>
    </w:p>
    <w:p w14:paraId="2746BC54" w14:textId="77777777" w:rsidR="002A5B1B" w:rsidRPr="00F242DD" w:rsidRDefault="002A5B1B" w:rsidP="00893452">
      <w:pPr>
        <w:pStyle w:val="a6"/>
        <w:numPr>
          <w:ilvl w:val="0"/>
          <w:numId w:val="54"/>
        </w:numPr>
        <w:spacing w:before="0" w:after="0"/>
        <w:ind w:left="0" w:firstLine="0"/>
      </w:pPr>
      <w:r w:rsidRPr="00F242DD">
        <w:t>варианты плазмоклеточной миеломы</w:t>
      </w:r>
      <w:r w:rsidR="005A572F" w:rsidRPr="00F242DD">
        <w:t>:</w:t>
      </w:r>
      <w:r w:rsidRPr="00F242DD">
        <w:t xml:space="preserve"> вялотекущ</w:t>
      </w:r>
      <w:r w:rsidR="005A572F" w:rsidRPr="00F242DD">
        <w:t>ую</w:t>
      </w:r>
      <w:r w:rsidRPr="00F242DD">
        <w:t xml:space="preserve"> (асимптоматическую) миелом</w:t>
      </w:r>
      <w:r w:rsidR="005A572F" w:rsidRPr="00F242DD">
        <w:t>у</w:t>
      </w:r>
      <w:r w:rsidRPr="00F242DD">
        <w:t>, несекретирующ</w:t>
      </w:r>
      <w:r w:rsidR="005A572F" w:rsidRPr="00F242DD">
        <w:t>ую</w:t>
      </w:r>
      <w:r w:rsidRPr="00F242DD">
        <w:t xml:space="preserve"> миелом</w:t>
      </w:r>
      <w:r w:rsidR="005A572F" w:rsidRPr="00F242DD">
        <w:t>у</w:t>
      </w:r>
      <w:r w:rsidRPr="00F242DD">
        <w:t xml:space="preserve"> и плазмоклеточный лейкоз</w:t>
      </w:r>
      <w:r w:rsidR="00C840EE" w:rsidRPr="00F242DD">
        <w:t>;</w:t>
      </w:r>
      <w:r w:rsidRPr="00F242DD">
        <w:t xml:space="preserve"> </w:t>
      </w:r>
    </w:p>
    <w:p w14:paraId="5FB39F48" w14:textId="77777777" w:rsidR="002A5B1B" w:rsidRPr="00F242DD" w:rsidRDefault="002A5B1B" w:rsidP="00893452">
      <w:pPr>
        <w:pStyle w:val="a6"/>
        <w:numPr>
          <w:ilvl w:val="0"/>
          <w:numId w:val="54"/>
        </w:numPr>
        <w:spacing w:before="0" w:after="0"/>
        <w:ind w:left="0" w:firstLine="0"/>
      </w:pPr>
      <w:r w:rsidRPr="00F242DD">
        <w:t>плазмоцитом</w:t>
      </w:r>
      <w:r w:rsidR="005A572F" w:rsidRPr="00F242DD">
        <w:t>у</w:t>
      </w:r>
      <w:r w:rsidR="00C840EE" w:rsidRPr="00F242DD">
        <w:t>.</w:t>
      </w:r>
    </w:p>
    <w:p w14:paraId="08F272EA" w14:textId="77777777" w:rsidR="00371E91" w:rsidRPr="00F242DD" w:rsidRDefault="00371E91" w:rsidP="00172C08">
      <w:pPr>
        <w:spacing w:before="0" w:after="0"/>
        <w:ind w:firstLine="709"/>
        <w:contextualSpacing/>
      </w:pPr>
      <w:r w:rsidRPr="00F242DD">
        <w:t xml:space="preserve">Множественная миелома </w:t>
      </w:r>
      <w:r w:rsidR="00E74207" w:rsidRPr="00F242DD">
        <w:t>классифицируется</w:t>
      </w:r>
      <w:r w:rsidR="008605BE" w:rsidRPr="00F242DD">
        <w:t xml:space="preserve"> по стадиям и </w:t>
      </w:r>
      <w:r w:rsidRPr="00F242DD">
        <w:t>по факторам риска.</w:t>
      </w:r>
    </w:p>
    <w:p w14:paraId="582F21BF" w14:textId="05B6E434" w:rsidR="004A458B" w:rsidRDefault="004A458B" w:rsidP="00172C08">
      <w:pPr>
        <w:spacing w:before="0"/>
        <w:ind w:firstLine="709"/>
        <w:contextualSpacing/>
        <w:rPr>
          <w:rStyle w:val="ac"/>
          <w:b w:val="0"/>
        </w:rPr>
      </w:pPr>
      <w:bookmarkStart w:id="13" w:name="_Toc520213124"/>
      <w:r w:rsidRPr="00F242DD">
        <w:rPr>
          <w:rStyle w:val="ac"/>
          <w:b w:val="0"/>
        </w:rPr>
        <w:t>Распространенной системой стадирования является классификация B.</w:t>
      </w:r>
      <w:r w:rsidR="005A572F" w:rsidRPr="00F242DD">
        <w:rPr>
          <w:rStyle w:val="ac"/>
          <w:b w:val="0"/>
        </w:rPr>
        <w:t> </w:t>
      </w:r>
      <w:r w:rsidRPr="00F242DD">
        <w:rPr>
          <w:rStyle w:val="ac"/>
          <w:b w:val="0"/>
        </w:rPr>
        <w:t>Durie и S.</w:t>
      </w:r>
      <w:r w:rsidR="005A572F" w:rsidRPr="00F242DD">
        <w:rPr>
          <w:rStyle w:val="ac"/>
          <w:b w:val="0"/>
        </w:rPr>
        <w:t> </w:t>
      </w:r>
      <w:r w:rsidRPr="00F242DD">
        <w:rPr>
          <w:rStyle w:val="ac"/>
          <w:b w:val="0"/>
        </w:rPr>
        <w:t>Salmon, предложенная в 1975 г. (табл. 1)</w:t>
      </w:r>
      <w:r w:rsidR="00F832D0" w:rsidRPr="00F242DD">
        <w:rPr>
          <w:rStyle w:val="ac"/>
          <w:b w:val="0"/>
        </w:rPr>
        <w:t xml:space="preserve"> </w:t>
      </w:r>
      <w:r w:rsidR="00A96FB6" w:rsidRPr="00F242DD">
        <w:rPr>
          <w:rStyle w:val="ac"/>
          <w:b w:val="0"/>
        </w:rPr>
        <w:fldChar w:fldCharType="begin" w:fldLock="1"/>
      </w:r>
      <w:r w:rsidR="00500F37">
        <w:rPr>
          <w:rStyle w:val="ac"/>
          <w:b w:val="0"/>
        </w:rPr>
        <w:instrText>ADDIN CSL_CITATION {"citationItems":[{"id":"ITEM-1","itemData":{"DOI":"10.1002/1097-0142(197509)36:3&lt;842::AID-CNCR2820360303&gt;3.0.CO;2-U","ISSN":"10970142","abstract":"The presenting clinical features of 71 patients with multiple myeloma were correlated with myeloma cell mass (myeloma cells X 10(12)/m2 of body surface area) determined from measurements of monoclonal immunoglobulin (M-component) synthesis and metabolism. Bivariate correlation and multivariate regression analyses showed that myeloma cell mass could be accurately predicted from A) extent of bone lesions, B) hemoglobin level, C) serum calcium level, and D) M-component levels in serum and urine. Analyses of response to chemotherapy and survival indicated significant correlation with measured myeloma cell burden. The results were synthesized to produce a very reliable and useful clinical staging system with three tumor cell mass levels (Table 7). For clinical research purposes, multivariate regression equations were developed to predict optimally the exact myeloma cell mass. Thus, initial staging can be quantitatively related to followup using tumor cell mass changes calculated from changes in M-component production. Use of the clinical staging system sould provide better initial assessment and followup of individual patients, and should lead to improved study design and analysis in large clinical trials of therapy for multiple myeloma.","author":[{"dropping-particle":"","family":"Durie","given":"Brian G.M.","non-dropping-particle":"","parse-names":false,"suffix":""},{"dropping-particle":"","family":"Salmon","given":"Sydney E.","non-dropping-particle":"","parse-names":false,"suffix":""}],"container-title":"Cancer","id":"ITEM-1","issue":"3","issued":{"date-parts":[["1975"]]},"page":"842-854","title":"A clinical staging system for multiple myeloma correlation of measured myeloma cell mass with presenting clinical features, response to treatment, and survival","type":"article-journal","volume":"36"},"uris":["http://www.mendeley.com/documents/?uuid=c25f510a-8f4d-3754-808b-9ead081306bc"]}],"mendeley":{"formattedCitation":"[11]","plainTextFormattedCitation":"[11]","previouslyFormattedCitation":"[11]"},"properties":{"noteIndex":0},"schema":"https://github.com/citation-style-language/schema/raw/master/csl-citation.json"}</w:instrText>
      </w:r>
      <w:r w:rsidR="00A96FB6" w:rsidRPr="00F242DD">
        <w:rPr>
          <w:rStyle w:val="ac"/>
          <w:b w:val="0"/>
        </w:rPr>
        <w:fldChar w:fldCharType="separate"/>
      </w:r>
      <w:r w:rsidR="00E03159" w:rsidRPr="00E03159">
        <w:rPr>
          <w:rStyle w:val="ac"/>
          <w:b w:val="0"/>
          <w:noProof/>
        </w:rPr>
        <w:t>[11]</w:t>
      </w:r>
      <w:r w:rsidR="00A96FB6" w:rsidRPr="00F242DD">
        <w:rPr>
          <w:rStyle w:val="ac"/>
          <w:b w:val="0"/>
        </w:rPr>
        <w:fldChar w:fldCharType="end"/>
      </w:r>
      <w:r w:rsidRPr="00F242DD">
        <w:rPr>
          <w:rStyle w:val="ac"/>
          <w:b w:val="0"/>
        </w:rPr>
        <w:t>, которая была заменена на международную систему стадирования (International</w:t>
      </w:r>
      <w:r w:rsidR="00E74207" w:rsidRPr="00F242DD">
        <w:rPr>
          <w:rStyle w:val="ac"/>
          <w:b w:val="0"/>
        </w:rPr>
        <w:t xml:space="preserve"> </w:t>
      </w:r>
      <w:r w:rsidRPr="00F242DD">
        <w:rPr>
          <w:rStyle w:val="ac"/>
          <w:b w:val="0"/>
        </w:rPr>
        <w:t>Staging</w:t>
      </w:r>
      <w:r w:rsidR="00E74207" w:rsidRPr="00F242DD">
        <w:rPr>
          <w:rStyle w:val="ac"/>
          <w:b w:val="0"/>
        </w:rPr>
        <w:t xml:space="preserve"> </w:t>
      </w:r>
      <w:r w:rsidRPr="00F242DD">
        <w:rPr>
          <w:rStyle w:val="ac"/>
          <w:b w:val="0"/>
        </w:rPr>
        <w:t>System – ISS)</w:t>
      </w:r>
      <w:r w:rsidR="00F832D0" w:rsidRPr="00F242DD">
        <w:rPr>
          <w:rStyle w:val="ac"/>
          <w:b w:val="0"/>
        </w:rPr>
        <w:t xml:space="preserve"> </w:t>
      </w:r>
      <w:r w:rsidR="00A96FB6" w:rsidRPr="00F242DD">
        <w:rPr>
          <w:rStyle w:val="ac"/>
          <w:b w:val="0"/>
        </w:rPr>
        <w:fldChar w:fldCharType="begin" w:fldLock="1"/>
      </w:r>
      <w:r w:rsidR="00500F37">
        <w:rPr>
          <w:rStyle w:val="ac"/>
          <w:b w:val="0"/>
        </w:rPr>
        <w:instrText>ADDIN CSL_CITATION {"citationItems":[{"id":"ITEM-1","itemData":{"DOI":"10.1200/JCO.2005.04.242","ISSN":"0732183X","abstract":"Purpose: There is a need for a simple, reliable staging system for multiple myeloma that can be applied internationally for patient classification and stratification. Patients and Methods: Clinical and laboratory data were gathered on 10,750 previously untreated symptomatic myeloma patients from 17 institutions, including sites in North America, Europe, and Asia. Potential prognostic factors were evaluated by univariate and multivariate techniques. Three modeling approaches were then explored to develop a staging system including two nontree and one tree survival assessment methodologies. Results: Serum beta 2-microglobulin (S? 2M), serum albumin, platelet count, serum creatinine, and age emerged as powerful predictors of survival and were then used in the tree analysis approach. A combination of S? 2M and serum albumin provided the simplest, most powerful and reproducible three-stage classification. This new International Staging System (ISS) was validated in the remaining patients and consists of the following stages: stage I, S? 2M less than 3.5 mg/L plus serum albumin ? 3.5 g/dL (median survival, 62 months); stage II, neither stage I nor III (median survival, 44 months); and stage III, S? 2M &gt; 5.5 mg/L (median survival, 29 months). The ISS system was further validated by demonstrating effectiveness in patients in North America, Europe, and Asia; in patients less than and ? 65 years of age; in patients with standard therapy or autotransplantation; and in comparison with the Durie/ Salmon staging system. Conclusion: The new ISS is simple, based on easy to use variables (S? 2M and serum albumin), and recommended for early adoption and widespread use. ? 2005 by American Society of Clinical Oncology.","author":[{"dropping-particle":"","family":"Greipp","given":"Philip R.","non-dropping-particle":"","parse-names":false,"suffix":""},{"dropping-particle":"","family":"Miguel","given":"Jesus San","non-dropping-particle":"","parse-names":false,"suffix":""},{"dropping-particle":"","family":"Dune","given":"Brian G.M.","non-dropping-particle":"","parse-names":false,"suffix":""},{"dropping-particle":"","family":"Crowley","given":"John J.","non-dropping-particle":"","parse-names":false,"suffix":""},{"dropping-particle":"","family":"Barlogie","given":"Bart","non-dropping-particle":"","parse-names":false,"suffix":""},{"dropping-particle":"","family":"Bladé","given":"Joan","non-dropping-particle":"","parse-names":false,"suffix":""},{"dropping-particle":"","family":"Boccadoro","given":"Mario","non-dropping-particle":"","parse-names":false,"suffix":""},{"dropping-particle":"","family":"Child","given":"J. Anthony","non-dropping-particle":"","parse-names":false,"suffix":""},{"dropping-particle":"","family":"Harousseau","given":"Jean Luc","non-dropping-particle":"","parse-names":false,"suffix":""},{"dropping-particle":"","family":"Kyle","given":"Robert A.","non-dropping-particle":"","parse-names":false,"suffix":""},{"dropping-particle":"","family":"Lahuerta","given":"Juan J.","non-dropping-particle":"","parse-names":false,"suffix":""},{"dropping-particle":"","family":"Ludwig","given":"Heinz","non-dropping-particle":"","parse-names":false,"suffix":""},{"dropping-particle":"","family":"Morgan","given":"Gareth","non-dropping-particle":"","parse-names":false,"suffix":""},{"dropping-particle":"","family":"Powles","given":"Raymond","non-dropping-particle":"","parse-names":false,"suffix":""},{"dropping-particle":"","family":"Shimizu","given":"Kazuyuki","non-dropping-particle":"","parse-names":false,"suffix":""},{"dropping-particle":"","family":"Shustik","given":"Chaim","non-dropping-particle":"","parse-names":false,"suffix":""},{"dropping-particle":"","family":"Sonneveld","given":"Pieter","non-dropping-particle":"","parse-names":false,"suffix":""},{"dropping-particle":"","family":"Tosi","given":"Patrizia","non-dropping-particle":"","parse-names":false,"suffix":""},{"dropping-particle":"","family":"Turesson","given":"Ingemar","non-dropping-particle":"","parse-names":false,"suffix":""},{"dropping-particle":"","family":"Westin","given":"Jan","non-dropping-particle":"","parse-names":false,"suffix":""}],"container-title":"Journal of Clinical Oncology","id":"ITEM-1","issue":"15","issued":{"date-parts":[["2005"]]},"page":"3412-3420","title":"International staging system for multiple myeloma","type":"article-journal","volume":"23"},"uris":["http://www.mendeley.com/documents/?uuid=aa3df05b-8256-3934-85b7-0a983e32b5ac"]}],"mendeley":{"formattedCitation":"[12]","plainTextFormattedCitation":"[12]","previouslyFormattedCitation":"[12]"},"properties":{"noteIndex":0},"schema":"https://github.com/citation-style-language/schema/raw/master/csl-citation.json"}</w:instrText>
      </w:r>
      <w:r w:rsidR="00A96FB6" w:rsidRPr="00F242DD">
        <w:rPr>
          <w:rStyle w:val="ac"/>
          <w:b w:val="0"/>
        </w:rPr>
        <w:fldChar w:fldCharType="separate"/>
      </w:r>
      <w:r w:rsidR="00E03159" w:rsidRPr="00E03159">
        <w:rPr>
          <w:rStyle w:val="ac"/>
          <w:b w:val="0"/>
          <w:noProof/>
        </w:rPr>
        <w:t>[12]</w:t>
      </w:r>
      <w:r w:rsidR="00A96FB6" w:rsidRPr="00F242DD">
        <w:rPr>
          <w:rStyle w:val="ac"/>
          <w:b w:val="0"/>
        </w:rPr>
        <w:fldChar w:fldCharType="end"/>
      </w:r>
      <w:r w:rsidR="00E74207" w:rsidRPr="00F242DD">
        <w:rPr>
          <w:rStyle w:val="ac"/>
          <w:b w:val="0"/>
        </w:rPr>
        <w:t>,</w:t>
      </w:r>
      <w:r w:rsidRPr="00F242DD">
        <w:rPr>
          <w:rStyle w:val="ac"/>
          <w:b w:val="0"/>
        </w:rPr>
        <w:t xml:space="preserve"> пересмотренную </w:t>
      </w:r>
      <w:r w:rsidR="006D12E6" w:rsidRPr="00F242DD">
        <w:rPr>
          <w:rStyle w:val="ac"/>
          <w:b w:val="0"/>
        </w:rPr>
        <w:t>в 2014 г</w:t>
      </w:r>
      <w:r w:rsidR="00F832D0" w:rsidRPr="00F242DD">
        <w:rPr>
          <w:rStyle w:val="ac"/>
          <w:b w:val="0"/>
        </w:rPr>
        <w:t>.</w:t>
      </w:r>
      <w:r w:rsidR="006D12E6" w:rsidRPr="00F242DD">
        <w:rPr>
          <w:rStyle w:val="ac"/>
          <w:b w:val="0"/>
        </w:rPr>
        <w:t xml:space="preserve"> </w:t>
      </w:r>
      <w:r w:rsidR="00A96FB6" w:rsidRPr="00F242DD">
        <w:rPr>
          <w:rStyle w:val="ac"/>
          <w:b w:val="0"/>
        </w:rPr>
        <w:fldChar w:fldCharType="begin" w:fldLock="1"/>
      </w:r>
      <w:r w:rsidR="00500F37">
        <w:rPr>
          <w:rStyle w:val="ac"/>
          <w:b w:val="0"/>
        </w:rPr>
        <w:instrText>ADDIN CSL_CITATION {"citationItems":[{"id":"ITEM-1","itemData":{"DOI":"10.1200/JCO.2015.61.2267","ISSN":"15277755","abstract":"PURPOSE The clinical outcome of multiple myeloma (MM) is heterogeneous. A simple and reliable tool is needed to stratify patients with MM. We combined the International Staging System (ISS) with chromosomal abnormalities (CA) detected by interphase fluorescent in situ hybridization after CD138 plasma cell purification and serum lactate dehydrogenase (LDH) to evaluate their prognostic value in newly diagnosed MM (NDMM). PATIENTS AND METHODS Clinical and laboratory data from 4,445 patients with NDMM enrolled onto 11 international trials were pooled together. The K-adaptive partitioning algorithm was used to define the most appropriate subgroups with homogeneous survival. RESULTS ISS, CA, and LDH data were simultaneously available in 3,060 of 4,445 patients. We defined the following three groups: revised ISS (R-ISS) I (n = 871), including ISS stage I (serum β2-microglobulin level &lt; 3.5 mg/L and serum albumin level ≥ 3.5 g/dL), no high-risk CA [del(17p) and/or t(4;14) and/or t(14;16)], and normal LDH level (less than the upper limit of normal range); R-ISS III (n = 295), including ISS stage III (serum β2-microglobulin level &gt; 5.5 mg/L) and high-risk CA or high LDH level; and R-ISS II (n = 1,894), including all the other possible combinations. At a median follow-up of 46 months, the 5-year OS rate was 82% in the R-ISS I, 62% in the R-ISS II, and 40% in the R-ISS III groups; the 5-year PFS rates were 55%, 36%, and 24%, respectively. CONCLUSION The R-ISS is a simple and powerful prognostic staging system, and we recommend its use in future clinical studies to stratify patients with NDMM effectively with respect to the relative risk to their survival.","author":[{"dropping-particle":"","family":"Palumbo","given":"Antonio","non-dropping-particle":"","parse-names":false,"suffix":""},{"dropping-particle":"","family":"Avet-Loiseau","given":"Hervé","non-dropping-particle":"","parse-names":false,"suffix":""},{"dropping-particle":"","family":"Oliva","given":"Stefania","non-dropping-particle":"","parse-names":false,"suffix":""},{"dropping-particle":"","family":"Lokhorst","given":"Henk M.","non-dropping-particle":"","parse-names":false,"suffix":""},{"dropping-particle":"","family":"Goldschmidt","given":"Hartmut","non-dropping-particle":"","parse-names":false,"suffix":""},{"dropping-particle":"","family":"Rosinol","given":"Laura","non-dropping-particle":"","parse-names":false,"suffix":""},{"dropping-particle":"","family":"Richardson","given":"Paul","non-dropping-particle":"","parse-names":false,"suffix":""},{"dropping-particle":"","family":"Caltagirone","given":"Simona","non-dropping-particle":"","parse-names":false,"suffix":""},{"dropping-particle":"","family":"Lahuerta","given":"Juan José","non-dropping-particle":"","parse-names":false,"suffix":""},{"dropping-particle":"","family":"Facon","given":"Thierry","non-dropping-particle":"","parse-names":false,"suffix":""},{"dropping-particle":"","family":"Bringhen","given":"Sara","non-dropping-particle":"","parse-names":false,"suffix":""},{"dropping-particle":"","family":"Gay","given":"Francesca","non-dropping-particle":"","parse-names":false,"suffix":""},{"dropping-particle":"","family":"Attal","given":"Michel","non-dropping-particle":"","parse-names":false,"suffix":""},{"dropping-particle":"","family":"Passera","given":"Roberto","non-dropping-particle":"","parse-names":false,"suffix":""},{"dropping-particle":"","family":"Spencer","given":"Andrew","non-dropping-particle":"","parse-names":false,"suffix":""},{"dropping-particle":"","family":"Offidani","given":"Massimo","non-dropping-particle":"","parse-names":false,"suffix":""},{"dropping-particle":"","family":"Kumar","given":"Shaji","non-dropping-particle":"","parse-names":false,"suffix":""},{"dropping-particle":"","family":"Musto","given":"Pellegrino","non-dropping-particle":"","parse-names":false,"suffix":""},{"dropping-particle":"","family":"Lonial","given":"Sagar","non-dropping-particle":"","parse-names":false,"suffix":""},{"dropping-particle":"","family":"Petrucci","given":"Maria T.","non-dropping-particle":"","parse-names":false,"suffix":""},{"dropping-particle":"","family":"Orlowski","given":"Robert Z.","non-dropping-particle":"","parse-names":false,"suffix":""},{"dropping-particle":"","family":"Zamagni","given":"Elena","non-dropping-particle":"","parse-names":false,"suffix":""},{"dropping-particle":"","family":"Morgan","given":"Gareth","non-dropping-particle":"","parse-names":false,"suffix":""},{"dropping-particle":"","family":"Dimopoulos","given":"Meletios A.","non-dropping-particle":"","parse-names":false,"suffix":""},{"dropping-particle":"","family":"Durie","given":"Brian G.M.","non-dropping-particle":"","parse-names":false,"suffix":""},{"dropping-particle":"","family":"Anderson","given":"Kenneth C.","non-dropping-particle":"","parse-names":false,"suffix":""},{"dropping-particle":"","family":"Sonneveld","given":"Pieter","non-dropping-particle":"","parse-names":false,"suffix":""},{"dropping-particle":"","family":"Miguel","given":"Jésus San","non-dropping-particle":"","parse-names":false,"suffix":""},{"dropping-particle":"","family":"Cavo","given":"Michele","non-dropping-particle":"","parse-names":false,"suffix":""},{"dropping-particle":"","family":"Rajkumar","given":"S. Vincent","non-dropping-particle":"","parse-names":false,"suffix":""},{"dropping-particle":"","family":"Moreau","given":"Philippe","non-dropping-particle":"","parse-names":false,"suffix":""}],"container-title":"Journal of Clinical Oncology","id":"ITEM-1","issue":"26","issued":{"date-parts":[["2015"]]},"page":"2863-2869","publisher":"American Society of Clinical Oncology","title":"Revised international staging system for multiple myeloma: A report from international myeloma working group","type":"article-journal","volume":"33"},"uris":["http://www.mendeley.com/documents/?uuid=dc5fa189-ca83-351a-8e2c-68a7d7d762af"]}],"mendeley":{"formattedCitation":"[13]","plainTextFormattedCitation":"[13]","previouslyFormattedCitation":"[13]"},"properties":{"noteIndex":0},"schema":"https://github.com/citation-style-language/schema/raw/master/csl-citation.json"}</w:instrText>
      </w:r>
      <w:r w:rsidR="00A96FB6" w:rsidRPr="00F242DD">
        <w:rPr>
          <w:rStyle w:val="ac"/>
          <w:b w:val="0"/>
        </w:rPr>
        <w:fldChar w:fldCharType="separate"/>
      </w:r>
      <w:r w:rsidR="00E03159" w:rsidRPr="00E03159">
        <w:rPr>
          <w:rStyle w:val="ac"/>
          <w:b w:val="0"/>
          <w:noProof/>
        </w:rPr>
        <w:t>[13]</w:t>
      </w:r>
      <w:r w:rsidR="00A96FB6" w:rsidRPr="00F242DD">
        <w:rPr>
          <w:rStyle w:val="ac"/>
          <w:b w:val="0"/>
        </w:rPr>
        <w:fldChar w:fldCharType="end"/>
      </w:r>
      <w:r w:rsidRPr="00F242DD">
        <w:rPr>
          <w:rStyle w:val="ac"/>
          <w:b w:val="0"/>
        </w:rPr>
        <w:t>.</w:t>
      </w:r>
    </w:p>
    <w:p w14:paraId="232E72B5" w14:textId="732E24EB" w:rsidR="004A458B" w:rsidRPr="00F242DD" w:rsidRDefault="004A458B" w:rsidP="002431B5">
      <w:pPr>
        <w:pStyle w:val="a4"/>
        <w:spacing w:before="0" w:beforeAutospacing="0" w:after="0" w:afterAutospacing="0" w:line="240" w:lineRule="auto"/>
      </w:pPr>
      <w:r w:rsidRPr="00F242DD">
        <w:rPr>
          <w:rStyle w:val="ac"/>
        </w:rPr>
        <w:t>Таблица 1.</w:t>
      </w:r>
      <w:r w:rsidR="007A5794" w:rsidRPr="00F242DD">
        <w:rPr>
          <w:rStyle w:val="ac"/>
        </w:rPr>
        <w:t xml:space="preserve"> </w:t>
      </w:r>
      <w:r w:rsidR="00172C08">
        <w:t xml:space="preserve">Стадирование </w:t>
      </w:r>
      <w:r w:rsidR="007A5794" w:rsidRPr="00F242DD">
        <w:t>ММ</w:t>
      </w:r>
      <w:r w:rsidRPr="00F242DD">
        <w:t xml:space="preserve"> по </w:t>
      </w:r>
      <w:r w:rsidR="00172C08">
        <w:t xml:space="preserve">системе </w:t>
      </w:r>
      <w:r w:rsidRPr="00F242DD">
        <w:t>B.</w:t>
      </w:r>
      <w:r w:rsidR="001C7270" w:rsidRPr="00F242DD">
        <w:t xml:space="preserve"> </w:t>
      </w:r>
      <w:r w:rsidRPr="00F242DD">
        <w:t>Durie, S.</w:t>
      </w:r>
      <w:r w:rsidR="001C7270" w:rsidRPr="00F242DD">
        <w:t xml:space="preserve"> </w:t>
      </w:r>
      <w:r w:rsidR="00172C08">
        <w:t>Salmon</w:t>
      </w:r>
    </w:p>
    <w:tbl>
      <w:tblPr>
        <w:tblW w:w="0" w:type="auto"/>
        <w:tblInd w:w="-70" w:type="dxa"/>
        <w:tblLayout w:type="fixed"/>
        <w:tblLook w:val="0000" w:firstRow="0" w:lastRow="0" w:firstColumn="0" w:lastColumn="0" w:noHBand="0" w:noVBand="0"/>
      </w:tblPr>
      <w:tblGrid>
        <w:gridCol w:w="1161"/>
        <w:gridCol w:w="5670"/>
        <w:gridCol w:w="2429"/>
      </w:tblGrid>
      <w:tr w:rsidR="00BF4E7F" w:rsidRPr="00F242DD" w14:paraId="278C9FB5" w14:textId="77777777" w:rsidTr="001471FD">
        <w:trPr>
          <w:trHeight w:val="674"/>
          <w:tblHeader/>
        </w:trPr>
        <w:tc>
          <w:tcPr>
            <w:tcW w:w="1161" w:type="dxa"/>
            <w:tcBorders>
              <w:top w:val="single" w:sz="4" w:space="0" w:color="000000"/>
              <w:left w:val="single" w:sz="4" w:space="0" w:color="000000"/>
              <w:bottom w:val="single" w:sz="4" w:space="0" w:color="000000"/>
            </w:tcBorders>
            <w:shd w:val="clear" w:color="auto" w:fill="auto"/>
          </w:tcPr>
          <w:p w14:paraId="47F346D2" w14:textId="77777777" w:rsidR="00BF4E7F" w:rsidRPr="00F242DD" w:rsidRDefault="00BF4E7F" w:rsidP="0089441A">
            <w:pPr>
              <w:snapToGrid w:val="0"/>
              <w:spacing w:before="0" w:after="0" w:line="276" w:lineRule="auto"/>
              <w:rPr>
                <w:rFonts w:eastAsia="Times New Roman"/>
                <w:szCs w:val="24"/>
              </w:rPr>
            </w:pPr>
            <w:r w:rsidRPr="00F242DD">
              <w:rPr>
                <w:rFonts w:eastAsia="Times New Roman"/>
                <w:szCs w:val="24"/>
                <w:lang w:val="en-US"/>
              </w:rPr>
              <w:t>Стади</w:t>
            </w:r>
            <w:r w:rsidR="001C7270" w:rsidRPr="00F242DD">
              <w:rPr>
                <w:rFonts w:eastAsia="Times New Roman"/>
                <w:szCs w:val="24"/>
              </w:rPr>
              <w:t>я</w:t>
            </w:r>
          </w:p>
        </w:tc>
        <w:tc>
          <w:tcPr>
            <w:tcW w:w="5670" w:type="dxa"/>
            <w:tcBorders>
              <w:top w:val="single" w:sz="4" w:space="0" w:color="000000"/>
              <w:left w:val="single" w:sz="4" w:space="0" w:color="000000"/>
              <w:bottom w:val="single" w:sz="4" w:space="0" w:color="000000"/>
            </w:tcBorders>
            <w:shd w:val="clear" w:color="auto" w:fill="auto"/>
          </w:tcPr>
          <w:p w14:paraId="5AF0C18D" w14:textId="77777777" w:rsidR="00BF4E7F" w:rsidRPr="00F242DD" w:rsidRDefault="00BF4E7F" w:rsidP="0089441A">
            <w:pPr>
              <w:snapToGrid w:val="0"/>
              <w:spacing w:before="0" w:after="0" w:line="276" w:lineRule="auto"/>
              <w:jc w:val="left"/>
              <w:rPr>
                <w:rFonts w:eastAsia="Times New Roman"/>
                <w:szCs w:val="24"/>
              </w:rPr>
            </w:pPr>
            <w:r w:rsidRPr="00F242DD">
              <w:rPr>
                <w:rFonts w:eastAsia="Times New Roman"/>
                <w:szCs w:val="24"/>
              </w:rPr>
              <w:t>Признаки</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13E2134" w14:textId="77777777" w:rsidR="00BF4E7F" w:rsidRPr="00F242DD" w:rsidRDefault="00BF4E7F" w:rsidP="0089441A">
            <w:pPr>
              <w:snapToGrid w:val="0"/>
              <w:spacing w:before="0" w:after="0" w:line="276" w:lineRule="auto"/>
              <w:jc w:val="center"/>
              <w:rPr>
                <w:rFonts w:eastAsia="Times New Roman"/>
                <w:szCs w:val="24"/>
                <w:lang w:val="en-US"/>
              </w:rPr>
            </w:pPr>
            <w:r w:rsidRPr="00F242DD">
              <w:rPr>
                <w:rFonts w:eastAsia="Times New Roman"/>
                <w:szCs w:val="24"/>
              </w:rPr>
              <w:t>Клеточная масса</w:t>
            </w:r>
            <w:r w:rsidRPr="00F242DD">
              <w:rPr>
                <w:rFonts w:eastAsia="Times New Roman"/>
                <w:szCs w:val="24"/>
                <w:lang w:val="en-US"/>
              </w:rPr>
              <w:t>,</w:t>
            </w:r>
            <w:r w:rsidRPr="00F242DD">
              <w:rPr>
                <w:rFonts w:eastAsia="Times New Roman"/>
                <w:szCs w:val="24"/>
              </w:rPr>
              <w:t xml:space="preserve"> 10</w:t>
            </w:r>
            <w:r w:rsidRPr="00F242DD">
              <w:rPr>
                <w:rFonts w:eastAsia="Times New Roman"/>
                <w:szCs w:val="24"/>
                <w:vertAlign w:val="superscript"/>
              </w:rPr>
              <w:t>12</w:t>
            </w:r>
            <w:r w:rsidRPr="00F242DD">
              <w:rPr>
                <w:rFonts w:eastAsia="Times New Roman"/>
                <w:szCs w:val="24"/>
                <w:lang w:val="en-US"/>
              </w:rPr>
              <w:t>/м</w:t>
            </w:r>
            <w:r w:rsidRPr="00F242DD">
              <w:rPr>
                <w:rFonts w:eastAsia="Times New Roman"/>
                <w:szCs w:val="24"/>
                <w:vertAlign w:val="superscript"/>
                <w:lang w:val="en-US"/>
              </w:rPr>
              <w:t>2</w:t>
            </w:r>
          </w:p>
        </w:tc>
      </w:tr>
      <w:tr w:rsidR="00BF4E7F" w:rsidRPr="00F242DD" w14:paraId="691FDE67" w14:textId="77777777" w:rsidTr="00E36DFA">
        <w:tc>
          <w:tcPr>
            <w:tcW w:w="1161" w:type="dxa"/>
            <w:tcBorders>
              <w:top w:val="single" w:sz="4" w:space="0" w:color="000000"/>
              <w:left w:val="single" w:sz="4" w:space="0" w:color="000000"/>
            </w:tcBorders>
            <w:shd w:val="clear" w:color="auto" w:fill="auto"/>
          </w:tcPr>
          <w:p w14:paraId="58D7B819" w14:textId="77777777" w:rsidR="00BF4E7F" w:rsidRPr="00F242DD" w:rsidRDefault="00BF4E7F" w:rsidP="0089441A">
            <w:pPr>
              <w:snapToGrid w:val="0"/>
              <w:spacing w:before="0" w:after="0" w:line="276" w:lineRule="auto"/>
              <w:jc w:val="center"/>
              <w:rPr>
                <w:rFonts w:eastAsia="Times New Roman"/>
                <w:szCs w:val="24"/>
              </w:rPr>
            </w:pPr>
            <w:r w:rsidRPr="00F242DD">
              <w:rPr>
                <w:rFonts w:eastAsia="Times New Roman"/>
                <w:szCs w:val="24"/>
                <w:lang w:val="en-US"/>
              </w:rPr>
              <w:t>I</w:t>
            </w:r>
          </w:p>
        </w:tc>
        <w:tc>
          <w:tcPr>
            <w:tcW w:w="5670" w:type="dxa"/>
            <w:tcBorders>
              <w:top w:val="single" w:sz="4" w:space="0" w:color="000000"/>
              <w:left w:val="single" w:sz="4" w:space="0" w:color="000000"/>
            </w:tcBorders>
            <w:shd w:val="clear" w:color="auto" w:fill="auto"/>
          </w:tcPr>
          <w:p w14:paraId="66BE6CA6" w14:textId="77777777" w:rsidR="00BF4E7F" w:rsidRPr="00F242DD" w:rsidRDefault="00BF4E7F" w:rsidP="0089441A">
            <w:pPr>
              <w:snapToGrid w:val="0"/>
              <w:spacing w:before="0" w:after="0" w:line="276" w:lineRule="auto"/>
              <w:jc w:val="left"/>
              <w:rPr>
                <w:rFonts w:eastAsia="Times New Roman"/>
                <w:szCs w:val="24"/>
              </w:rPr>
            </w:pPr>
            <w:r w:rsidRPr="00F242DD">
              <w:rPr>
                <w:rFonts w:eastAsia="Times New Roman"/>
                <w:szCs w:val="24"/>
              </w:rPr>
              <w:t>Совокупность следующих признаков:</w:t>
            </w:r>
          </w:p>
        </w:tc>
        <w:tc>
          <w:tcPr>
            <w:tcW w:w="2429" w:type="dxa"/>
            <w:tcBorders>
              <w:top w:val="single" w:sz="4" w:space="0" w:color="000000"/>
              <w:left w:val="single" w:sz="4" w:space="0" w:color="000000"/>
              <w:right w:val="single" w:sz="4" w:space="0" w:color="000000"/>
            </w:tcBorders>
            <w:shd w:val="clear" w:color="auto" w:fill="auto"/>
          </w:tcPr>
          <w:p w14:paraId="325B06C7" w14:textId="77777777" w:rsidR="00BF4E7F" w:rsidRPr="00F242DD" w:rsidRDefault="00BF4E7F" w:rsidP="0089441A">
            <w:pPr>
              <w:snapToGrid w:val="0"/>
              <w:spacing w:before="0" w:after="0" w:line="276" w:lineRule="auto"/>
              <w:jc w:val="center"/>
              <w:rPr>
                <w:rFonts w:eastAsia="Times New Roman"/>
                <w:szCs w:val="24"/>
              </w:rPr>
            </w:pPr>
            <w:r w:rsidRPr="00F242DD">
              <w:rPr>
                <w:rFonts w:eastAsia="Times New Roman"/>
                <w:szCs w:val="24"/>
              </w:rPr>
              <w:t>&lt;0,6</w:t>
            </w:r>
          </w:p>
        </w:tc>
      </w:tr>
      <w:tr w:rsidR="00BF4E7F" w:rsidRPr="00F242DD" w14:paraId="4329067D" w14:textId="77777777" w:rsidTr="00E36DFA">
        <w:tc>
          <w:tcPr>
            <w:tcW w:w="1161" w:type="dxa"/>
            <w:tcBorders>
              <w:left w:val="single" w:sz="4" w:space="0" w:color="000000"/>
            </w:tcBorders>
            <w:shd w:val="clear" w:color="auto" w:fill="auto"/>
          </w:tcPr>
          <w:p w14:paraId="06A3F4A8" w14:textId="77777777" w:rsidR="00BF4E7F" w:rsidRPr="00F242DD" w:rsidRDefault="00BF4E7F" w:rsidP="0089441A">
            <w:pPr>
              <w:snapToGrid w:val="0"/>
              <w:spacing w:before="0" w:after="0" w:line="276" w:lineRule="auto"/>
              <w:jc w:val="center"/>
              <w:rPr>
                <w:rFonts w:eastAsia="Times New Roman"/>
                <w:szCs w:val="24"/>
              </w:rPr>
            </w:pPr>
          </w:p>
        </w:tc>
        <w:tc>
          <w:tcPr>
            <w:tcW w:w="5670" w:type="dxa"/>
            <w:tcBorders>
              <w:left w:val="single" w:sz="4" w:space="0" w:color="000000"/>
            </w:tcBorders>
            <w:shd w:val="clear" w:color="auto" w:fill="auto"/>
          </w:tcPr>
          <w:p w14:paraId="5AED7F56" w14:textId="77777777" w:rsidR="00BF4E7F" w:rsidRPr="00F242DD" w:rsidRDefault="007A5794" w:rsidP="0089441A">
            <w:pPr>
              <w:suppressAutoHyphens/>
              <w:snapToGrid w:val="0"/>
              <w:spacing w:before="0" w:after="0" w:line="276" w:lineRule="auto"/>
              <w:jc w:val="left"/>
              <w:rPr>
                <w:rFonts w:eastAsia="Times New Roman"/>
                <w:szCs w:val="24"/>
              </w:rPr>
            </w:pPr>
            <w:r w:rsidRPr="00F242DD">
              <w:rPr>
                <w:rFonts w:eastAsia="Times New Roman"/>
                <w:szCs w:val="24"/>
              </w:rPr>
              <w:t xml:space="preserve">1. </w:t>
            </w:r>
            <w:r w:rsidR="00496D81" w:rsidRPr="00F242DD">
              <w:rPr>
                <w:rFonts w:eastAsia="Times New Roman"/>
                <w:szCs w:val="24"/>
              </w:rPr>
              <w:t>Уровень г</w:t>
            </w:r>
            <w:r w:rsidR="00BF4E7F" w:rsidRPr="00F242DD">
              <w:rPr>
                <w:rFonts w:eastAsia="Times New Roman"/>
                <w:szCs w:val="24"/>
              </w:rPr>
              <w:t>емоглобин</w:t>
            </w:r>
            <w:r w:rsidR="00496D81" w:rsidRPr="00F242DD">
              <w:rPr>
                <w:rFonts w:eastAsia="Times New Roman"/>
                <w:szCs w:val="24"/>
              </w:rPr>
              <w:t>а</w:t>
            </w:r>
            <w:r w:rsidR="001C7270" w:rsidRPr="00F242DD">
              <w:rPr>
                <w:rFonts w:eastAsia="Times New Roman"/>
                <w:szCs w:val="24"/>
              </w:rPr>
              <w:t xml:space="preserve"> </w:t>
            </w:r>
            <w:r w:rsidR="00BF4E7F" w:rsidRPr="00F242DD">
              <w:rPr>
                <w:rFonts w:eastAsia="Times New Roman"/>
                <w:szCs w:val="24"/>
              </w:rPr>
              <w:t>&gt;10 г/дл</w:t>
            </w:r>
          </w:p>
        </w:tc>
        <w:tc>
          <w:tcPr>
            <w:tcW w:w="2429" w:type="dxa"/>
            <w:tcBorders>
              <w:left w:val="single" w:sz="4" w:space="0" w:color="000000"/>
              <w:right w:val="single" w:sz="4" w:space="0" w:color="000000"/>
            </w:tcBorders>
            <w:shd w:val="clear" w:color="auto" w:fill="auto"/>
          </w:tcPr>
          <w:p w14:paraId="643AE9D2" w14:textId="77777777" w:rsidR="00BF4E7F" w:rsidRPr="00F242DD" w:rsidRDefault="00BF4E7F" w:rsidP="0089441A">
            <w:pPr>
              <w:snapToGrid w:val="0"/>
              <w:spacing w:before="0" w:after="0" w:line="276" w:lineRule="auto"/>
              <w:jc w:val="center"/>
              <w:rPr>
                <w:rFonts w:eastAsia="Times New Roman"/>
                <w:szCs w:val="24"/>
              </w:rPr>
            </w:pPr>
            <w:r w:rsidRPr="00F242DD">
              <w:rPr>
                <w:rFonts w:eastAsia="Times New Roman"/>
                <w:szCs w:val="24"/>
              </w:rPr>
              <w:t>(низкая)</w:t>
            </w:r>
          </w:p>
        </w:tc>
      </w:tr>
      <w:tr w:rsidR="00BF4E7F" w:rsidRPr="00F242DD" w14:paraId="4BA0CE48" w14:textId="77777777" w:rsidTr="00E36DFA">
        <w:tc>
          <w:tcPr>
            <w:tcW w:w="1161" w:type="dxa"/>
            <w:tcBorders>
              <w:left w:val="single" w:sz="4" w:space="0" w:color="000000"/>
            </w:tcBorders>
            <w:shd w:val="clear" w:color="auto" w:fill="auto"/>
          </w:tcPr>
          <w:p w14:paraId="17EAC427" w14:textId="77777777" w:rsidR="00BF4E7F" w:rsidRPr="00F242DD" w:rsidRDefault="00BF4E7F" w:rsidP="0089441A">
            <w:pPr>
              <w:snapToGrid w:val="0"/>
              <w:spacing w:before="0" w:after="0" w:line="276" w:lineRule="auto"/>
              <w:jc w:val="center"/>
              <w:rPr>
                <w:rFonts w:eastAsia="Times New Roman"/>
                <w:szCs w:val="24"/>
              </w:rPr>
            </w:pPr>
          </w:p>
        </w:tc>
        <w:tc>
          <w:tcPr>
            <w:tcW w:w="5670" w:type="dxa"/>
            <w:tcBorders>
              <w:left w:val="single" w:sz="4" w:space="0" w:color="000000"/>
            </w:tcBorders>
            <w:shd w:val="clear" w:color="auto" w:fill="auto"/>
          </w:tcPr>
          <w:p w14:paraId="2473BE5F" w14:textId="77777777" w:rsidR="00BF4E7F" w:rsidRPr="00F242DD" w:rsidRDefault="007A5794" w:rsidP="0089441A">
            <w:pPr>
              <w:suppressAutoHyphens/>
              <w:snapToGrid w:val="0"/>
              <w:spacing w:before="0" w:after="0" w:line="276" w:lineRule="auto"/>
              <w:jc w:val="left"/>
              <w:rPr>
                <w:rFonts w:eastAsia="Times New Roman"/>
                <w:szCs w:val="24"/>
              </w:rPr>
            </w:pPr>
            <w:r w:rsidRPr="00F242DD">
              <w:rPr>
                <w:rFonts w:eastAsia="Times New Roman"/>
                <w:szCs w:val="24"/>
              </w:rPr>
              <w:t xml:space="preserve">2. </w:t>
            </w:r>
            <w:r w:rsidR="00BF4E7F" w:rsidRPr="00F242DD">
              <w:rPr>
                <w:rFonts w:eastAsia="Times New Roman"/>
                <w:szCs w:val="24"/>
              </w:rPr>
              <w:t>Нормальный уровень кальция сыворотки</w:t>
            </w:r>
          </w:p>
        </w:tc>
        <w:tc>
          <w:tcPr>
            <w:tcW w:w="2429" w:type="dxa"/>
            <w:tcBorders>
              <w:left w:val="single" w:sz="4" w:space="0" w:color="000000"/>
              <w:right w:val="single" w:sz="4" w:space="0" w:color="000000"/>
            </w:tcBorders>
            <w:shd w:val="clear" w:color="auto" w:fill="auto"/>
          </w:tcPr>
          <w:p w14:paraId="075B10D1" w14:textId="77777777" w:rsidR="00BF4E7F" w:rsidRPr="00F242DD" w:rsidRDefault="00BF4E7F" w:rsidP="0089441A">
            <w:pPr>
              <w:snapToGrid w:val="0"/>
              <w:spacing w:before="0" w:after="0" w:line="276" w:lineRule="auto"/>
              <w:jc w:val="center"/>
              <w:rPr>
                <w:rFonts w:eastAsia="Times New Roman"/>
                <w:szCs w:val="24"/>
              </w:rPr>
            </w:pPr>
          </w:p>
        </w:tc>
      </w:tr>
      <w:tr w:rsidR="00BF4E7F" w:rsidRPr="00F242DD" w14:paraId="2734CC7A" w14:textId="77777777" w:rsidTr="00E36DFA">
        <w:tc>
          <w:tcPr>
            <w:tcW w:w="1161" w:type="dxa"/>
            <w:tcBorders>
              <w:left w:val="single" w:sz="4" w:space="0" w:color="000000"/>
            </w:tcBorders>
            <w:shd w:val="clear" w:color="auto" w:fill="auto"/>
          </w:tcPr>
          <w:p w14:paraId="73168E5F" w14:textId="77777777" w:rsidR="00BF4E7F" w:rsidRPr="00F242DD" w:rsidRDefault="00BF4E7F" w:rsidP="0089441A">
            <w:pPr>
              <w:snapToGrid w:val="0"/>
              <w:spacing w:before="0" w:after="0" w:line="276" w:lineRule="auto"/>
              <w:jc w:val="center"/>
              <w:rPr>
                <w:rFonts w:eastAsia="Times New Roman"/>
                <w:szCs w:val="24"/>
              </w:rPr>
            </w:pPr>
          </w:p>
        </w:tc>
        <w:tc>
          <w:tcPr>
            <w:tcW w:w="5670" w:type="dxa"/>
            <w:tcBorders>
              <w:left w:val="single" w:sz="4" w:space="0" w:color="000000"/>
            </w:tcBorders>
            <w:shd w:val="clear" w:color="auto" w:fill="auto"/>
          </w:tcPr>
          <w:p w14:paraId="4360DA22" w14:textId="77777777" w:rsidR="00BF4E7F" w:rsidRPr="00F242DD" w:rsidRDefault="007A5794" w:rsidP="0089441A">
            <w:pPr>
              <w:suppressAutoHyphens/>
              <w:snapToGrid w:val="0"/>
              <w:spacing w:before="0" w:after="0" w:line="276" w:lineRule="auto"/>
              <w:jc w:val="left"/>
              <w:rPr>
                <w:rFonts w:eastAsia="Times New Roman"/>
                <w:szCs w:val="24"/>
              </w:rPr>
            </w:pPr>
            <w:r w:rsidRPr="00F242DD">
              <w:rPr>
                <w:rFonts w:eastAsia="Times New Roman"/>
                <w:szCs w:val="24"/>
              </w:rPr>
              <w:t>3. Рентгенологически</w:t>
            </w:r>
            <w:r w:rsidR="00BF4E7F" w:rsidRPr="00F242DD">
              <w:rPr>
                <w:rFonts w:eastAsia="Times New Roman"/>
                <w:szCs w:val="24"/>
              </w:rPr>
              <w:t xml:space="preserve"> нормальная структура кост</w:t>
            </w:r>
            <w:r w:rsidR="001C7270" w:rsidRPr="00F242DD">
              <w:rPr>
                <w:rFonts w:eastAsia="Times New Roman"/>
                <w:szCs w:val="24"/>
              </w:rPr>
              <w:t>ей или одиночный очаг поражения</w:t>
            </w:r>
          </w:p>
        </w:tc>
        <w:tc>
          <w:tcPr>
            <w:tcW w:w="2429" w:type="dxa"/>
            <w:tcBorders>
              <w:left w:val="single" w:sz="4" w:space="0" w:color="000000"/>
              <w:right w:val="single" w:sz="4" w:space="0" w:color="000000"/>
            </w:tcBorders>
            <w:shd w:val="clear" w:color="auto" w:fill="auto"/>
          </w:tcPr>
          <w:p w14:paraId="759D1B7F" w14:textId="77777777" w:rsidR="00BF4E7F" w:rsidRPr="00F242DD" w:rsidRDefault="00BF4E7F" w:rsidP="0089441A">
            <w:pPr>
              <w:snapToGrid w:val="0"/>
              <w:spacing w:before="0" w:after="0" w:line="276" w:lineRule="auto"/>
              <w:jc w:val="center"/>
              <w:rPr>
                <w:rFonts w:eastAsia="Times New Roman"/>
                <w:szCs w:val="24"/>
              </w:rPr>
            </w:pPr>
          </w:p>
        </w:tc>
      </w:tr>
      <w:tr w:rsidR="00BF4E7F" w:rsidRPr="00F242DD" w14:paraId="68FAC1A0" w14:textId="77777777" w:rsidTr="00E36DFA">
        <w:tc>
          <w:tcPr>
            <w:tcW w:w="1161" w:type="dxa"/>
            <w:tcBorders>
              <w:left w:val="single" w:sz="4" w:space="0" w:color="000000"/>
            </w:tcBorders>
            <w:shd w:val="clear" w:color="auto" w:fill="auto"/>
          </w:tcPr>
          <w:p w14:paraId="2F95292E" w14:textId="77777777" w:rsidR="00BF4E7F" w:rsidRPr="00F242DD" w:rsidRDefault="00BF4E7F" w:rsidP="0089441A">
            <w:pPr>
              <w:snapToGrid w:val="0"/>
              <w:spacing w:before="0" w:after="0" w:line="276" w:lineRule="auto"/>
              <w:jc w:val="center"/>
              <w:rPr>
                <w:rFonts w:eastAsia="Times New Roman"/>
                <w:szCs w:val="24"/>
              </w:rPr>
            </w:pPr>
          </w:p>
        </w:tc>
        <w:tc>
          <w:tcPr>
            <w:tcW w:w="5670" w:type="dxa"/>
            <w:tcBorders>
              <w:left w:val="single" w:sz="4" w:space="0" w:color="000000"/>
            </w:tcBorders>
            <w:shd w:val="clear" w:color="auto" w:fill="auto"/>
          </w:tcPr>
          <w:p w14:paraId="0859A0C8" w14:textId="77777777" w:rsidR="00BF4E7F" w:rsidRPr="00F242DD" w:rsidRDefault="007A5794" w:rsidP="0089441A">
            <w:pPr>
              <w:suppressAutoHyphens/>
              <w:snapToGrid w:val="0"/>
              <w:spacing w:before="0" w:after="0" w:line="276" w:lineRule="auto"/>
              <w:jc w:val="left"/>
              <w:rPr>
                <w:rFonts w:eastAsia="Times New Roman"/>
                <w:szCs w:val="24"/>
              </w:rPr>
            </w:pPr>
            <w:r w:rsidRPr="00F242DD">
              <w:rPr>
                <w:rFonts w:eastAsia="Times New Roman"/>
                <w:szCs w:val="24"/>
              </w:rPr>
              <w:t xml:space="preserve">4. </w:t>
            </w:r>
            <w:r w:rsidR="00BF4E7F" w:rsidRPr="00F242DD">
              <w:rPr>
                <w:rFonts w:eastAsia="Times New Roman"/>
                <w:szCs w:val="24"/>
              </w:rPr>
              <w:t>Низкий уровень М-протеина:</w:t>
            </w:r>
          </w:p>
        </w:tc>
        <w:tc>
          <w:tcPr>
            <w:tcW w:w="2429" w:type="dxa"/>
            <w:tcBorders>
              <w:left w:val="single" w:sz="4" w:space="0" w:color="000000"/>
              <w:right w:val="single" w:sz="4" w:space="0" w:color="000000"/>
            </w:tcBorders>
            <w:shd w:val="clear" w:color="auto" w:fill="auto"/>
          </w:tcPr>
          <w:p w14:paraId="7179CEAD" w14:textId="77777777" w:rsidR="00BF4E7F" w:rsidRPr="00F242DD" w:rsidRDefault="00BF4E7F" w:rsidP="0089441A">
            <w:pPr>
              <w:snapToGrid w:val="0"/>
              <w:spacing w:before="0" w:after="0" w:line="276" w:lineRule="auto"/>
              <w:jc w:val="center"/>
              <w:rPr>
                <w:rFonts w:eastAsia="Times New Roman"/>
                <w:szCs w:val="24"/>
              </w:rPr>
            </w:pPr>
          </w:p>
        </w:tc>
      </w:tr>
      <w:tr w:rsidR="00BF4E7F" w:rsidRPr="00F242DD" w14:paraId="5BBD8B1D" w14:textId="77777777" w:rsidTr="00E36DFA">
        <w:tc>
          <w:tcPr>
            <w:tcW w:w="1161" w:type="dxa"/>
            <w:tcBorders>
              <w:left w:val="single" w:sz="4" w:space="0" w:color="000000"/>
            </w:tcBorders>
            <w:shd w:val="clear" w:color="auto" w:fill="auto"/>
          </w:tcPr>
          <w:p w14:paraId="76E2FDD9" w14:textId="77777777" w:rsidR="00BF4E7F" w:rsidRPr="00F242DD" w:rsidRDefault="00BF4E7F" w:rsidP="0089441A">
            <w:pPr>
              <w:snapToGrid w:val="0"/>
              <w:spacing w:before="0" w:after="0" w:line="276" w:lineRule="auto"/>
              <w:jc w:val="center"/>
              <w:rPr>
                <w:rFonts w:eastAsia="Times New Roman"/>
                <w:szCs w:val="24"/>
              </w:rPr>
            </w:pPr>
          </w:p>
        </w:tc>
        <w:tc>
          <w:tcPr>
            <w:tcW w:w="5670" w:type="dxa"/>
            <w:tcBorders>
              <w:left w:val="single" w:sz="4" w:space="0" w:color="000000"/>
            </w:tcBorders>
            <w:shd w:val="clear" w:color="auto" w:fill="auto"/>
          </w:tcPr>
          <w:p w14:paraId="7D316F28" w14:textId="77777777" w:rsidR="00BF4E7F" w:rsidRPr="00F242DD" w:rsidRDefault="007A5794" w:rsidP="0089441A">
            <w:pPr>
              <w:suppressAutoHyphens/>
              <w:snapToGrid w:val="0"/>
              <w:spacing w:before="0" w:after="0" w:line="276" w:lineRule="auto"/>
              <w:jc w:val="left"/>
              <w:rPr>
                <w:rFonts w:eastAsia="Times New Roman"/>
                <w:szCs w:val="24"/>
              </w:rPr>
            </w:pPr>
            <w:r w:rsidRPr="00F242DD">
              <w:rPr>
                <w:rFonts w:eastAsia="Times New Roman"/>
                <w:szCs w:val="24"/>
              </w:rPr>
              <w:t xml:space="preserve">а) </w:t>
            </w:r>
            <w:r w:rsidR="00BF4E7F" w:rsidRPr="00F242DD">
              <w:rPr>
                <w:rFonts w:eastAsia="Times New Roman"/>
                <w:szCs w:val="24"/>
                <w:lang w:val="en-US"/>
              </w:rPr>
              <w:t>IgG</w:t>
            </w:r>
            <w:r w:rsidR="00BF4E7F" w:rsidRPr="00F242DD">
              <w:rPr>
                <w:rFonts w:eastAsia="Times New Roman"/>
                <w:szCs w:val="24"/>
              </w:rPr>
              <w:t xml:space="preserve"> &lt;50 г/л</w:t>
            </w:r>
            <w:r w:rsidR="001C7270" w:rsidRPr="00F242DD">
              <w:rPr>
                <w:rFonts w:eastAsia="Times New Roman"/>
                <w:szCs w:val="24"/>
              </w:rPr>
              <w:t>;</w:t>
            </w:r>
          </w:p>
        </w:tc>
        <w:tc>
          <w:tcPr>
            <w:tcW w:w="2429" w:type="dxa"/>
            <w:tcBorders>
              <w:left w:val="single" w:sz="4" w:space="0" w:color="000000"/>
              <w:right w:val="single" w:sz="4" w:space="0" w:color="000000"/>
            </w:tcBorders>
            <w:shd w:val="clear" w:color="auto" w:fill="auto"/>
          </w:tcPr>
          <w:p w14:paraId="6C823F26" w14:textId="77777777" w:rsidR="00BF4E7F" w:rsidRPr="00F242DD" w:rsidRDefault="00BF4E7F" w:rsidP="0089441A">
            <w:pPr>
              <w:snapToGrid w:val="0"/>
              <w:spacing w:before="0" w:after="0" w:line="276" w:lineRule="auto"/>
              <w:jc w:val="center"/>
              <w:rPr>
                <w:rFonts w:eastAsia="Times New Roman"/>
                <w:szCs w:val="24"/>
              </w:rPr>
            </w:pPr>
          </w:p>
        </w:tc>
      </w:tr>
      <w:tr w:rsidR="00BF4E7F" w:rsidRPr="00F242DD" w14:paraId="36AC06D4" w14:textId="77777777" w:rsidTr="00E36DFA">
        <w:tc>
          <w:tcPr>
            <w:tcW w:w="1161" w:type="dxa"/>
            <w:tcBorders>
              <w:left w:val="single" w:sz="4" w:space="0" w:color="000000"/>
            </w:tcBorders>
            <w:shd w:val="clear" w:color="auto" w:fill="auto"/>
          </w:tcPr>
          <w:p w14:paraId="118ED08C" w14:textId="77777777" w:rsidR="00BF4E7F" w:rsidRPr="00F242DD" w:rsidRDefault="00BF4E7F" w:rsidP="0089441A">
            <w:pPr>
              <w:snapToGrid w:val="0"/>
              <w:spacing w:before="0" w:after="0" w:line="276" w:lineRule="auto"/>
              <w:jc w:val="center"/>
              <w:rPr>
                <w:rFonts w:eastAsia="Times New Roman"/>
                <w:szCs w:val="24"/>
              </w:rPr>
            </w:pPr>
          </w:p>
        </w:tc>
        <w:tc>
          <w:tcPr>
            <w:tcW w:w="5670" w:type="dxa"/>
            <w:tcBorders>
              <w:left w:val="single" w:sz="4" w:space="0" w:color="000000"/>
            </w:tcBorders>
            <w:shd w:val="clear" w:color="auto" w:fill="auto"/>
          </w:tcPr>
          <w:p w14:paraId="2EE34BC0" w14:textId="77777777" w:rsidR="00BF4E7F" w:rsidRPr="00F242DD" w:rsidRDefault="004C0027" w:rsidP="0089441A">
            <w:pPr>
              <w:suppressAutoHyphens/>
              <w:snapToGrid w:val="0"/>
              <w:spacing w:before="0" w:after="0" w:line="276" w:lineRule="auto"/>
              <w:jc w:val="left"/>
              <w:rPr>
                <w:rFonts w:eastAsia="Times New Roman"/>
                <w:szCs w:val="24"/>
              </w:rPr>
            </w:pPr>
            <w:r w:rsidRPr="00F242DD">
              <w:rPr>
                <w:rFonts w:eastAsia="Times New Roman"/>
                <w:szCs w:val="24"/>
              </w:rPr>
              <w:t xml:space="preserve">б) </w:t>
            </w:r>
            <w:r w:rsidR="00BF4E7F" w:rsidRPr="00F242DD">
              <w:rPr>
                <w:rFonts w:eastAsia="Times New Roman"/>
                <w:szCs w:val="24"/>
                <w:lang w:val="en-US"/>
              </w:rPr>
              <w:t>IgA</w:t>
            </w:r>
            <w:r w:rsidR="00BF4E7F" w:rsidRPr="00F242DD">
              <w:rPr>
                <w:rFonts w:eastAsia="Times New Roman"/>
                <w:szCs w:val="24"/>
              </w:rPr>
              <w:t xml:space="preserve"> &lt;30 г/л</w:t>
            </w:r>
          </w:p>
        </w:tc>
        <w:tc>
          <w:tcPr>
            <w:tcW w:w="2429" w:type="dxa"/>
            <w:tcBorders>
              <w:left w:val="single" w:sz="4" w:space="0" w:color="000000"/>
              <w:right w:val="single" w:sz="4" w:space="0" w:color="000000"/>
            </w:tcBorders>
            <w:shd w:val="clear" w:color="auto" w:fill="auto"/>
          </w:tcPr>
          <w:p w14:paraId="60DDC3C3" w14:textId="77777777" w:rsidR="00BF4E7F" w:rsidRPr="00F242DD" w:rsidRDefault="00BF4E7F" w:rsidP="0089441A">
            <w:pPr>
              <w:snapToGrid w:val="0"/>
              <w:spacing w:before="0" w:after="0" w:line="276" w:lineRule="auto"/>
              <w:jc w:val="center"/>
              <w:rPr>
                <w:rFonts w:eastAsia="Times New Roman"/>
                <w:szCs w:val="24"/>
              </w:rPr>
            </w:pPr>
          </w:p>
        </w:tc>
      </w:tr>
      <w:tr w:rsidR="00BF4E7F" w:rsidRPr="00F242DD" w14:paraId="5CDA65E7" w14:textId="77777777" w:rsidTr="00E36DFA">
        <w:tc>
          <w:tcPr>
            <w:tcW w:w="1161" w:type="dxa"/>
            <w:tcBorders>
              <w:left w:val="single" w:sz="4" w:space="0" w:color="000000"/>
              <w:bottom w:val="single" w:sz="4" w:space="0" w:color="000000"/>
            </w:tcBorders>
            <w:shd w:val="clear" w:color="auto" w:fill="auto"/>
          </w:tcPr>
          <w:p w14:paraId="008EB794" w14:textId="77777777" w:rsidR="00BF4E7F" w:rsidRPr="00F242DD" w:rsidRDefault="00BF4E7F" w:rsidP="0089441A">
            <w:pPr>
              <w:snapToGrid w:val="0"/>
              <w:spacing w:before="0" w:after="0" w:line="276" w:lineRule="auto"/>
              <w:jc w:val="center"/>
              <w:rPr>
                <w:rFonts w:eastAsia="Times New Roman"/>
                <w:szCs w:val="24"/>
              </w:rPr>
            </w:pPr>
          </w:p>
        </w:tc>
        <w:tc>
          <w:tcPr>
            <w:tcW w:w="5670" w:type="dxa"/>
            <w:tcBorders>
              <w:left w:val="single" w:sz="4" w:space="0" w:color="000000"/>
              <w:bottom w:val="single" w:sz="4" w:space="0" w:color="000000"/>
            </w:tcBorders>
            <w:shd w:val="clear" w:color="auto" w:fill="auto"/>
          </w:tcPr>
          <w:p w14:paraId="7E2563F5" w14:textId="77777777" w:rsidR="00BF4E7F" w:rsidRPr="00F242DD" w:rsidRDefault="00BF4E7F" w:rsidP="0089441A">
            <w:pPr>
              <w:suppressAutoHyphens/>
              <w:snapToGrid w:val="0"/>
              <w:spacing w:before="0" w:after="0" w:line="276" w:lineRule="auto"/>
              <w:jc w:val="left"/>
              <w:rPr>
                <w:rFonts w:eastAsia="Times New Roman"/>
                <w:szCs w:val="24"/>
              </w:rPr>
            </w:pPr>
            <w:r w:rsidRPr="00F242DD">
              <w:rPr>
                <w:rFonts w:eastAsia="Times New Roman"/>
                <w:szCs w:val="24"/>
              </w:rPr>
              <w:t>Белок Бенс</w:t>
            </w:r>
            <w:r w:rsidR="004C0027" w:rsidRPr="00F242DD">
              <w:rPr>
                <w:rFonts w:eastAsia="Times New Roman"/>
                <w:szCs w:val="24"/>
              </w:rPr>
              <w:t>-</w:t>
            </w:r>
            <w:r w:rsidRPr="00F242DD">
              <w:rPr>
                <w:rFonts w:eastAsia="Times New Roman"/>
                <w:szCs w:val="24"/>
              </w:rPr>
              <w:t>Джонса &lt;4</w:t>
            </w:r>
            <w:r w:rsidR="001C7270" w:rsidRPr="00F242DD">
              <w:rPr>
                <w:rFonts w:eastAsia="Times New Roman"/>
                <w:szCs w:val="24"/>
              </w:rPr>
              <w:t> </w:t>
            </w:r>
            <w:r w:rsidRPr="00F242DD">
              <w:rPr>
                <w:rFonts w:eastAsia="Times New Roman"/>
                <w:szCs w:val="24"/>
              </w:rPr>
              <w:t>г/сут</w:t>
            </w:r>
          </w:p>
        </w:tc>
        <w:tc>
          <w:tcPr>
            <w:tcW w:w="2429" w:type="dxa"/>
            <w:tcBorders>
              <w:left w:val="single" w:sz="4" w:space="0" w:color="000000"/>
              <w:bottom w:val="single" w:sz="4" w:space="0" w:color="000000"/>
              <w:right w:val="single" w:sz="4" w:space="0" w:color="000000"/>
            </w:tcBorders>
            <w:shd w:val="clear" w:color="auto" w:fill="auto"/>
          </w:tcPr>
          <w:p w14:paraId="7B789ADF" w14:textId="77777777" w:rsidR="00BF4E7F" w:rsidRPr="00F242DD" w:rsidRDefault="00BF4E7F" w:rsidP="0089441A">
            <w:pPr>
              <w:snapToGrid w:val="0"/>
              <w:spacing w:before="0" w:after="0" w:line="276" w:lineRule="auto"/>
              <w:jc w:val="center"/>
              <w:rPr>
                <w:rFonts w:eastAsia="Times New Roman"/>
                <w:szCs w:val="24"/>
              </w:rPr>
            </w:pPr>
          </w:p>
        </w:tc>
      </w:tr>
      <w:tr w:rsidR="00BF4E7F" w:rsidRPr="00F242DD" w14:paraId="5751CD70" w14:textId="77777777" w:rsidTr="00E36DFA">
        <w:tc>
          <w:tcPr>
            <w:tcW w:w="1161" w:type="dxa"/>
            <w:tcBorders>
              <w:top w:val="single" w:sz="4" w:space="0" w:color="000000"/>
              <w:left w:val="single" w:sz="4" w:space="0" w:color="000000"/>
              <w:bottom w:val="single" w:sz="4" w:space="0" w:color="000000"/>
            </w:tcBorders>
            <w:shd w:val="clear" w:color="auto" w:fill="auto"/>
          </w:tcPr>
          <w:p w14:paraId="418449BA" w14:textId="77777777" w:rsidR="00BF4E7F" w:rsidRPr="00F242DD" w:rsidRDefault="00BF4E7F" w:rsidP="0089441A">
            <w:pPr>
              <w:snapToGrid w:val="0"/>
              <w:spacing w:before="0" w:after="0" w:line="276" w:lineRule="auto"/>
              <w:jc w:val="center"/>
              <w:rPr>
                <w:rFonts w:eastAsia="Times New Roman"/>
                <w:szCs w:val="24"/>
              </w:rPr>
            </w:pPr>
            <w:r w:rsidRPr="00F242DD">
              <w:rPr>
                <w:rFonts w:eastAsia="Times New Roman"/>
                <w:szCs w:val="24"/>
                <w:lang w:val="en-US"/>
              </w:rPr>
              <w:t>II</w:t>
            </w:r>
          </w:p>
        </w:tc>
        <w:tc>
          <w:tcPr>
            <w:tcW w:w="5670" w:type="dxa"/>
            <w:tcBorders>
              <w:top w:val="single" w:sz="4" w:space="0" w:color="000000"/>
              <w:left w:val="single" w:sz="4" w:space="0" w:color="000000"/>
              <w:bottom w:val="single" w:sz="4" w:space="0" w:color="000000"/>
            </w:tcBorders>
            <w:shd w:val="clear" w:color="auto" w:fill="auto"/>
          </w:tcPr>
          <w:p w14:paraId="0B0D3340" w14:textId="77777777" w:rsidR="00BF4E7F" w:rsidRPr="00F242DD" w:rsidRDefault="00BF4E7F" w:rsidP="0089441A">
            <w:pPr>
              <w:snapToGrid w:val="0"/>
              <w:spacing w:before="0" w:after="0" w:line="276" w:lineRule="auto"/>
              <w:jc w:val="left"/>
              <w:rPr>
                <w:rFonts w:eastAsia="Times New Roman"/>
                <w:szCs w:val="24"/>
              </w:rPr>
            </w:pPr>
            <w:r w:rsidRPr="00F242DD">
              <w:rPr>
                <w:rFonts w:eastAsia="Times New Roman"/>
                <w:szCs w:val="24"/>
              </w:rPr>
              <w:t xml:space="preserve">Показатели, не соответствующие ни </w:t>
            </w:r>
            <w:r w:rsidRPr="00F242DD">
              <w:rPr>
                <w:rFonts w:eastAsia="Times New Roman"/>
                <w:szCs w:val="24"/>
                <w:lang w:val="en-US"/>
              </w:rPr>
              <w:t>I</w:t>
            </w:r>
            <w:r w:rsidRPr="00F242DD">
              <w:rPr>
                <w:rFonts w:eastAsia="Times New Roman"/>
                <w:szCs w:val="24"/>
              </w:rPr>
              <w:t xml:space="preserve">, ни </w:t>
            </w:r>
            <w:r w:rsidRPr="00F242DD">
              <w:rPr>
                <w:rFonts w:eastAsia="Times New Roman"/>
                <w:szCs w:val="24"/>
                <w:lang w:val="en-US"/>
              </w:rPr>
              <w:t>III</w:t>
            </w:r>
            <w:r w:rsidRPr="00F242DD">
              <w:rPr>
                <w:rFonts w:eastAsia="Times New Roman"/>
                <w:szCs w:val="24"/>
              </w:rPr>
              <w:t xml:space="preserve"> стадиям</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1473C717" w14:textId="77777777" w:rsidR="00BF4E7F" w:rsidRPr="00F242DD" w:rsidRDefault="00BF4E7F" w:rsidP="0089441A">
            <w:pPr>
              <w:snapToGrid w:val="0"/>
              <w:spacing w:before="0" w:after="0" w:line="276" w:lineRule="auto"/>
              <w:jc w:val="center"/>
              <w:rPr>
                <w:rFonts w:eastAsia="Times New Roman"/>
                <w:szCs w:val="24"/>
              </w:rPr>
            </w:pPr>
            <w:r w:rsidRPr="00F242DD">
              <w:rPr>
                <w:rFonts w:eastAsia="Times New Roman"/>
                <w:szCs w:val="24"/>
                <w:lang w:val="en-US"/>
              </w:rPr>
              <w:t>0,6</w:t>
            </w:r>
            <w:r w:rsidR="00496D81" w:rsidRPr="00F242DD">
              <w:rPr>
                <w:rFonts w:eastAsia="Times New Roman"/>
                <w:szCs w:val="24"/>
              </w:rPr>
              <w:t>−</w:t>
            </w:r>
            <w:r w:rsidRPr="00F242DD">
              <w:rPr>
                <w:rFonts w:eastAsia="Times New Roman"/>
                <w:szCs w:val="24"/>
                <w:lang w:val="en-US"/>
              </w:rPr>
              <w:t>1,2</w:t>
            </w:r>
          </w:p>
          <w:p w14:paraId="38A9709B" w14:textId="77777777" w:rsidR="00BF4E7F" w:rsidRPr="00F242DD" w:rsidRDefault="00BF4E7F" w:rsidP="0089441A">
            <w:pPr>
              <w:spacing w:before="0" w:after="0" w:line="276" w:lineRule="auto"/>
              <w:jc w:val="center"/>
              <w:rPr>
                <w:rFonts w:eastAsia="Times New Roman"/>
                <w:szCs w:val="24"/>
                <w:lang w:val="en-US"/>
              </w:rPr>
            </w:pPr>
            <w:r w:rsidRPr="00F242DD">
              <w:rPr>
                <w:rFonts w:eastAsia="Times New Roman"/>
                <w:szCs w:val="24"/>
              </w:rPr>
              <w:t>(средняя</w:t>
            </w:r>
            <w:r w:rsidRPr="00F242DD">
              <w:rPr>
                <w:rFonts w:eastAsia="Times New Roman"/>
                <w:szCs w:val="24"/>
                <w:lang w:val="en-US"/>
              </w:rPr>
              <w:t>)</w:t>
            </w:r>
          </w:p>
        </w:tc>
      </w:tr>
      <w:tr w:rsidR="00BF4E7F" w:rsidRPr="00F242DD" w14:paraId="2DABED59" w14:textId="77777777" w:rsidTr="00E36DFA">
        <w:tc>
          <w:tcPr>
            <w:tcW w:w="1161" w:type="dxa"/>
            <w:tcBorders>
              <w:top w:val="single" w:sz="4" w:space="0" w:color="000000"/>
              <w:left w:val="single" w:sz="4" w:space="0" w:color="000000"/>
            </w:tcBorders>
            <w:shd w:val="clear" w:color="auto" w:fill="auto"/>
          </w:tcPr>
          <w:p w14:paraId="78432770" w14:textId="77777777" w:rsidR="00BF4E7F" w:rsidRPr="00F242DD" w:rsidRDefault="00BF4E7F" w:rsidP="0089441A">
            <w:pPr>
              <w:snapToGrid w:val="0"/>
              <w:spacing w:before="0" w:after="0" w:line="276" w:lineRule="auto"/>
              <w:jc w:val="center"/>
              <w:rPr>
                <w:rFonts w:eastAsia="Times New Roman"/>
                <w:szCs w:val="24"/>
              </w:rPr>
            </w:pPr>
            <w:r w:rsidRPr="00F242DD">
              <w:rPr>
                <w:rFonts w:eastAsia="Times New Roman"/>
                <w:szCs w:val="24"/>
                <w:lang w:val="en-US"/>
              </w:rPr>
              <w:t>III</w:t>
            </w:r>
          </w:p>
        </w:tc>
        <w:tc>
          <w:tcPr>
            <w:tcW w:w="5670" w:type="dxa"/>
            <w:tcBorders>
              <w:top w:val="single" w:sz="4" w:space="0" w:color="000000"/>
              <w:left w:val="single" w:sz="4" w:space="0" w:color="000000"/>
            </w:tcBorders>
            <w:shd w:val="clear" w:color="auto" w:fill="auto"/>
          </w:tcPr>
          <w:p w14:paraId="434CE727" w14:textId="77777777" w:rsidR="00BF4E7F" w:rsidRPr="00F242DD" w:rsidRDefault="00BF4E7F" w:rsidP="0089441A">
            <w:pPr>
              <w:snapToGrid w:val="0"/>
              <w:spacing w:before="0" w:after="0" w:line="276" w:lineRule="auto"/>
              <w:jc w:val="left"/>
              <w:rPr>
                <w:rFonts w:eastAsia="Times New Roman"/>
                <w:szCs w:val="24"/>
              </w:rPr>
            </w:pPr>
            <w:r w:rsidRPr="00F242DD">
              <w:rPr>
                <w:rFonts w:eastAsia="Times New Roman"/>
                <w:szCs w:val="24"/>
              </w:rPr>
              <w:t>Один или более из следующих признаков:</w:t>
            </w:r>
          </w:p>
        </w:tc>
        <w:tc>
          <w:tcPr>
            <w:tcW w:w="2429" w:type="dxa"/>
            <w:tcBorders>
              <w:top w:val="single" w:sz="4" w:space="0" w:color="000000"/>
              <w:left w:val="single" w:sz="4" w:space="0" w:color="000000"/>
              <w:right w:val="single" w:sz="4" w:space="0" w:color="000000"/>
            </w:tcBorders>
            <w:shd w:val="clear" w:color="auto" w:fill="auto"/>
          </w:tcPr>
          <w:p w14:paraId="784C998F" w14:textId="77777777" w:rsidR="00BF4E7F" w:rsidRPr="00F242DD" w:rsidRDefault="00BF4E7F" w:rsidP="0089441A">
            <w:pPr>
              <w:snapToGrid w:val="0"/>
              <w:spacing w:before="0" w:after="0" w:line="276" w:lineRule="auto"/>
              <w:jc w:val="center"/>
              <w:rPr>
                <w:rFonts w:eastAsia="Times New Roman"/>
                <w:szCs w:val="24"/>
              </w:rPr>
            </w:pPr>
            <w:r w:rsidRPr="00F242DD">
              <w:rPr>
                <w:rFonts w:eastAsia="Times New Roman"/>
                <w:szCs w:val="24"/>
                <w:lang w:val="en-US"/>
              </w:rPr>
              <w:t>&gt;1,2</w:t>
            </w:r>
          </w:p>
        </w:tc>
      </w:tr>
      <w:tr w:rsidR="00BF4E7F" w:rsidRPr="00F242DD" w14:paraId="3692C23C" w14:textId="77777777" w:rsidTr="00E36DFA">
        <w:tc>
          <w:tcPr>
            <w:tcW w:w="1161" w:type="dxa"/>
            <w:tcBorders>
              <w:left w:val="single" w:sz="4" w:space="0" w:color="000000"/>
            </w:tcBorders>
            <w:shd w:val="clear" w:color="auto" w:fill="auto"/>
          </w:tcPr>
          <w:p w14:paraId="37BD4679" w14:textId="77777777" w:rsidR="00BF4E7F" w:rsidRPr="00F242DD" w:rsidRDefault="00BF4E7F" w:rsidP="0089441A">
            <w:pPr>
              <w:snapToGrid w:val="0"/>
              <w:spacing w:before="0" w:after="0" w:line="276" w:lineRule="auto"/>
              <w:jc w:val="center"/>
              <w:rPr>
                <w:rFonts w:eastAsia="Times New Roman"/>
                <w:szCs w:val="24"/>
              </w:rPr>
            </w:pPr>
          </w:p>
        </w:tc>
        <w:tc>
          <w:tcPr>
            <w:tcW w:w="5670" w:type="dxa"/>
            <w:tcBorders>
              <w:left w:val="single" w:sz="4" w:space="0" w:color="000000"/>
            </w:tcBorders>
            <w:shd w:val="clear" w:color="auto" w:fill="auto"/>
          </w:tcPr>
          <w:p w14:paraId="7345734F" w14:textId="77777777" w:rsidR="00BF4E7F" w:rsidRPr="00F242DD" w:rsidRDefault="007A5794" w:rsidP="0089441A">
            <w:pPr>
              <w:numPr>
                <w:ilvl w:val="0"/>
                <w:numId w:val="7"/>
              </w:numPr>
              <w:suppressAutoHyphens/>
              <w:snapToGrid w:val="0"/>
              <w:spacing w:before="0" w:after="0" w:line="276" w:lineRule="auto"/>
              <w:ind w:left="0" w:firstLine="0"/>
              <w:jc w:val="left"/>
              <w:rPr>
                <w:rFonts w:eastAsia="Times New Roman"/>
                <w:szCs w:val="24"/>
              </w:rPr>
            </w:pPr>
            <w:r w:rsidRPr="00F242DD">
              <w:rPr>
                <w:rFonts w:eastAsia="Times New Roman"/>
                <w:szCs w:val="24"/>
              </w:rPr>
              <w:t>Уровень г</w:t>
            </w:r>
            <w:r w:rsidR="00BF4E7F" w:rsidRPr="00F242DD">
              <w:rPr>
                <w:rFonts w:eastAsia="Times New Roman"/>
                <w:szCs w:val="24"/>
              </w:rPr>
              <w:t>емоглобин</w:t>
            </w:r>
            <w:r w:rsidRPr="00F242DD">
              <w:rPr>
                <w:rFonts w:eastAsia="Times New Roman"/>
                <w:szCs w:val="24"/>
              </w:rPr>
              <w:t xml:space="preserve">а </w:t>
            </w:r>
            <w:r w:rsidR="00BF4E7F" w:rsidRPr="00F242DD">
              <w:rPr>
                <w:rFonts w:eastAsia="Times New Roman"/>
                <w:szCs w:val="24"/>
                <w:lang w:val="en-US"/>
              </w:rPr>
              <w:t>&lt;8,5 г</w:t>
            </w:r>
            <w:r w:rsidR="00BF4E7F" w:rsidRPr="00F242DD">
              <w:rPr>
                <w:rFonts w:eastAsia="Times New Roman"/>
                <w:szCs w:val="24"/>
              </w:rPr>
              <w:t>/дл</w:t>
            </w:r>
          </w:p>
        </w:tc>
        <w:tc>
          <w:tcPr>
            <w:tcW w:w="2429" w:type="dxa"/>
            <w:tcBorders>
              <w:left w:val="single" w:sz="4" w:space="0" w:color="000000"/>
              <w:right w:val="single" w:sz="4" w:space="0" w:color="000000"/>
            </w:tcBorders>
            <w:shd w:val="clear" w:color="auto" w:fill="auto"/>
          </w:tcPr>
          <w:p w14:paraId="4A65985B" w14:textId="77777777" w:rsidR="00BF4E7F" w:rsidRPr="00F242DD" w:rsidRDefault="00BF4E7F" w:rsidP="0089441A">
            <w:pPr>
              <w:snapToGrid w:val="0"/>
              <w:spacing w:before="0" w:after="0" w:line="276" w:lineRule="auto"/>
              <w:jc w:val="center"/>
              <w:rPr>
                <w:rFonts w:eastAsia="Times New Roman"/>
                <w:szCs w:val="24"/>
                <w:lang w:val="en-US"/>
              </w:rPr>
            </w:pPr>
            <w:r w:rsidRPr="00F242DD">
              <w:rPr>
                <w:rFonts w:eastAsia="Times New Roman"/>
                <w:szCs w:val="24"/>
              </w:rPr>
              <w:t>(высокая</w:t>
            </w:r>
            <w:r w:rsidRPr="00F242DD">
              <w:rPr>
                <w:rFonts w:eastAsia="Times New Roman"/>
                <w:szCs w:val="24"/>
                <w:lang w:val="en-US"/>
              </w:rPr>
              <w:t>)</w:t>
            </w:r>
          </w:p>
        </w:tc>
      </w:tr>
      <w:tr w:rsidR="00BF4E7F" w:rsidRPr="00F242DD" w14:paraId="70784826" w14:textId="77777777" w:rsidTr="00E36DFA">
        <w:tc>
          <w:tcPr>
            <w:tcW w:w="1161" w:type="dxa"/>
            <w:tcBorders>
              <w:left w:val="single" w:sz="4" w:space="0" w:color="000000"/>
            </w:tcBorders>
            <w:shd w:val="clear" w:color="auto" w:fill="auto"/>
          </w:tcPr>
          <w:p w14:paraId="37325635" w14:textId="77777777" w:rsidR="00BF4E7F" w:rsidRPr="00F242DD" w:rsidRDefault="00BF4E7F" w:rsidP="0089441A">
            <w:pPr>
              <w:snapToGrid w:val="0"/>
              <w:spacing w:before="0" w:after="0" w:line="276" w:lineRule="auto"/>
              <w:jc w:val="center"/>
              <w:rPr>
                <w:rFonts w:eastAsia="Times New Roman"/>
                <w:szCs w:val="24"/>
                <w:lang w:val="en-US"/>
              </w:rPr>
            </w:pPr>
          </w:p>
        </w:tc>
        <w:tc>
          <w:tcPr>
            <w:tcW w:w="5670" w:type="dxa"/>
            <w:tcBorders>
              <w:left w:val="single" w:sz="4" w:space="0" w:color="000000"/>
            </w:tcBorders>
            <w:shd w:val="clear" w:color="auto" w:fill="auto"/>
          </w:tcPr>
          <w:p w14:paraId="21220400" w14:textId="77777777" w:rsidR="00BF4E7F" w:rsidRPr="00F242DD" w:rsidRDefault="00BF4E7F" w:rsidP="0089441A">
            <w:pPr>
              <w:numPr>
                <w:ilvl w:val="0"/>
                <w:numId w:val="7"/>
              </w:numPr>
              <w:suppressAutoHyphens/>
              <w:snapToGrid w:val="0"/>
              <w:spacing w:before="0" w:after="0" w:line="276" w:lineRule="auto"/>
              <w:ind w:left="0" w:firstLine="0"/>
              <w:jc w:val="left"/>
              <w:rPr>
                <w:rFonts w:eastAsia="Times New Roman"/>
                <w:szCs w:val="24"/>
              </w:rPr>
            </w:pPr>
            <w:r w:rsidRPr="00F242DD">
              <w:rPr>
                <w:rFonts w:eastAsia="Times New Roman"/>
                <w:szCs w:val="24"/>
              </w:rPr>
              <w:t>Уровень кальция сыворотки превышает нормальные значения</w:t>
            </w:r>
          </w:p>
        </w:tc>
        <w:tc>
          <w:tcPr>
            <w:tcW w:w="2429" w:type="dxa"/>
            <w:tcBorders>
              <w:left w:val="single" w:sz="4" w:space="0" w:color="000000"/>
              <w:right w:val="single" w:sz="4" w:space="0" w:color="000000"/>
            </w:tcBorders>
            <w:shd w:val="clear" w:color="auto" w:fill="auto"/>
          </w:tcPr>
          <w:p w14:paraId="31003830" w14:textId="77777777" w:rsidR="00BF4E7F" w:rsidRPr="00F242DD" w:rsidRDefault="00BF4E7F" w:rsidP="0089441A">
            <w:pPr>
              <w:snapToGrid w:val="0"/>
              <w:spacing w:before="0" w:after="0" w:line="276" w:lineRule="auto"/>
              <w:jc w:val="center"/>
              <w:rPr>
                <w:rFonts w:eastAsia="Times New Roman"/>
                <w:szCs w:val="24"/>
              </w:rPr>
            </w:pPr>
          </w:p>
        </w:tc>
      </w:tr>
      <w:tr w:rsidR="00BF4E7F" w:rsidRPr="00F242DD" w14:paraId="377E6116" w14:textId="77777777" w:rsidTr="00E36DFA">
        <w:tc>
          <w:tcPr>
            <w:tcW w:w="1161" w:type="dxa"/>
            <w:tcBorders>
              <w:left w:val="single" w:sz="4" w:space="0" w:color="000000"/>
            </w:tcBorders>
            <w:shd w:val="clear" w:color="auto" w:fill="auto"/>
          </w:tcPr>
          <w:p w14:paraId="5174DB48" w14:textId="77777777" w:rsidR="00BF4E7F" w:rsidRPr="00F242DD" w:rsidRDefault="00BF4E7F" w:rsidP="0089441A">
            <w:pPr>
              <w:snapToGrid w:val="0"/>
              <w:spacing w:before="0" w:after="0" w:line="276" w:lineRule="auto"/>
              <w:jc w:val="center"/>
              <w:rPr>
                <w:rFonts w:eastAsia="Times New Roman"/>
                <w:szCs w:val="24"/>
              </w:rPr>
            </w:pPr>
          </w:p>
        </w:tc>
        <w:tc>
          <w:tcPr>
            <w:tcW w:w="5670" w:type="dxa"/>
            <w:tcBorders>
              <w:left w:val="single" w:sz="4" w:space="0" w:color="000000"/>
            </w:tcBorders>
            <w:shd w:val="clear" w:color="auto" w:fill="auto"/>
          </w:tcPr>
          <w:p w14:paraId="0B0D2E34" w14:textId="77777777" w:rsidR="00BF4E7F" w:rsidRPr="00F242DD" w:rsidRDefault="00DF1752" w:rsidP="0089441A">
            <w:pPr>
              <w:numPr>
                <w:ilvl w:val="0"/>
                <w:numId w:val="7"/>
              </w:numPr>
              <w:suppressAutoHyphens/>
              <w:snapToGrid w:val="0"/>
              <w:spacing w:before="0" w:after="0" w:line="276" w:lineRule="auto"/>
              <w:ind w:left="0" w:firstLine="0"/>
              <w:jc w:val="left"/>
              <w:rPr>
                <w:rFonts w:eastAsia="Times New Roman"/>
                <w:szCs w:val="24"/>
              </w:rPr>
            </w:pPr>
            <w:r w:rsidRPr="00F242DD">
              <w:rPr>
                <w:rFonts w:eastAsia="Times New Roman"/>
                <w:szCs w:val="24"/>
              </w:rPr>
              <w:t xml:space="preserve">Множественные поражения </w:t>
            </w:r>
            <w:proofErr w:type="gramStart"/>
            <w:r w:rsidRPr="00F242DD">
              <w:rPr>
                <w:rFonts w:eastAsia="Times New Roman"/>
                <w:szCs w:val="24"/>
              </w:rPr>
              <w:t>костей</w:t>
            </w:r>
            <w:r w:rsidRPr="00F242DD">
              <w:rPr>
                <w:rFonts w:eastAsia="Times New Roman"/>
                <w:szCs w:val="24"/>
              </w:rPr>
              <w:br/>
            </w:r>
            <w:r w:rsidR="00BF4E7F" w:rsidRPr="00F242DD">
              <w:rPr>
                <w:rFonts w:eastAsia="Times New Roman"/>
                <w:szCs w:val="24"/>
              </w:rPr>
              <w:t>(</w:t>
            </w:r>
            <w:proofErr w:type="gramEnd"/>
            <w:r w:rsidR="00BF4E7F" w:rsidRPr="00F242DD">
              <w:rPr>
                <w:rFonts w:eastAsia="Times New Roman"/>
                <w:szCs w:val="24"/>
              </w:rPr>
              <w:t>&gt;3 литических очагов)</w:t>
            </w:r>
          </w:p>
        </w:tc>
        <w:tc>
          <w:tcPr>
            <w:tcW w:w="2429" w:type="dxa"/>
            <w:tcBorders>
              <w:left w:val="single" w:sz="4" w:space="0" w:color="000000"/>
              <w:right w:val="single" w:sz="4" w:space="0" w:color="000000"/>
            </w:tcBorders>
            <w:shd w:val="clear" w:color="auto" w:fill="auto"/>
          </w:tcPr>
          <w:p w14:paraId="13B23A97" w14:textId="77777777" w:rsidR="00BF4E7F" w:rsidRPr="00F242DD" w:rsidRDefault="00BF4E7F" w:rsidP="0089441A">
            <w:pPr>
              <w:snapToGrid w:val="0"/>
              <w:spacing w:before="0" w:after="0" w:line="276" w:lineRule="auto"/>
              <w:jc w:val="center"/>
              <w:rPr>
                <w:rFonts w:eastAsia="Times New Roman"/>
                <w:szCs w:val="24"/>
              </w:rPr>
            </w:pPr>
          </w:p>
        </w:tc>
      </w:tr>
      <w:tr w:rsidR="00BF4E7F" w:rsidRPr="00F242DD" w14:paraId="66D72943" w14:textId="77777777" w:rsidTr="00E36DFA">
        <w:tc>
          <w:tcPr>
            <w:tcW w:w="1161" w:type="dxa"/>
            <w:tcBorders>
              <w:left w:val="single" w:sz="4" w:space="0" w:color="000000"/>
            </w:tcBorders>
            <w:shd w:val="clear" w:color="auto" w:fill="auto"/>
          </w:tcPr>
          <w:p w14:paraId="065F659B" w14:textId="77777777" w:rsidR="00BF4E7F" w:rsidRPr="00F242DD" w:rsidRDefault="00BF4E7F" w:rsidP="0089441A">
            <w:pPr>
              <w:snapToGrid w:val="0"/>
              <w:spacing w:before="0" w:after="0" w:line="276" w:lineRule="auto"/>
              <w:jc w:val="center"/>
              <w:rPr>
                <w:rFonts w:eastAsia="Times New Roman"/>
                <w:szCs w:val="24"/>
              </w:rPr>
            </w:pPr>
          </w:p>
        </w:tc>
        <w:tc>
          <w:tcPr>
            <w:tcW w:w="5670" w:type="dxa"/>
            <w:tcBorders>
              <w:left w:val="single" w:sz="4" w:space="0" w:color="000000"/>
            </w:tcBorders>
            <w:shd w:val="clear" w:color="auto" w:fill="auto"/>
          </w:tcPr>
          <w:p w14:paraId="14C9B245" w14:textId="77777777" w:rsidR="00BF4E7F" w:rsidRPr="00F242DD" w:rsidRDefault="00BF4E7F" w:rsidP="0089441A">
            <w:pPr>
              <w:numPr>
                <w:ilvl w:val="0"/>
                <w:numId w:val="7"/>
              </w:numPr>
              <w:suppressAutoHyphens/>
              <w:snapToGrid w:val="0"/>
              <w:spacing w:before="0" w:after="0" w:line="276" w:lineRule="auto"/>
              <w:ind w:left="0" w:firstLine="0"/>
              <w:jc w:val="left"/>
              <w:rPr>
                <w:rFonts w:eastAsia="Times New Roman"/>
                <w:szCs w:val="24"/>
                <w:lang w:val="en-US"/>
              </w:rPr>
            </w:pPr>
            <w:r w:rsidRPr="00F242DD">
              <w:rPr>
                <w:rFonts w:eastAsia="Times New Roman"/>
                <w:szCs w:val="24"/>
              </w:rPr>
              <w:t xml:space="preserve">Высокий </w:t>
            </w:r>
            <w:r w:rsidRPr="00F242DD">
              <w:rPr>
                <w:rFonts w:eastAsia="Times New Roman"/>
                <w:szCs w:val="24"/>
                <w:lang w:val="en-US"/>
              </w:rPr>
              <w:t>уровень М-протеина:</w:t>
            </w:r>
          </w:p>
        </w:tc>
        <w:tc>
          <w:tcPr>
            <w:tcW w:w="2429" w:type="dxa"/>
            <w:tcBorders>
              <w:left w:val="single" w:sz="4" w:space="0" w:color="000000"/>
              <w:right w:val="single" w:sz="4" w:space="0" w:color="000000"/>
            </w:tcBorders>
            <w:shd w:val="clear" w:color="auto" w:fill="auto"/>
          </w:tcPr>
          <w:p w14:paraId="18C8B512" w14:textId="77777777" w:rsidR="00BF4E7F" w:rsidRPr="00F242DD" w:rsidRDefault="00BF4E7F" w:rsidP="0089441A">
            <w:pPr>
              <w:snapToGrid w:val="0"/>
              <w:spacing w:before="0" w:after="0" w:line="276" w:lineRule="auto"/>
              <w:jc w:val="center"/>
              <w:rPr>
                <w:rFonts w:eastAsia="Times New Roman"/>
                <w:szCs w:val="24"/>
                <w:lang w:val="en-US"/>
              </w:rPr>
            </w:pPr>
          </w:p>
        </w:tc>
      </w:tr>
      <w:tr w:rsidR="00BF4E7F" w:rsidRPr="00F242DD" w14:paraId="30070209" w14:textId="77777777" w:rsidTr="00E36DFA">
        <w:tc>
          <w:tcPr>
            <w:tcW w:w="1161" w:type="dxa"/>
            <w:tcBorders>
              <w:left w:val="single" w:sz="4" w:space="0" w:color="000000"/>
            </w:tcBorders>
            <w:shd w:val="clear" w:color="auto" w:fill="auto"/>
          </w:tcPr>
          <w:p w14:paraId="6756D23E" w14:textId="77777777" w:rsidR="00BF4E7F" w:rsidRPr="00F242DD" w:rsidRDefault="00BF4E7F" w:rsidP="0089441A">
            <w:pPr>
              <w:snapToGrid w:val="0"/>
              <w:spacing w:before="0" w:after="0" w:line="276" w:lineRule="auto"/>
              <w:jc w:val="center"/>
              <w:rPr>
                <w:rFonts w:eastAsia="Times New Roman"/>
                <w:szCs w:val="24"/>
                <w:lang w:val="en-US"/>
              </w:rPr>
            </w:pPr>
          </w:p>
        </w:tc>
        <w:tc>
          <w:tcPr>
            <w:tcW w:w="5670" w:type="dxa"/>
            <w:tcBorders>
              <w:left w:val="single" w:sz="4" w:space="0" w:color="000000"/>
            </w:tcBorders>
            <w:shd w:val="clear" w:color="auto" w:fill="auto"/>
          </w:tcPr>
          <w:p w14:paraId="08CC8BBD" w14:textId="77777777" w:rsidR="00BF4E7F" w:rsidRPr="00F242DD" w:rsidRDefault="00BF4E7F" w:rsidP="0089441A">
            <w:pPr>
              <w:numPr>
                <w:ilvl w:val="1"/>
                <w:numId w:val="7"/>
              </w:numPr>
              <w:suppressAutoHyphens/>
              <w:snapToGrid w:val="0"/>
              <w:spacing w:before="0" w:after="0" w:line="276" w:lineRule="auto"/>
              <w:ind w:left="0" w:firstLine="0"/>
              <w:jc w:val="left"/>
              <w:rPr>
                <w:rFonts w:eastAsia="Times New Roman"/>
                <w:szCs w:val="24"/>
                <w:lang w:val="en-US"/>
              </w:rPr>
            </w:pPr>
            <w:r w:rsidRPr="00F242DD">
              <w:rPr>
                <w:rFonts w:eastAsia="Times New Roman"/>
                <w:szCs w:val="24"/>
                <w:lang w:val="en-US"/>
              </w:rPr>
              <w:t>IgG &gt;70 г/л</w:t>
            </w:r>
            <w:r w:rsidR="007A5794" w:rsidRPr="00F242DD">
              <w:rPr>
                <w:rFonts w:eastAsia="Times New Roman"/>
                <w:szCs w:val="24"/>
              </w:rPr>
              <w:t>;</w:t>
            </w:r>
          </w:p>
        </w:tc>
        <w:tc>
          <w:tcPr>
            <w:tcW w:w="2429" w:type="dxa"/>
            <w:tcBorders>
              <w:left w:val="single" w:sz="4" w:space="0" w:color="000000"/>
              <w:right w:val="single" w:sz="4" w:space="0" w:color="000000"/>
            </w:tcBorders>
            <w:shd w:val="clear" w:color="auto" w:fill="auto"/>
          </w:tcPr>
          <w:p w14:paraId="2A1984C3" w14:textId="77777777" w:rsidR="00BF4E7F" w:rsidRPr="00F242DD" w:rsidRDefault="00BF4E7F" w:rsidP="0089441A">
            <w:pPr>
              <w:snapToGrid w:val="0"/>
              <w:spacing w:before="0" w:after="0" w:line="276" w:lineRule="auto"/>
              <w:jc w:val="center"/>
              <w:rPr>
                <w:rFonts w:eastAsia="Times New Roman"/>
                <w:szCs w:val="24"/>
                <w:lang w:val="en-US"/>
              </w:rPr>
            </w:pPr>
          </w:p>
        </w:tc>
      </w:tr>
      <w:tr w:rsidR="00BF4E7F" w:rsidRPr="00F242DD" w14:paraId="0B8C9BE1" w14:textId="77777777" w:rsidTr="00E36DFA">
        <w:tc>
          <w:tcPr>
            <w:tcW w:w="1161" w:type="dxa"/>
            <w:tcBorders>
              <w:left w:val="single" w:sz="4" w:space="0" w:color="000000"/>
            </w:tcBorders>
            <w:shd w:val="clear" w:color="auto" w:fill="auto"/>
          </w:tcPr>
          <w:p w14:paraId="17E5DAE7" w14:textId="77777777" w:rsidR="00BF4E7F" w:rsidRPr="00F242DD" w:rsidRDefault="00BF4E7F" w:rsidP="0089441A">
            <w:pPr>
              <w:snapToGrid w:val="0"/>
              <w:spacing w:before="0" w:after="0" w:line="276" w:lineRule="auto"/>
              <w:jc w:val="center"/>
              <w:rPr>
                <w:rFonts w:eastAsia="Times New Roman"/>
                <w:szCs w:val="24"/>
                <w:lang w:val="en-US"/>
              </w:rPr>
            </w:pPr>
          </w:p>
        </w:tc>
        <w:tc>
          <w:tcPr>
            <w:tcW w:w="5670" w:type="dxa"/>
            <w:tcBorders>
              <w:left w:val="single" w:sz="4" w:space="0" w:color="000000"/>
            </w:tcBorders>
            <w:shd w:val="clear" w:color="auto" w:fill="auto"/>
          </w:tcPr>
          <w:p w14:paraId="680B9C45" w14:textId="77777777" w:rsidR="00BF4E7F" w:rsidRPr="00F242DD" w:rsidRDefault="00BF4E7F" w:rsidP="0089441A">
            <w:pPr>
              <w:numPr>
                <w:ilvl w:val="1"/>
                <w:numId w:val="7"/>
              </w:numPr>
              <w:suppressAutoHyphens/>
              <w:snapToGrid w:val="0"/>
              <w:spacing w:before="0" w:after="0" w:line="276" w:lineRule="auto"/>
              <w:ind w:left="0" w:firstLine="0"/>
              <w:jc w:val="left"/>
              <w:rPr>
                <w:rFonts w:eastAsia="Times New Roman"/>
                <w:szCs w:val="24"/>
                <w:lang w:val="en-US"/>
              </w:rPr>
            </w:pPr>
            <w:r w:rsidRPr="00F242DD">
              <w:rPr>
                <w:rFonts w:eastAsia="Times New Roman"/>
                <w:szCs w:val="24"/>
                <w:lang w:val="en-US"/>
              </w:rPr>
              <w:t>IgA &gt;50 г/л</w:t>
            </w:r>
          </w:p>
        </w:tc>
        <w:tc>
          <w:tcPr>
            <w:tcW w:w="2429" w:type="dxa"/>
            <w:tcBorders>
              <w:left w:val="single" w:sz="4" w:space="0" w:color="000000"/>
              <w:right w:val="single" w:sz="4" w:space="0" w:color="000000"/>
            </w:tcBorders>
            <w:shd w:val="clear" w:color="auto" w:fill="auto"/>
          </w:tcPr>
          <w:p w14:paraId="2076E06E" w14:textId="77777777" w:rsidR="00BF4E7F" w:rsidRPr="00F242DD" w:rsidRDefault="00BF4E7F" w:rsidP="0089441A">
            <w:pPr>
              <w:snapToGrid w:val="0"/>
              <w:spacing w:before="0" w:after="0" w:line="276" w:lineRule="auto"/>
              <w:jc w:val="center"/>
              <w:rPr>
                <w:rFonts w:eastAsia="Times New Roman"/>
                <w:szCs w:val="24"/>
                <w:lang w:val="en-US"/>
              </w:rPr>
            </w:pPr>
          </w:p>
        </w:tc>
      </w:tr>
      <w:tr w:rsidR="00BF4E7F" w:rsidRPr="00F242DD" w14:paraId="0E172064" w14:textId="77777777" w:rsidTr="00E36DFA">
        <w:tc>
          <w:tcPr>
            <w:tcW w:w="1161" w:type="dxa"/>
            <w:tcBorders>
              <w:left w:val="single" w:sz="4" w:space="0" w:color="000000"/>
              <w:bottom w:val="single" w:sz="4" w:space="0" w:color="000000"/>
            </w:tcBorders>
            <w:shd w:val="clear" w:color="auto" w:fill="auto"/>
          </w:tcPr>
          <w:p w14:paraId="2C44B7E5" w14:textId="77777777" w:rsidR="00BF4E7F" w:rsidRPr="00F242DD" w:rsidRDefault="00BF4E7F" w:rsidP="0089441A">
            <w:pPr>
              <w:snapToGrid w:val="0"/>
              <w:spacing w:before="0" w:after="0" w:line="276" w:lineRule="auto"/>
              <w:jc w:val="center"/>
              <w:rPr>
                <w:rFonts w:eastAsia="Times New Roman"/>
                <w:szCs w:val="24"/>
                <w:lang w:val="en-US"/>
              </w:rPr>
            </w:pPr>
          </w:p>
        </w:tc>
        <w:tc>
          <w:tcPr>
            <w:tcW w:w="5670" w:type="dxa"/>
            <w:tcBorders>
              <w:left w:val="single" w:sz="4" w:space="0" w:color="000000"/>
              <w:bottom w:val="single" w:sz="4" w:space="0" w:color="000000"/>
            </w:tcBorders>
            <w:shd w:val="clear" w:color="auto" w:fill="auto"/>
          </w:tcPr>
          <w:p w14:paraId="634F85A9" w14:textId="77777777" w:rsidR="00BF4E7F" w:rsidRPr="00F242DD" w:rsidRDefault="00BF4E7F" w:rsidP="0089441A">
            <w:pPr>
              <w:numPr>
                <w:ilvl w:val="0"/>
                <w:numId w:val="7"/>
              </w:numPr>
              <w:suppressAutoHyphens/>
              <w:snapToGrid w:val="0"/>
              <w:spacing w:before="0" w:after="0" w:line="276" w:lineRule="auto"/>
              <w:ind w:left="0" w:firstLine="0"/>
              <w:jc w:val="left"/>
              <w:rPr>
                <w:rFonts w:eastAsia="Times New Roman"/>
                <w:szCs w:val="24"/>
              </w:rPr>
            </w:pPr>
            <w:r w:rsidRPr="00F242DD">
              <w:rPr>
                <w:rFonts w:eastAsia="Times New Roman"/>
                <w:szCs w:val="24"/>
              </w:rPr>
              <w:t>Белок Бенс-Джонса &gt;12 г/сут</w:t>
            </w:r>
          </w:p>
        </w:tc>
        <w:tc>
          <w:tcPr>
            <w:tcW w:w="2429" w:type="dxa"/>
            <w:tcBorders>
              <w:left w:val="single" w:sz="4" w:space="0" w:color="000000"/>
              <w:bottom w:val="single" w:sz="4" w:space="0" w:color="000000"/>
              <w:right w:val="single" w:sz="4" w:space="0" w:color="000000"/>
            </w:tcBorders>
            <w:shd w:val="clear" w:color="auto" w:fill="auto"/>
          </w:tcPr>
          <w:p w14:paraId="7CC78A72" w14:textId="77777777" w:rsidR="00BF4E7F" w:rsidRPr="00F242DD" w:rsidRDefault="00BF4E7F" w:rsidP="0089441A">
            <w:pPr>
              <w:snapToGrid w:val="0"/>
              <w:spacing w:before="0" w:after="0" w:line="276" w:lineRule="auto"/>
              <w:jc w:val="center"/>
              <w:rPr>
                <w:rFonts w:eastAsia="Times New Roman"/>
                <w:szCs w:val="24"/>
              </w:rPr>
            </w:pPr>
          </w:p>
        </w:tc>
      </w:tr>
    </w:tbl>
    <w:p w14:paraId="2842623D" w14:textId="77777777" w:rsidR="004A458B" w:rsidRPr="00F242DD" w:rsidRDefault="004A458B" w:rsidP="002431B5">
      <w:pPr>
        <w:pStyle w:val="a4"/>
        <w:spacing w:before="0" w:beforeAutospacing="0" w:after="0" w:afterAutospacing="0" w:line="360" w:lineRule="auto"/>
        <w:jc w:val="both"/>
      </w:pPr>
      <w:r w:rsidRPr="00F242DD">
        <w:t>Дополнительным признаком, определяющим подстадию, является состояние функции почек:</w:t>
      </w:r>
    </w:p>
    <w:p w14:paraId="15BF83B2" w14:textId="77777777" w:rsidR="004A458B" w:rsidRPr="00F242DD" w:rsidRDefault="004A458B" w:rsidP="002431B5">
      <w:pPr>
        <w:pStyle w:val="a4"/>
        <w:numPr>
          <w:ilvl w:val="0"/>
          <w:numId w:val="6"/>
        </w:numPr>
        <w:spacing w:before="0" w:beforeAutospacing="0" w:after="0" w:afterAutospacing="0" w:line="360" w:lineRule="auto"/>
        <w:ind w:left="0" w:firstLine="0"/>
      </w:pPr>
      <w:r w:rsidRPr="00F242DD">
        <w:t xml:space="preserve">А </w:t>
      </w:r>
      <w:r w:rsidR="003957AE" w:rsidRPr="00F242DD">
        <w:t>−</w:t>
      </w:r>
      <w:r w:rsidRPr="00F242DD">
        <w:t xml:space="preserve"> нормальная (креатинин сыворотки </w:t>
      </w:r>
      <w:r w:rsidR="003957AE" w:rsidRPr="00F242DD">
        <w:t>&lt;</w:t>
      </w:r>
      <w:r w:rsidRPr="00F242DD">
        <w:t>170 мкмоль/л или 2 г/дл).</w:t>
      </w:r>
    </w:p>
    <w:p w14:paraId="6F2C0CB7" w14:textId="77777777" w:rsidR="004A458B" w:rsidRPr="00F242DD" w:rsidRDefault="004A458B" w:rsidP="002431B5">
      <w:pPr>
        <w:pStyle w:val="a4"/>
        <w:numPr>
          <w:ilvl w:val="0"/>
          <w:numId w:val="6"/>
        </w:numPr>
        <w:spacing w:before="0" w:beforeAutospacing="0" w:after="0" w:afterAutospacing="0" w:line="360" w:lineRule="auto"/>
        <w:ind w:left="0" w:firstLine="0"/>
      </w:pPr>
      <w:r w:rsidRPr="00F242DD">
        <w:t xml:space="preserve">В </w:t>
      </w:r>
      <w:r w:rsidR="003957AE" w:rsidRPr="00F242DD">
        <w:t>−</w:t>
      </w:r>
      <w:r w:rsidRPr="00F242DD">
        <w:t xml:space="preserve"> сниженная (креатинин сыворотки </w:t>
      </w:r>
      <w:r w:rsidR="003957AE" w:rsidRPr="00F242DD">
        <w:t>≥</w:t>
      </w:r>
      <w:r w:rsidRPr="00F242DD">
        <w:t>170 мкмоль/л или 2 г/дл).</w:t>
      </w:r>
    </w:p>
    <w:p w14:paraId="07F0CC82" w14:textId="41E4D0F5" w:rsidR="004A458B" w:rsidRPr="00F242DD" w:rsidRDefault="004A458B" w:rsidP="00172C08">
      <w:pPr>
        <w:pStyle w:val="a4"/>
        <w:spacing w:before="0" w:beforeAutospacing="0" w:after="0" w:afterAutospacing="0" w:line="360" w:lineRule="auto"/>
      </w:pPr>
      <w:r w:rsidRPr="00F242DD">
        <w:lastRenderedPageBreak/>
        <w:t>Классификация ISS основана на важном прогностическом значении сочетания β2-микроглобулина и альбумина сыворотки крови (табл. 2)</w:t>
      </w:r>
      <w:r w:rsidR="002E3E42" w:rsidRPr="00F242DD">
        <w:rPr>
          <w:lang w:val="en-US"/>
        </w:rPr>
        <w:t xml:space="preserve"> </w:t>
      </w:r>
      <w:r w:rsidR="00A96FB6" w:rsidRPr="00F242DD">
        <w:rPr>
          <w:rStyle w:val="ac"/>
          <w:b w:val="0"/>
        </w:rPr>
        <w:fldChar w:fldCharType="begin" w:fldLock="1"/>
      </w:r>
      <w:r w:rsidR="00500F37">
        <w:rPr>
          <w:rStyle w:val="ac"/>
          <w:b w:val="0"/>
        </w:rPr>
        <w:instrText>ADDIN CSL_CITATION {"citationItems":[{"id":"ITEM-1","itemData":{"DOI":"10.1200/JCO.2005.04.242","ISSN":"0732183X","abstract":"Purpose: There is a need for a simple, reliable staging system for multiple myeloma that can be applied internationally for patient classification and stratification. Patients and Methods: Clinical and laboratory data were gathered on 10,750 previously untreated symptomatic myeloma patients from 17 institutions, including sites in North America, Europe, and Asia. Potential prognostic factors were evaluated by univariate and multivariate techniques. Three modeling approaches were then explored to develop a staging system including two nontree and one tree survival assessment methodologies. Results: Serum beta 2-microglobulin (S? 2M), serum albumin, platelet count, serum creatinine, and age emerged as powerful predictors of survival and were then used in the tree analysis approach. A combination of S? 2M and serum albumin provided the simplest, most powerful and reproducible three-stage classification. This new International Staging System (ISS) was validated in the remaining patients and consists of the following stages: stage I, S? 2M less than 3.5 mg/L plus serum albumin ? 3.5 g/dL (median survival, 62 months); stage II, neither stage I nor III (median survival, 44 months); and stage III, S? 2M &gt; 5.5 mg/L (median survival, 29 months). The ISS system was further validated by demonstrating effectiveness in patients in North America, Europe, and Asia; in patients less than and ? 65 years of age; in patients with standard therapy or autotransplantation; and in comparison with the Durie/ Salmon staging system. Conclusion: The new ISS is simple, based on easy to use variables (S? 2M and serum albumin), and recommended for early adoption and widespread use. ? 2005 by American Society of Clinical Oncology.","author":[{"dropping-particle":"","family":"Greipp","given":"Philip R.","non-dropping-particle":"","parse-names":false,"suffix":""},{"dropping-particle":"","family":"Miguel","given":"Jesus San","non-dropping-particle":"","parse-names":false,"suffix":""},{"dropping-particle":"","family":"Dune","given":"Brian G.M.","non-dropping-particle":"","parse-names":false,"suffix":""},{"dropping-particle":"","family":"Crowley","given":"John J.","non-dropping-particle":"","parse-names":false,"suffix":""},{"dropping-particle":"","family":"Barlogie","given":"Bart","non-dropping-particle":"","parse-names":false,"suffix":""},{"dropping-particle":"","family":"Bladé","given":"Joan","non-dropping-particle":"","parse-names":false,"suffix":""},{"dropping-particle":"","family":"Boccadoro","given":"Mario","non-dropping-particle":"","parse-names":false,"suffix":""},{"dropping-particle":"","family":"Child","given":"J. Anthony","non-dropping-particle":"","parse-names":false,"suffix":""},{"dropping-particle":"","family":"Harousseau","given":"Jean Luc","non-dropping-particle":"","parse-names":false,"suffix":""},{"dropping-particle":"","family":"Kyle","given":"Robert A.","non-dropping-particle":"","parse-names":false,"suffix":""},{"dropping-particle":"","family":"Lahuerta","given":"Juan J.","non-dropping-particle":"","parse-names":false,"suffix":""},{"dropping-particle":"","family":"Ludwig","given":"Heinz","non-dropping-particle":"","parse-names":false,"suffix":""},{"dropping-particle":"","family":"Morgan","given":"Gareth","non-dropping-particle":"","parse-names":false,"suffix":""},{"dropping-particle":"","family":"Powles","given":"Raymond","non-dropping-particle":"","parse-names":false,"suffix":""},{"dropping-particle":"","family":"Shimizu","given":"Kazuyuki","non-dropping-particle":"","parse-names":false,"suffix":""},{"dropping-particle":"","family":"Shustik","given":"Chaim","non-dropping-particle":"","parse-names":false,"suffix":""},{"dropping-particle":"","family":"Sonneveld","given":"Pieter","non-dropping-particle":"","parse-names":false,"suffix":""},{"dropping-particle":"","family":"Tosi","given":"Patrizia","non-dropping-particle":"","parse-names":false,"suffix":""},{"dropping-particle":"","family":"Turesson","given":"Ingemar","non-dropping-particle":"","parse-names":false,"suffix":""},{"dropping-particle":"","family":"Westin","given":"Jan","non-dropping-particle":"","parse-names":false,"suffix":""}],"container-title":"Journal of Clinical Oncology","id":"ITEM-1","issue":"15","issued":{"date-parts":[["2005"]]},"page":"3412-3420","title":"International staging system for multiple myeloma","type":"article-journal","volume":"23"},"uris":["http://www.mendeley.com/documents/?uuid=aa3df05b-8256-3934-85b7-0a983e32b5ac"]}],"mendeley":{"formattedCitation":"[12]","plainTextFormattedCitation":"[12]","previouslyFormattedCitation":"[12]"},"properties":{"noteIndex":0},"schema":"https://github.com/citation-style-language/schema/raw/master/csl-citation.json"}</w:instrText>
      </w:r>
      <w:r w:rsidR="00A96FB6" w:rsidRPr="00F242DD">
        <w:rPr>
          <w:rStyle w:val="ac"/>
          <w:b w:val="0"/>
        </w:rPr>
        <w:fldChar w:fldCharType="separate"/>
      </w:r>
      <w:r w:rsidR="00E03159" w:rsidRPr="00E03159">
        <w:rPr>
          <w:rStyle w:val="ac"/>
          <w:b w:val="0"/>
          <w:noProof/>
        </w:rPr>
        <w:t>[12]</w:t>
      </w:r>
      <w:r w:rsidR="00A96FB6" w:rsidRPr="00F242DD">
        <w:rPr>
          <w:rStyle w:val="ac"/>
          <w:b w:val="0"/>
        </w:rPr>
        <w:fldChar w:fldCharType="end"/>
      </w:r>
      <w:r w:rsidRPr="00F242DD">
        <w:t>.</w:t>
      </w:r>
    </w:p>
    <w:p w14:paraId="3BE24CCD" w14:textId="7F214467" w:rsidR="004A458B" w:rsidRPr="00F242DD" w:rsidRDefault="004A458B" w:rsidP="00172C08">
      <w:pPr>
        <w:pStyle w:val="a4"/>
        <w:spacing w:before="0" w:beforeAutospacing="0" w:after="0" w:afterAutospacing="0" w:line="360" w:lineRule="auto"/>
      </w:pPr>
      <w:r w:rsidRPr="00F242DD">
        <w:rPr>
          <w:rStyle w:val="ac"/>
        </w:rPr>
        <w:t>Таблица 2.</w:t>
      </w:r>
      <w:r w:rsidRPr="00F242DD">
        <w:t> </w:t>
      </w:r>
      <w:r w:rsidR="007809BE" w:rsidRPr="00F242DD">
        <w:t xml:space="preserve"> </w:t>
      </w:r>
      <w:r w:rsidR="00172C08">
        <w:t xml:space="preserve">Стадирование множественной миеломы по системе </w:t>
      </w:r>
      <w:r w:rsidRPr="00F242DD">
        <w:t>ISS</w:t>
      </w:r>
    </w:p>
    <w:tbl>
      <w:tblPr>
        <w:tblW w:w="0" w:type="auto"/>
        <w:tblInd w:w="108" w:type="dxa"/>
        <w:tblLayout w:type="fixed"/>
        <w:tblLook w:val="0000" w:firstRow="0" w:lastRow="0" w:firstColumn="0" w:lastColumn="0" w:noHBand="0" w:noVBand="0"/>
      </w:tblPr>
      <w:tblGrid>
        <w:gridCol w:w="1764"/>
        <w:gridCol w:w="5040"/>
        <w:gridCol w:w="2288"/>
      </w:tblGrid>
      <w:tr w:rsidR="00BF4E7F" w:rsidRPr="00F242DD" w14:paraId="5A3C25DA" w14:textId="77777777" w:rsidTr="001471FD">
        <w:trPr>
          <w:tblHeader/>
        </w:trPr>
        <w:tc>
          <w:tcPr>
            <w:tcW w:w="1764" w:type="dxa"/>
            <w:tcBorders>
              <w:top w:val="single" w:sz="4" w:space="0" w:color="000000"/>
              <w:left w:val="single" w:sz="4" w:space="0" w:color="000000"/>
              <w:bottom w:val="single" w:sz="4" w:space="0" w:color="000000"/>
            </w:tcBorders>
            <w:shd w:val="clear" w:color="auto" w:fill="auto"/>
            <w:vAlign w:val="center"/>
          </w:tcPr>
          <w:p w14:paraId="73A92970" w14:textId="77777777" w:rsidR="00BF4E7F" w:rsidRPr="00F242DD" w:rsidRDefault="00BF4E7F" w:rsidP="00172C08">
            <w:pPr>
              <w:autoSpaceDE w:val="0"/>
              <w:snapToGrid w:val="0"/>
              <w:spacing w:before="0" w:after="0" w:line="240" w:lineRule="auto"/>
              <w:jc w:val="center"/>
              <w:rPr>
                <w:rFonts w:eastAsia="Times New Roman"/>
              </w:rPr>
            </w:pPr>
            <w:r w:rsidRPr="00F242DD">
              <w:rPr>
                <w:rFonts w:eastAsia="Times New Roman"/>
                <w:lang w:val="en-US"/>
              </w:rPr>
              <w:t>Стади</w:t>
            </w:r>
            <w:r w:rsidR="003957AE" w:rsidRPr="00F242DD">
              <w:rPr>
                <w:rFonts w:eastAsia="Times New Roman"/>
              </w:rPr>
              <w:t>я</w:t>
            </w:r>
          </w:p>
        </w:tc>
        <w:tc>
          <w:tcPr>
            <w:tcW w:w="5040" w:type="dxa"/>
            <w:tcBorders>
              <w:top w:val="single" w:sz="4" w:space="0" w:color="000000"/>
              <w:left w:val="single" w:sz="4" w:space="0" w:color="000000"/>
              <w:bottom w:val="single" w:sz="4" w:space="0" w:color="000000"/>
            </w:tcBorders>
            <w:shd w:val="clear" w:color="auto" w:fill="auto"/>
            <w:vAlign w:val="center"/>
          </w:tcPr>
          <w:p w14:paraId="3BA7AD24" w14:textId="77777777" w:rsidR="00BF4E7F" w:rsidRPr="00F242DD" w:rsidRDefault="00BF4E7F" w:rsidP="00172C08">
            <w:pPr>
              <w:autoSpaceDE w:val="0"/>
              <w:snapToGrid w:val="0"/>
              <w:spacing w:before="0" w:after="0" w:line="240" w:lineRule="auto"/>
              <w:jc w:val="center"/>
            </w:pPr>
            <w:r w:rsidRPr="00F242DD">
              <w:rPr>
                <w:rFonts w:eastAsia="Times New Roman"/>
                <w:lang w:val="en-US"/>
              </w:rPr>
              <w:t>Показатели</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A16DF" w14:textId="77777777" w:rsidR="00BF4E7F" w:rsidRPr="00F242DD" w:rsidRDefault="00BF4E7F" w:rsidP="00172C08">
            <w:pPr>
              <w:snapToGrid w:val="0"/>
              <w:spacing w:before="0" w:after="0" w:line="240" w:lineRule="auto"/>
              <w:jc w:val="center"/>
            </w:pPr>
            <w:r w:rsidRPr="00F242DD">
              <w:t>Медиана ОВ,</w:t>
            </w:r>
            <w:r w:rsidR="003957AE" w:rsidRPr="00F242DD">
              <w:t xml:space="preserve"> </w:t>
            </w:r>
            <w:r w:rsidRPr="00F242DD">
              <w:t>мес</w:t>
            </w:r>
          </w:p>
        </w:tc>
      </w:tr>
      <w:tr w:rsidR="00BF4E7F" w:rsidRPr="00F242DD" w14:paraId="3D8704E0" w14:textId="77777777" w:rsidTr="00E36DFA">
        <w:tc>
          <w:tcPr>
            <w:tcW w:w="1764" w:type="dxa"/>
            <w:tcBorders>
              <w:top w:val="single" w:sz="4" w:space="0" w:color="000000"/>
              <w:left w:val="single" w:sz="4" w:space="0" w:color="000000"/>
            </w:tcBorders>
            <w:shd w:val="clear" w:color="auto" w:fill="auto"/>
            <w:vAlign w:val="center"/>
          </w:tcPr>
          <w:p w14:paraId="508508EA" w14:textId="77777777" w:rsidR="00BF4E7F" w:rsidRPr="00F242DD" w:rsidRDefault="00BF4E7F" w:rsidP="00172C08">
            <w:pPr>
              <w:autoSpaceDE w:val="0"/>
              <w:snapToGrid w:val="0"/>
              <w:spacing w:before="0" w:after="0" w:line="240" w:lineRule="auto"/>
              <w:jc w:val="center"/>
              <w:rPr>
                <w:rFonts w:eastAsia="Times New Roman"/>
                <w:lang w:val="en-US"/>
              </w:rPr>
            </w:pPr>
            <w:r w:rsidRPr="00F242DD">
              <w:rPr>
                <w:rFonts w:eastAsia="Times New Roman"/>
                <w:lang w:val="en-US"/>
              </w:rPr>
              <w:t>I</w:t>
            </w:r>
          </w:p>
        </w:tc>
        <w:tc>
          <w:tcPr>
            <w:tcW w:w="5040" w:type="dxa"/>
            <w:tcBorders>
              <w:top w:val="single" w:sz="4" w:space="0" w:color="000000"/>
              <w:left w:val="single" w:sz="4" w:space="0" w:color="000000"/>
            </w:tcBorders>
            <w:shd w:val="clear" w:color="auto" w:fill="auto"/>
            <w:vAlign w:val="center"/>
          </w:tcPr>
          <w:p w14:paraId="1AB3E85B" w14:textId="77777777" w:rsidR="00BF4E7F" w:rsidRPr="00F242DD" w:rsidRDefault="00BF4E7F" w:rsidP="00172C08">
            <w:pPr>
              <w:autoSpaceDE w:val="0"/>
              <w:snapToGrid w:val="0"/>
              <w:spacing w:before="0" w:after="0" w:line="240" w:lineRule="auto"/>
              <w:jc w:val="center"/>
            </w:pPr>
            <w:r w:rsidRPr="00F242DD">
              <w:rPr>
                <w:rFonts w:eastAsia="Times New Roman"/>
                <w:lang w:val="en-US"/>
              </w:rPr>
              <w:t>β</w:t>
            </w:r>
            <w:r w:rsidRPr="00F242DD">
              <w:rPr>
                <w:rFonts w:eastAsia="Times New Roman"/>
              </w:rPr>
              <w:t>2-</w:t>
            </w:r>
            <w:r w:rsidR="00575248" w:rsidRPr="00F242DD">
              <w:rPr>
                <w:rFonts w:eastAsia="Times New Roman"/>
              </w:rPr>
              <w:t>микроглобулин сыворотки &lt;</w:t>
            </w:r>
            <w:r w:rsidRPr="00F242DD">
              <w:rPr>
                <w:rFonts w:eastAsia="Times New Roman"/>
              </w:rPr>
              <w:t>3,5 мг/л</w:t>
            </w:r>
          </w:p>
        </w:tc>
        <w:tc>
          <w:tcPr>
            <w:tcW w:w="2288" w:type="dxa"/>
            <w:tcBorders>
              <w:top w:val="single" w:sz="4" w:space="0" w:color="000000"/>
              <w:left w:val="single" w:sz="4" w:space="0" w:color="000000"/>
              <w:right w:val="single" w:sz="4" w:space="0" w:color="000000"/>
            </w:tcBorders>
            <w:shd w:val="clear" w:color="auto" w:fill="auto"/>
            <w:vAlign w:val="center"/>
          </w:tcPr>
          <w:p w14:paraId="02E59B64" w14:textId="77777777" w:rsidR="00BF4E7F" w:rsidRPr="00F242DD" w:rsidRDefault="00BF4E7F" w:rsidP="00172C08">
            <w:pPr>
              <w:snapToGrid w:val="0"/>
              <w:spacing w:before="0" w:after="0" w:line="240" w:lineRule="auto"/>
              <w:jc w:val="center"/>
              <w:rPr>
                <w:rFonts w:eastAsia="Times New Roman"/>
              </w:rPr>
            </w:pPr>
            <w:r w:rsidRPr="00F242DD">
              <w:t>62</w:t>
            </w:r>
          </w:p>
        </w:tc>
      </w:tr>
      <w:tr w:rsidR="00BF4E7F" w:rsidRPr="00F242DD" w14:paraId="14273813" w14:textId="77777777" w:rsidTr="00E36DFA">
        <w:tc>
          <w:tcPr>
            <w:tcW w:w="1764" w:type="dxa"/>
            <w:tcBorders>
              <w:left w:val="single" w:sz="4" w:space="0" w:color="000000"/>
              <w:bottom w:val="single" w:sz="4" w:space="0" w:color="000000"/>
            </w:tcBorders>
            <w:shd w:val="clear" w:color="auto" w:fill="auto"/>
            <w:vAlign w:val="center"/>
          </w:tcPr>
          <w:p w14:paraId="7FD2CC08" w14:textId="77777777" w:rsidR="00BF4E7F" w:rsidRPr="00F242DD" w:rsidRDefault="00BF4E7F" w:rsidP="00172C08">
            <w:pPr>
              <w:autoSpaceDE w:val="0"/>
              <w:snapToGrid w:val="0"/>
              <w:spacing w:before="0" w:after="0" w:line="240" w:lineRule="auto"/>
              <w:jc w:val="center"/>
              <w:rPr>
                <w:rFonts w:eastAsia="Times New Roman"/>
              </w:rPr>
            </w:pPr>
          </w:p>
        </w:tc>
        <w:tc>
          <w:tcPr>
            <w:tcW w:w="5040" w:type="dxa"/>
            <w:tcBorders>
              <w:left w:val="single" w:sz="4" w:space="0" w:color="000000"/>
              <w:bottom w:val="single" w:sz="4" w:space="0" w:color="000000"/>
            </w:tcBorders>
            <w:shd w:val="clear" w:color="auto" w:fill="auto"/>
            <w:vAlign w:val="center"/>
          </w:tcPr>
          <w:p w14:paraId="54EA4AC3" w14:textId="77777777" w:rsidR="00BF4E7F" w:rsidRPr="00F242DD" w:rsidRDefault="00BF4E7F" w:rsidP="00172C08">
            <w:pPr>
              <w:autoSpaceDE w:val="0"/>
              <w:snapToGrid w:val="0"/>
              <w:spacing w:before="0" w:after="0" w:line="240" w:lineRule="auto"/>
              <w:jc w:val="center"/>
            </w:pPr>
            <w:r w:rsidRPr="00F242DD">
              <w:rPr>
                <w:rFonts w:eastAsia="Times New Roman"/>
                <w:lang w:val="en-US"/>
              </w:rPr>
              <w:t>Альбумин</w:t>
            </w:r>
            <w:r w:rsidR="00575248" w:rsidRPr="00F242DD">
              <w:rPr>
                <w:rFonts w:eastAsia="Times New Roman"/>
              </w:rPr>
              <w:t xml:space="preserve"> </w:t>
            </w:r>
            <w:r w:rsidRPr="00F242DD">
              <w:rPr>
                <w:rFonts w:eastAsia="Times New Roman"/>
                <w:lang w:val="en-US"/>
              </w:rPr>
              <w:t>≥3,5 г/</w:t>
            </w:r>
            <w:r w:rsidRPr="00F242DD">
              <w:rPr>
                <w:rFonts w:eastAsia="Times New Roman"/>
              </w:rPr>
              <w:t>д</w:t>
            </w:r>
            <w:r w:rsidRPr="00F242DD">
              <w:rPr>
                <w:rFonts w:eastAsia="Times New Roman"/>
                <w:lang w:val="en-US"/>
              </w:rPr>
              <w:t>л</w:t>
            </w:r>
          </w:p>
        </w:tc>
        <w:tc>
          <w:tcPr>
            <w:tcW w:w="2288" w:type="dxa"/>
            <w:tcBorders>
              <w:left w:val="single" w:sz="4" w:space="0" w:color="000000"/>
              <w:bottom w:val="single" w:sz="4" w:space="0" w:color="000000"/>
              <w:right w:val="single" w:sz="4" w:space="0" w:color="000000"/>
            </w:tcBorders>
            <w:shd w:val="clear" w:color="auto" w:fill="auto"/>
            <w:vAlign w:val="center"/>
          </w:tcPr>
          <w:p w14:paraId="3B42FE6C" w14:textId="77777777" w:rsidR="00BF4E7F" w:rsidRPr="00F242DD" w:rsidRDefault="00BF4E7F" w:rsidP="00172C08">
            <w:pPr>
              <w:snapToGrid w:val="0"/>
              <w:spacing w:before="0" w:after="0" w:line="240" w:lineRule="auto"/>
              <w:jc w:val="center"/>
            </w:pPr>
          </w:p>
        </w:tc>
      </w:tr>
      <w:tr w:rsidR="00BF4E7F" w:rsidRPr="00F242DD" w14:paraId="263A3BEE" w14:textId="77777777" w:rsidTr="00E36DFA">
        <w:tc>
          <w:tcPr>
            <w:tcW w:w="1764" w:type="dxa"/>
            <w:tcBorders>
              <w:top w:val="single" w:sz="4" w:space="0" w:color="000000"/>
              <w:left w:val="single" w:sz="4" w:space="0" w:color="000000"/>
            </w:tcBorders>
            <w:shd w:val="clear" w:color="auto" w:fill="auto"/>
            <w:vAlign w:val="center"/>
          </w:tcPr>
          <w:p w14:paraId="3F9EE547" w14:textId="77777777" w:rsidR="00BF4E7F" w:rsidRPr="00F242DD" w:rsidRDefault="00BF4E7F" w:rsidP="00172C08">
            <w:pPr>
              <w:autoSpaceDE w:val="0"/>
              <w:snapToGrid w:val="0"/>
              <w:spacing w:before="0" w:after="0" w:line="240" w:lineRule="auto"/>
              <w:jc w:val="center"/>
              <w:rPr>
                <w:rFonts w:eastAsia="Times New Roman"/>
                <w:lang w:val="en-US"/>
              </w:rPr>
            </w:pPr>
            <w:r w:rsidRPr="00F242DD">
              <w:rPr>
                <w:rFonts w:eastAsia="Times New Roman"/>
                <w:lang w:val="en-US"/>
              </w:rPr>
              <w:t>II</w:t>
            </w:r>
          </w:p>
        </w:tc>
        <w:tc>
          <w:tcPr>
            <w:tcW w:w="5040" w:type="dxa"/>
            <w:tcBorders>
              <w:top w:val="single" w:sz="4" w:space="0" w:color="000000"/>
              <w:left w:val="single" w:sz="4" w:space="0" w:color="000000"/>
            </w:tcBorders>
            <w:shd w:val="clear" w:color="auto" w:fill="auto"/>
            <w:vAlign w:val="center"/>
          </w:tcPr>
          <w:p w14:paraId="4DCEAD5C" w14:textId="77777777" w:rsidR="00BF4E7F" w:rsidRPr="00F242DD" w:rsidRDefault="00BF4E7F" w:rsidP="00172C08">
            <w:pPr>
              <w:autoSpaceDE w:val="0"/>
              <w:snapToGrid w:val="0"/>
              <w:spacing w:before="0" w:after="0" w:line="240" w:lineRule="auto"/>
              <w:jc w:val="center"/>
            </w:pPr>
            <w:r w:rsidRPr="00F242DD">
              <w:rPr>
                <w:rFonts w:eastAsia="Times New Roman"/>
                <w:lang w:val="en-US"/>
              </w:rPr>
              <w:t>β</w:t>
            </w:r>
            <w:r w:rsidRPr="00F242DD">
              <w:rPr>
                <w:rFonts w:eastAsia="Times New Roman"/>
              </w:rPr>
              <w:t>2-микроглобулин сыворотки &lt;3,5 мг/л</w:t>
            </w:r>
          </w:p>
        </w:tc>
        <w:tc>
          <w:tcPr>
            <w:tcW w:w="2288" w:type="dxa"/>
            <w:tcBorders>
              <w:top w:val="single" w:sz="4" w:space="0" w:color="000000"/>
              <w:left w:val="single" w:sz="4" w:space="0" w:color="000000"/>
              <w:right w:val="single" w:sz="4" w:space="0" w:color="000000"/>
            </w:tcBorders>
            <w:shd w:val="clear" w:color="auto" w:fill="auto"/>
            <w:vAlign w:val="center"/>
          </w:tcPr>
          <w:p w14:paraId="0CDD70BA" w14:textId="77777777" w:rsidR="00BF4E7F" w:rsidRPr="00F242DD" w:rsidRDefault="00BF4E7F" w:rsidP="00172C08">
            <w:pPr>
              <w:snapToGrid w:val="0"/>
              <w:spacing w:before="0" w:after="0" w:line="240" w:lineRule="auto"/>
              <w:jc w:val="center"/>
              <w:rPr>
                <w:rFonts w:eastAsia="Times New Roman"/>
              </w:rPr>
            </w:pPr>
            <w:r w:rsidRPr="00F242DD">
              <w:t>44</w:t>
            </w:r>
          </w:p>
        </w:tc>
      </w:tr>
      <w:tr w:rsidR="00BF4E7F" w:rsidRPr="00F242DD" w14:paraId="58AEF370" w14:textId="77777777" w:rsidTr="00E36DFA">
        <w:tc>
          <w:tcPr>
            <w:tcW w:w="1764" w:type="dxa"/>
            <w:tcBorders>
              <w:left w:val="single" w:sz="4" w:space="0" w:color="000000"/>
            </w:tcBorders>
            <w:shd w:val="clear" w:color="auto" w:fill="auto"/>
            <w:vAlign w:val="center"/>
          </w:tcPr>
          <w:p w14:paraId="2319E152" w14:textId="77777777" w:rsidR="00BF4E7F" w:rsidRPr="00F242DD" w:rsidRDefault="00BF4E7F" w:rsidP="00172C08">
            <w:pPr>
              <w:autoSpaceDE w:val="0"/>
              <w:snapToGrid w:val="0"/>
              <w:spacing w:before="0" w:after="0" w:line="240" w:lineRule="auto"/>
              <w:jc w:val="center"/>
              <w:rPr>
                <w:rFonts w:eastAsia="Times New Roman"/>
              </w:rPr>
            </w:pPr>
          </w:p>
        </w:tc>
        <w:tc>
          <w:tcPr>
            <w:tcW w:w="5040" w:type="dxa"/>
            <w:tcBorders>
              <w:left w:val="single" w:sz="4" w:space="0" w:color="000000"/>
            </w:tcBorders>
            <w:shd w:val="clear" w:color="auto" w:fill="auto"/>
            <w:vAlign w:val="center"/>
          </w:tcPr>
          <w:p w14:paraId="32E5C1AF" w14:textId="77777777" w:rsidR="00BF4E7F" w:rsidRPr="00F242DD" w:rsidRDefault="00BF4E7F" w:rsidP="00172C08">
            <w:pPr>
              <w:autoSpaceDE w:val="0"/>
              <w:snapToGrid w:val="0"/>
              <w:spacing w:before="0" w:after="0" w:line="240" w:lineRule="auto"/>
              <w:jc w:val="center"/>
            </w:pPr>
            <w:r w:rsidRPr="00F242DD">
              <w:rPr>
                <w:rFonts w:eastAsia="Times New Roman"/>
                <w:lang w:val="en-US"/>
              </w:rPr>
              <w:t>Альбумин</w:t>
            </w:r>
            <w:r w:rsidR="00575248" w:rsidRPr="00F242DD">
              <w:rPr>
                <w:rFonts w:eastAsia="Times New Roman"/>
              </w:rPr>
              <w:t xml:space="preserve"> </w:t>
            </w:r>
            <w:r w:rsidRPr="00F242DD">
              <w:rPr>
                <w:rFonts w:eastAsia="Times New Roman"/>
                <w:lang w:val="en-US"/>
              </w:rPr>
              <w:t>&lt;3,5 г/</w:t>
            </w:r>
            <w:r w:rsidRPr="00F242DD">
              <w:rPr>
                <w:rFonts w:eastAsia="Times New Roman"/>
              </w:rPr>
              <w:t>д</w:t>
            </w:r>
            <w:r w:rsidRPr="00F242DD">
              <w:rPr>
                <w:rFonts w:eastAsia="Times New Roman"/>
                <w:lang w:val="en-US"/>
              </w:rPr>
              <w:t>л</w:t>
            </w:r>
          </w:p>
        </w:tc>
        <w:tc>
          <w:tcPr>
            <w:tcW w:w="2288" w:type="dxa"/>
            <w:tcBorders>
              <w:left w:val="single" w:sz="4" w:space="0" w:color="000000"/>
              <w:right w:val="single" w:sz="4" w:space="0" w:color="000000"/>
            </w:tcBorders>
            <w:shd w:val="clear" w:color="auto" w:fill="auto"/>
            <w:vAlign w:val="center"/>
          </w:tcPr>
          <w:p w14:paraId="33442793" w14:textId="77777777" w:rsidR="00BF4E7F" w:rsidRPr="00F242DD" w:rsidRDefault="00BF4E7F" w:rsidP="00172C08">
            <w:pPr>
              <w:snapToGrid w:val="0"/>
              <w:spacing w:before="0" w:after="0" w:line="240" w:lineRule="auto"/>
              <w:jc w:val="center"/>
            </w:pPr>
          </w:p>
        </w:tc>
      </w:tr>
      <w:tr w:rsidR="00BF4E7F" w:rsidRPr="00F242DD" w14:paraId="59F3C840" w14:textId="77777777" w:rsidTr="00E36DFA">
        <w:tc>
          <w:tcPr>
            <w:tcW w:w="1764" w:type="dxa"/>
            <w:tcBorders>
              <w:left w:val="single" w:sz="4" w:space="0" w:color="000000"/>
            </w:tcBorders>
            <w:shd w:val="clear" w:color="auto" w:fill="auto"/>
            <w:vAlign w:val="center"/>
          </w:tcPr>
          <w:p w14:paraId="4ABE0300" w14:textId="77777777" w:rsidR="00BF4E7F" w:rsidRPr="00F242DD" w:rsidRDefault="00BF4E7F" w:rsidP="00172C08">
            <w:pPr>
              <w:autoSpaceDE w:val="0"/>
              <w:snapToGrid w:val="0"/>
              <w:spacing w:before="0" w:after="0" w:line="240" w:lineRule="auto"/>
              <w:jc w:val="center"/>
              <w:rPr>
                <w:rFonts w:eastAsia="Times New Roman"/>
                <w:lang w:val="en-US"/>
              </w:rPr>
            </w:pPr>
          </w:p>
        </w:tc>
        <w:tc>
          <w:tcPr>
            <w:tcW w:w="5040" w:type="dxa"/>
            <w:tcBorders>
              <w:left w:val="single" w:sz="4" w:space="0" w:color="000000"/>
            </w:tcBorders>
            <w:shd w:val="clear" w:color="auto" w:fill="auto"/>
            <w:vAlign w:val="center"/>
          </w:tcPr>
          <w:p w14:paraId="768605BE" w14:textId="77777777" w:rsidR="00BF4E7F" w:rsidRPr="00F242DD" w:rsidRDefault="00BF4E7F" w:rsidP="00172C08">
            <w:pPr>
              <w:autoSpaceDE w:val="0"/>
              <w:snapToGrid w:val="0"/>
              <w:spacing w:before="0" w:after="0" w:line="240" w:lineRule="auto"/>
              <w:jc w:val="center"/>
            </w:pPr>
            <w:r w:rsidRPr="00F242DD">
              <w:rPr>
                <w:rFonts w:eastAsia="Times New Roman"/>
                <w:lang w:val="en-US"/>
              </w:rPr>
              <w:t>или</w:t>
            </w:r>
          </w:p>
        </w:tc>
        <w:tc>
          <w:tcPr>
            <w:tcW w:w="2288" w:type="dxa"/>
            <w:tcBorders>
              <w:left w:val="single" w:sz="4" w:space="0" w:color="000000"/>
              <w:right w:val="single" w:sz="4" w:space="0" w:color="000000"/>
            </w:tcBorders>
            <w:shd w:val="clear" w:color="auto" w:fill="auto"/>
            <w:vAlign w:val="center"/>
          </w:tcPr>
          <w:p w14:paraId="0E9735B3" w14:textId="77777777" w:rsidR="00BF4E7F" w:rsidRPr="00F242DD" w:rsidRDefault="00BF4E7F" w:rsidP="00172C08">
            <w:pPr>
              <w:snapToGrid w:val="0"/>
              <w:spacing w:before="0" w:after="0" w:line="240" w:lineRule="auto"/>
              <w:jc w:val="center"/>
            </w:pPr>
          </w:p>
        </w:tc>
      </w:tr>
      <w:tr w:rsidR="00BF4E7F" w:rsidRPr="00F242DD" w14:paraId="308A5F93" w14:textId="77777777" w:rsidTr="00E36DFA">
        <w:tc>
          <w:tcPr>
            <w:tcW w:w="1764" w:type="dxa"/>
            <w:tcBorders>
              <w:left w:val="single" w:sz="4" w:space="0" w:color="000000"/>
              <w:bottom w:val="single" w:sz="4" w:space="0" w:color="000000"/>
            </w:tcBorders>
            <w:shd w:val="clear" w:color="auto" w:fill="auto"/>
            <w:vAlign w:val="center"/>
          </w:tcPr>
          <w:p w14:paraId="7856303D" w14:textId="77777777" w:rsidR="00BF4E7F" w:rsidRPr="00F242DD" w:rsidRDefault="00BF4E7F" w:rsidP="00172C08">
            <w:pPr>
              <w:autoSpaceDE w:val="0"/>
              <w:snapToGrid w:val="0"/>
              <w:spacing w:before="0" w:after="0" w:line="240" w:lineRule="auto"/>
              <w:jc w:val="center"/>
              <w:rPr>
                <w:rFonts w:eastAsia="Times New Roman"/>
                <w:lang w:val="en-US"/>
              </w:rPr>
            </w:pPr>
          </w:p>
        </w:tc>
        <w:tc>
          <w:tcPr>
            <w:tcW w:w="5040" w:type="dxa"/>
            <w:tcBorders>
              <w:left w:val="single" w:sz="4" w:space="0" w:color="000000"/>
              <w:bottom w:val="single" w:sz="4" w:space="0" w:color="000000"/>
            </w:tcBorders>
            <w:shd w:val="clear" w:color="auto" w:fill="auto"/>
            <w:vAlign w:val="center"/>
          </w:tcPr>
          <w:p w14:paraId="1D859111" w14:textId="77777777" w:rsidR="00BF4E7F" w:rsidRPr="00F242DD" w:rsidRDefault="00BF4E7F" w:rsidP="00172C08">
            <w:pPr>
              <w:autoSpaceDE w:val="0"/>
              <w:snapToGrid w:val="0"/>
              <w:spacing w:before="0" w:after="0" w:line="240" w:lineRule="auto"/>
              <w:jc w:val="center"/>
            </w:pPr>
            <w:r w:rsidRPr="00F242DD">
              <w:rPr>
                <w:rFonts w:eastAsia="Times New Roman"/>
                <w:lang w:val="en-US"/>
              </w:rPr>
              <w:t>β</w:t>
            </w:r>
            <w:r w:rsidRPr="00F242DD">
              <w:rPr>
                <w:rFonts w:eastAsia="Times New Roman"/>
              </w:rPr>
              <w:t>2-микроглобулин сыворотки 3,5</w:t>
            </w:r>
            <w:r w:rsidR="00575248" w:rsidRPr="00F242DD">
              <w:rPr>
                <w:rFonts w:eastAsia="Times New Roman"/>
              </w:rPr>
              <w:t>−</w:t>
            </w:r>
            <w:r w:rsidRPr="00F242DD">
              <w:rPr>
                <w:rFonts w:eastAsia="Times New Roman"/>
              </w:rPr>
              <w:t>5,5 мг/л</w:t>
            </w:r>
          </w:p>
        </w:tc>
        <w:tc>
          <w:tcPr>
            <w:tcW w:w="2288" w:type="dxa"/>
            <w:tcBorders>
              <w:left w:val="single" w:sz="4" w:space="0" w:color="000000"/>
              <w:bottom w:val="single" w:sz="4" w:space="0" w:color="000000"/>
              <w:right w:val="single" w:sz="4" w:space="0" w:color="000000"/>
            </w:tcBorders>
            <w:shd w:val="clear" w:color="auto" w:fill="auto"/>
            <w:vAlign w:val="center"/>
          </w:tcPr>
          <w:p w14:paraId="281B0B39" w14:textId="77777777" w:rsidR="00BF4E7F" w:rsidRPr="00F242DD" w:rsidRDefault="00BF4E7F" w:rsidP="00172C08">
            <w:pPr>
              <w:snapToGrid w:val="0"/>
              <w:spacing w:before="0" w:after="0" w:line="240" w:lineRule="auto"/>
              <w:jc w:val="center"/>
            </w:pPr>
          </w:p>
        </w:tc>
      </w:tr>
      <w:tr w:rsidR="00BF4E7F" w:rsidRPr="00F242DD" w14:paraId="67905170" w14:textId="77777777" w:rsidTr="00E36DFA">
        <w:tc>
          <w:tcPr>
            <w:tcW w:w="1764" w:type="dxa"/>
            <w:tcBorders>
              <w:top w:val="single" w:sz="4" w:space="0" w:color="000000"/>
              <w:left w:val="single" w:sz="4" w:space="0" w:color="000000"/>
              <w:bottom w:val="single" w:sz="4" w:space="0" w:color="000000"/>
            </w:tcBorders>
            <w:shd w:val="clear" w:color="auto" w:fill="auto"/>
            <w:vAlign w:val="center"/>
          </w:tcPr>
          <w:p w14:paraId="47816A63" w14:textId="77777777" w:rsidR="00BF4E7F" w:rsidRPr="00F242DD" w:rsidRDefault="00BF4E7F" w:rsidP="00172C08">
            <w:pPr>
              <w:autoSpaceDE w:val="0"/>
              <w:snapToGrid w:val="0"/>
              <w:spacing w:before="0" w:after="0" w:line="240" w:lineRule="auto"/>
              <w:jc w:val="center"/>
              <w:rPr>
                <w:rFonts w:eastAsia="Times New Roman"/>
                <w:lang w:val="en-US"/>
              </w:rPr>
            </w:pPr>
            <w:r w:rsidRPr="00F242DD">
              <w:rPr>
                <w:rFonts w:eastAsia="Times New Roman"/>
                <w:lang w:val="en-US"/>
              </w:rPr>
              <w:t>III</w:t>
            </w:r>
          </w:p>
        </w:tc>
        <w:tc>
          <w:tcPr>
            <w:tcW w:w="5040" w:type="dxa"/>
            <w:tcBorders>
              <w:top w:val="single" w:sz="4" w:space="0" w:color="000000"/>
              <w:left w:val="single" w:sz="4" w:space="0" w:color="000000"/>
              <w:bottom w:val="single" w:sz="4" w:space="0" w:color="000000"/>
            </w:tcBorders>
            <w:shd w:val="clear" w:color="auto" w:fill="auto"/>
            <w:vAlign w:val="center"/>
          </w:tcPr>
          <w:p w14:paraId="4ADB2597" w14:textId="77777777" w:rsidR="00BF4E7F" w:rsidRPr="00F242DD" w:rsidRDefault="00BF4E7F" w:rsidP="00172C08">
            <w:pPr>
              <w:autoSpaceDE w:val="0"/>
              <w:snapToGrid w:val="0"/>
              <w:spacing w:before="0" w:after="0" w:line="240" w:lineRule="auto"/>
              <w:jc w:val="center"/>
            </w:pPr>
            <w:r w:rsidRPr="00F242DD">
              <w:rPr>
                <w:rFonts w:eastAsia="Times New Roman"/>
                <w:lang w:val="en-US"/>
              </w:rPr>
              <w:t>β2</w:t>
            </w:r>
            <w:r w:rsidRPr="00F242DD">
              <w:rPr>
                <w:rFonts w:eastAsia="Times New Roman"/>
              </w:rPr>
              <w:t>-</w:t>
            </w:r>
            <w:r w:rsidRPr="00F242DD">
              <w:rPr>
                <w:rFonts w:eastAsia="Times New Roman"/>
                <w:lang w:val="en-US"/>
              </w:rPr>
              <w:t>микроглобулин</w:t>
            </w:r>
            <w:r w:rsidR="00575248" w:rsidRPr="00F242DD">
              <w:rPr>
                <w:rFonts w:eastAsia="Times New Roman"/>
              </w:rPr>
              <w:t xml:space="preserve"> </w:t>
            </w:r>
            <w:r w:rsidRPr="00F242DD">
              <w:rPr>
                <w:rFonts w:eastAsia="Times New Roman"/>
                <w:lang w:val="en-US"/>
              </w:rPr>
              <w:t>≥5,5 мг/л</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DF296" w14:textId="77777777" w:rsidR="00BF4E7F" w:rsidRPr="00F242DD" w:rsidRDefault="00BF4E7F" w:rsidP="00172C08">
            <w:pPr>
              <w:snapToGrid w:val="0"/>
              <w:spacing w:before="0" w:after="0" w:line="240" w:lineRule="auto"/>
              <w:jc w:val="center"/>
            </w:pPr>
            <w:r w:rsidRPr="00F242DD">
              <w:t>29</w:t>
            </w:r>
          </w:p>
        </w:tc>
      </w:tr>
    </w:tbl>
    <w:p w14:paraId="26911393" w14:textId="77777777" w:rsidR="00575248" w:rsidRPr="00F242DD" w:rsidRDefault="00575248" w:rsidP="00172C08">
      <w:pPr>
        <w:pStyle w:val="a4"/>
        <w:spacing w:before="0" w:beforeAutospacing="0" w:after="0" w:afterAutospacing="0" w:line="360" w:lineRule="auto"/>
        <w:jc w:val="both"/>
      </w:pPr>
    </w:p>
    <w:p w14:paraId="26A8B8BC" w14:textId="732B6AF5" w:rsidR="004A458B" w:rsidRPr="00F242DD" w:rsidRDefault="004A458B" w:rsidP="00172C08">
      <w:pPr>
        <w:pStyle w:val="a4"/>
        <w:spacing w:before="0" w:beforeAutospacing="0" w:after="0" w:afterAutospacing="0" w:line="360" w:lineRule="auto"/>
        <w:jc w:val="both"/>
      </w:pPr>
      <w:r w:rsidRPr="00F242DD">
        <w:t>В 2014 г</w:t>
      </w:r>
      <w:r w:rsidR="00575248" w:rsidRPr="00F242DD">
        <w:t>.</w:t>
      </w:r>
      <w:r w:rsidRPr="00F242DD">
        <w:t xml:space="preserve"> </w:t>
      </w:r>
      <w:r w:rsidR="007809BE" w:rsidRPr="00F242DD">
        <w:rPr>
          <w:lang w:val="en-US"/>
        </w:rPr>
        <w:t>ISS</w:t>
      </w:r>
      <w:r w:rsidRPr="00F242DD">
        <w:t xml:space="preserve"> была пересмотрена (revised ISS; R-ISS). Кроме показателей β2-микроглобулина и альбумина сыворотки R-ISS учитывает наличие неблагоприятных хромосомных аномалий и высокий уровень </w:t>
      </w:r>
      <w:r w:rsidR="0085349A" w:rsidRPr="00F242DD">
        <w:t>лактатдегидрогеназы (</w:t>
      </w:r>
      <w:r w:rsidRPr="00F242DD">
        <w:t>ЛДГ</w:t>
      </w:r>
      <w:r w:rsidR="0085349A" w:rsidRPr="00F242DD">
        <w:t>)</w:t>
      </w:r>
      <w:r w:rsidRPr="00F242DD">
        <w:t xml:space="preserve"> (табл.</w:t>
      </w:r>
      <w:r w:rsidR="0085349A" w:rsidRPr="00F242DD">
        <w:t xml:space="preserve"> </w:t>
      </w:r>
      <w:r w:rsidRPr="00F242DD">
        <w:t>3)</w:t>
      </w:r>
      <w:r w:rsidR="002E3E42" w:rsidRPr="00F242DD">
        <w:t xml:space="preserve"> </w:t>
      </w:r>
      <w:r w:rsidR="00A96FB6" w:rsidRPr="00F242DD">
        <w:rPr>
          <w:rStyle w:val="ac"/>
          <w:b w:val="0"/>
        </w:rPr>
        <w:fldChar w:fldCharType="begin" w:fldLock="1"/>
      </w:r>
      <w:r w:rsidR="00500F37">
        <w:rPr>
          <w:rStyle w:val="ac"/>
          <w:b w:val="0"/>
        </w:rPr>
        <w:instrText>ADDIN CSL_CITATION {"citationItems":[{"id":"ITEM-1","itemData":{"DOI":"10.1200/JCO.2015.61.2267","ISSN":"15277755","abstract":"PURPOSE The clinical outcome of multiple myeloma (MM) is heterogeneous. A simple and reliable tool is needed to stratify patients with MM. We combined the International Staging System (ISS) with chromosomal abnormalities (CA) detected by interphase fluorescent in situ hybridization after CD138 plasma cell purification and serum lactate dehydrogenase (LDH) to evaluate their prognostic value in newly diagnosed MM (NDMM). PATIENTS AND METHODS Clinical and laboratory data from 4,445 patients with NDMM enrolled onto 11 international trials were pooled together. The K-adaptive partitioning algorithm was used to define the most appropriate subgroups with homogeneous survival. RESULTS ISS, CA, and LDH data were simultaneously available in 3,060 of 4,445 patients. We defined the following three groups: revised ISS (R-ISS) I (n = 871), including ISS stage I (serum β2-microglobulin level &lt; 3.5 mg/L and serum albumin level ≥ 3.5 g/dL), no high-risk CA [del(17p) and/or t(4;14) and/or t(14;16)], and normal LDH level (less than the upper limit of normal range); R-ISS III (n = 295), including ISS stage III (serum β2-microglobulin level &gt; 5.5 mg/L) and high-risk CA or high LDH level; and R-ISS II (n = 1,894), including all the other possible combinations. At a median follow-up of 46 months, the 5-year OS rate was 82% in the R-ISS I, 62% in the R-ISS II, and 40% in the R-ISS III groups; the 5-year PFS rates were 55%, 36%, and 24%, respectively. CONCLUSION The R-ISS is a simple and powerful prognostic staging system, and we recommend its use in future clinical studies to stratify patients with NDMM effectively with respect to the relative risk to their survival.","author":[{"dropping-particle":"","family":"Palumbo","given":"Antonio","non-dropping-particle":"","parse-names":false,"suffix":""},{"dropping-particle":"","family":"Avet-Loiseau","given":"Hervé","non-dropping-particle":"","parse-names":false,"suffix":""},{"dropping-particle":"","family":"Oliva","given":"Stefania","non-dropping-particle":"","parse-names":false,"suffix":""},{"dropping-particle":"","family":"Lokhorst","given":"Henk M.","non-dropping-particle":"","parse-names":false,"suffix":""},{"dropping-particle":"","family":"Goldschmidt","given":"Hartmut","non-dropping-particle":"","parse-names":false,"suffix":""},{"dropping-particle":"","family":"Rosinol","given":"Laura","non-dropping-particle":"","parse-names":false,"suffix":""},{"dropping-particle":"","family":"Richardson","given":"Paul","non-dropping-particle":"","parse-names":false,"suffix":""},{"dropping-particle":"","family":"Caltagirone","given":"Simona","non-dropping-particle":"","parse-names":false,"suffix":""},{"dropping-particle":"","family":"Lahuerta","given":"Juan José","non-dropping-particle":"","parse-names":false,"suffix":""},{"dropping-particle":"","family":"Facon","given":"Thierry","non-dropping-particle":"","parse-names":false,"suffix":""},{"dropping-particle":"","family":"Bringhen","given":"Sara","non-dropping-particle":"","parse-names":false,"suffix":""},{"dropping-particle":"","family":"Gay","given":"Francesca","non-dropping-particle":"","parse-names":false,"suffix":""},{"dropping-particle":"","family":"Attal","given":"Michel","non-dropping-particle":"","parse-names":false,"suffix":""},{"dropping-particle":"","family":"Passera","given":"Roberto","non-dropping-particle":"","parse-names":false,"suffix":""},{"dropping-particle":"","family":"Spencer","given":"Andrew","non-dropping-particle":"","parse-names":false,"suffix":""},{"dropping-particle":"","family":"Offidani","given":"Massimo","non-dropping-particle":"","parse-names":false,"suffix":""},{"dropping-particle":"","family":"Kumar","given":"Shaji","non-dropping-particle":"","parse-names":false,"suffix":""},{"dropping-particle":"","family":"Musto","given":"Pellegrino","non-dropping-particle":"","parse-names":false,"suffix":""},{"dropping-particle":"","family":"Lonial","given":"Sagar","non-dropping-particle":"","parse-names":false,"suffix":""},{"dropping-particle":"","family":"Petrucci","given":"Maria T.","non-dropping-particle":"","parse-names":false,"suffix":""},{"dropping-particle":"","family":"Orlowski","given":"Robert Z.","non-dropping-particle":"","parse-names":false,"suffix":""},{"dropping-particle":"","family":"Zamagni","given":"Elena","non-dropping-particle":"","parse-names":false,"suffix":""},{"dropping-particle":"","family":"Morgan","given":"Gareth","non-dropping-particle":"","parse-names":false,"suffix":""},{"dropping-particle":"","family":"Dimopoulos","given":"Meletios A.","non-dropping-particle":"","parse-names":false,"suffix":""},{"dropping-particle":"","family":"Durie","given":"Brian G.M.","non-dropping-particle":"","parse-names":false,"suffix":""},{"dropping-particle":"","family":"Anderson","given":"Kenneth C.","non-dropping-particle":"","parse-names":false,"suffix":""},{"dropping-particle":"","family":"Sonneveld","given":"Pieter","non-dropping-particle":"","parse-names":false,"suffix":""},{"dropping-particle":"","family":"Miguel","given":"Jésus San","non-dropping-particle":"","parse-names":false,"suffix":""},{"dropping-particle":"","family":"Cavo","given":"Michele","non-dropping-particle":"","parse-names":false,"suffix":""},{"dropping-particle":"","family":"Rajkumar","given":"S. Vincent","non-dropping-particle":"","parse-names":false,"suffix":""},{"dropping-particle":"","family":"Moreau","given":"Philippe","non-dropping-particle":"","parse-names":false,"suffix":""}],"container-title":"Journal of Clinical Oncology","id":"ITEM-1","issue":"26","issued":{"date-parts":[["2015"]]},"page":"2863-2869","publisher":"American Society of Clinical Oncology","title":"Revised international staging system for multiple myeloma: A report from international myeloma working group","type":"article-journal","volume":"33"},"uris":["http://www.mendeley.com/documents/?uuid=dc5fa189-ca83-351a-8e2c-68a7d7d762af"]}],"mendeley":{"formattedCitation":"[13]","plainTextFormattedCitation":"[13]","previouslyFormattedCitation":"[13]"},"properties":{"noteIndex":0},"schema":"https://github.com/citation-style-language/schema/raw/master/csl-citation.json"}</w:instrText>
      </w:r>
      <w:r w:rsidR="00A96FB6" w:rsidRPr="00F242DD">
        <w:rPr>
          <w:rStyle w:val="ac"/>
          <w:b w:val="0"/>
        </w:rPr>
        <w:fldChar w:fldCharType="separate"/>
      </w:r>
      <w:r w:rsidR="00E03159" w:rsidRPr="00E03159">
        <w:rPr>
          <w:rStyle w:val="ac"/>
          <w:b w:val="0"/>
          <w:noProof/>
        </w:rPr>
        <w:t>[13]</w:t>
      </w:r>
      <w:r w:rsidR="00A96FB6" w:rsidRPr="00F242DD">
        <w:rPr>
          <w:rStyle w:val="ac"/>
          <w:b w:val="0"/>
        </w:rPr>
        <w:fldChar w:fldCharType="end"/>
      </w:r>
      <w:r w:rsidRPr="00F242DD">
        <w:t>.</w:t>
      </w:r>
    </w:p>
    <w:p w14:paraId="31C3BEF8" w14:textId="2678F5B0" w:rsidR="004A458B" w:rsidRPr="00F242DD" w:rsidRDefault="004A458B" w:rsidP="00172C08">
      <w:pPr>
        <w:pStyle w:val="a4"/>
        <w:spacing w:before="0" w:beforeAutospacing="0" w:after="0" w:afterAutospacing="0" w:line="360" w:lineRule="auto"/>
      </w:pPr>
      <w:r w:rsidRPr="00F242DD">
        <w:rPr>
          <w:rStyle w:val="ac"/>
        </w:rPr>
        <w:t>Таблица 3. </w:t>
      </w:r>
      <w:r w:rsidR="00172C08">
        <w:t>Пересмотренная международная система стадирования ММ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666"/>
      </w:tblGrid>
      <w:tr w:rsidR="00957CAB" w:rsidRPr="00F242DD" w14:paraId="336295EF" w14:textId="77777777" w:rsidTr="001471FD">
        <w:trPr>
          <w:tblHeader/>
        </w:trPr>
        <w:tc>
          <w:tcPr>
            <w:tcW w:w="4785" w:type="dxa"/>
            <w:shd w:val="clear" w:color="auto" w:fill="auto"/>
          </w:tcPr>
          <w:p w14:paraId="3D81EC30" w14:textId="77777777" w:rsidR="00957CAB" w:rsidRPr="00F242DD" w:rsidRDefault="00957CAB" w:rsidP="00172C08">
            <w:pPr>
              <w:spacing w:after="0" w:line="240" w:lineRule="auto"/>
            </w:pPr>
            <w:r w:rsidRPr="00F242DD">
              <w:t>Прогностический фактор</w:t>
            </w:r>
          </w:p>
        </w:tc>
        <w:tc>
          <w:tcPr>
            <w:tcW w:w="4786" w:type="dxa"/>
            <w:shd w:val="clear" w:color="auto" w:fill="auto"/>
          </w:tcPr>
          <w:p w14:paraId="3C4EBAD7" w14:textId="77777777" w:rsidR="00957CAB" w:rsidRPr="00F242DD" w:rsidRDefault="00957CAB" w:rsidP="00172C08">
            <w:pPr>
              <w:spacing w:after="0" w:line="240" w:lineRule="auto"/>
            </w:pPr>
            <w:r w:rsidRPr="00F242DD">
              <w:t>Критерии</w:t>
            </w:r>
          </w:p>
        </w:tc>
      </w:tr>
      <w:tr w:rsidR="00957CAB" w:rsidRPr="00F242DD" w14:paraId="049B5B00" w14:textId="77777777" w:rsidTr="001471FD">
        <w:trPr>
          <w:trHeight w:val="1782"/>
        </w:trPr>
        <w:tc>
          <w:tcPr>
            <w:tcW w:w="4785" w:type="dxa"/>
            <w:shd w:val="clear" w:color="auto" w:fill="auto"/>
          </w:tcPr>
          <w:p w14:paraId="681EC4C5" w14:textId="77777777" w:rsidR="00957CAB" w:rsidRPr="00F242DD" w:rsidRDefault="00957CAB" w:rsidP="00172C08">
            <w:pPr>
              <w:spacing w:after="0" w:line="240" w:lineRule="auto"/>
              <w:rPr>
                <w:lang w:val="en-US"/>
              </w:rPr>
            </w:pPr>
            <w:r w:rsidRPr="00F242DD">
              <w:t>Стадии</w:t>
            </w:r>
            <w:r w:rsidRPr="00F242DD">
              <w:rPr>
                <w:lang w:val="en-US"/>
              </w:rPr>
              <w:t xml:space="preserve"> ISS</w:t>
            </w:r>
          </w:p>
          <w:p w14:paraId="7F6F9653" w14:textId="77777777" w:rsidR="00957CAB" w:rsidRPr="00F242DD" w:rsidRDefault="00957CAB" w:rsidP="00172C08">
            <w:pPr>
              <w:spacing w:after="0" w:line="240" w:lineRule="auto"/>
              <w:rPr>
                <w:lang w:val="en-US"/>
              </w:rPr>
            </w:pPr>
            <w:r w:rsidRPr="00F242DD">
              <w:rPr>
                <w:lang w:val="en-US"/>
              </w:rPr>
              <w:t>I</w:t>
            </w:r>
          </w:p>
          <w:p w14:paraId="76E6E968" w14:textId="77777777" w:rsidR="00957CAB" w:rsidRPr="00F242DD" w:rsidRDefault="00957CAB" w:rsidP="00172C08">
            <w:pPr>
              <w:spacing w:after="0" w:line="240" w:lineRule="auto"/>
              <w:rPr>
                <w:lang w:val="en-US"/>
              </w:rPr>
            </w:pPr>
            <w:r w:rsidRPr="00F242DD">
              <w:rPr>
                <w:lang w:val="en-US"/>
              </w:rPr>
              <w:t>II</w:t>
            </w:r>
          </w:p>
          <w:p w14:paraId="13953358" w14:textId="77777777" w:rsidR="00957CAB" w:rsidRPr="00F242DD" w:rsidRDefault="00957CAB" w:rsidP="00172C08">
            <w:pPr>
              <w:spacing w:before="0" w:after="0" w:line="240" w:lineRule="auto"/>
              <w:jc w:val="left"/>
              <w:rPr>
                <w:lang w:val="en-US"/>
              </w:rPr>
            </w:pPr>
            <w:r w:rsidRPr="00F242DD">
              <w:rPr>
                <w:lang w:val="en-US"/>
              </w:rPr>
              <w:t>III</w:t>
            </w:r>
          </w:p>
        </w:tc>
        <w:tc>
          <w:tcPr>
            <w:tcW w:w="4786" w:type="dxa"/>
            <w:shd w:val="clear" w:color="auto" w:fill="auto"/>
          </w:tcPr>
          <w:p w14:paraId="5DDF747C" w14:textId="77777777" w:rsidR="00957CAB" w:rsidRPr="00F242DD" w:rsidRDefault="00957CAB" w:rsidP="00172C08">
            <w:pPr>
              <w:spacing w:after="0" w:line="240" w:lineRule="auto"/>
            </w:pPr>
            <w:r w:rsidRPr="00F242DD">
              <w:t>β-2 микроглобулин сыворотки &lt;3,5 мг/л, альбумин ≥3,5 г/дл</w:t>
            </w:r>
          </w:p>
          <w:p w14:paraId="608497C1" w14:textId="77777777" w:rsidR="00957CAB" w:rsidRPr="00F242DD" w:rsidRDefault="00957CAB" w:rsidP="00172C08">
            <w:pPr>
              <w:spacing w:after="0" w:line="240" w:lineRule="auto"/>
            </w:pPr>
            <w:r w:rsidRPr="00F242DD">
              <w:t>Критерии не соответствуют I или III стадиям</w:t>
            </w:r>
          </w:p>
          <w:p w14:paraId="59BEB7BB" w14:textId="77777777" w:rsidR="00957CAB" w:rsidRPr="00F242DD" w:rsidRDefault="00957CAB" w:rsidP="00172C08">
            <w:pPr>
              <w:spacing w:after="0" w:line="240" w:lineRule="auto"/>
            </w:pPr>
            <w:r w:rsidRPr="00F242DD">
              <w:t>β2-микроглобулин ≥5,5 мг/л</w:t>
            </w:r>
          </w:p>
        </w:tc>
      </w:tr>
      <w:tr w:rsidR="00957CAB" w:rsidRPr="00F242DD" w14:paraId="3AE1C5C9" w14:textId="77777777" w:rsidTr="001471FD">
        <w:tc>
          <w:tcPr>
            <w:tcW w:w="4785" w:type="dxa"/>
            <w:shd w:val="clear" w:color="auto" w:fill="auto"/>
          </w:tcPr>
          <w:p w14:paraId="56FECF36" w14:textId="77777777" w:rsidR="00957CAB" w:rsidRPr="00F242DD" w:rsidRDefault="00957CAB" w:rsidP="00172C08">
            <w:pPr>
              <w:spacing w:after="0" w:line="240" w:lineRule="auto"/>
            </w:pPr>
            <w:r w:rsidRPr="00F242DD">
              <w:t>Цитогенетические аномалии по FISH</w:t>
            </w:r>
          </w:p>
          <w:p w14:paraId="08603E03" w14:textId="77777777" w:rsidR="00957CAB" w:rsidRPr="00F242DD" w:rsidRDefault="00957CAB" w:rsidP="00172C08">
            <w:pPr>
              <w:spacing w:after="0" w:line="240" w:lineRule="auto"/>
            </w:pPr>
            <w:r w:rsidRPr="00F242DD">
              <w:t>Высокий риск</w:t>
            </w:r>
          </w:p>
          <w:p w14:paraId="6F37A213" w14:textId="77777777" w:rsidR="00957CAB" w:rsidRPr="00F242DD" w:rsidRDefault="00957CAB" w:rsidP="00172C08">
            <w:pPr>
              <w:spacing w:after="0" w:line="240" w:lineRule="auto"/>
            </w:pPr>
            <w:r w:rsidRPr="00F242DD">
              <w:t>Стандартный риск</w:t>
            </w:r>
          </w:p>
        </w:tc>
        <w:tc>
          <w:tcPr>
            <w:tcW w:w="4786" w:type="dxa"/>
            <w:shd w:val="clear" w:color="auto" w:fill="auto"/>
          </w:tcPr>
          <w:p w14:paraId="44519A74" w14:textId="77777777" w:rsidR="00957CAB" w:rsidRPr="00F242DD" w:rsidRDefault="00957CAB" w:rsidP="00172C08">
            <w:pPr>
              <w:spacing w:after="0" w:line="240" w:lineRule="auto"/>
            </w:pPr>
            <w:r w:rsidRPr="00F242DD">
              <w:t>Наличие del 17p и/или транслокации t(4;14) и/или транслокации t(14;16)</w:t>
            </w:r>
          </w:p>
          <w:p w14:paraId="099F2F2F" w14:textId="77777777" w:rsidR="00957CAB" w:rsidRPr="00F242DD" w:rsidRDefault="00957CAB" w:rsidP="00172C08">
            <w:pPr>
              <w:spacing w:after="0" w:line="240" w:lineRule="auto"/>
            </w:pPr>
            <w:r w:rsidRPr="00F242DD">
              <w:t>Отсутствие цитогенетических аномалий высокого риска</w:t>
            </w:r>
          </w:p>
        </w:tc>
      </w:tr>
      <w:tr w:rsidR="00957CAB" w:rsidRPr="00F242DD" w14:paraId="631B3332" w14:textId="77777777" w:rsidTr="001471FD">
        <w:tc>
          <w:tcPr>
            <w:tcW w:w="4785" w:type="dxa"/>
            <w:shd w:val="clear" w:color="auto" w:fill="auto"/>
          </w:tcPr>
          <w:p w14:paraId="026D9434" w14:textId="77777777" w:rsidR="00957CAB" w:rsidRPr="00F242DD" w:rsidRDefault="00957CAB" w:rsidP="002431B5">
            <w:pPr>
              <w:tabs>
                <w:tab w:val="left" w:pos="3030"/>
              </w:tabs>
              <w:spacing w:line="240" w:lineRule="auto"/>
            </w:pPr>
            <w:r w:rsidRPr="00F242DD">
              <w:t>ЛДГ</w:t>
            </w:r>
          </w:p>
          <w:p w14:paraId="40DB3CBF" w14:textId="77777777" w:rsidR="00957CAB" w:rsidRPr="00F242DD" w:rsidRDefault="00957CAB" w:rsidP="002431B5">
            <w:pPr>
              <w:tabs>
                <w:tab w:val="left" w:pos="3030"/>
              </w:tabs>
              <w:spacing w:line="240" w:lineRule="auto"/>
            </w:pPr>
            <w:r w:rsidRPr="00F242DD">
              <w:t>Норма</w:t>
            </w:r>
          </w:p>
          <w:p w14:paraId="35B64B86" w14:textId="77777777" w:rsidR="00957CAB" w:rsidRPr="00F242DD" w:rsidRDefault="00957CAB" w:rsidP="002431B5">
            <w:pPr>
              <w:tabs>
                <w:tab w:val="left" w:pos="3030"/>
              </w:tabs>
              <w:spacing w:line="240" w:lineRule="auto"/>
            </w:pPr>
            <w:r w:rsidRPr="00F242DD">
              <w:t>Высокий уровень</w:t>
            </w:r>
          </w:p>
        </w:tc>
        <w:tc>
          <w:tcPr>
            <w:tcW w:w="4786" w:type="dxa"/>
            <w:shd w:val="clear" w:color="auto" w:fill="auto"/>
          </w:tcPr>
          <w:p w14:paraId="2D7C1FE2" w14:textId="77777777" w:rsidR="00957CAB" w:rsidRPr="00F242DD" w:rsidRDefault="00957CAB" w:rsidP="002431B5">
            <w:pPr>
              <w:spacing w:line="240" w:lineRule="auto"/>
            </w:pPr>
            <w:r w:rsidRPr="00F242DD">
              <w:t>ЛДГ сыворотки ниже верхней границы нормального уровня</w:t>
            </w:r>
          </w:p>
          <w:p w14:paraId="0DDFF087" w14:textId="77777777" w:rsidR="00957CAB" w:rsidRPr="00F242DD" w:rsidRDefault="00957CAB" w:rsidP="002431B5">
            <w:pPr>
              <w:spacing w:line="240" w:lineRule="auto"/>
            </w:pPr>
            <w:r w:rsidRPr="00F242DD">
              <w:t>ЛДГ сыворотки выше верхней границы нормального уровня</w:t>
            </w:r>
          </w:p>
        </w:tc>
      </w:tr>
      <w:tr w:rsidR="00957CAB" w:rsidRPr="00F242DD" w14:paraId="25EAA6D5" w14:textId="77777777" w:rsidTr="001471FD">
        <w:tc>
          <w:tcPr>
            <w:tcW w:w="4785" w:type="dxa"/>
            <w:shd w:val="clear" w:color="auto" w:fill="auto"/>
          </w:tcPr>
          <w:p w14:paraId="2588024C" w14:textId="77777777" w:rsidR="00957CAB" w:rsidRPr="00F242DD" w:rsidRDefault="00957CAB" w:rsidP="002431B5">
            <w:pPr>
              <w:spacing w:line="240" w:lineRule="auto"/>
              <w:jc w:val="left"/>
            </w:pPr>
            <w:r w:rsidRPr="00F242DD">
              <w:t>Новая модель стратификационного риска ММ</w:t>
            </w:r>
          </w:p>
          <w:p w14:paraId="6DCCDE1F" w14:textId="77777777" w:rsidR="00957CAB" w:rsidRPr="00F242DD" w:rsidRDefault="00957CAB" w:rsidP="002431B5">
            <w:pPr>
              <w:spacing w:line="240" w:lineRule="auto"/>
              <w:jc w:val="left"/>
            </w:pPr>
            <w:r w:rsidRPr="00F242DD">
              <w:t>Стадии R-ISS</w:t>
            </w:r>
          </w:p>
          <w:p w14:paraId="67723429" w14:textId="77777777" w:rsidR="00957CAB" w:rsidRPr="00F242DD" w:rsidRDefault="00957CAB" w:rsidP="002431B5">
            <w:pPr>
              <w:spacing w:line="240" w:lineRule="auto"/>
              <w:jc w:val="left"/>
            </w:pPr>
            <w:r w:rsidRPr="00F242DD">
              <w:t>I</w:t>
            </w:r>
          </w:p>
          <w:p w14:paraId="2347EE20" w14:textId="77777777" w:rsidR="00957CAB" w:rsidRPr="00F242DD" w:rsidRDefault="00957CAB" w:rsidP="002431B5">
            <w:pPr>
              <w:spacing w:line="240" w:lineRule="auto"/>
              <w:jc w:val="left"/>
            </w:pPr>
            <w:r w:rsidRPr="00F242DD">
              <w:t>II</w:t>
            </w:r>
          </w:p>
          <w:p w14:paraId="19870450" w14:textId="77777777" w:rsidR="00957CAB" w:rsidRPr="00F242DD" w:rsidRDefault="00957CAB" w:rsidP="002431B5">
            <w:pPr>
              <w:spacing w:line="240" w:lineRule="auto"/>
              <w:jc w:val="left"/>
            </w:pPr>
            <w:r w:rsidRPr="00F242DD">
              <w:t>III</w:t>
            </w:r>
          </w:p>
        </w:tc>
        <w:tc>
          <w:tcPr>
            <w:tcW w:w="4786" w:type="dxa"/>
            <w:shd w:val="clear" w:color="auto" w:fill="auto"/>
          </w:tcPr>
          <w:p w14:paraId="6BBD3DDD" w14:textId="77777777" w:rsidR="00957CAB" w:rsidRPr="00F242DD" w:rsidRDefault="00957CAB" w:rsidP="002431B5">
            <w:pPr>
              <w:spacing w:line="240" w:lineRule="auto"/>
            </w:pPr>
            <w:r w:rsidRPr="00F242DD">
              <w:t>ISS-стадия I, цитогенетические аномалии стандартного риска по FISH и нормальный уровень ЛДГ</w:t>
            </w:r>
          </w:p>
          <w:p w14:paraId="55FB2817" w14:textId="77777777" w:rsidR="00957CAB" w:rsidRPr="00F242DD" w:rsidRDefault="00957CAB" w:rsidP="002431B5">
            <w:pPr>
              <w:spacing w:line="240" w:lineRule="auto"/>
            </w:pPr>
            <w:r w:rsidRPr="00F242DD">
              <w:t>Критерии не соответствуют I или III стадиям R-ISS</w:t>
            </w:r>
          </w:p>
          <w:p w14:paraId="1F3DEE46" w14:textId="0020B83B" w:rsidR="00957CAB" w:rsidRPr="00F242DD" w:rsidRDefault="00957CAB" w:rsidP="0047254E">
            <w:pPr>
              <w:spacing w:line="240" w:lineRule="auto"/>
            </w:pPr>
            <w:r w:rsidRPr="00F242DD">
              <w:t xml:space="preserve">ISS стадия III </w:t>
            </w:r>
            <w:r w:rsidR="0047254E">
              <w:t>+</w:t>
            </w:r>
            <w:r w:rsidRPr="00F242DD">
              <w:t xml:space="preserve"> цитогенетические аномалии высокого риска по FISH или высокий уровень ЛДГ</w:t>
            </w:r>
          </w:p>
        </w:tc>
      </w:tr>
    </w:tbl>
    <w:p w14:paraId="360F0415" w14:textId="77777777" w:rsidR="00756E45" w:rsidRPr="00F242DD" w:rsidRDefault="0072722C" w:rsidP="002431B5">
      <w:pPr>
        <w:pStyle w:val="2"/>
      </w:pPr>
      <w:bookmarkStart w:id="14" w:name="_Toc97734616"/>
      <w:r w:rsidRPr="00F242DD">
        <w:lastRenderedPageBreak/>
        <w:t>1</w:t>
      </w:r>
      <w:r w:rsidR="00756E45" w:rsidRPr="00F242DD">
        <w:t>.6 Клиническая картина</w:t>
      </w:r>
      <w:r w:rsidR="00F56B62" w:rsidRPr="00F242DD">
        <w:t xml:space="preserve"> заболевания или состояния (группы заболеваний или состояний)</w:t>
      </w:r>
      <w:bookmarkEnd w:id="14"/>
    </w:p>
    <w:p w14:paraId="791C7723" w14:textId="6A155949" w:rsidR="00B940F3" w:rsidRPr="00F242DD" w:rsidRDefault="00A851FE" w:rsidP="00B86570">
      <w:pPr>
        <w:spacing w:before="0" w:after="0"/>
        <w:ind w:firstLine="709"/>
        <w:contextualSpacing/>
      </w:pPr>
      <w:r w:rsidRPr="00F242DD">
        <w:t xml:space="preserve">Клинические проявления ММ чрезвычайно разнообразны, но в значительной мере определяются </w:t>
      </w:r>
      <w:r w:rsidR="00B940F3" w:rsidRPr="00F242DD">
        <w:t xml:space="preserve">инфильтрацией костного мозга </w:t>
      </w:r>
      <w:r w:rsidR="003A6BE5" w:rsidRPr="00F242DD">
        <w:t>ПК</w:t>
      </w:r>
      <w:r w:rsidR="00B940F3" w:rsidRPr="00F242DD">
        <w:t xml:space="preserve"> и органными повреждениями. Клинические признаки ММ проявляются симптомами, обусловленными костными повреждениями (боли в костях, переломы костей скелета, компрессия спинного мозга, радикулярные боли), гиперкальциемией (полиурия, полидипсия, тошнота, рвота), почечной недостаточностью (тошнота, рвота, недомогание, слабость), амилоидозом (периферическая нейропатия, отеки, органомегалия</w:t>
      </w:r>
      <w:r w:rsidR="00B97938" w:rsidRPr="00F242DD">
        <w:t>), инфильтрацией миеломными клетками костного мозга (анемия, геморрагический синдром), снижением уровня нормальных иммуноглобулинов (частые инфекции, пневмонии), криоглобулинемией (синдром Рейно, акроцианоз), синдромом гипервязкости (одышка, транзиторные ишемические атаки, тромбоз глубоких вен, кровоизлияния в сетчатку глаза, тромбоз центральной вены сетчатки или ее ветвей, носовые кровотечения)</w:t>
      </w:r>
      <w:r w:rsidR="00131E36" w:rsidRPr="00F242DD">
        <w:t xml:space="preserve"> </w:t>
      </w:r>
      <w:r w:rsidR="00A96FB6" w:rsidRPr="00F242DD">
        <w:fldChar w:fldCharType="begin" w:fldLock="1"/>
      </w:r>
      <w:r w:rsidR="00500F37">
        <w:instrText>ADDIN CSL_CITATION {"citationItems":[{"id":"ITEM-1","itemData":{"author":[{"dropping-particle":"","family":"Бессмельцев","given":"С.С.","non-dropping-particle":"","parse-names":false,"suffix":""}],"container-title":"Вестник гематологии.","id":"ITEM-1","issue":"3","issued":{"date-parts":[["2014"]]},"page":"6-39","title":"Множественная миелома","type":"article-journal","volume":"10"},"uris":["http://www.mendeley.com/documents/?uuid=e5ebef23-a735-41f5-bc27-efea8b3f2c60"]}],"mendeley":{"formattedCitation":"[10]","plainTextFormattedCitation":"[10]","previouslyFormattedCitation":"[10]"},"properties":{"noteIndex":0},"schema":"https://github.com/citation-style-language/schema/raw/master/csl-citation.json"}</w:instrText>
      </w:r>
      <w:r w:rsidR="00A96FB6" w:rsidRPr="00F242DD">
        <w:fldChar w:fldCharType="separate"/>
      </w:r>
      <w:r w:rsidR="00E03159" w:rsidRPr="00E03159">
        <w:rPr>
          <w:noProof/>
        </w:rPr>
        <w:t>[10]</w:t>
      </w:r>
      <w:r w:rsidR="00A96FB6" w:rsidRPr="00F242DD">
        <w:fldChar w:fldCharType="end"/>
      </w:r>
      <w:r w:rsidR="00B97938" w:rsidRPr="00F242DD">
        <w:t>.</w:t>
      </w:r>
    </w:p>
    <w:p w14:paraId="54136DED" w14:textId="77777777" w:rsidR="00756E45" w:rsidRDefault="00756E45" w:rsidP="00B86570">
      <w:pPr>
        <w:spacing w:before="0" w:after="0"/>
        <w:ind w:firstLine="709"/>
        <w:contextualSpacing/>
      </w:pPr>
      <w:r w:rsidRPr="00F242DD">
        <w:t xml:space="preserve">Длительность заболевания до появления первых клинических симптомов может составлять от нескольких месяцев до </w:t>
      </w:r>
      <w:r w:rsidR="006208D0" w:rsidRPr="00F242DD">
        <w:t>≥</w:t>
      </w:r>
      <w:r w:rsidRPr="00F242DD">
        <w:t>2</w:t>
      </w:r>
      <w:r w:rsidR="006208D0" w:rsidRPr="00F242DD">
        <w:t>−</w:t>
      </w:r>
      <w:r w:rsidRPr="00F242DD">
        <w:t>3 лет.</w:t>
      </w:r>
    </w:p>
    <w:p w14:paraId="399079A1" w14:textId="6A63C95F" w:rsidR="00993359" w:rsidRPr="00993359" w:rsidRDefault="00993359" w:rsidP="002431B5">
      <w:pPr>
        <w:pStyle w:val="2"/>
      </w:pPr>
      <w:bookmarkStart w:id="15" w:name="_Toc97734617"/>
      <w:r>
        <w:t>1.7</w:t>
      </w:r>
      <w:r w:rsidRPr="00993359">
        <w:t xml:space="preserve"> Множественная миелома, </w:t>
      </w:r>
      <w:r>
        <w:t>осложненная</w:t>
      </w:r>
      <w:r w:rsidRPr="00993359">
        <w:t xml:space="preserve"> почечной недостаточностью.</w:t>
      </w:r>
      <w:bookmarkEnd w:id="15"/>
    </w:p>
    <w:p w14:paraId="7696D519" w14:textId="77777777" w:rsidR="00993359" w:rsidRPr="00E355C0" w:rsidRDefault="00993359" w:rsidP="00B86570">
      <w:pPr>
        <w:spacing w:before="0" w:after="0"/>
        <w:ind w:firstLine="709"/>
        <w:rPr>
          <w:szCs w:val="24"/>
        </w:rPr>
      </w:pPr>
      <w:r w:rsidRPr="00E355C0">
        <w:rPr>
          <w:szCs w:val="24"/>
        </w:rPr>
        <w:t xml:space="preserve">Основная причина поражения почек при множественной миеломе – поражение структур нефрона моноклональными легкими цепями. Наиболее часто развивается миеломная нефропатия (33-57% от всех причин почечной недостаточности), реже AL-амилоидоз (21%) и болезнь отложения легких цепей (22%). </w:t>
      </w:r>
    </w:p>
    <w:p w14:paraId="137A2874" w14:textId="77777777" w:rsidR="00993359" w:rsidRPr="00E355C0" w:rsidRDefault="00993359" w:rsidP="00B86570">
      <w:pPr>
        <w:spacing w:before="0" w:after="0"/>
        <w:ind w:firstLine="709"/>
        <w:rPr>
          <w:szCs w:val="24"/>
        </w:rPr>
      </w:pPr>
      <w:r w:rsidRPr="00E355C0">
        <w:rPr>
          <w:b/>
          <w:i/>
          <w:iCs/>
          <w:szCs w:val="24"/>
        </w:rPr>
        <w:t>Миеломная нефропатия</w:t>
      </w:r>
      <w:r w:rsidRPr="00E355C0">
        <w:rPr>
          <w:i/>
          <w:iCs/>
          <w:szCs w:val="24"/>
        </w:rPr>
        <w:t xml:space="preserve"> </w:t>
      </w:r>
      <w:r w:rsidRPr="00E355C0">
        <w:rPr>
          <w:szCs w:val="24"/>
        </w:rPr>
        <w:t xml:space="preserve">(цилиндр-нефропатия, cast-nephropathy) – морфологический вариант поражения почек при ММ, характеризующийся образованием белковых цилиндров в дистальном отделе канальцев, развитием тубулоинтерстициального воспаления и фиброза. </w:t>
      </w:r>
    </w:p>
    <w:p w14:paraId="506EB418" w14:textId="77777777" w:rsidR="00993359" w:rsidRPr="00E355C0" w:rsidRDefault="00993359" w:rsidP="002431B5">
      <w:pPr>
        <w:spacing w:before="0" w:after="0"/>
        <w:rPr>
          <w:szCs w:val="24"/>
        </w:rPr>
      </w:pPr>
      <w:r w:rsidRPr="00E355C0">
        <w:rPr>
          <w:szCs w:val="24"/>
        </w:rPr>
        <w:t xml:space="preserve">Критерии миеломной нефропатии: </w:t>
      </w:r>
    </w:p>
    <w:p w14:paraId="41FFE146" w14:textId="77777777" w:rsidR="00993359" w:rsidRPr="00E355C0" w:rsidRDefault="00993359" w:rsidP="002431B5">
      <w:pPr>
        <w:spacing w:before="0" w:after="0"/>
        <w:rPr>
          <w:szCs w:val="24"/>
        </w:rPr>
      </w:pPr>
      <w:r w:rsidRPr="00E355C0">
        <w:rPr>
          <w:szCs w:val="24"/>
        </w:rPr>
        <w:t xml:space="preserve">• креатинин &gt;177 мкмоль/л (2 мг/дл) или СКФ &lt;40 мл/мин; </w:t>
      </w:r>
    </w:p>
    <w:p w14:paraId="10720B21" w14:textId="77777777" w:rsidR="00993359" w:rsidRPr="00E355C0" w:rsidRDefault="00993359" w:rsidP="002431B5">
      <w:pPr>
        <w:spacing w:before="0" w:after="0"/>
        <w:rPr>
          <w:szCs w:val="24"/>
        </w:rPr>
      </w:pPr>
      <w:r w:rsidRPr="00E355C0">
        <w:rPr>
          <w:szCs w:val="24"/>
        </w:rPr>
        <w:t xml:space="preserve">• высокий уровень секреции СЛЦ иммуноглобулинов сыворотки (более 500 мг/л); </w:t>
      </w:r>
    </w:p>
    <w:p w14:paraId="0221BC85" w14:textId="77777777" w:rsidR="00993359" w:rsidRPr="00E355C0" w:rsidRDefault="00993359" w:rsidP="002431B5">
      <w:pPr>
        <w:spacing w:before="0" w:after="0"/>
        <w:rPr>
          <w:szCs w:val="24"/>
        </w:rPr>
      </w:pPr>
      <w:r w:rsidRPr="00E355C0">
        <w:rPr>
          <w:szCs w:val="24"/>
        </w:rPr>
        <w:t xml:space="preserve">• при иммуноэлектрофорезе мочи преобладает белок Бенс-Джонса (протеинурия переполнения, канальцевая). </w:t>
      </w:r>
    </w:p>
    <w:p w14:paraId="6349F163" w14:textId="0AA06FC1" w:rsidR="00993359" w:rsidRPr="00E355C0" w:rsidRDefault="00993359" w:rsidP="00B86570">
      <w:pPr>
        <w:spacing w:before="0" w:after="0"/>
        <w:ind w:firstLine="709"/>
        <w:rPr>
          <w:szCs w:val="24"/>
        </w:rPr>
      </w:pPr>
      <w:r w:rsidRPr="00E355C0">
        <w:rPr>
          <w:szCs w:val="24"/>
        </w:rPr>
        <w:t xml:space="preserve">Миеломная нефропатия – основная причина острого почечного повреждения при ММ. Повреждение почек усиливается при воздействии таких факторов как гиперкальциемия, дегидратация, применение аминогликозидов, нестероидных </w:t>
      </w:r>
      <w:r w:rsidRPr="00E355C0">
        <w:rPr>
          <w:szCs w:val="24"/>
        </w:rPr>
        <w:lastRenderedPageBreak/>
        <w:t xml:space="preserve">противовоспалительных препаратов, внутривенном введении контрастных веществ. Для диагностики острого почечного повреждения рекомендовано использовать критерии RIFLE или AKIN (табл. </w:t>
      </w:r>
      <w:r>
        <w:rPr>
          <w:szCs w:val="24"/>
        </w:rPr>
        <w:t>4</w:t>
      </w:r>
      <w:r w:rsidRPr="00E355C0">
        <w:rPr>
          <w:szCs w:val="24"/>
        </w:rPr>
        <w:t>).</w:t>
      </w:r>
    </w:p>
    <w:p w14:paraId="26BE5037" w14:textId="417E7FC3" w:rsidR="00993359" w:rsidRPr="00993359" w:rsidRDefault="00993359" w:rsidP="002431B5">
      <w:pPr>
        <w:spacing w:before="0" w:after="0"/>
        <w:rPr>
          <w:szCs w:val="24"/>
        </w:rPr>
      </w:pPr>
      <w:r w:rsidRPr="00993359">
        <w:rPr>
          <w:b/>
          <w:szCs w:val="24"/>
        </w:rPr>
        <w:t xml:space="preserve">Таблица 4. </w:t>
      </w:r>
      <w:r w:rsidRPr="00993359">
        <w:rPr>
          <w:szCs w:val="24"/>
        </w:rPr>
        <w:t>Диагностика острого почечного повреждения (критерии RIFLE и AKIN)</w:t>
      </w:r>
    </w:p>
    <w:tbl>
      <w:tblPr>
        <w:tblStyle w:val="ae"/>
        <w:tblW w:w="0" w:type="auto"/>
        <w:tblInd w:w="108" w:type="dxa"/>
        <w:tblLook w:val="04A0" w:firstRow="1" w:lastRow="0" w:firstColumn="1" w:lastColumn="0" w:noHBand="0" w:noVBand="1"/>
      </w:tblPr>
      <w:tblGrid>
        <w:gridCol w:w="2977"/>
        <w:gridCol w:w="3145"/>
        <w:gridCol w:w="3115"/>
      </w:tblGrid>
      <w:tr w:rsidR="00993359" w:rsidRPr="00E355C0" w14:paraId="11D57CA7" w14:textId="77777777" w:rsidTr="003A0D00">
        <w:trPr>
          <w:tblHeader/>
        </w:trPr>
        <w:tc>
          <w:tcPr>
            <w:tcW w:w="6122" w:type="dxa"/>
            <w:gridSpan w:val="2"/>
          </w:tcPr>
          <w:p w14:paraId="6E181203" w14:textId="77777777" w:rsidR="00993359" w:rsidRPr="00E355C0" w:rsidRDefault="00993359" w:rsidP="002431B5">
            <w:pPr>
              <w:spacing w:before="0" w:after="0"/>
              <w:rPr>
                <w:szCs w:val="24"/>
              </w:rPr>
            </w:pPr>
            <w:r w:rsidRPr="00E355C0">
              <w:rPr>
                <w:szCs w:val="24"/>
              </w:rPr>
              <w:t>Критерии по креатинину и СКФ</w:t>
            </w:r>
          </w:p>
        </w:tc>
        <w:tc>
          <w:tcPr>
            <w:tcW w:w="3115" w:type="dxa"/>
          </w:tcPr>
          <w:p w14:paraId="2C77FA99" w14:textId="77777777" w:rsidR="00993359" w:rsidRPr="00E355C0" w:rsidRDefault="00993359" w:rsidP="002431B5">
            <w:pPr>
              <w:spacing w:before="0" w:after="0"/>
              <w:rPr>
                <w:szCs w:val="24"/>
              </w:rPr>
            </w:pPr>
            <w:r w:rsidRPr="00E355C0">
              <w:rPr>
                <w:szCs w:val="24"/>
              </w:rPr>
              <w:t>Критерии по темпу диуреза</w:t>
            </w:r>
          </w:p>
        </w:tc>
      </w:tr>
      <w:tr w:rsidR="00993359" w:rsidRPr="00E355C0" w14:paraId="254AB4CC" w14:textId="77777777" w:rsidTr="003A0D00">
        <w:trPr>
          <w:tblHeader/>
        </w:trPr>
        <w:tc>
          <w:tcPr>
            <w:tcW w:w="2977" w:type="dxa"/>
          </w:tcPr>
          <w:p w14:paraId="461BC791" w14:textId="77777777" w:rsidR="00993359" w:rsidRPr="00E355C0" w:rsidRDefault="00993359" w:rsidP="002431B5">
            <w:pPr>
              <w:spacing w:before="0" w:after="0"/>
              <w:rPr>
                <w:szCs w:val="24"/>
              </w:rPr>
            </w:pPr>
            <w:r w:rsidRPr="00E355C0">
              <w:rPr>
                <w:szCs w:val="24"/>
              </w:rPr>
              <w:t xml:space="preserve">RIFLE </w:t>
            </w:r>
          </w:p>
          <w:p w14:paraId="32C3E8A8" w14:textId="77777777" w:rsidR="00993359" w:rsidRPr="00E355C0" w:rsidRDefault="00993359" w:rsidP="002431B5">
            <w:pPr>
              <w:spacing w:before="0" w:after="0"/>
              <w:rPr>
                <w:szCs w:val="24"/>
              </w:rPr>
            </w:pPr>
          </w:p>
        </w:tc>
        <w:tc>
          <w:tcPr>
            <w:tcW w:w="3145" w:type="dxa"/>
          </w:tcPr>
          <w:p w14:paraId="20C14CD9" w14:textId="77777777" w:rsidR="00993359" w:rsidRPr="00E355C0" w:rsidRDefault="00993359" w:rsidP="002431B5">
            <w:pPr>
              <w:spacing w:before="0" w:after="0"/>
              <w:rPr>
                <w:szCs w:val="24"/>
              </w:rPr>
            </w:pPr>
            <w:r w:rsidRPr="00E355C0">
              <w:rPr>
                <w:szCs w:val="24"/>
              </w:rPr>
              <w:t xml:space="preserve">AKIN </w:t>
            </w:r>
          </w:p>
          <w:p w14:paraId="32ADF62D" w14:textId="77777777" w:rsidR="00993359" w:rsidRPr="00E355C0" w:rsidRDefault="00993359" w:rsidP="002431B5">
            <w:pPr>
              <w:spacing w:before="0" w:after="0"/>
              <w:rPr>
                <w:szCs w:val="24"/>
              </w:rPr>
            </w:pPr>
          </w:p>
        </w:tc>
        <w:tc>
          <w:tcPr>
            <w:tcW w:w="3115" w:type="dxa"/>
          </w:tcPr>
          <w:p w14:paraId="56C9F1EA" w14:textId="77777777" w:rsidR="00993359" w:rsidRPr="00E355C0" w:rsidRDefault="00993359" w:rsidP="002431B5">
            <w:pPr>
              <w:spacing w:before="0" w:after="0"/>
              <w:rPr>
                <w:szCs w:val="24"/>
              </w:rPr>
            </w:pPr>
            <w:r w:rsidRPr="00E355C0">
              <w:rPr>
                <w:szCs w:val="24"/>
              </w:rPr>
              <w:t xml:space="preserve">RIFLE и AKIN </w:t>
            </w:r>
          </w:p>
          <w:p w14:paraId="1C52887C" w14:textId="77777777" w:rsidR="00993359" w:rsidRPr="00E355C0" w:rsidRDefault="00993359" w:rsidP="002431B5">
            <w:pPr>
              <w:spacing w:before="0" w:after="0"/>
              <w:rPr>
                <w:szCs w:val="24"/>
              </w:rPr>
            </w:pPr>
          </w:p>
        </w:tc>
      </w:tr>
      <w:tr w:rsidR="00993359" w:rsidRPr="00E355C0" w14:paraId="650A62E2" w14:textId="77777777" w:rsidTr="00993359">
        <w:tc>
          <w:tcPr>
            <w:tcW w:w="2977" w:type="dxa"/>
          </w:tcPr>
          <w:p w14:paraId="3E06AEFB" w14:textId="77777777" w:rsidR="00993359" w:rsidRPr="00E355C0" w:rsidRDefault="00993359" w:rsidP="002431B5">
            <w:pPr>
              <w:spacing w:before="0" w:after="0"/>
              <w:rPr>
                <w:b/>
                <w:szCs w:val="24"/>
              </w:rPr>
            </w:pPr>
            <w:r w:rsidRPr="00E355C0">
              <w:rPr>
                <w:b/>
                <w:szCs w:val="24"/>
              </w:rPr>
              <w:t xml:space="preserve">Стадия R (риск) </w:t>
            </w:r>
          </w:p>
          <w:p w14:paraId="2173A7DB" w14:textId="77777777" w:rsidR="00993359" w:rsidRPr="00E355C0" w:rsidRDefault="00993359" w:rsidP="002431B5">
            <w:pPr>
              <w:spacing w:before="0" w:after="0"/>
              <w:rPr>
                <w:szCs w:val="24"/>
              </w:rPr>
            </w:pPr>
            <w:r w:rsidRPr="00E355C0">
              <w:rPr>
                <w:szCs w:val="24"/>
              </w:rPr>
              <w:t xml:space="preserve">Увеличение концентрации креатинина ≥50% или снижение СКФ &gt;25% от исходного значения </w:t>
            </w:r>
          </w:p>
        </w:tc>
        <w:tc>
          <w:tcPr>
            <w:tcW w:w="3145" w:type="dxa"/>
          </w:tcPr>
          <w:p w14:paraId="6CFB39C6" w14:textId="77777777" w:rsidR="00993359" w:rsidRPr="00E355C0" w:rsidRDefault="00993359" w:rsidP="002431B5">
            <w:pPr>
              <w:spacing w:before="0" w:after="0"/>
              <w:rPr>
                <w:b/>
                <w:szCs w:val="24"/>
              </w:rPr>
            </w:pPr>
            <w:r w:rsidRPr="00E355C0">
              <w:rPr>
                <w:b/>
                <w:szCs w:val="24"/>
              </w:rPr>
              <w:t xml:space="preserve">Стадия I </w:t>
            </w:r>
          </w:p>
          <w:p w14:paraId="7CE44A20" w14:textId="77777777" w:rsidR="00993359" w:rsidRPr="00E355C0" w:rsidRDefault="00993359" w:rsidP="002431B5">
            <w:pPr>
              <w:spacing w:before="0" w:after="0"/>
              <w:rPr>
                <w:szCs w:val="24"/>
              </w:rPr>
            </w:pPr>
            <w:r w:rsidRPr="00E355C0">
              <w:rPr>
                <w:szCs w:val="24"/>
              </w:rPr>
              <w:t xml:space="preserve">Увеличение концентрации креатинина ≥50% или более 0,3 мг/дл (26,4 мкмоль/л) от исходного значения </w:t>
            </w:r>
          </w:p>
        </w:tc>
        <w:tc>
          <w:tcPr>
            <w:tcW w:w="3115" w:type="dxa"/>
          </w:tcPr>
          <w:p w14:paraId="5CFCAEBA" w14:textId="77777777" w:rsidR="00993359" w:rsidRPr="00E355C0" w:rsidRDefault="00993359" w:rsidP="002431B5">
            <w:pPr>
              <w:spacing w:before="0" w:after="0"/>
              <w:rPr>
                <w:szCs w:val="24"/>
              </w:rPr>
            </w:pPr>
            <w:r w:rsidRPr="00E355C0">
              <w:rPr>
                <w:szCs w:val="24"/>
              </w:rPr>
              <w:t xml:space="preserve">менее 0,5 мл/кг/час в течение </w:t>
            </w:r>
          </w:p>
          <w:p w14:paraId="64C7EE35" w14:textId="77777777" w:rsidR="00993359" w:rsidRPr="00E355C0" w:rsidRDefault="00993359" w:rsidP="002431B5">
            <w:pPr>
              <w:spacing w:before="0" w:after="0"/>
              <w:rPr>
                <w:szCs w:val="24"/>
              </w:rPr>
            </w:pPr>
            <w:r w:rsidRPr="00E355C0">
              <w:rPr>
                <w:szCs w:val="24"/>
              </w:rPr>
              <w:t xml:space="preserve">6 часов </w:t>
            </w:r>
          </w:p>
        </w:tc>
      </w:tr>
      <w:tr w:rsidR="00993359" w:rsidRPr="00E355C0" w14:paraId="25BD6940" w14:textId="77777777" w:rsidTr="00993359">
        <w:tc>
          <w:tcPr>
            <w:tcW w:w="2977" w:type="dxa"/>
          </w:tcPr>
          <w:p w14:paraId="5A806D10" w14:textId="77777777" w:rsidR="00993359" w:rsidRPr="00E355C0" w:rsidRDefault="00993359" w:rsidP="002431B5">
            <w:pPr>
              <w:spacing w:before="0" w:after="0"/>
              <w:rPr>
                <w:b/>
                <w:szCs w:val="24"/>
              </w:rPr>
            </w:pPr>
            <w:r w:rsidRPr="00E355C0">
              <w:rPr>
                <w:b/>
                <w:szCs w:val="24"/>
              </w:rPr>
              <w:t xml:space="preserve">Стадия I (повреждение) </w:t>
            </w:r>
          </w:p>
          <w:p w14:paraId="0BE4ED69" w14:textId="77777777" w:rsidR="00993359" w:rsidRPr="00E355C0" w:rsidRDefault="00993359" w:rsidP="002431B5">
            <w:pPr>
              <w:spacing w:before="0" w:after="0"/>
              <w:rPr>
                <w:szCs w:val="24"/>
              </w:rPr>
            </w:pPr>
            <w:r w:rsidRPr="00E355C0">
              <w:rPr>
                <w:szCs w:val="24"/>
              </w:rPr>
              <w:t xml:space="preserve">Увеличение концентрации креатинина ≥100% или снижение СКФ &gt;50% от исходного значения </w:t>
            </w:r>
          </w:p>
        </w:tc>
        <w:tc>
          <w:tcPr>
            <w:tcW w:w="3145" w:type="dxa"/>
          </w:tcPr>
          <w:p w14:paraId="68748C84" w14:textId="77777777" w:rsidR="00993359" w:rsidRPr="00E355C0" w:rsidRDefault="00993359" w:rsidP="002431B5">
            <w:pPr>
              <w:spacing w:before="0" w:after="0"/>
              <w:rPr>
                <w:b/>
                <w:szCs w:val="24"/>
              </w:rPr>
            </w:pPr>
            <w:r w:rsidRPr="00E355C0">
              <w:rPr>
                <w:b/>
                <w:szCs w:val="24"/>
              </w:rPr>
              <w:t xml:space="preserve">Стадия II </w:t>
            </w:r>
          </w:p>
          <w:p w14:paraId="5A3F86B5" w14:textId="77777777" w:rsidR="00993359" w:rsidRPr="00E355C0" w:rsidRDefault="00993359" w:rsidP="002431B5">
            <w:pPr>
              <w:spacing w:before="0" w:after="0"/>
              <w:rPr>
                <w:szCs w:val="24"/>
              </w:rPr>
            </w:pPr>
            <w:r w:rsidRPr="00E355C0">
              <w:rPr>
                <w:szCs w:val="24"/>
              </w:rPr>
              <w:t xml:space="preserve">Увеличение концентрации креатинина ≥100% от исходного значения </w:t>
            </w:r>
          </w:p>
        </w:tc>
        <w:tc>
          <w:tcPr>
            <w:tcW w:w="3115" w:type="dxa"/>
          </w:tcPr>
          <w:p w14:paraId="521FB707" w14:textId="77777777" w:rsidR="00993359" w:rsidRPr="00E355C0" w:rsidRDefault="00993359" w:rsidP="002431B5">
            <w:pPr>
              <w:spacing w:before="0" w:after="0"/>
              <w:rPr>
                <w:szCs w:val="24"/>
              </w:rPr>
            </w:pPr>
            <w:r w:rsidRPr="00E355C0">
              <w:rPr>
                <w:szCs w:val="24"/>
              </w:rPr>
              <w:t xml:space="preserve">менее 0,5 мл/кг/час в течение 12 часов </w:t>
            </w:r>
          </w:p>
        </w:tc>
      </w:tr>
      <w:tr w:rsidR="00993359" w:rsidRPr="00E355C0" w14:paraId="0FF45560" w14:textId="77777777" w:rsidTr="00993359">
        <w:tc>
          <w:tcPr>
            <w:tcW w:w="2977" w:type="dxa"/>
          </w:tcPr>
          <w:p w14:paraId="6E7B90B1" w14:textId="77777777" w:rsidR="00993359" w:rsidRPr="00E355C0" w:rsidRDefault="00993359" w:rsidP="002431B5">
            <w:pPr>
              <w:spacing w:before="0" w:after="0"/>
              <w:rPr>
                <w:szCs w:val="24"/>
              </w:rPr>
            </w:pPr>
            <w:r w:rsidRPr="00E355C0">
              <w:rPr>
                <w:b/>
                <w:szCs w:val="24"/>
              </w:rPr>
              <w:t>Стадия F (недостаточность)</w:t>
            </w:r>
            <w:r w:rsidRPr="00E355C0">
              <w:rPr>
                <w:szCs w:val="24"/>
              </w:rPr>
              <w:t xml:space="preserve"> Увеличение концентрации креатинина ≥200% или снижение СКФ &gt;75% от исходного значения или содержание креатинина в сыворотке более 4 мг/дл </w:t>
            </w:r>
          </w:p>
          <w:p w14:paraId="156ACB57" w14:textId="77777777" w:rsidR="00993359" w:rsidRPr="00E355C0" w:rsidRDefault="00993359" w:rsidP="002431B5">
            <w:pPr>
              <w:spacing w:before="0" w:after="0"/>
              <w:rPr>
                <w:szCs w:val="24"/>
              </w:rPr>
            </w:pPr>
            <w:r w:rsidRPr="00E355C0">
              <w:rPr>
                <w:szCs w:val="24"/>
              </w:rPr>
              <w:t xml:space="preserve">(≥354 мкмоль/л) с быстрым повышением более 0,5 мг/дл </w:t>
            </w:r>
          </w:p>
          <w:p w14:paraId="3D0797CE" w14:textId="77777777" w:rsidR="00993359" w:rsidRPr="00E355C0" w:rsidRDefault="00993359" w:rsidP="002431B5">
            <w:pPr>
              <w:spacing w:before="0" w:after="0"/>
              <w:rPr>
                <w:szCs w:val="24"/>
              </w:rPr>
            </w:pPr>
            <w:r w:rsidRPr="00E355C0">
              <w:rPr>
                <w:szCs w:val="24"/>
              </w:rPr>
              <w:t xml:space="preserve">(44 мкмоль/л) </w:t>
            </w:r>
          </w:p>
        </w:tc>
        <w:tc>
          <w:tcPr>
            <w:tcW w:w="3145" w:type="dxa"/>
          </w:tcPr>
          <w:p w14:paraId="67579373" w14:textId="77777777" w:rsidR="00993359" w:rsidRPr="00E355C0" w:rsidRDefault="00993359" w:rsidP="002431B5">
            <w:pPr>
              <w:spacing w:before="0" w:after="0"/>
              <w:rPr>
                <w:b/>
                <w:szCs w:val="24"/>
              </w:rPr>
            </w:pPr>
            <w:r w:rsidRPr="00E355C0">
              <w:rPr>
                <w:b/>
                <w:szCs w:val="24"/>
              </w:rPr>
              <w:t xml:space="preserve">Стадия III </w:t>
            </w:r>
          </w:p>
          <w:p w14:paraId="25C085E9" w14:textId="77777777" w:rsidR="00993359" w:rsidRPr="00E355C0" w:rsidRDefault="00993359" w:rsidP="002431B5">
            <w:pPr>
              <w:spacing w:before="0" w:after="0"/>
              <w:rPr>
                <w:szCs w:val="24"/>
              </w:rPr>
            </w:pPr>
            <w:r w:rsidRPr="00E355C0">
              <w:rPr>
                <w:szCs w:val="24"/>
              </w:rPr>
              <w:t xml:space="preserve">Увеличение концентрации креатинина ≥200% от исходного значения или содержание креатинина в сыворотке более 4 мг/дл (≥354 мкмоль/л) с быстрым повышением более 0,5 мг/дл (44 мкмоль/л) или необходимость заместительной почечной терапии </w:t>
            </w:r>
          </w:p>
        </w:tc>
        <w:tc>
          <w:tcPr>
            <w:tcW w:w="3115" w:type="dxa"/>
          </w:tcPr>
          <w:p w14:paraId="65DDFB08" w14:textId="77777777" w:rsidR="00993359" w:rsidRPr="00E355C0" w:rsidRDefault="00993359" w:rsidP="002431B5">
            <w:pPr>
              <w:spacing w:before="0" w:after="0"/>
              <w:rPr>
                <w:szCs w:val="24"/>
              </w:rPr>
            </w:pPr>
            <w:r w:rsidRPr="00E355C0">
              <w:rPr>
                <w:szCs w:val="24"/>
              </w:rPr>
              <w:t xml:space="preserve">менее 0,3 мл/кг/час в течение 24 часов или анурия в течение 12 часов </w:t>
            </w:r>
          </w:p>
        </w:tc>
      </w:tr>
      <w:tr w:rsidR="00993359" w:rsidRPr="00E355C0" w14:paraId="51C6EAD5" w14:textId="77777777" w:rsidTr="00993359">
        <w:tc>
          <w:tcPr>
            <w:tcW w:w="2977" w:type="dxa"/>
          </w:tcPr>
          <w:p w14:paraId="2B7BF3D5" w14:textId="77777777" w:rsidR="00993359" w:rsidRPr="00E355C0" w:rsidRDefault="00993359" w:rsidP="002431B5">
            <w:pPr>
              <w:spacing w:before="0" w:after="0"/>
              <w:rPr>
                <w:b/>
                <w:szCs w:val="24"/>
              </w:rPr>
            </w:pPr>
            <w:r w:rsidRPr="00E355C0">
              <w:rPr>
                <w:b/>
                <w:szCs w:val="24"/>
              </w:rPr>
              <w:t xml:space="preserve">Стадия L (утрата) </w:t>
            </w:r>
          </w:p>
          <w:p w14:paraId="4D45EF72" w14:textId="77777777" w:rsidR="00993359" w:rsidRPr="00E355C0" w:rsidRDefault="00993359" w:rsidP="002431B5">
            <w:pPr>
              <w:spacing w:before="0" w:after="0"/>
              <w:rPr>
                <w:szCs w:val="24"/>
              </w:rPr>
            </w:pPr>
            <w:r w:rsidRPr="00E355C0">
              <w:rPr>
                <w:szCs w:val="24"/>
              </w:rPr>
              <w:t xml:space="preserve">Полная утрата функции почек (необходимость </w:t>
            </w:r>
            <w:r w:rsidRPr="00E355C0">
              <w:rPr>
                <w:szCs w:val="24"/>
              </w:rPr>
              <w:lastRenderedPageBreak/>
              <w:t xml:space="preserve">заместительной почечной терапии) более 4-х недель </w:t>
            </w:r>
          </w:p>
        </w:tc>
        <w:tc>
          <w:tcPr>
            <w:tcW w:w="3145" w:type="dxa"/>
          </w:tcPr>
          <w:p w14:paraId="0EFFC3AE" w14:textId="77777777" w:rsidR="00993359" w:rsidRPr="00E355C0" w:rsidRDefault="00993359" w:rsidP="002431B5">
            <w:pPr>
              <w:spacing w:before="0" w:after="0"/>
              <w:rPr>
                <w:szCs w:val="24"/>
              </w:rPr>
            </w:pPr>
          </w:p>
        </w:tc>
        <w:tc>
          <w:tcPr>
            <w:tcW w:w="3115" w:type="dxa"/>
          </w:tcPr>
          <w:p w14:paraId="0502A6D5" w14:textId="77777777" w:rsidR="00993359" w:rsidRPr="00E355C0" w:rsidRDefault="00993359" w:rsidP="002431B5">
            <w:pPr>
              <w:spacing w:before="0" w:after="0"/>
              <w:rPr>
                <w:szCs w:val="24"/>
              </w:rPr>
            </w:pPr>
          </w:p>
        </w:tc>
      </w:tr>
      <w:tr w:rsidR="00993359" w:rsidRPr="00E355C0" w14:paraId="1D870147" w14:textId="77777777" w:rsidTr="00993359">
        <w:tc>
          <w:tcPr>
            <w:tcW w:w="2977" w:type="dxa"/>
          </w:tcPr>
          <w:p w14:paraId="572BC2B9" w14:textId="77777777" w:rsidR="00993359" w:rsidRPr="00E355C0" w:rsidRDefault="00993359" w:rsidP="002431B5">
            <w:pPr>
              <w:spacing w:before="0" w:after="0"/>
              <w:rPr>
                <w:b/>
                <w:szCs w:val="24"/>
              </w:rPr>
            </w:pPr>
            <w:r w:rsidRPr="00E355C0">
              <w:rPr>
                <w:b/>
                <w:szCs w:val="24"/>
              </w:rPr>
              <w:t xml:space="preserve">Стадия E (конечная стадия заболевания почек) </w:t>
            </w:r>
          </w:p>
          <w:p w14:paraId="44DA08C6" w14:textId="77777777" w:rsidR="00993359" w:rsidRPr="00E355C0" w:rsidRDefault="00993359" w:rsidP="002431B5">
            <w:pPr>
              <w:spacing w:before="0" w:after="0"/>
              <w:rPr>
                <w:szCs w:val="24"/>
              </w:rPr>
            </w:pPr>
            <w:r w:rsidRPr="00E355C0">
              <w:rPr>
                <w:szCs w:val="24"/>
              </w:rPr>
              <w:t xml:space="preserve">Необходимость заместительной почечной терапии более 3-х мес. </w:t>
            </w:r>
          </w:p>
        </w:tc>
        <w:tc>
          <w:tcPr>
            <w:tcW w:w="3145" w:type="dxa"/>
          </w:tcPr>
          <w:p w14:paraId="7B8F7E66" w14:textId="77777777" w:rsidR="00993359" w:rsidRPr="00E355C0" w:rsidRDefault="00993359" w:rsidP="002431B5">
            <w:pPr>
              <w:spacing w:before="0" w:after="0"/>
              <w:rPr>
                <w:szCs w:val="24"/>
              </w:rPr>
            </w:pPr>
          </w:p>
        </w:tc>
        <w:tc>
          <w:tcPr>
            <w:tcW w:w="3115" w:type="dxa"/>
          </w:tcPr>
          <w:p w14:paraId="4AF11387" w14:textId="77777777" w:rsidR="00993359" w:rsidRPr="00E355C0" w:rsidRDefault="00993359" w:rsidP="002431B5">
            <w:pPr>
              <w:spacing w:before="0" w:after="0"/>
              <w:rPr>
                <w:szCs w:val="24"/>
              </w:rPr>
            </w:pPr>
          </w:p>
        </w:tc>
      </w:tr>
    </w:tbl>
    <w:p w14:paraId="0831F373" w14:textId="47501B7B" w:rsidR="00993359" w:rsidRPr="00E355C0" w:rsidRDefault="00993359" w:rsidP="00B86570">
      <w:pPr>
        <w:spacing w:after="0"/>
        <w:ind w:firstLine="567"/>
        <w:rPr>
          <w:szCs w:val="24"/>
        </w:rPr>
      </w:pPr>
      <w:r w:rsidRPr="00E355C0">
        <w:rPr>
          <w:szCs w:val="24"/>
        </w:rPr>
        <w:t xml:space="preserve">У пациентов со стабильной функцией почек стадию хронической болезни почек определяют на основании скорости клубочковой фильтрации, определяемой по формулам MDRD или CKD-EPI (табл. </w:t>
      </w:r>
      <w:r>
        <w:rPr>
          <w:szCs w:val="24"/>
        </w:rPr>
        <w:t>5</w:t>
      </w:r>
      <w:r w:rsidRPr="00E355C0">
        <w:rPr>
          <w:szCs w:val="24"/>
        </w:rPr>
        <w:t>).</w:t>
      </w:r>
    </w:p>
    <w:p w14:paraId="055C72C7" w14:textId="361FC9B7" w:rsidR="00993359" w:rsidRPr="00E355C0" w:rsidRDefault="00993359" w:rsidP="002431B5">
      <w:pPr>
        <w:spacing w:before="0" w:after="0"/>
        <w:rPr>
          <w:szCs w:val="24"/>
        </w:rPr>
      </w:pPr>
      <w:r w:rsidRPr="00993359">
        <w:rPr>
          <w:b/>
          <w:szCs w:val="24"/>
        </w:rPr>
        <w:t>Таблица 5.</w:t>
      </w:r>
      <w:r>
        <w:rPr>
          <w:szCs w:val="24"/>
        </w:rPr>
        <w:t xml:space="preserve"> </w:t>
      </w:r>
      <w:r w:rsidRPr="00E355C0">
        <w:rPr>
          <w:szCs w:val="24"/>
        </w:rPr>
        <w:t>Классификация хронической болезни почек</w:t>
      </w:r>
    </w:p>
    <w:tbl>
      <w:tblPr>
        <w:tblStyle w:val="ae"/>
        <w:tblW w:w="0" w:type="auto"/>
        <w:tblInd w:w="108" w:type="dxa"/>
        <w:tblLook w:val="04A0" w:firstRow="1" w:lastRow="0" w:firstColumn="1" w:lastColumn="0" w:noHBand="0" w:noVBand="1"/>
      </w:tblPr>
      <w:tblGrid>
        <w:gridCol w:w="1021"/>
        <w:gridCol w:w="5529"/>
        <w:gridCol w:w="2687"/>
      </w:tblGrid>
      <w:tr w:rsidR="00993359" w:rsidRPr="00E355C0" w14:paraId="217A8004" w14:textId="77777777" w:rsidTr="001471FD">
        <w:trPr>
          <w:tblHeader/>
        </w:trPr>
        <w:tc>
          <w:tcPr>
            <w:tcW w:w="1021" w:type="dxa"/>
          </w:tcPr>
          <w:p w14:paraId="46ABEE92" w14:textId="77777777" w:rsidR="00993359" w:rsidRPr="00E355C0" w:rsidRDefault="00993359" w:rsidP="002431B5">
            <w:pPr>
              <w:spacing w:before="0" w:after="0"/>
              <w:rPr>
                <w:szCs w:val="24"/>
              </w:rPr>
            </w:pPr>
            <w:r w:rsidRPr="00E355C0">
              <w:rPr>
                <w:szCs w:val="24"/>
              </w:rPr>
              <w:t xml:space="preserve">Стадия </w:t>
            </w:r>
          </w:p>
          <w:p w14:paraId="4CEC2C4F" w14:textId="77777777" w:rsidR="00993359" w:rsidRPr="00E355C0" w:rsidRDefault="00993359" w:rsidP="002431B5">
            <w:pPr>
              <w:spacing w:before="0" w:after="0"/>
              <w:rPr>
                <w:szCs w:val="24"/>
              </w:rPr>
            </w:pPr>
          </w:p>
        </w:tc>
        <w:tc>
          <w:tcPr>
            <w:tcW w:w="5529" w:type="dxa"/>
          </w:tcPr>
          <w:p w14:paraId="1B6CA14D" w14:textId="77777777" w:rsidR="00993359" w:rsidRPr="00E355C0" w:rsidRDefault="00993359" w:rsidP="002431B5">
            <w:pPr>
              <w:spacing w:before="0" w:after="0"/>
              <w:rPr>
                <w:szCs w:val="24"/>
              </w:rPr>
            </w:pPr>
            <w:r w:rsidRPr="00E355C0">
              <w:rPr>
                <w:szCs w:val="24"/>
              </w:rPr>
              <w:t>Характеристика</w:t>
            </w:r>
          </w:p>
          <w:p w14:paraId="3174CF34" w14:textId="77777777" w:rsidR="00993359" w:rsidRPr="00E355C0" w:rsidRDefault="00993359" w:rsidP="002431B5">
            <w:pPr>
              <w:spacing w:before="0" w:after="0"/>
              <w:rPr>
                <w:szCs w:val="24"/>
              </w:rPr>
            </w:pPr>
          </w:p>
        </w:tc>
        <w:tc>
          <w:tcPr>
            <w:tcW w:w="2687" w:type="dxa"/>
          </w:tcPr>
          <w:p w14:paraId="693DDBA0" w14:textId="77777777" w:rsidR="00993359" w:rsidRPr="00E355C0" w:rsidRDefault="00993359" w:rsidP="002431B5">
            <w:pPr>
              <w:spacing w:before="0" w:after="0"/>
              <w:rPr>
                <w:szCs w:val="24"/>
              </w:rPr>
            </w:pPr>
            <w:r w:rsidRPr="00E355C0">
              <w:rPr>
                <w:szCs w:val="24"/>
              </w:rPr>
              <w:t>СКФ мл/мин/1,73 м</w:t>
            </w:r>
            <w:r w:rsidRPr="00E355C0">
              <w:rPr>
                <w:szCs w:val="24"/>
                <w:vertAlign w:val="superscript"/>
              </w:rPr>
              <w:t>2</w:t>
            </w:r>
            <w:r w:rsidRPr="00E355C0">
              <w:rPr>
                <w:szCs w:val="24"/>
              </w:rPr>
              <w:t xml:space="preserve"> </w:t>
            </w:r>
          </w:p>
          <w:p w14:paraId="051F6BE2" w14:textId="77777777" w:rsidR="00993359" w:rsidRPr="00E355C0" w:rsidRDefault="00993359" w:rsidP="002431B5">
            <w:pPr>
              <w:spacing w:before="0" w:after="0"/>
              <w:rPr>
                <w:szCs w:val="24"/>
              </w:rPr>
            </w:pPr>
          </w:p>
        </w:tc>
      </w:tr>
      <w:tr w:rsidR="00993359" w:rsidRPr="00E355C0" w14:paraId="4A85F169" w14:textId="77777777" w:rsidTr="00993359">
        <w:tc>
          <w:tcPr>
            <w:tcW w:w="1021" w:type="dxa"/>
          </w:tcPr>
          <w:p w14:paraId="738DD4CB" w14:textId="77777777" w:rsidR="00993359" w:rsidRPr="00E355C0" w:rsidRDefault="00993359" w:rsidP="002431B5">
            <w:pPr>
              <w:spacing w:before="0" w:after="0"/>
              <w:rPr>
                <w:szCs w:val="24"/>
              </w:rPr>
            </w:pPr>
            <w:r w:rsidRPr="00E355C0">
              <w:rPr>
                <w:szCs w:val="24"/>
              </w:rPr>
              <w:t>1</w:t>
            </w:r>
          </w:p>
        </w:tc>
        <w:tc>
          <w:tcPr>
            <w:tcW w:w="5529" w:type="dxa"/>
          </w:tcPr>
          <w:p w14:paraId="23296A8E" w14:textId="77777777" w:rsidR="00993359" w:rsidRPr="00E355C0" w:rsidRDefault="00993359" w:rsidP="002431B5">
            <w:pPr>
              <w:spacing w:before="0" w:after="0"/>
              <w:rPr>
                <w:szCs w:val="24"/>
              </w:rPr>
            </w:pPr>
            <w:r w:rsidRPr="00E355C0">
              <w:rPr>
                <w:szCs w:val="24"/>
              </w:rPr>
              <w:t xml:space="preserve">Поражение почек с нормальной или повышенной СКФ </w:t>
            </w:r>
          </w:p>
        </w:tc>
        <w:tc>
          <w:tcPr>
            <w:tcW w:w="2687" w:type="dxa"/>
          </w:tcPr>
          <w:p w14:paraId="06E99857" w14:textId="77777777" w:rsidR="00993359" w:rsidRPr="00E355C0" w:rsidRDefault="00993359" w:rsidP="002431B5">
            <w:pPr>
              <w:spacing w:before="0" w:after="0"/>
              <w:rPr>
                <w:szCs w:val="24"/>
              </w:rPr>
            </w:pPr>
            <w:r w:rsidRPr="00E355C0">
              <w:rPr>
                <w:color w:val="445566"/>
                <w:szCs w:val="24"/>
                <w:shd w:val="clear" w:color="auto" w:fill="FEFCFC"/>
              </w:rPr>
              <w:t>≥90</w:t>
            </w:r>
          </w:p>
        </w:tc>
      </w:tr>
      <w:tr w:rsidR="00993359" w:rsidRPr="00E355C0" w14:paraId="3DA39EC3" w14:textId="77777777" w:rsidTr="00993359">
        <w:tc>
          <w:tcPr>
            <w:tcW w:w="1021" w:type="dxa"/>
          </w:tcPr>
          <w:p w14:paraId="0F8B1EA4" w14:textId="77777777" w:rsidR="00993359" w:rsidRPr="00E355C0" w:rsidRDefault="00993359" w:rsidP="002431B5">
            <w:pPr>
              <w:spacing w:before="0" w:after="0"/>
              <w:rPr>
                <w:szCs w:val="24"/>
              </w:rPr>
            </w:pPr>
            <w:r w:rsidRPr="00E355C0">
              <w:rPr>
                <w:szCs w:val="24"/>
              </w:rPr>
              <w:t>2</w:t>
            </w:r>
          </w:p>
        </w:tc>
        <w:tc>
          <w:tcPr>
            <w:tcW w:w="5529" w:type="dxa"/>
          </w:tcPr>
          <w:p w14:paraId="672336B8" w14:textId="77777777" w:rsidR="00993359" w:rsidRPr="00E355C0" w:rsidRDefault="00993359" w:rsidP="002431B5">
            <w:pPr>
              <w:spacing w:before="0" w:after="0"/>
              <w:rPr>
                <w:szCs w:val="24"/>
              </w:rPr>
            </w:pPr>
            <w:r w:rsidRPr="00E355C0">
              <w:rPr>
                <w:szCs w:val="24"/>
              </w:rPr>
              <w:t xml:space="preserve">Минимальное снижение СКФ </w:t>
            </w:r>
          </w:p>
        </w:tc>
        <w:tc>
          <w:tcPr>
            <w:tcW w:w="2687" w:type="dxa"/>
          </w:tcPr>
          <w:p w14:paraId="4CF71313" w14:textId="77777777" w:rsidR="00993359" w:rsidRPr="00E355C0" w:rsidRDefault="00993359" w:rsidP="002431B5">
            <w:pPr>
              <w:spacing w:before="0" w:after="0"/>
              <w:rPr>
                <w:szCs w:val="24"/>
              </w:rPr>
            </w:pPr>
            <w:r w:rsidRPr="00E355C0">
              <w:rPr>
                <w:szCs w:val="24"/>
              </w:rPr>
              <w:t>60-89</w:t>
            </w:r>
          </w:p>
        </w:tc>
      </w:tr>
      <w:tr w:rsidR="00993359" w:rsidRPr="00E355C0" w14:paraId="6898A289" w14:textId="77777777" w:rsidTr="00993359">
        <w:tc>
          <w:tcPr>
            <w:tcW w:w="1021" w:type="dxa"/>
          </w:tcPr>
          <w:p w14:paraId="490E7708" w14:textId="77777777" w:rsidR="00993359" w:rsidRPr="00E355C0" w:rsidRDefault="00993359" w:rsidP="002431B5">
            <w:pPr>
              <w:spacing w:before="0" w:after="0"/>
              <w:rPr>
                <w:szCs w:val="24"/>
              </w:rPr>
            </w:pPr>
            <w:r w:rsidRPr="00E355C0">
              <w:rPr>
                <w:szCs w:val="24"/>
              </w:rPr>
              <w:t>3</w:t>
            </w:r>
          </w:p>
        </w:tc>
        <w:tc>
          <w:tcPr>
            <w:tcW w:w="5529" w:type="dxa"/>
          </w:tcPr>
          <w:p w14:paraId="4AF93FBA" w14:textId="77777777" w:rsidR="00993359" w:rsidRPr="00E355C0" w:rsidRDefault="00993359" w:rsidP="002431B5">
            <w:pPr>
              <w:spacing w:before="0" w:after="0"/>
              <w:rPr>
                <w:szCs w:val="24"/>
              </w:rPr>
            </w:pPr>
            <w:r w:rsidRPr="00E355C0">
              <w:rPr>
                <w:szCs w:val="24"/>
              </w:rPr>
              <w:t xml:space="preserve">Умеренное снижение СКФ </w:t>
            </w:r>
          </w:p>
        </w:tc>
        <w:tc>
          <w:tcPr>
            <w:tcW w:w="2687" w:type="dxa"/>
          </w:tcPr>
          <w:p w14:paraId="570EA9E5" w14:textId="77777777" w:rsidR="00993359" w:rsidRPr="00E355C0" w:rsidRDefault="00993359" w:rsidP="002431B5">
            <w:pPr>
              <w:spacing w:before="0" w:after="0"/>
              <w:rPr>
                <w:szCs w:val="24"/>
              </w:rPr>
            </w:pPr>
            <w:r w:rsidRPr="00E355C0">
              <w:rPr>
                <w:szCs w:val="24"/>
              </w:rPr>
              <w:t>30-59</w:t>
            </w:r>
          </w:p>
        </w:tc>
      </w:tr>
      <w:tr w:rsidR="00993359" w:rsidRPr="00E355C0" w14:paraId="1104E960" w14:textId="77777777" w:rsidTr="00993359">
        <w:tc>
          <w:tcPr>
            <w:tcW w:w="1021" w:type="dxa"/>
          </w:tcPr>
          <w:p w14:paraId="42A054A2" w14:textId="77777777" w:rsidR="00993359" w:rsidRPr="00E355C0" w:rsidRDefault="00993359" w:rsidP="002431B5">
            <w:pPr>
              <w:spacing w:before="0" w:after="0"/>
              <w:rPr>
                <w:szCs w:val="24"/>
              </w:rPr>
            </w:pPr>
            <w:r w:rsidRPr="00E355C0">
              <w:rPr>
                <w:szCs w:val="24"/>
              </w:rPr>
              <w:t>4</w:t>
            </w:r>
          </w:p>
        </w:tc>
        <w:tc>
          <w:tcPr>
            <w:tcW w:w="5529" w:type="dxa"/>
          </w:tcPr>
          <w:p w14:paraId="1BDBB627" w14:textId="77777777" w:rsidR="00993359" w:rsidRPr="00E355C0" w:rsidRDefault="00993359" w:rsidP="002431B5">
            <w:pPr>
              <w:spacing w:before="0" w:after="0"/>
              <w:rPr>
                <w:szCs w:val="24"/>
              </w:rPr>
            </w:pPr>
            <w:r w:rsidRPr="00E355C0">
              <w:rPr>
                <w:szCs w:val="24"/>
              </w:rPr>
              <w:t xml:space="preserve">Выраженное снижение СКФ </w:t>
            </w:r>
          </w:p>
        </w:tc>
        <w:tc>
          <w:tcPr>
            <w:tcW w:w="2687" w:type="dxa"/>
          </w:tcPr>
          <w:p w14:paraId="56E7ADD7" w14:textId="77777777" w:rsidR="00993359" w:rsidRPr="00E355C0" w:rsidRDefault="00993359" w:rsidP="002431B5">
            <w:pPr>
              <w:spacing w:before="0" w:after="0"/>
              <w:rPr>
                <w:szCs w:val="24"/>
              </w:rPr>
            </w:pPr>
            <w:r w:rsidRPr="00E355C0">
              <w:rPr>
                <w:szCs w:val="24"/>
              </w:rPr>
              <w:t>15-29</w:t>
            </w:r>
          </w:p>
        </w:tc>
      </w:tr>
      <w:tr w:rsidR="00993359" w:rsidRPr="00E355C0" w14:paraId="7BEDD184" w14:textId="77777777" w:rsidTr="00993359">
        <w:tc>
          <w:tcPr>
            <w:tcW w:w="1021" w:type="dxa"/>
          </w:tcPr>
          <w:p w14:paraId="0479BA4E" w14:textId="77777777" w:rsidR="00993359" w:rsidRPr="00E355C0" w:rsidRDefault="00993359" w:rsidP="002431B5">
            <w:pPr>
              <w:spacing w:before="0" w:after="0"/>
              <w:rPr>
                <w:szCs w:val="24"/>
              </w:rPr>
            </w:pPr>
            <w:r w:rsidRPr="00E355C0">
              <w:rPr>
                <w:szCs w:val="24"/>
              </w:rPr>
              <w:t>5</w:t>
            </w:r>
          </w:p>
        </w:tc>
        <w:tc>
          <w:tcPr>
            <w:tcW w:w="5529" w:type="dxa"/>
          </w:tcPr>
          <w:p w14:paraId="4CECFF2D" w14:textId="77777777" w:rsidR="00993359" w:rsidRPr="00E355C0" w:rsidRDefault="00993359" w:rsidP="002431B5">
            <w:pPr>
              <w:spacing w:before="0" w:after="0"/>
              <w:rPr>
                <w:szCs w:val="24"/>
              </w:rPr>
            </w:pPr>
            <w:r w:rsidRPr="00E355C0">
              <w:rPr>
                <w:szCs w:val="24"/>
              </w:rPr>
              <w:t xml:space="preserve">Почечная недостаточность </w:t>
            </w:r>
          </w:p>
        </w:tc>
        <w:tc>
          <w:tcPr>
            <w:tcW w:w="2687" w:type="dxa"/>
          </w:tcPr>
          <w:p w14:paraId="3B064E12" w14:textId="77777777" w:rsidR="00993359" w:rsidRPr="00E355C0" w:rsidRDefault="00993359" w:rsidP="002431B5">
            <w:pPr>
              <w:spacing w:before="0" w:after="0"/>
              <w:rPr>
                <w:szCs w:val="24"/>
              </w:rPr>
            </w:pPr>
            <w:r w:rsidRPr="00E355C0">
              <w:rPr>
                <w:szCs w:val="24"/>
                <w:lang w:val="en-US"/>
              </w:rPr>
              <w:t xml:space="preserve">&lt;15 </w:t>
            </w:r>
            <w:r w:rsidRPr="00E355C0">
              <w:rPr>
                <w:szCs w:val="24"/>
              </w:rPr>
              <w:t>или диализ</w:t>
            </w:r>
          </w:p>
        </w:tc>
      </w:tr>
    </w:tbl>
    <w:p w14:paraId="6D8BB202" w14:textId="77777777" w:rsidR="00993359" w:rsidRPr="00E355C0" w:rsidRDefault="00993359" w:rsidP="00B86570">
      <w:pPr>
        <w:spacing w:after="0"/>
        <w:ind w:firstLine="709"/>
        <w:rPr>
          <w:szCs w:val="24"/>
        </w:rPr>
      </w:pPr>
      <w:r w:rsidRPr="00E355C0">
        <w:rPr>
          <w:szCs w:val="24"/>
        </w:rPr>
        <w:t xml:space="preserve">Острое почечное повреждение вследствие миеломной нефропатии является показанием к немедленному началу специфической терапии, поскольку улучшение функции почек возможно только при редукции опухоли. Следует использовать терапевтические схемы, которые позволяют достигнуть быстрого и максимального гематологического и почечного ответов. При необходимости терапию проводят одновременно с гемодиализом или перитонеальным диализом, при этом все препараты вводятся в полных дозах после сеанса гемодиализа или в междиализные дни. </w:t>
      </w:r>
    </w:p>
    <w:p w14:paraId="5E0FF3E3" w14:textId="77777777" w:rsidR="00993359" w:rsidRPr="00F242DD" w:rsidRDefault="00993359" w:rsidP="002431B5">
      <w:pPr>
        <w:spacing w:before="0" w:after="0"/>
        <w:contextualSpacing/>
      </w:pPr>
    </w:p>
    <w:p w14:paraId="086D12D0" w14:textId="3D0C4131" w:rsidR="004D7374" w:rsidRPr="00F242DD" w:rsidRDefault="004D7374" w:rsidP="00092917">
      <w:pPr>
        <w:pStyle w:val="1"/>
        <w:spacing w:before="0" w:after="0" w:line="276" w:lineRule="auto"/>
      </w:pPr>
      <w:bookmarkStart w:id="16" w:name="_Toc97734618"/>
      <w:r w:rsidRPr="00F242DD">
        <w:lastRenderedPageBreak/>
        <w:t>2. Диагностика</w:t>
      </w:r>
      <w:bookmarkEnd w:id="13"/>
      <w:r w:rsidR="00131E36" w:rsidRPr="00F242DD">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16"/>
    </w:p>
    <w:p w14:paraId="5B7776C0" w14:textId="77777777" w:rsidR="00131E36" w:rsidRPr="00F242DD" w:rsidRDefault="00131E36" w:rsidP="002431B5">
      <w:pPr>
        <w:rPr>
          <w:b/>
          <w:i/>
        </w:rPr>
      </w:pPr>
      <w:r w:rsidRPr="00F242DD">
        <w:rPr>
          <w:b/>
          <w:i/>
        </w:rPr>
        <w:t>Критерии установления диагноза/состояния:</w:t>
      </w:r>
    </w:p>
    <w:p w14:paraId="11137EA4" w14:textId="77777777" w:rsidR="00131E36" w:rsidRPr="00F242DD" w:rsidRDefault="00131E36" w:rsidP="002431B5">
      <w:pPr>
        <w:spacing w:before="0" w:after="0"/>
        <w:contextualSpacing/>
        <w:rPr>
          <w:i/>
        </w:rPr>
      </w:pPr>
      <w:r w:rsidRPr="00F242DD">
        <w:rPr>
          <w:i/>
        </w:rPr>
        <w:t>Тлеющая (асимптоматическая) ММ должна удовлетворять двум критериям:</w:t>
      </w:r>
    </w:p>
    <w:p w14:paraId="33EE19B8" w14:textId="77777777" w:rsidR="00131E36" w:rsidRPr="00F242DD" w:rsidRDefault="00131E36" w:rsidP="00893452">
      <w:pPr>
        <w:pStyle w:val="a6"/>
        <w:numPr>
          <w:ilvl w:val="0"/>
          <w:numId w:val="52"/>
        </w:numPr>
        <w:spacing w:before="0" w:after="0"/>
        <w:ind w:left="0" w:firstLine="0"/>
        <w:rPr>
          <w:i/>
        </w:rPr>
      </w:pPr>
      <w:r w:rsidRPr="00F242DD">
        <w:rPr>
          <w:i/>
        </w:rPr>
        <w:t>Моноклональный протеин в сыворотке крови ≥30 г/л и/или 500 мг в суточном анализе мочи и/или 10</w:t>
      </w:r>
      <w:r w:rsidR="006208D0" w:rsidRPr="00F242DD">
        <w:rPr>
          <w:i/>
        </w:rPr>
        <w:t>−</w:t>
      </w:r>
      <w:r w:rsidRPr="00F242DD">
        <w:rPr>
          <w:i/>
        </w:rPr>
        <w:t>59</w:t>
      </w:r>
      <w:r w:rsidR="006208D0" w:rsidRPr="00F242DD">
        <w:rPr>
          <w:i/>
        </w:rPr>
        <w:t> </w:t>
      </w:r>
      <w:r w:rsidRPr="00F242DD">
        <w:rPr>
          <w:i/>
        </w:rPr>
        <w:t xml:space="preserve">% клональных </w:t>
      </w:r>
      <w:r w:rsidR="006208D0" w:rsidRPr="00F242DD">
        <w:rPr>
          <w:i/>
        </w:rPr>
        <w:t>ПК</w:t>
      </w:r>
      <w:r w:rsidRPr="00F242DD">
        <w:rPr>
          <w:i/>
        </w:rPr>
        <w:t xml:space="preserve"> в костном мозге</w:t>
      </w:r>
      <w:r w:rsidR="006208D0" w:rsidRPr="00F242DD">
        <w:rPr>
          <w:i/>
        </w:rPr>
        <w:t>.</w:t>
      </w:r>
      <w:r w:rsidRPr="00F242DD">
        <w:rPr>
          <w:i/>
        </w:rPr>
        <w:t xml:space="preserve"> </w:t>
      </w:r>
    </w:p>
    <w:p w14:paraId="505D6DE7" w14:textId="77777777" w:rsidR="00131E36" w:rsidRPr="00F242DD" w:rsidRDefault="00131E36" w:rsidP="00893452">
      <w:pPr>
        <w:pStyle w:val="a6"/>
        <w:numPr>
          <w:ilvl w:val="0"/>
          <w:numId w:val="52"/>
        </w:numPr>
        <w:spacing w:before="0" w:after="0"/>
        <w:ind w:left="0" w:firstLine="0"/>
        <w:rPr>
          <w:i/>
          <w:u w:val="single"/>
        </w:rPr>
      </w:pPr>
      <w:r w:rsidRPr="00F242DD">
        <w:rPr>
          <w:i/>
        </w:rPr>
        <w:t>Отсутствие органных повреждений (</w:t>
      </w:r>
      <w:r w:rsidRPr="00F242DD">
        <w:rPr>
          <w:i/>
          <w:lang w:val="en-US"/>
        </w:rPr>
        <w:t>CRAB</w:t>
      </w:r>
      <w:r w:rsidR="0050601C" w:rsidRPr="00F242DD">
        <w:rPr>
          <w:i/>
        </w:rPr>
        <w:t xml:space="preserve"> </w:t>
      </w:r>
      <w:r w:rsidRPr="00F242DD">
        <w:rPr>
          <w:i/>
        </w:rPr>
        <w:t xml:space="preserve">– см. симптоматическую ММ), в том числе отсутствие признаков поражения костей (что подтверждено данными </w:t>
      </w:r>
      <w:r w:rsidR="0050601C" w:rsidRPr="00F242DD">
        <w:rPr>
          <w:i/>
        </w:rPr>
        <w:t>магнитно-резонансной томографии</w:t>
      </w:r>
      <w:r w:rsidRPr="00F242DD">
        <w:rPr>
          <w:i/>
        </w:rPr>
        <w:t xml:space="preserve"> или </w:t>
      </w:r>
      <w:r w:rsidR="0050601C" w:rsidRPr="00F242DD">
        <w:rPr>
          <w:i/>
        </w:rPr>
        <w:t>позитронно-эмиссионной/компьютерной томографии (</w:t>
      </w:r>
      <w:r w:rsidRPr="00F242DD">
        <w:rPr>
          <w:i/>
        </w:rPr>
        <w:t>ПЭТ/КТ</w:t>
      </w:r>
      <w:r w:rsidR="0050601C" w:rsidRPr="00F242DD">
        <w:rPr>
          <w:i/>
        </w:rPr>
        <w:t>)</w:t>
      </w:r>
      <w:r w:rsidR="00110202" w:rsidRPr="00F242DD">
        <w:rPr>
          <w:i/>
        </w:rPr>
        <w:t>,</w:t>
      </w:r>
      <w:r w:rsidRPr="00F242DD">
        <w:rPr>
          <w:i/>
        </w:rPr>
        <w:t xml:space="preserve"> или </w:t>
      </w:r>
      <w:r w:rsidR="00382B70" w:rsidRPr="00F242DD">
        <w:rPr>
          <w:i/>
        </w:rPr>
        <w:t>спиральной компьюте</w:t>
      </w:r>
      <w:r w:rsidR="00110202" w:rsidRPr="00F242DD">
        <w:rPr>
          <w:i/>
        </w:rPr>
        <w:t>р</w:t>
      </w:r>
      <w:r w:rsidR="00382B70" w:rsidRPr="00F242DD">
        <w:rPr>
          <w:i/>
        </w:rPr>
        <w:t>ной томографии</w:t>
      </w:r>
      <w:r w:rsidR="00E62084" w:rsidRPr="00F242DD">
        <w:rPr>
          <w:i/>
        </w:rPr>
        <w:t xml:space="preserve"> костей в низко</w:t>
      </w:r>
      <w:r w:rsidRPr="00F242DD">
        <w:rPr>
          <w:i/>
        </w:rPr>
        <w:t>дозовом режиме) и</w:t>
      </w:r>
      <w:r w:rsidR="00110202" w:rsidRPr="00F242DD">
        <w:rPr>
          <w:i/>
        </w:rPr>
        <w:t xml:space="preserve"> </w:t>
      </w:r>
      <w:r w:rsidRPr="00F242DD">
        <w:rPr>
          <w:i/>
        </w:rPr>
        <w:t>отсутствие амилоидоза.</w:t>
      </w:r>
    </w:p>
    <w:p w14:paraId="2B4E0A64" w14:textId="77777777" w:rsidR="00131E36" w:rsidRPr="00F242DD" w:rsidRDefault="00131E36" w:rsidP="002431B5">
      <w:pPr>
        <w:spacing w:before="0" w:after="0"/>
        <w:rPr>
          <w:i/>
        </w:rPr>
      </w:pPr>
      <w:r w:rsidRPr="00F242DD">
        <w:rPr>
          <w:i/>
        </w:rPr>
        <w:t>Симптоматическая ММ должна удовлетворять трем критериям:</w:t>
      </w:r>
    </w:p>
    <w:p w14:paraId="6BF15F24" w14:textId="77777777" w:rsidR="00131E36" w:rsidRPr="00F242DD" w:rsidRDefault="00131E36" w:rsidP="00893452">
      <w:pPr>
        <w:pStyle w:val="a6"/>
        <w:numPr>
          <w:ilvl w:val="0"/>
          <w:numId w:val="53"/>
        </w:numPr>
        <w:spacing w:before="0" w:after="0"/>
        <w:ind w:left="0" w:firstLine="0"/>
        <w:rPr>
          <w:i/>
        </w:rPr>
      </w:pPr>
      <w:r w:rsidRPr="00F242DD">
        <w:rPr>
          <w:i/>
        </w:rPr>
        <w:t>Присутствие в костном мозге ≥10</w:t>
      </w:r>
      <w:r w:rsidR="00110202" w:rsidRPr="00F242DD">
        <w:rPr>
          <w:i/>
        </w:rPr>
        <w:t> </w:t>
      </w:r>
      <w:r w:rsidRPr="00F242DD">
        <w:rPr>
          <w:i/>
        </w:rPr>
        <w:t xml:space="preserve">% клональных </w:t>
      </w:r>
      <w:r w:rsidR="00110202" w:rsidRPr="00F242DD">
        <w:rPr>
          <w:i/>
        </w:rPr>
        <w:t>ПК</w:t>
      </w:r>
      <w:r w:rsidRPr="00F242DD">
        <w:rPr>
          <w:i/>
        </w:rPr>
        <w:t xml:space="preserve"> или наличие подтвержденной биопсией костной/экстрамедуллярной плазмоцитомы и </w:t>
      </w:r>
      <w:r w:rsidR="00D24853" w:rsidRPr="00F242DD">
        <w:rPr>
          <w:i/>
        </w:rPr>
        <w:t>1</w:t>
      </w:r>
      <w:r w:rsidRPr="00F242DD">
        <w:rPr>
          <w:i/>
        </w:rPr>
        <w:t xml:space="preserve"> или несколько обозначенных ниже симптомов, обусловленных ММ: </w:t>
      </w:r>
    </w:p>
    <w:p w14:paraId="25DBC67D" w14:textId="4981880E" w:rsidR="00D24853" w:rsidRPr="00F242DD" w:rsidRDefault="00D24853" w:rsidP="002431B5">
      <w:pPr>
        <w:pStyle w:val="a6"/>
        <w:spacing w:before="0" w:after="0"/>
        <w:ind w:left="0"/>
        <w:rPr>
          <w:i/>
        </w:rPr>
      </w:pPr>
      <w:r w:rsidRPr="00F242DD">
        <w:rPr>
          <w:i/>
        </w:rPr>
        <w:t>а) г</w:t>
      </w:r>
      <w:r w:rsidR="00131E36" w:rsidRPr="00F242DD">
        <w:rPr>
          <w:i/>
        </w:rPr>
        <w:t>иперкальциемия: уровень кальция в сыворотке крови &gt;11 мг/дл (&gt;2,75 ммоль/л)</w:t>
      </w:r>
      <w:r w:rsidRPr="00F242DD">
        <w:rPr>
          <w:i/>
        </w:rPr>
        <w:t>;</w:t>
      </w:r>
    </w:p>
    <w:p w14:paraId="7B5A7E27" w14:textId="77777777" w:rsidR="00131E36" w:rsidRPr="00F242DD" w:rsidRDefault="00D24853" w:rsidP="002431B5">
      <w:pPr>
        <w:pStyle w:val="a6"/>
        <w:spacing w:before="0" w:after="0"/>
        <w:ind w:left="0"/>
        <w:rPr>
          <w:i/>
        </w:rPr>
      </w:pPr>
      <w:r w:rsidRPr="00F242DD">
        <w:rPr>
          <w:i/>
        </w:rPr>
        <w:t>б) д</w:t>
      </w:r>
      <w:r w:rsidR="00131E36" w:rsidRPr="00F242DD">
        <w:rPr>
          <w:i/>
        </w:rPr>
        <w:t xml:space="preserve">исфункция почек: уровень креатинина в сыворотке крови &gt;2 мг/дл (&gt;173 ммоль/л), клиренс креатинина </w:t>
      </w:r>
      <w:r w:rsidRPr="00F242DD">
        <w:rPr>
          <w:i/>
        </w:rPr>
        <w:t>&lt;</w:t>
      </w:r>
      <w:r w:rsidR="00131E36" w:rsidRPr="00F242DD">
        <w:rPr>
          <w:i/>
        </w:rPr>
        <w:t>40 мл/мин</w:t>
      </w:r>
      <w:r w:rsidRPr="00F242DD">
        <w:rPr>
          <w:i/>
        </w:rPr>
        <w:t>;</w:t>
      </w:r>
    </w:p>
    <w:p w14:paraId="59A688B7" w14:textId="77777777" w:rsidR="00131E36" w:rsidRPr="00F242DD" w:rsidRDefault="00D24853" w:rsidP="002431B5">
      <w:pPr>
        <w:pStyle w:val="a6"/>
        <w:spacing w:before="0" w:after="0"/>
        <w:ind w:left="0"/>
        <w:rPr>
          <w:i/>
        </w:rPr>
      </w:pPr>
      <w:r w:rsidRPr="00F242DD">
        <w:rPr>
          <w:i/>
        </w:rPr>
        <w:t>в) а</w:t>
      </w:r>
      <w:r w:rsidR="00131E36" w:rsidRPr="00F242DD">
        <w:rPr>
          <w:i/>
        </w:rPr>
        <w:t xml:space="preserve">немия: нормохромная нормоцитарная, </w:t>
      </w:r>
      <w:r w:rsidRPr="00F242DD">
        <w:rPr>
          <w:i/>
        </w:rPr>
        <w:t xml:space="preserve">уровень </w:t>
      </w:r>
      <w:r w:rsidR="00131E36" w:rsidRPr="00F242DD">
        <w:rPr>
          <w:i/>
        </w:rPr>
        <w:t>гемоглобин</w:t>
      </w:r>
      <w:r w:rsidRPr="00F242DD">
        <w:rPr>
          <w:i/>
        </w:rPr>
        <w:t>а</w:t>
      </w:r>
      <w:r w:rsidR="00131E36" w:rsidRPr="00F242DD">
        <w:rPr>
          <w:i/>
        </w:rPr>
        <w:t xml:space="preserve"> на 2 г/дл (20 г/л) меньше нижней границы нормы или </w:t>
      </w:r>
      <w:proofErr w:type="gramStart"/>
      <w:r w:rsidR="00131E36" w:rsidRPr="00F242DD">
        <w:rPr>
          <w:i/>
        </w:rPr>
        <w:t>&lt; 10</w:t>
      </w:r>
      <w:proofErr w:type="gramEnd"/>
      <w:r w:rsidR="00131E36" w:rsidRPr="00F242DD">
        <w:rPr>
          <w:i/>
        </w:rPr>
        <w:t xml:space="preserve"> г/дл (&lt;100 г/л)</w:t>
      </w:r>
      <w:r w:rsidR="003B0311" w:rsidRPr="00F242DD">
        <w:rPr>
          <w:i/>
        </w:rPr>
        <w:t>;</w:t>
      </w:r>
    </w:p>
    <w:p w14:paraId="64D7B9B5" w14:textId="77777777" w:rsidR="00131E36" w:rsidRPr="00F242DD" w:rsidRDefault="003B0311" w:rsidP="002431B5">
      <w:pPr>
        <w:pStyle w:val="a6"/>
        <w:spacing w:before="0" w:after="0"/>
        <w:ind w:left="0"/>
        <w:rPr>
          <w:i/>
        </w:rPr>
      </w:pPr>
      <w:r w:rsidRPr="00F242DD">
        <w:rPr>
          <w:i/>
        </w:rPr>
        <w:t>г) 1</w:t>
      </w:r>
      <w:r w:rsidR="00131E36" w:rsidRPr="00F242DD">
        <w:rPr>
          <w:i/>
        </w:rPr>
        <w:t xml:space="preserve"> или более остеолитических очагов, в том числе подтвержд</w:t>
      </w:r>
      <w:r w:rsidRPr="00F242DD">
        <w:rPr>
          <w:i/>
        </w:rPr>
        <w:t>е</w:t>
      </w:r>
      <w:r w:rsidR="00131E36" w:rsidRPr="00F242DD">
        <w:rPr>
          <w:i/>
        </w:rPr>
        <w:t xml:space="preserve">нных данными рентгенографии костей, </w:t>
      </w:r>
      <w:r w:rsidRPr="00F242DD">
        <w:rPr>
          <w:i/>
        </w:rPr>
        <w:t>спиральной компьютерной томографии</w:t>
      </w:r>
      <w:r w:rsidR="00131E36" w:rsidRPr="00F242DD">
        <w:rPr>
          <w:i/>
        </w:rPr>
        <w:t xml:space="preserve"> или ПЭТ/КТ</w:t>
      </w:r>
      <w:r w:rsidRPr="00F242DD">
        <w:rPr>
          <w:i/>
        </w:rPr>
        <w:t>;</w:t>
      </w:r>
      <w:r w:rsidR="00131E36" w:rsidRPr="00F242DD">
        <w:rPr>
          <w:i/>
        </w:rPr>
        <w:t xml:space="preserve"> </w:t>
      </w:r>
    </w:p>
    <w:p w14:paraId="42FC3DCE" w14:textId="77777777" w:rsidR="00131E36" w:rsidRPr="00F242DD" w:rsidRDefault="003B0311" w:rsidP="002431B5">
      <w:pPr>
        <w:pStyle w:val="a6"/>
        <w:spacing w:before="0" w:after="0"/>
        <w:ind w:left="0"/>
        <w:rPr>
          <w:i/>
        </w:rPr>
      </w:pPr>
      <w:r w:rsidRPr="00F242DD">
        <w:rPr>
          <w:i/>
        </w:rPr>
        <w:t>д) к</w:t>
      </w:r>
      <w:r w:rsidR="00131E36" w:rsidRPr="00F242DD">
        <w:rPr>
          <w:i/>
        </w:rPr>
        <w:t xml:space="preserve">оличество клональных плазмоцитов в костном мозге </w:t>
      </w:r>
      <w:r w:rsidRPr="00F242DD">
        <w:rPr>
          <w:i/>
        </w:rPr>
        <w:t>&gt;</w:t>
      </w:r>
      <w:r w:rsidR="00131E36" w:rsidRPr="00F242DD">
        <w:rPr>
          <w:i/>
        </w:rPr>
        <w:t>60</w:t>
      </w:r>
      <w:r w:rsidRPr="00F242DD">
        <w:rPr>
          <w:i/>
        </w:rPr>
        <w:t> </w:t>
      </w:r>
      <w:r w:rsidR="00131E36" w:rsidRPr="00F242DD">
        <w:rPr>
          <w:i/>
        </w:rPr>
        <w:t>%</w:t>
      </w:r>
      <w:r w:rsidRPr="00F242DD">
        <w:rPr>
          <w:i/>
        </w:rPr>
        <w:t>;</w:t>
      </w:r>
    </w:p>
    <w:p w14:paraId="61DBD4A3" w14:textId="77777777" w:rsidR="00131E36" w:rsidRPr="00F242DD" w:rsidRDefault="003B0311" w:rsidP="002431B5">
      <w:pPr>
        <w:pStyle w:val="a6"/>
        <w:spacing w:before="0" w:after="0"/>
        <w:ind w:left="0"/>
        <w:rPr>
          <w:i/>
        </w:rPr>
      </w:pPr>
      <w:r w:rsidRPr="00F242DD">
        <w:rPr>
          <w:i/>
        </w:rPr>
        <w:t>е) н</w:t>
      </w:r>
      <w:r w:rsidR="00131E36" w:rsidRPr="00F242DD">
        <w:rPr>
          <w:i/>
        </w:rPr>
        <w:t xml:space="preserve">енормальное соотношение </w:t>
      </w:r>
      <w:r w:rsidR="004F0B51" w:rsidRPr="00F242DD">
        <w:rPr>
          <w:i/>
        </w:rPr>
        <w:t>свободных легких цепей (</w:t>
      </w:r>
      <w:r w:rsidR="00131E36" w:rsidRPr="00F242DD">
        <w:rPr>
          <w:i/>
        </w:rPr>
        <w:t>СЛЦ</w:t>
      </w:r>
      <w:r w:rsidR="004F0B51" w:rsidRPr="00F242DD">
        <w:rPr>
          <w:i/>
        </w:rPr>
        <w:t>)</w:t>
      </w:r>
      <w:r w:rsidR="00131E36" w:rsidRPr="00F242DD">
        <w:rPr>
          <w:i/>
        </w:rPr>
        <w:t>: ≥100 или ≤0,01</w:t>
      </w:r>
      <w:r w:rsidR="00785610" w:rsidRPr="00F242DD">
        <w:rPr>
          <w:i/>
        </w:rPr>
        <w:t>;</w:t>
      </w:r>
    </w:p>
    <w:p w14:paraId="49795206" w14:textId="4DAD75F8" w:rsidR="00131E36" w:rsidRPr="00F242DD" w:rsidRDefault="009A649F" w:rsidP="002431B5">
      <w:pPr>
        <w:pStyle w:val="a6"/>
        <w:spacing w:before="0" w:after="0"/>
        <w:ind w:left="0"/>
        <w:rPr>
          <w:i/>
        </w:rPr>
      </w:pPr>
      <w:r w:rsidRPr="00F242DD">
        <w:rPr>
          <w:i/>
        </w:rPr>
        <w:t>ж</w:t>
      </w:r>
      <w:r w:rsidR="00785610" w:rsidRPr="00F242DD">
        <w:rPr>
          <w:i/>
        </w:rPr>
        <w:t>) б</w:t>
      </w:r>
      <w:r w:rsidR="00131E36" w:rsidRPr="00F242DD">
        <w:rPr>
          <w:i/>
        </w:rPr>
        <w:t xml:space="preserve">олее </w:t>
      </w:r>
      <w:r w:rsidR="00785610" w:rsidRPr="00F242DD">
        <w:rPr>
          <w:i/>
        </w:rPr>
        <w:t>1</w:t>
      </w:r>
      <w:r w:rsidR="00791645">
        <w:rPr>
          <w:i/>
        </w:rPr>
        <w:t xml:space="preserve"> очага поражения </w:t>
      </w:r>
      <w:r w:rsidR="00131E36" w:rsidRPr="00F242DD">
        <w:rPr>
          <w:i/>
        </w:rPr>
        <w:t xml:space="preserve">костного мозга, выявленного при </w:t>
      </w:r>
      <w:r w:rsidR="00785610" w:rsidRPr="00F242DD">
        <w:rPr>
          <w:i/>
        </w:rPr>
        <w:t>магнитно-резонансной томографии</w:t>
      </w:r>
      <w:r w:rsidR="00131E36" w:rsidRPr="00F242DD">
        <w:rPr>
          <w:i/>
        </w:rPr>
        <w:t xml:space="preserve"> костей</w:t>
      </w:r>
      <w:r w:rsidR="00785610" w:rsidRPr="00F242DD">
        <w:rPr>
          <w:i/>
        </w:rPr>
        <w:t>.</w:t>
      </w:r>
    </w:p>
    <w:p w14:paraId="4E4C7DBB" w14:textId="77777777" w:rsidR="00131E36" w:rsidRPr="00F242DD" w:rsidRDefault="00131E36" w:rsidP="00893452">
      <w:pPr>
        <w:pStyle w:val="a6"/>
        <w:numPr>
          <w:ilvl w:val="0"/>
          <w:numId w:val="53"/>
        </w:numPr>
        <w:spacing w:before="0" w:after="0"/>
        <w:ind w:left="0" w:firstLine="0"/>
        <w:rPr>
          <w:i/>
        </w:rPr>
      </w:pPr>
      <w:r w:rsidRPr="00F242DD">
        <w:rPr>
          <w:i/>
        </w:rPr>
        <w:t>Другие симптомы: гипервязкость, амилоидоз, частые бактериальные инфекции (&gt;2 эпизодов в течение 12 мес)</w:t>
      </w:r>
      <w:r w:rsidR="006B0B30" w:rsidRPr="00F242DD">
        <w:rPr>
          <w:i/>
        </w:rPr>
        <w:t>.</w:t>
      </w:r>
    </w:p>
    <w:p w14:paraId="678048B2" w14:textId="7410F3BA" w:rsidR="00131E36" w:rsidRPr="00F242DD" w:rsidRDefault="00131E36" w:rsidP="002431B5">
      <w:pPr>
        <w:spacing w:before="0" w:after="0"/>
        <w:rPr>
          <w:i/>
        </w:rPr>
      </w:pPr>
      <w:r w:rsidRPr="00F242DD">
        <w:rPr>
          <w:i/>
        </w:rPr>
        <w:t xml:space="preserve">Для несекретирующей миеломы характерно выявление в пунктате костного мозга </w:t>
      </w:r>
      <w:r w:rsidR="006B0B30" w:rsidRPr="00F242DD">
        <w:rPr>
          <w:i/>
        </w:rPr>
        <w:t>≥</w:t>
      </w:r>
      <w:r w:rsidRPr="00F242DD">
        <w:rPr>
          <w:i/>
        </w:rPr>
        <w:t>10</w:t>
      </w:r>
      <w:r w:rsidR="006B0B30" w:rsidRPr="00F242DD">
        <w:rPr>
          <w:i/>
        </w:rPr>
        <w:t> </w:t>
      </w:r>
      <w:r w:rsidRPr="00F242DD">
        <w:rPr>
          <w:i/>
        </w:rPr>
        <w:t xml:space="preserve">% </w:t>
      </w:r>
      <w:r w:rsidR="006B0B30" w:rsidRPr="00F242DD">
        <w:rPr>
          <w:i/>
        </w:rPr>
        <w:t>ПК</w:t>
      </w:r>
      <w:r w:rsidR="00C57432" w:rsidRPr="00F242DD">
        <w:rPr>
          <w:i/>
        </w:rPr>
        <w:t xml:space="preserve">, а также </w:t>
      </w:r>
      <w:r w:rsidRPr="00F242DD">
        <w:rPr>
          <w:i/>
        </w:rPr>
        <w:t>признак</w:t>
      </w:r>
      <w:r w:rsidR="00C57432" w:rsidRPr="00F242DD">
        <w:rPr>
          <w:i/>
        </w:rPr>
        <w:t>ов</w:t>
      </w:r>
      <w:r w:rsidRPr="00F242DD">
        <w:rPr>
          <w:i/>
        </w:rPr>
        <w:t xml:space="preserve"> </w:t>
      </w:r>
      <w:r w:rsidRPr="00F242DD">
        <w:rPr>
          <w:i/>
          <w:lang w:val="en-US"/>
        </w:rPr>
        <w:t>CRAB</w:t>
      </w:r>
      <w:r w:rsidRPr="00F242DD">
        <w:rPr>
          <w:i/>
        </w:rPr>
        <w:t xml:space="preserve">-синдрома. Моноклонального протеина нет ни в сыворотке крови, ни в моче, что подтверждают результаты иммунофиксации. </w:t>
      </w:r>
    </w:p>
    <w:p w14:paraId="3F71C5BB" w14:textId="77777777" w:rsidR="004D7374" w:rsidRPr="00F242DD" w:rsidRDefault="004D7374" w:rsidP="00092917">
      <w:pPr>
        <w:pStyle w:val="2"/>
        <w:spacing w:before="0" w:after="0"/>
      </w:pPr>
      <w:bookmarkStart w:id="17" w:name="_Toc97734619"/>
      <w:r w:rsidRPr="00F242DD">
        <w:lastRenderedPageBreak/>
        <w:t>2.1 Жалобы и анамнез</w:t>
      </w:r>
      <w:bookmarkEnd w:id="17"/>
    </w:p>
    <w:p w14:paraId="0ABB7473" w14:textId="79D885E1" w:rsidR="004D7374" w:rsidRPr="00F242DD" w:rsidRDefault="004D7374" w:rsidP="00092917">
      <w:pPr>
        <w:pStyle w:val="a6"/>
        <w:numPr>
          <w:ilvl w:val="0"/>
          <w:numId w:val="1"/>
        </w:numPr>
        <w:spacing w:before="0" w:after="0"/>
        <w:ind w:left="0" w:firstLine="0"/>
      </w:pPr>
      <w:r w:rsidRPr="00F242DD">
        <w:t xml:space="preserve">У всех пациентов с подозрением на </w:t>
      </w:r>
      <w:r w:rsidR="00E80729" w:rsidRPr="00F242DD">
        <w:t>ММ</w:t>
      </w:r>
      <w:r w:rsidRPr="00F242DD">
        <w:t xml:space="preserve"> или выявленн</w:t>
      </w:r>
      <w:r w:rsidR="00E80729" w:rsidRPr="00F242DD">
        <w:t xml:space="preserve">ой ММ </w:t>
      </w:r>
      <w:r w:rsidRPr="00F242DD">
        <w:t xml:space="preserve">при первичном приеме </w:t>
      </w:r>
      <w:r w:rsidRPr="00F242DD">
        <w:rPr>
          <w:b/>
        </w:rPr>
        <w:t>рекомендуется</w:t>
      </w:r>
      <w:r w:rsidRPr="00F242DD">
        <w:t xml:space="preserve"> тщательный сбор</w:t>
      </w:r>
      <w:r w:rsidR="00BE70BE" w:rsidRPr="00F242DD">
        <w:t xml:space="preserve"> </w:t>
      </w:r>
      <w:r w:rsidR="00221203" w:rsidRPr="00F242DD">
        <w:t>жалоб и анамнеза при заболеваниях органов кроветворения и крови</w:t>
      </w:r>
      <w:r w:rsidR="00680CFC" w:rsidRPr="00F242DD">
        <w:t xml:space="preserve"> для верификации диагноза</w:t>
      </w:r>
      <w:r w:rsidR="00131E36" w:rsidRPr="00F242DD">
        <w:t xml:space="preserve"> </w:t>
      </w:r>
      <w:r w:rsidR="00A96FB6" w:rsidRPr="00F242DD">
        <w:fldChar w:fldCharType="begin" w:fldLock="1"/>
      </w:r>
      <w:r w:rsidR="00A14090">
        <w:instrText>ADDIN CSL_CITATION {"citationItems":[{"id":"ITEM-1","itemData":{"DOI":"10.1038/leu.2008.291","ISSN":"1476-5551","PMID":"18971951","abstract":"New systems have emerged for diagnosis, staging and response assessment in multiple myeloma (MM). The diagnostic and response criteria recommended are primarily derived from the International Myeloma Working Group, with certain updates and clarifications. The International Staging System is the current standard for staging of myeloma. A new risk stratification model is provided to specifically define high-risk patients who may benefit from novel therapeutic strategies. This paper provides the current criteria for diagnosis, staging, risk stratification and response assessment of MM.","author":[{"dropping-particle":"","family":"Kyle","given":"R A","non-dropping-particle":"","parse-names":false,"suffix":""},{"dropping-particle":"V","family":"Rajkumar","given":"S","non-dropping-particle":"","parse-names":false,"suffix":""}],"container-title":"Leukemia","id":"ITEM-1","issue":"1","issued":{"date-parts":[["2009","1"]]},"page":"3-9","title":"Criteria for diagnosis, staging, risk stratification and response assessment of multiple myeloma.","type":"article-journal","volume":"23"},"uris":["http://www.mendeley.com/documents/?uuid=7769f5b6-e5a5-3505-9c33-44322e77a602"]},{"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-3","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[1,14,15]","plainTextFormattedCitation":"[1,14,15]","previouslyFormattedCitation":"[1,14,15]"},"properties":{"noteIndex":0},"schema":"https://github.com/citation-style-language/schema/raw/master/csl-citation.json"}</w:instrText>
      </w:r>
      <w:r w:rsidR="00A96FB6" w:rsidRPr="00F242DD">
        <w:fldChar w:fldCharType="separate"/>
      </w:r>
      <w:r w:rsidR="00500F37" w:rsidRPr="00500F37">
        <w:rPr>
          <w:noProof/>
        </w:rPr>
        <w:t>[1,14,15]</w:t>
      </w:r>
      <w:r w:rsidR="00A96FB6" w:rsidRPr="00F242DD">
        <w:fldChar w:fldCharType="end"/>
      </w:r>
      <w:r w:rsidR="00E05D8E" w:rsidRPr="00F242DD">
        <w:t>.</w:t>
      </w:r>
    </w:p>
    <w:p w14:paraId="546F0743" w14:textId="77777777" w:rsidR="004D7374" w:rsidRPr="00172C08" w:rsidRDefault="00E05D8E" w:rsidP="00092917">
      <w:pPr>
        <w:spacing w:before="0" w:after="0"/>
        <w:rPr>
          <w:b/>
          <w:sz w:val="22"/>
        </w:rPr>
      </w:pPr>
      <w:r w:rsidRPr="00172C08">
        <w:rPr>
          <w:b/>
          <w:sz w:val="22"/>
        </w:rPr>
        <w:t xml:space="preserve">Уровень убедительности рекомендаций </w:t>
      </w:r>
      <w:r w:rsidR="00FA247E" w:rsidRPr="00172C08">
        <w:rPr>
          <w:b/>
          <w:sz w:val="22"/>
        </w:rPr>
        <w:t xml:space="preserve">− </w:t>
      </w:r>
      <w:r w:rsidRPr="00172C08">
        <w:rPr>
          <w:b/>
          <w:sz w:val="22"/>
        </w:rPr>
        <w:t xml:space="preserve">С (уровень достоверности доказательств </w:t>
      </w:r>
      <w:r w:rsidR="00FA247E" w:rsidRPr="00172C08">
        <w:rPr>
          <w:b/>
          <w:sz w:val="22"/>
        </w:rPr>
        <w:t xml:space="preserve">− </w:t>
      </w:r>
      <w:r w:rsidRPr="00172C08">
        <w:rPr>
          <w:b/>
          <w:sz w:val="22"/>
        </w:rPr>
        <w:t>5)</w:t>
      </w:r>
    </w:p>
    <w:p w14:paraId="42768AFA" w14:textId="77777777" w:rsidR="004D7374" w:rsidRPr="00F242DD" w:rsidRDefault="004D7374" w:rsidP="00092917">
      <w:pPr>
        <w:pStyle w:val="2"/>
        <w:spacing w:before="0" w:after="0"/>
      </w:pPr>
      <w:bookmarkStart w:id="18" w:name="_Toc97734620"/>
      <w:r w:rsidRPr="00F242DD">
        <w:t>2.2 Физикальное обследование</w:t>
      </w:r>
      <w:bookmarkEnd w:id="18"/>
    </w:p>
    <w:p w14:paraId="58BE7967" w14:textId="5AE76A08" w:rsidR="004D7374" w:rsidRPr="00F242DD" w:rsidRDefault="004D7374" w:rsidP="00092917">
      <w:pPr>
        <w:pStyle w:val="a6"/>
        <w:numPr>
          <w:ilvl w:val="0"/>
          <w:numId w:val="1"/>
        </w:numPr>
        <w:spacing w:before="0" w:after="0"/>
        <w:ind w:left="0" w:firstLine="0"/>
      </w:pPr>
      <w:r w:rsidRPr="00F242DD">
        <w:t xml:space="preserve">У всех пациентов с подозрением на </w:t>
      </w:r>
      <w:r w:rsidR="00E80729" w:rsidRPr="00F242DD">
        <w:t>ММ</w:t>
      </w:r>
      <w:r w:rsidRPr="00F242DD">
        <w:t xml:space="preserve"> или выявленн</w:t>
      </w:r>
      <w:r w:rsidR="00E80729" w:rsidRPr="00F242DD">
        <w:t xml:space="preserve">ой ММ </w:t>
      </w:r>
      <w:r w:rsidRPr="00F242DD">
        <w:t xml:space="preserve">при первичном или повторном приеме, при контрольных обследованиях и при подозрении на рецидив заболевания </w:t>
      </w:r>
      <w:r w:rsidRPr="00F242DD">
        <w:rPr>
          <w:b/>
        </w:rPr>
        <w:t>рекомендуется</w:t>
      </w:r>
      <w:r w:rsidR="00BE70BE" w:rsidRPr="00F242DD">
        <w:rPr>
          <w:b/>
        </w:rPr>
        <w:t xml:space="preserve"> </w:t>
      </w:r>
      <w:r w:rsidR="00EB0D1B" w:rsidRPr="00F242DD">
        <w:t>выполнение визуального осмотра терапевтического, пальпации терапевтической и</w:t>
      </w:r>
      <w:r w:rsidR="00141689" w:rsidRPr="00F242DD">
        <w:t xml:space="preserve"> аускультации терапевтической, </w:t>
      </w:r>
      <w:r w:rsidRPr="00F242DD">
        <w:t xml:space="preserve">определение общего состояния по шкале ECOG, а также осмотр миндалин и полости рта для уточнения распространенности и тяжести течения </w:t>
      </w:r>
      <w:r w:rsidR="00582778" w:rsidRPr="00F242DD">
        <w:t>заболевани</w:t>
      </w:r>
      <w:r w:rsidR="00E05D8E" w:rsidRPr="00F242DD">
        <w:t>я</w:t>
      </w:r>
      <w:r w:rsidR="00131E36" w:rsidRPr="00F242DD">
        <w:t xml:space="preserve"> </w:t>
      </w:r>
      <w:r w:rsidR="00A96FB6" w:rsidRPr="00F242DD">
        <w:fldChar w:fldCharType="begin" w:fldLock="1"/>
      </w:r>
      <w:r w:rsidR="00A14090">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заболеваний.","type":"book"},"uris":["http://www.mendeley.com/documents/?uuid=e78fcf94-0c0e-4ddb-8024-8cef84c7c5c2"]},{"id":"ITEM-2","itemData":{"DOI":"10.1038/leu.2008.291","ISSN":"1476-5551","PMID":"18971951","abstract":"New systems have emerged for diagnosis, staging and response assessment in multiple myeloma (MM). The diagnostic and response criteria recommended are primarily derived from the International Myeloma Working Group, with certain updates and clarifications. The International Staging System is the current standard for staging of myeloma. A new risk stratification model is provided to specifically define high-risk patients who may benefit from novel therapeutic strategies. This paper provides the current criteria for diagnosis, staging, risk stratification and response assessment of MM.","author":[{"dropping-particle":"","family":"Kyle","given":"R A","non-dropping-particle":"","parse-names":false,"suffix":""},{"dropping-particle":"V","family":"Rajkumar","given":"S","non-dropping-particle":"","parse-names":false,"suffix":""}],"container-title":"Leukemia","id":"ITEM-2","issue":"1","issued":{"date-parts":[["2009","1"]]},"page":"3-9","title":"Criteria for diagnosis, staging, risk stratification and response assessment of multiple myeloma.","type":"article-journal","volume":"23"},"uris":["http://www.mendeley.com/documents/?uuid=7769f5b6-e5a5-3505-9c33-44322e77a602"]},{"id":"ITEM-3","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Oncology","id":"ITEM-3","issue":"suppl_4","issued":{"date-parts":[["2017","7","1"]]},"page":"iv52-iv61","title":"Multiple myeloma: ESMO Clinical Practice Guidelines for diagnosis, treatment and follow-up.","type":"article-journal","volume":"28"},"uris":["http://www.mendeley.com/documents/?uuid=e710540c-71bd-39f6-a6ad-aa95562089c3"]}],"mendeley":{"formattedCitation":"[1,14,15]","plainTextFormattedCitation":"[1,14,15]","previouslyFormattedCitation":"[1,14,15]"},"properties":{"noteIndex":0},"schema":"https://github.com/citation-style-language/schema/raw/master/csl-citation.json"}</w:instrText>
      </w:r>
      <w:r w:rsidR="00A96FB6" w:rsidRPr="00F242DD">
        <w:fldChar w:fldCharType="separate"/>
      </w:r>
      <w:r w:rsidR="00500F37" w:rsidRPr="00500F37">
        <w:rPr>
          <w:noProof/>
        </w:rPr>
        <w:t>[1,14,15]</w:t>
      </w:r>
      <w:r w:rsidR="00A96FB6" w:rsidRPr="00F242DD">
        <w:fldChar w:fldCharType="end"/>
      </w:r>
      <w:r w:rsidR="00E05D8E" w:rsidRPr="00F242DD">
        <w:t>.</w:t>
      </w:r>
    </w:p>
    <w:p w14:paraId="1E44436E" w14:textId="667969B6" w:rsidR="001837F9" w:rsidRPr="00172C08" w:rsidRDefault="00E05D8E" w:rsidP="00092917">
      <w:pPr>
        <w:spacing w:before="0" w:after="0"/>
        <w:rPr>
          <w:b/>
          <w:sz w:val="22"/>
        </w:rPr>
      </w:pPr>
      <w:r w:rsidRPr="00172C08">
        <w:rPr>
          <w:b/>
          <w:sz w:val="22"/>
        </w:rPr>
        <w:t xml:space="preserve">Уровень убедительности рекомендаций </w:t>
      </w:r>
      <w:r w:rsidR="001837F9" w:rsidRPr="00172C08">
        <w:rPr>
          <w:b/>
          <w:sz w:val="22"/>
        </w:rPr>
        <w:t>−</w:t>
      </w:r>
      <w:r w:rsidR="00AC398A" w:rsidRPr="00172C08">
        <w:rPr>
          <w:b/>
          <w:sz w:val="22"/>
        </w:rPr>
        <w:t xml:space="preserve"> </w:t>
      </w:r>
      <w:r w:rsidRPr="00172C08">
        <w:rPr>
          <w:b/>
          <w:sz w:val="22"/>
        </w:rPr>
        <w:t>С</w:t>
      </w:r>
      <w:r w:rsidR="00AC398A" w:rsidRPr="00172C08">
        <w:rPr>
          <w:b/>
          <w:sz w:val="22"/>
        </w:rPr>
        <w:t xml:space="preserve"> </w:t>
      </w:r>
      <w:r w:rsidRPr="00172C08">
        <w:rPr>
          <w:b/>
          <w:sz w:val="22"/>
        </w:rPr>
        <w:t xml:space="preserve">(уровень достоверности доказательств </w:t>
      </w:r>
      <w:r w:rsidR="001837F9" w:rsidRPr="00172C08">
        <w:rPr>
          <w:b/>
          <w:sz w:val="22"/>
        </w:rPr>
        <w:t xml:space="preserve">− </w:t>
      </w:r>
      <w:r w:rsidRPr="00172C08">
        <w:rPr>
          <w:b/>
          <w:sz w:val="22"/>
        </w:rPr>
        <w:t>5)</w:t>
      </w:r>
    </w:p>
    <w:p w14:paraId="3BDB92BA" w14:textId="77777777" w:rsidR="00EB0D1B" w:rsidRPr="00F242DD" w:rsidRDefault="00EB0D1B" w:rsidP="00092917">
      <w:pPr>
        <w:spacing w:before="0" w:after="0"/>
        <w:rPr>
          <w:i/>
        </w:rPr>
      </w:pPr>
      <w:r w:rsidRPr="00F242DD">
        <w:rPr>
          <w:b/>
        </w:rPr>
        <w:t>Комментари</w:t>
      </w:r>
      <w:r w:rsidR="001837F9" w:rsidRPr="00F242DD">
        <w:rPr>
          <w:b/>
        </w:rPr>
        <w:t>й</w:t>
      </w:r>
      <w:r w:rsidRPr="00F242DD">
        <w:rPr>
          <w:b/>
        </w:rPr>
        <w:t>:</w:t>
      </w:r>
      <w:r w:rsidR="00FC7F2E" w:rsidRPr="00F242DD">
        <w:rPr>
          <w:b/>
        </w:rPr>
        <w:t xml:space="preserve"> </w:t>
      </w:r>
      <w:r w:rsidR="00131E36" w:rsidRPr="00F242DD">
        <w:rPr>
          <w:i/>
        </w:rPr>
        <w:t xml:space="preserve">при </w:t>
      </w:r>
      <w:r w:rsidRPr="00F242DD">
        <w:rPr>
          <w:i/>
        </w:rPr>
        <w:t xml:space="preserve">осмотре необходимо оценить общее состояние пациента по шкале </w:t>
      </w:r>
      <w:r w:rsidRPr="00F242DD">
        <w:rPr>
          <w:i/>
          <w:lang w:val="en-US"/>
        </w:rPr>
        <w:t>ECOG</w:t>
      </w:r>
      <w:r w:rsidRPr="00F242DD">
        <w:rPr>
          <w:i/>
        </w:rPr>
        <w:t xml:space="preserve"> (см. приложение Г1), а также осмотреть миндалины и полость рта; пальпация должна включать в себя </w:t>
      </w:r>
      <w:r w:rsidR="00FC7F2E" w:rsidRPr="00F242DD">
        <w:rPr>
          <w:i/>
        </w:rPr>
        <w:t xml:space="preserve">пальпацию доступных групп </w:t>
      </w:r>
      <w:r w:rsidRPr="00F242DD">
        <w:rPr>
          <w:i/>
        </w:rPr>
        <w:t>периферических лимфатических узлов, печени, селезенки.</w:t>
      </w:r>
    </w:p>
    <w:p w14:paraId="7198B326" w14:textId="77777777" w:rsidR="0045054E" w:rsidRPr="00F242DD" w:rsidRDefault="00807232" w:rsidP="00092917">
      <w:pPr>
        <w:pStyle w:val="2"/>
        <w:spacing w:before="0" w:after="0"/>
      </w:pPr>
      <w:bookmarkStart w:id="19" w:name="_Toc97734621"/>
      <w:r w:rsidRPr="00F242DD">
        <w:t xml:space="preserve">2.3 </w:t>
      </w:r>
      <w:r w:rsidR="004D7374" w:rsidRPr="00F242DD">
        <w:t>Лабораторн</w:t>
      </w:r>
      <w:r w:rsidR="00B255C9" w:rsidRPr="00F242DD">
        <w:t>ые диагностические исследования</w:t>
      </w:r>
      <w:bookmarkEnd w:id="19"/>
    </w:p>
    <w:p w14:paraId="0A1DA0E2" w14:textId="77777777" w:rsidR="00BE4440" w:rsidRPr="00F242DD" w:rsidRDefault="00BE4440" w:rsidP="00092917">
      <w:pPr>
        <w:pStyle w:val="a6"/>
        <w:numPr>
          <w:ilvl w:val="0"/>
          <w:numId w:val="2"/>
        </w:numPr>
        <w:spacing w:before="0" w:after="0"/>
        <w:ind w:left="0" w:firstLine="0"/>
      </w:pPr>
      <w:r w:rsidRPr="00F242DD">
        <w:t xml:space="preserve">Всем пациентам с подозрением на ММ или выявленной ММ при первичном или повторном приеме, при контрольных обследованиях и при подозрении на рецидив заболевания </w:t>
      </w:r>
      <w:r w:rsidRPr="00F242DD">
        <w:rPr>
          <w:b/>
        </w:rPr>
        <w:t>рекомендуется</w:t>
      </w:r>
      <w:r w:rsidRPr="00F242DD">
        <w:t xml:space="preserve"> для уточнения состояния пациента, выработки адекватной терапевтической тактики и/или (в случае ранее проведенной терапии) </w:t>
      </w:r>
      <w:r w:rsidR="00B66CBC" w:rsidRPr="00F242DD">
        <w:t xml:space="preserve">при </w:t>
      </w:r>
      <w:r w:rsidRPr="00F242DD">
        <w:t>развити</w:t>
      </w:r>
      <w:r w:rsidR="00B66CBC" w:rsidRPr="00F242DD">
        <w:t>и</w:t>
      </w:r>
      <w:r w:rsidRPr="00F242DD">
        <w:t xml:space="preserve"> нежелательных явлений лечения выполнить следующие лабораторные исследования:</w:t>
      </w:r>
    </w:p>
    <w:p w14:paraId="2DB1BD1E" w14:textId="4086ED5B" w:rsidR="00BE4440" w:rsidRPr="00F242DD" w:rsidRDefault="005A0507" w:rsidP="00092917">
      <w:pPr>
        <w:pStyle w:val="a6"/>
        <w:numPr>
          <w:ilvl w:val="2"/>
          <w:numId w:val="2"/>
        </w:numPr>
        <w:spacing w:before="0" w:after="0"/>
        <w:ind w:left="0" w:firstLine="0"/>
      </w:pPr>
      <w:r>
        <w:t>Общий (</w:t>
      </w:r>
      <w:r w:rsidR="00BE4440" w:rsidRPr="00F242DD">
        <w:t>клинический</w:t>
      </w:r>
      <w:r>
        <w:t xml:space="preserve">) </w:t>
      </w:r>
      <w:r w:rsidR="00BE4440" w:rsidRPr="00F242DD">
        <w:t xml:space="preserve">анализ крови </w:t>
      </w:r>
      <w:r w:rsidRPr="00F242DD">
        <w:t xml:space="preserve">развернутый </w:t>
      </w:r>
      <w:r w:rsidR="00BE4440" w:rsidRPr="00F242DD">
        <w:t xml:space="preserve">с определением </w:t>
      </w:r>
      <w:r w:rsidR="00B66CBC" w:rsidRPr="00F242DD">
        <w:t xml:space="preserve">уровней </w:t>
      </w:r>
      <w:r w:rsidR="00BE4440" w:rsidRPr="00F242DD">
        <w:t>гемоглобина, эритроцитов, тромбоцитов, лейкоцитов, подсчетом лейкоцитарной формулы и количества ретикулоцитов</w:t>
      </w:r>
      <w:r w:rsidR="00D47D9A">
        <w:t xml:space="preserve">, </w:t>
      </w:r>
      <w:r w:rsidR="00D47D9A" w:rsidRPr="00F5033E">
        <w:t>СОЭ</w:t>
      </w:r>
      <w:r w:rsidR="00BE4440" w:rsidRPr="00F242DD">
        <w:t xml:space="preserve"> </w:t>
      </w:r>
      <w:r w:rsidR="00A96FB6" w:rsidRPr="00F242DD">
        <w:fldChar w:fldCharType="begin" w:fldLock="1"/>
      </w:r>
      <w:r w:rsidR="00A14090">
        <w:instrText>ADDIN CSL_CITATION {"citationItems":[{"id":"ITEM-1","itemData":{"DOI":"10.1016/S1470-2045(14)70442-5","ISSN":"14745488","abstract":"This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Oncology","id":"ITEM-1","issue":"12","issued":{"date-parts":[["2014","11","1"]]},"page":"e538-e548","publisher":"Lancet Publishing Group","title":"International Myeloma Working Group updated criteria for the diagnosis of multiple myeloma","type":"article","volume":"15"},"uris":["http://www.mendeley.com/documents/?uuid=654583c8-45f6-3f26-ba19-0e6818b2cabf"]},{"id":"ITEM-2","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-2","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id":"ITEM-3","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Oncology","id":"ITEM-3","issue":"suppl_4","issued":{"date-parts":[["2017","7","1"]]},"page":"iv52-iv61","title":"Multiple myeloma: ESMO Clinical Practice Guidelines for diagnosis, treatment and follow-up.","type":"article-journal","volume":"28"},"uris":["http://www.mendeley.com/documents/?uuid=e710540c-71bd-39f6-a6ad-aa95562089c3"]}],"mendeley":{"formattedCitation":"[1,15,16]","plainTextFormattedCitation":"[1,15,16]","previouslyFormattedCitation":"[1,15,16]"},"properties":{"noteIndex":0},"schema":"https://github.com/citation-style-language/schema/raw/master/csl-citation.json"}</w:instrText>
      </w:r>
      <w:r w:rsidR="00A96FB6" w:rsidRPr="00F242DD">
        <w:fldChar w:fldCharType="separate"/>
      </w:r>
      <w:r w:rsidR="00500F37" w:rsidRPr="00500F37">
        <w:rPr>
          <w:noProof/>
        </w:rPr>
        <w:t>[1,15,16]</w:t>
      </w:r>
      <w:r w:rsidR="00A96FB6" w:rsidRPr="00F242DD">
        <w:fldChar w:fldCharType="end"/>
      </w:r>
      <w:r w:rsidR="00BE4440" w:rsidRPr="00F242DD">
        <w:t>;</w:t>
      </w:r>
    </w:p>
    <w:p w14:paraId="16B0F886" w14:textId="208D63BE" w:rsidR="00BE4440" w:rsidRPr="00F242DD" w:rsidRDefault="00BE4440" w:rsidP="00092917">
      <w:pPr>
        <w:pStyle w:val="a6"/>
        <w:numPr>
          <w:ilvl w:val="2"/>
          <w:numId w:val="2"/>
        </w:numPr>
        <w:spacing w:before="0" w:after="0"/>
        <w:ind w:left="0" w:firstLine="0"/>
      </w:pPr>
      <w:r w:rsidRPr="00F242DD">
        <w:t xml:space="preserve">общий (клинический) анализ мочи </w:t>
      </w:r>
      <w:r w:rsidR="00A96FB6" w:rsidRPr="00F242DD">
        <w:fldChar w:fldCharType="begin" w:fldLock="1"/>
      </w:r>
      <w:r w:rsidR="00A14090">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rsidRPr="00F242DD">
        <w:fldChar w:fldCharType="separate"/>
      </w:r>
      <w:r w:rsidR="00500F37" w:rsidRPr="00500F37">
        <w:rPr>
          <w:noProof/>
        </w:rPr>
        <w:t>[1,15,16]</w:t>
      </w:r>
      <w:r w:rsidR="00A96FB6" w:rsidRPr="00F242DD">
        <w:fldChar w:fldCharType="end"/>
      </w:r>
      <w:r w:rsidR="004F7ADD" w:rsidRPr="00F242DD">
        <w:t>;</w:t>
      </w:r>
    </w:p>
    <w:p w14:paraId="1E3AF13E" w14:textId="5C0CFE42" w:rsidR="00807232" w:rsidRPr="00F242DD" w:rsidRDefault="00807232" w:rsidP="00092917">
      <w:pPr>
        <w:pStyle w:val="a6"/>
        <w:numPr>
          <w:ilvl w:val="2"/>
          <w:numId w:val="2"/>
        </w:numPr>
        <w:spacing w:before="0" w:after="0"/>
        <w:ind w:left="0" w:firstLine="0"/>
      </w:pPr>
      <w:r w:rsidRPr="00F242DD">
        <w:t xml:space="preserve">определение количества белка в суточной моче </w:t>
      </w:r>
      <w:r w:rsidR="00A96FB6" w:rsidRPr="00F242DD">
        <w:fldChar w:fldCharType="begin" w:fldLock="1"/>
      </w:r>
      <w:r w:rsidR="00A14090">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rsidRPr="00F242DD">
        <w:fldChar w:fldCharType="separate"/>
      </w:r>
      <w:r w:rsidR="00500F37" w:rsidRPr="00500F37">
        <w:rPr>
          <w:noProof/>
        </w:rPr>
        <w:t>[1,15,16]</w:t>
      </w:r>
      <w:r w:rsidR="00A96FB6" w:rsidRPr="00F242DD">
        <w:fldChar w:fldCharType="end"/>
      </w:r>
      <w:r w:rsidRPr="00F242DD">
        <w:t>;</w:t>
      </w:r>
    </w:p>
    <w:p w14:paraId="564592B7" w14:textId="546573DA" w:rsidR="00BE4440" w:rsidRPr="00F242DD" w:rsidRDefault="005A0507" w:rsidP="00092917">
      <w:pPr>
        <w:pStyle w:val="a6"/>
        <w:numPr>
          <w:ilvl w:val="2"/>
          <w:numId w:val="2"/>
        </w:numPr>
        <w:spacing w:before="0" w:after="0"/>
        <w:ind w:left="0" w:firstLine="0"/>
      </w:pPr>
      <w:r w:rsidRPr="00F242DD">
        <w:t xml:space="preserve">анализ крови </w:t>
      </w:r>
      <w:r w:rsidR="00BE4440" w:rsidRPr="00F242DD">
        <w:t>биохимический</w:t>
      </w:r>
      <w:r>
        <w:t xml:space="preserve"> общетерапевтический</w:t>
      </w:r>
      <w:r w:rsidR="00BE4440" w:rsidRPr="00F242DD">
        <w:t xml:space="preserve"> (общий белок, альбумин, ЛДГ, мочевина, креатинин, билирубин, </w:t>
      </w:r>
      <w:r w:rsidR="00B66CBC" w:rsidRPr="00F242DD">
        <w:t>аспартатаминотрансфераза</w:t>
      </w:r>
      <w:r w:rsidR="00BE4440" w:rsidRPr="00F242DD">
        <w:t xml:space="preserve">, </w:t>
      </w:r>
      <w:r w:rsidR="00903F68" w:rsidRPr="00F242DD">
        <w:t>аланинаминотрансфераза</w:t>
      </w:r>
      <w:r w:rsidR="00BE4440" w:rsidRPr="00F242DD">
        <w:t xml:space="preserve">, щелочная фосфатаза, кальций, калий) </w:t>
      </w:r>
      <w:r w:rsidR="00A96FB6" w:rsidRPr="00F242DD">
        <w:fldChar w:fldCharType="begin" w:fldLock="1"/>
      </w:r>
      <w:r w:rsidR="00A14090">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rsidRPr="00F242DD">
        <w:fldChar w:fldCharType="separate"/>
      </w:r>
      <w:r w:rsidR="00500F37" w:rsidRPr="00500F37">
        <w:rPr>
          <w:noProof/>
        </w:rPr>
        <w:t>[1,15,16]</w:t>
      </w:r>
      <w:r w:rsidR="00A96FB6" w:rsidRPr="00F242DD">
        <w:fldChar w:fldCharType="end"/>
      </w:r>
      <w:r w:rsidR="004F7ADD" w:rsidRPr="00F242DD">
        <w:t>;</w:t>
      </w:r>
    </w:p>
    <w:p w14:paraId="461A635A" w14:textId="3F358DA9" w:rsidR="00BE4440" w:rsidRPr="00F242DD" w:rsidRDefault="00BE4440" w:rsidP="00092917">
      <w:pPr>
        <w:pStyle w:val="a6"/>
        <w:numPr>
          <w:ilvl w:val="2"/>
          <w:numId w:val="2"/>
        </w:numPr>
        <w:spacing w:before="0" w:after="0"/>
        <w:ind w:left="0" w:firstLine="0"/>
      </w:pPr>
      <w:r w:rsidRPr="00F242DD">
        <w:t>коагулограмм</w:t>
      </w:r>
      <w:r w:rsidR="00903F68" w:rsidRPr="00F242DD">
        <w:t>у</w:t>
      </w:r>
      <w:r w:rsidRPr="00F242DD">
        <w:t xml:space="preserve"> (ориентировочное исследование системы гемостаза) с включением следующих параметров: </w:t>
      </w:r>
      <w:r w:rsidRPr="00F242DD">
        <w:rPr>
          <w:i/>
        </w:rPr>
        <w:t xml:space="preserve">протромбин, </w:t>
      </w:r>
      <w:r w:rsidR="00903F68" w:rsidRPr="00F242DD">
        <w:rPr>
          <w:i/>
        </w:rPr>
        <w:t>международное нормализованное отношение</w:t>
      </w:r>
      <w:r w:rsidRPr="00F242DD">
        <w:rPr>
          <w:i/>
        </w:rPr>
        <w:t xml:space="preserve">, </w:t>
      </w:r>
      <w:r w:rsidR="00903F68" w:rsidRPr="00F242DD">
        <w:rPr>
          <w:i/>
        </w:rPr>
        <w:lastRenderedPageBreak/>
        <w:t>активированное частичное тромбопластиновое время</w:t>
      </w:r>
      <w:r w:rsidRPr="00F242DD">
        <w:rPr>
          <w:i/>
        </w:rPr>
        <w:t xml:space="preserve">, фибриноген, тромбиновое время, антитромбин </w:t>
      </w:r>
      <w:r w:rsidRPr="00F242DD">
        <w:rPr>
          <w:i/>
          <w:lang w:val="en-US"/>
        </w:rPr>
        <w:t>III</w:t>
      </w:r>
      <w:r w:rsidRPr="00F242DD">
        <w:rPr>
          <w:i/>
        </w:rPr>
        <w:t xml:space="preserve">, плазминоген </w:t>
      </w:r>
      <w:r w:rsidR="00A96FB6" w:rsidRPr="00F242DD">
        <w:fldChar w:fldCharType="begin" w:fldLock="1"/>
      </w:r>
      <w:r w:rsidR="00A14090">
        <w:instrText>ADDIN CSL_CITATION {"citationItems":[{"id":"ITEM-1","itemData":{"DOI":"10.1055/s-0031-1297372","ISSN":"1098-9064","PMID":"22198858","abstract":"A variety of disease- and treatment-related factors affect the coagulation system and the risk of bleeding and thrombotic complications in patients with multiple myeloma (MM) and related plasma cell disorders (PCD). As commonly observed in other cancer settings, the malignant clone induces a cytokine environment responsible for a hypercoagulable state. The increase of blood viscosity and impairment of platelet and coagulation function due to circulating monoclonal proteins are considered key mechanisms in the hemostatic abnormalities frequently detected in patients with PCD. However, clinically significant bleeding is relatively rare and poorly correlated with these abnormalities. Management is often challenging because of the multifactorial pathogenesis and underestimation or misdiagnosis of acquired bleeding disorders, particularly acquired von Willebrand syndrome. In recent years, growing interest in thromboembolic risk has emerged after the introduction of novel and more effective antimyeloma agents (thalidomide and lenalidomide), which was associated with increased risk of venous thromboembolism, particularly when associated with dexamethasone and multiagent chemotherapy in newly diagnosed patients. The clinical impact of bleeding and thrombotic complications in patients with PCD, with emphasis on MM, will be discussed in this review, reporting the current knowledge about pathophysiologic mechanisms and implications for management.","author":[{"dropping-particle":"","family":"Coppola","given":"Antonio","non-dropping-particle":"","parse-names":false,"suffix":""},{"dropping-particle":"","family":"Tufano","given":"Antonella","non-dropping-particle":"","parse-names":false,"suffix":""},{"dropping-particle":"","family":"Capua","given":"Mirko","non-dropping-particle":"Di","parse-names":false,"suffix":""},{"dropping-particle":"","family":"Franchini","given":"Massimo","non-dropping-particle":"","parse-names":false,"suffix":""}],"container-title":"Seminars in thrombosis and hemostasis","id":"ITEM-1","issue":"8","issued":{"date-parts":[["2011","11"]]},"page":"929-45","title":"Bleeding and thrombosis in multiple myeloma and related plasma cell disorders.","type":"article-journal","volume":"37"},"uris":["http://www.mendeley.com/documents/?uuid=7eaf4086-3784-3f75-b1be-403b2976e310"]},{"id":"ITEM-2","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-2","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id":"ITEM-3","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Oncology","id":"ITEM-3","issue":"suppl_4","issued":{"date-parts":[["2017","7","1"]]},"page":"iv52-iv61","title":"Multiple myeloma: ESMO Clinical Practice Guidelines for diagnosis, treatment and follow-up.","type":"article-journal","volume":"28"},"uris":["http://www.mendeley.com/documents/?uuid=e710540c-71bd-39f6-a6ad-aa95562089c3"]},{"id":"ITEM-4","itemData":{"DOI":"10.1016/S1470-2045(14)70442-5","ISSN":"14745488","abstract":"This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Oncology","id":"ITEM-4","issue":"12","issued":{"date-parts":[["2014","11","1"]]},"page":"e538-e548","publisher":"Lancet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17]","plainTextFormattedCitation":"[1,15–17]","previouslyFormattedCitation":"[1,15–17]"},"properties":{"noteIndex":0},"schema":"https://github.com/citation-style-language/schema/raw/master/csl-citation.json"}</w:instrText>
      </w:r>
      <w:r w:rsidR="00A96FB6" w:rsidRPr="00F242DD">
        <w:fldChar w:fldCharType="separate"/>
      </w:r>
      <w:r w:rsidR="00500F37" w:rsidRPr="00500F37">
        <w:rPr>
          <w:noProof/>
        </w:rPr>
        <w:t>[1,15–17]</w:t>
      </w:r>
      <w:r w:rsidR="00A96FB6" w:rsidRPr="00F242DD">
        <w:fldChar w:fldCharType="end"/>
      </w:r>
      <w:r w:rsidR="00807232" w:rsidRPr="00F242DD">
        <w:t>.</w:t>
      </w:r>
    </w:p>
    <w:p w14:paraId="7D624A9C" w14:textId="77777777" w:rsidR="00BE4440" w:rsidRPr="00172C08" w:rsidRDefault="00BE4440" w:rsidP="00092917">
      <w:pPr>
        <w:spacing w:before="0" w:after="0"/>
        <w:contextualSpacing/>
        <w:rPr>
          <w:b/>
          <w:sz w:val="22"/>
        </w:rPr>
      </w:pPr>
      <w:r w:rsidRPr="00172C08">
        <w:rPr>
          <w:b/>
          <w:sz w:val="22"/>
        </w:rPr>
        <w:t xml:space="preserve">Уровень убедительности рекомендаций </w:t>
      </w:r>
      <w:r w:rsidR="00536161" w:rsidRPr="00172C08">
        <w:rPr>
          <w:b/>
          <w:sz w:val="22"/>
        </w:rPr>
        <w:t xml:space="preserve">− </w:t>
      </w:r>
      <w:r w:rsidRPr="00172C08">
        <w:rPr>
          <w:b/>
          <w:sz w:val="22"/>
        </w:rPr>
        <w:t xml:space="preserve">С (уровень достоверности доказательств </w:t>
      </w:r>
      <w:r w:rsidR="00536161" w:rsidRPr="00172C08">
        <w:rPr>
          <w:b/>
          <w:sz w:val="22"/>
        </w:rPr>
        <w:t xml:space="preserve">− </w:t>
      </w:r>
      <w:r w:rsidRPr="00172C08">
        <w:rPr>
          <w:b/>
          <w:sz w:val="22"/>
        </w:rPr>
        <w:t>5)</w:t>
      </w:r>
    </w:p>
    <w:p w14:paraId="3ED5377C" w14:textId="0E15ACC2" w:rsidR="00A943DF" w:rsidRPr="00F242DD" w:rsidRDefault="00A943DF" w:rsidP="00092917">
      <w:pPr>
        <w:pStyle w:val="a6"/>
        <w:numPr>
          <w:ilvl w:val="1"/>
          <w:numId w:val="2"/>
        </w:numPr>
        <w:spacing w:before="0" w:after="0"/>
        <w:ind w:left="0" w:firstLine="0"/>
      </w:pPr>
      <w:r w:rsidRPr="00F242DD">
        <w:t xml:space="preserve">Всем пациентам с подозрением на ММ или выявленной ММ при первичном или повторном приеме, при контрольных обследованиях и при подозрении на рецидив заболевания </w:t>
      </w:r>
      <w:r w:rsidRPr="00F242DD">
        <w:rPr>
          <w:b/>
        </w:rPr>
        <w:t>рекомендуется</w:t>
      </w:r>
      <w:r w:rsidRPr="00F242DD">
        <w:t xml:space="preserve"> определить</w:t>
      </w:r>
      <w:r w:rsidR="00C91E36" w:rsidRPr="00F242DD">
        <w:t xml:space="preserve"> клиренс креатинина и</w:t>
      </w:r>
      <w:r w:rsidRPr="00F242DD">
        <w:t xml:space="preserve"> скорость клубочковой фильтрации расчетным методом по формулам СКD-EPI или MDRD для уточнения состояния </w:t>
      </w:r>
      <w:r w:rsidR="004124AD" w:rsidRPr="00F242DD">
        <w:t>функции почек</w:t>
      </w:r>
      <w:r w:rsidRPr="00F242DD">
        <w:t xml:space="preserve"> и</w:t>
      </w:r>
      <w:r w:rsidR="004124AD" w:rsidRPr="00F242DD">
        <w:t xml:space="preserve"> определения необходимости модификации терапии или доз препаратов при наличии почечной недостаточности</w:t>
      </w:r>
      <w:r w:rsidR="00F80ECB" w:rsidRPr="00F242DD">
        <w:t xml:space="preserve"> и/или определения показаний к назначению гемодиализа</w:t>
      </w:r>
      <w:r w:rsidRPr="00F242DD">
        <w:t xml:space="preserve"> </w:t>
      </w:r>
      <w:r w:rsidR="00A96FB6" w:rsidRPr="00F242DD">
        <w:fldChar w:fldCharType="begin" w:fldLock="1"/>
      </w:r>
      <w:r w:rsidR="00A14090">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rsidRPr="00F242DD">
        <w:fldChar w:fldCharType="separate"/>
      </w:r>
      <w:r w:rsidR="00500F37" w:rsidRPr="00500F37">
        <w:rPr>
          <w:noProof/>
        </w:rPr>
        <w:t>[1,15,16]</w:t>
      </w:r>
      <w:r w:rsidR="00A96FB6" w:rsidRPr="00F242DD">
        <w:fldChar w:fldCharType="end"/>
      </w:r>
      <w:r w:rsidRPr="00F242DD">
        <w:t>.</w:t>
      </w:r>
    </w:p>
    <w:p w14:paraId="14BE70C8" w14:textId="77777777" w:rsidR="00786F4D" w:rsidRPr="00172C08" w:rsidRDefault="00786F4D" w:rsidP="00092917">
      <w:pPr>
        <w:pStyle w:val="a6"/>
        <w:spacing w:before="0" w:after="0"/>
        <w:ind w:left="0"/>
        <w:rPr>
          <w:b/>
          <w:sz w:val="22"/>
        </w:rPr>
      </w:pPr>
      <w:r w:rsidRPr="00172C08">
        <w:rPr>
          <w:b/>
          <w:sz w:val="22"/>
        </w:rPr>
        <w:t xml:space="preserve">Уровень убедительности рекомендаций </w:t>
      </w:r>
      <w:r w:rsidR="00536161" w:rsidRPr="00172C08">
        <w:rPr>
          <w:b/>
          <w:sz w:val="22"/>
        </w:rPr>
        <w:t xml:space="preserve">− </w:t>
      </w:r>
      <w:r w:rsidRPr="00172C08">
        <w:rPr>
          <w:b/>
          <w:sz w:val="22"/>
        </w:rPr>
        <w:t xml:space="preserve">С (уровень достоверности доказательств </w:t>
      </w:r>
      <w:r w:rsidR="00536161" w:rsidRPr="00172C08">
        <w:rPr>
          <w:b/>
          <w:sz w:val="22"/>
        </w:rPr>
        <w:t xml:space="preserve">− </w:t>
      </w:r>
      <w:r w:rsidRPr="00172C08">
        <w:rPr>
          <w:b/>
          <w:sz w:val="22"/>
        </w:rPr>
        <w:t>5)</w:t>
      </w:r>
    </w:p>
    <w:p w14:paraId="68F96F3D" w14:textId="77777777" w:rsidR="00F80ECB" w:rsidRPr="00F242DD" w:rsidRDefault="00F80ECB" w:rsidP="00092917">
      <w:pPr>
        <w:pStyle w:val="a6"/>
        <w:spacing w:before="0" w:after="0"/>
        <w:ind w:left="0"/>
      </w:pPr>
      <w:r w:rsidRPr="00F242DD">
        <w:rPr>
          <w:b/>
        </w:rPr>
        <w:t>Комментари</w:t>
      </w:r>
      <w:r w:rsidR="00536161" w:rsidRPr="00F242DD">
        <w:rPr>
          <w:b/>
        </w:rPr>
        <w:t>й</w:t>
      </w:r>
      <w:r w:rsidRPr="00F242DD">
        <w:rPr>
          <w:b/>
        </w:rPr>
        <w:t>:</w:t>
      </w:r>
      <w:r w:rsidR="00A25036" w:rsidRPr="00F242DD">
        <w:rPr>
          <w:b/>
        </w:rPr>
        <w:t xml:space="preserve"> </w:t>
      </w:r>
      <w:r w:rsidR="00A25036" w:rsidRPr="00F242DD">
        <w:rPr>
          <w:i/>
        </w:rPr>
        <w:t xml:space="preserve">рекомендации </w:t>
      </w:r>
      <w:r w:rsidRPr="00F242DD">
        <w:rPr>
          <w:i/>
        </w:rPr>
        <w:t>по коррекции дозы леналидомида</w:t>
      </w:r>
      <w:r w:rsidR="006E7B15" w:rsidRPr="00F242DD">
        <w:rPr>
          <w:i/>
        </w:rPr>
        <w:t>**</w:t>
      </w:r>
      <w:r w:rsidRPr="00F242DD">
        <w:rPr>
          <w:i/>
        </w:rPr>
        <w:t xml:space="preserve"> в зависимости от функции почек – см. приложение </w:t>
      </w:r>
      <w:r w:rsidR="00C812D6" w:rsidRPr="00F242DD">
        <w:rPr>
          <w:i/>
        </w:rPr>
        <w:t>А3.2</w:t>
      </w:r>
      <w:r w:rsidRPr="00F242DD">
        <w:rPr>
          <w:i/>
        </w:rPr>
        <w:t>.</w:t>
      </w:r>
    </w:p>
    <w:p w14:paraId="442D550C" w14:textId="77777777" w:rsidR="00786F4D" w:rsidRPr="00F242DD" w:rsidRDefault="00786F4D" w:rsidP="00092917">
      <w:pPr>
        <w:pStyle w:val="a6"/>
        <w:numPr>
          <w:ilvl w:val="1"/>
          <w:numId w:val="2"/>
        </w:numPr>
        <w:spacing w:before="0" w:after="0"/>
        <w:ind w:left="0" w:firstLine="0"/>
      </w:pPr>
      <w:r w:rsidRPr="00F242DD">
        <w:t xml:space="preserve">Всем пациентам с подозрением на ММ или выявленной ММ при первичном или повторном приеме, при контрольных обследованиях и при подозрении на рецидив заболевания </w:t>
      </w:r>
      <w:r w:rsidRPr="00F242DD">
        <w:rPr>
          <w:b/>
        </w:rPr>
        <w:t>рекомендуется</w:t>
      </w:r>
      <w:r w:rsidRPr="00F242DD">
        <w:t xml:space="preserve"> для уточнения активности основного заболевания или для оценки ответа на терапию выполнить следующие обследования:</w:t>
      </w:r>
    </w:p>
    <w:p w14:paraId="2509A7FF" w14:textId="7F1C3372" w:rsidR="00031CDE" w:rsidRDefault="00786F4D" w:rsidP="0089441A">
      <w:pPr>
        <w:pStyle w:val="a6"/>
        <w:numPr>
          <w:ilvl w:val="2"/>
          <w:numId w:val="2"/>
        </w:numPr>
        <w:tabs>
          <w:tab w:val="left" w:pos="567"/>
          <w:tab w:val="left" w:pos="851"/>
          <w:tab w:val="left" w:pos="993"/>
        </w:tabs>
        <w:spacing w:before="0" w:after="0"/>
        <w:ind w:left="0" w:firstLine="284"/>
      </w:pPr>
      <w:r w:rsidRPr="00F242DD">
        <w:t>определить соотношение белковых фракций в крови</w:t>
      </w:r>
      <w:r w:rsidR="00E56A54" w:rsidRPr="00F242DD">
        <w:t xml:space="preserve"> (кроме пациентов с несекретирующей, вялотекущей миеломой и миеломой легких цепей)</w:t>
      </w:r>
      <w:r w:rsidRPr="00F242DD">
        <w:t xml:space="preserve"> и моче методом электрофореза с количественным определением моноклонального и поликлональных иммуноглобулинов </w:t>
      </w:r>
      <w:r w:rsidR="00031CDE" w:rsidRPr="00F242DD">
        <w:fldChar w:fldCharType="begin" w:fldLock="1"/>
      </w:r>
      <w:r w:rsidR="00A14090">
        <w:instrText>ADDIN CSL_CITATION {"citationItems":[{"id":"ITEM-1","itemData":{"DOI":"10.7860/JCDR/2012/4213.2532","ISSN":"2249782X","abstract":"BACKGROUND Multiple Myeloma (M.M) is a neoplasm of B cell lineage characterized by excessive proliferation of abnormal plasma cells, secreting abnormal immunoglobulin causing monoclonal gammopathy which can be detected by the presence of M protein in serum and urine electrophoresis. AIM To detect and quantify monoclonal gammopathy in suspected cases of multiple myeloma and to differentiate them from benign conditions, because of the vast difference between their prognosis and management. METHOD Serum samples from 150 suspected cases of M.M were subjected to serum protein electrophoresis on cellulose acetate strip. M band detected visually and estimation of M protein was done by densitometer. Bone Marrow biopsy and clinical profile were correlated in M band positive cases. RESULT Out of 150 cases 10.66% cases had monoclonal gammopathy. Ten percent cases were diagnosed to be multiple myeloma and one case was found to be Monoclonal gammopathy of undetermined significance. CONCLUSION SPEP is an easy to perform laboratory test which can be used for detection and quantification of monoclonal gammopathy and should be recommended as preliminary test for suspected cases of multiple myeloma. MGUS must be differentiated from M.M, as management and prognosis of these two cases is totally different.","author":[{"dropping-particle":"","family":"Tripathy","given":"Sunita","non-dropping-particle":"","parse-names":false,"suffix":""}],"container-title":"Journal of Clinical and Diagnostic Research","id":"ITEM-1","issue":"9","issued":{"date-parts":[["2012","11","15"]]},"page":"1458-1461","title":"The role of serum protein electrophoresis in the detection of multiple myeloma: An experience of a corporate hospital","type":"article-journal","volume":"6"},"uris":["http://www.mendeley.com/documents/?uuid=a2ea1b2f-2116-3cd0-819c-31f187d28fa1"]},{"id":"ITEM-2","itemData":{"DOI":"10.1007/s12288-015-0605-3","ISSN":"09740449","abstract":"INTRODUCTION: High resolution electrophoresis (HRE) and immunofixation (IFX) of serum and urine are integral to the diagnostic work-up of multiple myeloma. Unusual electrophoresis patterns are common and may be misinterpreted. Though primarily the responsibility of the hematopathologist, clinicians who are responsible for managing myelomas may benefit from knowledge of these. In this review article we intend to discuss the patterns and importance of electrophoresis in present day scenario.\\nMETHODS: Patterns of HRE and IFX seen in our laboratory over the past 15 years were studied.\\nRESULTS: Monoclonal proteins are seen on HRE as sharply defined bands, sometimes two, lying from γ- to α-globulin regions on a background of normal, increased or decreased polyclonal γ-globulins, showing HRE to be a rapid and dependable method of detecting M-protein in serum or urine. Immunofixation complements HRE and due to its greater sensitivity, is able to pick up small or light chain bands, not apparent on electrophoresis, including biclonal disease even when electrophoresis shows only one M-band. Special features liable to misinterpretation are discussed. Familiarity with the interpretation of the varied patterns seen in health and disease is essential for providing dependable laboratory support in the management of multiple myeloma.","author":[{"dropping-particle":"","family":"Misra","given":"Aroonima","non-dropping-particle":"","parse-names":false,"suffix":""},{"dropping-particle":"","family":"Mishra","given":"Jyoti","non-dropping-particle":"","parse-names":false,"suffix":""},{"dropping-particle":"","family":"Chandramohan","given":"Jagan","non-dropping-particle":"","parse-names":false,"suffix":""},{"dropping-particle":"","family":"Sharma","given":"Atul","non-dropping-particle":"","parse-names":false,"suffix":""},{"dropping-particle":"","family":"Raina","given":"Vinod","non-dropping-particle":"","parse-names":false,"suffix":""},{"dropping-particle":"","family":"Kumar","given":"Rajive","non-dropping-particle":"","parse-names":false,"suffix":""},{"dropping-particle":"","family":"Soni","given":"Sushant","non-dropping-particle":"","parse-names":false,"suffix":""},{"dropping-particle":"","family":"Chopra","given":"Anita","non-dropping-particle":"","parse-names":false,"suffix":""}],"container-title":"Indian Journal of Hematology and Blood Transfusion","id":"ITEM-2","issue":"1","issued":{"date-parts":[["2016","3","1"]]},"page":"10-17","publisher":"Springer India","title":"Old but Still Relevant: High Resolution Electrophoresis and Immunofixation in Multiple Myeloma","type":"article","volume":"32"},"uris":["http://www.mendeley.com/documents/?uuid=6ef53f7f-a8ea-313b-8592-b30a07009fbf"]},{"id":"ITEM-3","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-3","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id":"ITEM-4","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Oncology","id":"ITEM-4","issue":"suppl_4","issued":{"date-parts":[["2017","7","1"]]},"page":"iv52-iv61","title":"Multiple myeloma: ESMO Clinical Practice Guidelines for diagnosis, treatment and follow-up.","type":"article-journal","volume":"28"},"uris":["http://www.mendeley.com/documents/?uuid=e710540c-71bd-39f6-a6ad-aa95562089c3"]},{"id":"ITEM-5","itemData":{"DOI":"10.1016/S1470-2045(14)70442-5","ISSN":"14745488","abstract":"This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Oncology","id":"ITEM-5","issue":"12","issued":{"date-parts":[["2014","11","1"]]},"page":"e538-e548","publisher":"Lancet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[1,15,16,18,19]","plainTextFormattedCitation":"[1,15,16,18,19]","previouslyFormattedCitation":"[1,15,16,18,19]"},"properties":{"noteIndex":0},"schema":"https://github.com/citation-style-language/schema/raw/master/csl-citation.json"}</w:instrText>
      </w:r>
      <w:r w:rsidR="00031CDE" w:rsidRPr="00F242DD">
        <w:fldChar w:fldCharType="separate"/>
      </w:r>
      <w:r w:rsidR="00500F37" w:rsidRPr="00500F37">
        <w:rPr>
          <w:noProof/>
        </w:rPr>
        <w:t>[1,15,16,18,19]</w:t>
      </w:r>
      <w:r w:rsidR="00031CDE" w:rsidRPr="00F242DD">
        <w:fldChar w:fldCharType="end"/>
      </w:r>
      <w:r w:rsidR="00031CDE" w:rsidRPr="00F242DD">
        <w:t>;</w:t>
      </w:r>
    </w:p>
    <w:p w14:paraId="1A2477B1" w14:textId="78AEB4D1" w:rsidR="00786F4D" w:rsidRPr="00F242DD" w:rsidRDefault="00031CDE" w:rsidP="0089441A">
      <w:pPr>
        <w:pStyle w:val="a6"/>
        <w:numPr>
          <w:ilvl w:val="2"/>
          <w:numId w:val="2"/>
        </w:numPr>
        <w:tabs>
          <w:tab w:val="left" w:pos="567"/>
          <w:tab w:val="left" w:pos="851"/>
          <w:tab w:val="left" w:pos="993"/>
        </w:tabs>
        <w:spacing w:before="0" w:after="0"/>
        <w:ind w:left="0" w:firstLine="284"/>
      </w:pPr>
      <w:r w:rsidRPr="00C15E57">
        <w:t>определить β2-микроглобулин при диагностике ММ для стадирования</w:t>
      </w:r>
      <w:r w:rsidR="00786F4D" w:rsidRPr="00C15E57">
        <w:t xml:space="preserve"> </w:t>
      </w:r>
      <w:r w:rsidR="001F3CDD" w:rsidRPr="00C15E57">
        <w:t>согласно современной</w:t>
      </w:r>
      <w:r w:rsidRPr="00C15E57">
        <w:t xml:space="preserve"> классификаци</w:t>
      </w:r>
      <w:r w:rsidR="001F3CDD" w:rsidRPr="00C15E57">
        <w:t>и</w:t>
      </w:r>
      <w:r>
        <w:t xml:space="preserve"> </w:t>
      </w:r>
      <w:r w:rsidR="00A96FB6" w:rsidRPr="00F242DD">
        <w:fldChar w:fldCharType="begin" w:fldLock="1"/>
      </w:r>
      <w:r w:rsidR="00A14090">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myeloma","type":"article","volume":"15"},"uris":["http://www.mendeley.com/documents/?uuid=654583c8-45f6-3f26-ba19-0e6818b2cabf"]},{"id":"ITEM-4","itemData":{"DOI":"10.7860/JCDR/2012/4213.2532","ISSN":"2249782X","abstract":"BACKGROUND Multiple Myeloma (M.M) is a neoplasm of B cell lineage characterized by excessive proliferation of abnormal plasma cells, secreting abnormal immunoglobulin causing monoclonal gammopathy which can be detected by the presence of M protein in serum and urine electrophoresis. AIM To detect and quantify monoclonal gammopathy in suspected cases of multiple myeloma and to differentiate them from benign conditions, because of the vast difference between their prognosis and management. METHOD Serum samples from 150 suspected cases of M.M were subjected to serum protein electrophoresis on cellulose acetate strip. M band detected visually and estimation of M protein was done by densitometer. Bone Marrow biopsy and clinical profile were correlated in M band positive cases. RESULT Out of 150 cases 10.66% cases had monoclonal gammopathy. Ten percent cases were diagnosed to be multiple myeloma and one case was found to be Monoclonal gammopathy of undetermined significance. CONCLUSION SPEP is an easy to perform laboratory test which can be used for detection and quantification of monoclonal gammopathy and should be recommended as preliminary test for suspected cases of multiple myeloma. MGUS must be differentiated from M.M, as management and prognosis of these two cases is totally different.","author":[{"dropping-particle":"","family":"Tripathy","given":"Sunita","non-dropping-particle":"","parse-names":false,"suffix":""}],"container-title":"Journal of Clinical and Diagnostic Research","id":"ITEM-4","issue":"9","issued":{"date-parts":[["2012","11","15"]]},"page":"1458-1461","title":"The role of serum protein electrophoresis in the detection of multiple myeloma: An experience of a corporate hospital","type":"article-journal","volume":"6"},"uris":["http://www.mendeley.com/documents/?uuid=a2ea1b2f-2116-3cd0-819c-31f187d28fa1"]},{"id":"ITEM-5","itemData":{"DOI":"10.1007/s12288-015-0605-3","ISSN":"09740449","abstract":"INTRODUCTION: High resolution electrophoresis (HRE) and immunofixation (IFX) of serum and urine are integral to the diagnostic work-up of multiple myeloma. Unusual electrophoresis patterns are common and may be misinterpreted. Though primarily the responsibility of the hematopathologist, clinicians who are responsible for managing myelomas may benefit from knowledge of these. In this review article we intend to discuss the patterns and importance of electrophoresis in present day scenario.\\nMETHODS: Patterns of HRE and IFX seen in our laboratory over the past 15 years were studied.\\nRESULTS: Monoclonal proteins are seen on HRE as sharply defined bands, sometimes two, lying from γ- to α-globulin regions on a background of normal, increased or decreased polyclonal γ-globulins, showing HRE to be a rapid and dependable method of detecting M-protein in serum or urine. Immunofixation complements HRE and due to its greater sensitivity, is able to pick up small or light chain bands, not apparent on electrophoresis, including biclonal disease even when electrophoresis shows only one M-band. Special features liable to misinterpretation are discussed. Familiarity with the interpretation of the varied patterns seen in health and disease is essential for providing dependable laboratory support in the management of multiple myeloma.","author":[{"dropping-particle":"","family":"Misra","given":"Aroonima","non-dropping-particle":"","parse-names":false,"suffix":""},{"dropping-particle":"","family":"Mishra","given":"Jyoti","non-dropping-particle":"","parse-names":false,"suffix":""},{"dropping-particle":"","family":"Chandramohan","given":"Jagan","non-dropping-particle":"","parse-names":false,"suffix":""},{"dropping-particle":"","family":"Sharma","given":"Atul","non-dropping-particle":"","parse-names":false,"suffix":""},{"dropping-particle":"","family":"Raina","given":"Vinod","non-dropping-particle":"","parse-names":false,"suffix":""},{"dropping-particle":"","family":"Kumar","given":"Rajive","non-dropping-particle":"","parse-names":false,"suffix":""},{"dropping-particle":"","family":"Soni","given":"Sushant","non-dropping-particle":"","parse-names":false,"suffix":""},{"dropping-particle":"","family":"Chopra","given":"Anita","non-dropping-particle":"","parse-names":false,"suffix":""}],"container-title":"Indian Journal of Hematology and Blood Transfusion","id":"ITEM-5","issue":"1","issued":{"date-parts":[["2016","3","1"]]},"page":"10-17","publisher":"Springer India","title":"Old but Still Relevant: High Resolution Electrophoresis and Immunofixation in Multiple Myeloma","type":"article","volume":"32"},"uris":["http://www.mendeley.com/documents/?uuid=6ef53f7f-a8ea-313b-8592-b30a07009fbf"]}],"mendeley":{"formattedCitation":"[1,15,16,18,19]","plainTextFormattedCitation":"[1,15,16,18,19]","previouslyFormattedCitation":"[1,15,16,18,19]"},"properties":{"noteIndex":0},"schema":"https://github.com/citation-style-language/schema/raw/master/csl-citation.json"}</w:instrText>
      </w:r>
      <w:r w:rsidR="00A96FB6" w:rsidRPr="00F242DD">
        <w:fldChar w:fldCharType="separate"/>
      </w:r>
      <w:r w:rsidR="00500F37" w:rsidRPr="00500F37">
        <w:rPr>
          <w:noProof/>
        </w:rPr>
        <w:t>[1,15,16,18,19]</w:t>
      </w:r>
      <w:r w:rsidR="00A96FB6" w:rsidRPr="00F242DD">
        <w:fldChar w:fldCharType="end"/>
      </w:r>
      <w:r w:rsidR="00340A8E" w:rsidRPr="00F242DD">
        <w:t>;</w:t>
      </w:r>
    </w:p>
    <w:p w14:paraId="04107BF9" w14:textId="20BAC680" w:rsidR="00340A8E" w:rsidRPr="00F242DD" w:rsidRDefault="00340A8E" w:rsidP="0089441A">
      <w:pPr>
        <w:pStyle w:val="a6"/>
        <w:numPr>
          <w:ilvl w:val="2"/>
          <w:numId w:val="2"/>
        </w:numPr>
        <w:tabs>
          <w:tab w:val="left" w:pos="567"/>
          <w:tab w:val="left" w:pos="851"/>
          <w:tab w:val="left" w:pos="993"/>
        </w:tabs>
        <w:spacing w:before="0" w:after="0"/>
        <w:ind w:left="0" w:firstLine="284"/>
      </w:pPr>
      <w:r w:rsidRPr="00F242DD">
        <w:t>исследование моноклональности иммуноглобулинов в крови</w:t>
      </w:r>
      <w:r w:rsidR="00E56A54" w:rsidRPr="00F242DD">
        <w:t xml:space="preserve"> и суточной моче </w:t>
      </w:r>
      <w:r w:rsidRPr="00F242DD">
        <w:t xml:space="preserve">методом иммунофиксации с количественным определением уровня М-градиента </w:t>
      </w:r>
      <w:r w:rsidR="00A96FB6" w:rsidRPr="00F242DD">
        <w:fldChar w:fldCharType="begin" w:fldLock="1"/>
      </w:r>
      <w:r w:rsidR="00A14090">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myeloma","type":"article","volume":"15"},"uris":["http://www.mendeley.com/documents/?uuid=654583c8-45f6-3f26-ba19-0e6818b2cabf"]},{"id":"ITEM-4","itemData":{"DOI":"10.1007/s12288-015-0605-3","ISSN":"09740449","abstract":"INTRODUCTION: High resolution electrophoresis (HRE) and immunofixation (IFX) of serum and urine are integral to the diagnostic work-up of multiple myeloma. Unusual electrophoresis patterns are common and may be misinterpreted. Though primarily the responsibility of the hematopathologist, clinicians who are responsible for managing myelomas may benefit from knowledge of these. In this review article we intend to discuss the patterns and importance of electrophoresis in present day scenario.\\nMETHODS: Patterns of HRE and IFX seen in our laboratory over the past 15 years were studied.\\nRESULTS: Monoclonal proteins are seen on HRE as sharply defined bands, sometimes two, lying from γ- to α-globulin regions on a background of normal, increased or decreased polyclonal γ-globulins, showing HRE to be a rapid and dependable method of detecting M-protein in serum or urine. Immunofixation complements HRE and due to its greater sensitivity, is able to pick up small or light chain bands, not apparent on electrophoresis, including biclonal disease even when electrophoresis shows only one M-band. Special features liable to misinterpretation are discussed. Familiarity with the interpretation of the varied patterns seen in health and disease is essential for providing dependable laboratory support in the management of multiple myeloma.","author":[{"dropping-particle":"","family":"Misra","given":"Aroonima","non-dropping-particle":"","parse-names":false,"suffix":""},{"dropping-particle":"","family":"Mishra","given":"Jyoti","non-dropping-particle":"","parse-names":false,"suffix":""},{"dropping-particle":"","family":"Chandramohan","given":"Jagan","non-dropping-particle":"","parse-names":false,"suffix":""},{"dropping-particle":"","family":"Sharma","given":"Atul","non-dropping-particle":"","parse-names":false,"suffix":""},{"dropping-particle":"","family":"Raina","given":"Vinod","non-dropping-particle":"","parse-names":false,"suffix":""},{"dropping-particle":"","family":"Kumar","given":"Rajive","non-dropping-particle":"","parse-names":false,"suffix":""},{"dropping-particle":"","family":"Soni","given":"Sushant","non-dropping-particle":"","parse-names":false,"suffix":""},{"dropping-particle":"","family":"Chopra","given":"Anita","non-dropping-particle":"","parse-names":false,"suffix":""}],"container-title":"Indian Journal of Hematology and Blood Transfusion","id":"ITEM-4","issue":"1","issued":{"date-parts":[["2016","3","1"]]},"page":"10-17","publisher":"Springer India","title":"Old but Still Relevant: High Resolution Electrophoresis and Immunofixation in Multiple Myeloma","type":"article","volume":"32"},"uris":["http://www.mendeley.com/documents/?uuid=6ef53f7f-a8ea-313b-8592-b30a07009fbf"]}],"mendeley":{"formattedCitation":"[1,15,16,19]","plainTextFormattedCitation":"[1,15,16,19]","previouslyFormattedCitation":"[1,15,16,19]"},"properties":{"noteIndex":0},"schema":"https://github.com/citation-style-language/schema/raw/master/csl-citation.json"}</w:instrText>
      </w:r>
      <w:r w:rsidR="00A96FB6" w:rsidRPr="00F242DD">
        <w:fldChar w:fldCharType="separate"/>
      </w:r>
      <w:r w:rsidR="00500F37" w:rsidRPr="00500F37">
        <w:rPr>
          <w:noProof/>
        </w:rPr>
        <w:t>[1,15,16,19]</w:t>
      </w:r>
      <w:r w:rsidR="00A96FB6" w:rsidRPr="00F242DD">
        <w:fldChar w:fldCharType="end"/>
      </w:r>
      <w:r w:rsidR="00A25036" w:rsidRPr="00F242DD">
        <w:t>.</w:t>
      </w:r>
    </w:p>
    <w:p w14:paraId="0770BB8E" w14:textId="77777777" w:rsidR="00A943DF" w:rsidRPr="00172C08" w:rsidRDefault="00A943DF" w:rsidP="00092917">
      <w:pPr>
        <w:spacing w:before="0" w:after="0"/>
        <w:contextualSpacing/>
        <w:rPr>
          <w:b/>
          <w:sz w:val="22"/>
        </w:rPr>
      </w:pPr>
      <w:r w:rsidRPr="00172C08">
        <w:rPr>
          <w:b/>
          <w:sz w:val="22"/>
        </w:rPr>
        <w:t xml:space="preserve">Уровень убедительности рекомендаций </w:t>
      </w:r>
      <w:r w:rsidR="00586EA7" w:rsidRPr="00172C08">
        <w:rPr>
          <w:b/>
          <w:sz w:val="22"/>
        </w:rPr>
        <w:t xml:space="preserve">− </w:t>
      </w:r>
      <w:r w:rsidR="00582778" w:rsidRPr="00172C08">
        <w:rPr>
          <w:b/>
          <w:sz w:val="22"/>
        </w:rPr>
        <w:t>С</w:t>
      </w:r>
      <w:r w:rsidRPr="00172C08">
        <w:rPr>
          <w:b/>
          <w:sz w:val="22"/>
        </w:rPr>
        <w:t xml:space="preserve"> (уровень достоверности доказательств </w:t>
      </w:r>
      <w:r w:rsidR="00586EA7" w:rsidRPr="00172C08">
        <w:rPr>
          <w:b/>
          <w:sz w:val="22"/>
        </w:rPr>
        <w:t xml:space="preserve">− </w:t>
      </w:r>
      <w:r w:rsidR="00582778" w:rsidRPr="00172C08">
        <w:rPr>
          <w:b/>
          <w:sz w:val="22"/>
        </w:rPr>
        <w:t>5</w:t>
      </w:r>
      <w:r w:rsidRPr="00172C08">
        <w:rPr>
          <w:b/>
          <w:sz w:val="22"/>
        </w:rPr>
        <w:t>)</w:t>
      </w:r>
    </w:p>
    <w:p w14:paraId="0AD7DDA1" w14:textId="77777777" w:rsidR="00D64615" w:rsidRPr="00F242DD" w:rsidRDefault="007B27AA" w:rsidP="00092917">
      <w:pPr>
        <w:spacing w:before="0" w:after="0"/>
        <w:contextualSpacing/>
        <w:rPr>
          <w:i/>
        </w:rPr>
      </w:pPr>
      <w:r w:rsidRPr="00F242DD">
        <w:rPr>
          <w:b/>
        </w:rPr>
        <w:t xml:space="preserve">Комментарий: </w:t>
      </w:r>
      <w:r w:rsidR="00586EA7" w:rsidRPr="00F242DD">
        <w:rPr>
          <w:i/>
        </w:rPr>
        <w:t>х</w:t>
      </w:r>
      <w:r w:rsidRPr="00F242DD">
        <w:rPr>
          <w:i/>
        </w:rPr>
        <w:t xml:space="preserve">арактерным для ММ является увеличение содержания общего белка в сыворотке крови. При электрофорезе белков сыворотки крови М-градиент </w:t>
      </w:r>
      <w:r w:rsidR="003703A8" w:rsidRPr="00F242DD">
        <w:rPr>
          <w:i/>
        </w:rPr>
        <w:t>определяется у 80</w:t>
      </w:r>
      <w:r w:rsidR="00586EA7" w:rsidRPr="00F242DD">
        <w:rPr>
          <w:i/>
        </w:rPr>
        <w:t> </w:t>
      </w:r>
      <w:r w:rsidR="003703A8" w:rsidRPr="00F242DD">
        <w:rPr>
          <w:i/>
        </w:rPr>
        <w:t xml:space="preserve">% пациентов </w:t>
      </w:r>
      <w:r w:rsidRPr="00F242DD">
        <w:rPr>
          <w:i/>
        </w:rPr>
        <w:t>ММ в виде характерного пика</w:t>
      </w:r>
      <w:r w:rsidR="00D64615" w:rsidRPr="00F242DD">
        <w:rPr>
          <w:i/>
        </w:rPr>
        <w:t>, при иммунофиксации</w:t>
      </w:r>
      <w:r w:rsidR="00586EA7" w:rsidRPr="00F242DD">
        <w:rPr>
          <w:i/>
        </w:rPr>
        <w:t> </w:t>
      </w:r>
      <w:r w:rsidR="00D64615" w:rsidRPr="00F242DD">
        <w:rPr>
          <w:i/>
        </w:rPr>
        <w:t xml:space="preserve">– у </w:t>
      </w:r>
      <w:r w:rsidR="006F2433" w:rsidRPr="00F242DD">
        <w:rPr>
          <w:i/>
        </w:rPr>
        <w:t>93</w:t>
      </w:r>
      <w:r w:rsidR="00586EA7" w:rsidRPr="00F242DD">
        <w:rPr>
          <w:i/>
        </w:rPr>
        <w:t> </w:t>
      </w:r>
      <w:r w:rsidR="006F2433" w:rsidRPr="00F242DD">
        <w:rPr>
          <w:i/>
        </w:rPr>
        <w:t>%</w:t>
      </w:r>
      <w:r w:rsidRPr="00F242DD">
        <w:rPr>
          <w:i/>
        </w:rPr>
        <w:t>. Физические особенности парапротеинов лежат в основе синдрома гипервязкости, вероятность которого возрастает</w:t>
      </w:r>
      <w:r w:rsidR="00B76B3D" w:rsidRPr="00F242DD">
        <w:rPr>
          <w:i/>
        </w:rPr>
        <w:t xml:space="preserve"> с увеличением содержания парапротеинов в плазме крови. </w:t>
      </w:r>
    </w:p>
    <w:p w14:paraId="165E0EF5" w14:textId="77777777" w:rsidR="00D64615" w:rsidRPr="00F242DD" w:rsidRDefault="003703A8" w:rsidP="00092917">
      <w:pPr>
        <w:spacing w:before="0" w:after="0"/>
        <w:ind w:firstLine="851"/>
        <w:contextualSpacing/>
        <w:rPr>
          <w:i/>
        </w:rPr>
      </w:pPr>
      <w:r w:rsidRPr="00F242DD">
        <w:rPr>
          <w:i/>
        </w:rPr>
        <w:t>Нередко у пациентов с</w:t>
      </w:r>
      <w:r w:rsidR="00D64615" w:rsidRPr="00F242DD">
        <w:rPr>
          <w:i/>
        </w:rPr>
        <w:t xml:space="preserve"> ММ выявляется экскреция патологического белка с мочой. Эти случаи относят к миеломе Бенс-Джонса. Для скрининга мочевого протеина </w:t>
      </w:r>
      <w:r w:rsidR="00D64615" w:rsidRPr="00F242DD">
        <w:rPr>
          <w:i/>
        </w:rPr>
        <w:lastRenderedPageBreak/>
        <w:t>(необходим сбор мочи в течение 24 ч) также испо</w:t>
      </w:r>
      <w:r w:rsidRPr="00F242DD">
        <w:rPr>
          <w:i/>
        </w:rPr>
        <w:t>льзуют электрофорез и иммунофик</w:t>
      </w:r>
      <w:r w:rsidR="00D64615" w:rsidRPr="00F242DD">
        <w:rPr>
          <w:i/>
        </w:rPr>
        <w:t>сацию.</w:t>
      </w:r>
    </w:p>
    <w:p w14:paraId="31707996" w14:textId="5482CDF4" w:rsidR="007B27AA" w:rsidRPr="00F242DD" w:rsidRDefault="00B76B3D" w:rsidP="00092917">
      <w:pPr>
        <w:spacing w:before="0" w:after="0"/>
        <w:ind w:firstLine="851"/>
        <w:contextualSpacing/>
        <w:rPr>
          <w:i/>
        </w:rPr>
      </w:pPr>
      <w:r w:rsidRPr="00F242DD">
        <w:rPr>
          <w:i/>
        </w:rPr>
        <w:t>На основании уровня парапротеинов определя</w:t>
      </w:r>
      <w:r w:rsidR="00071ABE" w:rsidRPr="00F242DD">
        <w:rPr>
          <w:i/>
        </w:rPr>
        <w:t>ю</w:t>
      </w:r>
      <w:r w:rsidRPr="00F242DD">
        <w:rPr>
          <w:i/>
        </w:rPr>
        <w:t>тся стадия ММ (см. раздел 1.5</w:t>
      </w:r>
      <w:r w:rsidR="00071ABE" w:rsidRPr="00F242DD">
        <w:rPr>
          <w:i/>
        </w:rPr>
        <w:t>.</w:t>
      </w:r>
      <w:r w:rsidRPr="00F242DD">
        <w:rPr>
          <w:i/>
        </w:rPr>
        <w:t xml:space="preserve"> Классификация ММ), а также глубина ответа на </w:t>
      </w:r>
      <w:r w:rsidR="00B658AE">
        <w:rPr>
          <w:i/>
        </w:rPr>
        <w:t>последующую противоопухолевую терапию</w:t>
      </w:r>
      <w:r w:rsidRPr="00F242DD">
        <w:rPr>
          <w:i/>
        </w:rPr>
        <w:t xml:space="preserve"> (см. раздел 3.5</w:t>
      </w:r>
      <w:r w:rsidR="00071ABE" w:rsidRPr="00F242DD">
        <w:rPr>
          <w:i/>
        </w:rPr>
        <w:t>.</w:t>
      </w:r>
      <w:r w:rsidRPr="00F242DD">
        <w:rPr>
          <w:i/>
        </w:rPr>
        <w:t xml:space="preserve"> Определение эффективности лечения).</w:t>
      </w:r>
    </w:p>
    <w:p w14:paraId="42F54C41" w14:textId="77777777" w:rsidR="00340A8E" w:rsidRPr="00F242DD" w:rsidRDefault="00340A8E" w:rsidP="00092917">
      <w:pPr>
        <w:spacing w:before="0" w:after="0"/>
        <w:ind w:firstLine="851"/>
        <w:contextualSpacing/>
        <w:rPr>
          <w:i/>
        </w:rPr>
      </w:pPr>
      <w:r w:rsidRPr="00F242DD">
        <w:rPr>
          <w:i/>
        </w:rPr>
        <w:t xml:space="preserve">Иммунофиксацию необходимо выполнять, даже если при электрофорезе крови характерный пик не выявлялся. Она проводится с целью </w:t>
      </w:r>
      <w:r w:rsidR="00A25036" w:rsidRPr="00F242DD">
        <w:rPr>
          <w:i/>
          <w:iCs/>
        </w:rPr>
        <w:t>уточнения моноклональной природы М-градиента, обнаруженного в ходе электрофореза белковых фракций, и его типирования (определения, какие типы т</w:t>
      </w:r>
      <w:r w:rsidR="000F0E6B" w:rsidRPr="00F242DD">
        <w:rPr>
          <w:i/>
          <w:iCs/>
        </w:rPr>
        <w:t>я</w:t>
      </w:r>
      <w:r w:rsidR="00A25036" w:rsidRPr="00F242DD">
        <w:rPr>
          <w:i/>
          <w:iCs/>
        </w:rPr>
        <w:t>желых и легких цепей входят в его состав)</w:t>
      </w:r>
      <w:r w:rsidR="000F0E6B" w:rsidRPr="00F242DD">
        <w:rPr>
          <w:i/>
          <w:iCs/>
        </w:rPr>
        <w:t>.</w:t>
      </w:r>
    </w:p>
    <w:p w14:paraId="2CF4CFEC" w14:textId="244BD3CE" w:rsidR="00AC398A" w:rsidRDefault="00D37606" w:rsidP="00092917">
      <w:pPr>
        <w:pStyle w:val="a6"/>
        <w:numPr>
          <w:ilvl w:val="1"/>
          <w:numId w:val="2"/>
        </w:numPr>
        <w:spacing w:before="0" w:after="0"/>
        <w:ind w:left="0" w:firstLine="0"/>
      </w:pPr>
      <w:r w:rsidRPr="00F242DD">
        <w:t>Всем пациентам с несекретирующей, олигосе</w:t>
      </w:r>
      <w:r w:rsidR="00BB20D6" w:rsidRPr="00F242DD">
        <w:t>кретирующей, вялотекущей миеломой</w:t>
      </w:r>
      <w:r w:rsidRPr="00F242DD">
        <w:t xml:space="preserve"> и миелом</w:t>
      </w:r>
      <w:r w:rsidR="00BB20D6" w:rsidRPr="00F242DD">
        <w:t>ой</w:t>
      </w:r>
      <w:r w:rsidRPr="00F242DD">
        <w:t xml:space="preserve"> л</w:t>
      </w:r>
      <w:r w:rsidR="00926C05" w:rsidRPr="00F242DD">
        <w:t>егких цепей, а также при диализ</w:t>
      </w:r>
      <w:r w:rsidRPr="00F242DD">
        <w:t>зависимой почечной недостаточности, при подозрении на заболевание, при первичном или повторном приеме по поводу выявленного заболевания</w:t>
      </w:r>
      <w:r w:rsidR="00EE3E28" w:rsidRPr="00F242DD">
        <w:t>, при контрольных обследованиях</w:t>
      </w:r>
      <w:r w:rsidRPr="00F242DD">
        <w:t xml:space="preserve"> и подозрении на рецидив заболевания </w:t>
      </w:r>
      <w:r w:rsidRPr="00F242DD">
        <w:rPr>
          <w:b/>
        </w:rPr>
        <w:t xml:space="preserve">рекомендуется </w:t>
      </w:r>
      <w:r w:rsidRPr="00F242DD">
        <w:t xml:space="preserve">определение содержания </w:t>
      </w:r>
      <w:r w:rsidR="00926C05" w:rsidRPr="00F242DD">
        <w:t>СЛЦ</w:t>
      </w:r>
      <w:r w:rsidR="004F56A1">
        <w:t xml:space="preserve"> каппа и лямбда</w:t>
      </w:r>
      <w:r w:rsidRPr="00F242DD">
        <w:t xml:space="preserve"> в крови для уточнения </w:t>
      </w:r>
      <w:r w:rsidR="00AB1182" w:rsidRPr="00F242DD">
        <w:t>активности</w:t>
      </w:r>
      <w:r w:rsidRPr="00F242DD">
        <w:t xml:space="preserve"> основного заболевания или </w:t>
      </w:r>
      <w:r w:rsidR="00926C05" w:rsidRPr="00F242DD">
        <w:t xml:space="preserve">для </w:t>
      </w:r>
      <w:r w:rsidRPr="00F242DD">
        <w:t xml:space="preserve">оценки ответа на терапию </w:t>
      </w:r>
      <w:r w:rsidR="00A96FB6" w:rsidRPr="00F242DD">
        <w:fldChar w:fldCharType="begin" w:fldLock="1"/>
      </w:r>
      <w:r w:rsidR="00A14090">
        <w:instrText>ADDIN CSL_CITATION {"citationItems":[{"id":"ITEM-1","itemData":{"author":[{"dropping-particle":"","family":"Любимова","given":"Н.В.","non-dropping-particle":"","parse-names":false,"suffix":""},{"dropping-particle":"","family":"Тимофеев","given":"Ю.С.","non-dropping-particle":"","parse-names":false,"suffix":""},{"dropping-particle":"","family":"Вотякова","given":"О.М.","non-dropping-particle":"","parse-names":false,"suffix":""},{"dropping-particle":"","family":"Кушлинский","given":"Н.Е.","non-dropping-particle":"","parse-names":false,"suffix":""}],"container-title":"Альманах клинической медицины","id":"ITEM-1","issue":"2","issued":{"date-parts":[["2017"]]},"page":"102-108","title":"Свободные легкие цепи иммуноглобулинов в диагностике и прогнозе множественной миеломы.","type":"article-journal","volume":"45"},"uris":["http://www.mendeley.com/documents/?uuid=8aa5368e-e5e8-41af-9d89-285f61c86798"]},{"id":"ITEM-2","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-2","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id":"ITEM-3","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Oncology","id":"ITEM-3","issue":"suppl_4","issued":{"date-parts":[["2017","7","1"]]},"page":"iv52-iv61","title":"Multiple myeloma: ESMO Clinical Practice Guidelines for diagnosis, treatment and follow-up.","type":"article-journal","volume":"28"},"uris":["http://www.mendeley.com/documents/?uuid=e710540c-71bd-39f6-a6ad-aa95562089c3"]},{"id":"ITEM-4","itemData":{"DOI":"10.1016/S1470-2045(14)70442-5","ISSN":"14745488","abstract":"This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Oncology","id":"ITEM-4","issue":"12","issued":{"date-parts":[["2014","11","1"]]},"page":"e538-e548","publisher":"Lancet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[1,15,16,20]","plainTextFormattedCitation":"[1,15,16,20]","previouslyFormattedCitation":"[1,15,16,20]"},"properties":{"noteIndex":0},"schema":"https://github.com/citation-style-language/schema/raw/master/csl-citation.json"}</w:instrText>
      </w:r>
      <w:r w:rsidR="00A96FB6" w:rsidRPr="00F242DD">
        <w:fldChar w:fldCharType="separate"/>
      </w:r>
      <w:r w:rsidR="00500F37" w:rsidRPr="00500F37">
        <w:rPr>
          <w:noProof/>
        </w:rPr>
        <w:t>[1,15,16,20]</w:t>
      </w:r>
      <w:r w:rsidR="00A96FB6" w:rsidRPr="00F242DD">
        <w:fldChar w:fldCharType="end"/>
      </w:r>
      <w:r w:rsidRPr="00F242DD">
        <w:t>.</w:t>
      </w:r>
    </w:p>
    <w:p w14:paraId="0A58DDC0" w14:textId="77777777" w:rsidR="00AC398A" w:rsidRPr="00172C08" w:rsidRDefault="00D37606" w:rsidP="00092917">
      <w:pPr>
        <w:pStyle w:val="a6"/>
        <w:spacing w:before="0" w:after="0"/>
        <w:ind w:left="0"/>
        <w:rPr>
          <w:b/>
          <w:sz w:val="22"/>
        </w:rPr>
      </w:pPr>
      <w:r w:rsidRPr="00172C08">
        <w:rPr>
          <w:b/>
          <w:sz w:val="22"/>
        </w:rPr>
        <w:t>Урове</w:t>
      </w:r>
      <w:r w:rsidR="003C65DB" w:rsidRPr="00172C08">
        <w:rPr>
          <w:b/>
          <w:sz w:val="22"/>
        </w:rPr>
        <w:t xml:space="preserve">нь убедительности рекомендаций </w:t>
      </w:r>
      <w:r w:rsidR="00926C05" w:rsidRPr="00172C08">
        <w:rPr>
          <w:b/>
          <w:sz w:val="22"/>
        </w:rPr>
        <w:t xml:space="preserve">− </w:t>
      </w:r>
      <w:r w:rsidR="006A50CD" w:rsidRPr="00172C08">
        <w:rPr>
          <w:b/>
          <w:sz w:val="22"/>
        </w:rPr>
        <w:t xml:space="preserve">В </w:t>
      </w:r>
      <w:r w:rsidRPr="00172C08">
        <w:rPr>
          <w:b/>
          <w:sz w:val="22"/>
        </w:rPr>
        <w:t xml:space="preserve">(уровень достоверности доказательств </w:t>
      </w:r>
      <w:r w:rsidR="00926C05" w:rsidRPr="00172C08">
        <w:rPr>
          <w:b/>
          <w:sz w:val="22"/>
        </w:rPr>
        <w:t xml:space="preserve">− </w:t>
      </w:r>
      <w:r w:rsidR="006A50CD" w:rsidRPr="00172C08">
        <w:rPr>
          <w:b/>
          <w:sz w:val="22"/>
        </w:rPr>
        <w:t>3</w:t>
      </w:r>
      <w:r w:rsidRPr="00172C08">
        <w:rPr>
          <w:b/>
          <w:sz w:val="22"/>
        </w:rPr>
        <w:t>)</w:t>
      </w:r>
    </w:p>
    <w:p w14:paraId="15561C3A" w14:textId="3923F636" w:rsidR="00262541" w:rsidRDefault="007E4984" w:rsidP="00092917">
      <w:pPr>
        <w:pStyle w:val="a6"/>
        <w:spacing w:before="0" w:after="0"/>
        <w:ind w:left="0"/>
        <w:rPr>
          <w:i/>
        </w:rPr>
      </w:pPr>
      <w:r w:rsidRPr="00F242DD">
        <w:rPr>
          <w:b/>
        </w:rPr>
        <w:t xml:space="preserve">Комментарий: </w:t>
      </w:r>
      <w:r w:rsidR="00926C05" w:rsidRPr="00F242DD">
        <w:rPr>
          <w:i/>
        </w:rPr>
        <w:t>в</w:t>
      </w:r>
      <w:r w:rsidRPr="00F242DD">
        <w:rPr>
          <w:i/>
        </w:rPr>
        <w:t xml:space="preserve">ключение метода определения </w:t>
      </w:r>
      <w:r w:rsidR="005D58D2" w:rsidRPr="00F242DD">
        <w:rPr>
          <w:i/>
        </w:rPr>
        <w:t>СЛЦ</w:t>
      </w:r>
      <w:r w:rsidR="00055067">
        <w:rPr>
          <w:i/>
        </w:rPr>
        <w:t xml:space="preserve"> иммуноглобулинов </w:t>
      </w:r>
      <w:r w:rsidRPr="00F242DD">
        <w:rPr>
          <w:i/>
        </w:rPr>
        <w:t>в сыворотке крови в план обследования пациентов с предполагаемой моноклональной</w:t>
      </w:r>
      <w:r w:rsidR="00833D44" w:rsidRPr="00F242DD">
        <w:rPr>
          <w:i/>
        </w:rPr>
        <w:t xml:space="preserve"> </w:t>
      </w:r>
      <w:r w:rsidRPr="00F242DD">
        <w:rPr>
          <w:i/>
        </w:rPr>
        <w:t>гаммапатией позволяет увеличить диагностическую чувствительность имеющихся методов определения парапротеина, а та</w:t>
      </w:r>
      <w:r w:rsidR="00296908" w:rsidRPr="00F242DD">
        <w:rPr>
          <w:i/>
        </w:rPr>
        <w:t xml:space="preserve">кже проводить мониторинг пациентов </w:t>
      </w:r>
      <w:r w:rsidRPr="00F242DD">
        <w:rPr>
          <w:i/>
        </w:rPr>
        <w:t>с</w:t>
      </w:r>
      <w:r w:rsidR="00833D44" w:rsidRPr="00F242DD">
        <w:rPr>
          <w:i/>
        </w:rPr>
        <w:t xml:space="preserve"> </w:t>
      </w:r>
      <w:r w:rsidR="005D58D2" w:rsidRPr="00F242DD">
        <w:rPr>
          <w:i/>
        </w:rPr>
        <w:t>ММ</w:t>
      </w:r>
      <w:r w:rsidR="00262541">
        <w:rPr>
          <w:i/>
        </w:rPr>
        <w:t>.</w:t>
      </w:r>
    </w:p>
    <w:p w14:paraId="33F14A2B" w14:textId="686D9313" w:rsidR="007E4984" w:rsidRPr="00AC398A" w:rsidRDefault="007E4984" w:rsidP="00092917">
      <w:pPr>
        <w:pStyle w:val="a6"/>
        <w:spacing w:before="0" w:after="0"/>
        <w:ind w:left="0" w:firstLine="709"/>
      </w:pPr>
      <w:r w:rsidRPr="00F242DD">
        <w:rPr>
          <w:i/>
        </w:rPr>
        <w:t xml:space="preserve">Анализ </w:t>
      </w:r>
      <w:r w:rsidR="005D58D2" w:rsidRPr="00F242DD">
        <w:rPr>
          <w:i/>
        </w:rPr>
        <w:t>СЛЦ</w:t>
      </w:r>
      <w:r w:rsidR="00296908" w:rsidRPr="00F242DD">
        <w:rPr>
          <w:i/>
        </w:rPr>
        <w:t xml:space="preserve"> </w:t>
      </w:r>
      <w:r w:rsidR="00055067">
        <w:rPr>
          <w:i/>
        </w:rPr>
        <w:t>иммуноглобулинов</w:t>
      </w:r>
      <w:r w:rsidR="00055067" w:rsidRPr="00F242DD">
        <w:rPr>
          <w:i/>
        </w:rPr>
        <w:t xml:space="preserve"> </w:t>
      </w:r>
      <w:r w:rsidR="00296908" w:rsidRPr="00F242DD">
        <w:rPr>
          <w:i/>
        </w:rPr>
        <w:t>у пациентов с</w:t>
      </w:r>
      <w:r w:rsidRPr="00F242DD">
        <w:rPr>
          <w:i/>
        </w:rPr>
        <w:t xml:space="preserve"> ММ приобретает особое значение в прогнозировании ремиссии, поскольку противоопухолевый ответ по результатам их определения наступает раньше по сравнению с результатами стандартных иммунохимических исследований.</w:t>
      </w:r>
    </w:p>
    <w:p w14:paraId="4AB72F7C" w14:textId="7C8779D9" w:rsidR="00AB1182" w:rsidRPr="00F242DD" w:rsidRDefault="008D5521" w:rsidP="00092917">
      <w:pPr>
        <w:pStyle w:val="a6"/>
        <w:numPr>
          <w:ilvl w:val="1"/>
          <w:numId w:val="2"/>
        </w:numPr>
        <w:spacing w:before="0" w:after="0"/>
        <w:ind w:left="0" w:firstLine="0"/>
      </w:pPr>
      <w:r w:rsidRPr="00F242DD">
        <w:t xml:space="preserve">Всем пациентам с подозрением на ММ или </w:t>
      </w:r>
      <w:r w:rsidR="008B7771" w:rsidRPr="00F242DD">
        <w:t xml:space="preserve">ММ, </w:t>
      </w:r>
      <w:r w:rsidRPr="00F242DD">
        <w:t xml:space="preserve">выявленной </w:t>
      </w:r>
      <w:r w:rsidR="00AB1182" w:rsidRPr="00F242DD">
        <w:t>при первичном или повторном приеме по поводу выявленного заболевания</w:t>
      </w:r>
      <w:r w:rsidR="00EE3E28" w:rsidRPr="00F242DD">
        <w:t>, при контрольных обследованиях</w:t>
      </w:r>
      <w:r w:rsidR="00AB1182" w:rsidRPr="00F242DD">
        <w:t xml:space="preserve"> и при подозрении на рецидив заболевания </w:t>
      </w:r>
      <w:r w:rsidR="00AB1182" w:rsidRPr="00F242DD">
        <w:rPr>
          <w:b/>
        </w:rPr>
        <w:t xml:space="preserve">рекомендуется </w:t>
      </w:r>
      <w:r w:rsidR="00AB1182" w:rsidRPr="00F242DD">
        <w:t>определение основных групп крови по AB0, определение антигена D системы Резус (резус-фактора)</w:t>
      </w:r>
      <w:r w:rsidR="00833D44" w:rsidRPr="00F242DD">
        <w:t>, определение фенотипа антигенов эритроцитов</w:t>
      </w:r>
      <w:r w:rsidR="00AB1182" w:rsidRPr="00F242DD">
        <w:t xml:space="preserve"> для возможности выполнения гемотрансфузии при наличии показаний до, во время или после терапии</w:t>
      </w:r>
      <w:r w:rsidR="00E56A54" w:rsidRPr="00F242DD">
        <w:t xml:space="preserve"> </w:t>
      </w:r>
      <w:r w:rsidR="00A96FB6" w:rsidRPr="00F242DD">
        <w:fldChar w:fldCharType="begin" w:fldLock="1"/>
      </w:r>
      <w:r w:rsidR="00500F37">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F242DD">
        <w:fldChar w:fldCharType="separate"/>
      </w:r>
      <w:r w:rsidR="00E03159" w:rsidRPr="00E03159">
        <w:rPr>
          <w:noProof/>
        </w:rPr>
        <w:t>[1]</w:t>
      </w:r>
      <w:r w:rsidR="00A96FB6" w:rsidRPr="00F242DD">
        <w:fldChar w:fldCharType="end"/>
      </w:r>
      <w:r w:rsidR="00AB1182" w:rsidRPr="00F242DD">
        <w:t>.</w:t>
      </w:r>
    </w:p>
    <w:p w14:paraId="70A5760B" w14:textId="77777777" w:rsidR="00AB1182" w:rsidRPr="00172C08" w:rsidRDefault="00AB1182" w:rsidP="00092917">
      <w:pPr>
        <w:spacing w:before="0" w:after="0"/>
        <w:contextualSpacing/>
        <w:rPr>
          <w:b/>
          <w:sz w:val="22"/>
        </w:rPr>
      </w:pPr>
      <w:r w:rsidRPr="00172C08">
        <w:rPr>
          <w:b/>
          <w:sz w:val="22"/>
        </w:rPr>
        <w:t>Урове</w:t>
      </w:r>
      <w:r w:rsidR="003C65DB" w:rsidRPr="00172C08">
        <w:rPr>
          <w:b/>
          <w:sz w:val="22"/>
        </w:rPr>
        <w:t xml:space="preserve">нь убедительности рекомендаций </w:t>
      </w:r>
      <w:r w:rsidR="00524749" w:rsidRPr="00172C08">
        <w:rPr>
          <w:b/>
          <w:sz w:val="22"/>
        </w:rPr>
        <w:t xml:space="preserve">− </w:t>
      </w:r>
      <w:r w:rsidR="003C65DB" w:rsidRPr="00172C08">
        <w:rPr>
          <w:b/>
          <w:sz w:val="22"/>
        </w:rPr>
        <w:t>С</w:t>
      </w:r>
      <w:r w:rsidRPr="00172C08">
        <w:rPr>
          <w:b/>
          <w:sz w:val="22"/>
        </w:rPr>
        <w:t xml:space="preserve"> (уровень достоверности доказательств </w:t>
      </w:r>
      <w:r w:rsidR="00524749" w:rsidRPr="00172C08">
        <w:rPr>
          <w:b/>
          <w:sz w:val="22"/>
        </w:rPr>
        <w:t xml:space="preserve">− </w:t>
      </w:r>
      <w:r w:rsidR="003C65DB" w:rsidRPr="00172C08">
        <w:rPr>
          <w:b/>
          <w:sz w:val="22"/>
        </w:rPr>
        <w:t>5</w:t>
      </w:r>
      <w:r w:rsidRPr="00172C08">
        <w:rPr>
          <w:b/>
          <w:sz w:val="22"/>
        </w:rPr>
        <w:t>)</w:t>
      </w:r>
    </w:p>
    <w:p w14:paraId="16AE8793" w14:textId="3E447351" w:rsidR="00AB1182" w:rsidRPr="00F242DD" w:rsidRDefault="008D5521" w:rsidP="00092917">
      <w:pPr>
        <w:pStyle w:val="a6"/>
        <w:numPr>
          <w:ilvl w:val="1"/>
          <w:numId w:val="2"/>
        </w:numPr>
        <w:spacing w:before="0" w:after="0"/>
        <w:ind w:left="0" w:firstLine="0"/>
      </w:pPr>
      <w:r w:rsidRPr="00F242DD">
        <w:t>Всем пациентам с подозрением на ММ или выявленной</w:t>
      </w:r>
      <w:r w:rsidR="00AB1182" w:rsidRPr="00F242DD">
        <w:t xml:space="preserve"> </w:t>
      </w:r>
      <w:r w:rsidR="008302A9" w:rsidRPr="00F242DD">
        <w:t xml:space="preserve">ММ </w:t>
      </w:r>
      <w:r w:rsidR="00262541">
        <w:t xml:space="preserve">при первичном или </w:t>
      </w:r>
      <w:r w:rsidR="00AB1182" w:rsidRPr="00F242DD">
        <w:t xml:space="preserve">повторном приеме по поводу выявленного заболевания, при контрольных обследованиях и при подозрении на рецидив заболевания </w:t>
      </w:r>
      <w:r w:rsidR="00AB1182" w:rsidRPr="00262541">
        <w:rPr>
          <w:b/>
        </w:rPr>
        <w:t xml:space="preserve">рекомендуется </w:t>
      </w:r>
      <w:r w:rsidR="001A37A4" w:rsidRPr="00F242DD">
        <w:t xml:space="preserve">определение антител к вирусу </w:t>
      </w:r>
      <w:r w:rsidR="001A37A4" w:rsidRPr="00F242DD">
        <w:lastRenderedPageBreak/>
        <w:t xml:space="preserve">гепатита C (Hepatitis C virus) в крови; </w:t>
      </w:r>
      <w:r w:rsidR="006A50CD" w:rsidRPr="00F242DD">
        <w:t xml:space="preserve">определение </w:t>
      </w:r>
      <w:r w:rsidR="001A37A4" w:rsidRPr="00F242DD">
        <w:t>антител к поверхностному антигену (HBsAg) вируса гепатита B (Hepatitis B virus) в крови</w:t>
      </w:r>
      <w:r w:rsidR="001A37A4" w:rsidRPr="00F242DD" w:rsidDel="001A37A4">
        <w:t xml:space="preserve"> </w:t>
      </w:r>
      <w:r w:rsidR="00AB1182" w:rsidRPr="00F242DD">
        <w:t>с целью уточнения необходимости терапии или профилактики реактивации вирусного гепатита</w:t>
      </w:r>
      <w:r w:rsidR="00E56A54" w:rsidRPr="00F242DD">
        <w:t xml:space="preserve"> </w:t>
      </w:r>
      <w:r w:rsidR="00A96FB6" w:rsidRPr="00F242DD">
        <w:fldChar w:fldCharType="begin" w:fldLock="1"/>
      </w:r>
      <w:r w:rsidR="00500F37">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F242DD">
        <w:fldChar w:fldCharType="separate"/>
      </w:r>
      <w:r w:rsidR="00E03159" w:rsidRPr="00E03159">
        <w:rPr>
          <w:noProof/>
        </w:rPr>
        <w:t>[1]</w:t>
      </w:r>
      <w:r w:rsidR="00A96FB6" w:rsidRPr="00F242DD">
        <w:fldChar w:fldCharType="end"/>
      </w:r>
      <w:r w:rsidR="00AB1182" w:rsidRPr="00F242DD">
        <w:t>.</w:t>
      </w:r>
    </w:p>
    <w:p w14:paraId="4093C461" w14:textId="77777777" w:rsidR="00AB1182" w:rsidRPr="00172C08" w:rsidRDefault="00AB1182" w:rsidP="00092917">
      <w:pPr>
        <w:spacing w:before="0" w:after="0"/>
        <w:contextualSpacing/>
        <w:rPr>
          <w:b/>
          <w:sz w:val="22"/>
        </w:rPr>
      </w:pPr>
      <w:r w:rsidRPr="00172C08">
        <w:rPr>
          <w:b/>
          <w:sz w:val="22"/>
        </w:rPr>
        <w:t>Урове</w:t>
      </w:r>
      <w:r w:rsidR="003C65DB" w:rsidRPr="00172C08">
        <w:rPr>
          <w:b/>
          <w:sz w:val="22"/>
        </w:rPr>
        <w:t xml:space="preserve">нь убедительности рекомендаций </w:t>
      </w:r>
      <w:r w:rsidR="00524749" w:rsidRPr="00172C08">
        <w:rPr>
          <w:b/>
          <w:sz w:val="22"/>
        </w:rPr>
        <w:t xml:space="preserve">− </w:t>
      </w:r>
      <w:r w:rsidR="003C65DB" w:rsidRPr="00172C08">
        <w:rPr>
          <w:b/>
          <w:sz w:val="22"/>
        </w:rPr>
        <w:t>С</w:t>
      </w:r>
      <w:r w:rsidRPr="00172C08">
        <w:rPr>
          <w:b/>
          <w:sz w:val="22"/>
        </w:rPr>
        <w:t xml:space="preserve"> (уровень достоверности доказательств </w:t>
      </w:r>
      <w:r w:rsidR="00524749" w:rsidRPr="00172C08">
        <w:rPr>
          <w:b/>
          <w:sz w:val="22"/>
        </w:rPr>
        <w:t xml:space="preserve">− </w:t>
      </w:r>
      <w:r w:rsidR="003C65DB" w:rsidRPr="00172C08">
        <w:rPr>
          <w:b/>
          <w:sz w:val="22"/>
        </w:rPr>
        <w:t>5</w:t>
      </w:r>
      <w:r w:rsidRPr="00172C08">
        <w:rPr>
          <w:b/>
          <w:sz w:val="22"/>
        </w:rPr>
        <w:t>)</w:t>
      </w:r>
    </w:p>
    <w:p w14:paraId="7FE19CFE" w14:textId="3E044C46" w:rsidR="00AB1182" w:rsidRPr="00F242DD" w:rsidRDefault="00783FB2" w:rsidP="00092917">
      <w:pPr>
        <w:pStyle w:val="a6"/>
        <w:numPr>
          <w:ilvl w:val="1"/>
          <w:numId w:val="2"/>
        </w:numPr>
        <w:spacing w:before="0" w:after="0"/>
        <w:ind w:left="0" w:firstLine="0"/>
      </w:pPr>
      <w:r w:rsidRPr="00F242DD">
        <w:t xml:space="preserve">Всем пациентам с подозрением на ММ или выявленной ММ </w:t>
      </w:r>
      <w:r w:rsidR="00524749" w:rsidRPr="00F242DD">
        <w:t>при подозрении на заболевание</w:t>
      </w:r>
      <w:r w:rsidR="00AB1182" w:rsidRPr="00F242DD">
        <w:t xml:space="preserve"> при первичном или повторном приеме по поводу выявленного заболевания</w:t>
      </w:r>
      <w:r w:rsidR="00EE3E28" w:rsidRPr="00F242DD">
        <w:t>, при контрольных обследованиях</w:t>
      </w:r>
      <w:r w:rsidR="00AB1182" w:rsidRPr="00F242DD">
        <w:t xml:space="preserve"> и при подозрении на рецидив заболевания </w:t>
      </w:r>
      <w:r w:rsidR="00AB1182" w:rsidRPr="00F242DD">
        <w:rPr>
          <w:b/>
        </w:rPr>
        <w:t xml:space="preserve">рекомендуется </w:t>
      </w:r>
      <w:r w:rsidR="000D22CF" w:rsidRPr="00F242DD">
        <w:t xml:space="preserve">определение антител классов M, G (IgM, IgG) к вирусам иммунодефицита человека ВИЧ-1 (Human immunodeficiency virus HIV 1) и ВИЧ-2 (Human immunodeficiency virus HIV 2) в крови </w:t>
      </w:r>
      <w:r w:rsidR="00AB1182" w:rsidRPr="00F242DD">
        <w:t>для уточнения необходимости одновременного проведения противоопухолевой и антиретровирусной терапии</w:t>
      </w:r>
      <w:r w:rsidR="00E56A54" w:rsidRPr="00F242DD">
        <w:t xml:space="preserve"> </w:t>
      </w:r>
      <w:r w:rsidR="00A96FB6" w:rsidRPr="00F242DD">
        <w:fldChar w:fldCharType="begin" w:fldLock="1"/>
      </w:r>
      <w:r w:rsidR="00500F37">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F242DD">
        <w:fldChar w:fldCharType="separate"/>
      </w:r>
      <w:r w:rsidR="00E03159" w:rsidRPr="00E03159">
        <w:rPr>
          <w:noProof/>
        </w:rPr>
        <w:t>[1]</w:t>
      </w:r>
      <w:r w:rsidR="00A96FB6" w:rsidRPr="00F242DD">
        <w:fldChar w:fldCharType="end"/>
      </w:r>
      <w:r w:rsidR="00AB1182" w:rsidRPr="00F242DD">
        <w:t>.</w:t>
      </w:r>
    </w:p>
    <w:p w14:paraId="0D50C1B9" w14:textId="77777777" w:rsidR="00A943DF" w:rsidRPr="00172C08" w:rsidRDefault="00AB1182" w:rsidP="00092917">
      <w:pPr>
        <w:spacing w:before="0" w:after="0"/>
        <w:contextualSpacing/>
        <w:rPr>
          <w:b/>
          <w:sz w:val="22"/>
        </w:rPr>
      </w:pPr>
      <w:r w:rsidRPr="00172C08">
        <w:rPr>
          <w:b/>
          <w:sz w:val="22"/>
        </w:rPr>
        <w:t>Уровень убедительност</w:t>
      </w:r>
      <w:r w:rsidR="003C65DB" w:rsidRPr="00172C08">
        <w:rPr>
          <w:b/>
          <w:sz w:val="22"/>
        </w:rPr>
        <w:t xml:space="preserve">и рекомендаций </w:t>
      </w:r>
      <w:r w:rsidR="00F75CE3" w:rsidRPr="00172C08">
        <w:rPr>
          <w:b/>
          <w:sz w:val="22"/>
        </w:rPr>
        <w:t xml:space="preserve">− </w:t>
      </w:r>
      <w:r w:rsidR="003C65DB" w:rsidRPr="00172C08">
        <w:rPr>
          <w:b/>
          <w:sz w:val="22"/>
        </w:rPr>
        <w:t>С</w:t>
      </w:r>
      <w:r w:rsidRPr="00172C08">
        <w:rPr>
          <w:b/>
          <w:sz w:val="22"/>
        </w:rPr>
        <w:t xml:space="preserve"> (уровень достоверности доказательств </w:t>
      </w:r>
      <w:r w:rsidR="00F75CE3" w:rsidRPr="00172C08">
        <w:rPr>
          <w:b/>
          <w:sz w:val="22"/>
        </w:rPr>
        <w:t xml:space="preserve">− </w:t>
      </w:r>
      <w:r w:rsidR="003C65DB" w:rsidRPr="00172C08">
        <w:rPr>
          <w:b/>
          <w:sz w:val="22"/>
        </w:rPr>
        <w:t>5</w:t>
      </w:r>
      <w:r w:rsidRPr="00172C08">
        <w:rPr>
          <w:b/>
          <w:sz w:val="22"/>
        </w:rPr>
        <w:t>)</w:t>
      </w:r>
    </w:p>
    <w:p w14:paraId="0A9A7856" w14:textId="2BD438AA" w:rsidR="005808F9" w:rsidRPr="00F242DD" w:rsidRDefault="005808F9" w:rsidP="00092917">
      <w:pPr>
        <w:pStyle w:val="a6"/>
        <w:numPr>
          <w:ilvl w:val="0"/>
          <w:numId w:val="3"/>
        </w:numPr>
        <w:spacing w:before="0" w:after="0"/>
        <w:ind w:left="0" w:firstLine="0"/>
      </w:pPr>
      <w:r w:rsidRPr="00F242DD">
        <w:t xml:space="preserve">Всем пациентам с подозрением на ММ или выявленной ММ при первичном приеме, при контрольных обследованиях и при подозрении на рецидив заболевания </w:t>
      </w:r>
      <w:r w:rsidRPr="00F242DD">
        <w:rPr>
          <w:b/>
        </w:rPr>
        <w:t>рекомендуется</w:t>
      </w:r>
      <w:r w:rsidRPr="00F242DD">
        <w:t xml:space="preserve"> выполнить получение цитологического препарата КМ путем пункции (стернальная пункция), цитологическое (миелограмма) и </w:t>
      </w:r>
      <w:r w:rsidR="001F3CDD" w:rsidRPr="00C528FA">
        <w:t xml:space="preserve">при необходимости </w:t>
      </w:r>
      <w:r w:rsidR="004F56A1">
        <w:t xml:space="preserve">исследование биологического материала (костный мозг) методом проточной цитофлуориметрии </w:t>
      </w:r>
      <w:r w:rsidRPr="00F242DD">
        <w:t xml:space="preserve">для подтверждения и формулирования диагноза </w:t>
      </w:r>
      <w:r w:rsidR="00A96FB6" w:rsidRPr="00F242DD">
        <w:fldChar w:fldCharType="begin" w:fldLock="1"/>
      </w:r>
      <w:r w:rsidR="00500F37">
        <w:instrText>ADDIN CSL_CITATION {"citationItems":[{"id":"ITEM-1","itemData":{"DOI":"10.1016/j.clml.2015.07.301","ISSN":"21522650","author":[{"dropping-particle":"","family":"Julie","given":"D.","non-dropping-particle":"","parse-names":false,"suffix":""},{"dropping-particle":"","family":"Roland","given":"D.W.","non-dropping-particle":"","parse-names":false,"suffix":""},{"dropping-particle":"","family":"Marie-Françoise","given":"D.","non-dropping-particle":"","parse-names":false,"suffix":""},{"dropping-particle":"","family":"Brigitte","given":"C.","non-dropping-particle":"","parse-names":false,"suffix":""},{"dropping-particle":"","family":"Olivier","given":"P.","non-dropping-particle":"","parse-names":false,"suffix":""},{"dropping-particle":"","family":"Jonathan","given":"B.","non-dropping-particle":"","parse-names":false,"suffix":""},{"dropping-particle":"","family":"Marie","given":"M.","non-dropping-particle":"","parse-names":false,"suffix":""},{"dropping-particle":"","family":"Virginie","given":"D.W.","non-dropping-particle":"","parse-names":false,"suffix":""},{"dropping-particle":"","family":"Benjamin","given":"B.","non-dropping-particle":"","parse-names":false,"suffix":""},{"dropping-particle":"","family":"Sarah","given":"B.","non-dropping-particle":"","parse-names":false,"suffix":""},{"dropping-particle":"","family":"Dominique","given":"B.","non-dropping-particle":"","parse-names":false,"suffix":""},{"dropping-particle":"","family":"Nathalie","given":"M.","non-dropping-particle":"","parse-names":false,"suffix":""}],"container-title":"Clinical Lymphoma Myeloma and Leukemia","id":"ITEM-1","issued":{"date-parts":[["2015","9"]]},"page":"e117","publisher":"Elsevier BV","title":"Comparison of Bone marrow Aspirate and Bone marrow Biopsy in the workup of Patients with Multiple Myeloma","type":"article-journal","volume":"15"},"uris":["http://www.mendeley.com/documents/?uuid=32e7873d-8d80-3fd1-96b5-3b37e8d4f0bf"]}],"mendeley":{"formattedCitation":"[21]","plainTextFormattedCitation":"[21]","previouslyFormattedCitation":"[21]"},"properties":{"noteIndex":0},"schema":"https://github.com/citation-style-language/schema/raw/master/csl-citation.json"}</w:instrText>
      </w:r>
      <w:r w:rsidR="00A96FB6" w:rsidRPr="00F242DD">
        <w:fldChar w:fldCharType="separate"/>
      </w:r>
      <w:r w:rsidR="00E03159" w:rsidRPr="00E03159">
        <w:rPr>
          <w:noProof/>
        </w:rPr>
        <w:t>[21]</w:t>
      </w:r>
      <w:r w:rsidR="00A96FB6" w:rsidRPr="00F242DD">
        <w:fldChar w:fldCharType="end"/>
      </w:r>
      <w:r w:rsidRPr="00F242DD">
        <w:t>.</w:t>
      </w:r>
    </w:p>
    <w:p w14:paraId="7764F06B" w14:textId="77777777" w:rsidR="00C528FA" w:rsidRPr="00172C08" w:rsidRDefault="005808F9" w:rsidP="00092917">
      <w:pPr>
        <w:spacing w:before="0" w:after="0"/>
        <w:contextualSpacing/>
        <w:rPr>
          <w:b/>
          <w:sz w:val="22"/>
        </w:rPr>
      </w:pPr>
      <w:r w:rsidRPr="00172C08">
        <w:rPr>
          <w:b/>
          <w:sz w:val="22"/>
        </w:rPr>
        <w:t xml:space="preserve">Уровень убедительности рекомендаций </w:t>
      </w:r>
      <w:r w:rsidR="006A50CD" w:rsidRPr="00172C08">
        <w:rPr>
          <w:b/>
          <w:sz w:val="22"/>
        </w:rPr>
        <w:t xml:space="preserve">С </w:t>
      </w:r>
      <w:r w:rsidRPr="00172C08">
        <w:rPr>
          <w:b/>
          <w:sz w:val="22"/>
        </w:rPr>
        <w:t xml:space="preserve">(уровень достоверности доказательств </w:t>
      </w:r>
      <w:r w:rsidR="006A50CD" w:rsidRPr="00172C08">
        <w:rPr>
          <w:b/>
          <w:sz w:val="22"/>
        </w:rPr>
        <w:t>4</w:t>
      </w:r>
      <w:r w:rsidRPr="00172C08">
        <w:rPr>
          <w:b/>
          <w:sz w:val="22"/>
        </w:rPr>
        <w:t>)</w:t>
      </w:r>
    </w:p>
    <w:p w14:paraId="254D5DE1" w14:textId="2C9E3D62" w:rsidR="008E3216" w:rsidRPr="00C528FA" w:rsidRDefault="00B60AA1" w:rsidP="00092917">
      <w:pPr>
        <w:pStyle w:val="a6"/>
        <w:numPr>
          <w:ilvl w:val="0"/>
          <w:numId w:val="3"/>
        </w:numPr>
        <w:spacing w:before="0" w:after="0"/>
        <w:ind w:left="0" w:firstLine="0"/>
        <w:rPr>
          <w:b/>
        </w:rPr>
      </w:pPr>
      <w:r w:rsidRPr="00C528FA">
        <w:t>Всем пациентам с подозрением на ММ или выявленной ММ при первичном приеме</w:t>
      </w:r>
      <w:r w:rsidR="00EE3E28" w:rsidRPr="00C528FA">
        <w:t xml:space="preserve">, </w:t>
      </w:r>
      <w:r w:rsidR="007B028D" w:rsidRPr="00C528FA">
        <w:t xml:space="preserve">а также </w:t>
      </w:r>
      <w:r w:rsidR="001F3CDD" w:rsidRPr="00C528FA">
        <w:t>для оценки костномозгового кроветворения перед сбором СКК или при подозрении на рецидив заболевания</w:t>
      </w:r>
      <w:r w:rsidR="00C528FA" w:rsidRPr="00C528FA">
        <w:t xml:space="preserve"> </w:t>
      </w:r>
      <w:r w:rsidRPr="00C528FA">
        <w:rPr>
          <w:b/>
        </w:rPr>
        <w:t>рекомендуется</w:t>
      </w:r>
      <w:r w:rsidRPr="00C528FA">
        <w:t xml:space="preserve"> выполнить</w:t>
      </w:r>
      <w:r w:rsidR="00833D44" w:rsidRPr="00C528FA">
        <w:t xml:space="preserve"> </w:t>
      </w:r>
      <w:r w:rsidR="008E3216" w:rsidRPr="00C528FA">
        <w:t xml:space="preserve">получение гистологического препарата </w:t>
      </w:r>
      <w:r w:rsidR="008D6BCF" w:rsidRPr="00C528FA">
        <w:t>костного мозга (</w:t>
      </w:r>
      <w:r w:rsidR="008E3216" w:rsidRPr="00C528FA">
        <w:t>КМ</w:t>
      </w:r>
      <w:r w:rsidR="008D6BCF" w:rsidRPr="00C528FA">
        <w:t>)</w:t>
      </w:r>
      <w:r w:rsidR="008E3216" w:rsidRPr="00C528FA">
        <w:t xml:space="preserve"> (трепанобиопси</w:t>
      </w:r>
      <w:r w:rsidR="008412D3" w:rsidRPr="00C528FA">
        <w:t>ю</w:t>
      </w:r>
      <w:r w:rsidR="008E3216" w:rsidRPr="00C528FA">
        <w:t xml:space="preserve">) </w:t>
      </w:r>
      <w:r w:rsidR="00C528FA" w:rsidRPr="00C528FA">
        <w:t xml:space="preserve">и </w:t>
      </w:r>
      <w:r w:rsidR="004F56A1">
        <w:t xml:space="preserve">паталогоанатомическое исследование </w:t>
      </w:r>
      <w:r w:rsidR="00C528FA" w:rsidRPr="00C528FA">
        <w:t>биопсийного (операционного) материала костного мозга (при необходимости с применением иммуногистохимических методов) для подтверждения и формулирования диагноза.</w:t>
      </w:r>
      <w:r w:rsidR="008E3216" w:rsidRPr="00F242DD">
        <w:t xml:space="preserve"> </w:t>
      </w:r>
      <w:r w:rsidR="00A96FB6" w:rsidRPr="00F242DD">
        <w:fldChar w:fldCharType="begin" w:fldLock="1"/>
      </w:r>
      <w:r w:rsidR="00500F37">
        <w:instrText>ADDIN CSL_CITATION {"citationItems":[{"id":"ITEM-1","itemData":{"DOI":"10.1016/j.clml.2015.07.301","ISSN":"21522650","author":[{"dropping-particle":"","family":"Julie","given":"D.","non-dropping-particle":"","parse-names":false,"suffix":""},{"dropping-particle":"","family":"Roland","given":"D.W.","non-dropping-particle":"","parse-names":false,"suffix":""},{"dropping-particle":"","family":"Marie-Françoise","given":"D.","non-dropping-particle":"","parse-names":false,"suffix":""},{"dropping-particle":"","family":"Brigitte","given":"C.","non-dropping-particle":"","parse-names":false,"suffix":""},{"dropping-particle":"","family":"Olivier","given":"P.","non-dropping-particle":"","parse-names":false,"suffix":""},{"dropping-particle":"","family":"Jonathan","given":"B.","non-dropping-particle":"","parse-names":false,"suffix":""},{"dropping-particle":"","family":"Marie","given":"M.","non-dropping-particle":"","parse-names":false,"suffix":""},{"dropping-particle":"","family":"Virginie","given":"D.W.","non-dropping-particle":"","parse-names":false,"suffix":""},{"dropping-particle":"","family":"Benjamin","given":"B.","non-dropping-particle":"","parse-names":false,"suffix":""},{"dropping-particle":"","family":"Sarah","given":"B.","non-dropping-particle":"","parse-names":false,"suffix":""},{"dropping-particle":"","family":"Dominique","given":"B.","non-dropping-particle":"","parse-names":false,"suffix":""},{"dropping-particle":"","family":"Nathalie","given":"M.","non-dropping-particle":"","parse-names":false,"suffix":""}],"container-title":"Clinical Lymphoma Myeloma and Leukemia","id":"ITEM-1","issued":{"date-parts":[["2015","9"]]},"page":"e117","publisher":"Elsevier BV","title":"Comparison of Bone marrow Aspirate and Bone marrow Biopsy in the workup of Patients with Multiple Myeloma","type":"article-journal","volume":"15"},"uris":["http://www.mendeley.com/documents/?uuid=32e7873d-8d80-3fd1-96b5-3b37e8d4f0bf"]}],"mendeley":{"formattedCitation":"[21]","plainTextFormattedCitation":"[21]","previouslyFormattedCitation":"[21]"},"properties":{"noteIndex":0},"schema":"https://github.com/citation-style-language/schema/raw/master/csl-citation.json"}</w:instrText>
      </w:r>
      <w:r w:rsidR="00A96FB6" w:rsidRPr="00F242DD">
        <w:fldChar w:fldCharType="separate"/>
      </w:r>
      <w:r w:rsidR="00E03159" w:rsidRPr="00E03159">
        <w:rPr>
          <w:noProof/>
        </w:rPr>
        <w:t>[21]</w:t>
      </w:r>
      <w:r w:rsidR="00A96FB6" w:rsidRPr="00F242DD">
        <w:fldChar w:fldCharType="end"/>
      </w:r>
      <w:r w:rsidR="008E3216" w:rsidRPr="00F242DD">
        <w:t>.</w:t>
      </w:r>
    </w:p>
    <w:p w14:paraId="24175230" w14:textId="77777777" w:rsidR="004D7374" w:rsidRPr="00172C08" w:rsidRDefault="004D7374" w:rsidP="00092917">
      <w:pPr>
        <w:spacing w:before="0" w:after="0"/>
        <w:contextualSpacing/>
        <w:rPr>
          <w:b/>
          <w:sz w:val="22"/>
        </w:rPr>
      </w:pPr>
      <w:r w:rsidRPr="00172C08">
        <w:rPr>
          <w:b/>
          <w:sz w:val="22"/>
        </w:rPr>
        <w:t xml:space="preserve">Уровень убедительности рекомендаций </w:t>
      </w:r>
      <w:r w:rsidR="008412D3" w:rsidRPr="00172C08">
        <w:rPr>
          <w:b/>
          <w:sz w:val="22"/>
        </w:rPr>
        <w:t xml:space="preserve">− </w:t>
      </w:r>
      <w:r w:rsidR="006A50CD" w:rsidRPr="00172C08">
        <w:rPr>
          <w:b/>
          <w:sz w:val="22"/>
        </w:rPr>
        <w:t xml:space="preserve">С </w:t>
      </w:r>
      <w:r w:rsidRPr="00172C08">
        <w:rPr>
          <w:b/>
          <w:sz w:val="22"/>
        </w:rPr>
        <w:t xml:space="preserve">(уровень достоверности доказательств </w:t>
      </w:r>
      <w:r w:rsidR="008412D3" w:rsidRPr="00172C08">
        <w:rPr>
          <w:b/>
          <w:sz w:val="22"/>
        </w:rPr>
        <w:t xml:space="preserve">− </w:t>
      </w:r>
      <w:r w:rsidR="006A50CD" w:rsidRPr="00172C08">
        <w:rPr>
          <w:b/>
          <w:sz w:val="22"/>
        </w:rPr>
        <w:t>4</w:t>
      </w:r>
      <w:r w:rsidRPr="00172C08">
        <w:rPr>
          <w:b/>
          <w:sz w:val="22"/>
        </w:rPr>
        <w:t>)</w:t>
      </w:r>
    </w:p>
    <w:p w14:paraId="2DB8BFEC" w14:textId="4EE39DFD" w:rsidR="00AE5CC8" w:rsidRPr="00F242DD" w:rsidRDefault="00AE5CC8" w:rsidP="00092917">
      <w:pPr>
        <w:pStyle w:val="a6"/>
        <w:numPr>
          <w:ilvl w:val="0"/>
          <w:numId w:val="3"/>
        </w:numPr>
        <w:spacing w:before="0" w:after="0"/>
        <w:ind w:left="0" w:firstLine="0"/>
      </w:pPr>
      <w:r w:rsidRPr="00F242DD">
        <w:t xml:space="preserve">Всем пациентам с </w:t>
      </w:r>
      <w:r w:rsidR="006F0E70" w:rsidRPr="00F242DD">
        <w:t xml:space="preserve">впервые выявленной </w:t>
      </w:r>
      <w:r w:rsidRPr="00F242DD">
        <w:t>ММ</w:t>
      </w:r>
      <w:r w:rsidR="00FA25F5" w:rsidRPr="00F242DD">
        <w:t xml:space="preserve">, а также при </w:t>
      </w:r>
      <w:r w:rsidR="00455673" w:rsidRPr="00F242DD">
        <w:t>1</w:t>
      </w:r>
      <w:r w:rsidR="00FA25F5" w:rsidRPr="00F242DD">
        <w:t xml:space="preserve"> и </w:t>
      </w:r>
      <w:r w:rsidR="00455673" w:rsidRPr="00F242DD">
        <w:t>2-</w:t>
      </w:r>
      <w:r w:rsidR="00FA25F5" w:rsidRPr="00F242DD">
        <w:t>м рецидив</w:t>
      </w:r>
      <w:r w:rsidR="00455673" w:rsidRPr="00F242DD">
        <w:t>ах</w:t>
      </w:r>
      <w:r w:rsidR="00833D44" w:rsidRPr="00F242DD">
        <w:t xml:space="preserve"> </w:t>
      </w:r>
      <w:r w:rsidRPr="00F242DD">
        <w:rPr>
          <w:b/>
        </w:rPr>
        <w:t>рекомендуется</w:t>
      </w:r>
      <w:r w:rsidRPr="00F242DD">
        <w:t xml:space="preserve"> выполнить </w:t>
      </w:r>
      <w:r w:rsidR="006F0E70" w:rsidRPr="00F242DD">
        <w:t>ц</w:t>
      </w:r>
      <w:r w:rsidR="006F0E70" w:rsidRPr="00F242DD">
        <w:rPr>
          <w:rFonts w:eastAsia="Times New Roman"/>
        </w:rPr>
        <w:t xml:space="preserve">итогенетическое исследование </w:t>
      </w:r>
      <w:r w:rsidR="00455673" w:rsidRPr="00F242DD">
        <w:rPr>
          <w:rFonts w:eastAsia="Times New Roman"/>
        </w:rPr>
        <w:t>ПК</w:t>
      </w:r>
      <w:r w:rsidR="006F0E70" w:rsidRPr="00F242DD">
        <w:rPr>
          <w:rFonts w:eastAsia="Times New Roman"/>
        </w:rPr>
        <w:t xml:space="preserve"> (кариотипирование и </w:t>
      </w:r>
      <w:r w:rsidR="00CB0539">
        <w:rPr>
          <w:rFonts w:eastAsia="Times New Roman"/>
        </w:rPr>
        <w:t xml:space="preserve">молекулярно-цитогенетическое исследование </w:t>
      </w:r>
      <w:r w:rsidR="006F0E70" w:rsidRPr="00F242DD">
        <w:rPr>
          <w:rFonts w:eastAsia="Times New Roman"/>
          <w:lang w:val="en-US"/>
        </w:rPr>
        <w:t>FISH</w:t>
      </w:r>
      <w:r w:rsidR="00CB0539">
        <w:rPr>
          <w:rFonts w:eastAsia="Times New Roman"/>
        </w:rPr>
        <w:t>-метод</w:t>
      </w:r>
      <w:r w:rsidR="006F0E70" w:rsidRPr="00F242DD">
        <w:rPr>
          <w:rFonts w:eastAsia="Times New Roman"/>
        </w:rPr>
        <w:t xml:space="preserve">) для выявления наиболее </w:t>
      </w:r>
      <w:r w:rsidR="0012713C" w:rsidRPr="00F242DD">
        <w:rPr>
          <w:rFonts w:eastAsia="Times New Roman"/>
        </w:rPr>
        <w:t xml:space="preserve">прогностически </w:t>
      </w:r>
      <w:r w:rsidR="006F0E70" w:rsidRPr="00F242DD">
        <w:rPr>
          <w:rFonts w:eastAsia="Times New Roman"/>
        </w:rPr>
        <w:t>важных цитогенетических аномалий:</w:t>
      </w:r>
      <w:r w:rsidR="0012713C" w:rsidRPr="00F242DD">
        <w:rPr>
          <w:rFonts w:eastAsia="Times New Roman"/>
        </w:rPr>
        <w:t xml:space="preserve"> </w:t>
      </w:r>
      <w:r w:rsidR="006F0E70" w:rsidRPr="00F242DD">
        <w:rPr>
          <w:rFonts w:eastAsia="Times New Roman"/>
          <w:lang w:val="en-US"/>
        </w:rPr>
        <w:t>t</w:t>
      </w:r>
      <w:r w:rsidR="006F0E70" w:rsidRPr="00F242DD">
        <w:rPr>
          <w:rFonts w:eastAsia="Times New Roman"/>
        </w:rPr>
        <w:t xml:space="preserve">(4;14), </w:t>
      </w:r>
      <w:r w:rsidR="006F0E70" w:rsidRPr="00F242DD">
        <w:rPr>
          <w:rFonts w:eastAsia="Times New Roman"/>
          <w:lang w:val="en-US"/>
        </w:rPr>
        <w:t>t</w:t>
      </w:r>
      <w:r w:rsidR="006F0E70" w:rsidRPr="00F242DD">
        <w:rPr>
          <w:rFonts w:eastAsia="Times New Roman"/>
        </w:rPr>
        <w:t xml:space="preserve">(14;16), </w:t>
      </w:r>
      <w:r w:rsidR="0012713C" w:rsidRPr="00F242DD">
        <w:rPr>
          <w:rFonts w:eastAsia="Times New Roman"/>
          <w:lang w:val="en-US"/>
        </w:rPr>
        <w:t>t</w:t>
      </w:r>
      <w:r w:rsidR="0012713C" w:rsidRPr="00F242DD">
        <w:rPr>
          <w:rFonts w:eastAsia="Times New Roman"/>
        </w:rPr>
        <w:t xml:space="preserve">(6;14), </w:t>
      </w:r>
      <w:r w:rsidR="006F0E70" w:rsidRPr="00F242DD">
        <w:rPr>
          <w:rFonts w:eastAsia="Times New Roman"/>
          <w:lang w:val="en-US"/>
        </w:rPr>
        <w:t>del</w:t>
      </w:r>
      <w:r w:rsidR="006F0E70" w:rsidRPr="00F242DD">
        <w:rPr>
          <w:rFonts w:eastAsia="Times New Roman"/>
        </w:rPr>
        <w:t> 17</w:t>
      </w:r>
      <w:r w:rsidR="006F0E70" w:rsidRPr="00F242DD">
        <w:rPr>
          <w:rFonts w:eastAsia="Times New Roman"/>
          <w:lang w:val="en-US"/>
        </w:rPr>
        <w:t>p</w:t>
      </w:r>
      <w:r w:rsidR="006F0E70" w:rsidRPr="00F242DD">
        <w:rPr>
          <w:rFonts w:eastAsia="Times New Roman"/>
        </w:rPr>
        <w:t>13</w:t>
      </w:r>
      <w:r w:rsidR="0012713C" w:rsidRPr="00F242DD">
        <w:rPr>
          <w:rFonts w:eastAsia="Times New Roman"/>
        </w:rPr>
        <w:t xml:space="preserve">, </w:t>
      </w:r>
      <w:r w:rsidR="0012713C" w:rsidRPr="00F242DD">
        <w:rPr>
          <w:rFonts w:eastAsia="Times New Roman"/>
          <w:lang w:val="en-US"/>
        </w:rPr>
        <w:t>t</w:t>
      </w:r>
      <w:r w:rsidR="0012713C" w:rsidRPr="00F242DD">
        <w:rPr>
          <w:rFonts w:eastAsia="Times New Roman"/>
        </w:rPr>
        <w:t>(11;14)</w:t>
      </w:r>
      <w:r w:rsidR="00807232" w:rsidRPr="00F242DD">
        <w:rPr>
          <w:rFonts w:eastAsia="Times New Roman"/>
        </w:rPr>
        <w:t xml:space="preserve">, </w:t>
      </w:r>
      <w:r w:rsidR="00807232" w:rsidRPr="00F242DD">
        <w:rPr>
          <w:rFonts w:eastAsia="Times New Roman"/>
          <w:lang w:val="en-US"/>
        </w:rPr>
        <w:t>del</w:t>
      </w:r>
      <w:r w:rsidR="00807232" w:rsidRPr="00F242DD">
        <w:rPr>
          <w:rFonts w:eastAsia="Times New Roman"/>
        </w:rPr>
        <w:t>13, плоидност</w:t>
      </w:r>
      <w:r w:rsidR="00987A29" w:rsidRPr="00F242DD">
        <w:rPr>
          <w:rFonts w:eastAsia="Times New Roman"/>
        </w:rPr>
        <w:t>и</w:t>
      </w:r>
      <w:r w:rsidR="00807232" w:rsidRPr="00F242DD">
        <w:rPr>
          <w:rFonts w:eastAsia="Times New Roman"/>
        </w:rPr>
        <w:t xml:space="preserve"> и изменени</w:t>
      </w:r>
      <w:r w:rsidR="00987A29" w:rsidRPr="00F242DD">
        <w:rPr>
          <w:rFonts w:eastAsia="Times New Roman"/>
        </w:rPr>
        <w:t>й</w:t>
      </w:r>
      <w:r w:rsidR="00807232" w:rsidRPr="00F242DD">
        <w:rPr>
          <w:rFonts w:eastAsia="Times New Roman"/>
        </w:rPr>
        <w:t xml:space="preserve"> хромосомы 1</w:t>
      </w:r>
      <w:r w:rsidR="008E3216" w:rsidRPr="00F242DD">
        <w:rPr>
          <w:rFonts w:eastAsia="Times New Roman"/>
        </w:rPr>
        <w:t xml:space="preserve"> </w:t>
      </w:r>
      <w:r w:rsidR="00A96FB6" w:rsidRPr="00F242DD">
        <w:rPr>
          <w:rFonts w:eastAsia="Times New Roman"/>
        </w:rPr>
        <w:fldChar w:fldCharType="begin" w:fldLock="1"/>
      </w:r>
      <w:r w:rsidR="00500F37">
        <w:rPr>
          <w:rFonts w:eastAsia="Times New Roman"/>
        </w:rPr>
        <w:instrText>ADDIN CSL_CITATION {"citationItems":[{"id":"ITEM-1","itemData":{"DOI":"10.1200/JCO.2015.61.2267","ISSN":"15277755","abstract":"PURPOSE The clinical outcome of multiple myeloma (MM) is heterogeneous. A simple and reliable tool is needed to stratify patients with MM. We combined the International Staging System (ISS) with chromosomal abnormalities (CA) detected by interphase fluorescent in situ hybridization after CD138 plasma cell purification and serum lactate dehydrogenase (LDH) to evaluate their prognostic value in newly diagnosed MM (NDMM). PATIENTS AND METHODS Clinical and laboratory data from 4,445 patients with NDMM enrolled onto 11 international trials were pooled together. The K-adaptive partitioning algorithm was used to define the most appropriate subgroups with homogeneous survival. RESULTS ISS, CA, and LDH data were simultaneously available in 3,060 of 4,445 patients. We defined the following three groups: revised ISS (R-ISS) I (n = 871), including ISS stage I (serum β2-microglobulin level &lt; 3.5 mg/L and serum albumin level ≥ 3.5 g/dL), no high-risk CA [del(17p) and/or t(4;14) and/or t(14;16)], and normal LDH level (less than the upper limit of normal range); R-ISS III (n = 295), including ISS stage III (serum β2-microglobulin level &gt; 5.5 mg/L) and high-risk CA or high LDH level; and R-ISS II (n = 1,894), including all the other possible combinations. At a median follow-up of 46 months, the 5-year OS rate was 82% in the R-ISS I, 62% in the R-ISS II, and 40% in the R-ISS III groups; the 5-year PFS rates were 55%, 36%, and 24%, respectively. CONCLUSION The R-ISS is a simple and powerful prognostic staging system, and we recommend its use in future clinical studies to stratify patients with NDMM effectively with respect to the relative risk to their survival.","author":[{"dropping-particle":"","family":"Palumbo","given":"Antonio","non-dropping-particle":"","parse-names":false,"suffix":""},{"dropping-particle":"","family":"Avet-Loiseau","given":"Hervé","non-dropping-particle":"","parse-names":false,"suffix":""},{"dropping-particle":"","family":"Oliva","given":"Stefania","non-dropping-particle":"","parse-names":false,"suffix":""},{"dropping-particle":"","family":"Lokhorst","given":"Henk M.","non-dropping-particle":"","parse-names":false,"suffix":""},{"dropping-particle":"","family":"Goldschmidt","given":"Hartmut","non-dropping-particle":"","parse-names":false,"suffix":""},{"dropping-particle":"","family":"Rosinol","given":"Laura","non-dropping-particle":"","parse-names":false,"suffix":""},{"dropping-particle":"","family":"Richardson","given":"Paul","non-dropping-particle":"","parse-names":false,"suffix":""},{"dropping-particle":"","family":"Caltagirone","given":"Simona","non-dropping-particle":"","parse-names":false,"suffix":""},{"dropping-particle":"","family":"Lahuerta","given":"Juan José","non-dropping-particle":"","parse-names":false,"suffix":""},{"dropping-particle":"","family":"Facon","given":"Thierry","non-dropping-particle":"","parse-names":false,"suffix":""},{"dropping-particle":"","family":"Bringhen","given":"Sara","non-dropping-particle":"","parse-names":false,"suffix":""},{"dropping-particle":"","family":"Gay","given":"Francesca","non-dropping-particle":"","parse-names":false,"suffix":""},{"dropping-particle":"","family":"Attal","given":"Michel","non-dropping-particle":"","parse-names":false,"suffix":""},{"dropping-particle":"","family":"Passera","given":"Roberto","non-dropping-particle":"","parse-names":false,"suffix":""},{"dropping-particle":"","family":"Spencer","given":"Andrew","non-dropping-particle":"","parse-names":false,"suffix":""},{"dropping-particle":"","family":"Offidani","given":"Massimo","non-dropping-particle":"","parse-names":false,"suffix":""},{"dropping-particle":"","family":"Kumar","given":"Shaji","non-dropping-particle":"","parse-names":false,"suffix":""},{"dropping-particle":"","family":"Musto","given":"Pellegrino","non-dropping-particle":"","parse-names":false,"suffix":""},{"dropping-particle":"","family":"Lonial","given":"Sagar","non-dropping-particle":"","parse-names":false,"suffix":""},{"dropping-particle":"","family":"Petrucci","given":"Maria T.","non-dropping-particle":"","parse-names":false,"suffix":""},{"dropping-particle":"","family":"Orlowski","given":"Robert Z.","non-dropping-particle":"","parse-names":false,"suffix":""},{"dropping-particle":"","family":"Zamagni","given":"Elena","non-dropping-particle":"","parse-names":false,"suffix":""},{"dropping-particle":"","family":"Morgan","given":"Gareth","non-dropping-particle":"","parse-names":false,"suffix":""},{"dropping-particle":"","family":"Dimopoulos","given":"Meletios A.","non-dropping-particle":"","parse-names":false,"suffix":""},{"dropping-particle":"","family":"Durie","given":"Brian G.M.","non-dropping-particle":"","parse-names":false,"suffix":""},{"dropping-particle":"","family":"Anderson","given":"Kenneth C.","non-dropping-particle":"","parse-names":false,"suffix":""},{"dropping-particle":"","family":"Sonneveld","given":"Pieter","non-dropping-particle":"","parse-names":false,"suffix":""},{"dropping-particle":"","family":"Miguel","given":"Jésus San","non-dropping-particle":"","parse-names":false,"suffix":""},{"dropping-particle":"","family":"Cavo","given":"Michele","non-dropping-particle":"","parse-names":false,"suffix":""},{"dropping-particle":"","family":"Rajkumar","given":"S. Vincent","non-dropping-particle":"","parse-names":false,"suffix":""},{"dropping-particle":"","family":"Moreau","given":"Philippe","non-dropping-particle":"","parse-names":false,"suffix":""}],"container-title":"Journal of Clinical Oncology","id":"ITEM-1","issue":"26","issued":{"date-parts":[["2015"]]},"page":"2863-2869","publisher":"American Society of Clinical Oncology","title":"Revised international staging system for multiple myeloma: A report from international myeloma working group","type":"article-journal","volume":"33"},"uris":["http://www.mendeley.com/documents/?uuid=dc5fa189-ca83-351a-8e2c-68a7d7d762af"]}],"mendeley":{"formattedCitation":"[13]","plainTextFormattedCitation":"[13]","previouslyFormattedCitation":"[13]"},"properties":{"noteIndex":0},"schema":"https://github.com/citation-style-language/schema/raw/master/csl-citation.json"}</w:instrText>
      </w:r>
      <w:r w:rsidR="00A96FB6" w:rsidRPr="00F242DD">
        <w:rPr>
          <w:rFonts w:eastAsia="Times New Roman"/>
        </w:rPr>
        <w:fldChar w:fldCharType="separate"/>
      </w:r>
      <w:r w:rsidR="00E03159" w:rsidRPr="00E03159">
        <w:rPr>
          <w:rFonts w:eastAsia="Times New Roman"/>
          <w:noProof/>
        </w:rPr>
        <w:t>[13]</w:t>
      </w:r>
      <w:r w:rsidR="00A96FB6" w:rsidRPr="00F242DD">
        <w:rPr>
          <w:rFonts w:eastAsia="Times New Roman"/>
        </w:rPr>
        <w:fldChar w:fldCharType="end"/>
      </w:r>
      <w:r w:rsidRPr="00F242DD">
        <w:t>.</w:t>
      </w:r>
    </w:p>
    <w:p w14:paraId="23A79B53" w14:textId="77777777" w:rsidR="00AE5CC8" w:rsidRPr="00172C08" w:rsidRDefault="00AE5CC8" w:rsidP="00092917">
      <w:pPr>
        <w:spacing w:before="0" w:after="0"/>
        <w:contextualSpacing/>
        <w:rPr>
          <w:b/>
          <w:sz w:val="22"/>
        </w:rPr>
      </w:pPr>
      <w:r w:rsidRPr="00172C08">
        <w:rPr>
          <w:b/>
          <w:sz w:val="22"/>
        </w:rPr>
        <w:t xml:space="preserve">Уровень убедительности рекомендаций </w:t>
      </w:r>
      <w:r w:rsidR="00987A29" w:rsidRPr="00172C08">
        <w:rPr>
          <w:b/>
          <w:sz w:val="22"/>
        </w:rPr>
        <w:t xml:space="preserve">− </w:t>
      </w:r>
      <w:r w:rsidR="006A50CD" w:rsidRPr="00172C08">
        <w:rPr>
          <w:b/>
          <w:sz w:val="22"/>
        </w:rPr>
        <w:t xml:space="preserve">С </w:t>
      </w:r>
      <w:r w:rsidRPr="00172C08">
        <w:rPr>
          <w:b/>
          <w:sz w:val="22"/>
        </w:rPr>
        <w:t xml:space="preserve">(уровень достоверности доказательств </w:t>
      </w:r>
      <w:r w:rsidR="00987A29" w:rsidRPr="00172C08">
        <w:rPr>
          <w:b/>
          <w:sz w:val="22"/>
        </w:rPr>
        <w:t xml:space="preserve">− </w:t>
      </w:r>
      <w:r w:rsidR="006A50CD" w:rsidRPr="00172C08">
        <w:rPr>
          <w:b/>
          <w:sz w:val="22"/>
        </w:rPr>
        <w:t>4</w:t>
      </w:r>
      <w:r w:rsidRPr="00172C08">
        <w:rPr>
          <w:b/>
          <w:sz w:val="22"/>
        </w:rPr>
        <w:t>)</w:t>
      </w:r>
    </w:p>
    <w:p w14:paraId="6FFE89C7" w14:textId="77777777" w:rsidR="004D7374" w:rsidRPr="00F242DD" w:rsidRDefault="004D7374" w:rsidP="00092917">
      <w:pPr>
        <w:spacing w:before="0" w:after="0"/>
        <w:rPr>
          <w:rFonts w:eastAsia="Times New Roman"/>
          <w:i/>
        </w:rPr>
      </w:pPr>
      <w:r w:rsidRPr="00F242DD">
        <w:rPr>
          <w:b/>
        </w:rPr>
        <w:lastRenderedPageBreak/>
        <w:t>Комментари</w:t>
      </w:r>
      <w:r w:rsidR="00987A29" w:rsidRPr="00F242DD">
        <w:rPr>
          <w:b/>
        </w:rPr>
        <w:t>й</w:t>
      </w:r>
      <w:r w:rsidRPr="00F242DD">
        <w:rPr>
          <w:b/>
        </w:rPr>
        <w:t>:</w:t>
      </w:r>
      <w:r w:rsidR="008E3216" w:rsidRPr="00F242DD">
        <w:rPr>
          <w:b/>
        </w:rPr>
        <w:t xml:space="preserve"> </w:t>
      </w:r>
      <w:r w:rsidR="008E3216" w:rsidRPr="00F242DD">
        <w:rPr>
          <w:rFonts w:eastAsia="Times New Roman"/>
          <w:i/>
        </w:rPr>
        <w:t xml:space="preserve">мутации </w:t>
      </w:r>
      <w:r w:rsidR="006F0E70" w:rsidRPr="00F242DD">
        <w:rPr>
          <w:rFonts w:eastAsia="Times New Roman"/>
          <w:i/>
          <w:lang w:val="en-US"/>
        </w:rPr>
        <w:t>t</w:t>
      </w:r>
      <w:r w:rsidR="006F0E70" w:rsidRPr="00F242DD">
        <w:rPr>
          <w:rFonts w:eastAsia="Times New Roman"/>
          <w:i/>
        </w:rPr>
        <w:t xml:space="preserve">(4;14), </w:t>
      </w:r>
      <w:r w:rsidR="006F0E70" w:rsidRPr="00F242DD">
        <w:rPr>
          <w:rFonts w:eastAsia="Times New Roman"/>
          <w:i/>
          <w:lang w:val="en-US"/>
        </w:rPr>
        <w:t>t</w:t>
      </w:r>
      <w:r w:rsidR="006F0E70" w:rsidRPr="00F242DD">
        <w:rPr>
          <w:rFonts w:eastAsia="Times New Roman"/>
          <w:i/>
        </w:rPr>
        <w:t xml:space="preserve">(14;16) и </w:t>
      </w:r>
      <w:r w:rsidR="006F0E70" w:rsidRPr="00F242DD">
        <w:rPr>
          <w:rFonts w:eastAsia="Times New Roman"/>
          <w:i/>
          <w:lang w:val="en-US"/>
        </w:rPr>
        <w:t>del</w:t>
      </w:r>
      <w:r w:rsidR="006F0E70" w:rsidRPr="00F242DD">
        <w:rPr>
          <w:rFonts w:eastAsia="Times New Roman"/>
          <w:i/>
        </w:rPr>
        <w:t>17</w:t>
      </w:r>
      <w:r w:rsidR="006F0E70" w:rsidRPr="00F242DD">
        <w:rPr>
          <w:rFonts w:eastAsia="Times New Roman"/>
          <w:i/>
          <w:lang w:val="en-US"/>
        </w:rPr>
        <w:t>p</w:t>
      </w:r>
      <w:r w:rsidR="006F0E70" w:rsidRPr="00F242DD">
        <w:rPr>
          <w:rFonts w:eastAsia="Times New Roman"/>
          <w:i/>
        </w:rPr>
        <w:t xml:space="preserve"> включены в пересмотренную систему стадирования ММ </w:t>
      </w:r>
      <w:r w:rsidR="006F0E70" w:rsidRPr="00F242DD">
        <w:rPr>
          <w:rFonts w:eastAsia="Times New Roman"/>
          <w:i/>
          <w:lang w:val="en-US"/>
        </w:rPr>
        <w:t>R</w:t>
      </w:r>
      <w:r w:rsidR="006F0E70" w:rsidRPr="00F242DD">
        <w:rPr>
          <w:rFonts w:eastAsia="Times New Roman"/>
          <w:i/>
        </w:rPr>
        <w:t>-</w:t>
      </w:r>
      <w:r w:rsidR="006F0E70" w:rsidRPr="00F242DD">
        <w:rPr>
          <w:rFonts w:eastAsia="Times New Roman"/>
          <w:i/>
          <w:lang w:val="en-US"/>
        </w:rPr>
        <w:t>ISS</w:t>
      </w:r>
      <w:r w:rsidR="006F0E70" w:rsidRPr="00F242DD">
        <w:rPr>
          <w:rFonts w:eastAsia="Times New Roman"/>
          <w:i/>
        </w:rPr>
        <w:t xml:space="preserve"> как относящиеся к высокому риску, поэтому они должны оцениваться у всех </w:t>
      </w:r>
      <w:r w:rsidR="00FB03BB" w:rsidRPr="00F242DD">
        <w:rPr>
          <w:rFonts w:eastAsia="Times New Roman"/>
          <w:i/>
        </w:rPr>
        <w:t>пациентов</w:t>
      </w:r>
      <w:r w:rsidR="006F0E70" w:rsidRPr="00F242DD">
        <w:rPr>
          <w:rFonts w:eastAsia="Times New Roman"/>
          <w:i/>
        </w:rPr>
        <w:t xml:space="preserve"> ММ при установлении диагноза.</w:t>
      </w:r>
    </w:p>
    <w:p w14:paraId="12F89434" w14:textId="77777777" w:rsidR="004D7374" w:rsidRPr="00F242DD" w:rsidRDefault="004D7374" w:rsidP="00092917">
      <w:pPr>
        <w:pStyle w:val="2"/>
        <w:spacing w:before="0" w:after="0"/>
      </w:pPr>
      <w:bookmarkStart w:id="20" w:name="_Toc97734622"/>
      <w:r w:rsidRPr="00F242DD">
        <w:t>2.4 Инструментальн</w:t>
      </w:r>
      <w:r w:rsidR="00B255C9" w:rsidRPr="00F242DD">
        <w:t>ые диагностические исследования</w:t>
      </w:r>
      <w:bookmarkEnd w:id="20"/>
    </w:p>
    <w:p w14:paraId="655A3A92" w14:textId="6B20F0A4" w:rsidR="004D7374" w:rsidRPr="00F242DD" w:rsidRDefault="004D7374" w:rsidP="00092917">
      <w:pPr>
        <w:pStyle w:val="a6"/>
        <w:numPr>
          <w:ilvl w:val="0"/>
          <w:numId w:val="3"/>
        </w:numPr>
        <w:spacing w:before="0" w:after="0"/>
        <w:ind w:left="0" w:firstLine="0"/>
      </w:pPr>
      <w:r w:rsidRPr="00F242DD">
        <w:t xml:space="preserve">Всем пациентам при установке диагноза </w:t>
      </w:r>
      <w:r w:rsidR="00503339" w:rsidRPr="00F242DD">
        <w:t>ММ</w:t>
      </w:r>
      <w:r w:rsidR="001B7955" w:rsidRPr="00C528FA">
        <w:t>/</w:t>
      </w:r>
      <w:r w:rsidRPr="001B7955">
        <w:t>п</w:t>
      </w:r>
      <w:r w:rsidRPr="00F242DD">
        <w:t xml:space="preserve">еред началом терапии, при оценке </w:t>
      </w:r>
      <w:r w:rsidR="00D426A3" w:rsidRPr="00F242DD">
        <w:t>эффекта терапии,</w:t>
      </w:r>
      <w:r w:rsidR="00833D44" w:rsidRPr="00F242DD">
        <w:t xml:space="preserve"> </w:t>
      </w:r>
      <w:r w:rsidRPr="00F242DD">
        <w:t xml:space="preserve">а также при подозрении на рецидив заболевания </w:t>
      </w:r>
      <w:r w:rsidRPr="00F242DD">
        <w:rPr>
          <w:b/>
        </w:rPr>
        <w:t>рекомендуется</w:t>
      </w:r>
      <w:r w:rsidR="00833D44" w:rsidRPr="00F242DD">
        <w:rPr>
          <w:b/>
        </w:rPr>
        <w:t xml:space="preserve"> </w:t>
      </w:r>
      <w:r w:rsidR="007F557E" w:rsidRPr="00F242DD">
        <w:t xml:space="preserve">выполнить </w:t>
      </w:r>
      <w:r w:rsidR="00987A29" w:rsidRPr="00F242DD">
        <w:t>КТ</w:t>
      </w:r>
      <w:r w:rsidR="000143AC" w:rsidRPr="00F242DD">
        <w:t xml:space="preserve"> всех отделов позвоночника, грудной клетки, таза (предпочтение отдается низкодозной </w:t>
      </w:r>
      <w:r w:rsidR="00987A29" w:rsidRPr="00F242DD">
        <w:t>КТ</w:t>
      </w:r>
      <w:r w:rsidR="000143AC" w:rsidRPr="00F242DD">
        <w:t xml:space="preserve"> всего скелета) </w:t>
      </w:r>
      <w:r w:rsidRPr="00F242DD">
        <w:t xml:space="preserve">для уточнения наличия и распространенности </w:t>
      </w:r>
      <w:r w:rsidR="00CB1D3A" w:rsidRPr="00F242DD">
        <w:t>поражения костей</w:t>
      </w:r>
      <w:r w:rsidR="000143AC" w:rsidRPr="00F242DD">
        <w:t>, выявления костных</w:t>
      </w:r>
      <w:r w:rsidR="00D47D9A">
        <w:t xml:space="preserve"> </w:t>
      </w:r>
      <w:r w:rsidR="00D47D9A" w:rsidRPr="00C528FA">
        <w:t>и экстрамедуллярных</w:t>
      </w:r>
      <w:r w:rsidR="000143AC" w:rsidRPr="00F242DD">
        <w:t xml:space="preserve"> плазмоцитом с определением их размеров</w:t>
      </w:r>
      <w:r w:rsidR="00344A76" w:rsidRPr="00F242DD">
        <w:t xml:space="preserve"> </w:t>
      </w:r>
      <w:r w:rsidR="00A96FB6" w:rsidRPr="00F242DD">
        <w:fldChar w:fldCharType="begin" w:fldLock="1"/>
      </w:r>
      <w:r w:rsidR="00A14090">
        <w:instrText>ADDIN CSL_CITATION {"citationItems":[{"id":"ITEM-1","itemData":{"DOI":"10.1158/1078-0432.CCR-14-1692","ISSN":"15573265","abstract":"© 2014 AACR. Detection of lytic bone lesions is crucial in the workup for multiple myeloma and very often dictates the decision to start treatment. Conventional radiography, despite decades of use, is often insufficient for detection of bone disease in multiple myeloma. Modern imaging techniques such as MRI, PET, and CT offer superior detection of myeloma bone disease and extramedullary manifestations of plasma cell dyscrasias. Novel whole-body low-dose computed tomography (WBLDCT) protocols allow for collection of superior image detail of the skeleton at doses of radiation similar to those used for conventional planar radiography. Several studies have shown that WBLDCT has a superior detection rate for lytic bone lesions compared with whole-body X-ray (WBXR), potentially leading to restaging and changes in therapy. MRI and PET provide imaging data important for assessing disease activity and prognostication. Because of several advantages over WBXR, WBLDCT is already the standard imaging technique for use in patients with multiple myeloma in many European institutions. However, the radiographic skeletal survey or WBXR is still the initial study of choice used to screen for myeloma bone disease in many institutions. In this review, we aim to explore the changing landscape of imaging for myeloma bone disease through use of modern imaging techniques.","author":[{"dropping-particle":"","family":"Pianko","given":"Matthew J.","non-dropping-particle":"","parse-names":false,"suffix":""},{"dropping-particle":"","family":"Terpos","given":"Evangelos","non-dropping-particle":"","parse-names":false,"suffix":""},{"dropping-particle":"","family":"Roodman","given":"G. David","non-dropping-particle":"","parse-names":false,"suffix":""},{"dropping-particle":"","family":"Divgi","given":"Chaitanya R.","non-dropping-particle":"","parse-names":false,"suffix":""},{"dropping-particle":"","family":"Zweegman","given":"Sonja","non-dropping-particle":"","parse-names":false,"suffix":""},{"dropping-particle":"","family":"Hillengass","given":"Jens","non-dropping-particle":"","parse-names":false,"suffix":""},{"dropping-particle":"","family":"Lentzsch","given":"Suzanne","non-dropping-particle":"","parse-names":false,"suffix":""}],"container-title":"Clinical Cancer Research","id":"ITEM-1","issue":"23","issued":{"date-parts":[["2014","12","1"]]},"page":"5888-5897","publisher":"American Association for Cancer Research Inc.","title":"Whole-body low-dose computed tomography and advanced imaging techniques for multiple myeloma bone disease","type":"article","volume":"20"},"uris":["http://www.mendeley.com/documents/?uuid=4ff9e16f-4fa9-3264-9e0c-e3e7902eb365"]},{"id":"ITEM-2","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-2","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[1,22]","plainTextFormattedCitation":"[1,22]","previouslyFormattedCitation":"[1,22]"},"properties":{"noteIndex":0},"schema":"https://github.com/citation-style-language/schema/raw/master/csl-citation.json"}</w:instrText>
      </w:r>
      <w:r w:rsidR="00A96FB6" w:rsidRPr="00F242DD">
        <w:fldChar w:fldCharType="separate"/>
      </w:r>
      <w:r w:rsidR="00500F37" w:rsidRPr="00500F37">
        <w:rPr>
          <w:noProof/>
        </w:rPr>
        <w:t>[1,22]</w:t>
      </w:r>
      <w:r w:rsidR="00A96FB6" w:rsidRPr="00F242DD">
        <w:fldChar w:fldCharType="end"/>
      </w:r>
      <w:r w:rsidR="00741B6B" w:rsidRPr="00F242DD">
        <w:t>.</w:t>
      </w:r>
    </w:p>
    <w:p w14:paraId="5185EF45" w14:textId="77777777" w:rsidR="004D7374" w:rsidRPr="00172C08" w:rsidRDefault="004D7374" w:rsidP="00092917">
      <w:pPr>
        <w:spacing w:before="0" w:after="0"/>
        <w:contextualSpacing/>
        <w:rPr>
          <w:b/>
          <w:sz w:val="22"/>
        </w:rPr>
      </w:pPr>
      <w:r w:rsidRPr="00172C08">
        <w:rPr>
          <w:b/>
          <w:sz w:val="22"/>
        </w:rPr>
        <w:t xml:space="preserve">Уровень убедительности рекомендаций </w:t>
      </w:r>
      <w:r w:rsidR="00E62084" w:rsidRPr="00172C08">
        <w:rPr>
          <w:b/>
          <w:sz w:val="22"/>
        </w:rPr>
        <w:t xml:space="preserve">− </w:t>
      </w:r>
      <w:r w:rsidR="003C65DB" w:rsidRPr="00172C08">
        <w:rPr>
          <w:b/>
          <w:sz w:val="22"/>
        </w:rPr>
        <w:t>С</w:t>
      </w:r>
      <w:r w:rsidRPr="00172C08">
        <w:rPr>
          <w:b/>
          <w:sz w:val="22"/>
        </w:rPr>
        <w:t xml:space="preserve"> (уровень достоверности доказательств </w:t>
      </w:r>
      <w:r w:rsidR="00E62084" w:rsidRPr="00172C08">
        <w:rPr>
          <w:b/>
          <w:sz w:val="22"/>
        </w:rPr>
        <w:t xml:space="preserve">− </w:t>
      </w:r>
      <w:r w:rsidR="003C65DB" w:rsidRPr="00172C08">
        <w:rPr>
          <w:b/>
          <w:sz w:val="22"/>
        </w:rPr>
        <w:t>5</w:t>
      </w:r>
      <w:r w:rsidRPr="00172C08">
        <w:rPr>
          <w:b/>
          <w:sz w:val="22"/>
        </w:rPr>
        <w:t>)</w:t>
      </w:r>
    </w:p>
    <w:p w14:paraId="1A390A0D" w14:textId="7F55C834" w:rsidR="007F557E" w:rsidRPr="00F242DD" w:rsidRDefault="007F557E" w:rsidP="00092917">
      <w:pPr>
        <w:pStyle w:val="a6"/>
        <w:numPr>
          <w:ilvl w:val="0"/>
          <w:numId w:val="3"/>
        </w:numPr>
        <w:spacing w:before="0" w:after="0"/>
        <w:ind w:left="0" w:firstLine="0"/>
      </w:pPr>
      <w:r w:rsidRPr="00F242DD">
        <w:t xml:space="preserve">Всем пациентам при установке диагноза ММ </w:t>
      </w:r>
      <w:r w:rsidR="00031CDE">
        <w:t xml:space="preserve">или непосредственно </w:t>
      </w:r>
      <w:r w:rsidRPr="00F242DD">
        <w:t xml:space="preserve">перед началом терапии, а также при подозрении на рецидив заболевания при невозможности выполнить </w:t>
      </w:r>
      <w:r w:rsidR="00E62084" w:rsidRPr="00F242DD">
        <w:t>КТ</w:t>
      </w:r>
      <w:r w:rsidR="00031CDE">
        <w:t>/низкодозную КТ костей скелета</w:t>
      </w:r>
      <w:r w:rsidR="0075099C" w:rsidRPr="00F242DD">
        <w:t xml:space="preserve"> </w:t>
      </w:r>
      <w:r w:rsidRPr="00F242DD">
        <w:rPr>
          <w:b/>
        </w:rPr>
        <w:t>рекомендуется</w:t>
      </w:r>
      <w:r w:rsidRPr="00F242DD">
        <w:t xml:space="preserve"> выполнить рентгенологическое исследование костей: рентгенографию (включая череп, грудную клетку, все отделы позвоночника, таз, плечевые и бедренные кости) для уточнения наличия и распространенности поражения костей</w:t>
      </w:r>
      <w:r w:rsidR="00344A76" w:rsidRPr="00F242DD">
        <w:t xml:space="preserve"> </w:t>
      </w:r>
      <w:r w:rsidR="00A96FB6" w:rsidRPr="00F242DD">
        <w:fldChar w:fldCharType="begin" w:fldLock="1"/>
      </w:r>
      <w:r w:rsidR="00500F37">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F242DD">
        <w:fldChar w:fldCharType="separate"/>
      </w:r>
      <w:r w:rsidR="00E03159" w:rsidRPr="00E03159">
        <w:rPr>
          <w:noProof/>
        </w:rPr>
        <w:t>[1]</w:t>
      </w:r>
      <w:r w:rsidR="00A96FB6" w:rsidRPr="00F242DD">
        <w:fldChar w:fldCharType="end"/>
      </w:r>
      <w:r w:rsidRPr="00F242DD">
        <w:t>.</w:t>
      </w:r>
    </w:p>
    <w:p w14:paraId="1943625A" w14:textId="77777777" w:rsidR="00344A76" w:rsidRPr="00172C08" w:rsidRDefault="00344A76" w:rsidP="00092917">
      <w:pPr>
        <w:pStyle w:val="a6"/>
        <w:spacing w:before="0" w:after="0"/>
        <w:ind w:left="0"/>
        <w:rPr>
          <w:b/>
          <w:sz w:val="22"/>
        </w:rPr>
      </w:pPr>
      <w:r w:rsidRPr="00172C08">
        <w:rPr>
          <w:b/>
          <w:sz w:val="22"/>
        </w:rPr>
        <w:t xml:space="preserve">Уровень убедительности рекомендаций </w:t>
      </w:r>
      <w:r w:rsidR="00E62084" w:rsidRPr="00172C08">
        <w:rPr>
          <w:b/>
          <w:sz w:val="22"/>
        </w:rPr>
        <w:t xml:space="preserve">− </w:t>
      </w:r>
      <w:r w:rsidRPr="00172C08">
        <w:rPr>
          <w:b/>
          <w:sz w:val="22"/>
        </w:rPr>
        <w:t xml:space="preserve">С (уровень достоверности доказательств </w:t>
      </w:r>
      <w:r w:rsidR="00E62084" w:rsidRPr="00172C08">
        <w:rPr>
          <w:b/>
          <w:sz w:val="22"/>
        </w:rPr>
        <w:t xml:space="preserve">− </w:t>
      </w:r>
      <w:r w:rsidRPr="00172C08">
        <w:rPr>
          <w:b/>
          <w:sz w:val="22"/>
        </w:rPr>
        <w:t>5)</w:t>
      </w:r>
    </w:p>
    <w:p w14:paraId="4920D110" w14:textId="343803ED" w:rsidR="0075099C" w:rsidRPr="00F242DD" w:rsidRDefault="0075099C" w:rsidP="00092917">
      <w:pPr>
        <w:pStyle w:val="a6"/>
        <w:numPr>
          <w:ilvl w:val="0"/>
          <w:numId w:val="3"/>
        </w:numPr>
        <w:spacing w:before="0" w:after="0"/>
        <w:ind w:left="0" w:firstLine="0"/>
      </w:pPr>
      <w:r w:rsidRPr="00F242DD">
        <w:t xml:space="preserve">Всем пациентам при установке диагноза ММ перед началом терапии, при оценке эффекта терапии, а также при подозрении на рецидив заболевания </w:t>
      </w:r>
      <w:r w:rsidR="00411E0C" w:rsidRPr="00F242DD">
        <w:t>в качестве</w:t>
      </w:r>
      <w:r w:rsidRPr="00F242DD">
        <w:t xml:space="preserve"> альтернатив</w:t>
      </w:r>
      <w:r w:rsidR="00411E0C" w:rsidRPr="00F242DD">
        <w:t>ы</w:t>
      </w:r>
      <w:r w:rsidRPr="00F242DD">
        <w:t xml:space="preserve"> </w:t>
      </w:r>
      <w:r w:rsidR="00411E0C" w:rsidRPr="00F242DD">
        <w:t>КТ</w:t>
      </w:r>
      <w:r w:rsidR="00031CDE">
        <w:t xml:space="preserve"> </w:t>
      </w:r>
      <w:r w:rsidRPr="00F242DD">
        <w:t xml:space="preserve">всего скелета для уточнения наличия и распространенности поражения костей, выявления костных </w:t>
      </w:r>
      <w:r w:rsidR="00D47D9A" w:rsidRPr="00C528FA">
        <w:t>и экстрамедуллярных</w:t>
      </w:r>
      <w:r w:rsidR="00D47D9A">
        <w:t xml:space="preserve"> </w:t>
      </w:r>
      <w:r w:rsidRPr="00F242DD">
        <w:t>плазмоцитом с определением их размеров рекомендуется выполнить ПЭТ/КТ</w:t>
      </w:r>
      <w:r w:rsidR="00344A76" w:rsidRPr="00F242DD">
        <w:t xml:space="preserve"> </w:t>
      </w:r>
      <w:r w:rsidR="00A96FB6" w:rsidRPr="00F242DD">
        <w:fldChar w:fldCharType="begin" w:fldLock="1"/>
      </w:r>
      <w:r w:rsidR="00500F37">
        <w:instrText>ADDIN CSL_CITATION {"citationItems":[{"id":"ITEM-1","itemData":{"DOI":"10.1016/S1470-2045(17)30189-4","ISSN":"14745488","abstract":"The International Myeloma Working Group consensus aimed to provide recommendations for the optimal use of 18fluorodeoxyglucose (18F-FDG) PET/CT in patients with multiple myeloma and other plasma cell disorders, including smouldering multiple myeloma and solitary plasmacytoma. 18F-FDG PET/CT can be considered a valuable tool for the work-up of patients with both newly diagnosed and relapsed or refractory multiple myeloma because it assesses bone damage with relatively high sensitivity and specificity, and detects extramedullary sites of proliferating clonal plasma cells while providing important prognostic information. The use of 18F-FDG PET/CT is mandatory to confirm a suspected diagnosis of solitary plasmacytoma, provided that whole-body MRI is unable to be performed, and to distinguish between smouldering and active multiple myeloma, if whole-body X-ray (WBXR) is negative and whole-body MRI is unavailable. Based on the ability of 18F-FDG PET/CT to distinguish between metabolically active and inactive disease, this technique is now the preferred functional imaging modality to evaluate and to monitor the effect of therapy on myeloma-cell metabolism. Changes in FDG avidity can provide an earlier evaluation of response to therapy compared to MRI scans, and can predict outcomes, particularly for patients who are eligible to receive autologous stem-cell transplantation. 18F-FDG PET/CT can be coupled with sensitive bone marrow-based techniques to detect minimal residual disease (MRD) inside and outside the bone marrow, helping to identify those patients who are defined as having imaging MRD negativity.","author":[{"dropping-particle":"","family":"Cavo","given":"Michele","non-dropping-particle":"","parse-names":false,"suffix":""},{"dropping-particle":"","family":"Terpos","given":"Evangelos","non-dropping-particle":"","parse-names":false,"suffix":""},{"dropping-particle":"","family":"Nanni","given":"Cristina","non-dropping-particle":"","parse-names":false,"suffix":""},{"dropping-particle":"","family":"Moreau","given":"Philippe","non-dropping-particle":"","parse-names":false,"suffix":""},{"dropping-particle":"","family":"Lentzsch","given":"Suzanne","non-dropping-particle":"","parse-names":false,"suffix":""},{"dropping-particle":"","family":"Zweegman","given":"Sonja","non-dropping-particle":"","parse-names":false,"suffix":""},{"dropping-particle":"","family":"Hillengass","given":"Jens","non-dropping-particle":"","parse-names":false,"suffix":""},{"dropping-particle":"","family":"Engelhardt","given":"Monika","non-dropping-particle":"","parse-names":false,"suffix":""},{"dropping-particle":"","family":"Usmani","given":"Saad Z.","non-dropping-particle":"","parse-names":false,"suffix":""},{"dropping-particle":"","family":"Vesole","given":"David H.","non-dropping-particle":"","parse-names":false,"suffix":""},{"dropping-particle":"","family":"San-Miguel","given":"Jesus","non-dropping-particle":"","parse-names":false,"suffix":""},{"dropping-particle":"","family":"Kumar","given":"Shaji K.","non-dropping-particle":"","parse-names":false,"suffix":""},{"dropping-particle":"","family":"Richardson","given":"Paul G.","non-dropping-particle":"","parse-names":false,"suffix":""},{"dropping-particle":"","family":"Mikhael","given":"Joseph R.","non-dropping-particle":"","parse-names":false,"suffix":""},{"dropping-particle":"","family":"Costa","given":"Fernando Leal","non-dropping-particle":"da","parse-names":false,"suffix":""},{"dropping-particle":"","family":"Dimopoulos","given":"Meletios Athanassios","non-dropping-particle":"","parse-names":false,"suffix":""},{"dropping-particle":"","family":"Zingaretti","given":"Chiara","non-dropping-particle":"","parse-names":false,"suffix":""},{"dropping-particle":"","family":"Abildgaard","given":"Niels","non-dropping-particle":"","parse-names":false,"suffix":""},{"dropping-particle":"","family":"Goldschmidt","given":"Hartmut","non-dropping-particle":"","parse-names":false,"suffix":""},{"dropping-particle":"","family":"Orlowski","given":"Robert Z.","non-dropping-particle":"","parse-names":false,"suffix":""},{"dropping-particle":"","family":"Chng","given":"Wee Joo","non-dropping-particle":"","parse-names":false,"suffix":""},{"dropping-particle":"","family":"Einsele","given":"Hermann","non-dropping-particle":"","parse-names":false,"suffix":""},{"dropping-particle":"","family":"Lonial","given":"Sagar","non-dropping-particle":"","parse-names":false,"suffix":""},{"dropping-particle":"","family":"Barlogie","given":"Bart","non-dropping-particle":"","parse-names":false,"suffix":""},{"dropping-particle":"","family":"Anderson","given":"Kenneth C.","non-dropping-particle":"","parse-names":false,"suffix":""},{"dropping-particle":"","family":"Rajkumar","given":"S. Vincent","non-dropping-particle":"","parse-names":false,"suffix":""},{"dropping-particle":"","family":"Durie","given":"Brian G.M.","non-dropping-particle":"","parse-names":false,"suffix":""},{"dropping-particle":"","family":"Zamagni","given":"Elena","non-dropping-particle":"","parse-names":false,"suffix":""}],"container-title":"The Lancet Oncology","id":"ITEM-1","issue":"4","issued":{"date-parts":[["2017","4","1"]]},"page":"e206-e217","publisher":"Lancet Publishing Group","title":"Role of 18F-FDG PET/CT in the diagnosis and management of multiple myeloma and other plasma cell disorders: a consensus statement by the International Myeloma Working Group","type":"article","volume":"18"},"uris":["http://www.mendeley.com/documents/?uuid=dac9c8c9-a485-3d92-bc6b-3cf43e0d4f6b"]}],"mendeley":{"formattedCitation":"[23]","plainTextFormattedCitation":"[23]","previouslyFormattedCitation":"[23]"},"properties":{"noteIndex":0},"schema":"https://github.com/citation-style-language/schema/raw/master/csl-citation.json"}</w:instrText>
      </w:r>
      <w:r w:rsidR="00A96FB6" w:rsidRPr="00F242DD">
        <w:fldChar w:fldCharType="separate"/>
      </w:r>
      <w:r w:rsidR="00E03159" w:rsidRPr="00E03159">
        <w:rPr>
          <w:noProof/>
        </w:rPr>
        <w:t>[23]</w:t>
      </w:r>
      <w:r w:rsidR="00A96FB6" w:rsidRPr="00F242DD">
        <w:fldChar w:fldCharType="end"/>
      </w:r>
      <w:r w:rsidR="00A936BF" w:rsidRPr="00F242DD">
        <w:rPr>
          <w:lang w:val="en-US"/>
        </w:rPr>
        <w:t>.</w:t>
      </w:r>
    </w:p>
    <w:p w14:paraId="0B013FC3" w14:textId="77777777" w:rsidR="00A936BF" w:rsidRPr="00172C08" w:rsidRDefault="00A936BF" w:rsidP="00092917">
      <w:pPr>
        <w:pStyle w:val="a6"/>
        <w:spacing w:before="0" w:after="0"/>
        <w:ind w:left="0"/>
        <w:rPr>
          <w:b/>
          <w:sz w:val="22"/>
        </w:rPr>
      </w:pPr>
      <w:r w:rsidRPr="00172C08">
        <w:rPr>
          <w:b/>
          <w:sz w:val="22"/>
        </w:rPr>
        <w:t xml:space="preserve">Уровень убедительности рекомендаций </w:t>
      </w:r>
      <w:r w:rsidR="001F332B" w:rsidRPr="00172C08">
        <w:rPr>
          <w:b/>
          <w:sz w:val="22"/>
        </w:rPr>
        <w:t xml:space="preserve">− </w:t>
      </w:r>
      <w:r w:rsidRPr="00172C08">
        <w:rPr>
          <w:b/>
          <w:sz w:val="22"/>
        </w:rPr>
        <w:t xml:space="preserve">С (уровень достоверности доказательств </w:t>
      </w:r>
      <w:r w:rsidR="001F332B" w:rsidRPr="00172C08">
        <w:rPr>
          <w:b/>
          <w:sz w:val="22"/>
        </w:rPr>
        <w:t xml:space="preserve">− </w:t>
      </w:r>
      <w:r w:rsidRPr="00172C08">
        <w:rPr>
          <w:b/>
          <w:sz w:val="22"/>
        </w:rPr>
        <w:t>5)</w:t>
      </w:r>
    </w:p>
    <w:p w14:paraId="49F7D35D" w14:textId="77777777" w:rsidR="0075099C" w:rsidRPr="00F242DD" w:rsidRDefault="0075099C" w:rsidP="00092917">
      <w:pPr>
        <w:pStyle w:val="a6"/>
        <w:spacing w:before="0" w:after="0"/>
        <w:ind w:left="0"/>
      </w:pPr>
      <w:r w:rsidRPr="00F242DD">
        <w:rPr>
          <w:b/>
          <w:bCs/>
          <w:iCs/>
        </w:rPr>
        <w:t>Комментари</w:t>
      </w:r>
      <w:r w:rsidR="001F332B" w:rsidRPr="00F242DD">
        <w:rPr>
          <w:b/>
          <w:bCs/>
          <w:iCs/>
        </w:rPr>
        <w:t>й</w:t>
      </w:r>
      <w:r w:rsidRPr="00F242DD">
        <w:rPr>
          <w:b/>
          <w:bCs/>
          <w:iCs/>
        </w:rPr>
        <w:t>:</w:t>
      </w:r>
      <w:r w:rsidRPr="00F242DD">
        <w:rPr>
          <w:i/>
        </w:rPr>
        <w:t xml:space="preserve"> </w:t>
      </w:r>
      <w:r w:rsidR="00A936BF" w:rsidRPr="00F242DD">
        <w:rPr>
          <w:i/>
        </w:rPr>
        <w:t xml:space="preserve">при </w:t>
      </w:r>
      <w:r w:rsidR="00D15602" w:rsidRPr="00F242DD">
        <w:rPr>
          <w:i/>
        </w:rPr>
        <w:t xml:space="preserve">планировании этапа высокодозного лечения с поддержкой аутологичными </w:t>
      </w:r>
      <w:r w:rsidR="001F332B" w:rsidRPr="00F242DD">
        <w:rPr>
          <w:i/>
        </w:rPr>
        <w:t>гемопоэтическими стволовыми клетками (</w:t>
      </w:r>
      <w:r w:rsidR="00746015" w:rsidRPr="00F242DD">
        <w:rPr>
          <w:i/>
        </w:rPr>
        <w:t>ауто-Т</w:t>
      </w:r>
      <w:r w:rsidR="00D15602" w:rsidRPr="00F242DD">
        <w:rPr>
          <w:i/>
        </w:rPr>
        <w:t>ГСК</w:t>
      </w:r>
      <w:r w:rsidR="001F332B" w:rsidRPr="00F242DD">
        <w:rPr>
          <w:i/>
        </w:rPr>
        <w:t>)</w:t>
      </w:r>
      <w:r w:rsidR="00D15602" w:rsidRPr="00F242DD">
        <w:rPr>
          <w:i/>
        </w:rPr>
        <w:t xml:space="preserve"> динамика опухолевого процесса по данным ПЭТ/КТ имеет прогностическое значение.</w:t>
      </w:r>
    </w:p>
    <w:p w14:paraId="4374611D" w14:textId="2DB4B9DE" w:rsidR="00CB1D3A" w:rsidRPr="00F242DD" w:rsidRDefault="00CB1D3A" w:rsidP="00092917">
      <w:pPr>
        <w:pStyle w:val="a6"/>
        <w:numPr>
          <w:ilvl w:val="0"/>
          <w:numId w:val="3"/>
        </w:numPr>
        <w:spacing w:before="0" w:after="0"/>
        <w:ind w:left="0" w:firstLine="0"/>
      </w:pPr>
      <w:r w:rsidRPr="00F242DD">
        <w:t>Всем пациентам</w:t>
      </w:r>
      <w:r w:rsidR="00A057F1" w:rsidRPr="00F242DD">
        <w:t xml:space="preserve"> с подозрением на тлеющую миелому или на солитарную</w:t>
      </w:r>
      <w:r w:rsidR="0075099C" w:rsidRPr="00F242DD">
        <w:t xml:space="preserve"> </w:t>
      </w:r>
      <w:r w:rsidR="00A057F1" w:rsidRPr="00F242DD">
        <w:t>плазмоцитому, а также при подозрении</w:t>
      </w:r>
      <w:r w:rsidR="000143AC" w:rsidRPr="00F242DD">
        <w:t xml:space="preserve"> на</w:t>
      </w:r>
      <w:r w:rsidR="00A057F1" w:rsidRPr="00F242DD">
        <w:t xml:space="preserve"> компрессию спинного мозга (для визуализации оболочек спинного мозга) </w:t>
      </w:r>
      <w:r w:rsidR="00A057F1" w:rsidRPr="00F242DD">
        <w:rPr>
          <w:b/>
        </w:rPr>
        <w:t>рекомендуется</w:t>
      </w:r>
      <w:r w:rsidR="00A057F1" w:rsidRPr="00F242DD">
        <w:t xml:space="preserve"> выполнение </w:t>
      </w:r>
      <w:r w:rsidR="00D067B4" w:rsidRPr="00F242DD">
        <w:t>магнитно-резонансной томографии всех отделов</w:t>
      </w:r>
      <w:r w:rsidR="00A057F1" w:rsidRPr="00F242DD">
        <w:t xml:space="preserve"> позвоночника</w:t>
      </w:r>
      <w:r w:rsidR="000143AC" w:rsidRPr="00F242DD">
        <w:t xml:space="preserve"> и таза</w:t>
      </w:r>
      <w:r w:rsidR="00A936BF" w:rsidRPr="00F242DD">
        <w:t xml:space="preserve"> </w:t>
      </w:r>
      <w:r w:rsidR="00A96FB6" w:rsidRPr="00F242DD">
        <w:fldChar w:fldCharType="begin" w:fldLock="1"/>
      </w:r>
      <w:r w:rsidR="00500F37">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F242DD">
        <w:fldChar w:fldCharType="separate"/>
      </w:r>
      <w:r w:rsidR="00E03159" w:rsidRPr="00E03159">
        <w:rPr>
          <w:noProof/>
        </w:rPr>
        <w:t>[1]</w:t>
      </w:r>
      <w:r w:rsidR="00A96FB6" w:rsidRPr="00F242DD">
        <w:fldChar w:fldCharType="end"/>
      </w:r>
      <w:r w:rsidRPr="00F242DD">
        <w:t>.</w:t>
      </w:r>
    </w:p>
    <w:p w14:paraId="62BE7691" w14:textId="77777777" w:rsidR="00CB1D3A" w:rsidRPr="00172C08" w:rsidRDefault="00CB1D3A" w:rsidP="00092917">
      <w:pPr>
        <w:spacing w:before="0" w:after="0"/>
        <w:contextualSpacing/>
        <w:rPr>
          <w:b/>
          <w:sz w:val="22"/>
        </w:rPr>
      </w:pPr>
      <w:r w:rsidRPr="00172C08">
        <w:rPr>
          <w:b/>
          <w:sz w:val="22"/>
        </w:rPr>
        <w:t xml:space="preserve">Уровень убедительности рекомендаций </w:t>
      </w:r>
      <w:r w:rsidR="00D25832" w:rsidRPr="00172C08">
        <w:rPr>
          <w:b/>
          <w:sz w:val="22"/>
        </w:rPr>
        <w:t xml:space="preserve">− </w:t>
      </w:r>
      <w:r w:rsidR="003C65DB" w:rsidRPr="00172C08">
        <w:rPr>
          <w:b/>
          <w:sz w:val="22"/>
        </w:rPr>
        <w:t>С</w:t>
      </w:r>
      <w:r w:rsidRPr="00172C08">
        <w:rPr>
          <w:b/>
          <w:sz w:val="22"/>
        </w:rPr>
        <w:t xml:space="preserve"> (уровень достоверности доказательств </w:t>
      </w:r>
      <w:r w:rsidR="00D25832" w:rsidRPr="00172C08">
        <w:rPr>
          <w:b/>
          <w:sz w:val="22"/>
        </w:rPr>
        <w:t xml:space="preserve">− </w:t>
      </w:r>
      <w:r w:rsidR="003C65DB" w:rsidRPr="00172C08">
        <w:rPr>
          <w:b/>
          <w:sz w:val="22"/>
        </w:rPr>
        <w:t>5</w:t>
      </w:r>
      <w:r w:rsidRPr="00172C08">
        <w:rPr>
          <w:b/>
          <w:sz w:val="22"/>
        </w:rPr>
        <w:t>)</w:t>
      </w:r>
    </w:p>
    <w:p w14:paraId="3FD77B22" w14:textId="1D190F6D" w:rsidR="00213F0A" w:rsidRPr="00F242DD" w:rsidRDefault="00213F0A" w:rsidP="00092917">
      <w:pPr>
        <w:pStyle w:val="a6"/>
        <w:numPr>
          <w:ilvl w:val="0"/>
          <w:numId w:val="3"/>
        </w:numPr>
        <w:spacing w:before="0" w:after="0"/>
        <w:ind w:left="0" w:firstLine="0"/>
      </w:pPr>
      <w:r w:rsidRPr="00F242DD">
        <w:t xml:space="preserve">Всем пациентам с верифицированной ММ перед началом терапии </w:t>
      </w:r>
      <w:r w:rsidRPr="00F242DD">
        <w:rPr>
          <w:b/>
          <w:bCs/>
        </w:rPr>
        <w:t xml:space="preserve">рекомендуется </w:t>
      </w:r>
      <w:r w:rsidRPr="00F242DD">
        <w:t>для своевременного выявления сопутствующей патологии со стороны сердечно-</w:t>
      </w:r>
      <w:r w:rsidRPr="00F242DD">
        <w:lastRenderedPageBreak/>
        <w:t xml:space="preserve">сосудистой, дыхательной и пищеварительной систем, определения необходимости профилактики или лечения соответствующей коморбидности выполнить следующие исследования </w:t>
      </w:r>
      <w:r w:rsidR="00A96FB6" w:rsidRPr="00F242DD">
        <w:fldChar w:fldCharType="begin" w:fldLock="1"/>
      </w:r>
      <w:r w:rsidR="00500F37">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F242DD">
        <w:fldChar w:fldCharType="separate"/>
      </w:r>
      <w:r w:rsidR="00E03159" w:rsidRPr="00E03159">
        <w:rPr>
          <w:noProof/>
        </w:rPr>
        <w:t>[1]</w:t>
      </w:r>
      <w:r w:rsidR="00A96FB6" w:rsidRPr="00F242DD">
        <w:fldChar w:fldCharType="end"/>
      </w:r>
      <w:r w:rsidRPr="00F242DD">
        <w:t>:</w:t>
      </w:r>
    </w:p>
    <w:p w14:paraId="489B94C1" w14:textId="77777777" w:rsidR="00213F0A" w:rsidRPr="00F242DD" w:rsidRDefault="00213F0A" w:rsidP="00092917">
      <w:pPr>
        <w:pStyle w:val="a6"/>
        <w:numPr>
          <w:ilvl w:val="1"/>
          <w:numId w:val="3"/>
        </w:numPr>
        <w:spacing w:before="0" w:after="0"/>
        <w:ind w:left="0" w:firstLine="0"/>
      </w:pPr>
      <w:r w:rsidRPr="00F242DD">
        <w:t>электрокардиографию;</w:t>
      </w:r>
    </w:p>
    <w:p w14:paraId="13A67BF2" w14:textId="47DB3D11" w:rsidR="00213F0A" w:rsidRPr="00C528FA" w:rsidRDefault="00213F0A" w:rsidP="00092917">
      <w:pPr>
        <w:pStyle w:val="a6"/>
        <w:numPr>
          <w:ilvl w:val="1"/>
          <w:numId w:val="3"/>
        </w:numPr>
        <w:spacing w:before="0" w:after="0"/>
        <w:ind w:left="0" w:firstLine="0"/>
      </w:pPr>
      <w:r w:rsidRPr="00C528FA">
        <w:t>эхокардиографию</w:t>
      </w:r>
      <w:r w:rsidR="0001340B" w:rsidRPr="00C528FA">
        <w:t xml:space="preserve"> (по показаниям)</w:t>
      </w:r>
      <w:r w:rsidRPr="00C528FA">
        <w:t>;</w:t>
      </w:r>
    </w:p>
    <w:p w14:paraId="74ED9F7E" w14:textId="2D8B0AFA" w:rsidR="00213F0A" w:rsidRDefault="00213F0A" w:rsidP="00092917">
      <w:pPr>
        <w:pStyle w:val="a6"/>
        <w:numPr>
          <w:ilvl w:val="1"/>
          <w:numId w:val="3"/>
        </w:numPr>
        <w:spacing w:before="0" w:after="0"/>
        <w:ind w:left="0" w:firstLine="0"/>
      </w:pPr>
      <w:r w:rsidRPr="00C528FA">
        <w:t xml:space="preserve">ультразвуковую допплерографию сосудов (артерий и вен) </w:t>
      </w:r>
      <w:r w:rsidR="00C04CB9" w:rsidRPr="00C528FA">
        <w:t>нижних</w:t>
      </w:r>
      <w:r w:rsidRPr="00C528FA">
        <w:t xml:space="preserve"> конечностей</w:t>
      </w:r>
      <w:r w:rsidR="0001340B" w:rsidRPr="00C528FA">
        <w:t xml:space="preserve"> (по показаниям)</w:t>
      </w:r>
      <w:r w:rsidRPr="00C528FA">
        <w:t>;</w:t>
      </w:r>
    </w:p>
    <w:p w14:paraId="4EB0274E" w14:textId="76BC9FF7" w:rsidR="00055067" w:rsidRPr="00C528FA" w:rsidRDefault="00055067" w:rsidP="00092917">
      <w:pPr>
        <w:pStyle w:val="a6"/>
        <w:numPr>
          <w:ilvl w:val="1"/>
          <w:numId w:val="3"/>
        </w:numPr>
        <w:spacing w:before="0" w:after="0"/>
        <w:ind w:left="0" w:firstLine="0"/>
      </w:pPr>
      <w:r>
        <w:t xml:space="preserve">ультразвуковое исследование органов брюшной полости </w:t>
      </w:r>
      <w:r w:rsidRPr="00C528FA">
        <w:t>(по показаниям)</w:t>
      </w:r>
      <w:r>
        <w:t>;</w:t>
      </w:r>
    </w:p>
    <w:p w14:paraId="5B0CA7E6" w14:textId="77777777" w:rsidR="00213F0A" w:rsidRPr="00C528FA" w:rsidRDefault="00213F0A" w:rsidP="00092917">
      <w:pPr>
        <w:pStyle w:val="a6"/>
        <w:numPr>
          <w:ilvl w:val="1"/>
          <w:numId w:val="3"/>
        </w:numPr>
        <w:spacing w:before="0" w:after="0"/>
        <w:ind w:left="0" w:firstLine="0"/>
      </w:pPr>
      <w:r w:rsidRPr="00C528FA">
        <w:t xml:space="preserve">рентгенографию или </w:t>
      </w:r>
      <w:r w:rsidR="00D25832" w:rsidRPr="00C528FA">
        <w:t>КТ</w:t>
      </w:r>
      <w:r w:rsidRPr="00C528FA">
        <w:t xml:space="preserve"> органов грудной клетки;</w:t>
      </w:r>
    </w:p>
    <w:p w14:paraId="0F91F79A" w14:textId="04CFA8CA" w:rsidR="00213F0A" w:rsidRPr="00C528FA" w:rsidRDefault="00213F0A" w:rsidP="00092917">
      <w:pPr>
        <w:pStyle w:val="a6"/>
        <w:numPr>
          <w:ilvl w:val="1"/>
          <w:numId w:val="3"/>
        </w:numPr>
        <w:spacing w:before="0" w:after="0"/>
        <w:ind w:left="0" w:firstLine="0"/>
      </w:pPr>
      <w:r w:rsidRPr="00C528FA">
        <w:t>эзофагогастродуоденоскопию</w:t>
      </w:r>
      <w:r w:rsidR="0001340B" w:rsidRPr="00C528FA">
        <w:t xml:space="preserve"> (по показаниям)</w:t>
      </w:r>
      <w:r w:rsidR="00D25832" w:rsidRPr="00C528FA">
        <w:t>.</w:t>
      </w:r>
    </w:p>
    <w:p w14:paraId="6DD488A3" w14:textId="77777777" w:rsidR="00213F0A" w:rsidRPr="00172C08" w:rsidRDefault="00213F0A" w:rsidP="00092917">
      <w:pPr>
        <w:spacing w:before="0" w:after="0"/>
        <w:rPr>
          <w:b/>
          <w:sz w:val="22"/>
        </w:rPr>
      </w:pPr>
      <w:r w:rsidRPr="00172C08">
        <w:rPr>
          <w:b/>
          <w:sz w:val="22"/>
        </w:rPr>
        <w:t xml:space="preserve">Уровень убедительности рекомендаций </w:t>
      </w:r>
      <w:r w:rsidR="00D25832" w:rsidRPr="00172C08">
        <w:rPr>
          <w:b/>
          <w:sz w:val="22"/>
        </w:rPr>
        <w:t xml:space="preserve">− </w:t>
      </w:r>
      <w:r w:rsidRPr="00172C08">
        <w:rPr>
          <w:b/>
          <w:sz w:val="22"/>
        </w:rPr>
        <w:t xml:space="preserve">С (уровень достоверности доказательств </w:t>
      </w:r>
      <w:r w:rsidR="00D25832" w:rsidRPr="00172C08">
        <w:rPr>
          <w:b/>
          <w:sz w:val="22"/>
        </w:rPr>
        <w:t>− 5)</w:t>
      </w:r>
    </w:p>
    <w:p w14:paraId="0D8AD02D" w14:textId="1DD60E44" w:rsidR="00213F0A" w:rsidRPr="00F242DD" w:rsidRDefault="00213F0A" w:rsidP="00092917">
      <w:pPr>
        <w:pStyle w:val="a6"/>
        <w:numPr>
          <w:ilvl w:val="0"/>
          <w:numId w:val="3"/>
        </w:numPr>
        <w:spacing w:before="0" w:after="0"/>
        <w:ind w:left="0" w:firstLine="0"/>
        <w:rPr>
          <w:b/>
        </w:rPr>
      </w:pPr>
      <w:r w:rsidRPr="00F242DD">
        <w:t xml:space="preserve">Всем пациентам с верифицированной ММ с коморбидностью, которая может повлиять на выбор программы противоопухолевого лечения, перед началом терапии </w:t>
      </w:r>
      <w:r w:rsidRPr="00F242DD">
        <w:rPr>
          <w:b/>
          <w:bCs/>
        </w:rPr>
        <w:t xml:space="preserve">рекомендуется </w:t>
      </w:r>
      <w:r w:rsidRPr="00F242DD">
        <w:t>консультация соответствующего врача-специалиста (</w:t>
      </w:r>
      <w:r w:rsidR="00CB0539">
        <w:t>врач-</w:t>
      </w:r>
      <w:r w:rsidRPr="00F242DD">
        <w:t xml:space="preserve">кардиолог, </w:t>
      </w:r>
      <w:r w:rsidR="00CB0539">
        <w:t>врач-</w:t>
      </w:r>
      <w:r w:rsidRPr="00F242DD">
        <w:t xml:space="preserve">невропатолог, </w:t>
      </w:r>
      <w:r w:rsidR="00CB0539">
        <w:t>врач-</w:t>
      </w:r>
      <w:r w:rsidRPr="00F242DD">
        <w:t>оториноларинолога</w:t>
      </w:r>
      <w:r w:rsidR="00055067">
        <w:t>, врач-нефролог</w:t>
      </w:r>
      <w:r w:rsidRPr="00F242DD">
        <w:t xml:space="preserve"> и др.) </w:t>
      </w:r>
      <w:r w:rsidR="00A96FB6" w:rsidRPr="00F242DD">
        <w:fldChar w:fldCharType="begin" w:fldLock="1"/>
      </w:r>
      <w:r w:rsidR="00500F37">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F242DD">
        <w:fldChar w:fldCharType="separate"/>
      </w:r>
      <w:r w:rsidR="00E03159" w:rsidRPr="00E03159">
        <w:rPr>
          <w:noProof/>
        </w:rPr>
        <w:t>[1]</w:t>
      </w:r>
      <w:r w:rsidR="00A96FB6" w:rsidRPr="00F242DD">
        <w:fldChar w:fldCharType="end"/>
      </w:r>
      <w:r w:rsidRPr="00F242DD">
        <w:t>.</w:t>
      </w:r>
    </w:p>
    <w:p w14:paraId="216104AC" w14:textId="4A30D822" w:rsidR="00213F0A" w:rsidRPr="00172C08" w:rsidRDefault="00213F0A" w:rsidP="00092917">
      <w:pPr>
        <w:pStyle w:val="a6"/>
        <w:spacing w:before="0" w:after="0"/>
        <w:ind w:left="0"/>
        <w:rPr>
          <w:b/>
          <w:sz w:val="22"/>
        </w:rPr>
      </w:pPr>
      <w:r w:rsidRPr="00172C08">
        <w:rPr>
          <w:b/>
          <w:sz w:val="22"/>
        </w:rPr>
        <w:t xml:space="preserve">Уровень убедительности рекомендаций </w:t>
      </w:r>
      <w:r w:rsidR="00594CCD" w:rsidRPr="00172C08">
        <w:rPr>
          <w:b/>
          <w:sz w:val="22"/>
        </w:rPr>
        <w:t xml:space="preserve">− </w:t>
      </w:r>
      <w:r w:rsidRPr="00172C08">
        <w:rPr>
          <w:b/>
          <w:sz w:val="22"/>
        </w:rPr>
        <w:t xml:space="preserve">С (уровень достоверности доказательств </w:t>
      </w:r>
      <w:r w:rsidR="00594CCD" w:rsidRPr="00172C08">
        <w:rPr>
          <w:b/>
          <w:sz w:val="22"/>
        </w:rPr>
        <w:t>− 5)</w:t>
      </w:r>
    </w:p>
    <w:p w14:paraId="21FD0869" w14:textId="77777777" w:rsidR="005E3E79" w:rsidRPr="00F242DD" w:rsidRDefault="005E3E79" w:rsidP="00092917">
      <w:pPr>
        <w:pStyle w:val="2"/>
        <w:spacing w:before="0" w:after="0"/>
      </w:pPr>
      <w:bookmarkStart w:id="21" w:name="_Toc97734623"/>
      <w:r w:rsidRPr="00F242DD">
        <w:t>2.5 Иные диагностические исследования</w:t>
      </w:r>
      <w:bookmarkEnd w:id="21"/>
    </w:p>
    <w:p w14:paraId="28BC046E" w14:textId="406CEDB7" w:rsidR="005E3E79" w:rsidRPr="00F242DD" w:rsidRDefault="005E3E79" w:rsidP="002431B5">
      <w:pPr>
        <w:pStyle w:val="a6"/>
        <w:spacing w:before="0" w:after="0"/>
        <w:ind w:left="0"/>
        <w:rPr>
          <w:b/>
        </w:rPr>
      </w:pPr>
      <w:r w:rsidRPr="00F242DD">
        <w:rPr>
          <w:bCs/>
          <w:i/>
          <w:iCs/>
        </w:rPr>
        <w:t>Не применяются.</w:t>
      </w:r>
    </w:p>
    <w:p w14:paraId="5002A8FC" w14:textId="77777777" w:rsidR="004D7374" w:rsidRPr="00F242DD" w:rsidRDefault="004D7374" w:rsidP="00092917">
      <w:pPr>
        <w:pStyle w:val="1"/>
        <w:spacing w:line="276" w:lineRule="auto"/>
      </w:pPr>
      <w:bookmarkStart w:id="22" w:name="_Toc520213125"/>
      <w:bookmarkStart w:id="23" w:name="_Toc97734624"/>
      <w:r w:rsidRPr="00F242DD">
        <w:lastRenderedPageBreak/>
        <w:t xml:space="preserve">3. </w:t>
      </w:r>
      <w:bookmarkEnd w:id="22"/>
      <w:r w:rsidR="00BF3C4A" w:rsidRPr="00F242DD">
        <w:t>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3"/>
      <w:r w:rsidR="00BF3C4A" w:rsidRPr="00F242DD">
        <w:t xml:space="preserve"> </w:t>
      </w:r>
    </w:p>
    <w:p w14:paraId="3FEC34D9" w14:textId="2EF51B04" w:rsidR="000C56A0" w:rsidRPr="00F242DD" w:rsidRDefault="000C56A0" w:rsidP="009652BF">
      <w:pPr>
        <w:spacing w:before="0" w:after="0"/>
        <w:ind w:firstLine="426"/>
        <w:rPr>
          <w:rFonts w:eastAsia="MS Mincho"/>
          <w:szCs w:val="24"/>
          <w:shd w:val="clear" w:color="auto" w:fill="FFFFFF"/>
          <w:lang w:eastAsia="ru-RU"/>
        </w:rPr>
      </w:pPr>
      <w:r w:rsidRPr="00F242DD">
        <w:rPr>
          <w:rFonts w:eastAsia="MS Mincho"/>
          <w:szCs w:val="24"/>
          <w:shd w:val="clear" w:color="auto" w:fill="FFFFFF"/>
          <w:lang w:eastAsia="ru-RU"/>
        </w:rPr>
        <w:t>Назначение и применение лекарственных препаратов, указ</w:t>
      </w:r>
      <w:r w:rsidR="003A0D00">
        <w:rPr>
          <w:rFonts w:eastAsia="MS Mincho"/>
          <w:szCs w:val="24"/>
          <w:shd w:val="clear" w:color="auto" w:fill="FFFFFF"/>
          <w:lang w:eastAsia="ru-RU"/>
        </w:rPr>
        <w:t>анных в клинических рекомендациях</w:t>
      </w:r>
      <w:r w:rsidRPr="00F242DD">
        <w:rPr>
          <w:rFonts w:eastAsia="MS Mincho"/>
          <w:szCs w:val="24"/>
          <w:shd w:val="clear" w:color="auto" w:fill="FFFFFF"/>
          <w:lang w:eastAsia="ru-RU"/>
        </w:rPr>
        <w:t>, направлено на обеспечение пациен</w:t>
      </w:r>
      <w:r w:rsidR="00B72B92">
        <w:rPr>
          <w:rFonts w:eastAsia="MS Mincho"/>
          <w:szCs w:val="24"/>
          <w:shd w:val="clear" w:color="auto" w:fill="FFFFFF"/>
          <w:lang w:eastAsia="ru-RU"/>
        </w:rPr>
        <w:t>та клинически эффективной и без</w:t>
      </w:r>
      <w:r w:rsidRPr="00F242DD">
        <w:rPr>
          <w:rFonts w:eastAsia="MS Mincho"/>
          <w:szCs w:val="24"/>
          <w:shd w:val="clear" w:color="auto" w:fill="FFFFFF"/>
          <w:lang w:eastAsia="ru-RU"/>
        </w:rPr>
        <w:t xml:space="preserve">опасной медицинской </w:t>
      </w:r>
      <w:r w:rsidRPr="00C528FA">
        <w:rPr>
          <w:rFonts w:eastAsia="MS Mincho"/>
          <w:szCs w:val="24"/>
          <w:shd w:val="clear" w:color="auto" w:fill="FFFFFF"/>
          <w:lang w:eastAsia="ru-RU"/>
        </w:rPr>
        <w:t>помощ</w:t>
      </w:r>
      <w:r w:rsidR="00DE402D" w:rsidRPr="00C528FA">
        <w:rPr>
          <w:rFonts w:eastAsia="MS Mincho"/>
          <w:szCs w:val="24"/>
          <w:shd w:val="clear" w:color="auto" w:fill="FFFFFF"/>
          <w:lang w:eastAsia="ru-RU"/>
        </w:rPr>
        <w:t>ью</w:t>
      </w:r>
      <w:r w:rsidRPr="00C528FA">
        <w:rPr>
          <w:rFonts w:eastAsia="MS Mincho"/>
          <w:szCs w:val="24"/>
          <w:shd w:val="clear" w:color="auto" w:fill="FFFFFF"/>
          <w:lang w:eastAsia="ru-RU"/>
        </w:rPr>
        <w:t>,</w:t>
      </w:r>
      <w:r w:rsidRPr="00F242DD">
        <w:rPr>
          <w:rFonts w:eastAsia="MS Mincho"/>
          <w:szCs w:val="24"/>
          <w:shd w:val="clear" w:color="auto" w:fill="FFFFFF"/>
          <w:lang w:eastAsia="ru-RU"/>
        </w:rPr>
        <w:t xml:space="preserve"> в связи с чем их назначение и применение в конкретной клинической ситуации определяется в соответствии с инструкциями по применению конкретных лекарственных препаратов с реализацией представленных в инструкции мер предосторожности при их применении, также возможна коррекция доз с учетом состояния пациента.</w:t>
      </w:r>
    </w:p>
    <w:p w14:paraId="11199ECC" w14:textId="0A6C2B53" w:rsidR="004D7374" w:rsidRPr="00F242DD" w:rsidRDefault="00594CCD" w:rsidP="00092917">
      <w:pPr>
        <w:pStyle w:val="2"/>
        <w:spacing w:before="0" w:after="0"/>
      </w:pPr>
      <w:bookmarkStart w:id="24" w:name="_Toc97734625"/>
      <w:r w:rsidRPr="00F242DD">
        <w:t xml:space="preserve">3.1 </w:t>
      </w:r>
      <w:r w:rsidR="004D7374" w:rsidRPr="00F242DD">
        <w:t xml:space="preserve">Показания к началу терапии </w:t>
      </w:r>
      <w:r w:rsidR="006E198F" w:rsidRPr="00F242DD">
        <w:t>и определение стратегии лечения</w:t>
      </w:r>
      <w:bookmarkEnd w:id="24"/>
      <w:r w:rsidR="006E198F" w:rsidRPr="00F242DD">
        <w:t xml:space="preserve"> </w:t>
      </w:r>
    </w:p>
    <w:p w14:paraId="1EEDA405" w14:textId="0A44F115" w:rsidR="00BE169C" w:rsidRPr="00F242DD" w:rsidRDefault="002E2383" w:rsidP="0089441A">
      <w:pPr>
        <w:pStyle w:val="a6"/>
        <w:numPr>
          <w:ilvl w:val="0"/>
          <w:numId w:val="4"/>
        </w:numPr>
        <w:tabs>
          <w:tab w:val="left" w:pos="426"/>
        </w:tabs>
        <w:spacing w:before="0" w:after="0"/>
        <w:ind w:left="0" w:firstLine="0"/>
      </w:pPr>
      <w:r w:rsidRPr="00F242DD">
        <w:t xml:space="preserve">Пациентам с тлеющей (бессимптомной) миеломой специфическая терапия </w:t>
      </w:r>
      <w:r w:rsidRPr="00F242DD">
        <w:rPr>
          <w:b/>
        </w:rPr>
        <w:t>не</w:t>
      </w:r>
      <w:r w:rsidR="00146DC8" w:rsidRPr="00F242DD">
        <w:rPr>
          <w:b/>
        </w:rPr>
        <w:t> </w:t>
      </w:r>
      <w:r w:rsidRPr="00F242DD">
        <w:rPr>
          <w:b/>
        </w:rPr>
        <w:t>рекомендуется</w:t>
      </w:r>
      <w:r w:rsidR="008C5285" w:rsidRPr="00F242DD">
        <w:rPr>
          <w:b/>
        </w:rPr>
        <w:t xml:space="preserve"> </w:t>
      </w:r>
      <w:r w:rsidR="00A96FB6" w:rsidRPr="00F242DD">
        <w:rPr>
          <w:b/>
        </w:rPr>
        <w:fldChar w:fldCharType="begin" w:fldLock="1"/>
      </w:r>
      <w:r w:rsidR="00500F37">
        <w:rPr>
          <w:b/>
        </w:rPr>
        <w:instrText>ADDIN CSL_CITATION {"citationItems":[{"id":"ITEM-1","itemData":{"DOI":"10.1002/hon.2213","ISSN":"02780232","author":[{"dropping-particle":"","family":"Mateos","given":"María-Victoria","non-dropping-particle":"","parse-names":false,"suffix":""},{"dropping-particle":"","family":"San Miguel","given":"Jesús","non-dropping-particle":"","parse-names":false,"suffix":""}],"container-title":"Hematological Oncology","id":"ITEM-1","issued":{"date-parts":[["2015","6"]]},"page":"33-37","title":"V. Smoldering multiple myeloma","type":"article-journal","volume":"33"},"uris":["http://www.mendeley.com/documents/?uuid=ab66d6eb-bf67-3985-8eab-4a764be7d992"]}],"mendeley":{"formattedCitation":"[24]","plainTextFormattedCitation":"[24]","previouslyFormattedCitation":"[24]"},"properties":{"noteIndex":0},"schema":"https://github.com/citation-style-language/schema/raw/master/csl-citation.json"}</w:instrText>
      </w:r>
      <w:r w:rsidR="00A96FB6" w:rsidRPr="00F242DD">
        <w:rPr>
          <w:b/>
        </w:rPr>
        <w:fldChar w:fldCharType="separate"/>
      </w:r>
      <w:r w:rsidR="00E03159" w:rsidRPr="00E03159">
        <w:rPr>
          <w:noProof/>
        </w:rPr>
        <w:t>[24]</w:t>
      </w:r>
      <w:r w:rsidR="00A96FB6" w:rsidRPr="00F242DD">
        <w:rPr>
          <w:b/>
        </w:rPr>
        <w:fldChar w:fldCharType="end"/>
      </w:r>
      <w:r w:rsidRPr="00F242DD">
        <w:t>.</w:t>
      </w:r>
    </w:p>
    <w:p w14:paraId="1DBA183A" w14:textId="77777777" w:rsidR="00BE169C" w:rsidRPr="00172C08" w:rsidRDefault="00BE169C" w:rsidP="0089441A">
      <w:pPr>
        <w:pStyle w:val="a6"/>
        <w:tabs>
          <w:tab w:val="left" w:pos="426"/>
        </w:tabs>
        <w:spacing w:before="0" w:after="0"/>
        <w:ind w:left="0"/>
        <w:rPr>
          <w:sz w:val="22"/>
        </w:rPr>
      </w:pPr>
      <w:r w:rsidRPr="00172C08">
        <w:rPr>
          <w:b/>
          <w:sz w:val="22"/>
        </w:rPr>
        <w:t>Уровень убедительности рекоме</w:t>
      </w:r>
      <w:r w:rsidR="007A3F11" w:rsidRPr="00172C08">
        <w:rPr>
          <w:b/>
          <w:sz w:val="22"/>
        </w:rPr>
        <w:t xml:space="preserve">ндаций </w:t>
      </w:r>
      <w:r w:rsidR="00594CCD" w:rsidRPr="00172C08">
        <w:rPr>
          <w:b/>
          <w:sz w:val="22"/>
        </w:rPr>
        <w:t xml:space="preserve">− </w:t>
      </w:r>
      <w:r w:rsidR="007A3F11" w:rsidRPr="00172C08">
        <w:rPr>
          <w:b/>
          <w:sz w:val="22"/>
        </w:rPr>
        <w:t>С</w:t>
      </w:r>
      <w:r w:rsidRPr="00172C08">
        <w:rPr>
          <w:b/>
          <w:sz w:val="22"/>
        </w:rPr>
        <w:t xml:space="preserve"> (уровень достоверности доказательств </w:t>
      </w:r>
      <w:r w:rsidR="00594CCD" w:rsidRPr="00172C08">
        <w:rPr>
          <w:b/>
          <w:sz w:val="22"/>
        </w:rPr>
        <w:t xml:space="preserve">− </w:t>
      </w:r>
      <w:r w:rsidR="007A3F11" w:rsidRPr="00172C08">
        <w:rPr>
          <w:b/>
          <w:sz w:val="22"/>
        </w:rPr>
        <w:t>5</w:t>
      </w:r>
      <w:r w:rsidRPr="00172C08">
        <w:rPr>
          <w:b/>
          <w:sz w:val="22"/>
        </w:rPr>
        <w:t>)</w:t>
      </w:r>
    </w:p>
    <w:p w14:paraId="07403CB2" w14:textId="2E1E2B41" w:rsidR="004D7374" w:rsidRPr="00F242DD" w:rsidRDefault="00BE169C" w:rsidP="0089441A">
      <w:pPr>
        <w:pStyle w:val="a6"/>
        <w:numPr>
          <w:ilvl w:val="0"/>
          <w:numId w:val="4"/>
        </w:numPr>
        <w:tabs>
          <w:tab w:val="left" w:pos="426"/>
        </w:tabs>
        <w:spacing w:before="0" w:after="0"/>
        <w:ind w:left="0" w:firstLine="0"/>
      </w:pPr>
      <w:r w:rsidRPr="00F242DD">
        <w:t xml:space="preserve">Пациентам с симптоматической </w:t>
      </w:r>
      <w:r w:rsidR="00594CCD" w:rsidRPr="00F242DD">
        <w:t>ММ</w:t>
      </w:r>
      <w:r w:rsidRPr="00F242DD">
        <w:t xml:space="preserve"> </w:t>
      </w:r>
      <w:r w:rsidRPr="00F242DD">
        <w:rPr>
          <w:b/>
        </w:rPr>
        <w:t>рекомендуется</w:t>
      </w:r>
      <w:r w:rsidRPr="00F242DD">
        <w:t xml:space="preserve"> начало специфической </w:t>
      </w:r>
      <w:r w:rsidR="00D15602" w:rsidRPr="00F242DD">
        <w:t xml:space="preserve">противоопухолевой </w:t>
      </w:r>
      <w:r w:rsidRPr="00F242DD">
        <w:t>терапии</w:t>
      </w:r>
      <w:r w:rsidR="008C5285" w:rsidRPr="00F242DD">
        <w:t xml:space="preserve"> </w:t>
      </w:r>
      <w:r w:rsidR="00A96FB6" w:rsidRPr="00F242DD">
        <w:rPr>
          <w:b/>
        </w:rPr>
        <w:fldChar w:fldCharType="begin" w:fldLock="1"/>
      </w:r>
      <w:r w:rsidR="00500F37">
        <w:rPr>
          <w:b/>
        </w:rPr>
        <w:instrText>ADDIN CSL_CITATION {"citationItems":[{"id":"ITEM-1","itemData":{"DOI":"10.1002/hon.2213","ISSN":"02780232","author":[{"dropping-particle":"","family":"Mateos","given":"María-Victoria","non-dropping-particle":"","parse-names":false,"suffix":""},{"dropping-particle":"","family":"San Miguel","given":"Jesús","non-dropping-particle":"","parse-names":false,"suffix":""}],"container-title":"Hematological Oncology","id":"ITEM-1","issued":{"date-parts":[["2015","6"]]},"page":"33-37","title":"V. Smoldering multiple myeloma","type":"article-journal","volume":"33"},"uris":["http://www.mendeley.com/documents/?uuid=ab66d6eb-bf67-3985-8eab-4a764be7d992"]}],"mendeley":{"formattedCitation":"[24]","plainTextFormattedCitation":"[24]","previouslyFormattedCitation":"[24]"},"properties":{"noteIndex":0},"schema":"https://github.com/citation-style-language/schema/raw/master/csl-citation.json"}</w:instrText>
      </w:r>
      <w:r w:rsidR="00A96FB6" w:rsidRPr="00F242DD">
        <w:rPr>
          <w:b/>
        </w:rPr>
        <w:fldChar w:fldCharType="separate"/>
      </w:r>
      <w:r w:rsidR="00E03159" w:rsidRPr="00E03159">
        <w:rPr>
          <w:noProof/>
        </w:rPr>
        <w:t>[24]</w:t>
      </w:r>
      <w:r w:rsidR="00A96FB6" w:rsidRPr="00F242DD">
        <w:rPr>
          <w:b/>
        </w:rPr>
        <w:fldChar w:fldCharType="end"/>
      </w:r>
      <w:r w:rsidRPr="00F242DD">
        <w:t>.</w:t>
      </w:r>
    </w:p>
    <w:p w14:paraId="4665210D" w14:textId="77777777" w:rsidR="004D7374" w:rsidRPr="00172C08" w:rsidRDefault="004D7374" w:rsidP="00092917">
      <w:pPr>
        <w:spacing w:before="0" w:after="0"/>
        <w:contextualSpacing/>
        <w:rPr>
          <w:b/>
          <w:sz w:val="22"/>
        </w:rPr>
      </w:pPr>
      <w:r w:rsidRPr="00172C08">
        <w:rPr>
          <w:b/>
          <w:sz w:val="22"/>
        </w:rPr>
        <w:t xml:space="preserve">Уровень убедительности рекомендаций </w:t>
      </w:r>
      <w:r w:rsidR="00594CCD" w:rsidRPr="00172C08">
        <w:rPr>
          <w:b/>
          <w:sz w:val="22"/>
        </w:rPr>
        <w:t xml:space="preserve">− </w:t>
      </w:r>
      <w:r w:rsidR="007A3F11" w:rsidRPr="00172C08">
        <w:rPr>
          <w:b/>
          <w:sz w:val="22"/>
        </w:rPr>
        <w:t>С</w:t>
      </w:r>
      <w:r w:rsidRPr="00172C08">
        <w:rPr>
          <w:b/>
          <w:sz w:val="22"/>
        </w:rPr>
        <w:t xml:space="preserve"> (уровень достоверности доказательств </w:t>
      </w:r>
      <w:r w:rsidR="00594CCD" w:rsidRPr="00172C08">
        <w:rPr>
          <w:b/>
          <w:sz w:val="22"/>
        </w:rPr>
        <w:t xml:space="preserve">− </w:t>
      </w:r>
      <w:r w:rsidR="007A3F11" w:rsidRPr="00172C08">
        <w:rPr>
          <w:b/>
          <w:sz w:val="22"/>
        </w:rPr>
        <w:t>5</w:t>
      </w:r>
      <w:r w:rsidRPr="00172C08">
        <w:rPr>
          <w:b/>
          <w:sz w:val="22"/>
        </w:rPr>
        <w:t>)</w:t>
      </w:r>
    </w:p>
    <w:p w14:paraId="30B1C5E4" w14:textId="77777777" w:rsidR="002E2383" w:rsidRPr="00F242DD" w:rsidRDefault="004D7374" w:rsidP="00092917">
      <w:pPr>
        <w:spacing w:before="0" w:after="0"/>
        <w:contextualSpacing/>
        <w:rPr>
          <w:i/>
        </w:rPr>
      </w:pPr>
      <w:r w:rsidRPr="00F242DD">
        <w:rPr>
          <w:b/>
        </w:rPr>
        <w:t>Комментарий:</w:t>
      </w:r>
      <w:r w:rsidR="00D15602" w:rsidRPr="00F242DD">
        <w:rPr>
          <w:b/>
        </w:rPr>
        <w:t xml:space="preserve"> </w:t>
      </w:r>
      <w:r w:rsidR="00594CCD" w:rsidRPr="00F242DD">
        <w:rPr>
          <w:i/>
        </w:rPr>
        <w:t>т</w:t>
      </w:r>
      <w:r w:rsidR="002E2383" w:rsidRPr="00F242DD">
        <w:rPr>
          <w:i/>
        </w:rPr>
        <w:t xml:space="preserve">актика ведения </w:t>
      </w:r>
      <w:r w:rsidR="00FB03BB" w:rsidRPr="00F242DD">
        <w:rPr>
          <w:i/>
        </w:rPr>
        <w:t>пациентов</w:t>
      </w:r>
      <w:r w:rsidR="002E2383" w:rsidRPr="00F242DD">
        <w:rPr>
          <w:i/>
        </w:rPr>
        <w:t xml:space="preserve"> моложе 65 лет и пожилых </w:t>
      </w:r>
      <w:r w:rsidR="00FB03BB" w:rsidRPr="00F242DD">
        <w:rPr>
          <w:i/>
        </w:rPr>
        <w:t>пациентов</w:t>
      </w:r>
      <w:r w:rsidR="00D15602" w:rsidRPr="00F242DD">
        <w:rPr>
          <w:i/>
        </w:rPr>
        <w:t xml:space="preserve"> </w:t>
      </w:r>
      <w:r w:rsidR="002E2383" w:rsidRPr="00F242DD">
        <w:rPr>
          <w:i/>
        </w:rPr>
        <w:t xml:space="preserve">отличается. Для лечения </w:t>
      </w:r>
      <w:r w:rsidR="00594CCD" w:rsidRPr="00F242DD">
        <w:rPr>
          <w:i/>
        </w:rPr>
        <w:t>«</w:t>
      </w:r>
      <w:r w:rsidR="002E2383" w:rsidRPr="00F242DD">
        <w:rPr>
          <w:i/>
        </w:rPr>
        <w:t>первичных</w:t>
      </w:r>
      <w:r w:rsidR="00594CCD" w:rsidRPr="00F242DD">
        <w:rPr>
          <w:i/>
        </w:rPr>
        <w:t>»</w:t>
      </w:r>
      <w:r w:rsidR="002E2383" w:rsidRPr="00F242DD">
        <w:rPr>
          <w:i/>
        </w:rPr>
        <w:t xml:space="preserve"> </w:t>
      </w:r>
      <w:r w:rsidR="00534E54" w:rsidRPr="00F242DD">
        <w:rPr>
          <w:i/>
        </w:rPr>
        <w:t xml:space="preserve">пациентов </w:t>
      </w:r>
      <w:r w:rsidR="00E06761" w:rsidRPr="00F242DD">
        <w:rPr>
          <w:i/>
        </w:rPr>
        <w:t>моложе 65 лет с</w:t>
      </w:r>
      <w:r w:rsidR="002E2383" w:rsidRPr="00F242DD">
        <w:rPr>
          <w:i/>
        </w:rPr>
        <w:t xml:space="preserve"> ММ без серьезной сопутствующей патоло</w:t>
      </w:r>
      <w:r w:rsidR="003C4738" w:rsidRPr="00F242DD">
        <w:rPr>
          <w:i/>
        </w:rPr>
        <w:t xml:space="preserve">гии </w:t>
      </w:r>
      <w:r w:rsidR="00D15602" w:rsidRPr="00F242DD">
        <w:rPr>
          <w:i/>
        </w:rPr>
        <w:t xml:space="preserve">в программу лечения </w:t>
      </w:r>
      <w:r w:rsidR="003C4738" w:rsidRPr="00F242DD">
        <w:rPr>
          <w:i/>
        </w:rPr>
        <w:t>включают</w:t>
      </w:r>
      <w:r w:rsidR="002E2383" w:rsidRPr="00F242DD">
        <w:rPr>
          <w:i/>
        </w:rPr>
        <w:t xml:space="preserve"> высокодозную химиотерапию (ВДХТ) с трансплантацией ауто</w:t>
      </w:r>
      <w:r w:rsidR="00267DE2" w:rsidRPr="00F242DD">
        <w:rPr>
          <w:i/>
        </w:rPr>
        <w:t>-</w:t>
      </w:r>
      <w:r w:rsidR="002E2383" w:rsidRPr="00F242DD">
        <w:rPr>
          <w:i/>
        </w:rPr>
        <w:t xml:space="preserve">ТГСК. </w:t>
      </w:r>
      <w:r w:rsidR="00FB03BB" w:rsidRPr="00F242DD">
        <w:rPr>
          <w:i/>
        </w:rPr>
        <w:t>Пациентам</w:t>
      </w:r>
      <w:r w:rsidR="002E2383" w:rsidRPr="00F242DD">
        <w:rPr>
          <w:i/>
        </w:rPr>
        <w:t xml:space="preserve"> старше 65 лет или молодым </w:t>
      </w:r>
      <w:r w:rsidR="00EC5D1A" w:rsidRPr="00F242DD">
        <w:rPr>
          <w:i/>
        </w:rPr>
        <w:t>лицам</w:t>
      </w:r>
      <w:r w:rsidR="002E2383" w:rsidRPr="00F242DD">
        <w:rPr>
          <w:i/>
        </w:rPr>
        <w:t xml:space="preserve"> с </w:t>
      </w:r>
      <w:r w:rsidR="00D15602" w:rsidRPr="00F242DD">
        <w:rPr>
          <w:i/>
        </w:rPr>
        <w:t xml:space="preserve">клинически значимыми </w:t>
      </w:r>
      <w:r w:rsidR="002E2383" w:rsidRPr="00F242DD">
        <w:rPr>
          <w:i/>
        </w:rPr>
        <w:t xml:space="preserve">сопутствующими заболеваниями следует рекомендовать комбинации на основе новых лекарственных препаратов без </w:t>
      </w:r>
      <w:r w:rsidR="00D15602" w:rsidRPr="00F242DD">
        <w:rPr>
          <w:i/>
        </w:rPr>
        <w:t xml:space="preserve">этапа </w:t>
      </w:r>
      <w:r w:rsidR="002E2383" w:rsidRPr="00F242DD">
        <w:rPr>
          <w:i/>
        </w:rPr>
        <w:t>ВДХТ с ауто</w:t>
      </w:r>
      <w:r w:rsidR="00267DE2" w:rsidRPr="00F242DD">
        <w:rPr>
          <w:i/>
        </w:rPr>
        <w:t>-</w:t>
      </w:r>
      <w:r w:rsidR="002E2383" w:rsidRPr="00F242DD">
        <w:rPr>
          <w:i/>
        </w:rPr>
        <w:t>ТГСК.</w:t>
      </w:r>
    </w:p>
    <w:p w14:paraId="3CB85E8D" w14:textId="77777777" w:rsidR="009652BF" w:rsidRDefault="002E2383" w:rsidP="00092917">
      <w:pPr>
        <w:spacing w:before="0" w:after="0"/>
        <w:ind w:firstLine="709"/>
        <w:contextualSpacing/>
        <w:rPr>
          <w:i/>
        </w:rPr>
      </w:pPr>
      <w:r w:rsidRPr="00F242DD">
        <w:rPr>
          <w:i/>
        </w:rPr>
        <w:t xml:space="preserve">При выборе схемы индукционной терапии необходимо </w:t>
      </w:r>
      <w:r w:rsidR="00D15602" w:rsidRPr="00F242DD">
        <w:rPr>
          <w:i/>
        </w:rPr>
        <w:t xml:space="preserve">также </w:t>
      </w:r>
      <w:r w:rsidRPr="00F242DD">
        <w:rPr>
          <w:i/>
        </w:rPr>
        <w:t>учитывать соп</w:t>
      </w:r>
      <w:r w:rsidR="006E7B15" w:rsidRPr="00F242DD">
        <w:rPr>
          <w:i/>
        </w:rPr>
        <w:t>утствующие заболевания пациента</w:t>
      </w:r>
      <w:r w:rsidRPr="00F242DD">
        <w:rPr>
          <w:i/>
        </w:rPr>
        <w:t xml:space="preserve"> и осложнения ММ. При </w:t>
      </w:r>
      <w:r w:rsidR="00D15602" w:rsidRPr="00F242DD">
        <w:rPr>
          <w:i/>
        </w:rPr>
        <w:t xml:space="preserve">наличии клинически значимой </w:t>
      </w:r>
      <w:r w:rsidRPr="00F242DD">
        <w:rPr>
          <w:i/>
        </w:rPr>
        <w:t>кардиальной патологии целесообразно исключить из терапии</w:t>
      </w:r>
      <w:r w:rsidR="000D22CF" w:rsidRPr="00F242DD">
        <w:rPr>
          <w:i/>
        </w:rPr>
        <w:t xml:space="preserve"> антрациклины</w:t>
      </w:r>
      <w:r w:rsidR="009652BF">
        <w:rPr>
          <w:i/>
        </w:rPr>
        <w:t>.</w:t>
      </w:r>
    </w:p>
    <w:p w14:paraId="2F019153" w14:textId="08102111" w:rsidR="0025009A" w:rsidRPr="00F242DD" w:rsidRDefault="002E2383" w:rsidP="00092917">
      <w:pPr>
        <w:spacing w:before="0" w:after="0"/>
        <w:ind w:firstLine="709"/>
        <w:contextualSpacing/>
        <w:rPr>
          <w:i/>
        </w:rPr>
      </w:pPr>
      <w:r w:rsidRPr="00F242DD">
        <w:rPr>
          <w:i/>
        </w:rPr>
        <w:t xml:space="preserve">Для лечения </w:t>
      </w:r>
      <w:r w:rsidR="00FB03BB" w:rsidRPr="00F242DD">
        <w:rPr>
          <w:i/>
        </w:rPr>
        <w:t>пациентов</w:t>
      </w:r>
      <w:r w:rsidR="00DE0BC0" w:rsidRPr="00F242DD">
        <w:rPr>
          <w:i/>
        </w:rPr>
        <w:t xml:space="preserve"> </w:t>
      </w:r>
      <w:r w:rsidRPr="00F242DD">
        <w:rPr>
          <w:i/>
        </w:rPr>
        <w:t>с почечной недостаточностью терапией выбора являются бортезомибсодержащие режимы с высокими дозами дексаметазона</w:t>
      </w:r>
      <w:r w:rsidR="00637D26" w:rsidRPr="00F242DD">
        <w:rPr>
          <w:i/>
        </w:rPr>
        <w:t>**</w:t>
      </w:r>
      <w:r w:rsidRPr="00F242DD">
        <w:rPr>
          <w:i/>
        </w:rPr>
        <w:t>.</w:t>
      </w:r>
      <w:r w:rsidR="006E7B15" w:rsidRPr="00F242DD">
        <w:rPr>
          <w:i/>
        </w:rPr>
        <w:t xml:space="preserve"> </w:t>
      </w:r>
      <w:r w:rsidR="00DE0BC0" w:rsidRPr="00F242DD">
        <w:rPr>
          <w:i/>
        </w:rPr>
        <w:t>При наличии жизнеугрожающих состояний</w:t>
      </w:r>
      <w:r w:rsidR="00F024AA" w:rsidRPr="00F242DD">
        <w:rPr>
          <w:i/>
        </w:rPr>
        <w:t xml:space="preserve"> (</w:t>
      </w:r>
      <w:r w:rsidR="00DE0BC0" w:rsidRPr="00F242DD">
        <w:rPr>
          <w:i/>
        </w:rPr>
        <w:t xml:space="preserve">клинически значимое </w:t>
      </w:r>
      <w:r w:rsidRPr="00F242DD">
        <w:rPr>
          <w:i/>
        </w:rPr>
        <w:t xml:space="preserve">кровотечение, </w:t>
      </w:r>
      <w:r w:rsidR="00DE0BC0" w:rsidRPr="00F242DD">
        <w:rPr>
          <w:i/>
        </w:rPr>
        <w:t>некомпенсированный сахарный диабет тяжелого течения</w:t>
      </w:r>
      <w:r w:rsidR="00F024AA" w:rsidRPr="00F242DD">
        <w:rPr>
          <w:i/>
        </w:rPr>
        <w:t>)</w:t>
      </w:r>
      <w:r w:rsidR="00DE0BC0" w:rsidRPr="00F242DD">
        <w:rPr>
          <w:i/>
        </w:rPr>
        <w:t xml:space="preserve"> </w:t>
      </w:r>
      <w:r w:rsidRPr="00F242DD">
        <w:rPr>
          <w:i/>
        </w:rPr>
        <w:t>противоопухолевая терапия проводится сразу после купирования указанных осложнений.</w:t>
      </w:r>
      <w:r w:rsidR="00DE0BC0" w:rsidRPr="00F242DD">
        <w:rPr>
          <w:i/>
        </w:rPr>
        <w:t xml:space="preserve"> </w:t>
      </w:r>
    </w:p>
    <w:p w14:paraId="6A30DA4B" w14:textId="77777777" w:rsidR="004D7374" w:rsidRPr="00F242DD" w:rsidRDefault="004D7374" w:rsidP="00092917">
      <w:pPr>
        <w:pStyle w:val="2"/>
        <w:spacing w:before="0" w:after="0"/>
      </w:pPr>
      <w:bookmarkStart w:id="25" w:name="_Toc97734626"/>
      <w:r w:rsidRPr="00F242DD">
        <w:lastRenderedPageBreak/>
        <w:t xml:space="preserve">3.2 </w:t>
      </w:r>
      <w:r w:rsidR="002E2383" w:rsidRPr="00F242DD">
        <w:t xml:space="preserve">Лечение </w:t>
      </w:r>
      <w:r w:rsidR="00FB03BB" w:rsidRPr="00F242DD">
        <w:t>пациентов</w:t>
      </w:r>
      <w:r w:rsidR="00DE0BC0" w:rsidRPr="00F242DD">
        <w:t xml:space="preserve"> </w:t>
      </w:r>
      <w:r w:rsidR="002E2383" w:rsidRPr="00F242DD">
        <w:t>с впервые диагностированной ММ</w:t>
      </w:r>
      <w:r w:rsidR="00993B1B" w:rsidRPr="00F242DD">
        <w:t xml:space="preserve"> −</w:t>
      </w:r>
      <w:r w:rsidR="002E2383" w:rsidRPr="00F242DD">
        <w:t xml:space="preserve"> не кандидатов на ВДХТ с ауто</w:t>
      </w:r>
      <w:r w:rsidR="00267DE2" w:rsidRPr="00F242DD">
        <w:t>-</w:t>
      </w:r>
      <w:r w:rsidR="002E2383" w:rsidRPr="00F242DD">
        <w:t>ТГСК (</w:t>
      </w:r>
      <w:r w:rsidR="00580EA1" w:rsidRPr="00F242DD">
        <w:t>старше 65 лет</w:t>
      </w:r>
      <w:r w:rsidR="002E2383" w:rsidRPr="00F242DD">
        <w:t>)</w:t>
      </w:r>
      <w:bookmarkEnd w:id="25"/>
    </w:p>
    <w:p w14:paraId="6F335179" w14:textId="5F30F251" w:rsidR="004D7374" w:rsidRPr="00805C9F" w:rsidRDefault="002E2383" w:rsidP="00092917">
      <w:pPr>
        <w:pStyle w:val="a6"/>
        <w:numPr>
          <w:ilvl w:val="0"/>
          <w:numId w:val="5"/>
        </w:numPr>
        <w:spacing w:before="0" w:after="0"/>
        <w:ind w:left="0" w:firstLine="0"/>
        <w:rPr>
          <w:szCs w:val="24"/>
        </w:rPr>
      </w:pPr>
      <w:r w:rsidRPr="00805C9F">
        <w:rPr>
          <w:szCs w:val="24"/>
        </w:rPr>
        <w:t xml:space="preserve">Пациентам с впервые диагностированной ММ – не кандидатам на </w:t>
      </w:r>
      <w:r w:rsidR="00156B40" w:rsidRPr="00805C9F">
        <w:rPr>
          <w:szCs w:val="24"/>
        </w:rPr>
        <w:t>ВДХТ с ауто</w:t>
      </w:r>
      <w:r w:rsidR="00267DE2" w:rsidRPr="00805C9F">
        <w:rPr>
          <w:szCs w:val="24"/>
        </w:rPr>
        <w:t>-</w:t>
      </w:r>
      <w:r w:rsidR="00156B40" w:rsidRPr="00805C9F">
        <w:rPr>
          <w:szCs w:val="24"/>
        </w:rPr>
        <w:t>ТГСК</w:t>
      </w:r>
      <w:r w:rsidR="00BF576C" w:rsidRPr="00805C9F">
        <w:rPr>
          <w:szCs w:val="24"/>
        </w:rPr>
        <w:t xml:space="preserve"> − </w:t>
      </w:r>
      <w:r w:rsidR="003703A8" w:rsidRPr="00805C9F">
        <w:rPr>
          <w:b/>
          <w:szCs w:val="24"/>
        </w:rPr>
        <w:t>рекомендуется</w:t>
      </w:r>
      <w:r w:rsidR="00156B40" w:rsidRPr="00805C9F">
        <w:rPr>
          <w:szCs w:val="24"/>
        </w:rPr>
        <w:t xml:space="preserve"> лечение одной из программ с включением бортезомиба</w:t>
      </w:r>
      <w:r w:rsidR="00506677" w:rsidRPr="00805C9F">
        <w:rPr>
          <w:szCs w:val="24"/>
        </w:rPr>
        <w:t>**</w:t>
      </w:r>
      <w:r w:rsidR="00156B40" w:rsidRPr="00805C9F">
        <w:rPr>
          <w:szCs w:val="24"/>
        </w:rPr>
        <w:t xml:space="preserve"> – </w:t>
      </w:r>
      <w:r w:rsidR="00156B40" w:rsidRPr="00805C9F">
        <w:rPr>
          <w:szCs w:val="24"/>
          <w:lang w:val="en-US"/>
        </w:rPr>
        <w:t>VMP</w:t>
      </w:r>
      <w:r w:rsidR="00CA66B5" w:rsidRPr="00805C9F">
        <w:rPr>
          <w:szCs w:val="24"/>
        </w:rPr>
        <w:t xml:space="preserve">, </w:t>
      </w:r>
      <w:r w:rsidR="00156B40" w:rsidRPr="00805C9F">
        <w:rPr>
          <w:szCs w:val="24"/>
          <w:lang w:val="en-US"/>
        </w:rPr>
        <w:t>VD</w:t>
      </w:r>
      <w:r w:rsidR="00CA66B5" w:rsidRPr="00805C9F">
        <w:rPr>
          <w:szCs w:val="24"/>
        </w:rPr>
        <w:t xml:space="preserve">, </w:t>
      </w:r>
      <w:r w:rsidR="00CA66B5" w:rsidRPr="00805C9F">
        <w:rPr>
          <w:szCs w:val="24"/>
          <w:lang w:val="en-US"/>
        </w:rPr>
        <w:t>VCD</w:t>
      </w:r>
      <w:r w:rsidR="00DE0BC0" w:rsidRPr="00805C9F">
        <w:rPr>
          <w:szCs w:val="24"/>
        </w:rPr>
        <w:t xml:space="preserve"> </w:t>
      </w:r>
      <w:r w:rsidR="001105A2" w:rsidRPr="00805C9F">
        <w:rPr>
          <w:szCs w:val="24"/>
        </w:rPr>
        <w:t xml:space="preserve">(описание режимов – см. приложение </w:t>
      </w:r>
      <w:r w:rsidR="00C812D6" w:rsidRPr="00805C9F">
        <w:rPr>
          <w:szCs w:val="24"/>
        </w:rPr>
        <w:t>А3.1</w:t>
      </w:r>
      <w:r w:rsidR="00BF576C" w:rsidRPr="00805C9F">
        <w:rPr>
          <w:szCs w:val="24"/>
        </w:rPr>
        <w:t>.</w:t>
      </w:r>
      <w:r w:rsidR="001105A2" w:rsidRPr="00805C9F">
        <w:rPr>
          <w:szCs w:val="24"/>
        </w:rPr>
        <w:t>)</w:t>
      </w:r>
      <w:r w:rsidR="00F024AA" w:rsidRPr="00805C9F">
        <w:rPr>
          <w:szCs w:val="24"/>
        </w:rPr>
        <w:t xml:space="preserve"> </w:t>
      </w:r>
      <w:r w:rsidR="00A96FB6" w:rsidRPr="00805C9F">
        <w:rPr>
          <w:szCs w:val="24"/>
        </w:rPr>
        <w:fldChar w:fldCharType="begin" w:fldLock="1"/>
      </w:r>
      <w:r w:rsidR="00500F37">
        <w:rPr>
          <w:szCs w:val="24"/>
        </w:rPr>
        <w:instrText>ADDIN CSL_CITATION {"citationItems":[{"id":"ITEM-1","itemData":{"DOI":"10.3109/10428194.2013.847935","ISSN":"1029-2403","PMID":"24067138","abstract":"The objective of the study was to investigate the effects and safety of novel agents such as bortezomib and lenalidomide in the treatment of newly diagnosed patients with multiple myeloma. We performed a comprehensive meta-analysis of randomized controlled trials (RCTs). An initial search yielded 627 citations, of which 10 RCTs enrolling 4534 patients met the inclusion criteria. The addition of bortezomib to first-line therapy significantly prolonged overall survival (OS) (hazard ratio [HR], 0.75 [0.65, 0.87], p &lt; 0.001). On the other hand, the addition of lenalidomide had no impact on survival (HR, 0.88 [0.65, 1.20], p = 0.42). Both lenalidomide and bortezomib consistently improved progression-free survival (PFS) compared with conventional therapy alone. The corresponding HRs were 0.65, 95% confidence interval (CI) [0.55, 0.77] (p &lt; 0.001) for bortezomib and 0.48, 95% CI [0.42, 0.55]; (p &lt; 0.001) for lenalidomide, respectively. Some of the increased adverse events reported were herpes zoster (relative risk [RR], 3.64 [2.23, 5.94], p &lt; 0.001), peripheral neuropathy (RR, 3.59 [1.89, 6.83], p &lt; 0.001) and gastrointestinal effects (RR, 2.19 [1.37, 3.50], p = 0.001) among patients receiving bortezomib, and gastrointestinal effects (RR, 2.36 [1.33, 4.17], p = 0.003) and thromboembolic events (RR, 2.55 [1.48, 4.38], p &lt; 0.001) among patients receiving lenalidomide. Interestingly, treatment with bortezomib seemed to be associated with a lower rate of treatment related mortality (RR, 0.39 [0.18, 0.85], p = 0.02). An increased incidence of second primary cancers was observed in the lenalidomide group (RR 2.61 [1.60, 4.27], p &lt; 0.001). In summary, bortezomib improved OS, and both lenalidomide and bortezomib consistently improved PFS of patients with newly diagnosed myeloma when it was added to standard therapy.","author":[{"dropping-particle":"","family":"Zou","given":"Yandun","non-dropping-particle":"","parse-names":false,"suffix":""},{"dropping-particle":"","family":"Lin","given":"Mingzhen","non-dropping-particle":"","parse-names":false,"suffix":""},{"dropping-particle":"","family":"Sheng","given":"Zhixin","non-dropping-particle":"","parse-names":false,"suffix":""},{"dropping-particle":"","family":"Niu","given":"Shaona","non-dropping-particle":"","parse-names":false,"suffix":""}],"container-title":"Leukemia &amp; lymphoma","id":"ITEM-1","issue":"9","issued":{"date-parts":[["2014","9"]]},"page":"2024-31","title":"Bortezomib and lenalidomide as front-line therapy for multiple myeloma.","type":"article-journal","volume":"55"},"uris":["http://www.mendeley.com/documents/?uuid=9439b288-0a59-314a-9744-9aedc4d3acdf"]}],"mendeley":{"formattedCitation":"[25]","plainTextFormattedCitation":"[25]","previouslyFormattedCitation":"[25]"},"properties":{"noteIndex":0},"schema":"https://github.com/citation-style-language/schema/raw/master/csl-citation.json"}</w:instrText>
      </w:r>
      <w:r w:rsidR="00A96FB6" w:rsidRPr="00805C9F">
        <w:rPr>
          <w:szCs w:val="24"/>
        </w:rPr>
        <w:fldChar w:fldCharType="separate"/>
      </w:r>
      <w:r w:rsidR="00E03159" w:rsidRPr="00805C9F">
        <w:rPr>
          <w:noProof/>
          <w:szCs w:val="24"/>
        </w:rPr>
        <w:t>[25]</w:t>
      </w:r>
      <w:r w:rsidR="00A96FB6" w:rsidRPr="00805C9F">
        <w:rPr>
          <w:szCs w:val="24"/>
        </w:rPr>
        <w:fldChar w:fldCharType="end"/>
      </w:r>
      <w:r w:rsidR="002A14A3" w:rsidRPr="00805C9F">
        <w:rPr>
          <w:szCs w:val="24"/>
        </w:rPr>
        <w:t>.</w:t>
      </w:r>
    </w:p>
    <w:p w14:paraId="1EC9942F" w14:textId="77777777" w:rsidR="004D7374" w:rsidRPr="00805C9F" w:rsidRDefault="004D7374" w:rsidP="00092917">
      <w:pPr>
        <w:spacing w:before="0" w:after="0"/>
        <w:contextualSpacing/>
        <w:rPr>
          <w:b/>
          <w:szCs w:val="24"/>
        </w:rPr>
      </w:pPr>
      <w:r w:rsidRPr="00805C9F">
        <w:rPr>
          <w:b/>
          <w:szCs w:val="24"/>
        </w:rPr>
        <w:t xml:space="preserve">Уровень убедительности рекомендаций </w:t>
      </w:r>
      <w:r w:rsidR="00083A71" w:rsidRPr="00805C9F">
        <w:rPr>
          <w:b/>
          <w:szCs w:val="24"/>
        </w:rPr>
        <w:t xml:space="preserve">− </w:t>
      </w:r>
      <w:r w:rsidR="00637D26" w:rsidRPr="00805C9F">
        <w:rPr>
          <w:b/>
          <w:szCs w:val="24"/>
        </w:rPr>
        <w:t>A</w:t>
      </w:r>
      <w:r w:rsidRPr="00805C9F">
        <w:rPr>
          <w:b/>
          <w:szCs w:val="24"/>
        </w:rPr>
        <w:t xml:space="preserve"> (уровень достоверности доказательств</w:t>
      </w:r>
      <w:r w:rsidR="00083A71" w:rsidRPr="00805C9F">
        <w:rPr>
          <w:b/>
          <w:szCs w:val="24"/>
        </w:rPr>
        <w:t xml:space="preserve"> −</w:t>
      </w:r>
      <w:r w:rsidRPr="00805C9F">
        <w:rPr>
          <w:b/>
          <w:szCs w:val="24"/>
        </w:rPr>
        <w:t xml:space="preserve"> </w:t>
      </w:r>
      <w:r w:rsidR="00637D26" w:rsidRPr="00805C9F">
        <w:rPr>
          <w:b/>
          <w:szCs w:val="24"/>
        </w:rPr>
        <w:t>1</w:t>
      </w:r>
      <w:r w:rsidRPr="00805C9F">
        <w:rPr>
          <w:b/>
          <w:szCs w:val="24"/>
        </w:rPr>
        <w:t>)</w:t>
      </w:r>
    </w:p>
    <w:p w14:paraId="3646810D" w14:textId="1038E0E9" w:rsidR="00412809" w:rsidRPr="00805C9F" w:rsidRDefault="004D7374" w:rsidP="00092917">
      <w:pPr>
        <w:spacing w:before="0" w:after="0"/>
        <w:contextualSpacing/>
        <w:rPr>
          <w:i/>
          <w:szCs w:val="24"/>
        </w:rPr>
      </w:pPr>
      <w:r w:rsidRPr="00805C9F">
        <w:rPr>
          <w:b/>
          <w:szCs w:val="24"/>
        </w:rPr>
        <w:t xml:space="preserve">Комментарий: </w:t>
      </w:r>
      <w:r w:rsidR="00083A71" w:rsidRPr="00805C9F">
        <w:rPr>
          <w:i/>
          <w:szCs w:val="24"/>
        </w:rPr>
        <w:t>в</w:t>
      </w:r>
      <w:r w:rsidR="00412809" w:rsidRPr="00805C9F">
        <w:rPr>
          <w:i/>
          <w:szCs w:val="24"/>
        </w:rPr>
        <w:t xml:space="preserve"> рандомизированном исследовании VISTA проведено сравнение </w:t>
      </w:r>
      <w:r w:rsidR="000F1774" w:rsidRPr="00805C9F">
        <w:rPr>
          <w:i/>
          <w:szCs w:val="24"/>
        </w:rPr>
        <w:t>эффективности</w:t>
      </w:r>
      <w:r w:rsidR="00412809" w:rsidRPr="00805C9F">
        <w:rPr>
          <w:i/>
          <w:szCs w:val="24"/>
        </w:rPr>
        <w:t xml:space="preserve"> комбинации мелфалана</w:t>
      </w:r>
      <w:r w:rsidR="007E7259" w:rsidRPr="00805C9F">
        <w:rPr>
          <w:i/>
          <w:szCs w:val="24"/>
        </w:rPr>
        <w:t>**</w:t>
      </w:r>
      <w:r w:rsidR="00412809" w:rsidRPr="00805C9F">
        <w:rPr>
          <w:i/>
          <w:szCs w:val="24"/>
        </w:rPr>
        <w:t xml:space="preserve"> и преднизолона</w:t>
      </w:r>
      <w:r w:rsidR="007E7259" w:rsidRPr="00805C9F">
        <w:rPr>
          <w:i/>
          <w:szCs w:val="24"/>
        </w:rPr>
        <w:t>**</w:t>
      </w:r>
      <w:r w:rsidR="00412809" w:rsidRPr="00805C9F">
        <w:rPr>
          <w:i/>
          <w:szCs w:val="24"/>
        </w:rPr>
        <w:t xml:space="preserve"> (MP) и комбинации бортезомиба</w:t>
      </w:r>
      <w:r w:rsidR="0004377D" w:rsidRPr="00805C9F">
        <w:rPr>
          <w:i/>
          <w:szCs w:val="24"/>
        </w:rPr>
        <w:t>**</w:t>
      </w:r>
      <w:r w:rsidR="00412809" w:rsidRPr="00805C9F">
        <w:rPr>
          <w:i/>
          <w:szCs w:val="24"/>
        </w:rPr>
        <w:t xml:space="preserve"> с мелфаланом</w:t>
      </w:r>
      <w:r w:rsidR="00DE0D23" w:rsidRPr="00805C9F">
        <w:rPr>
          <w:i/>
          <w:szCs w:val="24"/>
        </w:rPr>
        <w:t>**</w:t>
      </w:r>
      <w:r w:rsidR="00412809" w:rsidRPr="00805C9F">
        <w:rPr>
          <w:i/>
          <w:szCs w:val="24"/>
        </w:rPr>
        <w:t xml:space="preserve"> и преднизолоном</w:t>
      </w:r>
      <w:r w:rsidR="007E7259" w:rsidRPr="00805C9F">
        <w:rPr>
          <w:i/>
          <w:szCs w:val="24"/>
        </w:rPr>
        <w:t>**</w:t>
      </w:r>
      <w:r w:rsidR="00412809" w:rsidRPr="00805C9F">
        <w:rPr>
          <w:i/>
          <w:szCs w:val="24"/>
        </w:rPr>
        <w:t xml:space="preserve"> (VMP) у пациентов с впервые диагностированной ММ</w:t>
      </w:r>
      <w:r w:rsidR="00F024AA" w:rsidRPr="00805C9F">
        <w:rPr>
          <w:i/>
          <w:szCs w:val="24"/>
        </w:rPr>
        <w:t xml:space="preserve"> </w:t>
      </w:r>
      <w:r w:rsidR="00A96FB6" w:rsidRPr="00805C9F">
        <w:rPr>
          <w:i/>
          <w:szCs w:val="24"/>
        </w:rPr>
        <w:fldChar w:fldCharType="begin" w:fldLock="1"/>
      </w:r>
      <w:r w:rsidR="00500F37">
        <w:rPr>
          <w:i/>
          <w:szCs w:val="24"/>
        </w:rPr>
        <w:instrText>ADDIN CSL_CITATION {"citationItems":[{"id":"ITEM-1","itemData":{"DOI":"10.1200/JCO.2009.26.0638","ISSN":"0732183X","abstract":"PURPOSE: The purpose of this study was to confirm overall survival (OS) and other clinical benefits with bortezomib, melphalan, and prednisone (VMP) versus melphalan and prednisone (MP) in the phase III VISTA (Velcade as Initial Standard Therapy in Multiple Myeloma) trial after prolonged follow-up, and evaluate the impact of subsequent therapies.\\n\\nPATIENTS AND METHODS: Previously untreated symptomatic patients with myeloma ineligible for high-dose therapy received up to nine 6-week cycles of VMP (n = 344) or MP (n = 338).\\n\\nRESULTS: With a median follow-up of 36.7 months, there was a 35% reduced risk of death with VMP versus MP (hazard ratio, 0.653; P &lt; .001); median OS was not reached with VMP versus 43 months with MP; 3-year OS rates were 68.5% versus 54.0%. Response rates to subsequent thalidomide- (41% v 53%) and lenalidomide-based therapies (59% v 52%) appeared similar after VMP or MP; response rates to subsequent bortezomib-based therapy were 47% versus 59%. Among patients treated with VMP (n = 178) and MP (n = 233), median survival from start of subsequent therapy was 30.2 and 21.9 months, respectively, and there was no difference in survival from salvage among patients who received subsequent bortezomib, thalidomide, or lenalidomide. Rates of adverse events were higher with VMP versus MP during cycles 1 to 4, but similar during cycles 5 to 9. With VMP, 79% of peripheral neuropathy events improved within a median of 1.9 months; 60% completely resolved within a median of 5.7 months.\\n\\nCONCLUSION: VMP significantly prolongs OS versus MP after lengthy follow-up and extensive subsequent antimyeloma therapy. First-line bortezomib use does not induce more resistant relapse. VMP used upfront appears more beneficial than first treating with conventional agents and saving bortezomib- and other novel agent-based treatment until relapse.","author":[{"dropping-particle":"","family":"Mateos","given":"Maria Victoria","non-dropping-particle":"","parse-names":false,"suffix":""},{"dropping-particle":"","family":"Richardson","given":"Paul G.","non-dropping-particle":"","parse-names":false,"suffix":""},{"dropping-particle":"","family":"Schlag","given":"Rudolf","non-dropping-particle":"","parse-names":false,"suffix":""},{"dropping-particle":"","family":"Khuageva","given":"Nuriet K.","non-dropping-particle":"","parse-names":false,"suffix":""},{"dropping-particle":"","family":"Dimopoulos","given":"Meletios A.","non-dropping-particle":"","parse-names":false,"suffix":""},{"dropping-particle":"","family":"Shpilberg","given":"Ofer","non-dropping-particle":"","parse-names":false,"suffix":""},{"dropping-particle":"","family":"Kropff","given":"Martin","non-dropping-particle":"","parse-names":false,"suffix":""},{"dropping-particle":"","family":"Spicka","given":"Ivan","non-dropping-particle":"","parse-names":false,"suffix":""},{"dropping-particle":"","family":"Petrucci","given":"Maria T.","non-dropping-particle":"","parse-names":false,"suffix":""},{"dropping-particle":"","family":"Palumbo","given":"Antonio","non-dropping-particle":"","parse-names":false,"suffix":""},{"dropping-particle":"","family":"Samoilova","given":"Olga S.","non-dropping-particle":"","parse-names":false,"suffix":""},{"dropping-particle":"","family":"Dmoszynska","given":"Anna","non-dropping-particle":"","parse-names":false,"suffix":""},{"dropping-particle":"","family":"Abdulkadyrov","given":"Kudrat M.","non-dropping-particle":"","parse-names":false,"suffix":""},{"dropping-particle":"","family":"Schots","given":"Rik","non-dropping-particle":"","parse-names":false,"suffix":""},{"dropping-particle":"","family":"Jiang","given":"Bin","non-dropping-particle":"","parse-names":false,"suffix":""},{"dropping-particle":"","family":"Esseltine","given":"Dixie L.","non-dropping-particle":"","parse-names":false,"suffix":""},{"dropping-particle":"","family":"Liu","given":"Kevin","non-dropping-particle":"","parse-names":false,"suffix":""},{"dropping-particle":"","family":"Cakana","given":"Andrew","non-dropping-particle":"","parse-names":false,"suffix":""},{"dropping-particle":"","family":"Velde","given":"Helgi","non-dropping-particle":"Van De","parse-names":false,"suffix":""},{"dropping-particle":"","family":"San Miguel","given":"Jesús F.","non-dropping-particle":"","parse-names":false,"suffix":""}],"container-title":"Journal of Clinical Oncology","id":"ITEM-1","issue":"13","issued":{"date-parts":[["2010","5","1"]]},"page":"2259-2266","title":"Bortezomib plus melphalan and prednisone compared with melphalan and prednisone in previously untreated multiple myeloma: Updated follow-up and impact of subsequent therapy in the phase III VISTA trial","type":"article-journal","volume":"28"},"uris":["http://www.mendeley.com/documents/?uuid=5e3665b1-01e8-3ade-b0e4-ea55ab8ea8bf"]}],"mendeley":{"formattedCitation":"[26]","plainTextFormattedCitation":"[26]","previouslyFormattedCitation":"[26]"},"properties":{"noteIndex":0},"schema":"https://github.com/citation-style-language/schema/raw/master/csl-citation.json"}</w:instrText>
      </w:r>
      <w:r w:rsidR="00A96FB6" w:rsidRPr="00805C9F">
        <w:rPr>
          <w:i/>
          <w:szCs w:val="24"/>
        </w:rPr>
        <w:fldChar w:fldCharType="separate"/>
      </w:r>
      <w:r w:rsidR="00E03159" w:rsidRPr="00805C9F">
        <w:rPr>
          <w:noProof/>
          <w:szCs w:val="24"/>
        </w:rPr>
        <w:t>[26]</w:t>
      </w:r>
      <w:r w:rsidR="00A96FB6" w:rsidRPr="00805C9F">
        <w:rPr>
          <w:i/>
          <w:szCs w:val="24"/>
        </w:rPr>
        <w:fldChar w:fldCharType="end"/>
      </w:r>
      <w:r w:rsidR="00412809" w:rsidRPr="00805C9F">
        <w:rPr>
          <w:i/>
          <w:szCs w:val="24"/>
        </w:rPr>
        <w:t xml:space="preserve">. Значительное преимущество </w:t>
      </w:r>
      <w:r w:rsidR="000F1774" w:rsidRPr="00805C9F">
        <w:rPr>
          <w:i/>
          <w:szCs w:val="24"/>
        </w:rPr>
        <w:t xml:space="preserve">схемы </w:t>
      </w:r>
      <w:r w:rsidR="00412809" w:rsidRPr="00805C9F">
        <w:rPr>
          <w:i/>
          <w:szCs w:val="24"/>
        </w:rPr>
        <w:t>VMP по сравнению с МР, включая общую эффективность, частоту полных ремиссий (ПР), время до прогрессирования (ВДП), общую выживаемость (ОВ)</w:t>
      </w:r>
      <w:r w:rsidR="004D7759" w:rsidRPr="00805C9F">
        <w:rPr>
          <w:i/>
          <w:szCs w:val="24"/>
        </w:rPr>
        <w:t>,</w:t>
      </w:r>
      <w:r w:rsidR="00F024AA" w:rsidRPr="00805C9F">
        <w:rPr>
          <w:i/>
          <w:szCs w:val="24"/>
        </w:rPr>
        <w:t xml:space="preserve"> </w:t>
      </w:r>
      <w:r w:rsidR="000F1774" w:rsidRPr="00805C9F">
        <w:rPr>
          <w:i/>
          <w:szCs w:val="24"/>
        </w:rPr>
        <w:t xml:space="preserve">позволило рассматривать схему </w:t>
      </w:r>
      <w:r w:rsidR="00412809" w:rsidRPr="00805C9F">
        <w:rPr>
          <w:i/>
          <w:szCs w:val="24"/>
        </w:rPr>
        <w:t xml:space="preserve">VMP в качестве современной стандартной терапии </w:t>
      </w:r>
      <w:r w:rsidR="004D7759" w:rsidRPr="00805C9F">
        <w:rPr>
          <w:i/>
          <w:szCs w:val="24"/>
        </w:rPr>
        <w:t>1-</w:t>
      </w:r>
      <w:r w:rsidR="00412809" w:rsidRPr="00805C9F">
        <w:rPr>
          <w:i/>
          <w:szCs w:val="24"/>
        </w:rPr>
        <w:t xml:space="preserve">й линии </w:t>
      </w:r>
      <w:r w:rsidR="00FB03BB" w:rsidRPr="00805C9F">
        <w:rPr>
          <w:i/>
          <w:szCs w:val="24"/>
        </w:rPr>
        <w:t>пациентов</w:t>
      </w:r>
      <w:r w:rsidR="000F1774" w:rsidRPr="00805C9F">
        <w:rPr>
          <w:i/>
          <w:szCs w:val="24"/>
        </w:rPr>
        <w:t xml:space="preserve"> с </w:t>
      </w:r>
      <w:r w:rsidR="00412809" w:rsidRPr="00805C9F">
        <w:rPr>
          <w:i/>
          <w:szCs w:val="24"/>
        </w:rPr>
        <w:t>ММ, которым не планируется проведение ВДХТ с ауто</w:t>
      </w:r>
      <w:r w:rsidR="00267DE2" w:rsidRPr="00805C9F">
        <w:rPr>
          <w:i/>
          <w:szCs w:val="24"/>
        </w:rPr>
        <w:t>-</w:t>
      </w:r>
      <w:r w:rsidR="00412809" w:rsidRPr="00805C9F">
        <w:rPr>
          <w:i/>
          <w:szCs w:val="24"/>
        </w:rPr>
        <w:t>ТГСК. Продолжительность лечения по схеме VMP должна составлять не менее 9 циклов.</w:t>
      </w:r>
    </w:p>
    <w:p w14:paraId="49D1AF7B" w14:textId="4486A4E0" w:rsidR="00412809" w:rsidRPr="00805C9F" w:rsidRDefault="00412809" w:rsidP="00092917">
      <w:pPr>
        <w:spacing w:before="0" w:after="0"/>
        <w:ind w:firstLine="709"/>
        <w:contextualSpacing/>
        <w:rPr>
          <w:i/>
          <w:szCs w:val="24"/>
        </w:rPr>
      </w:pPr>
      <w:r w:rsidRPr="00805C9F">
        <w:rPr>
          <w:i/>
          <w:szCs w:val="24"/>
        </w:rPr>
        <w:t xml:space="preserve">В двух рандомизированных исследованиях </w:t>
      </w:r>
      <w:r w:rsidR="004D7759" w:rsidRPr="00805C9F">
        <w:rPr>
          <w:i/>
          <w:szCs w:val="24"/>
          <w:lang w:val="en-US"/>
        </w:rPr>
        <w:t>III</w:t>
      </w:r>
      <w:r w:rsidRPr="00805C9F">
        <w:rPr>
          <w:i/>
          <w:szCs w:val="24"/>
        </w:rPr>
        <w:t xml:space="preserve"> фазы было показано, что еженедельное введение бортезомиба</w:t>
      </w:r>
      <w:r w:rsidR="007E7259" w:rsidRPr="00805C9F">
        <w:rPr>
          <w:i/>
          <w:szCs w:val="24"/>
        </w:rPr>
        <w:t>**</w:t>
      </w:r>
      <w:r w:rsidRPr="00805C9F">
        <w:rPr>
          <w:i/>
          <w:szCs w:val="24"/>
        </w:rPr>
        <w:t xml:space="preserve"> вместо введения препарата </w:t>
      </w:r>
      <w:r w:rsidR="004D7759" w:rsidRPr="00805C9F">
        <w:rPr>
          <w:i/>
          <w:szCs w:val="24"/>
        </w:rPr>
        <w:t>2 раза</w:t>
      </w:r>
      <w:r w:rsidRPr="00805C9F">
        <w:rPr>
          <w:i/>
          <w:szCs w:val="24"/>
        </w:rPr>
        <w:t xml:space="preserve"> в неделю не снижает эффективности лечения, но позволяет значительно уменьшить частоту развития периферической полинейропатии</w:t>
      </w:r>
      <w:r w:rsidR="00F024AA" w:rsidRPr="00805C9F">
        <w:rPr>
          <w:i/>
          <w:szCs w:val="24"/>
        </w:rPr>
        <w:t xml:space="preserve"> </w:t>
      </w:r>
      <w:r w:rsidR="00A96FB6" w:rsidRPr="00805C9F">
        <w:rPr>
          <w:i/>
          <w:szCs w:val="24"/>
        </w:rPr>
        <w:fldChar w:fldCharType="begin" w:fldLock="1"/>
      </w:r>
      <w:r w:rsidR="00A14090">
        <w:rPr>
          <w:i/>
          <w:szCs w:val="24"/>
        </w:rPr>
        <w:instrText>ADDIN CSL_CITATION {"citationItems":[{"id":"ITEM-1","itemData":{"DOI":"10.1182/blood-2010-07-294983","ISSN":"1528-0020","PMID":"20807892","abstract":"In a recent phase 3 trial, bortezomib-melphalan-prednisone-thalidomide followed by maintenance treatment with bortezomib-thalidomide demonstrated superior efficacy compared with bortezomib-melphalan-prednisone. To decrease neurologic toxicities, the protocol was amended and patients in both arms received once-weekly instead of the initial twice-weekly bortezomib infusions: 372 patients received once-weekly and 139 twice-weekly bortezomib. In this post-hoc analysis we assessed the impact of the schedule change on clinical outcomes and safety. Long-term outcomes appeared similar: 3-year progression-free survival rate was 50% in the once-weekly and 47% in the twice-weekly group (P &gt; .999), and 3-year overall survival rate was 88% and 89%, respectively (P = .54). The complete response rate was 30% in the once-weekly and 35% in the twice-weekly group (P = .27). Nonhematologic grade 3/4 adverse events were reported in 35% of once-weekly patients and 51% of twice-weekly patients (P = .003). The incidence of grade 3/4 peripheral neuropathy was 8% in the once-weekly and 28% in the twice-weekly group (P &lt; .001); 5% of patients in the once-weekly and 15% in the twice-weekly group discontinued therapy because of peripheral neuropathy (P &lt; .001). This improvement in safety did not appear to affect efficacy. This study is registered at http://www.clinicaltrials.gov as NCT01063179.","author":[{"dropping-particle":"","family":"Bringhen","given":"Sara","non-dropping-particle":"","parse-names":false,"suffix":""},{"dropping-particle":"","family":"Larocca","given":"Alessandra","non-dropping-particle":"","parse-names":false,"suffix":""},{"dropping-particle":"","family":"Rossi","given":"Davide","non-dropping-particle":"","parse-names":false,"suffix":""},{"dropping-particle":"","family":"Cavalli","given":"Maide","non-dropping-particle":"","parse-names":false,"suffix":""},{"dropping-particle":"","family":"Genuardi","given":"Mariella","non-dropping-particle":"","parse-names":false,"suffix":""},{"dropping-particle":"","family":"Ria","given":"Roberto","non-dropping-particle":"","parse-names":false,"suffix":""},{"dropping-particle":"","family":"Gentili","given":"Silvia","non-dropping-particle":"","parse-names":false,"suffix":""},{"dropping-particle":"","family":"Patriarca","given":"Francesca","non-dropping-particle":"","parse-names":false,"suffix":""},{"dropping-particle":"","family":"Nozzoli","given":"Chiara","non-dropping-particle":"","parse-names":false,"suffix":""},{"dropping-particle":"","family":"Levi","given":"Anna","non-dropping-particle":"","parse-names":false,"suffix":""},{"dropping-particle":"","family":"Guglielmelli","given":"Tommasina","non-dropping-particle":"","parse-names":false,"suffix":""},{"dropping-particle":"","family":"Benevolo","given":"Giulia","non-dropping-particle":"","parse-names":false,"suffix":""},{"dropping-particle":"","family":"Callea","given":"Vincenzo","non-dropping-particle":"","parse-names":false,"suffix":""},{"dropping-particle":"","family":"Rizzo","given":"Vincenzo","non-dropping-particle":"","parse-names":false,"suffix":""},{"dropping-particle":"","family":"Cangialosi","given":"Clotilde","non-dropping-particle":"","parse-names":false,"suffix":""},{"dropping-particle":"","family":"Musto","given":"Pellegrino","non-dropping-particle":"","parse-names":false,"suffix":""},{"dropping-particle":"","family":"Rosa","given":"Luca","non-dropping-particle":"De","parse-names":false,"suffix":""},{"dropping-particle":"","family":"Liberati","given":"Anna Marina","non-dropping-particle":"","parse-names":false,"suffix":""},{"dropping-particle":"","family":"Grasso","given":"Mariella","non-dropping-particle":"","parse-names":false,"suffix":""},{"dropping-particle":"","family":"Falcone","given":"Antonietta P","non-dropping-particle":"","parse-names":false,"suffix":""},{"dropping-particle":"","family":"Evangelista","given":"Andrea","non-dropping-particle":"","parse-names":false,"suffix":""},{"dropping-particle":"","family":"Cavo","given":"Michele","non-dropping-particle":"","parse-names":false,"suffix":""},{"dropping-particle":"","family":"Gaidano","given":"Gianluca","non-dropping-particle":"","parse-names":false,"suffix":""},{"dropping-particle":"","family":"Boccadoro","given":"Mario","non-dropping-particle":"","parse-names":false,"suffix":""},{"dropping-particle":"","family":"Palumbo","given":"Antonio","non-dropping-particle":"","parse-names":false,"suffix":""}],"container-title":"Blood","id":"ITEM-1","issue":"23","issued":{"date-parts":[["2010","12","2"]]},"page":"4745-53","title":"Efficacy and safety of once-weekly bortezomib in multiple myeloma patients.","type":"article-journal","volume":"116"},"uris":["http://www.mendeley.com/documents/?uuid=e6a9d271-f103-3d6b-8205-fac656246f9e"]},{"id":"ITEM-2","itemData":{"author":[{"dropping-particle":"","family":"Takezako","given":"Naoki","non-dropping-particle":"","parse-names":false,"suffix":""},{"dropping-particle":"","family":"Tokuhira","given":"Michihide","non-dropping-particle":"","parse-names":false,"suffix":""},{"dropping-particle":"","family":"Sekiguchi","given":"Naohiro","non-dropping-particle":"","parse-names":false,"suffix":""},{"dropping-particle":"","family":"Kurihara","given":"Yuya","non-dropping-particle":"","parse-names":false,"suffix":""},{"dropping-particle":"","family":"Ito","given":"Kenichi","non-dropping-particle":"","parse-names":false,"suffix":""},{"dropping-particle":"","family":"Kurimoto","given":"Miwa","non-dropping-particle":"","parse-names":false,"suffix":""},{"dropping-particle":"","family":"Suzuki","given":"Kenshi","non-dropping-particle":"","parse-names":false,"suffix":""},{"dropping-particle":"","family":"Kizaki","given":"Masahiro","non-dropping-particle":"","parse-names":false,"suffix":""}],"container-title":"Blood","id":"ITEM-2","issue":"22","issued":{"date-parts":[["2016"]]},"title":"The Efficacy and Safety of Weekly Bortezomib Containing VMP Followed By Bortezomib Maintenance Therapy in Unfit or Frail Multiple Myeloma Patients","type":"article-journal","volume":"128"},"uris":["http://www.mendeley.com/documents/?uuid=54874430-49bc-3eca-818e-5fd25d8a1181"]}],"mendeley":{"formattedCitation":"[27,28]","plainTextFormattedCitation":"[27,28]","previouslyFormattedCitation":"[27,28]"},"properties":{"noteIndex":0},"schema":"https://github.com/citation-style-language/schema/raw/master/csl-citation.json"}</w:instrText>
      </w:r>
      <w:r w:rsidR="00A96FB6" w:rsidRPr="00805C9F">
        <w:rPr>
          <w:i/>
          <w:szCs w:val="24"/>
        </w:rPr>
        <w:fldChar w:fldCharType="separate"/>
      </w:r>
      <w:r w:rsidR="00500F37" w:rsidRPr="00500F37">
        <w:rPr>
          <w:noProof/>
          <w:szCs w:val="24"/>
        </w:rPr>
        <w:t>[27,28]</w:t>
      </w:r>
      <w:r w:rsidR="00A96FB6" w:rsidRPr="00805C9F">
        <w:rPr>
          <w:i/>
          <w:szCs w:val="24"/>
        </w:rPr>
        <w:fldChar w:fldCharType="end"/>
      </w:r>
      <w:r w:rsidRPr="00805C9F">
        <w:rPr>
          <w:i/>
          <w:szCs w:val="24"/>
        </w:rPr>
        <w:t>. Программу VMP с введением бортезомиба</w:t>
      </w:r>
      <w:r w:rsidR="007E7259" w:rsidRPr="00805C9F">
        <w:rPr>
          <w:i/>
          <w:szCs w:val="24"/>
        </w:rPr>
        <w:t>**</w:t>
      </w:r>
      <w:r w:rsidRPr="00805C9F">
        <w:rPr>
          <w:i/>
          <w:szCs w:val="24"/>
        </w:rPr>
        <w:t xml:space="preserve"> 1 раз </w:t>
      </w:r>
      <w:r w:rsidR="004D7759" w:rsidRPr="00805C9F">
        <w:rPr>
          <w:i/>
          <w:szCs w:val="24"/>
        </w:rPr>
        <w:t xml:space="preserve">в </w:t>
      </w:r>
      <w:r w:rsidRPr="00805C9F">
        <w:rPr>
          <w:i/>
          <w:szCs w:val="24"/>
        </w:rPr>
        <w:t xml:space="preserve">неделю рекомендуется использовать у пожилых пациентов ММ как предпочтительную. </w:t>
      </w:r>
    </w:p>
    <w:p w14:paraId="0C45E0C5" w14:textId="77777777" w:rsidR="00412809" w:rsidRPr="00805C9F" w:rsidRDefault="00412809" w:rsidP="00092917">
      <w:pPr>
        <w:spacing w:before="0" w:after="0"/>
        <w:ind w:firstLine="709"/>
        <w:contextualSpacing/>
        <w:rPr>
          <w:i/>
          <w:szCs w:val="24"/>
        </w:rPr>
      </w:pPr>
      <w:r w:rsidRPr="00805C9F">
        <w:rPr>
          <w:i/>
          <w:szCs w:val="24"/>
        </w:rPr>
        <w:t>С целью уменьшения побочных эффектов бортезомиба</w:t>
      </w:r>
      <w:r w:rsidR="007E7259" w:rsidRPr="00805C9F">
        <w:rPr>
          <w:i/>
          <w:szCs w:val="24"/>
        </w:rPr>
        <w:t>**</w:t>
      </w:r>
      <w:r w:rsidRPr="00805C9F">
        <w:rPr>
          <w:i/>
          <w:szCs w:val="24"/>
        </w:rPr>
        <w:t xml:space="preserve"> при появлении признаков токсичности необходима своевременная редукция дозы препарата. Кроме того, подкожное введение бортезомиба</w:t>
      </w:r>
      <w:r w:rsidR="007E7259" w:rsidRPr="00805C9F">
        <w:rPr>
          <w:i/>
          <w:szCs w:val="24"/>
        </w:rPr>
        <w:t>**</w:t>
      </w:r>
      <w:r w:rsidRPr="00805C9F">
        <w:rPr>
          <w:i/>
          <w:szCs w:val="24"/>
        </w:rPr>
        <w:t xml:space="preserve"> вместо внутривенного существенно снижает частоту развития нежелательных явлений.</w:t>
      </w:r>
    </w:p>
    <w:p w14:paraId="6FCCAC4C" w14:textId="0191EA3F" w:rsidR="00412809" w:rsidRPr="00805C9F" w:rsidRDefault="00412809" w:rsidP="00092917">
      <w:pPr>
        <w:spacing w:before="0" w:after="0"/>
        <w:ind w:firstLine="709"/>
        <w:contextualSpacing/>
        <w:rPr>
          <w:i/>
          <w:strike/>
          <w:szCs w:val="24"/>
        </w:rPr>
      </w:pPr>
      <w:r w:rsidRPr="00805C9F">
        <w:rPr>
          <w:i/>
          <w:szCs w:val="24"/>
        </w:rPr>
        <w:t xml:space="preserve">Высокоэффективным методом ведения </w:t>
      </w:r>
      <w:r w:rsidR="006714D9" w:rsidRPr="00805C9F">
        <w:rPr>
          <w:i/>
          <w:szCs w:val="24"/>
        </w:rPr>
        <w:t>«</w:t>
      </w:r>
      <w:r w:rsidRPr="00805C9F">
        <w:rPr>
          <w:i/>
          <w:szCs w:val="24"/>
        </w:rPr>
        <w:t>первичных</w:t>
      </w:r>
      <w:r w:rsidR="006714D9" w:rsidRPr="00805C9F">
        <w:rPr>
          <w:i/>
          <w:szCs w:val="24"/>
        </w:rPr>
        <w:t>»</w:t>
      </w:r>
      <w:r w:rsidRPr="00805C9F">
        <w:rPr>
          <w:i/>
          <w:szCs w:val="24"/>
        </w:rPr>
        <w:t xml:space="preserve"> </w:t>
      </w:r>
      <w:r w:rsidR="00FB03BB" w:rsidRPr="00805C9F">
        <w:rPr>
          <w:i/>
          <w:szCs w:val="24"/>
        </w:rPr>
        <w:t>пациентов</w:t>
      </w:r>
      <w:r w:rsidR="00DE0BC0" w:rsidRPr="00805C9F">
        <w:rPr>
          <w:i/>
          <w:szCs w:val="24"/>
        </w:rPr>
        <w:t xml:space="preserve"> </w:t>
      </w:r>
      <w:r w:rsidRPr="00805C9F">
        <w:rPr>
          <w:i/>
          <w:szCs w:val="24"/>
        </w:rPr>
        <w:t>ММ является сочетание бортезомиба</w:t>
      </w:r>
      <w:r w:rsidR="007E7259" w:rsidRPr="00805C9F">
        <w:rPr>
          <w:i/>
          <w:szCs w:val="24"/>
        </w:rPr>
        <w:t>**</w:t>
      </w:r>
      <w:r w:rsidRPr="00805C9F">
        <w:rPr>
          <w:i/>
          <w:szCs w:val="24"/>
        </w:rPr>
        <w:t xml:space="preserve"> с дексаметазоном</w:t>
      </w:r>
      <w:r w:rsidR="007E7259" w:rsidRPr="00805C9F">
        <w:rPr>
          <w:i/>
          <w:szCs w:val="24"/>
        </w:rPr>
        <w:t>**</w:t>
      </w:r>
      <w:r w:rsidRPr="00805C9F">
        <w:rPr>
          <w:i/>
          <w:szCs w:val="24"/>
        </w:rPr>
        <w:t xml:space="preserve"> (VD)</w:t>
      </w:r>
      <w:r w:rsidR="00463342" w:rsidRPr="00805C9F">
        <w:rPr>
          <w:i/>
          <w:szCs w:val="24"/>
        </w:rPr>
        <w:t xml:space="preserve"> </w:t>
      </w:r>
      <w:r w:rsidR="00A96FB6" w:rsidRPr="00805C9F">
        <w:rPr>
          <w:i/>
          <w:szCs w:val="24"/>
        </w:rPr>
        <w:fldChar w:fldCharType="begin" w:fldLock="1"/>
      </w:r>
      <w:r w:rsidR="00500F37">
        <w:rPr>
          <w:i/>
          <w:szCs w:val="24"/>
        </w:rPr>
        <w:instrText>ADDIN CSL_CITATION {"citationItems":[{"id":"ITEM-1","itemData":{"DOI":"10.1111/j.1365-2141.2009.07803.x","ISSN":"1365-2141","PMID":"19622094","abstract":"High-quality response to multiple myeloma (MM) therapy can be predictive for improved outcomes. Novel agents may improve the depth of responses and therefore prolong survival. We report on the extended follow-up of a phase II study in frontline MM of bortezomib alone and in combination with dexamethasone. Forty-nine previously untreated, symptomatic MM patients received bortezomib 1.3 mg/m(2), days 1, 4, 8, 11, for up to six 3-week cycles. High-dose dexamethasone was added for patients not reaching either a partial response after cycle 2 or a complete response (CR) after cycle 4. The overall response rate in 48 evaluable patients was 90%, with 42% achieving at least a very good partial response, of which 19% were CR/near CR. Thirty-six patients received high-dose dexamethasone with 28 (77%) showing improved response. Twenty-seven patients have undergone successful stem-cell transplantation (SCT). After median follow-up of 49 months, 15 patients have died; median overall survival has still not been reached, with an estimated survival at 4 years of 67%. Overall survival with and without SCT was not different (P = 0.54). Grade 3/4 adverse events included neutropenia (10%), sensory neuropathy (6% grade 3), neuropathic pain (4% grade 3), and diarrhoea (4% grade 3). Bortezomib +/- dexamethasone is an effective and well-tolerated induction regimen for the frontline treatment of MM.","author":[{"dropping-particle":"","family":"Jagannath","given":"Sundar","non-dropping-particle":"","parse-names":false,"suffix":""},{"dropping-particle":"","family":"Durie","given":"Brian G M","non-dropping-particle":"","parse-names":false,"suffix":""},{"dropping-particle":"","family":"Wolf","given":"Jeffrey Lee","non-dropping-particle":"","parse-names":false,"suffix":""},{"dropping-particle":"","family":"Camacho","given":"Elber S","non-dropping-particle":"","parse-names":false,"suffix":""},{"dropping-particle":"","family":"Irwin","given":"David","non-dropping-particle":"","parse-names":false,"suffix":""},{"dropping-particle":"","family":"Lutzky","given":"Jose","non-dropping-particle":"","parse-names":false,"suffix":""},{"dropping-particle":"","family":"McKinley","given":"Marti","non-dropping-particle":"","parse-names":false,"suffix":""},{"dropping-particle":"","family":"Potts","given":"Phyllis","non-dropping-particle":"","parse-names":false,"suffix":""},{"dropping-particle":"","family":"Gabayan","given":"Afshin Eli","non-dropping-particle":"","parse-names":false,"suffix":""},{"dropping-particle":"","family":"Mazumder","given":"Amitabha","non-dropping-particle":"","parse-names":false,"suffix":""},{"dropping-particle":"","family":"Crowley","given":"John","non-dropping-particle":"","parse-names":false,"suffix":""},{"dropping-particle":"","family":"Vescio","given":"Robert","non-dropping-particle":"","parse-names":false,"suffix":""}],"container-title":"British journal of haematology","id":"ITEM-1","issue":"6","issued":{"date-parts":[["2009","9"]]},"page":"619-26","title":"Extended follow-up of a phase 2 trial of bortezomib alone and in combination with dexamethasone for the frontline treatment of multiple myeloma.","type":"article-journal","volume":"146"},"uris":["http://www.mendeley.com/documents/?uuid=55a5816c-f84d-3cc7-a018-411236af8b9b"]}],"mendeley":{"formattedCitation":"[29]","plainTextFormattedCitation":"[29]","previouslyFormattedCitation":"[29]"},"properties":{"noteIndex":0},"schema":"https://github.com/citation-style-language/schema/raw/master/csl-citation.json"}</w:instrText>
      </w:r>
      <w:r w:rsidR="00A96FB6" w:rsidRPr="00805C9F">
        <w:rPr>
          <w:i/>
          <w:szCs w:val="24"/>
        </w:rPr>
        <w:fldChar w:fldCharType="separate"/>
      </w:r>
      <w:r w:rsidR="00E03159" w:rsidRPr="00805C9F">
        <w:rPr>
          <w:noProof/>
          <w:szCs w:val="24"/>
        </w:rPr>
        <w:t>[29]</w:t>
      </w:r>
      <w:r w:rsidR="00A96FB6" w:rsidRPr="00805C9F">
        <w:rPr>
          <w:i/>
          <w:szCs w:val="24"/>
        </w:rPr>
        <w:fldChar w:fldCharType="end"/>
      </w:r>
      <w:r w:rsidRPr="00805C9F">
        <w:rPr>
          <w:i/>
          <w:szCs w:val="24"/>
        </w:rPr>
        <w:t xml:space="preserve">. </w:t>
      </w:r>
    </w:p>
    <w:p w14:paraId="19FACB6F" w14:textId="2363A580" w:rsidR="004D7374" w:rsidRPr="00805C9F" w:rsidRDefault="00412809" w:rsidP="00092917">
      <w:pPr>
        <w:spacing w:before="0" w:after="0"/>
        <w:ind w:firstLine="709"/>
        <w:contextualSpacing/>
        <w:rPr>
          <w:szCs w:val="24"/>
        </w:rPr>
      </w:pPr>
      <w:r w:rsidRPr="00805C9F">
        <w:rPr>
          <w:i/>
          <w:szCs w:val="24"/>
        </w:rPr>
        <w:t>Поддерживающая терапия бортезомибом</w:t>
      </w:r>
      <w:r w:rsidR="007E7259" w:rsidRPr="00805C9F">
        <w:rPr>
          <w:i/>
          <w:szCs w:val="24"/>
        </w:rPr>
        <w:t>**</w:t>
      </w:r>
      <w:r w:rsidRPr="00805C9F">
        <w:rPr>
          <w:i/>
          <w:szCs w:val="24"/>
        </w:rPr>
        <w:t xml:space="preserve"> увеличивает частоту ПР, выживаемость без прогрессирования (ВБП) и ВДП. Поскольку убедительных данных об увеличении ОВ нет, согласно рекомендациям ESMO поддержи</w:t>
      </w:r>
      <w:r w:rsidR="009421BC" w:rsidRPr="00805C9F">
        <w:rPr>
          <w:i/>
          <w:szCs w:val="24"/>
        </w:rPr>
        <w:t xml:space="preserve">вающая терапия у пожилых пациентов </w:t>
      </w:r>
      <w:r w:rsidRPr="00805C9F">
        <w:rPr>
          <w:i/>
          <w:szCs w:val="24"/>
        </w:rPr>
        <w:t>не рекомендуется</w:t>
      </w:r>
      <w:r w:rsidR="00463342" w:rsidRPr="00805C9F">
        <w:rPr>
          <w:i/>
          <w:szCs w:val="24"/>
        </w:rPr>
        <w:t xml:space="preserve"> </w:t>
      </w:r>
      <w:r w:rsidR="00A96FB6" w:rsidRPr="00805C9F">
        <w:rPr>
          <w:i/>
          <w:szCs w:val="24"/>
        </w:rPr>
        <w:fldChar w:fldCharType="begin" w:fldLock="1"/>
      </w:r>
      <w:r w:rsidR="00500F37">
        <w:rPr>
          <w:i/>
          <w:szCs w:val="24"/>
        </w:rPr>
        <w:instrText>ADDIN CSL_CITATION {"citationItems":[{"id":"ITEM-1","itemData":{"DOI":"10.1093/annonc/mdx096","ISSN":"1569-8041","PMID":"28453614","author":[{"dropping-particle":"","family":"Moreau","given":"P","non-dropping-particle":"","parse-names":false,"suffix":""},{"dropping-particle":"","family":"San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Oncology","id":"ITEM-1","issue":"suppl_4","issued":{"date-parts":[["2017","7","1"]]},"page":"iv52-iv61","title":"Multiple myeloma: ESMO Clinical Practice Guidelines for diagnosis, treatment and follow-up.","type":"article-journal","volume":"28"},"uris":["http://www.mendeley.com/documents/?uuid=e710540c-71bd-39f6-a6ad-aa95562089c3"]}],"mendeley":{"formattedCitation":"[15]","plainTextFormattedCitation":"[15]","previouslyFormattedCitation":"[15]"},"properties":{"noteIndex":0},"schema":"https://github.com/citation-style-language/schema/raw/master/csl-citation.json"}</w:instrText>
      </w:r>
      <w:r w:rsidR="00A96FB6" w:rsidRPr="00805C9F">
        <w:rPr>
          <w:i/>
          <w:szCs w:val="24"/>
        </w:rPr>
        <w:fldChar w:fldCharType="separate"/>
      </w:r>
      <w:r w:rsidR="00E03159" w:rsidRPr="00805C9F">
        <w:rPr>
          <w:noProof/>
          <w:szCs w:val="24"/>
        </w:rPr>
        <w:t>[15]</w:t>
      </w:r>
      <w:r w:rsidR="00A96FB6" w:rsidRPr="00805C9F">
        <w:rPr>
          <w:i/>
          <w:szCs w:val="24"/>
        </w:rPr>
        <w:fldChar w:fldCharType="end"/>
      </w:r>
      <w:r w:rsidRPr="00805C9F">
        <w:rPr>
          <w:i/>
          <w:szCs w:val="24"/>
        </w:rPr>
        <w:t>.</w:t>
      </w:r>
      <w:r w:rsidR="004D7374" w:rsidRPr="00805C9F">
        <w:rPr>
          <w:szCs w:val="24"/>
        </w:rPr>
        <w:tab/>
      </w:r>
    </w:p>
    <w:p w14:paraId="455B237C" w14:textId="29821710" w:rsidR="004D7374" w:rsidRPr="00805C9F" w:rsidRDefault="00235423" w:rsidP="00092917">
      <w:pPr>
        <w:pStyle w:val="a6"/>
        <w:numPr>
          <w:ilvl w:val="0"/>
          <w:numId w:val="5"/>
        </w:numPr>
        <w:spacing w:before="0" w:after="0"/>
        <w:ind w:left="0" w:firstLine="0"/>
        <w:rPr>
          <w:szCs w:val="24"/>
        </w:rPr>
      </w:pPr>
      <w:r w:rsidRPr="00805C9F">
        <w:rPr>
          <w:szCs w:val="24"/>
        </w:rPr>
        <w:t>Пациентам с впервые диагностированной ММ – не кандидатам на ВДХТ с ауто</w:t>
      </w:r>
      <w:r w:rsidR="00267DE2" w:rsidRPr="00805C9F">
        <w:rPr>
          <w:szCs w:val="24"/>
        </w:rPr>
        <w:t>-</w:t>
      </w:r>
      <w:r w:rsidRPr="00805C9F">
        <w:rPr>
          <w:szCs w:val="24"/>
        </w:rPr>
        <w:t>ТГСК</w:t>
      </w:r>
      <w:r w:rsidR="004A1BD3" w:rsidRPr="00805C9F">
        <w:rPr>
          <w:szCs w:val="24"/>
        </w:rPr>
        <w:t xml:space="preserve"> −</w:t>
      </w:r>
      <w:r w:rsidR="00BE70BE" w:rsidRPr="00805C9F">
        <w:rPr>
          <w:szCs w:val="24"/>
        </w:rPr>
        <w:t xml:space="preserve"> </w:t>
      </w:r>
      <w:r w:rsidR="00E05D8E" w:rsidRPr="00805C9F">
        <w:rPr>
          <w:szCs w:val="24"/>
        </w:rPr>
        <w:t xml:space="preserve">в качестве альтернативной опции, </w:t>
      </w:r>
      <w:r w:rsidR="00E05D8E" w:rsidRPr="00805C9F">
        <w:rPr>
          <w:color w:val="000000"/>
          <w:szCs w:val="24"/>
        </w:rPr>
        <w:t xml:space="preserve">а также при наличии противопоказаний к </w:t>
      </w:r>
      <w:r w:rsidR="00E05D8E" w:rsidRPr="00805C9F">
        <w:rPr>
          <w:color w:val="000000"/>
          <w:szCs w:val="24"/>
        </w:rPr>
        <w:lastRenderedPageBreak/>
        <w:t xml:space="preserve">применению </w:t>
      </w:r>
      <w:r w:rsidRPr="00805C9F">
        <w:rPr>
          <w:color w:val="000000"/>
          <w:szCs w:val="24"/>
        </w:rPr>
        <w:t>бортезомиб</w:t>
      </w:r>
      <w:r w:rsidR="00E05D8E" w:rsidRPr="00805C9F">
        <w:rPr>
          <w:color w:val="000000"/>
          <w:szCs w:val="24"/>
        </w:rPr>
        <w:t>а</w:t>
      </w:r>
      <w:r w:rsidR="00EA795A" w:rsidRPr="00805C9F">
        <w:rPr>
          <w:color w:val="000000"/>
          <w:szCs w:val="24"/>
        </w:rPr>
        <w:t>**</w:t>
      </w:r>
      <w:r w:rsidR="003369B4" w:rsidRPr="00805C9F">
        <w:rPr>
          <w:szCs w:val="24"/>
        </w:rPr>
        <w:t xml:space="preserve"> </w:t>
      </w:r>
      <w:r w:rsidR="003703A8" w:rsidRPr="00805C9F">
        <w:rPr>
          <w:b/>
          <w:szCs w:val="24"/>
        </w:rPr>
        <w:t>рекомендуется</w:t>
      </w:r>
      <w:r w:rsidR="004D7374" w:rsidRPr="00805C9F">
        <w:rPr>
          <w:szCs w:val="24"/>
        </w:rPr>
        <w:t xml:space="preserve"> проведение </w:t>
      </w:r>
      <w:r w:rsidRPr="00805C9F">
        <w:rPr>
          <w:szCs w:val="24"/>
        </w:rPr>
        <w:t xml:space="preserve">терапии </w:t>
      </w:r>
      <w:r w:rsidR="009B7849" w:rsidRPr="00805C9F">
        <w:rPr>
          <w:szCs w:val="24"/>
        </w:rPr>
        <w:t>к</w:t>
      </w:r>
      <w:r w:rsidRPr="00805C9F">
        <w:rPr>
          <w:szCs w:val="24"/>
        </w:rPr>
        <w:t>омбинациями с включением леналидомида</w:t>
      </w:r>
      <w:r w:rsidR="00EA795A" w:rsidRPr="00805C9F">
        <w:rPr>
          <w:szCs w:val="24"/>
        </w:rPr>
        <w:t>**</w:t>
      </w:r>
      <w:r w:rsidR="00E54555" w:rsidRPr="00805C9F">
        <w:rPr>
          <w:szCs w:val="24"/>
        </w:rPr>
        <w:t xml:space="preserve"> (</w:t>
      </w:r>
      <w:r w:rsidR="00E54555" w:rsidRPr="00805C9F">
        <w:rPr>
          <w:szCs w:val="24"/>
          <w:lang w:val="en-US"/>
        </w:rPr>
        <w:t>Rd</w:t>
      </w:r>
      <w:r w:rsidR="00E54555" w:rsidRPr="00805C9F">
        <w:rPr>
          <w:szCs w:val="24"/>
        </w:rPr>
        <w:t xml:space="preserve">, </w:t>
      </w:r>
      <w:r w:rsidR="00E54555" w:rsidRPr="00805C9F">
        <w:rPr>
          <w:szCs w:val="24"/>
          <w:lang w:val="en-US"/>
        </w:rPr>
        <w:t>MPR</w:t>
      </w:r>
      <w:r w:rsidR="00E54555" w:rsidRPr="00805C9F">
        <w:rPr>
          <w:szCs w:val="24"/>
        </w:rPr>
        <w:t>)</w:t>
      </w:r>
      <w:r w:rsidR="00DA70E3" w:rsidRPr="00805C9F">
        <w:rPr>
          <w:szCs w:val="24"/>
        </w:rPr>
        <w:t xml:space="preserve"> (описание режимов – см. приложение </w:t>
      </w:r>
      <w:r w:rsidR="00C812D6" w:rsidRPr="00805C9F">
        <w:rPr>
          <w:szCs w:val="24"/>
        </w:rPr>
        <w:t>А3.1</w:t>
      </w:r>
      <w:r w:rsidR="004A1BD3" w:rsidRPr="00805C9F">
        <w:rPr>
          <w:szCs w:val="24"/>
        </w:rPr>
        <w:t>.</w:t>
      </w:r>
      <w:r w:rsidR="00DA70E3" w:rsidRPr="00805C9F">
        <w:rPr>
          <w:szCs w:val="24"/>
        </w:rPr>
        <w:t>)</w:t>
      </w:r>
      <w:r w:rsidR="00463342" w:rsidRPr="00805C9F">
        <w:rPr>
          <w:szCs w:val="24"/>
        </w:rPr>
        <w:t xml:space="preserve"> </w:t>
      </w:r>
      <w:r w:rsidR="00A96FB6" w:rsidRPr="00805C9F">
        <w:rPr>
          <w:szCs w:val="24"/>
        </w:rPr>
        <w:fldChar w:fldCharType="begin" w:fldLock="1"/>
      </w:r>
      <w:r w:rsidR="00A14090">
        <w:rPr>
          <w:szCs w:val="24"/>
        </w:rPr>
        <w:instrText>ADDIN CSL_CITATION {"citationItems":[{"id":"ITEM-1","itemData":{"DOI":"10.1080/10428194.2016.1177772","ISSN":"1029-2403","PMID":"27124703","abstract":"In newly diagnosed multiple myeloma (MM), patients ineligible for front-line autologous stem cell transplantation (ASCT), melphalan and prednisone (MP) with thalidomide (MPT) or bortezomib (VMP) are standard first-line therapeutic options. Despite new treatment regimens incorporating bortezomib or lenalidomide, MM remains incurable. The FIRST study demonstrated significant improvement in progression-free survival (PFS) and overall survival (OS) for the combination of lenalidomide and low-dose dexamethasone (Rd) until progression vs. MPT in transplant-ineligible ndMM patients. However, to date no head-to-head randomized controlled trials (RCTs) have compared Rd or MPT versus VMP. We conducted a network meta-analysis using RCTs identified through a systematic literature review to evaluate the relative efficacy of Rd versus other regimens on survival endpoints in previously untreated MM patients ineligible for ASCT. In this analysis, Rd was associated with a significant PFS and survival advantage versus other first-line treatments (VMP, MPT, MP), challenging the role of alkylators in this setting.","author":[{"dropping-particle":"","family":"Weisel","given":"Katja","non-dropping-particle":"","parse-names":false,"suffix":""},{"dropping-particle":"","family":"Doyen","given":"Chantal","non-dropping-particle":"","parse-names":false,"suffix":""},{"dropping-particle":"","family":"Dimopoulos","given":"Meletios","non-dropping-particle":"","parse-names":false,"suffix":""},{"dropping-particle":"","family":"Yee","given":"Adrian","non-dropping-particle":"","parse-names":false,"suffix":""},{"dropping-particle":"","family":"Lahuerta","given":"Juan José","non-dropping-particle":"","parse-names":false,"suffix":""},{"dropping-particle":"","family":"Martin","given":"Amber","non-dropping-particle":"","parse-names":false,"suffix":""},{"dropping-particle":"","family":"Travers","given":"Karin","non-dropping-particle":"","parse-names":false,"suffix":""},{"dropping-particle":"","family":"Druyts","given":"Eric","non-dropping-particle":"","parse-names":false,"suffix":""},{"dropping-particle":"","family":"Toor","given":"Kabirraaj","non-dropping-particle":"","parse-names":false,"suffix":""},{"dropping-particle":"","family":"Abildgaard","given":"Niels","non-dropping-particle":"","parse-names":false,"suffix":""},{"dropping-particle":"","family":"Lu","given":"Jin","non-dropping-particle":"","parse-names":false,"suffix":""},{"dropping-particle":"","family":"Droogenbroeck","given":"Jan","non-dropping-particle":"Van","parse-names":false,"suffix":""},{"dropping-particle":"","family":"Geraldes","given":"Catarina","non-dropping-particle":"","parse-names":false,"suffix":""},{"dropping-particle":"","family":"Petrini","given":"Mario","non-dropping-particle":"","parse-names":false,"suffix":""},{"dropping-particle":"","family":"Voillat","given":"Laurent","non-dropping-particle":"","parse-names":false,"suffix":""},{"dropping-particle":"","family":"Voog","given":"Eric","non-dropping-particle":"","parse-names":false,"suffix":""},{"dropping-particle":"","family":"Facon","given":"Thierry","non-dropping-particle":"","parse-names":false,"suffix":""}],"container-title":"Leukemia &amp; lymphoma","id":"ITEM-1","issue":"1","issued":{"date-parts":[["2017"]]},"page":"153-161","title":"A systematic literature review and network meta-analysis of treatments for patients with untreated multiple myeloma not eligible for stem cell transplantation.","type":"article-journal","volume":"58"},"uris":["http://www.mendeley.com/documents/?uuid=3e454a3e-7cea-314f-bbe4-01929d0542d4"]},{"id":"ITEM-2","itemData":{"DOI":"10.3109/10428194.2013.847935","ISSN":"1029-2403","PMID":"24067138","abstract":"The objective of the study was to investigate the effects and safety of novel agents such as bortezomib and lenalidomide in the treatment of newly diagnosed patients with multiple myeloma. We performed a comprehensive meta-analysis of randomized controlled trials (RCTs). An initial search yielded 627 citations, of which 10 RCTs enrolling 4534 patients met the inclusion criteria. The addition of bortezomib to first-line therapy significantly prolonged overall survival (OS) (hazard ratio [HR], 0.75 [0.65, 0.87], p &lt; 0.001). On the other hand, the addition of lenalidomide had no impact on survival (HR, 0.88 [0.65, 1.20], p = 0.42). Both lenalidomide and bortezomib consistently improved progression-free survival (PFS) compared with conventional therapy alone. The corresponding HRs were 0.65, 95% confidence interval (CI) [0.55, 0.77] (p &lt; 0.001) for bortezomib and 0.48, 95% CI [0.42, 0.55]; (p &lt; 0.001) for lenalidomide, respectively. Some of the increased adverse events reported were herpes zoster (relative risk [RR], 3.64 [2.23, 5.94], p &lt; 0.001), peripheral neuropathy (RR, 3.59 [1.89, 6.83], p &lt; 0.001) and gastrointestinal effects (RR, 2.19 [1.37, 3.50], p = 0.001) among patients receiving bortezomib, and gastrointestinal effects (RR, 2.36 [1.33, 4.17], p = 0.003) and thromboembolic events (RR, 2.55 [1.48, 4.38], p &lt; 0.001) among patients receiving lenalidomide. Interestingly, treatment with bortezomib seemed to be associated with a lower rate of treatment related mortality (RR, 0.39 [0.18, 0.85], p = 0.02). An increased incidence of second primary cancers was observed in the lenalidomide group (RR 2.61 [1.60, 4.27], p &lt; 0.001). In summary, bortezomib improved OS, and both lenalidomide and bortezomib consistently improved PFS of patients with newly diagnosed myeloma when it was added to standard therapy.","author":[{"dropping-particle":"","family":"Zou","given":"Yandun","non-dropping-particle":"","parse-names":false,"suffix":""},{"dropping-particle":"","family":"Lin","given":"Mingzhen","non-dropping-particle":"","parse-names":false,"suffix":""},{"dropping-particle":"","family":"Sheng","given":"Zhixin","non-dropping-particle":"","parse-names":false,"suffix":""},{"dropping-particle":"","family":"Niu","given":"Shaona","non-dropping-particle":"","parse-names":false,"suffix":""}],"container-title":"Leukemia &amp; lymphoma","id":"ITEM-2","issue":"9","issued":{"date-parts":[["2014","9"]]},"page":"2024-31","title":"Bortezomib and lenalidomide as front-line therapy for multiple myeloma.","type":"article-journal","volume":"55"},"uris":["http://www.mendeley.com/documents/?uuid=9439b288-0a59-314a-9744-9aedc4d3acdf"]}],"mendeley":{"formattedCitation":"[25,30]","plainTextFormattedCitation":"[25,30]","previouslyFormattedCitation":"[25,30]"},"properties":{"noteIndex":0},"schema":"https://github.com/citation-style-language/schema/raw/master/csl-citation.json"}</w:instrText>
      </w:r>
      <w:r w:rsidR="00A96FB6" w:rsidRPr="00805C9F">
        <w:rPr>
          <w:szCs w:val="24"/>
        </w:rPr>
        <w:fldChar w:fldCharType="separate"/>
      </w:r>
      <w:r w:rsidR="00500F37" w:rsidRPr="00500F37">
        <w:rPr>
          <w:noProof/>
          <w:szCs w:val="24"/>
        </w:rPr>
        <w:t>[25,30]</w:t>
      </w:r>
      <w:r w:rsidR="00A96FB6" w:rsidRPr="00805C9F">
        <w:rPr>
          <w:szCs w:val="24"/>
        </w:rPr>
        <w:fldChar w:fldCharType="end"/>
      </w:r>
      <w:r w:rsidR="00D25605" w:rsidRPr="00805C9F">
        <w:rPr>
          <w:szCs w:val="24"/>
        </w:rPr>
        <w:t>.</w:t>
      </w:r>
      <w:r w:rsidR="00BE70BE" w:rsidRPr="00805C9F">
        <w:rPr>
          <w:szCs w:val="24"/>
        </w:rPr>
        <w:t xml:space="preserve"> </w:t>
      </w:r>
    </w:p>
    <w:p w14:paraId="546D34CC" w14:textId="77777777" w:rsidR="004D7374" w:rsidRPr="00805C9F" w:rsidRDefault="004D7374" w:rsidP="00092917">
      <w:pPr>
        <w:spacing w:before="0" w:after="0"/>
        <w:rPr>
          <w:b/>
          <w:szCs w:val="24"/>
        </w:rPr>
      </w:pPr>
      <w:r w:rsidRPr="00805C9F">
        <w:rPr>
          <w:b/>
          <w:szCs w:val="24"/>
        </w:rPr>
        <w:t xml:space="preserve">Уровень убедительности рекомендаций </w:t>
      </w:r>
      <w:r w:rsidR="004A1BD3" w:rsidRPr="00805C9F">
        <w:rPr>
          <w:b/>
          <w:szCs w:val="24"/>
        </w:rPr>
        <w:t xml:space="preserve">− </w:t>
      </w:r>
      <w:r w:rsidR="00637D26" w:rsidRPr="00805C9F">
        <w:rPr>
          <w:b/>
          <w:szCs w:val="24"/>
        </w:rPr>
        <w:t>A</w:t>
      </w:r>
      <w:r w:rsidR="003369B4" w:rsidRPr="00805C9F">
        <w:rPr>
          <w:b/>
          <w:szCs w:val="24"/>
        </w:rPr>
        <w:t xml:space="preserve"> </w:t>
      </w:r>
      <w:r w:rsidRPr="00805C9F">
        <w:rPr>
          <w:b/>
          <w:szCs w:val="24"/>
        </w:rPr>
        <w:t>(уровень достоверности доказательств</w:t>
      </w:r>
      <w:r w:rsidR="004A1BD3" w:rsidRPr="00805C9F">
        <w:rPr>
          <w:b/>
          <w:szCs w:val="24"/>
        </w:rPr>
        <w:t xml:space="preserve"> − </w:t>
      </w:r>
      <w:r w:rsidR="00637D26" w:rsidRPr="00805C9F">
        <w:rPr>
          <w:b/>
          <w:szCs w:val="24"/>
        </w:rPr>
        <w:t>1</w:t>
      </w:r>
      <w:r w:rsidRPr="00805C9F">
        <w:rPr>
          <w:b/>
          <w:szCs w:val="24"/>
        </w:rPr>
        <w:t>)</w:t>
      </w:r>
    </w:p>
    <w:p w14:paraId="7C8F4D66" w14:textId="14E48B07" w:rsidR="00E54555" w:rsidRPr="00805C9F" w:rsidRDefault="00D25605" w:rsidP="00092917">
      <w:pPr>
        <w:spacing w:before="0" w:after="0"/>
        <w:contextualSpacing/>
        <w:rPr>
          <w:i/>
          <w:szCs w:val="24"/>
        </w:rPr>
      </w:pPr>
      <w:r w:rsidRPr="00805C9F">
        <w:rPr>
          <w:b/>
          <w:szCs w:val="24"/>
        </w:rPr>
        <w:t>Комментарий:</w:t>
      </w:r>
      <w:r w:rsidR="00463342" w:rsidRPr="00805C9F">
        <w:rPr>
          <w:b/>
          <w:szCs w:val="24"/>
        </w:rPr>
        <w:t xml:space="preserve"> </w:t>
      </w:r>
      <w:r w:rsidR="00463342" w:rsidRPr="00805C9F">
        <w:rPr>
          <w:i/>
          <w:szCs w:val="24"/>
        </w:rPr>
        <w:t xml:space="preserve">в </w:t>
      </w:r>
      <w:r w:rsidR="00E54555" w:rsidRPr="00805C9F">
        <w:rPr>
          <w:i/>
          <w:szCs w:val="24"/>
        </w:rPr>
        <w:t xml:space="preserve">рандомизированном исследовании </w:t>
      </w:r>
      <w:r w:rsidR="004B3AF6" w:rsidRPr="00805C9F">
        <w:rPr>
          <w:i/>
          <w:szCs w:val="24"/>
          <w:lang w:val="en-US"/>
        </w:rPr>
        <w:t>FIRST</w:t>
      </w:r>
      <w:r w:rsidR="00463342" w:rsidRPr="00805C9F">
        <w:rPr>
          <w:i/>
          <w:szCs w:val="24"/>
        </w:rPr>
        <w:t xml:space="preserve"> </w:t>
      </w:r>
      <w:r w:rsidR="00A96FB6" w:rsidRPr="00805C9F">
        <w:rPr>
          <w:i/>
          <w:szCs w:val="24"/>
        </w:rPr>
        <w:fldChar w:fldCharType="begin" w:fldLock="1"/>
      </w:r>
      <w:r w:rsidR="00A14090">
        <w:rPr>
          <w:i/>
          <w:szCs w:val="24"/>
        </w:rPr>
        <w:instrText>ADDIN CSL_CITATION {"citationItems":[{"id":"ITEM-1","itemData":{"DOI":"10.1056/NEJMoa1402551","ISSN":"15334406","abstract":"Copyright © 2014 Massachusetts Medical Society. Background: The combination melphalan-prednisone-thalidomide (MPT) is considered a standard therapy for patients with myeloma who are ineligible for stem-cell transplantation. However, emerging data on the use of lenalidomide and low-dose dexamethasone warrant a prospective comparison of the two approaches. Methods: We randomly assigned 1623 patients to lenalidomide and dexamethasone in 28-day cycles until disease progression (535 patients), to the same combination for 72 weeks (18 cycles; 541 patients), or to MPT for 72 weeks (547 patients). The primary end point was progression-free survival with continuous lenalidomide-dexamethasone versus MPT. Results: The median progression-free survival was 25.5 months with continuous lenalidomide-dexamethasone, 20.7 months with 18 cycles of lenalidomide-dexamethasone, and 21.2 months with MPT (hazard ratio for the risk of progression or death, 0.72 for continuous lenalidomide-dexamethasone vs. MPT and 0.70 for continuous lenalidomide-dexamethasone vs. 18 cycles of lenalidomide-dexamethasone; P &lt; 0.001 for both comparisons). Continuous lenalidomide-dexamethasone  was superior to MPT for all secondary efficacy end points, including overall survival (at the interim analysis). Overall survival at 4 years was 59% with continuous lenalidomide-dexamethasone, 56% with 18 cycles of lenalidomide-dexamethasone, and 51% with MPT. Grade 3 or 4 adverse events were somewhat less frequent with continuous lenalidomide-dexamethasone than with MPT (70% vs. 78%). As compared with MPT, continuous lenalidomide-dexamethasone was associated with fewer hematologic and neurologic toxic events, a moderate increase in infections, and fewer second primary hematologic cancers. Conclusions: As compared with MPT, continuous lenalidomide-dexamethasone given until disease progression was associated with a significant improvement in progression-free survival, with an overall survival benefit at the interim analysis, among patients with newly diagnosed multiple myeloma who were ineligible for stem-cell transplantation.","author":[{"dropping-particle":"","family":"Benboubker","given":"Lotfi","non-dropping-particle":"","parse-names":false,"suffix":""},{"dropping-particle":"","family":"Dimopoulos","given":"Meletios A.","non-dropping-particle":"","parse-names":false,"suffix":""},{"dropping-particle":"","family":"Dispenzieri","given":"Angela","non-dropping-particle":"","parse-names":false,"suffix":""},{"dropping-particle":"","family":"Catalano","given":"John","non-dropping-particle":"","parse-names":false,"suffix":""},{"dropping-particle":"","family":"Belch","given":"Andrew R.","non-dropping-particle":"","parse-names":false,"suffix":""},{"dropping-particle":"","family":"Cavo","given":"Michele","non-dropping-particle":"","parse-names":false,"suffix":""},{"dropping-particle":"","family":"Pinto","given":"Antonello","non-dropping-particle":"","parse-names":false,"suffix":""},{"dropping-particle":"","family":"Weisel","given":"Katja","non-dropping-particle":"","parse-names":false,"suffix":""},{"dropping-particle":"","family":"Ludwig","given":"Heinz","non-dropping-particle":"","parse-names":false,"suffix":""},{"dropping-particle":"","family":"Bahlis","given":"Nizar","non-dropping-particle":"","parse-names":false,"suffix":""},{"dropping-particle":"","family":"Banos","given":"Anne","non-dropping-particle":"","parse-names":false,"suffix":""},{"dropping-particle":"","family":"Tiab","given":"Mourad","non-dropping-particle":"","parse-names":false,"suffix":""},{"dropping-particle":"","family":"Delforge","given":"Michel","non-dropping-particle":"","parse-names":false,"suffix":""},{"dropping-particle":"","family":"Cavenagh","given":"Jamie","non-dropping-particle":"","parse-names":false,"suffix":""},{"dropping-particle":"","family":"Geraldes","given":"Catarina","non-dropping-particle":"","parse-names":false,"suffix":""},{"dropping-particle":"","family":"Lee","given":"Je Jung","non-dropping-particle":"","parse-names":false,"suffix":""},{"dropping-particle":"","family":"Chen","given":"Christine","non-dropping-particle":"","parse-names":false,"suffix":""},{"dropping-particle":"","family":"Oriol","given":"Albert","non-dropping-particle":"","parse-names":false,"suffix":""},{"dropping-particle":"","family":"La Rubia","given":"Javier","non-dropping-particle":"De","parse-names":false,"suffix":""},{"dropping-particle":"","family":"Qiu","given":"Lugui","non-dropping-particle":"","parse-names":false,"suffix":""},{"dropping-particle":"","family":"White","given":"Darrell J.","non-dropping-particle":"","parse-names":false,"suffix":""},{"dropping-particle":"","family":"Binder","given":"Daniel","non-dropping-particle":"","parse-names":false,"suffix":""},{"dropping-particle":"","family":"Anderson","given":"Kenneth","non-dropping-particle":"","parse-names":false,"suffix":""},{"dropping-particle":"","family":"Fermand","given":"Jean Paul","non-dropping-particle":"","parse-names":false,"suffix":""},{"dropping-particle":"","family":"Moreau","given":"Philippe","non-dropping-particle":"","parse-names":false,"suffix":""},{"dropping-particle":"","family":"Attal","given":"Michel","non-dropping-particle":"","parse-names":false,"suffix":""},{"dropping-particle":"","family":"Knight","given":"Robert","non-dropping-particle":"","parse-names":false,"suffix":""},{"dropping-particle":"","family":"Chen","given":"Guang","non-dropping-particle":"","parse-names":false,"suffix":""},{"dropping-particle":"","family":"Oostendorp","given":"Jason","non-dropping-particle":"Van","parse-names":false,"suffix":""},{"dropping-particle":"","family":"Jacques","given":"Christian","non-dropping-particle":"","parse-names":false,"suffix":""},{"dropping-particle":"","family":"Ervin-Haynes","given":"Annette","non-dropping-particle":"","parse-names":false,"suffix":""},{"dropping-particle":"","family":"Avet-Loiseau","given":"Hervé","non-dropping-particle":"","parse-names":false,"suffix":""},{"dropping-particle":"","family":"Hulin","given":"Cyrille","non-dropping-particle":"","parse-names":false,"suffix":""},{"dropping-particle":"","family":"Facon","given":"Thierry","non-dropping-particle":"","parse-names":false,"suffix":""}],"container-title":"New England Journal of Medicine","id":"ITEM-1","issue":"10","issued":{"date-parts":[["2014","9","4"]]},"page":"906-917","publisher":"Massachussetts Medical Society","title":"Lenalidomide and dexamethasone in transplant-ineligible patients with myeloma","type":"article-journal","volume":"371"},"uris":["http://www.mendeley.com/documents/?uuid=1aef8361-5ffc-3a29-81bc-8edf363798d5"]},{"id":"ITEM-2","itemData":{"DOI":"10.1016/j.clml.2015.07.330","ISSN":"21522650","abstract":"Background: MPT is a standard treatment (Tx) option in many countries for pts with NDMM who are ineligible for stem cell transplant (SCT). The FIRST trial is the largest prospective phase 3 trial conducted in patients with NDMM who are ineligible for SCT. It compares Tx with Rd until disease progression or unacceptable toxicity (Rd continuous), Rd for 18 cycles (Rd18), and MPT for 12 cycles. At the time of the original planned analysis, Rd continuous was associated with improved OS and progression-free survival (PFS) vs MPT (Benboubker, N Engl J Med, 2014). This is an updated analysis conducted at the request of the regulatory authorities. Methods: Pts were randomized 1:1:1 to 3 Tx arms: 28- day cycles of Rd continuous or Rd18, or MPT for twelve 42-day cycles. Adult pts were SCT-ineligible with symptomatic NDMM and an Eastern Cooperative Oncology Group performance status of 0-2. Pts with prior anti-myeloma Tx, specified laboratory abnormalities, or a history of malignancy other than MM were excluded. The primary endpoint was PFS (Rd continuous vs MPT; primary comparison). Secondary endpoints included OS, overall response rate, and safety. Results: 1623 pts were randomized; 535 pts received Rd continuous, 541 received Rd18, and 547 received MPT. At data cutoff (March 3, 2014), 91 pts remained on Rd continuous Tx. Across all arms, 697 pts (42.9%) died: 38.9% of pts on Rd continuous, 42.1% of pts on Rd18, and 47.7% of pts onMPT. The median follow-up was 45.5 mos. There was a 25% reduction in the risk of death with Rd continuous vsMPT (hazard ratio [HR], 0.75; 95% CI, 0.62-0.90). The median OS was 58.9 mos (95% CI, 56.0 mos-not evaluable [NE]) with Rd continuous, 56.7 mos (95% CI, 50.1 mos- NE) with Rd18, and 48.5 mos (95% CI, 44.2-52.0 mos) with MPT. There was a 31% reduction in the risk of progression or death with Rd continuous vs MPT (HR, 0.69; 95% CI, 0.59-0.80). Mean durations of Tx were 22.5 (Rd continuous), 12.6 (Rd18), and 11.9 (MPT) mos. Updated safety data will be presented. Conclusion: OS and PFS benefits observed in the original analysis were maintained with Rd continuous, which was better tolerated than MPT. The safety profile remained consistent with the interim analysis. These findings confirm Rd continuous as a new standard of care for pts with NDMM who are ineligible for SCT.","author":[{"dropping-particle":"","family":"Facon","given":"T.","non-dropping-particle":"","parse-names":false,"suffix":""},{"dropping-particle":"","family":"Dimopoulos","given":"M.A.","non-dropping-particle":"","parse-names":false,"suffix":""},{"dropping-particle":"","family":"Hulin","given":"C.","non-dropping-particle":"","parse-names":false,"suffix":""},{"dropping-particle":"","family":"Benboubker","given":"L.","non-dropping-particle":"","parse-names":false,"suffix":""},{"dropping-particle":"","family":"Belch","given":"A.","non-dropping-particle":"","parse-names":false,"suffix":""},{"dropping-particle":"","family":"Ludwig","given":"H.","non-dropping-particle":"","parse-names":false,"suffix":""},{"dropping-particle":"","family":"Pinto","given":"A.","non-dropping-particle":"","parse-names":false,"suffix":""},{"dropping-particle":"","family":"Attal","given":"M.","non-dropping-particle":"","parse-names":false,"suffix":""},{"dropping-particle":"","family":"Cavo","given":"M.","non-dropping-particle":"","parse-names":false,"suffix":""},{"dropping-particle":"","family":"Moreau","given":"P.","non-dropping-particle":"","parse-names":false,"suffix":""},{"dropping-particle":"","family":"Schots","given":"R.","non-dropping-particle":"","parse-names":false,"suffix":""},{"dropping-particle":"","family":"Meuleman","given":"N.","non-dropping-particle":"","parse-names":false,"suffix":""},{"dropping-particle":"","family":"Weisel","given":"K.","non-dropping-particle":"","parse-names":false,"suffix":""},{"dropping-particle":"","family":"Tiab","given":"M.","non-dropping-particle":"","parse-names":false,"suffix":""},{"dropping-particle":"","family":"Lee","given":"J.-J.","non-dropping-particle":"","parse-names":false,"suffix":""},{"dropping-particle":"","family":"Butler","given":"A.","non-dropping-particle":"","parse-names":false,"suffix":""},{"dropping-particle":"","family":"Marek","given":"J.","non-dropping-particle":"","parse-names":false,"suffix":""},{"dropping-particle":"","family":"Chen","given":"G.","non-dropping-particle":"","parse-names":false,"suffix":""},{"dropping-particle":"","family":"Ervin-Haynes","given":"A.","non-dropping-particle":"","parse-names":false,"suffix":""},{"dropping-particle":"","family":"Fermand","given":"J.P.","non-dropping-particle":"","parse-names":false,"suffix":""}],"container-title":"Clinical Lymphoma Myeloma and Leukemia","id":"ITEM-2","issued":{"date-parts":[["2015","9"]]},"page":"e134","publisher":"Elsevier BV","title":"Updated Overall Survival (OS) Analysis of the FIRST Study: Lenalidomide Plus Low-Dose Dexamethasone (Rd) Continuous vs Melphalan, Prednisone, and Thalidomide (MPT) in Patients (Pts) With Newly Diagnosed Multiple Myeloma (NDMM)","type":"article-journal","volume":"15"},"uris":["http://www.mendeley.com/documents/?uuid=86ac7d33-9ba9-3777-a8e7-495bf889e69e"]}],"mendeley":{"formattedCitation":"[31,32]","plainTextFormattedCitation":"[31,32]","previouslyFormattedCitation":"[31,32]"},"properties":{"noteIndex":0},"schema":"https://github.com/citation-style-language/schema/raw/master/csl-citation.json"}</w:instrText>
      </w:r>
      <w:r w:rsidR="00A96FB6" w:rsidRPr="00805C9F">
        <w:rPr>
          <w:i/>
          <w:szCs w:val="24"/>
        </w:rPr>
        <w:fldChar w:fldCharType="separate"/>
      </w:r>
      <w:r w:rsidR="00500F37" w:rsidRPr="00500F37">
        <w:rPr>
          <w:noProof/>
          <w:szCs w:val="24"/>
        </w:rPr>
        <w:t>[31,32]</w:t>
      </w:r>
      <w:r w:rsidR="00A96FB6" w:rsidRPr="00805C9F">
        <w:rPr>
          <w:i/>
          <w:szCs w:val="24"/>
        </w:rPr>
        <w:fldChar w:fldCharType="end"/>
      </w:r>
      <w:r w:rsidR="00463342" w:rsidRPr="00805C9F">
        <w:rPr>
          <w:i/>
          <w:szCs w:val="24"/>
        </w:rPr>
        <w:t xml:space="preserve"> </w:t>
      </w:r>
      <w:r w:rsidR="00E54555" w:rsidRPr="00805C9F">
        <w:rPr>
          <w:i/>
          <w:szCs w:val="24"/>
        </w:rPr>
        <w:t xml:space="preserve">показано, что длительная </w:t>
      </w:r>
      <w:r w:rsidR="004B3AF6" w:rsidRPr="00805C9F">
        <w:rPr>
          <w:i/>
          <w:szCs w:val="24"/>
        </w:rPr>
        <w:t xml:space="preserve">непрерывная </w:t>
      </w:r>
      <w:r w:rsidR="00E54555" w:rsidRPr="00805C9F">
        <w:rPr>
          <w:i/>
          <w:szCs w:val="24"/>
        </w:rPr>
        <w:t>терапия по схеме Rd улучшает ВБП по сравнению с фиксированным числом курсов Rd</w:t>
      </w:r>
      <w:r w:rsidR="004B3AF6" w:rsidRPr="00805C9F">
        <w:rPr>
          <w:i/>
          <w:szCs w:val="24"/>
        </w:rPr>
        <w:t xml:space="preserve"> длительностью 18 мес. Так, в группе </w:t>
      </w:r>
      <w:r w:rsidR="00FB03BB" w:rsidRPr="00805C9F">
        <w:rPr>
          <w:i/>
          <w:szCs w:val="24"/>
        </w:rPr>
        <w:t>пациентов</w:t>
      </w:r>
      <w:r w:rsidR="004B3AF6" w:rsidRPr="00805C9F">
        <w:rPr>
          <w:i/>
          <w:szCs w:val="24"/>
        </w:rPr>
        <w:t xml:space="preserve">, получавших терапию Rd непрерывно, медиана ВБП составила 26 мес, а показатель 4-летней ВБП </w:t>
      </w:r>
      <w:r w:rsidR="00517AB2" w:rsidRPr="00805C9F">
        <w:rPr>
          <w:i/>
          <w:szCs w:val="24"/>
        </w:rPr>
        <w:t>–</w:t>
      </w:r>
      <w:r w:rsidR="004B3AF6" w:rsidRPr="00805C9F">
        <w:rPr>
          <w:i/>
          <w:szCs w:val="24"/>
        </w:rPr>
        <w:t xml:space="preserve"> 33</w:t>
      </w:r>
      <w:r w:rsidR="00517AB2" w:rsidRPr="00805C9F">
        <w:rPr>
          <w:i/>
          <w:szCs w:val="24"/>
        </w:rPr>
        <w:t> </w:t>
      </w:r>
      <w:r w:rsidR="004B3AF6" w:rsidRPr="00805C9F">
        <w:rPr>
          <w:i/>
          <w:szCs w:val="24"/>
        </w:rPr>
        <w:t>%, в то время как при лечении Rd</w:t>
      </w:r>
      <w:r w:rsidR="00517AB2" w:rsidRPr="00805C9F">
        <w:rPr>
          <w:i/>
          <w:szCs w:val="24"/>
        </w:rPr>
        <w:t>-</w:t>
      </w:r>
      <w:r w:rsidR="004B3AF6" w:rsidRPr="00805C9F">
        <w:rPr>
          <w:i/>
          <w:szCs w:val="24"/>
        </w:rPr>
        <w:t>18 эти показатели равнялись 21 мес</w:t>
      </w:r>
      <w:r w:rsidR="00E778E9" w:rsidRPr="00805C9F">
        <w:rPr>
          <w:i/>
          <w:szCs w:val="24"/>
        </w:rPr>
        <w:t>.</w:t>
      </w:r>
      <w:r w:rsidR="00A94BEE" w:rsidRPr="00805C9F">
        <w:rPr>
          <w:i/>
          <w:szCs w:val="24"/>
        </w:rPr>
        <w:t xml:space="preserve"> </w:t>
      </w:r>
      <w:r w:rsidR="004B3AF6" w:rsidRPr="00805C9F">
        <w:rPr>
          <w:i/>
          <w:szCs w:val="24"/>
        </w:rPr>
        <w:t>и 1</w:t>
      </w:r>
      <w:r w:rsidR="00BF339C" w:rsidRPr="00805C9F">
        <w:rPr>
          <w:i/>
          <w:szCs w:val="24"/>
        </w:rPr>
        <w:t>4</w:t>
      </w:r>
      <w:r w:rsidR="00A94BEE" w:rsidRPr="00805C9F">
        <w:rPr>
          <w:i/>
          <w:szCs w:val="24"/>
        </w:rPr>
        <w:t> </w:t>
      </w:r>
      <w:r w:rsidR="00BF339C" w:rsidRPr="00805C9F">
        <w:rPr>
          <w:i/>
          <w:szCs w:val="24"/>
        </w:rPr>
        <w:t>% соответственно. При этом в группе</w:t>
      </w:r>
      <w:r w:rsidR="00A94BEE" w:rsidRPr="00805C9F">
        <w:rPr>
          <w:i/>
          <w:szCs w:val="24"/>
        </w:rPr>
        <w:t xml:space="preserve"> </w:t>
      </w:r>
      <w:r w:rsidR="00FB03BB" w:rsidRPr="00805C9F">
        <w:rPr>
          <w:i/>
          <w:szCs w:val="24"/>
        </w:rPr>
        <w:t>пациентов</w:t>
      </w:r>
      <w:r w:rsidR="004B3AF6" w:rsidRPr="00805C9F">
        <w:rPr>
          <w:i/>
          <w:szCs w:val="24"/>
        </w:rPr>
        <w:t xml:space="preserve">, </w:t>
      </w:r>
      <w:r w:rsidR="00BF339C" w:rsidRPr="00805C9F">
        <w:rPr>
          <w:i/>
          <w:szCs w:val="24"/>
        </w:rPr>
        <w:t xml:space="preserve">получавших длительно схему Rd и </w:t>
      </w:r>
      <w:r w:rsidR="004B3AF6" w:rsidRPr="00805C9F">
        <w:rPr>
          <w:i/>
          <w:szCs w:val="24"/>
        </w:rPr>
        <w:t xml:space="preserve">достигших </w:t>
      </w:r>
      <w:r w:rsidR="00856A79" w:rsidRPr="00805C9F">
        <w:rPr>
          <w:i/>
          <w:szCs w:val="24"/>
        </w:rPr>
        <w:t>ПР</w:t>
      </w:r>
      <w:r w:rsidR="004B3AF6" w:rsidRPr="00805C9F">
        <w:rPr>
          <w:i/>
          <w:szCs w:val="24"/>
        </w:rPr>
        <w:t xml:space="preserve"> или </w:t>
      </w:r>
      <w:r w:rsidR="00BF339C" w:rsidRPr="00805C9F">
        <w:rPr>
          <w:i/>
          <w:szCs w:val="24"/>
        </w:rPr>
        <w:t>очень хорошей частичной ремиссии</w:t>
      </w:r>
      <w:r w:rsidR="00A94BEE" w:rsidRPr="00805C9F">
        <w:rPr>
          <w:i/>
          <w:szCs w:val="24"/>
        </w:rPr>
        <w:t xml:space="preserve"> (</w:t>
      </w:r>
      <w:r w:rsidR="002A40D8" w:rsidRPr="00805C9F">
        <w:rPr>
          <w:i/>
          <w:szCs w:val="24"/>
        </w:rPr>
        <w:t>ОХ</w:t>
      </w:r>
      <w:r w:rsidR="00A94BEE" w:rsidRPr="00805C9F">
        <w:rPr>
          <w:i/>
          <w:szCs w:val="24"/>
        </w:rPr>
        <w:t>ЧР)</w:t>
      </w:r>
      <w:r w:rsidR="00BF339C" w:rsidRPr="00805C9F">
        <w:rPr>
          <w:i/>
          <w:szCs w:val="24"/>
        </w:rPr>
        <w:t xml:space="preserve">, 4-летняя ВБП </w:t>
      </w:r>
      <w:r w:rsidR="00A5418C" w:rsidRPr="00805C9F">
        <w:rPr>
          <w:i/>
          <w:szCs w:val="24"/>
        </w:rPr>
        <w:t>состави</w:t>
      </w:r>
      <w:r w:rsidR="00BF339C" w:rsidRPr="00805C9F">
        <w:rPr>
          <w:i/>
          <w:szCs w:val="24"/>
        </w:rPr>
        <w:t>ла 75</w:t>
      </w:r>
      <w:r w:rsidR="00A94BEE" w:rsidRPr="00805C9F">
        <w:rPr>
          <w:i/>
          <w:szCs w:val="24"/>
        </w:rPr>
        <w:t> </w:t>
      </w:r>
      <w:r w:rsidR="00BF339C" w:rsidRPr="00805C9F">
        <w:rPr>
          <w:i/>
          <w:szCs w:val="24"/>
        </w:rPr>
        <w:t xml:space="preserve">%. </w:t>
      </w:r>
    </w:p>
    <w:p w14:paraId="20993359" w14:textId="0CD659E0" w:rsidR="004D7374" w:rsidRPr="00805C9F" w:rsidRDefault="00E54555" w:rsidP="00092917">
      <w:pPr>
        <w:spacing w:before="0" w:after="0"/>
        <w:ind w:firstLine="709"/>
        <w:contextualSpacing/>
        <w:rPr>
          <w:i/>
          <w:szCs w:val="24"/>
        </w:rPr>
      </w:pPr>
      <w:r w:rsidRPr="00805C9F">
        <w:rPr>
          <w:i/>
          <w:szCs w:val="24"/>
        </w:rPr>
        <w:t>В двух проспективных рандомизированных исследованиях изучал</w:t>
      </w:r>
      <w:r w:rsidR="002A40D8" w:rsidRPr="00805C9F">
        <w:rPr>
          <w:i/>
          <w:szCs w:val="24"/>
        </w:rPr>
        <w:t>и</w:t>
      </w:r>
      <w:r w:rsidRPr="00805C9F">
        <w:rPr>
          <w:i/>
          <w:szCs w:val="24"/>
        </w:rPr>
        <w:t xml:space="preserve"> эффективность </w:t>
      </w:r>
      <w:r w:rsidR="002A40D8" w:rsidRPr="00805C9F">
        <w:rPr>
          <w:i/>
          <w:szCs w:val="24"/>
        </w:rPr>
        <w:t>трех</w:t>
      </w:r>
      <w:r w:rsidRPr="00805C9F">
        <w:rPr>
          <w:i/>
          <w:szCs w:val="24"/>
        </w:rPr>
        <w:t>препаратной схемы мелфалан</w:t>
      </w:r>
      <w:r w:rsidR="007E7259" w:rsidRPr="00805C9F">
        <w:rPr>
          <w:i/>
          <w:szCs w:val="24"/>
        </w:rPr>
        <w:t>**</w:t>
      </w:r>
      <w:r w:rsidRPr="00805C9F">
        <w:rPr>
          <w:i/>
          <w:szCs w:val="24"/>
        </w:rPr>
        <w:t>/преднизолон</w:t>
      </w:r>
      <w:r w:rsidR="007E7259" w:rsidRPr="00805C9F">
        <w:rPr>
          <w:i/>
          <w:szCs w:val="24"/>
        </w:rPr>
        <w:t>**</w:t>
      </w:r>
      <w:r w:rsidRPr="00805C9F">
        <w:rPr>
          <w:i/>
          <w:szCs w:val="24"/>
        </w:rPr>
        <w:t>/леналидомид</w:t>
      </w:r>
      <w:r w:rsidR="007E7259" w:rsidRPr="00805C9F">
        <w:rPr>
          <w:i/>
          <w:szCs w:val="24"/>
        </w:rPr>
        <w:t>**</w:t>
      </w:r>
      <w:r w:rsidRPr="00805C9F">
        <w:rPr>
          <w:i/>
          <w:szCs w:val="24"/>
        </w:rPr>
        <w:t xml:space="preserve"> (MPR) по сравнению с</w:t>
      </w:r>
      <w:r w:rsidR="002A40D8" w:rsidRPr="00805C9F">
        <w:rPr>
          <w:i/>
          <w:szCs w:val="24"/>
        </w:rPr>
        <w:t>о схемой</w:t>
      </w:r>
      <w:r w:rsidRPr="00805C9F">
        <w:rPr>
          <w:i/>
          <w:szCs w:val="24"/>
        </w:rPr>
        <w:t xml:space="preserve"> мелфалан</w:t>
      </w:r>
      <w:r w:rsidR="007E7259" w:rsidRPr="00805C9F">
        <w:rPr>
          <w:i/>
          <w:szCs w:val="24"/>
        </w:rPr>
        <w:t>**</w:t>
      </w:r>
      <w:r w:rsidRPr="00805C9F">
        <w:rPr>
          <w:i/>
          <w:szCs w:val="24"/>
        </w:rPr>
        <w:t>/преднизолон</w:t>
      </w:r>
      <w:r w:rsidR="007E7259" w:rsidRPr="00805C9F">
        <w:rPr>
          <w:i/>
          <w:szCs w:val="24"/>
        </w:rPr>
        <w:t>**</w:t>
      </w:r>
      <w:r w:rsidRPr="00805C9F">
        <w:rPr>
          <w:i/>
          <w:szCs w:val="24"/>
        </w:rPr>
        <w:t xml:space="preserve"> (МР)</w:t>
      </w:r>
      <w:r w:rsidR="00463342" w:rsidRPr="00805C9F">
        <w:rPr>
          <w:i/>
          <w:szCs w:val="24"/>
        </w:rPr>
        <w:t xml:space="preserve"> </w:t>
      </w:r>
      <w:r w:rsidR="00A96FB6" w:rsidRPr="00805C9F">
        <w:rPr>
          <w:i/>
          <w:szCs w:val="24"/>
        </w:rPr>
        <w:fldChar w:fldCharType="begin" w:fldLock="1"/>
      </w:r>
      <w:r w:rsidR="00500F37">
        <w:rPr>
          <w:i/>
          <w:szCs w:val="24"/>
        </w:rPr>
        <w:instrText>ADDIN CSL_CITATION {"citationItems":[{"id":"ITEM-1","itemData":{"DOI":"10.1056/NEJMoa1112704","ISSN":"1533-4406","PMID":"22571200","abstract":"BACKGROUND Lenalidomide has tumoricidal and immunomodulatory activity against multiple myeloma. This double-blind, multicenter, randomized study compared melphalan-prednisone-lenalidomide induction followed by lenalidomide maintenance (MPR-R) with melphalan-prednisone-lenalidomide (MPR) or melphalan-prednisone (MP) followed by placebo in patients 65 years of age or older with newly diagnosed multiple myeloma. METHODS We randomly assigned patients who were ineligible for transplantation to receive MPR-R (nine 4-week cycles of MPR followed by lenalidomide maintenance therapy until a relapse or disease progression occurred [152 patients]) or to receive MPR (153 patients) or MP (154 patients) without maintenance therapy. The primary end point was progression-free survival. RESULTS The median follow-up period was 30 months. The median progression-free survival was significantly longer with MPR-R (31 months) than with MPR (14 months; hazard ratio, 0.49; P&lt;0.001) or MP (13 months; hazard ratio, 0.40; P&lt;0.001). Response rates were superior with MPR-R and MPR (77% and 68%, respectively, vs. 50% with MP; P&lt;0.001 and P=0.002, respectively, for the comparison with MP). The progression-free survival benefit associated with MPR-R was noted in patients 65 to 75 years of age but not in those older than 75 years of age (P=0.001 for treatment-by-age interaction). After induction therapy, a landmark analysis showed a 66% reduction in the rate of progression with MPR-R (hazard ratio for the comparison with MPR, 0.34; P&lt;0.001) that was age-independent. During induction therapy, the most frequent adverse events were hematologic; grade 4 neutropenia was reported in 35%, 32%, and 8% of the patients in the MPR-R, MPR, and MP groups, respectively. The 3-year rate of second primary tumors was 7% with MPR-R, 7% with MPR, and 3% with MP. CONCLUSIONS MPR-R significantly prolonged progression-free survival in patients with newly diagnosed multiple myeloma who were ineligible for transplantation, with the greatest benefit observed in patients 65 to 75 years of age. (Funded by Celgene; MM-015 ClinicalTrials.gov number, NCT00405756.).","author":[{"dropping-particle":"","family":"Palumbo","given":"Antonio","non-dropping-particle":"","parse-names":false,"suffix":""},{"dropping-particle":"","family":"Hajek","given":"Roman","non-dropping-particle":"","parse-names":false,"suffix":""},{"dropping-particle":"","family":"Delforge","given":"Michel","non-dropping-particle":"","parse-names":false,"suffix":""},{"dropping-particle":"","family":"Kropff","given":"Martin","non-dropping-particle":"","parse-names":false,"suffix":""},{"dropping-particle":"","family":"Petrucci","given":"Maria Teresa","non-dropping-particle":"","parse-names":false,"suffix":""},{"dropping-particle":"","family":"Catalano","given":"John","non-dropping-particle":"","parse-names":false,"suffix":""},{"dropping-particle":"","family":"Gisslinger","given":"Heinz","non-dropping-particle":"","parse-names":false,"suffix":""},{"dropping-particle":"","family":"Wiktor-Jędrzejczak","given":"Wiesław","non-dropping-particle":"","parse-names":false,"suffix":""},{"dropping-particle":"","family":"Zodelava","given":"Mamia","non-dropping-particle":"","parse-names":false,"suffix":""},{"dropping-particle":"","family":"Weisel","given":"Katja","non-dropping-particle":"","parse-names":false,"suffix":""},{"dropping-particle":"","family":"Cascavilla","given":"Nicola","non-dropping-particle":"","parse-names":false,"suffix":""},{"dropping-particle":"","family":"Iosava","given":"Genadi","non-dropping-particle":"","parse-names":false,"suffix":""},{"dropping-particle":"","family":"Cavo","given":"Michele","non-dropping-particle":"","parse-names":false,"suffix":""},{"dropping-particle":"","family":"Kloczko","given":"Janusz","non-dropping-particle":"","parse-names":false,"suffix":""},{"dropping-particle":"","family":"Bladé","given":"Joan","non-dropping-particle":"","parse-names":false,"suffix":""},{"dropping-particle":"","family":"Beksac","given":"Meral","non-dropping-particle":"","parse-names":false,"suffix":""},{"dropping-particle":"","family":"Spicka","given":"Ivan","non-dropping-particle":"","parse-names":false,"suffix":""},{"dropping-particle":"","family":"Plesner","given":"Torben","non-dropping-particle":"","parse-names":false,"suffix":""},{"dropping-particle":"","family":"Radke","given":"Joergen","non-dropping-particle":"","parse-names":false,"suffix":""},{"dropping-particle":"","family":"Langer","given":"Christian","non-dropping-particle":"","parse-names":false,"suffix":""},{"dropping-particle":"","family":"Yehuda","given":"Dina","non-dropping-particle":"Ben","parse-names":false,"suffix":""},{"dropping-particle":"","family":"Corso","given":"Alessandro","non-dropping-particle":"","parse-names":false,"suffix":""},{"dropping-particle":"","family":"Herbein","given":"Lindsay","non-dropping-particle":"","parse-names":false,"suffix":""},{"dropping-particle":"","family":"Yu","given":"Zhinuan","non-dropping-particle":"","parse-names":false,"suffix":""},{"dropping-particle":"","family":"Mei","given":"Jay","non-dropping-particle":"","parse-names":false,"suffix":""},{"dropping-particle":"","family":"Jacques","given":"Christian","non-dropping-particle":"","parse-names":false,"suffix":""},{"dropping-particle":"","family":"Dimopoulos","given":"Meletios A","non-dropping-particle":"","parse-names":false,"suffix":""},{"dropping-particle":"","family":"MM-015 Investigators","given":"","non-dropping-particle":"","parse-names":false,"suffix":""}],"container-title":"The New England journal of medicine","id":"ITEM-1","issue":"19","issued":{"date-parts":[["2012","5","10"]]},"page":"1759-69","title":"Continuous lenalidomide treatment for newly diagnosed multiple myeloma.","type":"article-journal","volume":"366"},"uris":["http://www.mendeley.com/documents/?uuid=42289568-cfbb-34c6-a862-05b95a00609e"]}],"mendeley":{"formattedCitation":"[33]","plainTextFormattedCitation":"[33]","previouslyFormattedCitation":"[33]"},"properties":{"noteIndex":0},"schema":"https://github.com/citation-style-language/schema/raw/master/csl-citation.json"}</w:instrText>
      </w:r>
      <w:r w:rsidR="00A96FB6" w:rsidRPr="00805C9F">
        <w:rPr>
          <w:i/>
          <w:szCs w:val="24"/>
        </w:rPr>
        <w:fldChar w:fldCharType="separate"/>
      </w:r>
      <w:r w:rsidR="00E03159" w:rsidRPr="00805C9F">
        <w:rPr>
          <w:noProof/>
          <w:szCs w:val="24"/>
        </w:rPr>
        <w:t>[33]</w:t>
      </w:r>
      <w:r w:rsidR="00A96FB6" w:rsidRPr="00805C9F">
        <w:rPr>
          <w:i/>
          <w:szCs w:val="24"/>
        </w:rPr>
        <w:fldChar w:fldCharType="end"/>
      </w:r>
      <w:r w:rsidRPr="00805C9F">
        <w:rPr>
          <w:i/>
          <w:szCs w:val="24"/>
        </w:rPr>
        <w:t>. Преимущество ВБП было отмечено в случае применения MPR с последующим длительным назначением леналидомида</w:t>
      </w:r>
      <w:r w:rsidR="007E7259" w:rsidRPr="00805C9F">
        <w:rPr>
          <w:i/>
          <w:szCs w:val="24"/>
        </w:rPr>
        <w:t>**</w:t>
      </w:r>
      <w:r w:rsidRPr="00805C9F">
        <w:rPr>
          <w:i/>
          <w:szCs w:val="24"/>
        </w:rPr>
        <w:t xml:space="preserve"> (схема MPR-R). Однако различий в показателях ОВ достигнуто не было. </w:t>
      </w:r>
    </w:p>
    <w:p w14:paraId="03BEAD05" w14:textId="63866D55" w:rsidR="0051115A" w:rsidRPr="00805C9F" w:rsidRDefault="0051115A" w:rsidP="0051115A">
      <w:pPr>
        <w:pStyle w:val="a6"/>
        <w:numPr>
          <w:ilvl w:val="0"/>
          <w:numId w:val="5"/>
        </w:numPr>
        <w:spacing w:before="0" w:after="0"/>
        <w:ind w:left="0" w:firstLine="0"/>
        <w:rPr>
          <w:szCs w:val="24"/>
        </w:rPr>
      </w:pPr>
      <w:r w:rsidRPr="00805C9F">
        <w:rPr>
          <w:szCs w:val="24"/>
        </w:rPr>
        <w:t>Пациентам с впервые диагностированной ММ – не кандидатам на ВДХТ с ауто-ТГСК − в качестве альтернативной опции рекомендуется добавле</w:t>
      </w:r>
      <w:r w:rsidR="00452478" w:rsidRPr="00805C9F">
        <w:rPr>
          <w:szCs w:val="24"/>
        </w:rPr>
        <w:t>ние даратумумаба</w:t>
      </w:r>
      <w:r w:rsidR="001B0B07" w:rsidRPr="00805C9F">
        <w:rPr>
          <w:szCs w:val="24"/>
        </w:rPr>
        <w:t>** к программе Rd</w:t>
      </w:r>
      <w:r w:rsidR="00452478" w:rsidRPr="00805C9F">
        <w:rPr>
          <w:szCs w:val="24"/>
        </w:rPr>
        <w:t xml:space="preserve"> </w:t>
      </w:r>
      <w:r w:rsidR="00452478" w:rsidRPr="00805C9F">
        <w:rPr>
          <w:szCs w:val="24"/>
        </w:rPr>
        <w:fldChar w:fldCharType="begin" w:fldLock="1"/>
      </w:r>
      <w:r w:rsidR="00500F37">
        <w:rPr>
          <w:szCs w:val="24"/>
        </w:rPr>
        <w:instrText>ADDIN CSL_CITATION {"citationItems":[{"id":"ITEM-1","itemData":{"DOI":"10.1056/nejmoa1817249","ISSN":"0028-4793","PMID":"31141632","abstract":"Copyright © 2019 Massachusetts Medical Society. Lenalidomide plus dexamethasone is a standard treatment for patients with newly diagnosed multiple myeloma who are ineligible for autologous stem-cell transplantation. We sought to determine whether the addition of daratumumab would significantly reduce the risk of disease progression or death in this population. METHODS We randomly assigned 737 patients with newly diagnosed multiple myeloma who were ineligible for autologous stem-cell transplantation to receive daratumumab plus lenalidomide and dexamethasone (daratumumab group) or lenalidomide and dexamethasone alone (control group). Treatment was to continue until the occurrence of disease progression or unacceptable side effects. The primary end point was progression-free survival. RESULTS At a median follow-up of 28.0 months, disease progression or death had occurred in 240 patients (97 of 368 patients [26.4%] in the daratumumab group and 143 of 369 patients [38.8%] in the control group). The estimated percentage of patients who were alive without disease progression at 30 months was 70.6% (95% confidence interval [CI], 65.0 to 75.4) in the daratumumab group and 55.6% (95% CI, 49.5 to 61.3) in the control group (hazard ratio for disease progression or death, 0.56; 95% CI, 0.43 to 0.73; P&lt;0.001). The percentage of patients with a complete response or better was 47.6% in the daratumumab group and 24.9% in the control group (P&lt;0.001). A total of 24.2% of the patients in the daratumumab group, as compared with 7.3% of the patients in the control group, had results below the threshold for minimal residual disease (1 tumor cell per 105 white cells) (P&lt;0.001). The most common adverse events of grade 3 or 4 were neutropenia (50.0% in the daratumumab group vs. 35.3% in the control group), anemia (11.8% vs. 19.7%), lymphopenia (15.1% vs. 10.7%), and pneumonia (13.7% vs. 7.9%).","author":[{"dropping-particle":"","family":"Facon","given":"Thierry","non-dropping-particle":"","parse-names":false,"suffix":""},{"dropping-particle":"","family":"Kumar","given":"Shaji","non-dropping-particle":"","parse-names":false,"suffix":""},{"dropping-particle":"","family":"Plesner","given":"Torben","non-dropping-particle":"","parse-names":false,"suffix":""},{"dropping-particle":"","family":"Orlowski","given":"Robert Z.","non-dropping-particle":"","parse-names":false,"suffix":""},{"dropping-particle":"","family":"Moreau","given":"Philippe","non-dropping-particle":"","parse-names":false,"suffix":""},{"dropping-particle":"","family":"Bahlis","given":"Nizar","non-dropping-particle":"","parse-names":false,"suffix":""},{"dropping-particle":"","family":"Basu","given":"Supratik","non-dropping-particle":"","parse-names":false,"suffix":""},{"dropping-particle":"","family":"Nahi","given":"Hareth","non-dropping-particle":"","parse-names":false,"suffix":""},{"dropping-particle":"","family":"Hulin","given":"Cyrille","non-dropping-particle":"","parse-names":false,"suffix":""},{"dropping-particle":"","family":"Quach","given":"Hang","non-dropping-particle":"","parse-names":false,"suffix":""},{"dropping-particle":"","family":"Goldschmidt","given":"Hartmut","non-dropping-particle":"","parse-names":false,"suffix":""},{"dropping-particle":"","family":"O’Dwyer","given":"Michael","non-dropping-particle":"","parse-names":false,"suffix":""},{"dropping-particle":"","family":"Perrot","given":"Aurore","non-dropping-particle":"","parse-names":false,"suffix":""},{"dropping-particle":"","family":"Venner","given":"Christopher P.","non-dropping-particle":"","parse-names":false,"suffix":""},{"dropping-particle":"","family":"Weisel","given":"Katja","non-dropping-particle":"","parse-names":false,"suffix":""},{"dropping-particle":"","family":"Mace","given":"Joseph R.","non-dropping-particle":"","parse-names":false,"suffix":""},{"dropping-particle":"","family":"Raje","given":"Noopur","non-dropping-particle":"","parse-names":false,"suffix":""},{"dropping-particle":"","family":"Attal","given":"Michel","non-dropping-particle":"","parse-names":false,"suffix":""},{"dropping-particle":"","family":"Tiab","given":"Mourad","non-dropping-particle":"","parse-names":false,"suffix":""},{"dropping-particle":"","family":"Macro","given":"Margaret","non-dropping-particle":"","parse-names":false,"suffix":""},{"dropping-particle":"","family":"Frenzel","given":"Laurent","non-dropping-particle":"","parse-names":false,"suffix":""},{"dropping-particle":"","family":"Leleu","given":"Xavier","non-dropping-particle":"","parse-names":false,"suffix":""},{"dropping-particle":"","family":"Ahmadi","given":"Tahamtan","non-dropping-particle":"","parse-names":false,"suffix":""},{"dropping-particle":"","family":"Chiu","given":"Christopher","non-dropping-particle":"","parse-names":false,"suffix":""},{"dropping-particle":"","family":"Wang","given":"Jianping","non-dropping-particle":"","parse-names":false,"suffix":""},{"dropping-particle":"","family":"Rampelbergh","given":"Rian","non-dropping-particle":"Van","parse-names":false,"suffix":""},{"dropping-particle":"","family":"Uhlar","given":"Clarissa M.","non-dropping-particle":"","parse-names":false,"suffix":""},{"dropping-particle":"","family":"Kobos","given":"Rachel","non-dropping-particle":"","parse-names":false,"suffix":""},{"dropping-particle":"","family":"Qi","given":"Ming","non-dropping-particle":"","parse-names":false,"suffix":""},{"dropping-particle":"","family":"Usmani","given":"Saad Z.","non-dropping-particle":"","parse-names":false,"suffix":""}],"container-title":"New England Journal of Medicine","id":"ITEM-1","issue":"22","issued":{"date-parts":[["2019","5"]]},"page":"2104-2115","publisher":"Massachusetts Medical Society","title":"Daratumumab plus Lenalidomide and Dexamethasone for Untreated Myeloma","type":"article-journal","volume":"380"},"uris":["http://www.mendeley.com/documents/?uuid=33dbe16b-a114-4c8c-8f5d-1fbf61864630"]}],"mendeley":{"formattedCitation":"[34]","plainTextFormattedCitation":"[34]","previouslyFormattedCitation":"[34]"},"properties":{"noteIndex":0},"schema":"https://github.com/citation-style-language/schema/raw/master/csl-citation.json"}</w:instrText>
      </w:r>
      <w:r w:rsidR="00452478" w:rsidRPr="00805C9F">
        <w:rPr>
          <w:szCs w:val="24"/>
        </w:rPr>
        <w:fldChar w:fldCharType="separate"/>
      </w:r>
      <w:r w:rsidR="00E03159" w:rsidRPr="00805C9F">
        <w:rPr>
          <w:noProof/>
          <w:szCs w:val="24"/>
        </w:rPr>
        <w:t>[34]</w:t>
      </w:r>
      <w:r w:rsidR="00452478" w:rsidRPr="00805C9F">
        <w:rPr>
          <w:szCs w:val="24"/>
        </w:rPr>
        <w:fldChar w:fldCharType="end"/>
      </w:r>
      <w:r w:rsidR="001B0B07" w:rsidRPr="00805C9F">
        <w:rPr>
          <w:szCs w:val="24"/>
        </w:rPr>
        <w:t>.</w:t>
      </w:r>
    </w:p>
    <w:p w14:paraId="349D5EA0" w14:textId="0022487A" w:rsidR="0051115A" w:rsidRPr="00805C9F" w:rsidRDefault="0051115A" w:rsidP="0051115A">
      <w:pPr>
        <w:spacing w:before="0" w:after="0"/>
        <w:rPr>
          <w:b/>
          <w:szCs w:val="24"/>
        </w:rPr>
      </w:pPr>
      <w:r w:rsidRPr="00805C9F">
        <w:rPr>
          <w:b/>
          <w:szCs w:val="24"/>
        </w:rPr>
        <w:t>Уровень убедительности рекомендаций − A (уровень достоверности доказательств − 1)</w:t>
      </w:r>
    </w:p>
    <w:p w14:paraId="7C00DA20" w14:textId="4817AA4A" w:rsidR="0051115A" w:rsidRPr="00805C9F" w:rsidRDefault="0051115A" w:rsidP="0051115A">
      <w:pPr>
        <w:autoSpaceDE w:val="0"/>
        <w:autoSpaceDN w:val="0"/>
        <w:adjustRightInd w:val="0"/>
        <w:spacing w:after="0"/>
        <w:rPr>
          <w:szCs w:val="24"/>
          <w:highlight w:val="yellow"/>
        </w:rPr>
      </w:pPr>
      <w:r w:rsidRPr="00805C9F">
        <w:rPr>
          <w:b/>
          <w:szCs w:val="24"/>
        </w:rPr>
        <w:t>Комментарий:</w:t>
      </w:r>
      <w:r w:rsidRPr="00805C9F">
        <w:rPr>
          <w:i/>
          <w:iCs/>
          <w:szCs w:val="24"/>
        </w:rPr>
        <w:t xml:space="preserve"> </w:t>
      </w:r>
      <w:r w:rsidRPr="00805C9F">
        <w:rPr>
          <w:i/>
          <w:szCs w:val="24"/>
        </w:rPr>
        <w:t>в крупном рандомизированном исследовании III фазы изучалась эффективность добавления анти-CD38 моноклонального антитела даратумумаба</w:t>
      </w:r>
      <w:r w:rsidR="001B0B07" w:rsidRPr="00805C9F">
        <w:rPr>
          <w:i/>
          <w:szCs w:val="24"/>
        </w:rPr>
        <w:t>**</w:t>
      </w:r>
      <w:r w:rsidRPr="00805C9F">
        <w:rPr>
          <w:i/>
          <w:szCs w:val="24"/>
        </w:rPr>
        <w:t xml:space="preserve"> к комбинации леналидомида</w:t>
      </w:r>
      <w:r w:rsidR="001B0B07" w:rsidRPr="00805C9F">
        <w:rPr>
          <w:i/>
          <w:szCs w:val="24"/>
        </w:rPr>
        <w:t>**</w:t>
      </w:r>
      <w:r w:rsidRPr="00805C9F">
        <w:rPr>
          <w:i/>
          <w:szCs w:val="24"/>
        </w:rPr>
        <w:t xml:space="preserve"> и дексаметазона</w:t>
      </w:r>
      <w:r w:rsidR="001B0B07" w:rsidRPr="00805C9F">
        <w:rPr>
          <w:i/>
          <w:szCs w:val="24"/>
        </w:rPr>
        <w:t>**</w:t>
      </w:r>
      <w:r w:rsidRPr="00805C9F">
        <w:rPr>
          <w:i/>
          <w:szCs w:val="24"/>
        </w:rPr>
        <w:t xml:space="preserve"> (Rd) у пациентов с впервые диагностированной ММ − не кандидатов на ауто-ТГСК. При медиане наблюдения 49,7 мес. медиана ВБП в группе DRd еще не была достигнута и составила 34,4 месяца в группе Rd (ОР 0,54; 95 % ДИ 0,43-0,67; P </w:t>
      </w:r>
      <w:proofErr w:type="gramStart"/>
      <w:r w:rsidRPr="00805C9F">
        <w:rPr>
          <w:i/>
          <w:szCs w:val="24"/>
        </w:rPr>
        <w:t>&lt; 0.0001</w:t>
      </w:r>
      <w:proofErr w:type="gramEnd"/>
      <w:r w:rsidRPr="00805C9F">
        <w:rPr>
          <w:i/>
          <w:szCs w:val="24"/>
        </w:rPr>
        <w:t>). Расчетная частота ВБП к 48 месяцам составила 60,2%</w:t>
      </w:r>
      <w:r w:rsidR="001471FD" w:rsidRPr="00805C9F">
        <w:rPr>
          <w:i/>
          <w:szCs w:val="24"/>
        </w:rPr>
        <w:t xml:space="preserve"> в группе DRd и 38,2% в группе </w:t>
      </w:r>
      <w:r w:rsidRPr="00805C9F">
        <w:rPr>
          <w:i/>
          <w:szCs w:val="24"/>
        </w:rPr>
        <w:t xml:space="preserve">Rd. У пациентов с высоким цитогенетическим риском медиана ВБП составила 45,3 месяца в группе DRd и 29,6 месяца в группе Rd (ОР 0,57; 95 % ДИ 0,33–1,00). Общий ответ в группе DRd составил 93%, а в контрольной группе – 82 %, при этом полный и более глубокий ответ на терапию достигался значительно чаще в группе больных, получавших терапию </w:t>
      </w:r>
      <w:r w:rsidRPr="00805C9F">
        <w:rPr>
          <w:i/>
          <w:szCs w:val="24"/>
          <w:lang w:val="en-US"/>
        </w:rPr>
        <w:t>Dara</w:t>
      </w:r>
      <w:r w:rsidRPr="00805C9F">
        <w:rPr>
          <w:i/>
          <w:szCs w:val="24"/>
        </w:rPr>
        <w:t>-</w:t>
      </w:r>
      <w:r w:rsidRPr="00805C9F">
        <w:rPr>
          <w:i/>
          <w:szCs w:val="24"/>
          <w:lang w:val="en-US"/>
        </w:rPr>
        <w:t>Rd</w:t>
      </w:r>
      <w:r w:rsidRPr="00805C9F">
        <w:rPr>
          <w:i/>
          <w:szCs w:val="24"/>
        </w:rPr>
        <w:t xml:space="preserve"> (51 и 29 % </w:t>
      </w:r>
      <w:r w:rsidRPr="00805C9F">
        <w:rPr>
          <w:i/>
          <w:szCs w:val="24"/>
        </w:rPr>
        <w:lastRenderedPageBreak/>
        <w:t>соответственно), а также частота достижения МОБ-негативности при пороге чувствительности 10−5 была более чем в 3 раза выше в группе DRd (31 и 10 % соответственно). У пациентов с высоким цитогенетическим риском частота МОБ-негативности была в 10 раз выше в группе DRd (23 % и 2 % соответственно).</w:t>
      </w:r>
    </w:p>
    <w:p w14:paraId="3053A963" w14:textId="746E6F30" w:rsidR="001978D9" w:rsidRPr="00805C9F" w:rsidRDefault="001978D9" w:rsidP="00092917">
      <w:pPr>
        <w:pStyle w:val="a6"/>
        <w:numPr>
          <w:ilvl w:val="0"/>
          <w:numId w:val="5"/>
        </w:numPr>
        <w:spacing w:before="0" w:after="0"/>
        <w:ind w:left="0" w:firstLine="0"/>
        <w:rPr>
          <w:szCs w:val="24"/>
        </w:rPr>
      </w:pPr>
      <w:r w:rsidRPr="00805C9F">
        <w:rPr>
          <w:szCs w:val="24"/>
        </w:rPr>
        <w:t>Пациентам с впервые диагностированной ММ – не кандидатам на ВДХТ с ауто</w:t>
      </w:r>
      <w:r w:rsidR="00267DE2" w:rsidRPr="00805C9F">
        <w:rPr>
          <w:szCs w:val="24"/>
        </w:rPr>
        <w:t>-</w:t>
      </w:r>
      <w:r w:rsidRPr="00805C9F">
        <w:rPr>
          <w:szCs w:val="24"/>
        </w:rPr>
        <w:t xml:space="preserve">ТГСК </w:t>
      </w:r>
      <w:r w:rsidR="00F352FE" w:rsidRPr="00805C9F">
        <w:rPr>
          <w:szCs w:val="24"/>
        </w:rPr>
        <w:t xml:space="preserve">− </w:t>
      </w:r>
      <w:r w:rsidRPr="00805C9F">
        <w:rPr>
          <w:szCs w:val="24"/>
        </w:rPr>
        <w:t xml:space="preserve">в качестве альтернативной опции </w:t>
      </w:r>
      <w:r w:rsidR="003703A8" w:rsidRPr="00805C9F">
        <w:rPr>
          <w:b/>
          <w:szCs w:val="24"/>
        </w:rPr>
        <w:t>рекомендуется</w:t>
      </w:r>
      <w:r w:rsidRPr="00805C9F">
        <w:rPr>
          <w:szCs w:val="24"/>
        </w:rPr>
        <w:t xml:space="preserve"> добавление даратумумаба** к программе </w:t>
      </w:r>
      <w:r w:rsidRPr="00805C9F">
        <w:rPr>
          <w:szCs w:val="24"/>
          <w:lang w:val="en-US"/>
        </w:rPr>
        <w:t>VMP</w:t>
      </w:r>
      <w:r w:rsidR="00DA70E3" w:rsidRPr="00805C9F">
        <w:rPr>
          <w:szCs w:val="24"/>
        </w:rPr>
        <w:t xml:space="preserve"> (описание режимов – см. приложение </w:t>
      </w:r>
      <w:r w:rsidR="00C812D6" w:rsidRPr="00805C9F">
        <w:rPr>
          <w:szCs w:val="24"/>
        </w:rPr>
        <w:t>А3.1</w:t>
      </w:r>
      <w:r w:rsidR="00F352FE" w:rsidRPr="00805C9F">
        <w:rPr>
          <w:szCs w:val="24"/>
        </w:rPr>
        <w:t>.</w:t>
      </w:r>
      <w:r w:rsidR="00DA70E3" w:rsidRPr="00805C9F">
        <w:rPr>
          <w:szCs w:val="24"/>
        </w:rPr>
        <w:t>)</w:t>
      </w:r>
      <w:r w:rsidRPr="00805C9F">
        <w:rPr>
          <w:szCs w:val="24"/>
        </w:rPr>
        <w:t xml:space="preserve"> </w:t>
      </w:r>
      <w:r w:rsidR="00A96FB6" w:rsidRPr="00805C9F">
        <w:rPr>
          <w:szCs w:val="24"/>
        </w:rPr>
        <w:fldChar w:fldCharType="begin" w:fldLock="1"/>
      </w:r>
      <w:r w:rsidR="00500F37">
        <w:rPr>
          <w:szCs w:val="24"/>
        </w:rPr>
        <w:instrText>ADDIN CSL_CITATION {"citationItems":[{"id":"ITEM-1","itemData":{"DOI":"10.1056/NEJMoa1714678","ISSN":"15334406","abstract":"BACKGROUND   The combination of bortezomib, melphalan, and prednisone is a standard treatment for patients with newly diagnosed multiple myeloma who are ineligible for autologous stem-cell transplantation. Daratumumab has shown efficacy in combination with standard-of-care regimens in patients with relapsed or refractory multiple myeloma.  METHODS  In this phase 3 trial, we randomly assigned 706 patients with newly diagnosed multiple myeloma who were ineligible for stem-cell transplantation to receive nine cycles of bortezomib, melphalan, and prednisone either alone (control group) or with daratumumab (daratumumab group) until disease progression. The primary end point was progression-free survival.  RESULTS  At a median follow-up of 16.5 months in a prespecified interim analysis, the 18-month progression-free survival rate was 71.6% (95% confidence interval [CI], 65.5 to 76.8) in the daratumumab group and 50.2% (95% CI, 43.2 to 56.7) in the control group (hazard ratio for disease progression or death, 0.50; 95% CI, 0.38 to 0.65; P&lt;0.001). The overall response rate was 90.9% in the daratumumab group, as compared with 73.9% in the control group (P&lt;0.001), and the rate of complete response or better (including stringent complete response) was 42.6%, versus 24.4% (P&lt;0.001). In the daratumumab group, 22.3% of the patients were negative for minimal residual disease (at a threshold of 1 tumor cell per 105 white cells), as compared with 6.2% of those in the control group (P&lt;0.001). The most common adverse events of grade 3 or 4 were hematologic: neutropenia (in 39.9% of the patients in the daratumumab group and in 38.7% of those in the control group), thrombocytopenia (in 34.4% and 37.6%, respectively), and anemia (in 15.9% and 19.8%, respectively). The rate of grade 3 or 4 infections was 23.1% in the daratumumab group and 14.7% in the control group; the rate of treatment discontinuation due to infections was 0.9% and 1.4%, respectively. Daratumumab-associated infusion-related reactions occurred in 27.7% of the patients.  CONCLUSIONS  Among patients with newly diagnosed multiple myeloma who were ineligible for stem-cell transplantation, daratumumab combined with bortezomib, melphalan, and prednisone resulted in a lower risk of disease progression or death than the same regimen without daratumumab. The daratumumab-containing regimen was associated with more grade 3 or 4 infections.","author":[{"dropping-particle":"V.","family":"Mateos","given":"M.","non-dropping-particle":"","parse-names":false,"suffix":""},{"dropping-particle":"","family":"Dimopoulos","given":"M. A.","non-dropping-particle":"","parse-names":false,"suffix":""},{"dropping-particle":"","family":"Cavo","given":"M.","non-dropping-particle":"","parse-names":false,"suffix":""},{"dropping-particle":"","family":"Suzuki","given":"K.","non-dropping-particle":"","parse-names":false,"suffix":""},{"dropping-particle":"","family":"Jakubowiak","given":"A.","non-dropping-particle":"","parse-names":false,"suffix":""},{"dropping-particle":"","family":"Knop","given":"S.","non-dropping-particle":"","parse-names":false,"suffix":""},{"dropping-particle":"","family":"Doyen","given":"C.","non-dropping-particle":"","parse-names":false,"suffix":""},{"dropping-particle":"","family":"Lucio","given":"P.","non-dropping-particle":"","parse-names":false,"suffix":""},{"dropping-particle":"","family":"Nagy","given":"Z.","non-dropping-particle":"","parse-names":false,"suffix":""},{"dropping-particle":"","family":"Kaplan","given":"P.","non-dropping-particle":"","parse-names":false,"suffix":""},{"dropping-particle":"","family":"Pour","given":"L.","non-dropping-particle":"","parse-names":false,"suffix":""},{"dropping-particle":"","family":"Cook","given":"M.","non-dropping-particle":"","parse-names":false,"suffix":""},{"dropping-particle":"","family":"Grosicki","given":"S.","non-dropping-particle":"","parse-names":false,"suffix":""},{"dropping-particle":"","family":"Crepaldi","given":"A.","non-dropping-particle":"","parse-names":false,"suffix":""},{"dropping-particle":"","family":"Liberati","given":"A. M.","non-dropping-particle":"","parse-names":false,"suffix":""},{"dropping-particle":"","family":"Campbell","given":"P.","non-dropping-particle":"","parse-names":false,"suffix":""},{"dropping-particle":"","family":"Shelekhova","given":"T.","non-dropping-particle":"","parse-names":false,"suffix":""},{"dropping-particle":"","family":"Yoon","given":"S. S.","non-dropping-particle":"","parse-names":false,"suffix":""},{"dropping-particle":"","family":"Iosava","given":"G.","non-dropping-particle":"","parse-names":false,"suffix":""},{"dropping-particle":"","family":"Fujisaki","given":"T.","non-dropping-particle":"","parse-names":false,"suffix":""},{"dropping-particle":"","family":"Garg","given":"M.","non-dropping-particle":"","parse-names":false,"suffix":""},{"dropping-particle":"","family":"Chiu","given":"C.","non-dropping-particle":"","parse-names":false,"suffix":""},{"dropping-particle":"","family":"Wang","given":"J.","non-dropping-particle":"","parse-names":false,"suffix":""},{"dropping-particle":"","family":"Carson","given":"R.","non-dropping-particle":"","parse-names":false,"suffix":""},{"dropping-particle":"","family":"Crist","given":"W.","non-dropping-particle":"","parse-names":false,"suffix":""},{"dropping-particle":"","family":"Deraedt","given":"W.","non-dropping-particle":"","parse-names":false,"suffix":""},{"dropping-particle":"","family":"Nguyen","given":"H.","non-dropping-particle":"","parse-names":false,"suffix":""},{"dropping-particle":"","family":"Qi","given":"M.","non-dropping-particle":"","parse-names":false,"suffix":""},{"dropping-particle":"","family":"San-Miguel","given":"J.","non-dropping-particle":"","parse-names":false,"suffix":""}],"container-title":"New England Journal of Medicine","id":"ITEM-1","issue":"6","issued":{"date-parts":[["2018","2","8"]]},"page":"518-528","publisher":"Massachussetts Medical Society","title":"Daratumumab plus bortezomib, melphalan, and prednisone for untreated myeloma","type":"article-journal","volume":"378"},"uris":["http://www.mendeley.com/documents/?uuid=c8a58915-6267-3659-85da-643538f98aac"]}],"mendeley":{"formattedCitation":"[35]","plainTextFormattedCitation":"[35]","previouslyFormattedCitation":"[35]"},"properties":{"noteIndex":0},"schema":"https://github.com/citation-style-language/schema/raw/master/csl-citation.json"}</w:instrText>
      </w:r>
      <w:r w:rsidR="00A96FB6" w:rsidRPr="00805C9F">
        <w:rPr>
          <w:szCs w:val="24"/>
        </w:rPr>
        <w:fldChar w:fldCharType="separate"/>
      </w:r>
      <w:r w:rsidR="00E03159" w:rsidRPr="00805C9F">
        <w:rPr>
          <w:noProof/>
          <w:szCs w:val="24"/>
        </w:rPr>
        <w:t>[35]</w:t>
      </w:r>
      <w:r w:rsidR="00A96FB6" w:rsidRPr="00805C9F">
        <w:rPr>
          <w:szCs w:val="24"/>
        </w:rPr>
        <w:fldChar w:fldCharType="end"/>
      </w:r>
      <w:r w:rsidR="008B32D3" w:rsidRPr="00805C9F">
        <w:rPr>
          <w:szCs w:val="24"/>
        </w:rPr>
        <w:t>.</w:t>
      </w:r>
      <w:r w:rsidR="00BE70BE" w:rsidRPr="00805C9F">
        <w:rPr>
          <w:color w:val="000000"/>
          <w:szCs w:val="24"/>
        </w:rPr>
        <w:t xml:space="preserve"> </w:t>
      </w:r>
    </w:p>
    <w:p w14:paraId="1495FC75" w14:textId="77777777" w:rsidR="001978D9" w:rsidRPr="00805C9F" w:rsidRDefault="001978D9" w:rsidP="00092917">
      <w:pPr>
        <w:spacing w:before="0" w:after="0"/>
        <w:contextualSpacing/>
        <w:rPr>
          <w:b/>
          <w:szCs w:val="24"/>
        </w:rPr>
      </w:pPr>
      <w:r w:rsidRPr="00805C9F">
        <w:rPr>
          <w:b/>
          <w:szCs w:val="24"/>
        </w:rPr>
        <w:t xml:space="preserve">Уровень убедительности рекомендаций </w:t>
      </w:r>
      <w:r w:rsidR="00F352FE" w:rsidRPr="00805C9F">
        <w:rPr>
          <w:b/>
          <w:szCs w:val="24"/>
        </w:rPr>
        <w:t xml:space="preserve">− </w:t>
      </w:r>
      <w:r w:rsidR="000558B2" w:rsidRPr="00805C9F">
        <w:rPr>
          <w:b/>
          <w:szCs w:val="24"/>
        </w:rPr>
        <w:t xml:space="preserve">A </w:t>
      </w:r>
      <w:r w:rsidRPr="00805C9F">
        <w:rPr>
          <w:b/>
          <w:szCs w:val="24"/>
        </w:rPr>
        <w:t>(уровень достоверности доказательств</w:t>
      </w:r>
      <w:r w:rsidR="00946AD8" w:rsidRPr="00805C9F">
        <w:rPr>
          <w:b/>
          <w:szCs w:val="24"/>
        </w:rPr>
        <w:t xml:space="preserve"> </w:t>
      </w:r>
      <w:r w:rsidR="00F352FE" w:rsidRPr="00805C9F">
        <w:rPr>
          <w:b/>
          <w:szCs w:val="24"/>
        </w:rPr>
        <w:t xml:space="preserve">− </w:t>
      </w:r>
      <w:r w:rsidR="000558B2" w:rsidRPr="00805C9F">
        <w:rPr>
          <w:b/>
          <w:szCs w:val="24"/>
        </w:rPr>
        <w:t>2</w:t>
      </w:r>
      <w:r w:rsidRPr="00805C9F">
        <w:rPr>
          <w:b/>
          <w:szCs w:val="24"/>
        </w:rPr>
        <w:t>)</w:t>
      </w:r>
    </w:p>
    <w:p w14:paraId="5902BE8A" w14:textId="77777777" w:rsidR="00CF7A54" w:rsidRPr="00805C9F" w:rsidRDefault="001978D9" w:rsidP="00092917">
      <w:pPr>
        <w:spacing w:before="0" w:after="0"/>
        <w:ind w:firstLine="709"/>
        <w:rPr>
          <w:i/>
          <w:szCs w:val="24"/>
        </w:rPr>
      </w:pPr>
      <w:r w:rsidRPr="00805C9F">
        <w:rPr>
          <w:b/>
          <w:szCs w:val="24"/>
        </w:rPr>
        <w:t xml:space="preserve">Комментарий: </w:t>
      </w:r>
      <w:r w:rsidR="00F352FE" w:rsidRPr="00805C9F">
        <w:rPr>
          <w:i/>
          <w:szCs w:val="24"/>
        </w:rPr>
        <w:t>в</w:t>
      </w:r>
      <w:r w:rsidR="00CF7A54" w:rsidRPr="00805C9F">
        <w:rPr>
          <w:i/>
          <w:szCs w:val="24"/>
        </w:rPr>
        <w:t xml:space="preserve"> крупном рандомизированном исследовании III фазы изучал</w:t>
      </w:r>
      <w:r w:rsidR="00F352FE" w:rsidRPr="00805C9F">
        <w:rPr>
          <w:i/>
          <w:szCs w:val="24"/>
        </w:rPr>
        <w:t>и</w:t>
      </w:r>
      <w:r w:rsidR="00CF7A54" w:rsidRPr="00805C9F">
        <w:rPr>
          <w:i/>
          <w:szCs w:val="24"/>
        </w:rPr>
        <w:t xml:space="preserve"> эффективность добавления анти-CD38 моноклонального антитела даратумумаба</w:t>
      </w:r>
      <w:r w:rsidR="003703A8" w:rsidRPr="00805C9F">
        <w:rPr>
          <w:i/>
          <w:szCs w:val="24"/>
        </w:rPr>
        <w:t>**</w:t>
      </w:r>
      <w:r w:rsidR="00CF7A54" w:rsidRPr="00805C9F">
        <w:rPr>
          <w:i/>
          <w:szCs w:val="24"/>
        </w:rPr>
        <w:t xml:space="preserve"> к комбинации бортезомиба</w:t>
      </w:r>
      <w:r w:rsidR="003703A8" w:rsidRPr="00805C9F">
        <w:rPr>
          <w:i/>
          <w:szCs w:val="24"/>
        </w:rPr>
        <w:t>**</w:t>
      </w:r>
      <w:r w:rsidR="00CF7A54" w:rsidRPr="00805C9F">
        <w:rPr>
          <w:i/>
          <w:szCs w:val="24"/>
        </w:rPr>
        <w:t>, мелфалана</w:t>
      </w:r>
      <w:r w:rsidR="003703A8" w:rsidRPr="00805C9F">
        <w:rPr>
          <w:i/>
          <w:szCs w:val="24"/>
        </w:rPr>
        <w:t>**</w:t>
      </w:r>
      <w:r w:rsidR="00CF7A54" w:rsidRPr="00805C9F">
        <w:rPr>
          <w:i/>
          <w:szCs w:val="24"/>
        </w:rPr>
        <w:t xml:space="preserve"> и преднизолона</w:t>
      </w:r>
      <w:r w:rsidR="003703A8" w:rsidRPr="00805C9F">
        <w:rPr>
          <w:i/>
          <w:szCs w:val="24"/>
        </w:rPr>
        <w:t>**</w:t>
      </w:r>
      <w:r w:rsidR="00CF7A54" w:rsidRPr="00805C9F">
        <w:rPr>
          <w:i/>
          <w:szCs w:val="24"/>
        </w:rPr>
        <w:t xml:space="preserve"> (VMP) у пациентов с впервые диагностированной ММ</w:t>
      </w:r>
      <w:r w:rsidR="00CF3917" w:rsidRPr="00805C9F">
        <w:rPr>
          <w:i/>
          <w:szCs w:val="24"/>
        </w:rPr>
        <w:t xml:space="preserve"> −</w:t>
      </w:r>
      <w:r w:rsidR="00CF7A54" w:rsidRPr="00805C9F">
        <w:rPr>
          <w:i/>
          <w:szCs w:val="24"/>
        </w:rPr>
        <w:t xml:space="preserve"> не кандидатов на ауто</w:t>
      </w:r>
      <w:r w:rsidR="00267DE2" w:rsidRPr="00805C9F">
        <w:rPr>
          <w:i/>
          <w:szCs w:val="24"/>
        </w:rPr>
        <w:t>-</w:t>
      </w:r>
      <w:r w:rsidR="00CF7A54" w:rsidRPr="00805C9F">
        <w:rPr>
          <w:i/>
          <w:szCs w:val="24"/>
        </w:rPr>
        <w:t>ТГСК. При медиане наблюдения 27,8 мес</w:t>
      </w:r>
      <w:r w:rsidR="00E778E9" w:rsidRPr="00805C9F">
        <w:rPr>
          <w:i/>
          <w:szCs w:val="24"/>
        </w:rPr>
        <w:t>.</w:t>
      </w:r>
      <w:r w:rsidR="00CF7A54" w:rsidRPr="00805C9F">
        <w:rPr>
          <w:i/>
          <w:szCs w:val="24"/>
        </w:rPr>
        <w:t xml:space="preserve"> 30-месячная ВБП в группе DVMP составила 60</w:t>
      </w:r>
      <w:r w:rsidR="00BE406F" w:rsidRPr="00805C9F">
        <w:rPr>
          <w:i/>
          <w:szCs w:val="24"/>
        </w:rPr>
        <w:t> </w:t>
      </w:r>
      <w:r w:rsidR="00CF7A54" w:rsidRPr="00805C9F">
        <w:rPr>
          <w:i/>
          <w:szCs w:val="24"/>
        </w:rPr>
        <w:t>%, а в группе VMP медиана ВБП была достигнута и составила 19,1</w:t>
      </w:r>
      <w:r w:rsidR="00BE406F" w:rsidRPr="00805C9F">
        <w:rPr>
          <w:i/>
          <w:szCs w:val="24"/>
        </w:rPr>
        <w:t> </w:t>
      </w:r>
      <w:r w:rsidR="00CF7A54" w:rsidRPr="00805C9F">
        <w:rPr>
          <w:i/>
          <w:szCs w:val="24"/>
        </w:rPr>
        <w:t>мес</w:t>
      </w:r>
      <w:r w:rsidR="00E778E9" w:rsidRPr="00805C9F">
        <w:rPr>
          <w:i/>
          <w:szCs w:val="24"/>
        </w:rPr>
        <w:t>.</w:t>
      </w:r>
      <w:r w:rsidR="00CF7A54" w:rsidRPr="00805C9F">
        <w:rPr>
          <w:i/>
          <w:szCs w:val="24"/>
        </w:rPr>
        <w:t xml:space="preserve"> (различия были статистически достоверны, p</w:t>
      </w:r>
      <w:r w:rsidR="00BE406F" w:rsidRPr="00805C9F">
        <w:rPr>
          <w:i/>
          <w:szCs w:val="24"/>
        </w:rPr>
        <w:t xml:space="preserve"> </w:t>
      </w:r>
      <w:r w:rsidR="00CF7A54" w:rsidRPr="00805C9F">
        <w:rPr>
          <w:i/>
          <w:szCs w:val="24"/>
        </w:rPr>
        <w:t>&lt;0,0001). Общий ответ в группе DVMP составил 91</w:t>
      </w:r>
      <w:r w:rsidR="00BE406F" w:rsidRPr="00805C9F">
        <w:rPr>
          <w:i/>
          <w:szCs w:val="24"/>
        </w:rPr>
        <w:t> </w:t>
      </w:r>
      <w:r w:rsidR="00CF7A54" w:rsidRPr="00805C9F">
        <w:rPr>
          <w:i/>
          <w:szCs w:val="24"/>
        </w:rPr>
        <w:t xml:space="preserve">%, а в контрольной группе </w:t>
      </w:r>
      <w:r w:rsidR="00BE406F" w:rsidRPr="00805C9F">
        <w:rPr>
          <w:i/>
          <w:szCs w:val="24"/>
        </w:rPr>
        <w:t>–</w:t>
      </w:r>
      <w:r w:rsidR="00CF7A54" w:rsidRPr="00805C9F">
        <w:rPr>
          <w:i/>
          <w:szCs w:val="24"/>
        </w:rPr>
        <w:t xml:space="preserve"> 74</w:t>
      </w:r>
      <w:r w:rsidR="00A619B9" w:rsidRPr="00805C9F">
        <w:rPr>
          <w:i/>
          <w:szCs w:val="24"/>
        </w:rPr>
        <w:t> </w:t>
      </w:r>
      <w:r w:rsidR="00CF7A54" w:rsidRPr="00805C9F">
        <w:rPr>
          <w:i/>
          <w:szCs w:val="24"/>
        </w:rPr>
        <w:t>%, при этом полный и более глубокий ответ на терапию достигался значительно чаще в группе даратумумаба</w:t>
      </w:r>
      <w:r w:rsidR="003703A8" w:rsidRPr="00805C9F">
        <w:rPr>
          <w:i/>
          <w:szCs w:val="24"/>
        </w:rPr>
        <w:t>**</w:t>
      </w:r>
      <w:r w:rsidR="00CF7A54" w:rsidRPr="00805C9F">
        <w:rPr>
          <w:i/>
          <w:szCs w:val="24"/>
        </w:rPr>
        <w:t xml:space="preserve"> (45 и 25</w:t>
      </w:r>
      <w:r w:rsidR="00BE406F" w:rsidRPr="00805C9F">
        <w:rPr>
          <w:i/>
          <w:szCs w:val="24"/>
        </w:rPr>
        <w:t> </w:t>
      </w:r>
      <w:r w:rsidR="00CF7A54" w:rsidRPr="00805C9F">
        <w:rPr>
          <w:i/>
          <w:szCs w:val="24"/>
        </w:rPr>
        <w:t>% соответственно), а также частота достижения МОБ-негативности при пороге чувствительности 10</w:t>
      </w:r>
      <w:r w:rsidR="00BE406F" w:rsidRPr="00805C9F">
        <w:rPr>
          <w:i/>
          <w:szCs w:val="24"/>
        </w:rPr>
        <w:t>−</w:t>
      </w:r>
      <w:r w:rsidR="00CF7A54" w:rsidRPr="00805C9F">
        <w:rPr>
          <w:i/>
          <w:szCs w:val="24"/>
        </w:rPr>
        <w:t>5 была более чем в 3 раза выше в группе DVMP (27 и 7</w:t>
      </w:r>
      <w:r w:rsidR="00A619B9" w:rsidRPr="00805C9F">
        <w:rPr>
          <w:i/>
          <w:szCs w:val="24"/>
        </w:rPr>
        <w:t> </w:t>
      </w:r>
      <w:r w:rsidR="00CF7A54" w:rsidRPr="00805C9F">
        <w:rPr>
          <w:i/>
          <w:szCs w:val="24"/>
        </w:rPr>
        <w:t>% соответс</w:t>
      </w:r>
      <w:r w:rsidR="003703A8" w:rsidRPr="00805C9F">
        <w:rPr>
          <w:i/>
          <w:szCs w:val="24"/>
        </w:rPr>
        <w:t>т</w:t>
      </w:r>
      <w:r w:rsidR="00CF7A54" w:rsidRPr="00805C9F">
        <w:rPr>
          <w:i/>
          <w:szCs w:val="24"/>
        </w:rPr>
        <w:t>венно).</w:t>
      </w:r>
    </w:p>
    <w:p w14:paraId="59548A26" w14:textId="77777777" w:rsidR="001978D9" w:rsidRPr="00805C9F" w:rsidRDefault="00CF7A54" w:rsidP="00092917">
      <w:pPr>
        <w:spacing w:before="0" w:after="0"/>
        <w:ind w:firstLine="709"/>
        <w:contextualSpacing/>
        <w:rPr>
          <w:i/>
          <w:szCs w:val="24"/>
        </w:rPr>
      </w:pPr>
      <w:r w:rsidRPr="00805C9F">
        <w:rPr>
          <w:i/>
          <w:szCs w:val="24"/>
        </w:rPr>
        <w:t>Добавление даратумумаба</w:t>
      </w:r>
      <w:r w:rsidR="003703A8" w:rsidRPr="00805C9F">
        <w:rPr>
          <w:i/>
          <w:szCs w:val="24"/>
        </w:rPr>
        <w:t>**</w:t>
      </w:r>
      <w:r w:rsidRPr="00805C9F">
        <w:rPr>
          <w:i/>
          <w:szCs w:val="24"/>
        </w:rPr>
        <w:t xml:space="preserve"> к режиму VMP не приводило к повышению токсичности: частота отмены терапии была в 2 раза ниже в группе даратумумаба</w:t>
      </w:r>
      <w:r w:rsidR="00DC74A8" w:rsidRPr="00805C9F">
        <w:rPr>
          <w:i/>
          <w:szCs w:val="24"/>
        </w:rPr>
        <w:t>**</w:t>
      </w:r>
      <w:r w:rsidRPr="00805C9F">
        <w:rPr>
          <w:i/>
          <w:szCs w:val="24"/>
        </w:rPr>
        <w:t xml:space="preserve"> (5</w:t>
      </w:r>
      <w:r w:rsidR="00A619B9" w:rsidRPr="00805C9F">
        <w:rPr>
          <w:i/>
          <w:szCs w:val="24"/>
        </w:rPr>
        <w:t> </w:t>
      </w:r>
      <w:r w:rsidRPr="00805C9F">
        <w:rPr>
          <w:i/>
          <w:szCs w:val="24"/>
        </w:rPr>
        <w:t>% при применении DVMP и 10</w:t>
      </w:r>
      <w:r w:rsidR="00A619B9" w:rsidRPr="00805C9F">
        <w:rPr>
          <w:i/>
          <w:szCs w:val="24"/>
        </w:rPr>
        <w:t> </w:t>
      </w:r>
      <w:r w:rsidRPr="00805C9F">
        <w:rPr>
          <w:i/>
          <w:szCs w:val="24"/>
        </w:rPr>
        <w:t>% при применении VMP). Инфузионные реакции, обусловленные введением даратумумаба</w:t>
      </w:r>
      <w:r w:rsidR="003703A8" w:rsidRPr="00805C9F">
        <w:rPr>
          <w:i/>
          <w:szCs w:val="24"/>
        </w:rPr>
        <w:t>**</w:t>
      </w:r>
      <w:r w:rsidRPr="00805C9F">
        <w:rPr>
          <w:i/>
          <w:szCs w:val="24"/>
        </w:rPr>
        <w:t>, отмечались у 27,7</w:t>
      </w:r>
      <w:r w:rsidR="00A619B9" w:rsidRPr="00805C9F">
        <w:rPr>
          <w:i/>
          <w:szCs w:val="24"/>
        </w:rPr>
        <w:t> </w:t>
      </w:r>
      <w:r w:rsidRPr="00805C9F">
        <w:rPr>
          <w:i/>
          <w:szCs w:val="24"/>
        </w:rPr>
        <w:t xml:space="preserve">% пациентов и развивались в основном </w:t>
      </w:r>
      <w:proofErr w:type="gramStart"/>
      <w:r w:rsidRPr="00805C9F">
        <w:rPr>
          <w:i/>
          <w:szCs w:val="24"/>
        </w:rPr>
        <w:t>во время</w:t>
      </w:r>
      <w:proofErr w:type="gramEnd"/>
      <w:r w:rsidRPr="00805C9F">
        <w:rPr>
          <w:i/>
          <w:szCs w:val="24"/>
        </w:rPr>
        <w:t xml:space="preserve"> </w:t>
      </w:r>
      <w:r w:rsidR="00A619B9" w:rsidRPr="00805C9F">
        <w:rPr>
          <w:i/>
          <w:szCs w:val="24"/>
        </w:rPr>
        <w:t>1-</w:t>
      </w:r>
      <w:r w:rsidRPr="00805C9F">
        <w:rPr>
          <w:i/>
          <w:szCs w:val="24"/>
        </w:rPr>
        <w:t>го введения препарата.</w:t>
      </w:r>
    </w:p>
    <w:p w14:paraId="13F1DC77" w14:textId="7CC1CDF8" w:rsidR="00452478" w:rsidRPr="00805C9F" w:rsidRDefault="006E4C10" w:rsidP="008F161A">
      <w:pPr>
        <w:pStyle w:val="a6"/>
        <w:numPr>
          <w:ilvl w:val="0"/>
          <w:numId w:val="134"/>
        </w:numPr>
        <w:spacing w:before="0" w:after="0"/>
        <w:ind w:left="0" w:firstLine="0"/>
        <w:rPr>
          <w:b/>
          <w:szCs w:val="24"/>
        </w:rPr>
      </w:pPr>
      <w:r w:rsidRPr="00805C9F">
        <w:rPr>
          <w:szCs w:val="24"/>
        </w:rPr>
        <w:t xml:space="preserve">Пациентам старше 65 лет с впервые диагностированной ММ – не кандидатам на ВДХТ с ауто-ТГСК − в качестве </w:t>
      </w:r>
      <w:r w:rsidR="0041774E" w:rsidRPr="00805C9F">
        <w:rPr>
          <w:szCs w:val="24"/>
        </w:rPr>
        <w:t>индукциооной терапии</w:t>
      </w:r>
      <w:r w:rsidRPr="00805C9F">
        <w:rPr>
          <w:szCs w:val="24"/>
        </w:rPr>
        <w:t xml:space="preserve"> </w:t>
      </w:r>
      <w:r w:rsidRPr="00805C9F">
        <w:rPr>
          <w:b/>
          <w:szCs w:val="24"/>
        </w:rPr>
        <w:t>рекомендуется</w:t>
      </w:r>
      <w:r w:rsidR="0041774E" w:rsidRPr="00805C9F">
        <w:rPr>
          <w:b/>
          <w:szCs w:val="24"/>
        </w:rPr>
        <w:t xml:space="preserve"> </w:t>
      </w:r>
      <w:r w:rsidR="0041774E" w:rsidRPr="00805C9F">
        <w:rPr>
          <w:szCs w:val="24"/>
        </w:rPr>
        <w:t xml:space="preserve">комбинированная терапия, включающаяя бортезомиб**, леналидомид ** и дексаметазон**. </w:t>
      </w:r>
      <w:r w:rsidR="00452478" w:rsidRPr="00805C9F">
        <w:rPr>
          <w:szCs w:val="24"/>
        </w:rPr>
        <w:fldChar w:fldCharType="begin" w:fldLock="1"/>
      </w:r>
      <w:r w:rsidR="00A14090">
        <w:rPr>
          <w:szCs w:val="24"/>
        </w:rPr>
        <w:instrText>ADDIN CSL_CITATION {"citationItems":[{"id":"ITEM-1","itemData":{"DOI":"10.1038/s41408-020-0311-8","ISSN":"20445385","PMID":"32393732","abstract":"SWOG S0777, a randomized phase III trial, compared bortezomib, lenalidomide and dexamethasone (VRd) with lenalidomide and dexamethasone (Rd). This updated analysis includes 460 patients evaluable for survival endpoints: 225 eligible and analyzable patients were randomized to Rd and 235 to VRd. The 6-month induction was six 28-day cycles of Rd and eight 21-day cycles of VRd followed by Rd maintenance for all patients. Median follow up is 84 months. Median PFS is 41 months for VRd and 29 months for Rd: stratified hazard ratio (96% Wald Confidence Interval) was 0.742 (0.594, 0.928) and one-sided stratified log-rank P-value 0.003. Median OS for VRd is still not reached with median OS for Rd being 69 months: stratified hazard ratio (96% Wald Confidence Interval) was 0.709 (0.543, 0.926) and stratified two-sided P-value was 0.0114. Both PFS and OS were improved with VRd versus Rd adjusting for age (P-values: 0.013 [PFS]; 0.033 [OS])). Median duration of Rd maintenance was 17.1 months. The addition of bortezomib to lenalidomide dexamethasone for induction therapy results in a statistically significant and clinically meaningful improvement in PFS as well as better OS. VRd continues to represent an appropriate standard of care irrespective of age.","author":[{"dropping-particle":"","family":"Durie","given":"Brian G.M.","non-dropping-particle":"","parse-names":false,"suffix":""},{"dropping-particle":"","family":"Hoering","given":"Antje","non-dropping-particle":"","parse-names":false,"suffix":""},{"dropping-particle":"","family":"Sexton","given":"Rachael","non-dropping-particle":"","parse-names":false,"suffix":""},{"dropping-particle":"","family":"Abidi","given":"Muneer H.","non-dropping-particle":"","parse-names":false,"suffix":""},{"dropping-particle":"","family":"Epstein","given":"Joshua","non-dropping-particle":"","parse-names":false,"suffix":""},{"dropping-particle":"","family":"Rajkumar","given":"S. Vincent","non-dropping-particle":"","parse-names":false,"suffix":""},{"dropping-particle":"","family":"Dispenzieri","given":"Angela","non-dropping-particle":"","parse-names":false,"suffix":""},{"dropping-particle":"","family":"Kahanic","given":"Stephen P.","non-dropping-particle":"","parse-names":false,"suffix":""},{"dropping-particle":"","family":"Thakuri","given":"Mohan C.","non-dropping-particle":"","parse-names":false,"suffix":""},{"dropping-particle":"","family":"Reu","given":"Frederic J.","non-dropping-particle":"","parse-names":false,"suffix":""},{"dropping-particle":"","family":"Reynolds","given":"Christopher M.","non-dropping-particle":"","parse-names":false,"suffix":""},{"dropping-particle":"","family":"Orlowski","given":"Robert Z.","non-dropping-particle":"","parse-names":false,"suffix":""},{"dropping-particle":"","family":"Barlogie","given":"Bart","non-dropping-particle":"","parse-names":false,"suffix":""}],"container-title":"Blood Cancer Journal","id":"ITEM-1","issue":"5","issued":{"date-parts":[["2020","5"]]},"publisher":"Springer Nature","title":"Longer term follow-up of the randomized phase III trial SWOG S0777: bortezomib, lenalidomide and dexamethasone vs. lenalidomide and dexamethasone in patients (Pts) with previously untreated multiple myeloma without an intent for immediate autologous stem ","type":"article-journal","volume":"10"},"uris":["http://www.mendeley.com/documents/?uuid=3c488069-7a6c-49e5-8175-c675b38a102a"]},{"id":"ITEM-2","itemData":{"DOI":"10.1016/S0140-6736(16)31594-X","ISSN":"1474547X","PMID":"28017406","abstract":"Background Lenalidomide plus dexamethasone is a reference treatment for patients with newly diagnosed myeloma. The combination of the proteasome inhibitor bortezomib with lenalidomide and dexamethasone has shown significant efficacy in the setting of newly diagnosed myeloma. We aimed to study whether the addition of bortezomib to lenalidomide and dexamethasone would improve progression-free survival and provide better response rates in patients with previously untreated multiple myeloma who were not planned for immediate autologous stem-cell transplant. Methods In this randomised, open-label, phase 3 trial, we recruited patients with newly diagnosed multiple myeloma aged 18 years and older from participating Southwest Oncology Group (SWOG) and National Clinical Trial Network (NCTN) institutions (both inpatient and outpatient settings). Key inclusion criteria were presence of CRAB (C=calcium elevation; R=renal impairment; A=anaemia; B=bone involvement) criteria with measurable disease (measured by assessment of free light chains), Eastern Cooperative Oncology Group (ECOG) performance status of 0–3, haemoglobin concentration 9 g/dL or higher, absolute neutrophil count 1 × 103 cells per mm3 or higher, and a platelet count of 80 000/mm3 or higher. We randomly assigned (1:1) patients to receive either an initial treatment of bortezomib with lenalidomide and dexamethasone (VRd group) or lenalidomide and dexamethasone alone (Rd group). Randomisation was stratified based on International Staging System stage (I, II, or III) and intent to transplant (yes vs no). The VRd regimen was given as eight 21-day cycles. Bortezomib was given at 1·3 mg/m2 intravenously on days 1, 4, 8, and 11, combined with oral lenalidomide 25 mg daily on days 1–14 plus oral dexamethasone 20 mg daily on days 1, 2, 4, 5, 8, 9, 11, and 12. The Rd regimen was given as six 28-day cycles. The standard Rd regimen consisted of 25 mg oral lenalidomide once a day for days 1–21 plus 40 mg oral dexamethasone once a day on days 1, 8, 15, and 22. The primary endpoint was progression-free survival using a prespecified one-sided stratified log rank test at a significance level of 0·02. Analyses were intention to treat. This trial is registered with ClinicalTrials.gov, number NCT00644228. Findings Between April, 2008, and February, 2012, we randomly assigned 525 patients at 139 participating institutions (264 to VRd and 261 to Rd). In the randomly assigned patients, 21 patients in the VRd group and 31 in…","author":[{"dropping-particle":"","family":"Durie","given":"Brian G.M.","non-dropping-particle":"","parse-names":false,"suffix":""},{"dropping-particle":"","family":"Hoering","given":"Antje","non-dropping-particle":"","parse-names":false,"suffix":""},{"dropping-particle":"","family":"Abidi","given":"Muneer H.","non-dropping-particle":"","parse-names":false,"suffix":""},{"dropping-particle":"","family":"Rajkumar","given":"S. Vincent","non-dropping-particle":"","parse-names":false,"suffix":""},{"dropping-particle":"","family":"Epstein","given":"Joshua","non-dropping-particle":"","parse-names":false,"suffix":""},{"dropping-particle":"","family":"Kahanic","given":"Stephen P.","non-dropping-particle":"","parse-names":false,"suffix":""},{"dropping-particle":"","family":"Thakuri","given":"Mohan","non-dropping-particle":"","parse-names":false,"suffix":""},{"dropping-particle":"","family":"Reu","given":"Frederic","non-dropping-particle":"","parse-names":false,"suffix":""},{"dropping-particle":"","family":"Reynolds","given":"Christopher M.","non-dropping-particle":"","parse-names":false,"suffix":""},{"dropping-particle":"","family":"Sexton","given":"Rachael","non-dropping-particle":"","parse-names":false,"suffix":""},{"dropping-particle":"","family":"Orlowski","given":"Robert Z.","non-dropping-particle":"","parse-names":false,"suffix":""},{"dropping-particle":"","family":"Barlogie","given":"Bart","non-dropping-particle":"","parse-names":false,"suffix":""},{"dropping-particle":"","family":"Dispenzieri","given":"Angela","non-dropping-particle":"","parse-names":false,"suffix":""}],"container-title":"The Lancet","id":"ITEM-2","issue":"10068","issued":{"date-parts":[["2017","2"]]},"page":"519-527","publisher":"Lancet Publishing Group","title":"Bortezomib with lenalidomide and dexamethasone versus lenalidomide and dexamethasone alone in patients with newly diagnosed myeloma without intent for immediate autologous stem-cell transplant (SWOG S0777): a randomised, open-label, phase 3 trial","type":"article-journal","volume":"389"},"uris":["http://www.mendeley.com/documents/?uuid=532bfcb5-48d4-423d-acb7-9baa12174b46"]}],"mendeley":{"formattedCitation":"[36,37]","plainTextFormattedCitation":"[36,37]","previouslyFormattedCitation":"[36,37]"},"properties":{"noteIndex":0},"schema":"https://github.com/citation-style-language/schema/raw/master/csl-citation.json"}</w:instrText>
      </w:r>
      <w:r w:rsidR="00452478" w:rsidRPr="00805C9F">
        <w:rPr>
          <w:szCs w:val="24"/>
        </w:rPr>
        <w:fldChar w:fldCharType="separate"/>
      </w:r>
      <w:r w:rsidR="00500F37" w:rsidRPr="00500F37">
        <w:rPr>
          <w:noProof/>
          <w:szCs w:val="24"/>
        </w:rPr>
        <w:t>[36,37]</w:t>
      </w:r>
      <w:r w:rsidR="00452478" w:rsidRPr="00805C9F">
        <w:rPr>
          <w:szCs w:val="24"/>
        </w:rPr>
        <w:fldChar w:fldCharType="end"/>
      </w:r>
    </w:p>
    <w:p w14:paraId="596F1010" w14:textId="37C18452" w:rsidR="006E4C10" w:rsidRPr="00805C9F" w:rsidRDefault="00452478" w:rsidP="00452478">
      <w:pPr>
        <w:pStyle w:val="a6"/>
        <w:spacing w:before="0" w:after="0"/>
        <w:ind w:left="0"/>
        <w:rPr>
          <w:b/>
          <w:szCs w:val="24"/>
        </w:rPr>
      </w:pPr>
      <w:r w:rsidRPr="00805C9F">
        <w:rPr>
          <w:b/>
          <w:szCs w:val="24"/>
        </w:rPr>
        <w:t xml:space="preserve"> </w:t>
      </w:r>
      <w:r w:rsidR="006E4C10" w:rsidRPr="00805C9F">
        <w:rPr>
          <w:b/>
          <w:szCs w:val="24"/>
        </w:rPr>
        <w:t xml:space="preserve">Уровень убедительности рекомендаций − A (уровень достоверности доказательств − </w:t>
      </w:r>
      <w:r w:rsidRPr="00805C9F">
        <w:rPr>
          <w:b/>
          <w:szCs w:val="24"/>
        </w:rPr>
        <w:t>1</w:t>
      </w:r>
      <w:r w:rsidR="006E4C10" w:rsidRPr="00805C9F">
        <w:rPr>
          <w:b/>
          <w:szCs w:val="24"/>
        </w:rPr>
        <w:t>)</w:t>
      </w:r>
    </w:p>
    <w:p w14:paraId="02D8A7D4" w14:textId="7991D50D" w:rsidR="0041774E" w:rsidRPr="00805C9F" w:rsidRDefault="0041774E" w:rsidP="0041774E">
      <w:pPr>
        <w:widowControl w:val="0"/>
        <w:autoSpaceDE w:val="0"/>
        <w:autoSpaceDN w:val="0"/>
        <w:adjustRightInd w:val="0"/>
        <w:spacing w:before="0" w:after="0"/>
        <w:ind w:right="-6"/>
        <w:rPr>
          <w:i/>
          <w:szCs w:val="24"/>
        </w:rPr>
      </w:pPr>
      <w:r w:rsidRPr="00805C9F">
        <w:rPr>
          <w:b/>
          <w:szCs w:val="24"/>
        </w:rPr>
        <w:t xml:space="preserve">Комментарий: </w:t>
      </w:r>
      <w:r w:rsidRPr="00805C9F">
        <w:rPr>
          <w:i/>
          <w:szCs w:val="24"/>
        </w:rPr>
        <w:t>По данным международного рандомизированного исследования III фазы SWOG S0777 (N=523) по сравнению эффективности комбинации леналидомид</w:t>
      </w:r>
      <w:r w:rsidR="00D96427" w:rsidRPr="00805C9F">
        <w:rPr>
          <w:i/>
          <w:szCs w:val="24"/>
        </w:rPr>
        <w:t>**</w:t>
      </w:r>
      <w:r w:rsidRPr="00805C9F">
        <w:rPr>
          <w:i/>
          <w:szCs w:val="24"/>
        </w:rPr>
        <w:t>+бортезомиб</w:t>
      </w:r>
      <w:r w:rsidR="00D96427" w:rsidRPr="00805C9F">
        <w:rPr>
          <w:i/>
          <w:szCs w:val="24"/>
        </w:rPr>
        <w:t>**</w:t>
      </w:r>
      <w:r w:rsidRPr="00805C9F">
        <w:rPr>
          <w:i/>
          <w:szCs w:val="24"/>
        </w:rPr>
        <w:t>+дексаметазон</w:t>
      </w:r>
      <w:r w:rsidR="00D96427" w:rsidRPr="00805C9F">
        <w:rPr>
          <w:i/>
          <w:szCs w:val="24"/>
        </w:rPr>
        <w:t>**</w:t>
      </w:r>
      <w:r w:rsidRPr="00805C9F">
        <w:rPr>
          <w:i/>
          <w:szCs w:val="24"/>
        </w:rPr>
        <w:t xml:space="preserve"> и леналидомид</w:t>
      </w:r>
      <w:r w:rsidR="00D96427" w:rsidRPr="00805C9F">
        <w:rPr>
          <w:i/>
          <w:szCs w:val="24"/>
        </w:rPr>
        <w:t>**</w:t>
      </w:r>
      <w:r w:rsidRPr="00805C9F">
        <w:rPr>
          <w:i/>
          <w:szCs w:val="24"/>
        </w:rPr>
        <w:t>+дексаметазон</w:t>
      </w:r>
      <w:r w:rsidR="00D96427" w:rsidRPr="00805C9F">
        <w:rPr>
          <w:i/>
          <w:szCs w:val="24"/>
        </w:rPr>
        <w:t>**</w:t>
      </w:r>
      <w:r w:rsidRPr="00805C9F">
        <w:rPr>
          <w:i/>
          <w:szCs w:val="24"/>
        </w:rPr>
        <w:t xml:space="preserve"> (группа контроля) у пациентов с впервые диагностированной множественной миеломой не </w:t>
      </w:r>
      <w:r w:rsidRPr="00805C9F">
        <w:rPr>
          <w:i/>
          <w:szCs w:val="24"/>
        </w:rPr>
        <w:lastRenderedPageBreak/>
        <w:t xml:space="preserve">подлежащих ауто-ТГСК, терапия </w:t>
      </w:r>
      <w:r w:rsidR="00E23434" w:rsidRPr="00805C9F">
        <w:rPr>
          <w:i/>
          <w:szCs w:val="24"/>
        </w:rPr>
        <w:t xml:space="preserve">RVd </w:t>
      </w:r>
      <w:r w:rsidRPr="00805C9F">
        <w:rPr>
          <w:i/>
          <w:szCs w:val="24"/>
        </w:rPr>
        <w:t xml:space="preserve">оказывала положительное влияние на такие показатели, как ВБП, ОВ и частота общего ответа. </w:t>
      </w:r>
      <w:bookmarkStart w:id="26" w:name="_Hlk36136856"/>
    </w:p>
    <w:bookmarkEnd w:id="26"/>
    <w:p w14:paraId="11EC9C65" w14:textId="6315DF55" w:rsidR="0041774E" w:rsidRPr="00805C9F" w:rsidRDefault="0041774E" w:rsidP="0041774E">
      <w:pPr>
        <w:widowControl w:val="0"/>
        <w:autoSpaceDE w:val="0"/>
        <w:autoSpaceDN w:val="0"/>
        <w:adjustRightInd w:val="0"/>
        <w:spacing w:before="0" w:after="0"/>
        <w:ind w:right="-6" w:firstLine="567"/>
        <w:rPr>
          <w:i/>
          <w:szCs w:val="24"/>
        </w:rPr>
      </w:pPr>
      <w:r w:rsidRPr="00805C9F">
        <w:rPr>
          <w:i/>
          <w:szCs w:val="24"/>
        </w:rPr>
        <w:t xml:space="preserve">Результаты исследования продемонстрировали статистически значимое улучшение ВБП в группе пациентов, получавших схему </w:t>
      </w:r>
      <w:bookmarkStart w:id="27" w:name="_Hlk37259449"/>
      <w:r w:rsidRPr="00805C9F">
        <w:rPr>
          <w:i/>
          <w:szCs w:val="24"/>
        </w:rPr>
        <w:t>RVd</w:t>
      </w:r>
      <w:bookmarkEnd w:id="27"/>
      <w:r w:rsidRPr="00805C9F">
        <w:rPr>
          <w:i/>
          <w:szCs w:val="24"/>
        </w:rPr>
        <w:t xml:space="preserve">. Продолжительность ВБП при лечении комбинацией RVd по сравнению с группой контроля составила 41 мес vs. 29 мес, соответственно (p = 0,003). Общий ответ в группе RVd составил 90,2% против 78,8% в группе пациентов, получавших </w:t>
      </w:r>
      <w:r w:rsidR="00D96427" w:rsidRPr="00805C9F">
        <w:rPr>
          <w:i/>
          <w:szCs w:val="24"/>
        </w:rPr>
        <w:t>Rd (</w:t>
      </w:r>
      <w:r w:rsidRPr="00805C9F">
        <w:rPr>
          <w:i/>
          <w:szCs w:val="24"/>
        </w:rPr>
        <w:t>отношение рисков, 0,528; P = 0,006 [ITT]; отношение рисков, 0,38; р = 0,001). Общая выживаемость в группе RVd не достигнута, а в группе контроля – 69 мес. (p = 0,0114). Медиана длительности ответа составила 50 мес. в группе RVd и 39 мес. в группе Rd (p = 0,0175).</w:t>
      </w:r>
    </w:p>
    <w:p w14:paraId="1B44C1BA" w14:textId="77777777" w:rsidR="00354AD4" w:rsidRPr="00805C9F" w:rsidRDefault="00354AD4" w:rsidP="0089441A">
      <w:pPr>
        <w:pStyle w:val="a6"/>
        <w:numPr>
          <w:ilvl w:val="0"/>
          <w:numId w:val="5"/>
        </w:numPr>
        <w:spacing w:before="0" w:after="0"/>
        <w:ind w:left="0" w:firstLine="0"/>
        <w:rPr>
          <w:szCs w:val="24"/>
        </w:rPr>
      </w:pPr>
      <w:r w:rsidRPr="00805C9F">
        <w:rPr>
          <w:szCs w:val="24"/>
        </w:rPr>
        <w:t>Пациентам старше 65 лет с впервые диагностированной ММ – не кандидатам на ВДХТ с ауто</w:t>
      </w:r>
      <w:r w:rsidR="00267DE2" w:rsidRPr="00805C9F">
        <w:rPr>
          <w:szCs w:val="24"/>
        </w:rPr>
        <w:t>-</w:t>
      </w:r>
      <w:r w:rsidRPr="00805C9F">
        <w:rPr>
          <w:szCs w:val="24"/>
        </w:rPr>
        <w:t>ТГСК, которым не могут быть назначены бортезомиб</w:t>
      </w:r>
      <w:r w:rsidR="007E7259" w:rsidRPr="00805C9F">
        <w:rPr>
          <w:szCs w:val="24"/>
        </w:rPr>
        <w:t>**</w:t>
      </w:r>
      <w:r w:rsidR="00A5418C" w:rsidRPr="00805C9F">
        <w:rPr>
          <w:szCs w:val="24"/>
        </w:rPr>
        <w:t xml:space="preserve"> и леналидо</w:t>
      </w:r>
      <w:r w:rsidRPr="00805C9F">
        <w:rPr>
          <w:szCs w:val="24"/>
        </w:rPr>
        <w:t>мид</w:t>
      </w:r>
      <w:r w:rsidR="007E7259" w:rsidRPr="00805C9F">
        <w:rPr>
          <w:szCs w:val="24"/>
        </w:rPr>
        <w:t>**</w:t>
      </w:r>
      <w:r w:rsidRPr="00805C9F">
        <w:rPr>
          <w:szCs w:val="24"/>
        </w:rPr>
        <w:t>,</w:t>
      </w:r>
      <w:r w:rsidR="00B2686F" w:rsidRPr="00805C9F">
        <w:rPr>
          <w:szCs w:val="24"/>
        </w:rPr>
        <w:t xml:space="preserve"> </w:t>
      </w:r>
      <w:r w:rsidR="00FF0C02" w:rsidRPr="00805C9F">
        <w:rPr>
          <w:b/>
          <w:szCs w:val="24"/>
        </w:rPr>
        <w:t>рекомендуется</w:t>
      </w:r>
      <w:r w:rsidRPr="00805C9F">
        <w:rPr>
          <w:szCs w:val="24"/>
        </w:rPr>
        <w:t xml:space="preserve"> проведение терапии комбинацией бендамустина</w:t>
      </w:r>
      <w:r w:rsidR="007E7259" w:rsidRPr="00805C9F">
        <w:rPr>
          <w:szCs w:val="24"/>
        </w:rPr>
        <w:t>**</w:t>
      </w:r>
      <w:r w:rsidRPr="00805C9F">
        <w:rPr>
          <w:szCs w:val="24"/>
        </w:rPr>
        <w:t xml:space="preserve"> и преднизолона</w:t>
      </w:r>
      <w:r w:rsidR="007E7259" w:rsidRPr="00805C9F">
        <w:rPr>
          <w:szCs w:val="24"/>
        </w:rPr>
        <w:t>**</w:t>
      </w:r>
      <w:r w:rsidRPr="00805C9F">
        <w:rPr>
          <w:szCs w:val="24"/>
        </w:rPr>
        <w:t xml:space="preserve"> (</w:t>
      </w:r>
      <w:r w:rsidRPr="00805C9F">
        <w:rPr>
          <w:szCs w:val="24"/>
          <w:lang w:val="en-US"/>
        </w:rPr>
        <w:t>BP</w:t>
      </w:r>
      <w:r w:rsidRPr="00805C9F">
        <w:rPr>
          <w:szCs w:val="24"/>
        </w:rPr>
        <w:t>)</w:t>
      </w:r>
      <w:r w:rsidR="00DA70E3" w:rsidRPr="00805C9F">
        <w:rPr>
          <w:szCs w:val="24"/>
        </w:rPr>
        <w:t xml:space="preserve"> (описание режимов – см. приложение </w:t>
      </w:r>
      <w:r w:rsidR="00C812D6" w:rsidRPr="00805C9F">
        <w:rPr>
          <w:szCs w:val="24"/>
        </w:rPr>
        <w:t>А3.1</w:t>
      </w:r>
      <w:r w:rsidR="0081738F" w:rsidRPr="00805C9F">
        <w:rPr>
          <w:szCs w:val="24"/>
        </w:rPr>
        <w:t>.</w:t>
      </w:r>
      <w:r w:rsidR="00DA70E3" w:rsidRPr="00805C9F">
        <w:rPr>
          <w:szCs w:val="24"/>
        </w:rPr>
        <w:t>)</w:t>
      </w:r>
      <w:r w:rsidRPr="00805C9F">
        <w:rPr>
          <w:szCs w:val="24"/>
        </w:rPr>
        <w:t xml:space="preserve"> [</w:t>
      </w:r>
      <w:r w:rsidR="00424F28" w:rsidRPr="00805C9F">
        <w:rPr>
          <w:szCs w:val="24"/>
        </w:rPr>
        <w:t>1</w:t>
      </w:r>
      <w:r w:rsidR="00941B7E" w:rsidRPr="00805C9F">
        <w:rPr>
          <w:szCs w:val="24"/>
        </w:rPr>
        <w:t>5</w:t>
      </w:r>
      <w:r w:rsidRPr="00805C9F">
        <w:rPr>
          <w:szCs w:val="24"/>
        </w:rPr>
        <w:t>].</w:t>
      </w:r>
    </w:p>
    <w:p w14:paraId="37C8C1F4" w14:textId="77777777" w:rsidR="00354AD4" w:rsidRPr="00805C9F" w:rsidRDefault="00354AD4" w:rsidP="00092917">
      <w:pPr>
        <w:spacing w:before="0" w:after="0"/>
        <w:contextualSpacing/>
        <w:rPr>
          <w:b/>
          <w:szCs w:val="24"/>
        </w:rPr>
      </w:pPr>
      <w:r w:rsidRPr="00805C9F">
        <w:rPr>
          <w:b/>
          <w:szCs w:val="24"/>
        </w:rPr>
        <w:t xml:space="preserve">Уровень убедительности рекомендаций </w:t>
      </w:r>
      <w:r w:rsidR="0081738F" w:rsidRPr="00805C9F">
        <w:rPr>
          <w:b/>
          <w:szCs w:val="24"/>
        </w:rPr>
        <w:t xml:space="preserve">– </w:t>
      </w:r>
      <w:r w:rsidR="006A50CD" w:rsidRPr="00805C9F">
        <w:rPr>
          <w:b/>
          <w:szCs w:val="24"/>
        </w:rPr>
        <w:t xml:space="preserve">С </w:t>
      </w:r>
      <w:r w:rsidRPr="00805C9F">
        <w:rPr>
          <w:b/>
          <w:szCs w:val="24"/>
        </w:rPr>
        <w:t>(уровень достоверности доказательств</w:t>
      </w:r>
      <w:r w:rsidR="0081738F" w:rsidRPr="00805C9F">
        <w:rPr>
          <w:b/>
          <w:szCs w:val="24"/>
        </w:rPr>
        <w:t xml:space="preserve"> − </w:t>
      </w:r>
      <w:r w:rsidR="006A50CD" w:rsidRPr="00805C9F">
        <w:rPr>
          <w:b/>
          <w:szCs w:val="24"/>
        </w:rPr>
        <w:t>5</w:t>
      </w:r>
      <w:r w:rsidRPr="00805C9F">
        <w:rPr>
          <w:b/>
          <w:szCs w:val="24"/>
        </w:rPr>
        <w:t>)</w:t>
      </w:r>
    </w:p>
    <w:p w14:paraId="2BC58F20" w14:textId="77777777" w:rsidR="00354AD4" w:rsidRPr="00805C9F" w:rsidRDefault="00354AD4" w:rsidP="00092917">
      <w:pPr>
        <w:spacing w:before="0" w:after="0"/>
        <w:contextualSpacing/>
        <w:rPr>
          <w:i/>
          <w:szCs w:val="24"/>
        </w:rPr>
      </w:pPr>
      <w:r w:rsidRPr="00805C9F">
        <w:rPr>
          <w:b/>
          <w:szCs w:val="24"/>
        </w:rPr>
        <w:t>Комментарий:</w:t>
      </w:r>
      <w:r w:rsidR="003369B4" w:rsidRPr="00805C9F">
        <w:rPr>
          <w:b/>
          <w:szCs w:val="24"/>
        </w:rPr>
        <w:t xml:space="preserve"> </w:t>
      </w:r>
      <w:r w:rsidR="0081738F" w:rsidRPr="00805C9F">
        <w:rPr>
          <w:i/>
          <w:szCs w:val="24"/>
        </w:rPr>
        <w:t>о</w:t>
      </w:r>
      <w:r w:rsidRPr="00805C9F">
        <w:rPr>
          <w:i/>
          <w:szCs w:val="24"/>
        </w:rPr>
        <w:t>снованием для использования этой программы стали результаты рандомизированного исследования по сравнению ее эффективности с традиционной ранее терапией по схеме МР. В исследовании показан</w:t>
      </w:r>
      <w:r w:rsidR="00D5457E" w:rsidRPr="00805C9F">
        <w:rPr>
          <w:i/>
          <w:szCs w:val="24"/>
        </w:rPr>
        <w:t>ы</w:t>
      </w:r>
      <w:r w:rsidRPr="00805C9F">
        <w:rPr>
          <w:i/>
          <w:szCs w:val="24"/>
        </w:rPr>
        <w:t xml:space="preserve"> более высокая частота </w:t>
      </w:r>
      <w:proofErr w:type="gramStart"/>
      <w:r w:rsidRPr="00805C9F">
        <w:rPr>
          <w:i/>
          <w:szCs w:val="24"/>
        </w:rPr>
        <w:t>ПР</w:t>
      </w:r>
      <w:proofErr w:type="gramEnd"/>
      <w:r w:rsidRPr="00805C9F">
        <w:rPr>
          <w:i/>
          <w:szCs w:val="24"/>
        </w:rPr>
        <w:t xml:space="preserve"> и более длительная медиана времени до неудач лечения при использовании BP, но при этом не выявлено улучшения ОВ.</w:t>
      </w:r>
    </w:p>
    <w:p w14:paraId="55107E2A" w14:textId="7845F0C0" w:rsidR="00354AD4" w:rsidRPr="00805C9F" w:rsidRDefault="00354AD4" w:rsidP="00092917">
      <w:pPr>
        <w:pStyle w:val="a6"/>
        <w:numPr>
          <w:ilvl w:val="0"/>
          <w:numId w:val="5"/>
        </w:numPr>
        <w:spacing w:before="0" w:after="0"/>
        <w:ind w:left="0" w:firstLine="0"/>
        <w:rPr>
          <w:szCs w:val="24"/>
        </w:rPr>
      </w:pPr>
      <w:r w:rsidRPr="00805C9F">
        <w:rPr>
          <w:szCs w:val="24"/>
        </w:rPr>
        <w:t xml:space="preserve">Пациентам, имеющим по крайней мере </w:t>
      </w:r>
      <w:r w:rsidR="0014089B" w:rsidRPr="00805C9F">
        <w:rPr>
          <w:szCs w:val="24"/>
        </w:rPr>
        <w:t>1</w:t>
      </w:r>
      <w:r w:rsidRPr="00805C9F">
        <w:rPr>
          <w:szCs w:val="24"/>
        </w:rPr>
        <w:t xml:space="preserve"> неблагоприятный фактор (возраст ≥75 лет, сопутствующие заболевания c нарушением функции органов</w:t>
      </w:r>
      <w:r w:rsidR="00946AD8" w:rsidRPr="00805C9F">
        <w:rPr>
          <w:szCs w:val="24"/>
        </w:rPr>
        <w:t>)</w:t>
      </w:r>
      <w:r w:rsidR="0014089B" w:rsidRPr="00805C9F">
        <w:rPr>
          <w:szCs w:val="24"/>
        </w:rPr>
        <w:t>,</w:t>
      </w:r>
      <w:r w:rsidR="00946AD8" w:rsidRPr="00805C9F">
        <w:rPr>
          <w:szCs w:val="24"/>
        </w:rPr>
        <w:t xml:space="preserve"> </w:t>
      </w:r>
      <w:r w:rsidRPr="00805C9F">
        <w:rPr>
          <w:b/>
          <w:szCs w:val="24"/>
        </w:rPr>
        <w:t>рекомендуется</w:t>
      </w:r>
      <w:r w:rsidRPr="00805C9F">
        <w:rPr>
          <w:szCs w:val="24"/>
        </w:rPr>
        <w:t xml:space="preserve"> соответствующая редукция доз препаратов</w:t>
      </w:r>
      <w:r w:rsidR="00FC3E67" w:rsidRPr="00805C9F">
        <w:rPr>
          <w:szCs w:val="24"/>
        </w:rPr>
        <w:t xml:space="preserve"> (табл.</w:t>
      </w:r>
      <w:r w:rsidR="00993359" w:rsidRPr="00805C9F">
        <w:rPr>
          <w:szCs w:val="24"/>
        </w:rPr>
        <w:t xml:space="preserve"> 6</w:t>
      </w:r>
      <w:r w:rsidR="00FC3E67" w:rsidRPr="00805C9F">
        <w:rPr>
          <w:szCs w:val="24"/>
        </w:rPr>
        <w:t>)</w:t>
      </w:r>
      <w:r w:rsidR="00946AD8" w:rsidRPr="00805C9F">
        <w:rPr>
          <w:szCs w:val="24"/>
        </w:rPr>
        <w:t xml:space="preserve"> </w:t>
      </w:r>
      <w:r w:rsidR="00A96FB6" w:rsidRPr="00805C9F">
        <w:rPr>
          <w:szCs w:val="24"/>
          <w:lang w:val="en-US"/>
        </w:rPr>
        <w:fldChar w:fldCharType="begin" w:fldLock="1"/>
      </w:r>
      <w:r w:rsidR="00500F37">
        <w:rPr>
          <w:szCs w:val="24"/>
          <w:lang w:val="en-US"/>
        </w:rP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805C9F">
        <w:rPr>
          <w:szCs w:val="24"/>
          <w:lang w:val="en-US"/>
        </w:rPr>
        <w:fldChar w:fldCharType="separate"/>
      </w:r>
      <w:r w:rsidR="00E03159" w:rsidRPr="00805C9F">
        <w:rPr>
          <w:noProof/>
          <w:szCs w:val="24"/>
        </w:rPr>
        <w:t>[1]</w:t>
      </w:r>
      <w:r w:rsidR="00A96FB6" w:rsidRPr="00805C9F">
        <w:rPr>
          <w:szCs w:val="24"/>
          <w:lang w:val="en-US"/>
        </w:rPr>
        <w:fldChar w:fldCharType="end"/>
      </w:r>
      <w:r w:rsidRPr="00805C9F">
        <w:rPr>
          <w:szCs w:val="24"/>
        </w:rPr>
        <w:t>.</w:t>
      </w:r>
    </w:p>
    <w:p w14:paraId="74C4EC4B" w14:textId="77777777" w:rsidR="00FC3E67" w:rsidRPr="00805C9F" w:rsidRDefault="00FC3E67" w:rsidP="00092917">
      <w:pPr>
        <w:spacing w:before="0" w:after="0"/>
        <w:contextualSpacing/>
        <w:rPr>
          <w:b/>
          <w:szCs w:val="24"/>
        </w:rPr>
      </w:pPr>
      <w:r w:rsidRPr="00805C9F">
        <w:rPr>
          <w:b/>
          <w:szCs w:val="24"/>
        </w:rPr>
        <w:t xml:space="preserve">Уровень убедительности рекомендаций </w:t>
      </w:r>
      <w:r w:rsidR="0014089B" w:rsidRPr="00805C9F">
        <w:rPr>
          <w:b/>
          <w:szCs w:val="24"/>
        </w:rPr>
        <w:t xml:space="preserve">− </w:t>
      </w:r>
      <w:r w:rsidR="000558B2" w:rsidRPr="00805C9F">
        <w:rPr>
          <w:b/>
          <w:szCs w:val="24"/>
          <w:lang w:val="en-US"/>
        </w:rPr>
        <w:t>C</w:t>
      </w:r>
      <w:r w:rsidR="003369B4" w:rsidRPr="00805C9F">
        <w:rPr>
          <w:b/>
          <w:szCs w:val="24"/>
        </w:rPr>
        <w:t xml:space="preserve"> </w:t>
      </w:r>
      <w:r w:rsidRPr="00805C9F">
        <w:rPr>
          <w:b/>
          <w:szCs w:val="24"/>
        </w:rPr>
        <w:t>(уровень достоверности доказательств</w:t>
      </w:r>
      <w:r w:rsidR="000558B2" w:rsidRPr="00805C9F">
        <w:rPr>
          <w:b/>
          <w:szCs w:val="24"/>
        </w:rPr>
        <w:t xml:space="preserve"> </w:t>
      </w:r>
      <w:r w:rsidR="0014089B" w:rsidRPr="00805C9F">
        <w:rPr>
          <w:b/>
          <w:szCs w:val="24"/>
        </w:rPr>
        <w:t xml:space="preserve">− </w:t>
      </w:r>
      <w:r w:rsidR="000558B2" w:rsidRPr="00805C9F">
        <w:rPr>
          <w:b/>
          <w:szCs w:val="24"/>
        </w:rPr>
        <w:t>5</w:t>
      </w:r>
      <w:r w:rsidRPr="00805C9F">
        <w:rPr>
          <w:b/>
          <w:szCs w:val="24"/>
        </w:rPr>
        <w:t>)</w:t>
      </w:r>
    </w:p>
    <w:p w14:paraId="41A9EDAF" w14:textId="7E40F172" w:rsidR="00FC3E67" w:rsidRPr="00805C9F" w:rsidRDefault="00FC3E67" w:rsidP="00092917">
      <w:pPr>
        <w:spacing w:before="0" w:after="0"/>
        <w:rPr>
          <w:rFonts w:eastAsia="Times New Roman"/>
          <w:i/>
          <w:szCs w:val="24"/>
        </w:rPr>
      </w:pPr>
      <w:r w:rsidRPr="00805C9F">
        <w:rPr>
          <w:rFonts w:eastAsia="Times New Roman"/>
          <w:b/>
          <w:i/>
          <w:szCs w:val="24"/>
        </w:rPr>
        <w:t xml:space="preserve">Таблица </w:t>
      </w:r>
      <w:r w:rsidR="00993359" w:rsidRPr="00805C9F">
        <w:rPr>
          <w:rFonts w:eastAsia="Times New Roman"/>
          <w:b/>
          <w:i/>
          <w:szCs w:val="24"/>
        </w:rPr>
        <w:t>6</w:t>
      </w:r>
      <w:r w:rsidRPr="00805C9F">
        <w:rPr>
          <w:rFonts w:eastAsia="Times New Roman"/>
          <w:b/>
          <w:i/>
          <w:szCs w:val="24"/>
        </w:rPr>
        <w:t>.</w:t>
      </w:r>
      <w:r w:rsidR="00463342" w:rsidRPr="00805C9F">
        <w:rPr>
          <w:rFonts w:eastAsia="Times New Roman"/>
          <w:b/>
          <w:i/>
          <w:szCs w:val="24"/>
        </w:rPr>
        <w:t xml:space="preserve"> </w:t>
      </w:r>
      <w:r w:rsidRPr="00805C9F">
        <w:rPr>
          <w:rFonts w:eastAsia="Times New Roman"/>
          <w:bCs/>
          <w:i/>
          <w:szCs w:val="24"/>
        </w:rPr>
        <w:t xml:space="preserve">Рекомендации по снижению доз препаратов у пожилых </w:t>
      </w:r>
      <w:r w:rsidR="00FB03BB" w:rsidRPr="00805C9F">
        <w:rPr>
          <w:rFonts w:eastAsia="Times New Roman"/>
          <w:bCs/>
          <w:i/>
          <w:szCs w:val="24"/>
        </w:rPr>
        <w:t>пациентов</w:t>
      </w:r>
      <w:r w:rsidRPr="00805C9F">
        <w:rPr>
          <w:rFonts w:eastAsia="Times New Roman"/>
          <w:bCs/>
          <w:i/>
          <w:szCs w:val="24"/>
        </w:rPr>
        <w:t xml:space="preserve"> ММ</w:t>
      </w:r>
    </w:p>
    <w:tbl>
      <w:tblPr>
        <w:tblW w:w="0" w:type="auto"/>
        <w:tblInd w:w="817" w:type="dxa"/>
        <w:tblLayout w:type="fixed"/>
        <w:tblLook w:val="0000" w:firstRow="0" w:lastRow="0" w:firstColumn="0" w:lastColumn="0" w:noHBand="0" w:noVBand="0"/>
      </w:tblPr>
      <w:tblGrid>
        <w:gridCol w:w="2268"/>
        <w:gridCol w:w="1985"/>
        <w:gridCol w:w="2126"/>
        <w:gridCol w:w="2221"/>
      </w:tblGrid>
      <w:tr w:rsidR="00FC3E67" w:rsidRPr="00F242DD" w14:paraId="3DE996CB" w14:textId="77777777" w:rsidTr="00846DD8">
        <w:trPr>
          <w:tblHeader/>
        </w:trPr>
        <w:tc>
          <w:tcPr>
            <w:tcW w:w="2268" w:type="dxa"/>
            <w:tcBorders>
              <w:top w:val="single" w:sz="4" w:space="0" w:color="auto"/>
              <w:left w:val="single" w:sz="4" w:space="0" w:color="auto"/>
            </w:tcBorders>
            <w:shd w:val="clear" w:color="auto" w:fill="auto"/>
          </w:tcPr>
          <w:p w14:paraId="2F1036E8" w14:textId="77777777" w:rsidR="00FC3E67" w:rsidRPr="00F242DD" w:rsidRDefault="00FC3E67" w:rsidP="00092917">
            <w:pPr>
              <w:snapToGrid w:val="0"/>
              <w:spacing w:before="0" w:after="0"/>
              <w:jc w:val="center"/>
              <w:rPr>
                <w:rFonts w:eastAsia="Times New Roman"/>
              </w:rPr>
            </w:pPr>
          </w:p>
        </w:tc>
        <w:tc>
          <w:tcPr>
            <w:tcW w:w="6332" w:type="dxa"/>
            <w:gridSpan w:val="3"/>
            <w:tcBorders>
              <w:top w:val="single" w:sz="4" w:space="0" w:color="000000"/>
              <w:left w:val="single" w:sz="4" w:space="0" w:color="000000"/>
              <w:bottom w:val="single" w:sz="4" w:space="0" w:color="000000"/>
              <w:right w:val="single" w:sz="4" w:space="0" w:color="000000"/>
            </w:tcBorders>
            <w:shd w:val="clear" w:color="auto" w:fill="auto"/>
          </w:tcPr>
          <w:p w14:paraId="1C171E14" w14:textId="77777777" w:rsidR="00FC3E67" w:rsidRPr="00F242DD" w:rsidRDefault="00FC3E67" w:rsidP="00092917">
            <w:pPr>
              <w:snapToGrid w:val="0"/>
              <w:spacing w:before="0" w:after="0"/>
              <w:jc w:val="center"/>
              <w:rPr>
                <w:rFonts w:eastAsia="Times New Roman"/>
                <w:lang w:val="en-US"/>
              </w:rPr>
            </w:pPr>
            <w:r w:rsidRPr="00F242DD">
              <w:rPr>
                <w:rFonts w:eastAsia="Times New Roman"/>
              </w:rPr>
              <w:t>Уровень дозы</w:t>
            </w:r>
          </w:p>
        </w:tc>
      </w:tr>
      <w:tr w:rsidR="00FC3E67" w:rsidRPr="00F242DD" w14:paraId="6F8B1956" w14:textId="77777777" w:rsidTr="00846DD8">
        <w:trPr>
          <w:tblHeader/>
        </w:trPr>
        <w:tc>
          <w:tcPr>
            <w:tcW w:w="2268" w:type="dxa"/>
            <w:tcBorders>
              <w:left w:val="single" w:sz="4" w:space="0" w:color="auto"/>
              <w:bottom w:val="single" w:sz="4" w:space="0" w:color="auto"/>
            </w:tcBorders>
            <w:shd w:val="clear" w:color="auto" w:fill="auto"/>
          </w:tcPr>
          <w:p w14:paraId="454AC60F" w14:textId="63FD3368" w:rsidR="00FC3E67" w:rsidRPr="00F242DD" w:rsidRDefault="00FC3E67" w:rsidP="00092917">
            <w:pPr>
              <w:snapToGrid w:val="0"/>
              <w:spacing w:before="0" w:after="0"/>
              <w:rPr>
                <w:rFonts w:eastAsia="Times New Roman"/>
                <w:lang w:val="en-US"/>
              </w:rPr>
            </w:pPr>
            <w:r w:rsidRPr="00F242DD">
              <w:rPr>
                <w:rFonts w:eastAsia="Times New Roman"/>
                <w:lang w:val="en-US"/>
              </w:rPr>
              <w:t>Лекарственный</w:t>
            </w:r>
            <w:r w:rsidR="0009090A">
              <w:rPr>
                <w:rFonts w:eastAsia="Times New Roman"/>
              </w:rPr>
              <w:t xml:space="preserve"> </w:t>
            </w:r>
            <w:r w:rsidRPr="00F242DD">
              <w:rPr>
                <w:rFonts w:eastAsia="Times New Roman"/>
                <w:lang w:val="en-US"/>
              </w:rPr>
              <w:t>препарат</w:t>
            </w:r>
          </w:p>
        </w:tc>
        <w:tc>
          <w:tcPr>
            <w:tcW w:w="1985" w:type="dxa"/>
            <w:tcBorders>
              <w:left w:val="single" w:sz="4" w:space="0" w:color="000000"/>
              <w:bottom w:val="single" w:sz="4" w:space="0" w:color="000000"/>
            </w:tcBorders>
            <w:shd w:val="clear" w:color="auto" w:fill="auto"/>
          </w:tcPr>
          <w:p w14:paraId="609CFEE5" w14:textId="77777777" w:rsidR="00FC3E67" w:rsidRPr="00F242DD" w:rsidRDefault="00FC3E67" w:rsidP="00092917">
            <w:pPr>
              <w:snapToGrid w:val="0"/>
              <w:spacing w:before="0" w:after="0"/>
              <w:jc w:val="center"/>
              <w:rPr>
                <w:rFonts w:eastAsia="Times New Roman"/>
                <w:lang w:val="en-US"/>
              </w:rPr>
            </w:pPr>
            <w:r w:rsidRPr="00F242DD">
              <w:rPr>
                <w:rFonts w:eastAsia="Times New Roman"/>
                <w:lang w:val="en-US"/>
              </w:rPr>
              <w:t>0</w:t>
            </w:r>
          </w:p>
        </w:tc>
        <w:tc>
          <w:tcPr>
            <w:tcW w:w="2126" w:type="dxa"/>
            <w:tcBorders>
              <w:left w:val="single" w:sz="4" w:space="0" w:color="000000"/>
              <w:bottom w:val="single" w:sz="4" w:space="0" w:color="000000"/>
            </w:tcBorders>
            <w:shd w:val="clear" w:color="auto" w:fill="auto"/>
          </w:tcPr>
          <w:p w14:paraId="01EB820B" w14:textId="77777777" w:rsidR="00FC3E67" w:rsidRPr="00F242DD" w:rsidRDefault="00FC3E67" w:rsidP="00092917">
            <w:pPr>
              <w:snapToGrid w:val="0"/>
              <w:spacing w:before="0" w:after="0"/>
              <w:jc w:val="center"/>
              <w:rPr>
                <w:rFonts w:eastAsia="Times New Roman"/>
                <w:lang w:val="en-US"/>
              </w:rPr>
            </w:pPr>
            <w:r w:rsidRPr="00F242DD">
              <w:rPr>
                <w:rFonts w:eastAsia="Times New Roman"/>
                <w:lang w:val="en-US"/>
              </w:rPr>
              <w:t>1</w:t>
            </w:r>
          </w:p>
        </w:tc>
        <w:tc>
          <w:tcPr>
            <w:tcW w:w="2221" w:type="dxa"/>
            <w:tcBorders>
              <w:left w:val="single" w:sz="4" w:space="0" w:color="000000"/>
              <w:bottom w:val="single" w:sz="4" w:space="0" w:color="000000"/>
              <w:right w:val="single" w:sz="4" w:space="0" w:color="000000"/>
            </w:tcBorders>
            <w:shd w:val="clear" w:color="auto" w:fill="auto"/>
          </w:tcPr>
          <w:p w14:paraId="42E89439" w14:textId="77777777" w:rsidR="00FC3E67" w:rsidRPr="00F242DD" w:rsidRDefault="00FC3E67" w:rsidP="00092917">
            <w:pPr>
              <w:snapToGrid w:val="0"/>
              <w:spacing w:before="0" w:after="0"/>
              <w:jc w:val="center"/>
              <w:rPr>
                <w:rFonts w:eastAsia="Times New Roman"/>
                <w:lang w:val="en-US"/>
              </w:rPr>
            </w:pPr>
            <w:r w:rsidRPr="00F242DD">
              <w:rPr>
                <w:rFonts w:eastAsia="Times New Roman"/>
                <w:lang w:val="en-US"/>
              </w:rPr>
              <w:t>2</w:t>
            </w:r>
          </w:p>
        </w:tc>
      </w:tr>
      <w:tr w:rsidR="00FC3E67" w:rsidRPr="00F242DD" w14:paraId="64AA7432" w14:textId="77777777" w:rsidTr="00AC398A">
        <w:tc>
          <w:tcPr>
            <w:tcW w:w="2268" w:type="dxa"/>
            <w:tcBorders>
              <w:top w:val="single" w:sz="4" w:space="0" w:color="auto"/>
              <w:left w:val="single" w:sz="4" w:space="0" w:color="000000"/>
              <w:bottom w:val="single" w:sz="4" w:space="0" w:color="000000"/>
            </w:tcBorders>
            <w:shd w:val="clear" w:color="auto" w:fill="auto"/>
          </w:tcPr>
          <w:p w14:paraId="4657E5CA" w14:textId="77777777" w:rsidR="00FC3E67" w:rsidRPr="00F242DD" w:rsidRDefault="00FC3E67" w:rsidP="00092917">
            <w:pPr>
              <w:snapToGrid w:val="0"/>
              <w:spacing w:before="0" w:after="0"/>
              <w:rPr>
                <w:rFonts w:eastAsia="Times New Roman"/>
                <w:iCs/>
              </w:rPr>
            </w:pPr>
            <w:r w:rsidRPr="00F242DD">
              <w:rPr>
                <w:rFonts w:eastAsia="Times New Roman"/>
                <w:lang w:val="en-US"/>
              </w:rPr>
              <w:t>Бортезомиб</w:t>
            </w:r>
            <w:r w:rsidR="007E7259" w:rsidRPr="00F242DD">
              <w:rPr>
                <w:rFonts w:eastAsia="Times New Roman"/>
              </w:rPr>
              <w:t>**</w:t>
            </w:r>
          </w:p>
        </w:tc>
        <w:tc>
          <w:tcPr>
            <w:tcW w:w="1985" w:type="dxa"/>
            <w:tcBorders>
              <w:left w:val="single" w:sz="4" w:space="0" w:color="000000"/>
              <w:bottom w:val="single" w:sz="4" w:space="0" w:color="000000"/>
            </w:tcBorders>
            <w:shd w:val="clear" w:color="auto" w:fill="auto"/>
          </w:tcPr>
          <w:p w14:paraId="35173F70" w14:textId="77777777" w:rsidR="00FC3E67" w:rsidRPr="00F242DD" w:rsidRDefault="00FC3E67" w:rsidP="00092917">
            <w:pPr>
              <w:snapToGrid w:val="0"/>
              <w:spacing w:before="0" w:after="0"/>
              <w:jc w:val="left"/>
              <w:rPr>
                <w:rFonts w:eastAsia="Times New Roman"/>
                <w:iCs/>
              </w:rPr>
            </w:pPr>
            <w:r w:rsidRPr="00F242DD">
              <w:rPr>
                <w:rFonts w:eastAsia="Times New Roman"/>
                <w:iCs/>
              </w:rPr>
              <w:t>1,3 мг/м</w:t>
            </w:r>
            <w:r w:rsidRPr="00F242DD">
              <w:rPr>
                <w:rFonts w:eastAsia="Times New Roman"/>
                <w:iCs/>
                <w:vertAlign w:val="superscript"/>
              </w:rPr>
              <w:t xml:space="preserve">2 </w:t>
            </w:r>
          </w:p>
          <w:p w14:paraId="57E98959" w14:textId="77777777" w:rsidR="00FC3E67" w:rsidRPr="00F242DD" w:rsidRDefault="00FC3E67" w:rsidP="00092917">
            <w:pPr>
              <w:spacing w:before="0" w:after="0"/>
              <w:jc w:val="left"/>
              <w:rPr>
                <w:rFonts w:eastAsia="Times New Roman"/>
                <w:iCs/>
              </w:rPr>
            </w:pPr>
            <w:r w:rsidRPr="00F242DD">
              <w:rPr>
                <w:rFonts w:eastAsia="Times New Roman"/>
                <w:iCs/>
              </w:rPr>
              <w:t>дни: 1,</w:t>
            </w:r>
            <w:r w:rsidR="00655135" w:rsidRPr="00F242DD">
              <w:rPr>
                <w:rFonts w:eastAsia="Times New Roman"/>
                <w:iCs/>
              </w:rPr>
              <w:t xml:space="preserve"> </w:t>
            </w:r>
            <w:r w:rsidRPr="00F242DD">
              <w:rPr>
                <w:rFonts w:eastAsia="Times New Roman"/>
                <w:iCs/>
              </w:rPr>
              <w:t>4,</w:t>
            </w:r>
            <w:r w:rsidR="00655135" w:rsidRPr="00F242DD">
              <w:rPr>
                <w:rFonts w:eastAsia="Times New Roman"/>
                <w:iCs/>
              </w:rPr>
              <w:t xml:space="preserve"> </w:t>
            </w:r>
            <w:r w:rsidRPr="00F242DD">
              <w:rPr>
                <w:rFonts w:eastAsia="Times New Roman"/>
                <w:iCs/>
              </w:rPr>
              <w:t>8,</w:t>
            </w:r>
            <w:r w:rsidR="00655135" w:rsidRPr="00F242DD">
              <w:rPr>
                <w:rFonts w:eastAsia="Times New Roman"/>
                <w:iCs/>
              </w:rPr>
              <w:t xml:space="preserve"> </w:t>
            </w:r>
            <w:r w:rsidRPr="00F242DD">
              <w:rPr>
                <w:rFonts w:eastAsia="Times New Roman"/>
                <w:iCs/>
              </w:rPr>
              <w:t>11</w:t>
            </w:r>
            <w:r w:rsidR="00655135" w:rsidRPr="00F242DD">
              <w:rPr>
                <w:rFonts w:eastAsia="Times New Roman"/>
                <w:iCs/>
              </w:rPr>
              <w:t>-й</w:t>
            </w:r>
            <w:r w:rsidRPr="00F242DD">
              <w:rPr>
                <w:rFonts w:eastAsia="Times New Roman"/>
                <w:iCs/>
              </w:rPr>
              <w:t xml:space="preserve"> </w:t>
            </w:r>
          </w:p>
          <w:p w14:paraId="3546F71F" w14:textId="77777777" w:rsidR="00FC3E67" w:rsidRPr="00F242DD" w:rsidRDefault="00FC3E67" w:rsidP="00092917">
            <w:pPr>
              <w:spacing w:before="0" w:after="0"/>
              <w:jc w:val="left"/>
              <w:rPr>
                <w:rFonts w:eastAsia="Times New Roman"/>
                <w:iCs/>
              </w:rPr>
            </w:pPr>
            <w:r w:rsidRPr="00F242DD">
              <w:rPr>
                <w:rFonts w:eastAsia="Times New Roman"/>
                <w:iCs/>
              </w:rPr>
              <w:t>каждые 3 нед</w:t>
            </w:r>
          </w:p>
        </w:tc>
        <w:tc>
          <w:tcPr>
            <w:tcW w:w="2126" w:type="dxa"/>
            <w:tcBorders>
              <w:left w:val="single" w:sz="4" w:space="0" w:color="000000"/>
              <w:bottom w:val="single" w:sz="4" w:space="0" w:color="000000"/>
            </w:tcBorders>
            <w:shd w:val="clear" w:color="auto" w:fill="auto"/>
          </w:tcPr>
          <w:p w14:paraId="7E83274A" w14:textId="77777777" w:rsidR="00FC3E67" w:rsidRPr="00F242DD" w:rsidRDefault="00FC3E67" w:rsidP="00092917">
            <w:pPr>
              <w:snapToGrid w:val="0"/>
              <w:spacing w:before="0" w:after="0"/>
              <w:jc w:val="left"/>
              <w:rPr>
                <w:rFonts w:eastAsia="Times New Roman"/>
                <w:iCs/>
              </w:rPr>
            </w:pPr>
            <w:r w:rsidRPr="00F242DD">
              <w:rPr>
                <w:rFonts w:eastAsia="Times New Roman"/>
                <w:iCs/>
              </w:rPr>
              <w:t>1,3 мг/м</w:t>
            </w:r>
            <w:r w:rsidRPr="00F242DD">
              <w:rPr>
                <w:rFonts w:eastAsia="Times New Roman"/>
                <w:iCs/>
                <w:vertAlign w:val="superscript"/>
              </w:rPr>
              <w:t>2</w:t>
            </w:r>
            <w:r w:rsidRPr="00F242DD">
              <w:rPr>
                <w:rFonts w:eastAsia="Times New Roman"/>
                <w:iCs/>
              </w:rPr>
              <w:t xml:space="preserve"> 1 раз в неделю</w:t>
            </w:r>
          </w:p>
          <w:p w14:paraId="08874995" w14:textId="77777777" w:rsidR="00FC3E67" w:rsidRPr="00F242DD" w:rsidRDefault="00FC3E67" w:rsidP="00092917">
            <w:pPr>
              <w:spacing w:before="0" w:after="0"/>
              <w:jc w:val="left"/>
              <w:rPr>
                <w:rFonts w:eastAsia="Times New Roman"/>
                <w:iCs/>
              </w:rPr>
            </w:pPr>
            <w:r w:rsidRPr="00F242DD">
              <w:rPr>
                <w:rFonts w:eastAsia="Times New Roman"/>
                <w:iCs/>
              </w:rPr>
              <w:lastRenderedPageBreak/>
              <w:t>дни: 1,</w:t>
            </w:r>
            <w:r w:rsidR="00655135" w:rsidRPr="00F242DD">
              <w:rPr>
                <w:rFonts w:eastAsia="Times New Roman"/>
                <w:iCs/>
              </w:rPr>
              <w:t xml:space="preserve"> </w:t>
            </w:r>
            <w:r w:rsidRPr="00F242DD">
              <w:rPr>
                <w:rFonts w:eastAsia="Times New Roman"/>
                <w:iCs/>
              </w:rPr>
              <w:t>8,</w:t>
            </w:r>
            <w:r w:rsidR="00655135" w:rsidRPr="00F242DD">
              <w:rPr>
                <w:rFonts w:eastAsia="Times New Roman"/>
                <w:iCs/>
              </w:rPr>
              <w:t xml:space="preserve"> </w:t>
            </w:r>
            <w:r w:rsidRPr="00F242DD">
              <w:rPr>
                <w:rFonts w:eastAsia="Times New Roman"/>
                <w:iCs/>
              </w:rPr>
              <w:t>15,</w:t>
            </w:r>
            <w:r w:rsidR="00655135" w:rsidRPr="00F242DD">
              <w:rPr>
                <w:rFonts w:eastAsia="Times New Roman"/>
                <w:iCs/>
              </w:rPr>
              <w:t xml:space="preserve"> </w:t>
            </w:r>
            <w:r w:rsidRPr="00F242DD">
              <w:rPr>
                <w:rFonts w:eastAsia="Times New Roman"/>
                <w:iCs/>
              </w:rPr>
              <w:t>22</w:t>
            </w:r>
            <w:r w:rsidR="00655135" w:rsidRPr="00F242DD">
              <w:rPr>
                <w:rFonts w:eastAsia="Times New Roman"/>
                <w:iCs/>
              </w:rPr>
              <w:t>-й</w:t>
            </w:r>
            <w:r w:rsidRPr="00F242DD">
              <w:rPr>
                <w:rFonts w:eastAsia="Times New Roman"/>
                <w:iCs/>
              </w:rPr>
              <w:t xml:space="preserve"> каждые 5 нед</w:t>
            </w:r>
          </w:p>
        </w:tc>
        <w:tc>
          <w:tcPr>
            <w:tcW w:w="2221" w:type="dxa"/>
            <w:tcBorders>
              <w:left w:val="single" w:sz="4" w:space="0" w:color="000000"/>
              <w:bottom w:val="single" w:sz="4" w:space="0" w:color="000000"/>
              <w:right w:val="single" w:sz="4" w:space="0" w:color="000000"/>
            </w:tcBorders>
            <w:shd w:val="clear" w:color="auto" w:fill="auto"/>
          </w:tcPr>
          <w:p w14:paraId="491E8ACE" w14:textId="77777777" w:rsidR="00FC3E67" w:rsidRPr="00F242DD" w:rsidRDefault="00FC3E67" w:rsidP="00092917">
            <w:pPr>
              <w:snapToGrid w:val="0"/>
              <w:spacing w:before="0" w:after="0"/>
              <w:jc w:val="left"/>
              <w:rPr>
                <w:rFonts w:eastAsia="Times New Roman"/>
                <w:iCs/>
              </w:rPr>
            </w:pPr>
            <w:r w:rsidRPr="00F242DD">
              <w:rPr>
                <w:rFonts w:eastAsia="Times New Roman"/>
                <w:iCs/>
              </w:rPr>
              <w:lastRenderedPageBreak/>
              <w:t>1,0 мг/м</w:t>
            </w:r>
            <w:r w:rsidRPr="00F242DD">
              <w:rPr>
                <w:rFonts w:eastAsia="Times New Roman"/>
                <w:iCs/>
                <w:vertAlign w:val="superscript"/>
              </w:rPr>
              <w:t>2</w:t>
            </w:r>
            <w:r w:rsidRPr="00F242DD">
              <w:rPr>
                <w:rFonts w:eastAsia="Times New Roman"/>
                <w:iCs/>
              </w:rPr>
              <w:t xml:space="preserve"> 1 раз в неделю </w:t>
            </w:r>
          </w:p>
          <w:p w14:paraId="33BFEB16" w14:textId="77777777" w:rsidR="00FC3E67" w:rsidRPr="00F242DD" w:rsidRDefault="00FC3E67" w:rsidP="00092917">
            <w:pPr>
              <w:spacing w:before="0" w:after="0"/>
              <w:jc w:val="left"/>
              <w:rPr>
                <w:rFonts w:eastAsia="Times New Roman"/>
              </w:rPr>
            </w:pPr>
            <w:r w:rsidRPr="00F242DD">
              <w:rPr>
                <w:rFonts w:eastAsia="Times New Roman"/>
                <w:iCs/>
              </w:rPr>
              <w:lastRenderedPageBreak/>
              <w:t>дни: 1,</w:t>
            </w:r>
            <w:r w:rsidR="00655135" w:rsidRPr="00F242DD">
              <w:rPr>
                <w:rFonts w:eastAsia="Times New Roman"/>
                <w:iCs/>
              </w:rPr>
              <w:t xml:space="preserve"> </w:t>
            </w:r>
            <w:r w:rsidRPr="00F242DD">
              <w:rPr>
                <w:rFonts w:eastAsia="Times New Roman"/>
                <w:iCs/>
              </w:rPr>
              <w:t>8,</w:t>
            </w:r>
            <w:r w:rsidR="00655135" w:rsidRPr="00F242DD">
              <w:rPr>
                <w:rFonts w:eastAsia="Times New Roman"/>
                <w:iCs/>
              </w:rPr>
              <w:t xml:space="preserve"> </w:t>
            </w:r>
            <w:r w:rsidRPr="00F242DD">
              <w:rPr>
                <w:rFonts w:eastAsia="Times New Roman"/>
                <w:iCs/>
              </w:rPr>
              <w:t>15,</w:t>
            </w:r>
            <w:r w:rsidR="00655135" w:rsidRPr="00F242DD">
              <w:rPr>
                <w:rFonts w:eastAsia="Times New Roman"/>
                <w:iCs/>
              </w:rPr>
              <w:t xml:space="preserve"> </w:t>
            </w:r>
            <w:r w:rsidRPr="00F242DD">
              <w:rPr>
                <w:rFonts w:eastAsia="Times New Roman"/>
                <w:iCs/>
              </w:rPr>
              <w:t>22</w:t>
            </w:r>
            <w:r w:rsidR="00655135" w:rsidRPr="00F242DD">
              <w:rPr>
                <w:rFonts w:eastAsia="Times New Roman"/>
                <w:iCs/>
              </w:rPr>
              <w:t>-й</w:t>
            </w:r>
            <w:r w:rsidRPr="00F242DD">
              <w:rPr>
                <w:rFonts w:eastAsia="Times New Roman"/>
                <w:iCs/>
              </w:rPr>
              <w:t xml:space="preserve"> каждые 5 нед</w:t>
            </w:r>
          </w:p>
        </w:tc>
      </w:tr>
      <w:tr w:rsidR="00FC3E67" w:rsidRPr="00F242DD" w14:paraId="56016680" w14:textId="77777777" w:rsidTr="00AC398A">
        <w:tc>
          <w:tcPr>
            <w:tcW w:w="2268" w:type="dxa"/>
            <w:tcBorders>
              <w:left w:val="single" w:sz="4" w:space="0" w:color="000000"/>
              <w:bottom w:val="single" w:sz="4" w:space="0" w:color="000000"/>
            </w:tcBorders>
            <w:shd w:val="clear" w:color="auto" w:fill="auto"/>
          </w:tcPr>
          <w:p w14:paraId="7A388DC2" w14:textId="46390C21" w:rsidR="00FC3E67" w:rsidRPr="00F242DD" w:rsidRDefault="00FC3E67" w:rsidP="00092917">
            <w:pPr>
              <w:snapToGrid w:val="0"/>
              <w:spacing w:before="0" w:after="0"/>
              <w:rPr>
                <w:rFonts w:eastAsia="Times New Roman"/>
              </w:rPr>
            </w:pPr>
            <w:r w:rsidRPr="00F242DD">
              <w:rPr>
                <w:rFonts w:eastAsia="Times New Roman"/>
              </w:rPr>
              <w:lastRenderedPageBreak/>
              <w:t>Л</w:t>
            </w:r>
            <w:r w:rsidRPr="00F242DD">
              <w:rPr>
                <w:rFonts w:eastAsia="Times New Roman"/>
                <w:lang w:val="en-US"/>
              </w:rPr>
              <w:t>еналидомид</w:t>
            </w:r>
            <w:r w:rsidR="007E7259" w:rsidRPr="00F242DD">
              <w:rPr>
                <w:rFonts w:eastAsia="Times New Roman"/>
              </w:rPr>
              <w:t>*</w:t>
            </w:r>
            <w:r w:rsidR="00846DD8" w:rsidRPr="00F242DD">
              <w:rPr>
                <w:rFonts w:eastAsia="Times New Roman"/>
              </w:rPr>
              <w:t>* (</w:t>
            </w:r>
            <w:r w:rsidRPr="00F242DD">
              <w:rPr>
                <w:rFonts w:eastAsia="Times New Roman"/>
              </w:rPr>
              <w:t>с дексаметазоном</w:t>
            </w:r>
            <w:r w:rsidR="007E7259" w:rsidRPr="00F242DD">
              <w:rPr>
                <w:rFonts w:eastAsia="Times New Roman"/>
              </w:rPr>
              <w:t>**</w:t>
            </w:r>
            <w:r w:rsidRPr="00F242DD">
              <w:rPr>
                <w:rFonts w:eastAsia="Times New Roman"/>
              </w:rPr>
              <w:t>)</w:t>
            </w:r>
          </w:p>
        </w:tc>
        <w:tc>
          <w:tcPr>
            <w:tcW w:w="1985" w:type="dxa"/>
            <w:tcBorders>
              <w:left w:val="single" w:sz="4" w:space="0" w:color="000000"/>
              <w:bottom w:val="single" w:sz="4" w:space="0" w:color="000000"/>
            </w:tcBorders>
            <w:shd w:val="clear" w:color="auto" w:fill="auto"/>
          </w:tcPr>
          <w:p w14:paraId="66A34562" w14:textId="77777777" w:rsidR="00FC3E67" w:rsidRPr="00F242DD" w:rsidRDefault="00FC3E67" w:rsidP="00092917">
            <w:pPr>
              <w:snapToGrid w:val="0"/>
              <w:spacing w:before="0" w:after="0"/>
              <w:jc w:val="left"/>
              <w:rPr>
                <w:rFonts w:eastAsia="Times New Roman"/>
              </w:rPr>
            </w:pPr>
            <w:r w:rsidRPr="00F242DD">
              <w:rPr>
                <w:rFonts w:eastAsia="Times New Roman"/>
              </w:rPr>
              <w:t>25 мг</w:t>
            </w:r>
            <w:r w:rsidR="0094530A" w:rsidRPr="00F242DD">
              <w:rPr>
                <w:rFonts w:eastAsia="Times New Roman"/>
              </w:rPr>
              <w:t xml:space="preserve"> в день</w:t>
            </w:r>
          </w:p>
          <w:p w14:paraId="20A9AED3" w14:textId="77777777" w:rsidR="00FC3E67" w:rsidRPr="00F242DD" w:rsidRDefault="00FC3E67" w:rsidP="00092917">
            <w:pPr>
              <w:spacing w:before="0" w:after="0"/>
              <w:jc w:val="left"/>
              <w:rPr>
                <w:rFonts w:eastAsia="Times New Roman"/>
              </w:rPr>
            </w:pPr>
            <w:r w:rsidRPr="00F242DD">
              <w:rPr>
                <w:rFonts w:eastAsia="Times New Roman"/>
              </w:rPr>
              <w:t>дни: 1</w:t>
            </w:r>
            <w:r w:rsidR="00655135" w:rsidRPr="00F242DD">
              <w:rPr>
                <w:rFonts w:eastAsia="Times New Roman"/>
              </w:rPr>
              <w:t>−</w:t>
            </w:r>
            <w:r w:rsidRPr="00F242DD">
              <w:rPr>
                <w:rFonts w:eastAsia="Times New Roman"/>
              </w:rPr>
              <w:t>21</w:t>
            </w:r>
            <w:r w:rsidR="00655135" w:rsidRPr="00F242DD">
              <w:rPr>
                <w:rFonts w:eastAsia="Times New Roman"/>
              </w:rPr>
              <w:t>-й</w:t>
            </w:r>
            <w:r w:rsidRPr="00F242DD">
              <w:rPr>
                <w:rFonts w:eastAsia="Times New Roman"/>
              </w:rPr>
              <w:t xml:space="preserve"> </w:t>
            </w:r>
          </w:p>
          <w:p w14:paraId="28A48F8C" w14:textId="77777777" w:rsidR="00FC3E67" w:rsidRPr="00F242DD" w:rsidRDefault="00FC3E67" w:rsidP="00092917">
            <w:pPr>
              <w:spacing w:before="0" w:after="0"/>
              <w:jc w:val="left"/>
              <w:rPr>
                <w:rFonts w:eastAsia="Times New Roman"/>
              </w:rPr>
            </w:pPr>
            <w:r w:rsidRPr="00F242DD">
              <w:rPr>
                <w:rFonts w:eastAsia="Times New Roman"/>
              </w:rPr>
              <w:t>каждые 4 нед</w:t>
            </w:r>
          </w:p>
        </w:tc>
        <w:tc>
          <w:tcPr>
            <w:tcW w:w="2126" w:type="dxa"/>
            <w:tcBorders>
              <w:left w:val="single" w:sz="4" w:space="0" w:color="000000"/>
              <w:bottom w:val="single" w:sz="4" w:space="0" w:color="000000"/>
            </w:tcBorders>
            <w:shd w:val="clear" w:color="auto" w:fill="auto"/>
          </w:tcPr>
          <w:p w14:paraId="4C23BEDB" w14:textId="77777777" w:rsidR="00FC3E67" w:rsidRPr="00F242DD" w:rsidRDefault="00FC3E67" w:rsidP="00092917">
            <w:pPr>
              <w:snapToGrid w:val="0"/>
              <w:spacing w:before="0" w:after="0"/>
              <w:jc w:val="left"/>
              <w:rPr>
                <w:rFonts w:eastAsia="Times New Roman"/>
              </w:rPr>
            </w:pPr>
            <w:r w:rsidRPr="00F242DD">
              <w:rPr>
                <w:rFonts w:eastAsia="Times New Roman"/>
              </w:rPr>
              <w:t>15 мг</w:t>
            </w:r>
            <w:r w:rsidR="0094530A" w:rsidRPr="00F242DD">
              <w:rPr>
                <w:rFonts w:eastAsia="Times New Roman"/>
              </w:rPr>
              <w:t xml:space="preserve"> в день</w:t>
            </w:r>
          </w:p>
          <w:p w14:paraId="125DBEF6" w14:textId="77777777" w:rsidR="00FC3E67" w:rsidRPr="00F242DD" w:rsidRDefault="00FC3E67" w:rsidP="00092917">
            <w:pPr>
              <w:spacing w:before="0" w:after="0"/>
              <w:jc w:val="left"/>
              <w:rPr>
                <w:rFonts w:eastAsia="Times New Roman"/>
              </w:rPr>
            </w:pPr>
            <w:r w:rsidRPr="00F242DD">
              <w:rPr>
                <w:rFonts w:eastAsia="Times New Roman"/>
              </w:rPr>
              <w:t>дни: 1</w:t>
            </w:r>
            <w:r w:rsidR="00655135" w:rsidRPr="00F242DD">
              <w:rPr>
                <w:rFonts w:eastAsia="Times New Roman"/>
              </w:rPr>
              <w:t>−</w:t>
            </w:r>
            <w:r w:rsidRPr="00F242DD">
              <w:rPr>
                <w:rFonts w:eastAsia="Times New Roman"/>
              </w:rPr>
              <w:t>21</w:t>
            </w:r>
            <w:r w:rsidR="00655135" w:rsidRPr="00F242DD">
              <w:rPr>
                <w:rFonts w:eastAsia="Times New Roman"/>
              </w:rPr>
              <w:t>-й</w:t>
            </w:r>
            <w:r w:rsidRPr="00F242DD">
              <w:rPr>
                <w:rFonts w:eastAsia="Times New Roman"/>
              </w:rPr>
              <w:t xml:space="preserve"> </w:t>
            </w:r>
          </w:p>
          <w:p w14:paraId="3173B052" w14:textId="77777777" w:rsidR="00FC3E67" w:rsidRPr="00F242DD" w:rsidRDefault="00FC3E67" w:rsidP="00092917">
            <w:pPr>
              <w:spacing w:before="0" w:after="0"/>
              <w:jc w:val="left"/>
              <w:rPr>
                <w:rFonts w:eastAsia="Times New Roman"/>
              </w:rPr>
            </w:pPr>
            <w:r w:rsidRPr="00F242DD">
              <w:rPr>
                <w:rFonts w:eastAsia="Times New Roman"/>
              </w:rPr>
              <w:t>каждые 4 нед</w:t>
            </w:r>
          </w:p>
        </w:tc>
        <w:tc>
          <w:tcPr>
            <w:tcW w:w="2221" w:type="dxa"/>
            <w:tcBorders>
              <w:left w:val="single" w:sz="4" w:space="0" w:color="000000"/>
              <w:bottom w:val="single" w:sz="4" w:space="0" w:color="000000"/>
              <w:right w:val="single" w:sz="4" w:space="0" w:color="000000"/>
            </w:tcBorders>
            <w:shd w:val="clear" w:color="auto" w:fill="auto"/>
          </w:tcPr>
          <w:p w14:paraId="3E40022C" w14:textId="77777777" w:rsidR="00FC3E67" w:rsidRPr="00F242DD" w:rsidRDefault="00FC3E67" w:rsidP="00092917">
            <w:pPr>
              <w:snapToGrid w:val="0"/>
              <w:spacing w:before="0" w:after="0"/>
              <w:jc w:val="left"/>
              <w:rPr>
                <w:rFonts w:eastAsia="Times New Roman"/>
              </w:rPr>
            </w:pPr>
            <w:r w:rsidRPr="00F242DD">
              <w:rPr>
                <w:rFonts w:eastAsia="Times New Roman"/>
              </w:rPr>
              <w:t>10 мг</w:t>
            </w:r>
            <w:r w:rsidR="0094530A" w:rsidRPr="00F242DD">
              <w:rPr>
                <w:rFonts w:eastAsia="Times New Roman"/>
              </w:rPr>
              <w:t xml:space="preserve"> в день</w:t>
            </w:r>
          </w:p>
          <w:p w14:paraId="38A0174B" w14:textId="77777777" w:rsidR="00FC3E67" w:rsidRPr="00F242DD" w:rsidRDefault="00FC3E67" w:rsidP="00092917">
            <w:pPr>
              <w:spacing w:before="0" w:after="0"/>
              <w:jc w:val="left"/>
              <w:rPr>
                <w:rFonts w:eastAsia="Times New Roman"/>
              </w:rPr>
            </w:pPr>
            <w:r w:rsidRPr="00F242DD">
              <w:rPr>
                <w:rFonts w:eastAsia="Times New Roman"/>
              </w:rPr>
              <w:t>дни: 1</w:t>
            </w:r>
            <w:r w:rsidR="00655135" w:rsidRPr="00F242DD">
              <w:rPr>
                <w:rFonts w:eastAsia="Times New Roman"/>
              </w:rPr>
              <w:t>−21-й</w:t>
            </w:r>
          </w:p>
          <w:p w14:paraId="70AA72C2" w14:textId="77777777" w:rsidR="00FC3E67" w:rsidRPr="00F242DD" w:rsidRDefault="00FC3E67" w:rsidP="00092917">
            <w:pPr>
              <w:spacing w:before="0" w:after="0"/>
              <w:jc w:val="left"/>
              <w:rPr>
                <w:rFonts w:eastAsia="Times New Roman"/>
              </w:rPr>
            </w:pPr>
            <w:r w:rsidRPr="00F242DD">
              <w:rPr>
                <w:rFonts w:eastAsia="Times New Roman"/>
              </w:rPr>
              <w:t>каждые 4 нед</w:t>
            </w:r>
          </w:p>
        </w:tc>
      </w:tr>
      <w:tr w:rsidR="00FC3E67" w:rsidRPr="00F242DD" w14:paraId="5050F69E" w14:textId="77777777" w:rsidTr="00AC398A">
        <w:tc>
          <w:tcPr>
            <w:tcW w:w="2268" w:type="dxa"/>
            <w:tcBorders>
              <w:top w:val="single" w:sz="4" w:space="0" w:color="000000"/>
              <w:left w:val="single" w:sz="4" w:space="0" w:color="000000"/>
              <w:bottom w:val="single" w:sz="4" w:space="0" w:color="000000"/>
            </w:tcBorders>
            <w:shd w:val="clear" w:color="auto" w:fill="auto"/>
          </w:tcPr>
          <w:p w14:paraId="0EC6173E" w14:textId="77777777" w:rsidR="00FC3E67" w:rsidRPr="00F242DD" w:rsidRDefault="00FC3E67" w:rsidP="00092917">
            <w:pPr>
              <w:snapToGrid w:val="0"/>
              <w:spacing w:before="0" w:after="0"/>
              <w:rPr>
                <w:rFonts w:eastAsia="Times New Roman"/>
              </w:rPr>
            </w:pPr>
            <w:r w:rsidRPr="00F242DD">
              <w:rPr>
                <w:rFonts w:eastAsia="Times New Roman"/>
                <w:lang w:val="en-US"/>
              </w:rPr>
              <w:t>Дексаметазон</w:t>
            </w:r>
            <w:r w:rsidR="007E7259" w:rsidRPr="00F242DD">
              <w:rPr>
                <w:rFonts w:eastAsia="Times New Roman"/>
              </w:rPr>
              <w:t>**</w:t>
            </w:r>
          </w:p>
        </w:tc>
        <w:tc>
          <w:tcPr>
            <w:tcW w:w="1985" w:type="dxa"/>
            <w:tcBorders>
              <w:top w:val="single" w:sz="4" w:space="0" w:color="000000"/>
              <w:left w:val="single" w:sz="4" w:space="0" w:color="000000"/>
              <w:bottom w:val="single" w:sz="4" w:space="0" w:color="000000"/>
            </w:tcBorders>
            <w:shd w:val="clear" w:color="auto" w:fill="auto"/>
          </w:tcPr>
          <w:p w14:paraId="607657B9" w14:textId="77777777" w:rsidR="00FC3E67" w:rsidRPr="00F242DD" w:rsidRDefault="00FC3E67" w:rsidP="00092917">
            <w:pPr>
              <w:snapToGrid w:val="0"/>
              <w:spacing w:before="0" w:after="0"/>
              <w:jc w:val="left"/>
              <w:rPr>
                <w:rFonts w:eastAsia="Times New Roman"/>
              </w:rPr>
            </w:pPr>
            <w:r w:rsidRPr="00F242DD">
              <w:rPr>
                <w:rFonts w:eastAsia="Times New Roman"/>
              </w:rPr>
              <w:t>40 мг</w:t>
            </w:r>
            <w:r w:rsidR="0094530A" w:rsidRPr="00F242DD">
              <w:rPr>
                <w:rFonts w:eastAsia="Times New Roman"/>
              </w:rPr>
              <w:t xml:space="preserve"> в день</w:t>
            </w:r>
          </w:p>
          <w:p w14:paraId="371048DF" w14:textId="77777777" w:rsidR="00FC3E67" w:rsidRPr="00F242DD" w:rsidRDefault="00FC3E67" w:rsidP="00092917">
            <w:pPr>
              <w:spacing w:before="0" w:after="0"/>
              <w:jc w:val="left"/>
              <w:rPr>
                <w:rFonts w:eastAsia="Times New Roman"/>
              </w:rPr>
            </w:pPr>
            <w:r w:rsidRPr="00F242DD">
              <w:rPr>
                <w:rFonts w:eastAsia="Times New Roman"/>
              </w:rPr>
              <w:t>дни: 1,</w:t>
            </w:r>
            <w:r w:rsidR="00655135" w:rsidRPr="00F242DD">
              <w:rPr>
                <w:rFonts w:eastAsia="Times New Roman"/>
              </w:rPr>
              <w:t xml:space="preserve"> </w:t>
            </w:r>
            <w:r w:rsidRPr="00F242DD">
              <w:rPr>
                <w:rFonts w:eastAsia="Times New Roman"/>
              </w:rPr>
              <w:t>8,</w:t>
            </w:r>
            <w:r w:rsidR="00655135" w:rsidRPr="00F242DD">
              <w:rPr>
                <w:rFonts w:eastAsia="Times New Roman"/>
              </w:rPr>
              <w:t xml:space="preserve"> </w:t>
            </w:r>
            <w:r w:rsidRPr="00F242DD">
              <w:rPr>
                <w:rFonts w:eastAsia="Times New Roman"/>
              </w:rPr>
              <w:t>15,</w:t>
            </w:r>
            <w:r w:rsidR="00655135" w:rsidRPr="00F242DD">
              <w:rPr>
                <w:rFonts w:eastAsia="Times New Roman"/>
              </w:rPr>
              <w:t xml:space="preserve"> </w:t>
            </w:r>
            <w:r w:rsidRPr="00F242DD">
              <w:rPr>
                <w:rFonts w:eastAsia="Times New Roman"/>
              </w:rPr>
              <w:t>22</w:t>
            </w:r>
            <w:r w:rsidR="00655135" w:rsidRPr="00F242DD">
              <w:rPr>
                <w:rFonts w:eastAsia="Times New Roman"/>
              </w:rPr>
              <w:t>-й</w:t>
            </w:r>
            <w:r w:rsidRPr="00F242DD">
              <w:rPr>
                <w:rFonts w:eastAsia="Times New Roman"/>
              </w:rPr>
              <w:t xml:space="preserve"> каждые 4 нед </w:t>
            </w:r>
          </w:p>
        </w:tc>
        <w:tc>
          <w:tcPr>
            <w:tcW w:w="2126" w:type="dxa"/>
            <w:tcBorders>
              <w:top w:val="single" w:sz="4" w:space="0" w:color="000000"/>
              <w:left w:val="single" w:sz="4" w:space="0" w:color="000000"/>
              <w:bottom w:val="single" w:sz="4" w:space="0" w:color="000000"/>
            </w:tcBorders>
            <w:shd w:val="clear" w:color="auto" w:fill="auto"/>
          </w:tcPr>
          <w:p w14:paraId="06C865BD" w14:textId="77777777" w:rsidR="00FC3E67" w:rsidRPr="00F242DD" w:rsidRDefault="00FC3E67" w:rsidP="00092917">
            <w:pPr>
              <w:snapToGrid w:val="0"/>
              <w:spacing w:before="0" w:after="0"/>
              <w:jc w:val="left"/>
              <w:rPr>
                <w:rFonts w:eastAsia="Times New Roman"/>
              </w:rPr>
            </w:pPr>
            <w:r w:rsidRPr="00F242DD">
              <w:rPr>
                <w:rFonts w:eastAsia="Times New Roman"/>
              </w:rPr>
              <w:t>20 мг</w:t>
            </w:r>
            <w:r w:rsidR="0094530A" w:rsidRPr="00F242DD">
              <w:rPr>
                <w:rFonts w:eastAsia="Times New Roman"/>
              </w:rPr>
              <w:t xml:space="preserve"> в день</w:t>
            </w:r>
          </w:p>
          <w:p w14:paraId="50F3A527" w14:textId="77777777" w:rsidR="00FC3E67" w:rsidRPr="00F242DD" w:rsidRDefault="00FC3E67" w:rsidP="00092917">
            <w:pPr>
              <w:spacing w:before="0" w:after="0"/>
              <w:jc w:val="left"/>
              <w:rPr>
                <w:rFonts w:eastAsia="Times New Roman"/>
              </w:rPr>
            </w:pPr>
            <w:r w:rsidRPr="00F242DD">
              <w:rPr>
                <w:rFonts w:eastAsia="Times New Roman"/>
              </w:rPr>
              <w:t>дни: 1,</w:t>
            </w:r>
            <w:r w:rsidR="00EC0B58" w:rsidRPr="00F242DD">
              <w:rPr>
                <w:rFonts w:eastAsia="Times New Roman"/>
              </w:rPr>
              <w:t xml:space="preserve"> </w:t>
            </w:r>
            <w:r w:rsidRPr="00F242DD">
              <w:rPr>
                <w:rFonts w:eastAsia="Times New Roman"/>
              </w:rPr>
              <w:t>8,</w:t>
            </w:r>
            <w:r w:rsidR="00EC0B58" w:rsidRPr="00F242DD">
              <w:rPr>
                <w:rFonts w:eastAsia="Times New Roman"/>
              </w:rPr>
              <w:t xml:space="preserve"> </w:t>
            </w:r>
            <w:r w:rsidRPr="00F242DD">
              <w:rPr>
                <w:rFonts w:eastAsia="Times New Roman"/>
              </w:rPr>
              <w:t>15,</w:t>
            </w:r>
            <w:r w:rsidR="00EC0B58" w:rsidRPr="00F242DD">
              <w:rPr>
                <w:rFonts w:eastAsia="Times New Roman"/>
              </w:rPr>
              <w:t xml:space="preserve"> 22-й </w:t>
            </w:r>
            <w:r w:rsidRPr="00F242DD">
              <w:rPr>
                <w:rFonts w:eastAsia="Times New Roman"/>
              </w:rPr>
              <w:t>каждые 4 нед</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14:paraId="2E13AA6D" w14:textId="77777777" w:rsidR="00FC3E67" w:rsidRPr="00F242DD" w:rsidRDefault="00FC3E67" w:rsidP="00092917">
            <w:pPr>
              <w:snapToGrid w:val="0"/>
              <w:spacing w:before="0" w:after="0"/>
              <w:jc w:val="left"/>
              <w:rPr>
                <w:rFonts w:eastAsia="Times New Roman"/>
              </w:rPr>
            </w:pPr>
            <w:r w:rsidRPr="00F242DD">
              <w:rPr>
                <w:rFonts w:eastAsia="Times New Roman"/>
              </w:rPr>
              <w:t>10 мг</w:t>
            </w:r>
            <w:r w:rsidR="0094530A" w:rsidRPr="00F242DD">
              <w:rPr>
                <w:rFonts w:eastAsia="Times New Roman"/>
              </w:rPr>
              <w:t xml:space="preserve"> в день</w:t>
            </w:r>
          </w:p>
          <w:p w14:paraId="437DE898" w14:textId="77777777" w:rsidR="00FC3E67" w:rsidRPr="00F242DD" w:rsidRDefault="00FC3E67" w:rsidP="00092917">
            <w:pPr>
              <w:spacing w:before="0" w:after="0"/>
              <w:jc w:val="left"/>
              <w:rPr>
                <w:rFonts w:eastAsia="Times New Roman"/>
              </w:rPr>
            </w:pPr>
            <w:r w:rsidRPr="00F242DD">
              <w:rPr>
                <w:rFonts w:eastAsia="Times New Roman"/>
              </w:rPr>
              <w:t>дни: 1,</w:t>
            </w:r>
            <w:r w:rsidR="00EC0B58" w:rsidRPr="00F242DD">
              <w:rPr>
                <w:rFonts w:eastAsia="Times New Roman"/>
              </w:rPr>
              <w:t xml:space="preserve"> </w:t>
            </w:r>
            <w:r w:rsidRPr="00F242DD">
              <w:rPr>
                <w:rFonts w:eastAsia="Times New Roman"/>
              </w:rPr>
              <w:t>8,</w:t>
            </w:r>
            <w:r w:rsidR="00EC0B58" w:rsidRPr="00F242DD">
              <w:rPr>
                <w:rFonts w:eastAsia="Times New Roman"/>
              </w:rPr>
              <w:t xml:space="preserve"> </w:t>
            </w:r>
            <w:r w:rsidRPr="00F242DD">
              <w:rPr>
                <w:rFonts w:eastAsia="Times New Roman"/>
              </w:rPr>
              <w:t>15,</w:t>
            </w:r>
            <w:r w:rsidR="00EC0B58" w:rsidRPr="00F242DD">
              <w:rPr>
                <w:rFonts w:eastAsia="Times New Roman"/>
              </w:rPr>
              <w:t xml:space="preserve"> </w:t>
            </w:r>
            <w:r w:rsidRPr="00F242DD">
              <w:rPr>
                <w:rFonts w:eastAsia="Times New Roman"/>
              </w:rPr>
              <w:t>22</w:t>
            </w:r>
            <w:r w:rsidR="00EC0B58" w:rsidRPr="00F242DD">
              <w:rPr>
                <w:rFonts w:eastAsia="Times New Roman"/>
              </w:rPr>
              <w:t>-й</w:t>
            </w:r>
            <w:r w:rsidRPr="00F242DD">
              <w:rPr>
                <w:rFonts w:eastAsia="Times New Roman"/>
              </w:rPr>
              <w:t xml:space="preserve"> каждые 4 нед</w:t>
            </w:r>
          </w:p>
        </w:tc>
      </w:tr>
      <w:tr w:rsidR="00FC3E67" w:rsidRPr="00F242DD" w14:paraId="7814B92F" w14:textId="77777777" w:rsidTr="00AC398A">
        <w:tc>
          <w:tcPr>
            <w:tcW w:w="2268" w:type="dxa"/>
            <w:tcBorders>
              <w:top w:val="single" w:sz="4" w:space="0" w:color="000000"/>
              <w:left w:val="single" w:sz="4" w:space="0" w:color="000000"/>
              <w:bottom w:val="single" w:sz="4" w:space="0" w:color="000000"/>
            </w:tcBorders>
            <w:shd w:val="clear" w:color="auto" w:fill="auto"/>
          </w:tcPr>
          <w:p w14:paraId="4D11FEB6" w14:textId="77777777" w:rsidR="00FC3E67" w:rsidRPr="00F242DD" w:rsidRDefault="00FC3E67" w:rsidP="00092917">
            <w:pPr>
              <w:snapToGrid w:val="0"/>
              <w:spacing w:before="0" w:after="0"/>
              <w:rPr>
                <w:rFonts w:eastAsia="Times New Roman"/>
                <w:iCs/>
              </w:rPr>
            </w:pPr>
            <w:r w:rsidRPr="00F242DD">
              <w:rPr>
                <w:rFonts w:eastAsia="Times New Roman"/>
                <w:lang w:val="en-US"/>
              </w:rPr>
              <w:t>Мелфалан</w:t>
            </w:r>
            <w:r w:rsidR="007E7259" w:rsidRPr="00F242DD">
              <w:rPr>
                <w:rFonts w:eastAsia="Times New Roman"/>
              </w:rPr>
              <w:t>**</w:t>
            </w:r>
          </w:p>
        </w:tc>
        <w:tc>
          <w:tcPr>
            <w:tcW w:w="1985" w:type="dxa"/>
            <w:tcBorders>
              <w:top w:val="single" w:sz="4" w:space="0" w:color="000000"/>
              <w:left w:val="single" w:sz="4" w:space="0" w:color="000000"/>
              <w:bottom w:val="single" w:sz="4" w:space="0" w:color="000000"/>
            </w:tcBorders>
            <w:shd w:val="clear" w:color="auto" w:fill="auto"/>
          </w:tcPr>
          <w:p w14:paraId="46657ADC" w14:textId="77777777" w:rsidR="00FC3E67" w:rsidRPr="00F242DD" w:rsidRDefault="00FC3E67" w:rsidP="00092917">
            <w:pPr>
              <w:shd w:val="clear" w:color="auto" w:fill="FFFFFF"/>
              <w:snapToGrid w:val="0"/>
              <w:spacing w:before="0" w:after="0"/>
              <w:jc w:val="left"/>
              <w:rPr>
                <w:rFonts w:eastAsia="Times New Roman"/>
                <w:iCs/>
              </w:rPr>
            </w:pPr>
            <w:r w:rsidRPr="00F242DD">
              <w:rPr>
                <w:rFonts w:eastAsia="Times New Roman"/>
                <w:iCs/>
              </w:rPr>
              <w:t xml:space="preserve"> 0,25 мг/кг или 9 мг/м</w:t>
            </w:r>
            <w:r w:rsidRPr="00F242DD">
              <w:rPr>
                <w:rFonts w:eastAsia="Times New Roman"/>
                <w:iCs/>
                <w:vertAlign w:val="superscript"/>
              </w:rPr>
              <w:t>2</w:t>
            </w:r>
          </w:p>
          <w:p w14:paraId="3E273598" w14:textId="77777777" w:rsidR="00FC3E67" w:rsidRPr="00F242DD" w:rsidRDefault="00FC3E67" w:rsidP="00092917">
            <w:pPr>
              <w:shd w:val="clear" w:color="auto" w:fill="FFFFFF"/>
              <w:snapToGrid w:val="0"/>
              <w:spacing w:before="0" w:after="0"/>
              <w:jc w:val="left"/>
              <w:rPr>
                <w:rFonts w:eastAsia="Times New Roman"/>
                <w:iCs/>
              </w:rPr>
            </w:pPr>
            <w:r w:rsidRPr="00F242DD">
              <w:rPr>
                <w:rFonts w:eastAsia="Times New Roman"/>
                <w:iCs/>
              </w:rPr>
              <w:t>дни: 1</w:t>
            </w:r>
            <w:r w:rsidR="00EC0B58" w:rsidRPr="00F242DD">
              <w:rPr>
                <w:rFonts w:eastAsia="Times New Roman"/>
                <w:iCs/>
              </w:rPr>
              <w:t>−</w:t>
            </w:r>
            <w:r w:rsidRPr="00F242DD">
              <w:rPr>
                <w:rFonts w:eastAsia="Times New Roman"/>
                <w:iCs/>
              </w:rPr>
              <w:t>4</w:t>
            </w:r>
            <w:r w:rsidR="00EC0B58" w:rsidRPr="00F242DD">
              <w:rPr>
                <w:rFonts w:eastAsia="Times New Roman"/>
                <w:iCs/>
              </w:rPr>
              <w:t>-й</w:t>
            </w:r>
            <w:r w:rsidRPr="00F242DD">
              <w:rPr>
                <w:rFonts w:eastAsia="Times New Roman"/>
                <w:iCs/>
              </w:rPr>
              <w:t xml:space="preserve"> </w:t>
            </w:r>
          </w:p>
          <w:p w14:paraId="013FE2BC" w14:textId="77777777" w:rsidR="00FC3E67" w:rsidRPr="00F242DD" w:rsidRDefault="00FC3E67" w:rsidP="00092917">
            <w:pPr>
              <w:shd w:val="clear" w:color="auto" w:fill="FFFFFF"/>
              <w:snapToGrid w:val="0"/>
              <w:spacing w:before="0" w:after="0"/>
              <w:jc w:val="left"/>
              <w:rPr>
                <w:rFonts w:eastAsia="Times New Roman"/>
              </w:rPr>
            </w:pPr>
            <w:r w:rsidRPr="00F242DD">
              <w:rPr>
                <w:rFonts w:eastAsia="Times New Roman"/>
                <w:iCs/>
              </w:rPr>
              <w:t>каждые 4</w:t>
            </w:r>
            <w:r w:rsidR="00EC0B58" w:rsidRPr="00F242DD">
              <w:rPr>
                <w:rFonts w:eastAsia="Times New Roman"/>
                <w:iCs/>
              </w:rPr>
              <w:t>−</w:t>
            </w:r>
            <w:r w:rsidRPr="00F242DD">
              <w:rPr>
                <w:rFonts w:eastAsia="Times New Roman"/>
                <w:iCs/>
              </w:rPr>
              <w:t>6 нед</w:t>
            </w:r>
          </w:p>
        </w:tc>
        <w:tc>
          <w:tcPr>
            <w:tcW w:w="2126" w:type="dxa"/>
            <w:tcBorders>
              <w:top w:val="single" w:sz="4" w:space="0" w:color="000000"/>
              <w:left w:val="single" w:sz="4" w:space="0" w:color="000000"/>
              <w:bottom w:val="single" w:sz="4" w:space="0" w:color="000000"/>
            </w:tcBorders>
            <w:shd w:val="clear" w:color="auto" w:fill="auto"/>
          </w:tcPr>
          <w:p w14:paraId="0AEA09F6" w14:textId="77777777" w:rsidR="00FC3E67" w:rsidRPr="00F242DD" w:rsidRDefault="00FC3E67" w:rsidP="00092917">
            <w:pPr>
              <w:snapToGrid w:val="0"/>
              <w:spacing w:before="0" w:after="0"/>
              <w:jc w:val="left"/>
              <w:rPr>
                <w:rFonts w:eastAsia="Times New Roman"/>
              </w:rPr>
            </w:pPr>
            <w:r w:rsidRPr="00F242DD">
              <w:rPr>
                <w:rFonts w:eastAsia="Times New Roman"/>
              </w:rPr>
              <w:t>0,18 мг/кг или 7,5 мг/м</w:t>
            </w:r>
            <w:r w:rsidRPr="00F242DD">
              <w:rPr>
                <w:rFonts w:eastAsia="Times New Roman"/>
                <w:vertAlign w:val="superscript"/>
              </w:rPr>
              <w:t xml:space="preserve">2 </w:t>
            </w:r>
          </w:p>
          <w:p w14:paraId="4F8CD6AB" w14:textId="77777777" w:rsidR="00FC3E67" w:rsidRPr="00F242DD" w:rsidRDefault="00FC3E67" w:rsidP="00092917">
            <w:pPr>
              <w:spacing w:before="0" w:after="0"/>
              <w:jc w:val="left"/>
              <w:rPr>
                <w:rFonts w:eastAsia="Times New Roman"/>
              </w:rPr>
            </w:pPr>
            <w:r w:rsidRPr="00F242DD">
              <w:rPr>
                <w:rFonts w:eastAsia="Times New Roman"/>
              </w:rPr>
              <w:t>дни: 1</w:t>
            </w:r>
            <w:r w:rsidR="00EC0B58" w:rsidRPr="00F242DD">
              <w:rPr>
                <w:rFonts w:eastAsia="Times New Roman"/>
              </w:rPr>
              <w:t>−</w:t>
            </w:r>
            <w:r w:rsidRPr="00F242DD">
              <w:rPr>
                <w:rFonts w:eastAsia="Times New Roman"/>
              </w:rPr>
              <w:t>4</w:t>
            </w:r>
            <w:r w:rsidR="00EC0B58" w:rsidRPr="00F242DD">
              <w:rPr>
                <w:rFonts w:eastAsia="Times New Roman"/>
              </w:rPr>
              <w:t>-й</w:t>
            </w:r>
            <w:r w:rsidRPr="00F242DD">
              <w:rPr>
                <w:rFonts w:eastAsia="Times New Roman"/>
              </w:rPr>
              <w:t xml:space="preserve"> </w:t>
            </w:r>
          </w:p>
          <w:p w14:paraId="69143B38" w14:textId="77777777" w:rsidR="00FC3E67" w:rsidRPr="00F242DD" w:rsidRDefault="00FC3E67" w:rsidP="00092917">
            <w:pPr>
              <w:spacing w:before="0" w:after="0"/>
              <w:jc w:val="left"/>
              <w:rPr>
                <w:rFonts w:eastAsia="Times New Roman"/>
              </w:rPr>
            </w:pPr>
            <w:r w:rsidRPr="00F242DD">
              <w:rPr>
                <w:rFonts w:eastAsia="Times New Roman"/>
              </w:rPr>
              <w:t>каждые 4</w:t>
            </w:r>
            <w:r w:rsidR="00EC0B58" w:rsidRPr="00F242DD">
              <w:rPr>
                <w:rFonts w:eastAsia="Times New Roman"/>
              </w:rPr>
              <w:t>−</w:t>
            </w:r>
            <w:r w:rsidRPr="00F242DD">
              <w:rPr>
                <w:rFonts w:eastAsia="Times New Roman"/>
              </w:rPr>
              <w:t>6 нед</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14:paraId="4830B473" w14:textId="77777777" w:rsidR="00FC3E67" w:rsidRPr="00F242DD" w:rsidRDefault="00FC3E67" w:rsidP="00092917">
            <w:pPr>
              <w:snapToGrid w:val="0"/>
              <w:spacing w:before="0" w:after="0"/>
              <w:jc w:val="left"/>
              <w:rPr>
                <w:rFonts w:eastAsia="Times New Roman"/>
              </w:rPr>
            </w:pPr>
            <w:r w:rsidRPr="00F242DD">
              <w:rPr>
                <w:rFonts w:eastAsia="Times New Roman"/>
              </w:rPr>
              <w:t>0,13 мг/кг или 5 мг/м</w:t>
            </w:r>
            <w:r w:rsidRPr="00F242DD">
              <w:rPr>
                <w:rFonts w:eastAsia="Times New Roman"/>
                <w:vertAlign w:val="superscript"/>
              </w:rPr>
              <w:t xml:space="preserve">2 </w:t>
            </w:r>
          </w:p>
          <w:p w14:paraId="0F878934" w14:textId="77777777" w:rsidR="00FC3E67" w:rsidRPr="00F242DD" w:rsidRDefault="00FC3E67" w:rsidP="00092917">
            <w:pPr>
              <w:spacing w:before="0" w:after="0"/>
              <w:jc w:val="left"/>
              <w:rPr>
                <w:rFonts w:eastAsia="Times New Roman"/>
              </w:rPr>
            </w:pPr>
            <w:r w:rsidRPr="00F242DD">
              <w:rPr>
                <w:rFonts w:eastAsia="Times New Roman"/>
              </w:rPr>
              <w:t>дни: 1</w:t>
            </w:r>
            <w:r w:rsidR="00EC0B58" w:rsidRPr="00F242DD">
              <w:rPr>
                <w:rFonts w:eastAsia="Times New Roman"/>
              </w:rPr>
              <w:t>−</w:t>
            </w:r>
            <w:r w:rsidRPr="00F242DD">
              <w:rPr>
                <w:rFonts w:eastAsia="Times New Roman"/>
              </w:rPr>
              <w:t>4</w:t>
            </w:r>
            <w:r w:rsidR="00EC0B58" w:rsidRPr="00F242DD">
              <w:rPr>
                <w:rFonts w:eastAsia="Times New Roman"/>
              </w:rPr>
              <w:t>-й</w:t>
            </w:r>
            <w:r w:rsidRPr="00F242DD">
              <w:rPr>
                <w:rFonts w:eastAsia="Times New Roman"/>
              </w:rPr>
              <w:t xml:space="preserve"> </w:t>
            </w:r>
          </w:p>
          <w:p w14:paraId="5DA7592B" w14:textId="77777777" w:rsidR="00FC3E67" w:rsidRPr="00F242DD" w:rsidRDefault="00FC3E67" w:rsidP="00092917">
            <w:pPr>
              <w:spacing w:before="0" w:after="0"/>
              <w:jc w:val="left"/>
              <w:rPr>
                <w:rFonts w:eastAsia="Times New Roman"/>
                <w:lang w:val="en-US"/>
              </w:rPr>
            </w:pPr>
            <w:r w:rsidRPr="00F242DD">
              <w:rPr>
                <w:rFonts w:eastAsia="Times New Roman"/>
              </w:rPr>
              <w:t>каждые 4</w:t>
            </w:r>
            <w:r w:rsidR="00EC0B58" w:rsidRPr="00F242DD">
              <w:rPr>
                <w:rFonts w:eastAsia="Times New Roman"/>
              </w:rPr>
              <w:t>−</w:t>
            </w:r>
            <w:r w:rsidRPr="00F242DD">
              <w:rPr>
                <w:rFonts w:eastAsia="Times New Roman"/>
              </w:rPr>
              <w:t>6 нед</w:t>
            </w:r>
          </w:p>
        </w:tc>
      </w:tr>
      <w:tr w:rsidR="00FC3E67" w:rsidRPr="00F242DD" w14:paraId="08516960" w14:textId="77777777" w:rsidTr="00AC398A">
        <w:tc>
          <w:tcPr>
            <w:tcW w:w="2268" w:type="dxa"/>
            <w:tcBorders>
              <w:top w:val="single" w:sz="4" w:space="0" w:color="000000"/>
              <w:left w:val="single" w:sz="4" w:space="0" w:color="000000"/>
              <w:bottom w:val="single" w:sz="4" w:space="0" w:color="000000"/>
            </w:tcBorders>
            <w:shd w:val="clear" w:color="auto" w:fill="auto"/>
          </w:tcPr>
          <w:p w14:paraId="4E1135DC" w14:textId="77777777" w:rsidR="00FC3E67" w:rsidRPr="00F242DD" w:rsidRDefault="00FC3E67" w:rsidP="00092917">
            <w:pPr>
              <w:snapToGrid w:val="0"/>
              <w:spacing w:before="0" w:after="0"/>
              <w:rPr>
                <w:rFonts w:eastAsia="Times New Roman"/>
              </w:rPr>
            </w:pPr>
            <w:r w:rsidRPr="00F242DD">
              <w:rPr>
                <w:rFonts w:eastAsia="Times New Roman"/>
                <w:lang w:val="en-US"/>
              </w:rPr>
              <w:t>Преднизолон</w:t>
            </w:r>
            <w:r w:rsidR="007E7259" w:rsidRPr="00F242DD">
              <w:rPr>
                <w:rFonts w:eastAsia="Times New Roman"/>
              </w:rPr>
              <w:t>**</w:t>
            </w:r>
          </w:p>
        </w:tc>
        <w:tc>
          <w:tcPr>
            <w:tcW w:w="1985" w:type="dxa"/>
            <w:tcBorders>
              <w:top w:val="single" w:sz="4" w:space="0" w:color="000000"/>
              <w:left w:val="single" w:sz="4" w:space="0" w:color="000000"/>
              <w:bottom w:val="single" w:sz="4" w:space="0" w:color="000000"/>
            </w:tcBorders>
            <w:shd w:val="clear" w:color="auto" w:fill="auto"/>
          </w:tcPr>
          <w:p w14:paraId="054C2772" w14:textId="77777777" w:rsidR="00FC3E67" w:rsidRPr="00F242DD" w:rsidRDefault="00FC3E67" w:rsidP="00092917">
            <w:pPr>
              <w:snapToGrid w:val="0"/>
              <w:spacing w:before="0" w:after="0"/>
              <w:jc w:val="left"/>
              <w:rPr>
                <w:rFonts w:eastAsia="Times New Roman"/>
              </w:rPr>
            </w:pPr>
            <w:r w:rsidRPr="00F242DD">
              <w:rPr>
                <w:rFonts w:eastAsia="Times New Roman"/>
              </w:rPr>
              <w:t>6</w:t>
            </w:r>
            <w:r w:rsidRPr="00F242DD">
              <w:rPr>
                <w:rFonts w:eastAsia="Times New Roman"/>
                <w:lang w:val="en-US"/>
              </w:rPr>
              <w:t>0 мг/</w:t>
            </w:r>
            <w:r w:rsidRPr="00F242DD">
              <w:rPr>
                <w:rFonts w:eastAsia="Times New Roman"/>
              </w:rPr>
              <w:t>м</w:t>
            </w:r>
            <w:r w:rsidRPr="00F242DD">
              <w:rPr>
                <w:rFonts w:eastAsia="Times New Roman"/>
                <w:vertAlign w:val="superscript"/>
              </w:rPr>
              <w:t>2</w:t>
            </w:r>
            <w:r w:rsidRPr="00F242DD">
              <w:rPr>
                <w:rFonts w:eastAsia="Times New Roman"/>
              </w:rPr>
              <w:t xml:space="preserve"> 1</w:t>
            </w:r>
            <w:r w:rsidR="00EC0B58" w:rsidRPr="00F242DD">
              <w:rPr>
                <w:rFonts w:eastAsia="Times New Roman"/>
              </w:rPr>
              <w:t>−</w:t>
            </w:r>
            <w:r w:rsidRPr="00F242DD">
              <w:rPr>
                <w:rFonts w:eastAsia="Times New Roman"/>
              </w:rPr>
              <w:t>4</w:t>
            </w:r>
            <w:r w:rsidR="00EC0B58" w:rsidRPr="00F242DD">
              <w:rPr>
                <w:rFonts w:eastAsia="Times New Roman"/>
              </w:rPr>
              <w:t>-й</w:t>
            </w:r>
            <w:r w:rsidRPr="00F242DD">
              <w:rPr>
                <w:rFonts w:eastAsia="Times New Roman"/>
              </w:rPr>
              <w:t xml:space="preserve"> дни  </w:t>
            </w:r>
          </w:p>
        </w:tc>
        <w:tc>
          <w:tcPr>
            <w:tcW w:w="2126" w:type="dxa"/>
            <w:tcBorders>
              <w:top w:val="single" w:sz="4" w:space="0" w:color="000000"/>
              <w:left w:val="single" w:sz="4" w:space="0" w:color="000000"/>
              <w:bottom w:val="single" w:sz="4" w:space="0" w:color="000000"/>
            </w:tcBorders>
            <w:shd w:val="clear" w:color="auto" w:fill="auto"/>
          </w:tcPr>
          <w:p w14:paraId="5591F0D1" w14:textId="77777777" w:rsidR="00FC3E67" w:rsidRPr="00F242DD" w:rsidRDefault="00FC3E67" w:rsidP="00092917">
            <w:pPr>
              <w:snapToGrid w:val="0"/>
              <w:spacing w:before="0" w:after="0"/>
              <w:jc w:val="left"/>
              <w:rPr>
                <w:rFonts w:eastAsia="Times New Roman"/>
              </w:rPr>
            </w:pPr>
            <w:r w:rsidRPr="00F242DD">
              <w:rPr>
                <w:rFonts w:eastAsia="Times New Roman"/>
              </w:rPr>
              <w:t>30 мг/м</w:t>
            </w:r>
            <w:r w:rsidRPr="00F242DD">
              <w:rPr>
                <w:rFonts w:eastAsia="Times New Roman"/>
                <w:vertAlign w:val="superscript"/>
              </w:rPr>
              <w:t>2</w:t>
            </w:r>
            <w:r w:rsidRPr="00F242DD">
              <w:rPr>
                <w:rFonts w:eastAsia="Times New Roman"/>
              </w:rPr>
              <w:t xml:space="preserve"> 1</w:t>
            </w:r>
            <w:r w:rsidR="00EC0B58" w:rsidRPr="00F242DD">
              <w:rPr>
                <w:rFonts w:eastAsia="Times New Roman"/>
              </w:rPr>
              <w:t>−</w:t>
            </w:r>
            <w:r w:rsidRPr="00F242DD">
              <w:rPr>
                <w:rFonts w:eastAsia="Times New Roman"/>
              </w:rPr>
              <w:t>4</w:t>
            </w:r>
            <w:r w:rsidR="00EC0B58" w:rsidRPr="00F242DD">
              <w:rPr>
                <w:rFonts w:eastAsia="Times New Roman"/>
              </w:rPr>
              <w:t>-й</w:t>
            </w:r>
            <w:r w:rsidRPr="00F242DD">
              <w:rPr>
                <w:rFonts w:eastAsia="Times New Roman"/>
              </w:rPr>
              <w:t xml:space="preserve"> </w:t>
            </w:r>
            <w:r w:rsidR="00EC0B58" w:rsidRPr="00F242DD">
              <w:rPr>
                <w:rFonts w:eastAsia="Times New Roman"/>
              </w:rPr>
              <w:t>дни</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14:paraId="5AD068CD" w14:textId="77777777" w:rsidR="00FC3E67" w:rsidRPr="00F242DD" w:rsidRDefault="00FC3E67" w:rsidP="00092917">
            <w:pPr>
              <w:snapToGrid w:val="0"/>
              <w:spacing w:before="0" w:after="0"/>
              <w:jc w:val="left"/>
              <w:rPr>
                <w:rFonts w:eastAsia="Times New Roman"/>
                <w:lang w:val="en-US"/>
              </w:rPr>
            </w:pPr>
            <w:r w:rsidRPr="00F242DD">
              <w:rPr>
                <w:rFonts w:eastAsia="Times New Roman"/>
              </w:rPr>
              <w:t>15 мг/м</w:t>
            </w:r>
            <w:r w:rsidRPr="00F242DD">
              <w:rPr>
                <w:rFonts w:eastAsia="Times New Roman"/>
                <w:vertAlign w:val="superscript"/>
              </w:rPr>
              <w:t>2</w:t>
            </w:r>
            <w:r w:rsidRPr="00F242DD">
              <w:rPr>
                <w:rFonts w:eastAsia="Times New Roman"/>
              </w:rPr>
              <w:t xml:space="preserve"> 1</w:t>
            </w:r>
            <w:r w:rsidR="00EC0B58" w:rsidRPr="00F242DD">
              <w:rPr>
                <w:rFonts w:eastAsia="Times New Roman"/>
              </w:rPr>
              <w:t>−</w:t>
            </w:r>
            <w:r w:rsidRPr="00F242DD">
              <w:rPr>
                <w:rFonts w:eastAsia="Times New Roman"/>
              </w:rPr>
              <w:t>4</w:t>
            </w:r>
            <w:r w:rsidR="00EC0B58" w:rsidRPr="00F242DD">
              <w:rPr>
                <w:rFonts w:eastAsia="Times New Roman"/>
              </w:rPr>
              <w:t>-й</w:t>
            </w:r>
            <w:r w:rsidRPr="00F242DD">
              <w:rPr>
                <w:rFonts w:eastAsia="Times New Roman"/>
              </w:rPr>
              <w:t xml:space="preserve"> </w:t>
            </w:r>
            <w:r w:rsidR="00EC0B58" w:rsidRPr="00F242DD">
              <w:rPr>
                <w:rFonts w:eastAsia="Times New Roman"/>
              </w:rPr>
              <w:t>дни</w:t>
            </w:r>
          </w:p>
        </w:tc>
      </w:tr>
      <w:tr w:rsidR="00FC3E67" w:rsidRPr="00F242DD" w14:paraId="10A0E80B" w14:textId="77777777" w:rsidTr="00AC398A">
        <w:tc>
          <w:tcPr>
            <w:tcW w:w="2268" w:type="dxa"/>
            <w:tcBorders>
              <w:top w:val="single" w:sz="4" w:space="0" w:color="000000"/>
              <w:left w:val="single" w:sz="4" w:space="0" w:color="000000"/>
              <w:bottom w:val="single" w:sz="4" w:space="0" w:color="000000"/>
            </w:tcBorders>
            <w:shd w:val="clear" w:color="auto" w:fill="auto"/>
          </w:tcPr>
          <w:p w14:paraId="364446BE" w14:textId="77777777" w:rsidR="00FC3E67" w:rsidRPr="00F242DD" w:rsidRDefault="00FC3E67" w:rsidP="00092917">
            <w:pPr>
              <w:snapToGrid w:val="0"/>
              <w:spacing w:before="0" w:after="0"/>
              <w:rPr>
                <w:rFonts w:eastAsia="Times New Roman"/>
              </w:rPr>
            </w:pPr>
            <w:r w:rsidRPr="00F242DD">
              <w:rPr>
                <w:rFonts w:eastAsia="Times New Roman"/>
                <w:lang w:val="en-US"/>
              </w:rPr>
              <w:t>Циклофосфамид</w:t>
            </w:r>
            <w:r w:rsidR="007E7259" w:rsidRPr="00F242DD">
              <w:rPr>
                <w:rFonts w:eastAsia="Times New Roman"/>
              </w:rPr>
              <w:t>**</w:t>
            </w:r>
          </w:p>
        </w:tc>
        <w:tc>
          <w:tcPr>
            <w:tcW w:w="1985" w:type="dxa"/>
            <w:tcBorders>
              <w:top w:val="single" w:sz="4" w:space="0" w:color="000000"/>
              <w:left w:val="single" w:sz="4" w:space="0" w:color="000000"/>
              <w:bottom w:val="single" w:sz="4" w:space="0" w:color="000000"/>
            </w:tcBorders>
            <w:shd w:val="clear" w:color="auto" w:fill="auto"/>
          </w:tcPr>
          <w:p w14:paraId="745AA9B5" w14:textId="77777777" w:rsidR="00FC3E67" w:rsidRPr="00F242DD" w:rsidRDefault="00FC3E67" w:rsidP="00092917">
            <w:pPr>
              <w:snapToGrid w:val="0"/>
              <w:spacing w:before="0" w:after="0"/>
              <w:jc w:val="left"/>
              <w:rPr>
                <w:rFonts w:eastAsia="Times New Roman"/>
              </w:rPr>
            </w:pPr>
            <w:r w:rsidRPr="00F242DD">
              <w:rPr>
                <w:rFonts w:eastAsia="Times New Roman"/>
              </w:rPr>
              <w:t>100 мг</w:t>
            </w:r>
            <w:r w:rsidR="0094530A" w:rsidRPr="00F242DD">
              <w:rPr>
                <w:rFonts w:eastAsia="Times New Roman"/>
              </w:rPr>
              <w:t xml:space="preserve"> в </w:t>
            </w:r>
            <w:r w:rsidRPr="00F242DD">
              <w:rPr>
                <w:rFonts w:eastAsia="Times New Roman"/>
              </w:rPr>
              <w:t xml:space="preserve">день </w:t>
            </w:r>
          </w:p>
          <w:p w14:paraId="552D77EB" w14:textId="77777777" w:rsidR="00FC3E67" w:rsidRPr="00F242DD" w:rsidRDefault="00FC3E67" w:rsidP="00092917">
            <w:pPr>
              <w:spacing w:before="0" w:after="0"/>
              <w:jc w:val="left"/>
              <w:rPr>
                <w:rFonts w:eastAsia="Times New Roman"/>
              </w:rPr>
            </w:pPr>
            <w:r w:rsidRPr="00F242DD">
              <w:rPr>
                <w:rFonts w:eastAsia="Times New Roman"/>
              </w:rPr>
              <w:t>дни: 1</w:t>
            </w:r>
            <w:r w:rsidR="00EC0B58" w:rsidRPr="00F242DD">
              <w:rPr>
                <w:rFonts w:eastAsia="Times New Roman"/>
              </w:rPr>
              <w:t>−</w:t>
            </w:r>
            <w:r w:rsidRPr="00F242DD">
              <w:rPr>
                <w:rFonts w:eastAsia="Times New Roman"/>
              </w:rPr>
              <w:t>21</w:t>
            </w:r>
            <w:r w:rsidR="00EC0B58" w:rsidRPr="00F242DD">
              <w:rPr>
                <w:rFonts w:eastAsia="Times New Roman"/>
              </w:rPr>
              <w:t>-й</w:t>
            </w:r>
            <w:r w:rsidRPr="00F242DD">
              <w:rPr>
                <w:rFonts w:eastAsia="Times New Roman"/>
              </w:rPr>
              <w:t xml:space="preserve"> </w:t>
            </w:r>
          </w:p>
          <w:p w14:paraId="4C5E5341" w14:textId="77777777" w:rsidR="00FC3E67" w:rsidRPr="00F242DD" w:rsidRDefault="00FC3E67" w:rsidP="00092917">
            <w:pPr>
              <w:spacing w:before="0" w:after="0"/>
              <w:jc w:val="left"/>
              <w:rPr>
                <w:rFonts w:eastAsia="Times New Roman"/>
              </w:rPr>
            </w:pPr>
            <w:r w:rsidRPr="00F242DD">
              <w:rPr>
                <w:rFonts w:eastAsia="Times New Roman"/>
              </w:rPr>
              <w:t>каждые 4 нед</w:t>
            </w:r>
          </w:p>
        </w:tc>
        <w:tc>
          <w:tcPr>
            <w:tcW w:w="2126" w:type="dxa"/>
            <w:tcBorders>
              <w:top w:val="single" w:sz="4" w:space="0" w:color="000000"/>
              <w:left w:val="single" w:sz="4" w:space="0" w:color="000000"/>
              <w:bottom w:val="single" w:sz="4" w:space="0" w:color="000000"/>
            </w:tcBorders>
            <w:shd w:val="clear" w:color="auto" w:fill="auto"/>
          </w:tcPr>
          <w:p w14:paraId="59ACB922" w14:textId="77777777" w:rsidR="00FC3E67" w:rsidRPr="00F242DD" w:rsidRDefault="00FC3E67" w:rsidP="00092917">
            <w:pPr>
              <w:snapToGrid w:val="0"/>
              <w:spacing w:before="0" w:after="0"/>
              <w:jc w:val="left"/>
              <w:rPr>
                <w:rFonts w:eastAsia="Times New Roman"/>
              </w:rPr>
            </w:pPr>
            <w:r w:rsidRPr="00F242DD">
              <w:rPr>
                <w:rFonts w:eastAsia="Times New Roman"/>
              </w:rPr>
              <w:t>50 мг</w:t>
            </w:r>
            <w:r w:rsidR="0094530A" w:rsidRPr="00F242DD">
              <w:rPr>
                <w:rFonts w:eastAsia="Times New Roman"/>
              </w:rPr>
              <w:t xml:space="preserve"> в </w:t>
            </w:r>
            <w:r w:rsidRPr="00F242DD">
              <w:rPr>
                <w:rFonts w:eastAsia="Times New Roman"/>
              </w:rPr>
              <w:t xml:space="preserve">день </w:t>
            </w:r>
          </w:p>
          <w:p w14:paraId="524722FE" w14:textId="77777777" w:rsidR="00FC3E67" w:rsidRPr="00F242DD" w:rsidRDefault="00FC3E67" w:rsidP="00092917">
            <w:pPr>
              <w:snapToGrid w:val="0"/>
              <w:spacing w:before="0" w:after="0"/>
              <w:jc w:val="left"/>
              <w:rPr>
                <w:rFonts w:eastAsia="Times New Roman"/>
              </w:rPr>
            </w:pPr>
            <w:r w:rsidRPr="00F242DD">
              <w:rPr>
                <w:rFonts w:eastAsia="Times New Roman"/>
              </w:rPr>
              <w:t>дни: 1</w:t>
            </w:r>
            <w:r w:rsidR="0094530A" w:rsidRPr="00F242DD">
              <w:rPr>
                <w:rFonts w:eastAsia="Times New Roman"/>
              </w:rPr>
              <w:t>−</w:t>
            </w:r>
            <w:r w:rsidRPr="00F242DD">
              <w:rPr>
                <w:rFonts w:eastAsia="Times New Roman"/>
              </w:rPr>
              <w:t>21</w:t>
            </w:r>
            <w:r w:rsidR="0094530A" w:rsidRPr="00F242DD">
              <w:rPr>
                <w:rFonts w:eastAsia="Times New Roman"/>
              </w:rPr>
              <w:t>-й</w:t>
            </w:r>
            <w:r w:rsidRPr="00F242DD">
              <w:rPr>
                <w:rFonts w:eastAsia="Times New Roman"/>
              </w:rPr>
              <w:t xml:space="preserve"> </w:t>
            </w:r>
          </w:p>
          <w:p w14:paraId="0E165BB8" w14:textId="77777777" w:rsidR="00FC3E67" w:rsidRPr="00F242DD" w:rsidRDefault="00FC3E67" w:rsidP="00092917">
            <w:pPr>
              <w:snapToGrid w:val="0"/>
              <w:spacing w:before="0" w:after="0"/>
              <w:jc w:val="left"/>
              <w:rPr>
                <w:rFonts w:eastAsia="Times New Roman"/>
              </w:rPr>
            </w:pPr>
            <w:r w:rsidRPr="00F242DD">
              <w:rPr>
                <w:rFonts w:eastAsia="Times New Roman"/>
              </w:rPr>
              <w:t>каждые 4 нед</w:t>
            </w:r>
          </w:p>
        </w:tc>
        <w:tc>
          <w:tcPr>
            <w:tcW w:w="2221" w:type="dxa"/>
            <w:tcBorders>
              <w:top w:val="single" w:sz="4" w:space="0" w:color="000000"/>
              <w:left w:val="single" w:sz="4" w:space="0" w:color="000000"/>
              <w:bottom w:val="single" w:sz="4" w:space="0" w:color="000000"/>
              <w:right w:val="single" w:sz="4" w:space="0" w:color="000000"/>
            </w:tcBorders>
            <w:shd w:val="clear" w:color="auto" w:fill="auto"/>
          </w:tcPr>
          <w:p w14:paraId="0AC95579" w14:textId="77777777" w:rsidR="00FC3E67" w:rsidRPr="00F242DD" w:rsidRDefault="00FC3E67" w:rsidP="00092917">
            <w:pPr>
              <w:snapToGrid w:val="0"/>
              <w:spacing w:before="0" w:after="0"/>
              <w:jc w:val="left"/>
              <w:rPr>
                <w:rFonts w:eastAsia="Times New Roman"/>
              </w:rPr>
            </w:pPr>
            <w:r w:rsidRPr="00F242DD">
              <w:rPr>
                <w:rFonts w:eastAsia="Times New Roman"/>
              </w:rPr>
              <w:t>50 мг через день дни: 1</w:t>
            </w:r>
            <w:r w:rsidR="0094530A" w:rsidRPr="00F242DD">
              <w:rPr>
                <w:rFonts w:eastAsia="Times New Roman"/>
              </w:rPr>
              <w:t>−</w:t>
            </w:r>
            <w:r w:rsidRPr="00F242DD">
              <w:rPr>
                <w:rFonts w:eastAsia="Times New Roman"/>
              </w:rPr>
              <w:t>21</w:t>
            </w:r>
            <w:r w:rsidR="0094530A" w:rsidRPr="00F242DD">
              <w:rPr>
                <w:rFonts w:eastAsia="Times New Roman"/>
              </w:rPr>
              <w:t>-й</w:t>
            </w:r>
            <w:r w:rsidRPr="00F242DD">
              <w:rPr>
                <w:rFonts w:eastAsia="Times New Roman"/>
              </w:rPr>
              <w:t xml:space="preserve"> </w:t>
            </w:r>
          </w:p>
          <w:p w14:paraId="68E0BC33" w14:textId="77777777" w:rsidR="00FC3E67" w:rsidRPr="00F242DD" w:rsidRDefault="00FC3E67" w:rsidP="00092917">
            <w:pPr>
              <w:snapToGrid w:val="0"/>
              <w:spacing w:before="0" w:after="0"/>
              <w:jc w:val="left"/>
            </w:pPr>
            <w:r w:rsidRPr="00F242DD">
              <w:rPr>
                <w:rFonts w:eastAsia="Times New Roman"/>
              </w:rPr>
              <w:t>каждые 4 нед</w:t>
            </w:r>
          </w:p>
        </w:tc>
      </w:tr>
    </w:tbl>
    <w:p w14:paraId="40DFC722" w14:textId="77777777" w:rsidR="0089441A" w:rsidRDefault="0089441A" w:rsidP="0089441A">
      <w:pPr>
        <w:pStyle w:val="a6"/>
        <w:spacing w:before="0" w:after="0"/>
        <w:ind w:left="0"/>
      </w:pPr>
    </w:p>
    <w:p w14:paraId="07F2969C" w14:textId="5DAC3014" w:rsidR="00F670B6" w:rsidRPr="00805C9F" w:rsidRDefault="00583CFF" w:rsidP="00092917">
      <w:pPr>
        <w:pStyle w:val="a6"/>
        <w:numPr>
          <w:ilvl w:val="0"/>
          <w:numId w:val="5"/>
        </w:numPr>
        <w:spacing w:before="0" w:after="0"/>
        <w:ind w:left="0" w:firstLine="0"/>
        <w:rPr>
          <w:szCs w:val="24"/>
        </w:rPr>
      </w:pPr>
      <w:r w:rsidRPr="00805C9F">
        <w:rPr>
          <w:szCs w:val="24"/>
        </w:rPr>
        <w:t>П</w:t>
      </w:r>
      <w:r w:rsidR="00F670B6" w:rsidRPr="00805C9F">
        <w:rPr>
          <w:szCs w:val="24"/>
        </w:rPr>
        <w:t>ациентам</w:t>
      </w:r>
      <w:r w:rsidRPr="00805C9F">
        <w:rPr>
          <w:szCs w:val="24"/>
        </w:rPr>
        <w:t xml:space="preserve"> старше 75 лет</w:t>
      </w:r>
      <w:r w:rsidR="00F670B6" w:rsidRPr="00805C9F">
        <w:rPr>
          <w:szCs w:val="24"/>
        </w:rPr>
        <w:t xml:space="preserve"> с неудовлетворительным физическим состоянием, тяжелой сопутствующей патологией </w:t>
      </w:r>
      <w:r w:rsidR="00F670B6" w:rsidRPr="00805C9F">
        <w:rPr>
          <w:b/>
          <w:szCs w:val="24"/>
        </w:rPr>
        <w:t>рекомендуется</w:t>
      </w:r>
      <w:r w:rsidR="003369B4" w:rsidRPr="00805C9F">
        <w:rPr>
          <w:b/>
          <w:szCs w:val="24"/>
        </w:rPr>
        <w:t xml:space="preserve"> </w:t>
      </w:r>
      <w:r w:rsidR="00F670B6" w:rsidRPr="00805C9F">
        <w:rPr>
          <w:szCs w:val="24"/>
        </w:rPr>
        <w:t>терапия комбинацией мелфалана</w:t>
      </w:r>
      <w:r w:rsidR="00E0610F" w:rsidRPr="00805C9F">
        <w:rPr>
          <w:szCs w:val="24"/>
        </w:rPr>
        <w:t>**</w:t>
      </w:r>
      <w:r w:rsidR="00F670B6" w:rsidRPr="00805C9F">
        <w:rPr>
          <w:szCs w:val="24"/>
        </w:rPr>
        <w:t xml:space="preserve"> с преднизолоном</w:t>
      </w:r>
      <w:r w:rsidR="00E0610F" w:rsidRPr="00805C9F">
        <w:rPr>
          <w:szCs w:val="24"/>
        </w:rPr>
        <w:t>**</w:t>
      </w:r>
      <w:r w:rsidR="00DA70E3" w:rsidRPr="00805C9F">
        <w:rPr>
          <w:szCs w:val="24"/>
        </w:rPr>
        <w:t xml:space="preserve"> (описание режимов – см. приложение </w:t>
      </w:r>
      <w:r w:rsidR="00C812D6" w:rsidRPr="00805C9F">
        <w:rPr>
          <w:szCs w:val="24"/>
        </w:rPr>
        <w:t>А3.1</w:t>
      </w:r>
      <w:r w:rsidR="0094530A" w:rsidRPr="00805C9F">
        <w:rPr>
          <w:szCs w:val="24"/>
        </w:rPr>
        <w:t>.</w:t>
      </w:r>
      <w:r w:rsidR="00DA70E3" w:rsidRPr="00805C9F">
        <w:rPr>
          <w:szCs w:val="24"/>
        </w:rPr>
        <w:t>)</w:t>
      </w:r>
      <w:r w:rsidR="00267DE2" w:rsidRPr="00805C9F">
        <w:rPr>
          <w:szCs w:val="24"/>
        </w:rPr>
        <w:t xml:space="preserve"> </w:t>
      </w:r>
      <w:r w:rsidR="00267DE2" w:rsidRPr="00805C9F">
        <w:rPr>
          <w:szCs w:val="24"/>
        </w:rPr>
        <w:fldChar w:fldCharType="begin" w:fldLock="1"/>
      </w:r>
      <w:r w:rsidR="00500F37">
        <w:rPr>
          <w:szCs w:val="24"/>
        </w:rP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267DE2" w:rsidRPr="00805C9F">
        <w:rPr>
          <w:szCs w:val="24"/>
        </w:rPr>
        <w:fldChar w:fldCharType="separate"/>
      </w:r>
      <w:r w:rsidR="00E03159" w:rsidRPr="00805C9F">
        <w:rPr>
          <w:noProof/>
          <w:szCs w:val="24"/>
        </w:rPr>
        <w:t>[1]</w:t>
      </w:r>
      <w:r w:rsidR="00267DE2" w:rsidRPr="00805C9F">
        <w:rPr>
          <w:szCs w:val="24"/>
        </w:rPr>
        <w:fldChar w:fldCharType="end"/>
      </w:r>
      <w:r w:rsidR="00F670B6" w:rsidRPr="00805C9F">
        <w:rPr>
          <w:szCs w:val="24"/>
        </w:rPr>
        <w:t>.</w:t>
      </w:r>
    </w:p>
    <w:p w14:paraId="0088A363" w14:textId="77777777" w:rsidR="00FC3E67" w:rsidRPr="00805C9F" w:rsidRDefault="00F670B6" w:rsidP="00092917">
      <w:pPr>
        <w:spacing w:before="0" w:after="0"/>
        <w:contextualSpacing/>
        <w:rPr>
          <w:b/>
          <w:szCs w:val="24"/>
        </w:rPr>
      </w:pPr>
      <w:r w:rsidRPr="00805C9F">
        <w:rPr>
          <w:b/>
          <w:szCs w:val="24"/>
        </w:rPr>
        <w:t xml:space="preserve">Уровень убедительности рекомендаций </w:t>
      </w:r>
      <w:r w:rsidR="0094530A" w:rsidRPr="00805C9F">
        <w:rPr>
          <w:b/>
          <w:szCs w:val="24"/>
        </w:rPr>
        <w:t xml:space="preserve">− </w:t>
      </w:r>
      <w:r w:rsidR="00267DE2" w:rsidRPr="00805C9F">
        <w:rPr>
          <w:b/>
          <w:szCs w:val="24"/>
        </w:rPr>
        <w:t xml:space="preserve">С </w:t>
      </w:r>
      <w:r w:rsidRPr="00805C9F">
        <w:rPr>
          <w:b/>
          <w:szCs w:val="24"/>
        </w:rPr>
        <w:t>(уровень достоверности доказательств</w:t>
      </w:r>
      <w:r w:rsidR="00463342" w:rsidRPr="00805C9F">
        <w:rPr>
          <w:b/>
          <w:szCs w:val="24"/>
        </w:rPr>
        <w:t xml:space="preserve"> </w:t>
      </w:r>
      <w:r w:rsidR="0094530A" w:rsidRPr="00805C9F">
        <w:rPr>
          <w:b/>
          <w:szCs w:val="24"/>
        </w:rPr>
        <w:t xml:space="preserve">− </w:t>
      </w:r>
      <w:r w:rsidR="00267DE2" w:rsidRPr="00805C9F">
        <w:rPr>
          <w:b/>
          <w:szCs w:val="24"/>
        </w:rPr>
        <w:t>5</w:t>
      </w:r>
      <w:r w:rsidRPr="00805C9F">
        <w:rPr>
          <w:b/>
          <w:szCs w:val="24"/>
        </w:rPr>
        <w:t>)</w:t>
      </w:r>
    </w:p>
    <w:p w14:paraId="14F0AFBC" w14:textId="77777777" w:rsidR="004D7374" w:rsidRPr="00F242DD" w:rsidRDefault="004D7374" w:rsidP="00092917">
      <w:pPr>
        <w:pStyle w:val="2"/>
        <w:spacing w:before="0" w:after="0"/>
      </w:pPr>
      <w:bookmarkStart w:id="28" w:name="_Toc97734627"/>
      <w:r w:rsidRPr="00F242DD">
        <w:t>3.</w:t>
      </w:r>
      <w:r w:rsidR="006E6357" w:rsidRPr="00F242DD">
        <w:t>3</w:t>
      </w:r>
      <w:r w:rsidR="00BF3C4A" w:rsidRPr="00F242DD">
        <w:t xml:space="preserve"> </w:t>
      </w:r>
      <w:r w:rsidR="006E6357" w:rsidRPr="00F242DD">
        <w:t xml:space="preserve">Лечение </w:t>
      </w:r>
      <w:r w:rsidR="00FB03BB" w:rsidRPr="00F242DD">
        <w:t>пациентов</w:t>
      </w:r>
      <w:r w:rsidR="006E6357" w:rsidRPr="00F242DD">
        <w:t xml:space="preserve"> с впервые диагностированной ММ, кандидатов на </w:t>
      </w:r>
      <w:r w:rsidR="00457DBC" w:rsidRPr="00F242DD">
        <w:t>ВДХТ</w:t>
      </w:r>
      <w:r w:rsidR="006E6357" w:rsidRPr="00F242DD">
        <w:t xml:space="preserve"> с последующей ауто</w:t>
      </w:r>
      <w:r w:rsidR="00267DE2" w:rsidRPr="00F242DD">
        <w:t>-</w:t>
      </w:r>
      <w:r w:rsidR="006E6357" w:rsidRPr="00F242DD">
        <w:t>ТГСК</w:t>
      </w:r>
      <w:bookmarkEnd w:id="28"/>
    </w:p>
    <w:p w14:paraId="70927D90" w14:textId="769979AA" w:rsidR="004D7374" w:rsidRPr="00805C9F" w:rsidRDefault="000558B2" w:rsidP="00092917">
      <w:pPr>
        <w:pStyle w:val="a6"/>
        <w:numPr>
          <w:ilvl w:val="0"/>
          <w:numId w:val="5"/>
        </w:numPr>
        <w:spacing w:before="0" w:after="0"/>
        <w:ind w:left="0" w:firstLine="0"/>
        <w:rPr>
          <w:szCs w:val="24"/>
        </w:rPr>
      </w:pPr>
      <w:r w:rsidRPr="00805C9F">
        <w:rPr>
          <w:szCs w:val="24"/>
        </w:rPr>
        <w:t>Пациентам</w:t>
      </w:r>
      <w:r w:rsidR="00245B13" w:rsidRPr="00805C9F">
        <w:rPr>
          <w:szCs w:val="24"/>
        </w:rPr>
        <w:t xml:space="preserve"> с впервые выявленной ММ в возрасте до 65</w:t>
      </w:r>
      <w:r w:rsidR="002B59AA" w:rsidRPr="00805C9F">
        <w:rPr>
          <w:szCs w:val="24"/>
        </w:rPr>
        <w:t xml:space="preserve"> лет</w:t>
      </w:r>
      <w:r w:rsidR="00245B13" w:rsidRPr="00805C9F">
        <w:rPr>
          <w:szCs w:val="24"/>
        </w:rPr>
        <w:t>, а также пациентам 65</w:t>
      </w:r>
      <w:r w:rsidR="00457DBC" w:rsidRPr="00805C9F">
        <w:rPr>
          <w:szCs w:val="24"/>
        </w:rPr>
        <w:t>−</w:t>
      </w:r>
      <w:r w:rsidR="00245B13" w:rsidRPr="00805C9F">
        <w:rPr>
          <w:szCs w:val="24"/>
        </w:rPr>
        <w:t>70</w:t>
      </w:r>
      <w:r w:rsidR="00457DBC" w:rsidRPr="00805C9F">
        <w:rPr>
          <w:szCs w:val="24"/>
        </w:rPr>
        <w:t> </w:t>
      </w:r>
      <w:r w:rsidR="00245B13" w:rsidRPr="00805C9F">
        <w:rPr>
          <w:szCs w:val="24"/>
        </w:rPr>
        <w:t xml:space="preserve">лет с хорошим соматическим статусом без тяжелых сопутствующих заболеваний </w:t>
      </w:r>
      <w:r w:rsidR="00FF0C02" w:rsidRPr="00805C9F">
        <w:rPr>
          <w:b/>
          <w:szCs w:val="24"/>
        </w:rPr>
        <w:t>рекомендуется</w:t>
      </w:r>
      <w:r w:rsidR="00727909" w:rsidRPr="00805C9F">
        <w:rPr>
          <w:b/>
          <w:szCs w:val="24"/>
        </w:rPr>
        <w:t xml:space="preserve"> </w:t>
      </w:r>
      <w:r w:rsidR="006D1F76" w:rsidRPr="00805C9F">
        <w:rPr>
          <w:szCs w:val="24"/>
        </w:rPr>
        <w:t>проведение</w:t>
      </w:r>
      <w:r w:rsidR="00245B13" w:rsidRPr="00805C9F">
        <w:rPr>
          <w:szCs w:val="24"/>
        </w:rPr>
        <w:t xml:space="preserve"> высокодозной консолидации, включающей </w:t>
      </w:r>
      <w:r w:rsidR="00457DBC" w:rsidRPr="00805C9F">
        <w:rPr>
          <w:szCs w:val="24"/>
        </w:rPr>
        <w:t>1</w:t>
      </w:r>
      <w:r w:rsidR="00245B13" w:rsidRPr="00805C9F">
        <w:rPr>
          <w:szCs w:val="24"/>
        </w:rPr>
        <w:t xml:space="preserve"> или </w:t>
      </w:r>
      <w:r w:rsidR="00457DBC" w:rsidRPr="00805C9F">
        <w:rPr>
          <w:szCs w:val="24"/>
        </w:rPr>
        <w:t>2</w:t>
      </w:r>
      <w:r w:rsidR="00245B13" w:rsidRPr="00805C9F">
        <w:rPr>
          <w:szCs w:val="24"/>
        </w:rPr>
        <w:t xml:space="preserve"> трансплантации ауто</w:t>
      </w:r>
      <w:r w:rsidR="00946AD8" w:rsidRPr="00805C9F">
        <w:rPr>
          <w:szCs w:val="24"/>
        </w:rPr>
        <w:t>-</w:t>
      </w:r>
      <w:r w:rsidR="00245B13" w:rsidRPr="00805C9F">
        <w:rPr>
          <w:szCs w:val="24"/>
        </w:rPr>
        <w:t>ТГСК</w:t>
      </w:r>
      <w:r w:rsidR="00946AD8" w:rsidRPr="00805C9F">
        <w:rPr>
          <w:szCs w:val="24"/>
        </w:rPr>
        <w:t xml:space="preserve"> </w:t>
      </w:r>
      <w:r w:rsidR="00A96FB6" w:rsidRPr="00805C9F">
        <w:rPr>
          <w:szCs w:val="24"/>
        </w:rPr>
        <w:fldChar w:fldCharType="begin" w:fldLock="1"/>
      </w:r>
      <w:r w:rsidR="00A14090">
        <w:rPr>
          <w:szCs w:val="24"/>
        </w:rPr>
        <w:instrText>ADDIN CSL_CITATION {"citationItems":[{"id":"ITEM-1","itemData":{"DOI":"10.1080/10428194.2018.1543874","ISSN":"10292403","abstract":"To evaluate the role of high-dose melphalan plus autologous stem-cell transplantation (ASCT) as consolidation therapy for patients with newly diagnosed multiple myeloma (NDMM) in the era of novel agents, we undertook this meta-analysis. Medline, Embase, the Cochrane controlled trials register, the SCI, ASH, EHA, and ASCO were searched for clinical trials including high-dose chemotherapy plus ASCT for patients with NDMM. Finally, we identified four RCTs of ASCT versus novel agents based consolidations, and 10 single-arm prospective trials of ASCT alone. Pooled analysis indicated that response quality improved further after ASCT in the era of novel agents (&gt;=CR rates of 13% pre-ASCT versus 29% post-ASCT, p =.003). When compared to novel agents containing consolidation regimens, high-dose chemotherapy plus ASCT significantly improved progression-free survival (PFS) (HR =0.56, p &lt;.001). No significant difference in overall survival (OS) was found between them (HR =0.66, p =.22). Of note, subgroup analysis indicated that ASCT could significantly improve OS (HR =0.49, p =.0004) when compared to alkylating agent-based regimens plus lenalidomide consolidation. In summary, response quality and PFS improved further over ASCT in the era of novel agents. ASCT could improve survival than alkylating agent-based regimens plus lenalidomide consolidations for patients with NDMM.Copyright © 2018, © 2018 Informa UK Limited, trading as Taylor &amp; Francis Group.","author":[{"dropping-particle":"","family":"Su","given":"Baohua","non-dropping-particle":"","parse-names":false,"suffix":""},{"dropping-particle":"","family":"Zhu","given":"Xu","non-dropping-particle":"","parse-names":false,"suffix":""},{"dropping-particle":"","family":"Jiang","given":"Yina","non-dropping-particle":"","parse-names":false,"suffix":""},{"dropping-particle":"","family":"Wang","given":"Lida","non-dropping-particle":"","parse-names":false,"suffix":""},{"dropping-particle":"","family":"Zhao","given":"Ningning","non-dropping-particle":"","parse-names":false,"suffix":""},{"dropping-particle":"","family":"Ran","given":"Xuehong","non-dropping-particle":"","parse-names":false,"suffix":""},{"dropping-particle":"","family":"Zheng","given":"Xiaobin","non-dropping-particle":"","parse-names":false,"suffix":""},{"dropping-particle":"","family":"Guo","given":"Hui","non-dropping-particle":"","parse-names":false,"suffix":""}],"container-title":"Leukemia and Lymphoma","id":"ITEM-1","issued":{"date-parts":[["2018"]]},"publisher":"Taylor and Francis Ltd","title":"A meta-analysis of autologous transplantation for newly diagnosed multiple myeloma in the era of novel agents","type":"article-journal"},"uris":["http://www.mendeley.com/documents/?uuid=a763b0b9-22ac-33ee-8ac3-1da970da9202"]},{"id":"ITEM-2","itemData":{"DOI":"10.1001/jamaoncol.2017.4600","ISSN":"23742445","abstract":"Importance The role of high-dose therapy with melphalan followed by autologous stem cell transplant (HDT/ASCT) in patients with multiple myeloma continues to be debated in the context of novel agent induction. Objective To perform a systematic review, conventional meta-analysis, and network meta-analysis of all phase 3 randomized clinical trials (RCTs) evaluating the role of HDT/ASCT. Data Sources We performed a systematic literature search of Cochrane Central, MEDLINE, and Scopus from January 2000 through April 2017 and relevant annual meeting abstracts from January 2014 to December 2016. The following search terms were used: \"myeloma\" combined with \"autologous,\" \"transplant,\" \"myeloablative,\" or \"stem cell.\" Study Selection Phase 3 RCTs comparing HDT/ASCT with standard-dose therapy (SDT) using novel agents were assessed. Studies comparing single HDT/ASCT with bortezomib, lenalidomide, and dexamethasone consolidation and tandem transplantation were included for network meta-analysis. Data Extraction And Synthesis For the random effects meta-analysis, we used hazard ratios (HRs) and corresponding 95% CIs. Main Outcomes and Measures The primary outcome was progression-free survival (PFS). Overall survival (OS), complete response, and treatment-related mortality were secondary outcomes. Results A total of 4 RCTs (2421 patients) for conventional meta-analysis and 5 RCTs (3171 patients) for network meta-analysis were selected. The combined odds for complete response were 1.27 (95% CI, 0.97-1.65; P = .07) with HDT/ASCT when compared with SDT. The combined HR for PFS was 0.55 (95% CI, 0.41-0.74; P &lt; .001) and 0.76 for OS (95% CI, 0.42-1.36; P = .20) in favor of HDT. Meta-regression showed that longer follow-up was associated with superior PFS (HR/mo, 0.98; 95% CI, 0.96-0.99; P = .03) and OS (HR/mo, 0.90; 95% CI, 0.84-0.96; P = .002). For PFS, tandem HDT/ASCT had the most favorable HR (0.49; 95% CI, 0.37-0.65) followed by single HDT/ASCT with bortezomib, lenalidomide, and dexamethasone (HR, 0.53; 95% CI, 0.37-0.76) and single HDT/ASCT alone (HR, 0.68; 95% CI, 0.53-0.87) compared with SDT. For OS, none of the HDT/ASCT-based approaches had a significant effect on survival. Treatment-related mortality with HDT/ASCT was minimal (&lt;1%). Conclusions and Relevance The results of the conventional meta-analysis and network meta-analysis of all the phase 3 RCTs showed that HDT/ASCT was associated with superior PFS with minimal toxic effects compared with SDT. Both tandem…","author":[{"dropping-particle":"","family":"Dhakal","given":"Binod","non-dropping-particle":"","parse-names":false,"suffix":""},{"dropping-particle":"","family":"Szabo","given":"Aniko","non-dropping-particle":"","parse-names":false,"suffix":""},{"dropping-particle":"","family":"Chhabra","given":"Saurabh","non-dropping-particle":"","parse-names":false,"suffix":""},{"dropping-particle":"","family":"Hamadani","given":"Mehdi","non-dropping-particle":"","parse-names":false,"suffix":""},{"dropping-particle":"","family":"D'Souza","given":"Anita","non-dropping-particle":"","parse-names":false,"suffix":""},{"dropping-particle":"","family":"Usmani","given":"Saad Z.","non-dropping-particle":"","parse-names":false,"suffix":""},{"dropping-particle":"","family":"Sieracki","given":"Rita","non-dropping-particle":"","parse-names":false,"suffix":""},{"dropping-particle":"","family":"Gyawali","given":"Bishal","non-dropping-particle":"","parse-names":false,"suffix":""},{"dropping-particle":"","family":"Jackson","given":"Jeffrey L.","non-dropping-particle":"","parse-names":false,"suffix":""},{"dropping-particle":"","family":"Asimakopoulos","given":"Fotis","non-dropping-particle":"","parse-names":false,"suffix":""},{"dropping-particle":"","family":"Hari","given":"Parameswaran N.","non-dropping-particle":"","parse-names":false,"suffix":""}],"container-title":"JAMA Oncology","id":"ITEM-2","issue":"3","issued":{"date-parts":[["2018","3","1"]]},"page":"343-350","publisher":"American Medical Association","title":"Autologous transplantation for newly diagnosed multiple myeloma in the era of novel agent induction a systematic review and meta-analysis","type":"article-journal","volume":"4"},"uris":["http://www.mendeley.com/documents/?uuid=e10abcf3-d81f-385d-80c0-5398aae26e72"]}],"mendeley":{"formattedCitation":"[38,39]","plainTextFormattedCitation":"[38,39]","previouslyFormattedCitation":"[38,39]"},"properties":{"noteIndex":0},"schema":"https://github.com/citation-style-language/schema/raw/master/csl-citation.json"}</w:instrText>
      </w:r>
      <w:r w:rsidR="00A96FB6" w:rsidRPr="00805C9F">
        <w:rPr>
          <w:szCs w:val="24"/>
        </w:rPr>
        <w:fldChar w:fldCharType="separate"/>
      </w:r>
      <w:r w:rsidR="00500F37" w:rsidRPr="00500F37">
        <w:rPr>
          <w:noProof/>
          <w:szCs w:val="24"/>
        </w:rPr>
        <w:t>[38,39]</w:t>
      </w:r>
      <w:r w:rsidR="00A96FB6" w:rsidRPr="00805C9F">
        <w:rPr>
          <w:szCs w:val="24"/>
        </w:rPr>
        <w:fldChar w:fldCharType="end"/>
      </w:r>
      <w:r w:rsidR="004D7374" w:rsidRPr="00805C9F">
        <w:rPr>
          <w:szCs w:val="24"/>
        </w:rPr>
        <w:t xml:space="preserve">. </w:t>
      </w:r>
    </w:p>
    <w:p w14:paraId="3EE7E07B" w14:textId="77777777" w:rsidR="004D7374" w:rsidRPr="00805C9F" w:rsidRDefault="004D7374" w:rsidP="00092917">
      <w:pPr>
        <w:spacing w:before="0" w:after="0"/>
        <w:contextualSpacing/>
        <w:rPr>
          <w:b/>
          <w:szCs w:val="24"/>
        </w:rPr>
      </w:pPr>
      <w:r w:rsidRPr="00805C9F">
        <w:rPr>
          <w:b/>
          <w:szCs w:val="24"/>
        </w:rPr>
        <w:t xml:space="preserve">Уровень убедительности рекомендаций </w:t>
      </w:r>
      <w:r w:rsidR="00457DBC" w:rsidRPr="00805C9F">
        <w:rPr>
          <w:b/>
          <w:szCs w:val="24"/>
        </w:rPr>
        <w:t xml:space="preserve">− </w:t>
      </w:r>
      <w:r w:rsidR="000558B2" w:rsidRPr="00805C9F">
        <w:rPr>
          <w:b/>
          <w:szCs w:val="24"/>
        </w:rPr>
        <w:t>А</w:t>
      </w:r>
      <w:r w:rsidR="00946AD8" w:rsidRPr="00805C9F">
        <w:rPr>
          <w:b/>
          <w:szCs w:val="24"/>
        </w:rPr>
        <w:t xml:space="preserve"> </w:t>
      </w:r>
      <w:r w:rsidRPr="00805C9F">
        <w:rPr>
          <w:b/>
          <w:szCs w:val="24"/>
        </w:rPr>
        <w:t>(уровень достоверности доказательств</w:t>
      </w:r>
      <w:r w:rsidR="00946AD8" w:rsidRPr="00805C9F">
        <w:rPr>
          <w:b/>
          <w:szCs w:val="24"/>
        </w:rPr>
        <w:t xml:space="preserve"> </w:t>
      </w:r>
      <w:r w:rsidR="00457DBC" w:rsidRPr="00805C9F">
        <w:rPr>
          <w:b/>
          <w:szCs w:val="24"/>
        </w:rPr>
        <w:t xml:space="preserve">− </w:t>
      </w:r>
      <w:r w:rsidR="000558B2" w:rsidRPr="00805C9F">
        <w:rPr>
          <w:b/>
          <w:szCs w:val="24"/>
        </w:rPr>
        <w:t>1</w:t>
      </w:r>
      <w:r w:rsidRPr="00805C9F">
        <w:rPr>
          <w:b/>
          <w:szCs w:val="24"/>
        </w:rPr>
        <w:t>)</w:t>
      </w:r>
    </w:p>
    <w:p w14:paraId="609BA4C6" w14:textId="188260FE" w:rsidR="004D7374" w:rsidRPr="00805C9F" w:rsidRDefault="004D7374" w:rsidP="00092917">
      <w:pPr>
        <w:spacing w:before="0" w:after="0"/>
        <w:contextualSpacing/>
        <w:rPr>
          <w:i/>
          <w:szCs w:val="24"/>
        </w:rPr>
      </w:pPr>
      <w:r w:rsidRPr="00805C9F">
        <w:rPr>
          <w:b/>
          <w:szCs w:val="24"/>
        </w:rPr>
        <w:lastRenderedPageBreak/>
        <w:t xml:space="preserve">Комментарий: </w:t>
      </w:r>
      <w:r w:rsidR="007A3969" w:rsidRPr="00805C9F">
        <w:rPr>
          <w:i/>
          <w:szCs w:val="24"/>
        </w:rPr>
        <w:t xml:space="preserve">Возрастные ограничения обусловлены тем, что у пожилых </w:t>
      </w:r>
      <w:r w:rsidR="00FB03BB" w:rsidRPr="00805C9F">
        <w:rPr>
          <w:i/>
          <w:szCs w:val="24"/>
        </w:rPr>
        <w:t>пациентов</w:t>
      </w:r>
      <w:r w:rsidR="007A3969" w:rsidRPr="00805C9F">
        <w:rPr>
          <w:i/>
          <w:szCs w:val="24"/>
        </w:rPr>
        <w:t xml:space="preserve"> возрастает риск трансплантатассоциированной летальности. Особенно это важно для возрастной категории </w:t>
      </w:r>
      <w:r w:rsidR="002B125B" w:rsidRPr="00805C9F">
        <w:rPr>
          <w:i/>
          <w:szCs w:val="24"/>
        </w:rPr>
        <w:t>старше</w:t>
      </w:r>
      <w:r w:rsidR="007A3969" w:rsidRPr="00805C9F">
        <w:rPr>
          <w:i/>
          <w:szCs w:val="24"/>
        </w:rPr>
        <w:t xml:space="preserve"> 70 лет, при которой указанный риск может достигать 8</w:t>
      </w:r>
      <w:r w:rsidR="002B125B" w:rsidRPr="00805C9F">
        <w:rPr>
          <w:i/>
          <w:szCs w:val="24"/>
        </w:rPr>
        <w:t> </w:t>
      </w:r>
      <w:r w:rsidR="007A3969" w:rsidRPr="00805C9F">
        <w:rPr>
          <w:i/>
          <w:szCs w:val="24"/>
        </w:rPr>
        <w:t xml:space="preserve">%. Миеломная нефропатия (включая диализзависимую почечную недостаточность) не является противопоказанием для выполнения </w:t>
      </w:r>
      <w:r w:rsidR="00D71FBE" w:rsidRPr="00805C9F">
        <w:rPr>
          <w:i/>
          <w:szCs w:val="24"/>
        </w:rPr>
        <w:t>ВДХТ</w:t>
      </w:r>
      <w:r w:rsidR="007A3969" w:rsidRPr="00805C9F">
        <w:rPr>
          <w:i/>
          <w:szCs w:val="24"/>
        </w:rPr>
        <w:t xml:space="preserve"> с последующей ауто-ТГСК. Пациент может быть направлен в трансплантационный центр, располагающий возможностью проведения гемодиализа.</w:t>
      </w:r>
      <w:r w:rsidR="006E4C10" w:rsidRPr="00805C9F">
        <w:rPr>
          <w:i/>
          <w:szCs w:val="24"/>
        </w:rPr>
        <w:t xml:space="preserve"> Подробная информация об основных этапах ауто-ТГСК при ММ, ее эффективности и необходимой сопроводительной </w:t>
      </w:r>
      <w:r w:rsidR="009652BF" w:rsidRPr="00805C9F">
        <w:rPr>
          <w:i/>
          <w:szCs w:val="24"/>
        </w:rPr>
        <w:t>терапии</w:t>
      </w:r>
      <w:r w:rsidR="006E4C10" w:rsidRPr="00805C9F">
        <w:rPr>
          <w:i/>
          <w:szCs w:val="24"/>
        </w:rPr>
        <w:t xml:space="preserve"> представлена в приложениях А3.3, А3.4, А3.6-А.3.10, А3.12-А3.17.</w:t>
      </w:r>
    </w:p>
    <w:p w14:paraId="4E0D34D1" w14:textId="77777777" w:rsidR="00EE2530" w:rsidRPr="00F242DD" w:rsidRDefault="00EE2530" w:rsidP="00092917">
      <w:pPr>
        <w:pStyle w:val="2"/>
        <w:spacing w:before="0" w:after="0"/>
        <w:rPr>
          <w:b w:val="0"/>
        </w:rPr>
      </w:pPr>
      <w:bookmarkStart w:id="29" w:name="_Toc97734628"/>
      <w:r w:rsidRPr="00F242DD">
        <w:rPr>
          <w:rStyle w:val="ac"/>
          <w:b/>
        </w:rPr>
        <w:t>3.3.1</w:t>
      </w:r>
      <w:r w:rsidR="00971A8A" w:rsidRPr="00F242DD">
        <w:rPr>
          <w:rStyle w:val="ac"/>
          <w:b/>
        </w:rPr>
        <w:t xml:space="preserve"> </w:t>
      </w:r>
      <w:r w:rsidRPr="00F242DD">
        <w:rPr>
          <w:rStyle w:val="ac"/>
          <w:b/>
        </w:rPr>
        <w:t>Индукционный этап терапии</w:t>
      </w:r>
      <w:bookmarkEnd w:id="29"/>
    </w:p>
    <w:p w14:paraId="6BB01D8D" w14:textId="61A29AE1" w:rsidR="00771514" w:rsidRPr="00805C9F" w:rsidRDefault="000558B2" w:rsidP="00092917">
      <w:pPr>
        <w:pStyle w:val="a6"/>
        <w:numPr>
          <w:ilvl w:val="0"/>
          <w:numId w:val="5"/>
        </w:numPr>
        <w:spacing w:before="0" w:after="0"/>
        <w:ind w:left="0" w:firstLine="0"/>
        <w:rPr>
          <w:szCs w:val="24"/>
        </w:rPr>
      </w:pPr>
      <w:r w:rsidRPr="00805C9F">
        <w:rPr>
          <w:szCs w:val="24"/>
        </w:rPr>
        <w:t>Пациентам</w:t>
      </w:r>
      <w:r w:rsidR="00771514" w:rsidRPr="00805C9F">
        <w:rPr>
          <w:szCs w:val="24"/>
        </w:rPr>
        <w:t xml:space="preserve"> с впервые выявленной ММ в возрасте до 65</w:t>
      </w:r>
      <w:r w:rsidRPr="00805C9F">
        <w:rPr>
          <w:szCs w:val="24"/>
        </w:rPr>
        <w:t xml:space="preserve"> лет</w:t>
      </w:r>
      <w:r w:rsidR="00771514" w:rsidRPr="00805C9F">
        <w:rPr>
          <w:szCs w:val="24"/>
        </w:rPr>
        <w:t>, а также пациентам 65</w:t>
      </w:r>
      <w:r w:rsidR="006517D7" w:rsidRPr="00805C9F">
        <w:rPr>
          <w:szCs w:val="24"/>
        </w:rPr>
        <w:t>−</w:t>
      </w:r>
      <w:r w:rsidR="00771514" w:rsidRPr="00805C9F">
        <w:rPr>
          <w:szCs w:val="24"/>
        </w:rPr>
        <w:t>70</w:t>
      </w:r>
      <w:r w:rsidR="00A425E4" w:rsidRPr="00805C9F">
        <w:rPr>
          <w:szCs w:val="24"/>
        </w:rPr>
        <w:t> </w:t>
      </w:r>
      <w:r w:rsidR="00771514" w:rsidRPr="00805C9F">
        <w:rPr>
          <w:szCs w:val="24"/>
        </w:rPr>
        <w:t>лет с хорошим соматическим статусом без тяжелых сопутствующих заболеваний, которым планируется консолидация ауто</w:t>
      </w:r>
      <w:r w:rsidR="00267DE2" w:rsidRPr="00805C9F">
        <w:rPr>
          <w:szCs w:val="24"/>
        </w:rPr>
        <w:t>-</w:t>
      </w:r>
      <w:r w:rsidR="00771514" w:rsidRPr="00805C9F">
        <w:rPr>
          <w:szCs w:val="24"/>
        </w:rPr>
        <w:t xml:space="preserve">ТГСК, в качестве индукционной терапии </w:t>
      </w:r>
      <w:r w:rsidR="00FF0C02" w:rsidRPr="00805C9F">
        <w:rPr>
          <w:b/>
          <w:szCs w:val="24"/>
        </w:rPr>
        <w:t>рекомендуется</w:t>
      </w:r>
      <w:r w:rsidR="00771514" w:rsidRPr="00805C9F">
        <w:rPr>
          <w:szCs w:val="24"/>
        </w:rPr>
        <w:t xml:space="preserve"> применять один из следующих режимов терапии</w:t>
      </w:r>
      <w:r w:rsidR="00032CFB" w:rsidRPr="00805C9F">
        <w:rPr>
          <w:szCs w:val="24"/>
        </w:rPr>
        <w:t xml:space="preserve"> (описание режимов – см. приложение </w:t>
      </w:r>
      <w:r w:rsidR="00C812D6" w:rsidRPr="00805C9F">
        <w:rPr>
          <w:szCs w:val="24"/>
        </w:rPr>
        <w:t>А3.1</w:t>
      </w:r>
      <w:r w:rsidR="006517D7" w:rsidRPr="00805C9F">
        <w:rPr>
          <w:szCs w:val="24"/>
        </w:rPr>
        <w:t>.</w:t>
      </w:r>
      <w:r w:rsidR="00032CFB" w:rsidRPr="00805C9F">
        <w:rPr>
          <w:szCs w:val="24"/>
        </w:rPr>
        <w:t>)</w:t>
      </w:r>
      <w:r w:rsidR="00946AD8" w:rsidRPr="00805C9F">
        <w:rPr>
          <w:szCs w:val="24"/>
        </w:rPr>
        <w:t xml:space="preserve"> </w:t>
      </w:r>
      <w:r w:rsidR="00A96FB6" w:rsidRPr="00805C9F">
        <w:rPr>
          <w:szCs w:val="24"/>
        </w:rPr>
        <w:fldChar w:fldCharType="begin" w:fldLock="1"/>
      </w:r>
      <w:r w:rsidR="00A14090">
        <w:rPr>
          <w:szCs w:val="24"/>
        </w:rPr>
        <w:instrText>ADDIN CSL_CITATION {"citationItems":[{"id":"ITEM-1","itemData":{"DOI":"10.1002/cncr.28325","ISSN":"0008543X","author":[{"dropping-particle":"","family":"Nooka","given":"Ajay K.","non-dropping-particle":"","parse-names":false,"suffix":""},{"dropping-particle":"","family":"Kaufman","given":"Jonathan L.","non-dropping-particle":"","parse-names":false,"suffix":""},{"dropping-particle":"","family":"Behera","given":"Madhusmita","non-dropping-particle":"","parse-names":false,"suffix":""},{"dropping-particle":"","family":"Langston","given":"Amelia","non-dropping-particle":"","parse-names":false,"suffix":""},{"dropping-particle":"","family":"Waller","given":"Edmund K.","non-dropping-particle":"","parse-names":false,"suffix":""},{"dropping-particle":"","family":"Flowers","given":"Christopher R.","non-dropping-particle":"","parse-names":false,"suffix":""},{"dropping-particle":"","family":"Gleason","given":"Charise","non-dropping-particle":"","parse-names":false,"suffix":""},{"dropping-particle":"","family":"Boise","given":"Lawrence H.","non-dropping-particle":"","parse-names":false,"suffix":""},{"dropping-particle":"","family":"Lonial","given":"Sagar","non-dropping-particle":"","parse-names":false,"suffix":""}],"container-title":"Cancer","id":"ITEM-1","issue":"23","issued":{"date-parts":[["2013","12","1"]]},"page":"4119-4128","title":"Bortezomib-containing induction regimens in transplant-eligible myeloma patients","type":"article-journal","volume":"119"},"uris":["http://www.mendeley.com/documents/?uuid=256f10f7-eef8-3ee6-82f2-127c8c710e16"]},{"id":"ITEM-2","itemData":{"DOI":"10.1111/bjh.12946","ISSN":"13652141","abstract":"Three-drug induction regimens have become the standard of care in newly diagnosed transplant-eligible multiple myeloma patients. Two frequently used protocols are bortezomib, cyclophosphamide and dexamethasone (VCD) and bortezomib, thalidomide and dexamethasone (VTD). Comparisons between the two are lacking. The present study aimed to identify the differences in response rate and toxicity between the two regimens. Databases were searched using the terms 'VTD' or 'VCD' and 'induction regimens for newly diagnosed multiple myeloma'. Prospective trials evaluating initial response in transplant eligible patients were included. The main outcome measures were response rates and adverse events. Eight clinical trials were eligible for analysis. Overall 672 patients were treated with either VCD (n = 157) or VTD (n = 515) as induction therapy. Patients treated with VTD presented with a significantly higher complete/near complete response (34% vs. 6%, P = 0·002) as well as a higher very good partial response rate or better, following induction therapy (62% vs. 27%, P &lt; 0·0001). Although grade 3-4 neurotoxicity was more frequent during VTD therapy (11% vs. 6%, P = 0·057), a higher incidence of overall grade 3-4 adverse events was found in the VCD-treated patients (74% vs. 51%, P &lt; 0·001). VTD induction therapy may be superior in achieving deeper response rate following induction therapy, and is better tolerated. © 2014 John Wiley &amp; Sons Ltd.","author":[{"dropping-particle":"","family":"Leiba","given":"Merav","non-dropping-particle":"","parse-names":false,"suffix":""},{"dropping-particle":"","family":"Kedmi","given":"Meirav","non-dropping-particle":"","parse-names":false,"suffix":""},{"dropping-particle":"","family":"Duek","given":"Adrian","non-dropping-particle":"","parse-names":false,"suffix":""},{"dropping-particle":"","family":"Freidman","given":"Tzachi","non-dropping-particle":"","parse-names":false,"suffix":""},{"dropping-particle":"","family":"Weiss","given":"Mia","non-dropping-particle":"","parse-names":false,"suffix":""},{"dropping-particle":"","family":"Leiba","given":"Ronit","non-dropping-particle":"","parse-names":false,"suffix":""},{"dropping-particle":"","family":"Nagler","given":"Arnon","non-dropping-particle":"","parse-names":false,"suffix":""},{"dropping-particle":"","family":"Avigdor","given":"Abraham","non-dropping-particle":"","parse-names":false,"suffix":""}],"container-title":"British Journal of Haematology","id":"ITEM-2","issue":"5","issued":{"date-parts":[["2014"]]},"page":"702-710","publisher":"Blackwell Publishing Ltd","title":"Bortezomib-Cyclophosphamide-Dexamethasone (VCD) versus Bortezomib-Thalidomide-Dexamethasone (VTD) -based regimens as induction therapies in newly diagnosed transplant eligible patients with multiple myeloma: A meta-analysis","type":"article-journal","volume":"166"},"uris":["http://www.mendeley.com/documents/?uuid=305ba1b6-a29e-353f-b070-b7510acc69ad"]}],"mendeley":{"formattedCitation":"[40,41]","plainTextFormattedCitation":"[40,41]","previouslyFormattedCitation":"[40,41]"},"properties":{"noteIndex":0},"schema":"https://github.com/citation-style-language/schema/raw/master/csl-citation.json"}</w:instrText>
      </w:r>
      <w:r w:rsidR="00A96FB6" w:rsidRPr="00805C9F">
        <w:rPr>
          <w:szCs w:val="24"/>
        </w:rPr>
        <w:fldChar w:fldCharType="separate"/>
      </w:r>
      <w:r w:rsidR="00500F37" w:rsidRPr="00500F37">
        <w:rPr>
          <w:noProof/>
          <w:szCs w:val="24"/>
        </w:rPr>
        <w:t>[40,41]</w:t>
      </w:r>
      <w:r w:rsidR="00A96FB6" w:rsidRPr="00805C9F">
        <w:rPr>
          <w:szCs w:val="24"/>
        </w:rPr>
        <w:fldChar w:fldCharType="end"/>
      </w:r>
      <w:r w:rsidR="00771514" w:rsidRPr="00805C9F">
        <w:rPr>
          <w:szCs w:val="24"/>
        </w:rPr>
        <w:t>:</w:t>
      </w:r>
    </w:p>
    <w:p w14:paraId="5E6A8C14" w14:textId="77777777" w:rsidR="00771514" w:rsidRPr="00805C9F" w:rsidRDefault="00771514" w:rsidP="00092917">
      <w:pPr>
        <w:pStyle w:val="a6"/>
        <w:numPr>
          <w:ilvl w:val="1"/>
          <w:numId w:val="5"/>
        </w:numPr>
        <w:spacing w:before="0" w:after="0"/>
        <w:ind w:left="0" w:firstLine="0"/>
        <w:rPr>
          <w:szCs w:val="24"/>
        </w:rPr>
      </w:pPr>
      <w:r w:rsidRPr="00805C9F">
        <w:rPr>
          <w:szCs w:val="24"/>
        </w:rPr>
        <w:t>Бортезомиб</w:t>
      </w:r>
      <w:r w:rsidR="002A14A3" w:rsidRPr="00805C9F">
        <w:rPr>
          <w:szCs w:val="24"/>
        </w:rPr>
        <w:t>**</w:t>
      </w:r>
      <w:r w:rsidRPr="00805C9F">
        <w:rPr>
          <w:szCs w:val="24"/>
        </w:rPr>
        <w:t>/циклофосфамид</w:t>
      </w:r>
      <w:r w:rsidR="002A14A3" w:rsidRPr="00805C9F">
        <w:rPr>
          <w:szCs w:val="24"/>
        </w:rPr>
        <w:t>**</w:t>
      </w:r>
      <w:r w:rsidRPr="00805C9F">
        <w:rPr>
          <w:szCs w:val="24"/>
        </w:rPr>
        <w:t>/дексаметазон</w:t>
      </w:r>
      <w:r w:rsidR="002A14A3" w:rsidRPr="00805C9F">
        <w:rPr>
          <w:szCs w:val="24"/>
        </w:rPr>
        <w:t>**</w:t>
      </w:r>
      <w:r w:rsidRPr="00805C9F">
        <w:rPr>
          <w:szCs w:val="24"/>
        </w:rPr>
        <w:t xml:space="preserve"> (VCD)</w:t>
      </w:r>
    </w:p>
    <w:p w14:paraId="388CBDCC" w14:textId="77777777" w:rsidR="00771514" w:rsidRPr="00805C9F" w:rsidRDefault="00771514" w:rsidP="00092917">
      <w:pPr>
        <w:pStyle w:val="a6"/>
        <w:numPr>
          <w:ilvl w:val="1"/>
          <w:numId w:val="5"/>
        </w:numPr>
        <w:spacing w:before="0" w:after="0"/>
        <w:ind w:left="0" w:firstLine="0"/>
        <w:rPr>
          <w:szCs w:val="24"/>
        </w:rPr>
      </w:pPr>
      <w:r w:rsidRPr="00805C9F">
        <w:rPr>
          <w:szCs w:val="24"/>
        </w:rPr>
        <w:t>Бортезомиб</w:t>
      </w:r>
      <w:r w:rsidR="002A14A3" w:rsidRPr="00805C9F">
        <w:rPr>
          <w:szCs w:val="24"/>
        </w:rPr>
        <w:t>**</w:t>
      </w:r>
      <w:r w:rsidRPr="00805C9F">
        <w:rPr>
          <w:szCs w:val="24"/>
        </w:rPr>
        <w:t>/доксорубицин</w:t>
      </w:r>
      <w:r w:rsidR="002A14A3" w:rsidRPr="00805C9F">
        <w:rPr>
          <w:szCs w:val="24"/>
        </w:rPr>
        <w:t>**</w:t>
      </w:r>
      <w:r w:rsidRPr="00805C9F">
        <w:rPr>
          <w:szCs w:val="24"/>
        </w:rPr>
        <w:t>/дексаметазон</w:t>
      </w:r>
      <w:r w:rsidR="002A14A3" w:rsidRPr="00805C9F">
        <w:rPr>
          <w:szCs w:val="24"/>
        </w:rPr>
        <w:t>**</w:t>
      </w:r>
      <w:r w:rsidRPr="00805C9F">
        <w:rPr>
          <w:szCs w:val="24"/>
        </w:rPr>
        <w:t xml:space="preserve"> (PAD)</w:t>
      </w:r>
    </w:p>
    <w:p w14:paraId="0A5A0F7B" w14:textId="77777777" w:rsidR="00771514" w:rsidRPr="00805C9F" w:rsidRDefault="00771514" w:rsidP="00092917">
      <w:pPr>
        <w:pStyle w:val="a6"/>
        <w:numPr>
          <w:ilvl w:val="1"/>
          <w:numId w:val="5"/>
        </w:numPr>
        <w:spacing w:before="0" w:after="0"/>
        <w:ind w:left="0" w:firstLine="0"/>
        <w:rPr>
          <w:szCs w:val="24"/>
        </w:rPr>
      </w:pPr>
      <w:r w:rsidRPr="00805C9F">
        <w:rPr>
          <w:szCs w:val="24"/>
        </w:rPr>
        <w:t>Бортезомиб</w:t>
      </w:r>
      <w:r w:rsidR="002A14A3" w:rsidRPr="00805C9F">
        <w:rPr>
          <w:szCs w:val="24"/>
        </w:rPr>
        <w:t>**</w:t>
      </w:r>
      <w:r w:rsidRPr="00805C9F">
        <w:rPr>
          <w:szCs w:val="24"/>
        </w:rPr>
        <w:t>/дексаметазон</w:t>
      </w:r>
      <w:r w:rsidR="002A14A3" w:rsidRPr="00805C9F">
        <w:rPr>
          <w:szCs w:val="24"/>
        </w:rPr>
        <w:t>**</w:t>
      </w:r>
      <w:r w:rsidRPr="00805C9F">
        <w:rPr>
          <w:szCs w:val="24"/>
        </w:rPr>
        <w:t xml:space="preserve"> (VD). </w:t>
      </w:r>
    </w:p>
    <w:p w14:paraId="3C10A964" w14:textId="77777777" w:rsidR="00771514" w:rsidRPr="00805C9F" w:rsidRDefault="00771514" w:rsidP="00092917">
      <w:pPr>
        <w:spacing w:before="0" w:after="0"/>
        <w:contextualSpacing/>
        <w:rPr>
          <w:b/>
          <w:szCs w:val="24"/>
        </w:rPr>
      </w:pPr>
      <w:r w:rsidRPr="00805C9F">
        <w:rPr>
          <w:b/>
          <w:szCs w:val="24"/>
        </w:rPr>
        <w:t xml:space="preserve">Уровень убедительности рекомендаций </w:t>
      </w:r>
      <w:r w:rsidR="006517D7" w:rsidRPr="00805C9F">
        <w:rPr>
          <w:b/>
          <w:szCs w:val="24"/>
        </w:rPr>
        <w:t xml:space="preserve">− </w:t>
      </w:r>
      <w:r w:rsidR="003C7967" w:rsidRPr="00805C9F">
        <w:rPr>
          <w:b/>
          <w:szCs w:val="24"/>
        </w:rPr>
        <w:t>А</w:t>
      </w:r>
      <w:r w:rsidR="00946AD8" w:rsidRPr="00805C9F">
        <w:rPr>
          <w:b/>
          <w:szCs w:val="24"/>
        </w:rPr>
        <w:t xml:space="preserve"> </w:t>
      </w:r>
      <w:r w:rsidRPr="00805C9F">
        <w:rPr>
          <w:b/>
          <w:szCs w:val="24"/>
        </w:rPr>
        <w:t>(уровень достоверности доказательств</w:t>
      </w:r>
      <w:r w:rsidR="00946AD8" w:rsidRPr="00805C9F">
        <w:rPr>
          <w:b/>
          <w:szCs w:val="24"/>
        </w:rPr>
        <w:t xml:space="preserve"> </w:t>
      </w:r>
      <w:r w:rsidR="006517D7" w:rsidRPr="00805C9F">
        <w:rPr>
          <w:b/>
          <w:szCs w:val="24"/>
        </w:rPr>
        <w:t xml:space="preserve">− </w:t>
      </w:r>
      <w:r w:rsidR="003C7967" w:rsidRPr="00805C9F">
        <w:rPr>
          <w:b/>
          <w:szCs w:val="24"/>
        </w:rPr>
        <w:t>1</w:t>
      </w:r>
      <w:r w:rsidRPr="00805C9F">
        <w:rPr>
          <w:b/>
          <w:szCs w:val="24"/>
        </w:rPr>
        <w:t>)</w:t>
      </w:r>
    </w:p>
    <w:p w14:paraId="663F34A5" w14:textId="77777777" w:rsidR="00B202CC" w:rsidRPr="00805C9F" w:rsidRDefault="00771514" w:rsidP="00092917">
      <w:pPr>
        <w:spacing w:before="0" w:after="0"/>
        <w:contextualSpacing/>
        <w:rPr>
          <w:i/>
          <w:szCs w:val="24"/>
        </w:rPr>
      </w:pPr>
      <w:r w:rsidRPr="00805C9F">
        <w:rPr>
          <w:b/>
          <w:szCs w:val="24"/>
        </w:rPr>
        <w:t xml:space="preserve">Комментарий: </w:t>
      </w:r>
      <w:r w:rsidR="006517D7" w:rsidRPr="00805C9F">
        <w:rPr>
          <w:i/>
          <w:szCs w:val="24"/>
        </w:rPr>
        <w:t>т</w:t>
      </w:r>
      <w:r w:rsidR="00BD6C13" w:rsidRPr="00805C9F">
        <w:rPr>
          <w:i/>
          <w:szCs w:val="24"/>
        </w:rPr>
        <w:t>риплеты, включающие бортезомиб</w:t>
      </w:r>
      <w:r w:rsidR="00AD2477" w:rsidRPr="00805C9F">
        <w:rPr>
          <w:i/>
          <w:szCs w:val="24"/>
        </w:rPr>
        <w:t>**</w:t>
      </w:r>
      <w:r w:rsidR="00BD6C13" w:rsidRPr="00805C9F">
        <w:rPr>
          <w:i/>
          <w:szCs w:val="24"/>
        </w:rPr>
        <w:t xml:space="preserve">, считаются самыми эффективными режимами, </w:t>
      </w:r>
      <w:r w:rsidR="00A425E4" w:rsidRPr="00805C9F">
        <w:rPr>
          <w:i/>
          <w:szCs w:val="24"/>
        </w:rPr>
        <w:t>так как</w:t>
      </w:r>
      <w:r w:rsidR="00BD6C13" w:rsidRPr="00805C9F">
        <w:rPr>
          <w:i/>
          <w:szCs w:val="24"/>
        </w:rPr>
        <w:t xml:space="preserve"> имеют большую эффективность, чем </w:t>
      </w:r>
      <w:r w:rsidR="00BD6C13" w:rsidRPr="00805C9F">
        <w:rPr>
          <w:i/>
          <w:szCs w:val="24"/>
          <w:lang w:val="en-US"/>
        </w:rPr>
        <w:t>VD</w:t>
      </w:r>
      <w:r w:rsidR="00BD6C13" w:rsidRPr="00805C9F">
        <w:rPr>
          <w:i/>
          <w:szCs w:val="24"/>
        </w:rPr>
        <w:t>.</w:t>
      </w:r>
      <w:r w:rsidR="00A425E4" w:rsidRPr="00805C9F">
        <w:rPr>
          <w:i/>
          <w:szCs w:val="24"/>
        </w:rPr>
        <w:t xml:space="preserve"> </w:t>
      </w:r>
      <w:r w:rsidR="00BD6C13" w:rsidRPr="00805C9F">
        <w:rPr>
          <w:i/>
          <w:szCs w:val="24"/>
        </w:rPr>
        <w:t>Во всех представленных схемах оптимальным является подкожное введение бортезомиба</w:t>
      </w:r>
      <w:r w:rsidR="00AD2477" w:rsidRPr="00805C9F">
        <w:rPr>
          <w:i/>
          <w:szCs w:val="24"/>
        </w:rPr>
        <w:t>**</w:t>
      </w:r>
      <w:r w:rsidR="00BD6C13" w:rsidRPr="00805C9F">
        <w:rPr>
          <w:i/>
          <w:szCs w:val="24"/>
        </w:rPr>
        <w:t>.</w:t>
      </w:r>
    </w:p>
    <w:p w14:paraId="1EC6F88C" w14:textId="52305E54" w:rsidR="00836298" w:rsidRPr="00805C9F" w:rsidRDefault="001C7369" w:rsidP="008F161A">
      <w:pPr>
        <w:pStyle w:val="a6"/>
        <w:numPr>
          <w:ilvl w:val="0"/>
          <w:numId w:val="134"/>
        </w:numPr>
        <w:spacing w:before="0" w:after="0"/>
        <w:ind w:left="0" w:firstLine="0"/>
        <w:rPr>
          <w:b/>
          <w:szCs w:val="24"/>
        </w:rPr>
      </w:pPr>
      <w:r w:rsidRPr="00805C9F">
        <w:rPr>
          <w:szCs w:val="24"/>
        </w:rPr>
        <w:t xml:space="preserve">Пациентам с впервые выявленной ММ в возрасте до 65 лет, а также пациентам 65−70 лет с хорошим соматическим статусом без тяжелых сопутствующих заболеваний, которым планируется консолидация ауто-ТГСК, в качестве индукционной терапии </w:t>
      </w:r>
      <w:r w:rsidRPr="00805C9F">
        <w:rPr>
          <w:b/>
          <w:szCs w:val="24"/>
        </w:rPr>
        <w:t xml:space="preserve">рекомендуется </w:t>
      </w:r>
      <w:r w:rsidRPr="00805C9F">
        <w:rPr>
          <w:szCs w:val="24"/>
        </w:rPr>
        <w:t xml:space="preserve">комбинированная терапия, включающаяя бортезомиб**, леналидомид ** и дексаметазон**. </w:t>
      </w:r>
      <w:r w:rsidR="00836298" w:rsidRPr="00805C9F">
        <w:rPr>
          <w:szCs w:val="24"/>
        </w:rPr>
        <w:fldChar w:fldCharType="begin" w:fldLock="1"/>
      </w:r>
      <w:r w:rsidR="00A14090">
        <w:rPr>
          <w:szCs w:val="24"/>
        </w:rPr>
        <w:instrText>ADDIN CSL_CITATION {"citationItems":[{"id":"ITEM-1","itemData":{"DOI":"10.1056/nejmoa1611750","ISSN":"0028-4793","PMID":"28379796","abstract":"High-dose chemotherapy plus autologous stem-cell transplantation has been the standard treatment for newly diagnosed multiple myeloma in adults up to 65 years of age. However, promising data on the use of combination therapy with lenalidomide, bortezomib, and dexamethasone (RVD) in this population have raised questions about the role and timing of transplantation. We randomly assigned 700 patients with multiple myeloma to receive induction therapy with three cycles of RVD and then consolidation therapy with either five additional cycles of RVD (350 patients) or high-dose melphalan plus stem-cell transplantation followed by two additional cycles of RVD (350 patients). Patients in both groups received maintenance therapy with lenalidomide for 1 year. The primary end point was progression-free survival. Median progression-free survival was significantly longer in the group that underwent transplantation than in the group that received RVD alone (50 months vs. 36 months; adjusted hazard ratio for disease progression or death, 0.65; P&lt;0.001). This benefit was observed across all patient subgroups, including those stratified according to International Staging System stage and cytogenetic risk. The percentage of patients with a complete response was higher in the transplantation group than in the RVD-alone group (59% vs. 48%, P=0.03), as was the percentage of patients in whom minimal residual disease was not detected (79% vs. 65%, P&lt;0.001). Overall survival at 4 years did not differ significantly between the transplantation group and the RVD-alone group (81% and 82%, respectively). The rate of grade 3 or 4 neutropenia was significantly higher in the transplantation group than in the RVD-alone group (92% vs. 47%), as were the rates of grade 3 or 4 gastrointestinal disorders (28% vs. 7%) and infections (20% vs. 9%). No significant between-group differences were observed in the rates of treatment-related deaths, second primary cancers, thromboembolic events, and peripheral neuropathy. Among adults with multiple myeloma, RVD therapy plus transplantation was associated with significantly longer progression-free survival than RVD therapy alone, but overall survival did not differ significantly between the two approaches. (Supported by Celgene and others; IFM 2009 Study ClinicalTrials.gov number, NCT01191060 .).","author":[{"dropping-particle":"","family":"Attal","given":"Michel","non-dropping-particle":"","parse-names":false,"suffix":""},{"dropping-particle":"","family":"Lauwers-Cances","given":"Valerie","non-dropping-particle":"","parse-names":false,"suffix":""},{"dropping-particle":"","family":"Hulin","given":"Cyrille","non-dropping-particle":"","parse-names":false,"suffix":""},{"dropping-particle":"","family":"Leleu","given":"Xavier","non-dropping-particle":"","parse-names":false,"suffix":""},{"dropping-particle":"","family":"Caillot","given":"Denis","non-dropping-particle":"","parse-names":false,"suffix":""},{"dropping-particle":"","family":"Escoffre","given":"Martine","non-dropping-particle":"","parse-names":false,"suffix":""},{"dropping-particle":"","family":"Arnulf","given":"Bertrand","non-dropping-particle":"","parse-names":false,"suffix":""},{"dropping-particle":"","family":"Macro","given":"Margaret","non-dropping-particle":"","parse-names":false,"suffix":""},{"dropping-particle":"","family":"Belhadj","given":"Karim","non-dropping-particle":"","parse-names":false,"suffix":""},{"dropping-particle":"","family":"Garderet","given":"Laurent","non-dropping-particle":"","parse-names":false,"suffix":""},{"dropping-particle":"","family":"Roussel","given":"Murielle","non-dropping-particle":"","parse-names":false,"suffix":""},{"dropping-particle":"","family":"Payen","given":"Catherine","non-dropping-particle":"","parse-names":false,"suffix":""},{"dropping-particle":"","family":"Mathiot","given":"Claire","non-dropping-particle":"","parse-names":false,"suffix":""},{"dropping-particle":"","family":"Fermand","given":"Jean P.","non-dropping-particle":"","parse-names":false,"suffix":""},{"dropping-particle":"","family":"Meuleman","given":"Nathalie","non-dropping-particle":"","parse-names":false,"suffix":""},{"dropping-particle":"","family":"Rollet","given":"Sandrine","non-dropping-particle":"","parse-names":false,"suffix":""},{"dropping-particle":"","family":"Maglio","given":"Michelle E.","non-dropping-particle":"","parse-names":false,"suffix":""},{"dropping-particle":"","family":"Zeytoonjian","given":"Andrea A.","non-dropping-particle":"","parse-names":false,"suffix":""},{"dropping-particle":"","family":"Weller","given":"Edie A.","non-dropping-particle":"","parse-names":false,"suffix":""},{"dropping-particle":"","family":"Munshi","given":"Nikhil","non-dropping-particle":"","parse-names":false,"suffix":""},{"dropping-particle":"","family":"Anderson","given":"Kenneth C.","non-dropping-particle":"","parse-names":false,"suffix":""},{"dropping-particle":"","family":"Richardson","given":"Paul G.","non-dropping-particle":"","parse-names":false,"suffix":""},{"dropping-particle":"","family":"Facon","given":"Thierry","non-dropping-particle":"","parse-names":false,"suffix":""},{"dropping-particle":"","family":"Avet-Loiseau","given":"Hervé","non-dropping-particle":"","parse-names":false,"suffix":""},{"dropping-particle":"","family":"Harousseau","given":"Jean-Luc","non-dropping-particle":"","parse-names":false,"suffix":""},{"dropping-particle":"","family":"Moreau","given":"Philippe","non-dropping-particle":"","parse-names":false,"suffix":""}],"container-title":"New England Journal of Medicine","id":"ITEM-1","issue":"14","issued":{"date-parts":[["2017","4"]]},"page":"1311-1320","publisher":"New England Journal of Medicine (NEJM/MMS)","title":"Lenalidomide, Bortezomib, and Dexamethasone with Transplantation for Myeloma","type":"article-journal","volume":"376"},"uris":["http://www.mendeley.com/documents/?uuid=fa73918e-e00b-4bf3-bc9c-9608b6247b75"]},{"id":"ITEM-2","itemData":{"DOI":"10.1182/blood.2019000241","ISSN":"15280020","PMID":"31484647","abstract":"Achieving and maintaining a high-quality response is the treatment goal for patients with newly diagnosed multiple myeloma (NDMM). The phase 3 PETHEMA/GEM2012 study, in 458 patients aged £65 years with NDMM, is evaluating bortezomib (subcutaneous) 1 lenalidomide 1 dexamethasone (VRD) for 6 cycles followed by autologous stem cell transplant (ASCT) conditioned with IV busulfan 1 melphalan vs melphalan and posttransplant consolidation with 2 cycles of VRD. We present grouped response analysis of induction, transplant, and consolidation. Responses deepened over time; in patients who initiated cycle 6 of induction (n = 426), the rates of a very good partial response or better were 55.6%by cycle 3, 63.8%by cycle 4, 68.3% by cycle 5, and 70.4%after induction. The complete response rate of 33.4% after induction in the intent-to-treat (ITT) population, which was similar in the 92 patients with high-risk cytogenetics (34.8%), also deepened with further treatment (44.1% after ASCT and 50.2% after consolidation). Rates of undetectable minimal residual disease (median 3 × 10-6 sensitivity) in the ITT population also increased from induction (28.8%) to transplant (42.1%) and consolidation (45.2%). The most common grade ≥3 treatment-emergent adverse events during induction were neutropenia (12.9%) and infection (9.2%). Grade ≥2 peripheral neuropathy (grouped term) during induction was 17.0%, with a low frequency of grade 3 (3.7%) and grade 4 (0.2%) events. VRD is an effective and well-tolerated regimen for induction in NDMM with deepening response throughout induction and over the course of treatment. This trial was registered at www.clinicaltrials.gov as #NCT01916252 and EudraCT as #2012-005683-10.","author":[{"dropping-particle":"","family":"Rosiñol","given":"Laura","non-dropping-particle":"","parse-names":false,"suffix":""},{"dropping-particle":"","family":"Oriol","given":"Albert","non-dropping-particle":"","parse-names":false,"suffix":""},{"dropping-particle":"","family":"Rios","given":"Rafael","non-dropping-particle":"","parse-names":false,"suffix":""},{"dropping-particle":"","family":"Sureda","given":"Anna","non-dropping-particle":"","parse-names":false,"suffix":""},{"dropping-particle":"","family":"Blanchard","given":"María Jesús","non-dropping-particle":"","parse-names":false,"suffix":""},{"dropping-particle":"","family":"Hernández","given":"Miguel Teodoro","non-dropping-particle":"","parse-names":false,"suffix":""},{"dropping-particle":"","family":"Martínez-Martínez","given":"Rafael","non-dropping-particle":"","parse-names":false,"suffix":""},{"dropping-particle":"","family":"Moraleda","given":"Jose M.","non-dropping-particle":"","parse-names":false,"suffix":""},{"dropping-particle":"","family":"Jarque","given":"Isidro","non-dropping-particle":"","parse-names":false,"suffix":""},{"dropping-particle":"","family":"Bargay","given":"Juan","non-dropping-particle":"","parse-names":false,"suffix":""},{"dropping-particle":"","family":"Gironella","given":"Mercedes","non-dropping-particle":"","parse-names":false,"suffix":""},{"dropping-particle":"","family":"Arriba","given":"Felipe","non-dropping-particle":"De","parse-names":false,"suffix":""},{"dropping-particle":"","family":"Palomera","given":"Luis","non-dropping-particle":"","parse-names":false,"suffix":""},{"dropping-particle":"","family":"González-Montes","given":"Yolanda","non-dropping-particle":"","parse-names":false,"suffix":""},{"dropping-particle":"","family":"Martí","given":"Josep M.","non-dropping-particle":"","parse-names":false,"suffix":""},{"dropping-particle":"","family":"Krsnik","given":"Isabel","non-dropping-particle":"","parse-names":false,"suffix":""},{"dropping-particle":"","family":"Arguiñano","given":"Jose M.","non-dropping-particle":"","parse-names":false,"suffix":""},{"dropping-particle":"","family":"González","given":"Maria Esther","non-dropping-particle":"","parse-names":false,"suffix":""},{"dropping-particle":"","family":"González","given":"Ana Pilar","non-dropping-particle":"","parse-names":false,"suffix":""},{"dropping-particle":"","family":"Casado","given":"Luis Felipe","non-dropping-particle":"","parse-names":false,"suffix":""},{"dropping-particle":"","family":"López-Anglada","given":"Lucia","non-dropping-particle":"","parse-names":false,"suffix":""},{"dropping-particle":"","family":"Paiva","given":"Bruno","non-dropping-particle":"","parse-names":false,"suffix":""},{"dropping-particle":"","family":"Mateos","given":"Maria Victoria","non-dropping-particle":"","parse-names":false,"suffix":""},{"dropping-particle":"","family":"Miguel","given":"Jesus F.San","non-dropping-particle":"","parse-names":false,"suffix":""},{"dropping-particle":"","family":"Lahuerta","given":"Juan José","non-dropping-particle":"","parse-names":false,"suffix":""},{"dropping-particle":"","family":"Bladé","given":"Joan","non-dropping-particle":"","parse-names":false,"suffix":""}],"container-title":"Blood","id":"ITEM-2","issue":"16","issued":{"date-parts":[["2019","10"]]},"page":"1337-1345","publisher":"American Society of Hematology","title":"Bortezomib, lenalidomide, and dexamethasone as induction therapy prior to autologous transplant in multiple myeloma","type":"article-journal","volume":"134"},"uris":["http://www.mendeley.com/documents/?uuid=acb22fa3-5a77-46a5-8cd1-61d639feab0f"]}],"mendeley":{"formattedCitation":"[42,43]","plainTextFormattedCitation":"[42,43]","previouslyFormattedCitation":"[42,43]"},"properties":{"noteIndex":0},"schema":"https://github.com/citation-style-language/schema/raw/master/csl-citation.json"}</w:instrText>
      </w:r>
      <w:r w:rsidR="00836298" w:rsidRPr="00805C9F">
        <w:rPr>
          <w:szCs w:val="24"/>
        </w:rPr>
        <w:fldChar w:fldCharType="separate"/>
      </w:r>
      <w:r w:rsidR="00500F37" w:rsidRPr="00500F37">
        <w:rPr>
          <w:noProof/>
          <w:szCs w:val="24"/>
        </w:rPr>
        <w:t>[42,43]</w:t>
      </w:r>
      <w:r w:rsidR="00836298" w:rsidRPr="00805C9F">
        <w:rPr>
          <w:szCs w:val="24"/>
        </w:rPr>
        <w:fldChar w:fldCharType="end"/>
      </w:r>
    </w:p>
    <w:p w14:paraId="0EB25B7F" w14:textId="5239D804" w:rsidR="001C7369" w:rsidRPr="00805C9F" w:rsidRDefault="00836298" w:rsidP="00836298">
      <w:pPr>
        <w:pStyle w:val="a6"/>
        <w:spacing w:before="0" w:after="0"/>
        <w:ind w:left="0"/>
        <w:rPr>
          <w:b/>
          <w:szCs w:val="24"/>
        </w:rPr>
      </w:pPr>
      <w:r w:rsidRPr="00805C9F">
        <w:rPr>
          <w:b/>
          <w:szCs w:val="24"/>
        </w:rPr>
        <w:t xml:space="preserve"> </w:t>
      </w:r>
      <w:r w:rsidR="001C7369" w:rsidRPr="00805C9F">
        <w:rPr>
          <w:b/>
          <w:szCs w:val="24"/>
        </w:rPr>
        <w:t>Уровень убедительности рекомендаций − A (уровень достоверности доказательств − 1)</w:t>
      </w:r>
    </w:p>
    <w:p w14:paraId="2D0876A0" w14:textId="23F447B5" w:rsidR="001C7369" w:rsidRPr="00805C9F" w:rsidRDefault="001C7369" w:rsidP="001C7369">
      <w:pPr>
        <w:widowControl w:val="0"/>
        <w:autoSpaceDE w:val="0"/>
        <w:autoSpaceDN w:val="0"/>
        <w:adjustRightInd w:val="0"/>
        <w:spacing w:before="0" w:after="0"/>
        <w:ind w:right="-6" w:firstLine="709"/>
        <w:rPr>
          <w:i/>
          <w:szCs w:val="24"/>
        </w:rPr>
      </w:pPr>
      <w:r w:rsidRPr="00805C9F">
        <w:rPr>
          <w:b/>
          <w:szCs w:val="24"/>
        </w:rPr>
        <w:t xml:space="preserve">Комментарий: </w:t>
      </w:r>
      <w:r w:rsidRPr="00805C9F">
        <w:rPr>
          <w:i/>
          <w:szCs w:val="24"/>
        </w:rPr>
        <w:t>Результаты исследования PETHEMA GEM2012 подтвердили эффективность применения RV</w:t>
      </w:r>
      <w:r w:rsidR="00CA66B5" w:rsidRPr="00805C9F">
        <w:rPr>
          <w:i/>
          <w:szCs w:val="24"/>
          <w:lang w:val="en-US"/>
        </w:rPr>
        <w:t>D</w:t>
      </w:r>
      <w:r w:rsidRPr="00805C9F">
        <w:rPr>
          <w:i/>
          <w:szCs w:val="24"/>
        </w:rPr>
        <w:t xml:space="preserve"> в качестве индукционной терапии у пациентов с ВДММ, подлежащих ауто-ТГСК. Все пациенты, включенные в исследование,</w:t>
      </w:r>
      <w:r w:rsidR="00CA66B5" w:rsidRPr="00805C9F">
        <w:rPr>
          <w:i/>
          <w:szCs w:val="24"/>
        </w:rPr>
        <w:t xml:space="preserve"> получали RV</w:t>
      </w:r>
      <w:r w:rsidR="00CA66B5" w:rsidRPr="00805C9F">
        <w:rPr>
          <w:i/>
          <w:szCs w:val="24"/>
          <w:lang w:val="en-US"/>
        </w:rPr>
        <w:t>D</w:t>
      </w:r>
      <w:r w:rsidRPr="00805C9F">
        <w:rPr>
          <w:i/>
          <w:szCs w:val="24"/>
        </w:rPr>
        <w:t xml:space="preserve"> в качестве индукции ремиссии с последующими однократной или тандемной ауто-ТГСК. </w:t>
      </w:r>
      <w:r w:rsidRPr="00805C9F">
        <w:rPr>
          <w:i/>
          <w:szCs w:val="24"/>
        </w:rPr>
        <w:lastRenderedPageBreak/>
        <w:t xml:space="preserve">Частота </w:t>
      </w:r>
      <w:r w:rsidR="00257EC8" w:rsidRPr="00805C9F">
        <w:rPr>
          <w:i/>
          <w:szCs w:val="24"/>
        </w:rPr>
        <w:t xml:space="preserve">общего ответа </w:t>
      </w:r>
      <w:r w:rsidRPr="00805C9F">
        <w:rPr>
          <w:i/>
          <w:szCs w:val="24"/>
        </w:rPr>
        <w:t>Ч</w:t>
      </w:r>
      <w:r w:rsidR="00257EC8" w:rsidRPr="00805C9F">
        <w:rPr>
          <w:i/>
          <w:szCs w:val="24"/>
        </w:rPr>
        <w:t>Р</w:t>
      </w:r>
      <w:r w:rsidRPr="00805C9F">
        <w:rPr>
          <w:i/>
          <w:szCs w:val="24"/>
        </w:rPr>
        <w:t xml:space="preserve"> после индукции составила 83,4%, а частота П</w:t>
      </w:r>
      <w:r w:rsidR="00257EC8" w:rsidRPr="00805C9F">
        <w:rPr>
          <w:i/>
          <w:szCs w:val="24"/>
        </w:rPr>
        <w:t>Р</w:t>
      </w:r>
      <w:r w:rsidRPr="00805C9F">
        <w:rPr>
          <w:i/>
          <w:szCs w:val="24"/>
        </w:rPr>
        <w:t xml:space="preserve"> – 33,4 %. После проведения ауто-ТГСК и консолидации, частота П</w:t>
      </w:r>
      <w:r w:rsidR="00257EC8" w:rsidRPr="00805C9F">
        <w:rPr>
          <w:i/>
          <w:szCs w:val="24"/>
        </w:rPr>
        <w:t>Р</w:t>
      </w:r>
      <w:r w:rsidRPr="00805C9F">
        <w:rPr>
          <w:i/>
          <w:szCs w:val="24"/>
        </w:rPr>
        <w:t xml:space="preserve"> </w:t>
      </w:r>
      <w:r w:rsidR="00257EC8" w:rsidRPr="00805C9F">
        <w:rPr>
          <w:i/>
          <w:szCs w:val="24"/>
        </w:rPr>
        <w:t xml:space="preserve">увеличилась до </w:t>
      </w:r>
      <w:r w:rsidRPr="00805C9F">
        <w:rPr>
          <w:i/>
          <w:szCs w:val="24"/>
        </w:rPr>
        <w:t>5</w:t>
      </w:r>
      <w:r w:rsidR="00257EC8" w:rsidRPr="00805C9F">
        <w:rPr>
          <w:i/>
          <w:szCs w:val="24"/>
        </w:rPr>
        <w:t>0</w:t>
      </w:r>
      <w:r w:rsidRPr="00805C9F">
        <w:rPr>
          <w:i/>
          <w:szCs w:val="24"/>
        </w:rPr>
        <w:t>%</w:t>
      </w:r>
      <w:r w:rsidR="00257EC8" w:rsidRPr="00805C9F">
        <w:rPr>
          <w:i/>
          <w:szCs w:val="24"/>
        </w:rPr>
        <w:t>, МОБ-негативность констатирована в 65,9% случаев</w:t>
      </w:r>
      <w:r w:rsidRPr="00805C9F">
        <w:rPr>
          <w:i/>
          <w:szCs w:val="24"/>
        </w:rPr>
        <w:t>.</w:t>
      </w:r>
    </w:p>
    <w:p w14:paraId="41C3B85A" w14:textId="28D1E644" w:rsidR="006F294C" w:rsidRPr="00805C9F" w:rsidRDefault="00D91257" w:rsidP="00D91257">
      <w:pPr>
        <w:widowControl w:val="0"/>
        <w:autoSpaceDE w:val="0"/>
        <w:autoSpaceDN w:val="0"/>
        <w:adjustRightInd w:val="0"/>
        <w:spacing w:before="0" w:after="0"/>
        <w:ind w:right="-6" w:firstLine="709"/>
        <w:rPr>
          <w:color w:val="000000" w:themeColor="text1"/>
          <w:szCs w:val="24"/>
        </w:rPr>
      </w:pPr>
      <w:r w:rsidRPr="00805C9F">
        <w:rPr>
          <w:i/>
          <w:szCs w:val="24"/>
        </w:rPr>
        <w:t>И</w:t>
      </w:r>
      <w:r w:rsidR="001C7369" w:rsidRPr="00805C9F">
        <w:rPr>
          <w:i/>
          <w:szCs w:val="24"/>
        </w:rPr>
        <w:t>сследование IFM 2009 представляло собой рандомизированное контролируемое открытое многоцентровое исследование III фазы, включавшее 700 пациентов с ВДММ, подлежащих ауто-ТГСК.</w:t>
      </w:r>
      <w:r w:rsidRPr="00805C9F">
        <w:rPr>
          <w:i/>
          <w:szCs w:val="24"/>
        </w:rPr>
        <w:t xml:space="preserve"> </w:t>
      </w:r>
      <w:r w:rsidR="001C7369" w:rsidRPr="00805C9F">
        <w:rPr>
          <w:i/>
          <w:szCs w:val="24"/>
        </w:rPr>
        <w:t xml:space="preserve">Пациенты получали </w:t>
      </w:r>
      <w:r w:rsidR="00696726" w:rsidRPr="00805C9F">
        <w:rPr>
          <w:i/>
          <w:szCs w:val="24"/>
        </w:rPr>
        <w:t>индукционную терапию,</w:t>
      </w:r>
      <w:r w:rsidR="001C7369" w:rsidRPr="00805C9F">
        <w:rPr>
          <w:i/>
          <w:szCs w:val="24"/>
        </w:rPr>
        <w:t xml:space="preserve"> включавшую леналидомид</w:t>
      </w:r>
      <w:r w:rsidR="00696726" w:rsidRPr="00805C9F">
        <w:rPr>
          <w:i/>
          <w:szCs w:val="24"/>
        </w:rPr>
        <w:t>**</w:t>
      </w:r>
      <w:r w:rsidR="001C7369" w:rsidRPr="00805C9F">
        <w:rPr>
          <w:i/>
          <w:szCs w:val="24"/>
        </w:rPr>
        <w:t>, бортезомиб</w:t>
      </w:r>
      <w:r w:rsidR="00696726" w:rsidRPr="00805C9F">
        <w:rPr>
          <w:i/>
          <w:szCs w:val="24"/>
        </w:rPr>
        <w:t>**</w:t>
      </w:r>
      <w:r w:rsidR="001C7369" w:rsidRPr="00805C9F">
        <w:rPr>
          <w:i/>
          <w:szCs w:val="24"/>
        </w:rPr>
        <w:t xml:space="preserve"> </w:t>
      </w:r>
      <w:r w:rsidR="00696726" w:rsidRPr="00805C9F">
        <w:rPr>
          <w:i/>
          <w:szCs w:val="24"/>
        </w:rPr>
        <w:t>и дексаметазон**</w:t>
      </w:r>
      <w:r w:rsidR="001C7369" w:rsidRPr="00805C9F">
        <w:rPr>
          <w:i/>
          <w:szCs w:val="24"/>
        </w:rPr>
        <w:t xml:space="preserve"> с последующей ауто-ТГСК в одной группе и без таковой в другой. Из числа пациентов в группе RV</w:t>
      </w:r>
      <w:r w:rsidR="00CA66B5" w:rsidRPr="00805C9F">
        <w:rPr>
          <w:i/>
          <w:szCs w:val="24"/>
          <w:lang w:val="en-US"/>
        </w:rPr>
        <w:t>D</w:t>
      </w:r>
      <w:r w:rsidR="001C7369" w:rsidRPr="00805C9F">
        <w:rPr>
          <w:i/>
          <w:szCs w:val="24"/>
        </w:rPr>
        <w:t xml:space="preserve"> + ауто-ТГСК (n = 350), доля, достигших ответа ≥ ОХЧР, составила 88 %; ПР - 59 %. В группе пациентов, получивших RV</w:t>
      </w:r>
      <w:r w:rsidR="00CA66B5" w:rsidRPr="00805C9F">
        <w:rPr>
          <w:i/>
          <w:szCs w:val="24"/>
          <w:lang w:val="en-US"/>
        </w:rPr>
        <w:t>D</w:t>
      </w:r>
      <w:r w:rsidR="001C7369" w:rsidRPr="00805C9F">
        <w:rPr>
          <w:i/>
          <w:szCs w:val="24"/>
        </w:rPr>
        <w:t xml:space="preserve"> без последующей трансплантации, данные показатели составили 77% и 48%, соответственно.</w:t>
      </w:r>
      <w:r w:rsidRPr="00805C9F">
        <w:rPr>
          <w:i/>
          <w:szCs w:val="24"/>
        </w:rPr>
        <w:t xml:space="preserve"> </w:t>
      </w:r>
      <w:r w:rsidR="001C7369" w:rsidRPr="00805C9F">
        <w:rPr>
          <w:i/>
          <w:szCs w:val="24"/>
        </w:rPr>
        <w:t>Медиана ВБП была значительно выше при RV</w:t>
      </w:r>
      <w:r w:rsidR="00CA66B5" w:rsidRPr="00805C9F">
        <w:rPr>
          <w:i/>
          <w:szCs w:val="24"/>
          <w:lang w:val="en-US"/>
        </w:rPr>
        <w:t>D</w:t>
      </w:r>
      <w:r w:rsidR="00CA66B5" w:rsidRPr="00805C9F">
        <w:rPr>
          <w:i/>
          <w:szCs w:val="24"/>
        </w:rPr>
        <w:t xml:space="preserve"> </w:t>
      </w:r>
      <w:r w:rsidR="001C7369" w:rsidRPr="00805C9F">
        <w:rPr>
          <w:i/>
          <w:szCs w:val="24"/>
        </w:rPr>
        <w:t>+ ауто-ТГСК (50 месяцев) по сравнению с RV</w:t>
      </w:r>
      <w:r w:rsidR="00CA66B5" w:rsidRPr="00805C9F">
        <w:rPr>
          <w:i/>
          <w:szCs w:val="24"/>
          <w:lang w:val="en-US"/>
        </w:rPr>
        <w:t>D</w:t>
      </w:r>
      <w:r w:rsidR="001C7369" w:rsidRPr="00805C9F">
        <w:rPr>
          <w:i/>
          <w:szCs w:val="24"/>
        </w:rPr>
        <w:t xml:space="preserve"> без ауто-ТГСК (36 месяцев; </w:t>
      </w:r>
      <w:r w:rsidRPr="00805C9F">
        <w:rPr>
          <w:i/>
          <w:szCs w:val="24"/>
        </w:rPr>
        <w:t>р</w:t>
      </w:r>
      <w:r w:rsidR="001C7369" w:rsidRPr="00805C9F">
        <w:rPr>
          <w:i/>
          <w:szCs w:val="24"/>
        </w:rPr>
        <w:t xml:space="preserve"> &lt;0,001).</w:t>
      </w:r>
      <w:r w:rsidR="006F294C" w:rsidRPr="00805C9F">
        <w:rPr>
          <w:color w:val="000000" w:themeColor="text1"/>
          <w:szCs w:val="24"/>
        </w:rPr>
        <w:t xml:space="preserve"> </w:t>
      </w:r>
    </w:p>
    <w:p w14:paraId="1EB12707" w14:textId="58017A29" w:rsidR="001C7369" w:rsidRPr="00805C9F" w:rsidRDefault="006F294C" w:rsidP="00D91257">
      <w:pPr>
        <w:widowControl w:val="0"/>
        <w:autoSpaceDE w:val="0"/>
        <w:autoSpaceDN w:val="0"/>
        <w:adjustRightInd w:val="0"/>
        <w:spacing w:before="0" w:after="0"/>
        <w:ind w:right="-6" w:firstLine="709"/>
        <w:rPr>
          <w:i/>
          <w:szCs w:val="24"/>
        </w:rPr>
      </w:pPr>
      <w:r w:rsidRPr="00805C9F">
        <w:rPr>
          <w:i/>
          <w:color w:val="000000" w:themeColor="text1"/>
          <w:szCs w:val="24"/>
        </w:rPr>
        <w:t>У пациентов, которым показана ауто-ТГСК, мобилизацию</w:t>
      </w:r>
      <w:r w:rsidR="00CA66B5" w:rsidRPr="00805C9F">
        <w:rPr>
          <w:i/>
          <w:color w:val="000000" w:themeColor="text1"/>
          <w:szCs w:val="24"/>
        </w:rPr>
        <w:t xml:space="preserve"> гемопоэтических </w:t>
      </w:r>
      <w:r w:rsidRPr="00805C9F">
        <w:rPr>
          <w:i/>
          <w:color w:val="000000" w:themeColor="text1"/>
          <w:szCs w:val="24"/>
        </w:rPr>
        <w:t xml:space="preserve">стволовых клеток рекомендуется проводить после </w:t>
      </w:r>
      <w:r w:rsidR="00696726" w:rsidRPr="00805C9F">
        <w:rPr>
          <w:i/>
          <w:color w:val="000000" w:themeColor="text1"/>
          <w:szCs w:val="24"/>
        </w:rPr>
        <w:t>4 циклов терапии</w:t>
      </w:r>
      <w:r w:rsidRPr="00805C9F">
        <w:rPr>
          <w:i/>
          <w:color w:val="000000" w:themeColor="text1"/>
          <w:szCs w:val="24"/>
        </w:rPr>
        <w:t xml:space="preserve"> по схеме </w:t>
      </w:r>
      <w:r w:rsidR="00696726" w:rsidRPr="00805C9F">
        <w:rPr>
          <w:i/>
          <w:szCs w:val="24"/>
        </w:rPr>
        <w:t>RV</w:t>
      </w:r>
      <w:r w:rsidR="00CA66B5" w:rsidRPr="00805C9F">
        <w:rPr>
          <w:i/>
          <w:szCs w:val="24"/>
          <w:lang w:val="en-US"/>
        </w:rPr>
        <w:t>D</w:t>
      </w:r>
      <w:r w:rsidRPr="00805C9F">
        <w:rPr>
          <w:i/>
          <w:color w:val="000000" w:themeColor="text1"/>
          <w:szCs w:val="24"/>
        </w:rPr>
        <w:t>.</w:t>
      </w:r>
    </w:p>
    <w:p w14:paraId="21D39D8C" w14:textId="687CB3DE" w:rsidR="00A625FE" w:rsidRPr="00805C9F" w:rsidRDefault="003C7967" w:rsidP="00092917">
      <w:pPr>
        <w:pStyle w:val="a6"/>
        <w:numPr>
          <w:ilvl w:val="0"/>
          <w:numId w:val="5"/>
        </w:numPr>
        <w:spacing w:before="0" w:after="0"/>
        <w:ind w:left="0" w:firstLine="0"/>
        <w:rPr>
          <w:szCs w:val="24"/>
        </w:rPr>
      </w:pPr>
      <w:r w:rsidRPr="00805C9F">
        <w:rPr>
          <w:szCs w:val="24"/>
        </w:rPr>
        <w:t>Пациентам</w:t>
      </w:r>
      <w:r w:rsidR="00A625FE" w:rsidRPr="00805C9F">
        <w:rPr>
          <w:szCs w:val="24"/>
        </w:rPr>
        <w:t xml:space="preserve"> с впервые выявленной ММ в возрасте до 65</w:t>
      </w:r>
      <w:r w:rsidR="002A14A3" w:rsidRPr="00805C9F">
        <w:rPr>
          <w:szCs w:val="24"/>
        </w:rPr>
        <w:t xml:space="preserve"> лет</w:t>
      </w:r>
      <w:r w:rsidR="00A625FE" w:rsidRPr="00805C9F">
        <w:rPr>
          <w:szCs w:val="24"/>
        </w:rPr>
        <w:t>, а также пациентам 65</w:t>
      </w:r>
      <w:r w:rsidR="00A425E4" w:rsidRPr="00805C9F">
        <w:rPr>
          <w:szCs w:val="24"/>
        </w:rPr>
        <w:t>−</w:t>
      </w:r>
      <w:r w:rsidR="00A625FE" w:rsidRPr="00805C9F">
        <w:rPr>
          <w:szCs w:val="24"/>
        </w:rPr>
        <w:t>70</w:t>
      </w:r>
      <w:r w:rsidR="00A425E4" w:rsidRPr="00805C9F">
        <w:rPr>
          <w:szCs w:val="24"/>
        </w:rPr>
        <w:t> </w:t>
      </w:r>
      <w:r w:rsidR="00A625FE" w:rsidRPr="00805C9F">
        <w:rPr>
          <w:szCs w:val="24"/>
        </w:rPr>
        <w:t xml:space="preserve">лет с хорошим соматическим статусом без тяжелых сопутствующих заболеваний, которым планируется </w:t>
      </w:r>
      <w:r w:rsidR="001F641D" w:rsidRPr="00805C9F">
        <w:rPr>
          <w:szCs w:val="24"/>
        </w:rPr>
        <w:t>выполнение</w:t>
      </w:r>
      <w:r w:rsidR="00A625FE" w:rsidRPr="00805C9F">
        <w:rPr>
          <w:szCs w:val="24"/>
        </w:rPr>
        <w:t xml:space="preserve"> ауто</w:t>
      </w:r>
      <w:r w:rsidR="00267DE2" w:rsidRPr="00805C9F">
        <w:rPr>
          <w:szCs w:val="24"/>
        </w:rPr>
        <w:t>-</w:t>
      </w:r>
      <w:r w:rsidR="00A625FE" w:rsidRPr="00805C9F">
        <w:rPr>
          <w:szCs w:val="24"/>
        </w:rPr>
        <w:t>ТГСК, при недостаточном ответе на индукционную терапию бортезомибсодержащ</w:t>
      </w:r>
      <w:r w:rsidR="0058682B" w:rsidRPr="00805C9F">
        <w:rPr>
          <w:szCs w:val="24"/>
        </w:rPr>
        <w:t>ими режимами (не</w:t>
      </w:r>
      <w:r w:rsidR="00A425E4" w:rsidRPr="00805C9F">
        <w:rPr>
          <w:szCs w:val="24"/>
        </w:rPr>
        <w:t> </w:t>
      </w:r>
      <w:r w:rsidR="0058682B" w:rsidRPr="00805C9F">
        <w:rPr>
          <w:szCs w:val="24"/>
        </w:rPr>
        <w:t xml:space="preserve">достигнута по крайней мере </w:t>
      </w:r>
      <w:r w:rsidR="007071BD" w:rsidRPr="00805C9F">
        <w:rPr>
          <w:szCs w:val="24"/>
        </w:rPr>
        <w:t>ЧР</w:t>
      </w:r>
      <w:r w:rsidR="00031AAD" w:rsidRPr="00805C9F">
        <w:rPr>
          <w:szCs w:val="24"/>
        </w:rPr>
        <w:t xml:space="preserve"> </w:t>
      </w:r>
      <w:r w:rsidR="0058682B" w:rsidRPr="00805C9F">
        <w:rPr>
          <w:szCs w:val="24"/>
        </w:rPr>
        <w:t>после 4</w:t>
      </w:r>
      <w:r w:rsidR="001404D0" w:rsidRPr="00805C9F">
        <w:rPr>
          <w:szCs w:val="24"/>
        </w:rPr>
        <w:t>−</w:t>
      </w:r>
      <w:r w:rsidR="0058682B" w:rsidRPr="00805C9F">
        <w:rPr>
          <w:szCs w:val="24"/>
        </w:rPr>
        <w:t>6 циклов)</w:t>
      </w:r>
      <w:r w:rsidR="00727909" w:rsidRPr="00805C9F">
        <w:rPr>
          <w:szCs w:val="24"/>
        </w:rPr>
        <w:t xml:space="preserve"> </w:t>
      </w:r>
      <w:r w:rsidR="00FF0C02" w:rsidRPr="00805C9F">
        <w:rPr>
          <w:b/>
          <w:szCs w:val="24"/>
        </w:rPr>
        <w:t>рекомендуется</w:t>
      </w:r>
      <w:r w:rsidR="00A625FE" w:rsidRPr="00805C9F">
        <w:rPr>
          <w:szCs w:val="24"/>
        </w:rPr>
        <w:t xml:space="preserve"> применять </w:t>
      </w:r>
      <w:r w:rsidR="001404D0" w:rsidRPr="00805C9F">
        <w:rPr>
          <w:szCs w:val="24"/>
        </w:rPr>
        <w:br/>
        <w:t>2-</w:t>
      </w:r>
      <w:r w:rsidR="0058682B" w:rsidRPr="00805C9F">
        <w:rPr>
          <w:szCs w:val="24"/>
        </w:rPr>
        <w:t xml:space="preserve">ю линию терапии </w:t>
      </w:r>
      <w:r w:rsidR="00A625FE" w:rsidRPr="00805C9F">
        <w:rPr>
          <w:szCs w:val="24"/>
        </w:rPr>
        <w:t>од</w:t>
      </w:r>
      <w:r w:rsidR="0058682B" w:rsidRPr="00805C9F">
        <w:rPr>
          <w:szCs w:val="24"/>
        </w:rPr>
        <w:t>ним</w:t>
      </w:r>
      <w:r w:rsidR="00A625FE" w:rsidRPr="00805C9F">
        <w:rPr>
          <w:szCs w:val="24"/>
        </w:rPr>
        <w:t xml:space="preserve"> из следующих</w:t>
      </w:r>
      <w:r w:rsidR="00E3158E" w:rsidRPr="00805C9F">
        <w:rPr>
          <w:szCs w:val="24"/>
        </w:rPr>
        <w:t xml:space="preserve"> </w:t>
      </w:r>
      <w:r w:rsidR="0058682B" w:rsidRPr="00805C9F">
        <w:rPr>
          <w:szCs w:val="24"/>
        </w:rPr>
        <w:t>леналидомидсодержащих</w:t>
      </w:r>
      <w:r w:rsidR="00A625FE" w:rsidRPr="00805C9F">
        <w:rPr>
          <w:szCs w:val="24"/>
        </w:rPr>
        <w:t xml:space="preserve"> режимов терапии</w:t>
      </w:r>
      <w:r w:rsidR="00032CFB" w:rsidRPr="00805C9F">
        <w:rPr>
          <w:szCs w:val="24"/>
        </w:rPr>
        <w:t xml:space="preserve"> (описание режимов – см. приложение </w:t>
      </w:r>
      <w:r w:rsidR="00C812D6" w:rsidRPr="00805C9F">
        <w:rPr>
          <w:szCs w:val="24"/>
        </w:rPr>
        <w:t>А3.1</w:t>
      </w:r>
      <w:r w:rsidR="00032CFB" w:rsidRPr="00805C9F">
        <w:rPr>
          <w:szCs w:val="24"/>
        </w:rPr>
        <w:t>)</w:t>
      </w:r>
      <w:r w:rsidR="00E3158E" w:rsidRPr="00805C9F">
        <w:rPr>
          <w:szCs w:val="24"/>
        </w:rPr>
        <w:t xml:space="preserve"> </w:t>
      </w:r>
      <w:r w:rsidR="00A96FB6" w:rsidRPr="00805C9F">
        <w:rPr>
          <w:szCs w:val="24"/>
        </w:rPr>
        <w:fldChar w:fldCharType="begin" w:fldLock="1"/>
      </w:r>
      <w:r w:rsidR="00A14090">
        <w:rPr>
          <w:szCs w:val="24"/>
        </w:rPr>
        <w:instrText>ADDIN CSL_CITATION {"citationItems":[{"id":"ITEM-1","itemData":{"DOI":"10.1155/2012/712613","ISSN":"16879104","abstract":"Although multiple myeloma remains incurable outside of allogeneic hematopoietic stem cell transplantation, novel agents made available only in the last few decades have nonetheless tremendously improved the landscape of myeloma treatment. Lenalidomide, of the immunomodulatory class of drugs, is one of those novel agents. In the non-transplant and relapsed/refractory settings, lenalidomide clearly benefits patients in terms of virtually all meaningful outcomes including overall survival. Data supporting the usage of lenalidomide as part of treatment approaches incorporating high-dose chemotherapy with autologous stem cell support (ASCT) are less mature as pertains to such long-term outcomes and toxicity, and lenalidomide is not currently approved by regulatory agencies for use in the context of ASCT in either the United States or Europe. That said, relatively preliminary efficacy data describing lenalidomide as a component of ASCT-based treatment approaches to MM are indeed promising, and consequently lenalidomide’s role in ASCT-based treatment strategies is growing. In this review we summarize existing data that pertains to lenalidomide in the specific context of ASCT, and we share our thoughts on how our own group applies these data to approach this complex issue clinically.","author":[{"dropping-particle":"","family":"Tuchman","given":"S. A.","non-dropping-particle":"","parse-names":false,"suffix":""},{"dropping-particle":"","family":"Chao","given":"N. J.","non-dropping-particle":"","parse-names":false,"suffix":""},{"dropping-particle":"","family":"Gasparetto","given":"C. G.","non-dropping-particle":"","parse-names":false,"suffix":""}],"container-title":"Advances in Hematology","id":"ITEM-1","issued":{"date-parts":[["2012"]]},"title":"Lenalidomide before and after autologous hematopoietic stem cell transplantation in multiple myeloma","type":"article","volume":"2012"},"uris":["http://www.mendeley.com/documents/?uuid=330c55ae-fe1c-3bb9-a9c3-2ee72be5b533"]},{"id":"ITEM-2","itemData":{"DOI":"10.1182/blood-2008-10-184135","ISSN":"00064971","abstract":"We conducted a phase 1/2 trial combining lenalidomide (R) with adriamycin (A) and dexamethasone (D) for relapsed and relapsed-refractory myeloma to determine tolerability and efficacy of this novel regimen, RAD, delivered for six 28-day cycles.Atotal of 69 intensively pretreated patients with a median age of 65 years (range, 46-77 years) were enrolled. Using pegfilgrastim (G), the maximum tolerated dose (MTD) was formally not reached at the highest dose level (R, 25 mg on days 1-21; A, 9 mg/m2 intravenously on days 1-4; and D, 40 mg on days 1-4 and 17-20; dose level 5+G), which was then used to determine efficacy. Grades 3/4 neutropenia and thrombocytopenia were seen in 48% and 38% of patients, respectively. Thromboembolic events occurred in 4.5% and severe infections in 10.5% of patients. On an intent-to treat analysis, overall response rate (ORR) was 73% for the whole study and 77% including 74% complete response (CR) plus very good partial response (VGPR) for dose level 5+G. Response rates and progression-free survival did not differ between relapsed and relapsed-refractory patients. Deletion of chromosome 17p and elevated β2-microglobulin were associated with significantly inferior response and shortened time to progression. In conclusion, RAD induces substantial and durable remission with an acceptable toxicity profile in patients with relapsed and relapsedrefractory myeloma. This trial was registered at www.ClinicalTrials.gov as no. NCT00306813. © 2009 by The American Society of Hematology.","author":[{"dropping-particle":"","family":"Knop","given":"Stefan","non-dropping-particle":"","parse-names":false,"suffix":""},{"dropping-particle":"","family":"Gerecke","given":"Christian","non-dropping-particle":"","parse-names":false,"suffix":""},{"dropping-particle":"","family":"Liebisch","given":"Peter","non-dropping-particle":"","parse-names":false,"suffix":""},{"dropping-particle":"","family":"Topp","given":"Max S.","non-dropping-particle":"","parse-names":false,"suffix":""},{"dropping-particle":"","family":"Platzbecker","given":"Uwe","non-dropping-particle":"","parse-names":false,"suffix":""},{"dropping-particle":"","family":"Sezer","given":"Orhan","non-dropping-particle":"","parse-names":false,"suffix":""},{"dropping-particle":"","family":"Vollmuth","given":"Christina","non-dropping-particle":"","parse-names":false,"suffix":""},{"dropping-particle":"","family":"Falk","given":"Karina","non-dropping-particle":"","parse-names":false,"suffix":""},{"dropping-particle":"","family":"Glasmacher","given":"Axel","non-dropping-particle":"","parse-names":false,"suffix":""},{"dropping-particle":"","family":"Maeder","given":"Uwe","non-dropping-particle":"","parse-names":false,"suffix":""},{"dropping-particle":"","family":"Einsele","given":"Hermann","non-dropping-particle":"","parse-names":false,"suffix":""},{"dropping-particle":"","family":"Bargou","given":"Ralf C.","non-dropping-particle":"","parse-names":false,"suffix":""}],"container-title":"Blood","id":"ITEM-2","issue":"18","issued":{"date-parts":[["2009"]]},"page":"4137-4143","title":"Lenalidomide, adriamycin, and dexamethasone (RAD) in patients with relapsed and refractory multiple myeloma: A report from the German Myeloma Study Group DSMM (Deutsche Studiengruppe Multiples Myelom)","type":"article-journal","volume":"113"},"uris":["http://www.mendeley.com/documents/?uuid=0d8c189c-027c-32d6-8683-617f38f90506"]},{"id":"ITEM-3","itemData":{"DOI":"10.1111/bjh.13100","ISSN":"13652141","abstract":"This single institution, open label Phase I-II dose escalation trial evaluated the safety and efficacy of the combination of lenalidomide (Revlimid®), cyclophosphamide and prednisone (CPR) in patients with relapsed/refractory multiple myeloma. The maximal administered dose of CPR consisted of cyclophosphamide 300 mg/m2 on day 1, 8, and 15, lenalidomide 25 mg on d 1-21 and prednisone 100 mg every other day in a 28-d cycle. Between November 2007 and June 2009, 32 patients were entered in cohorts of three at three dose levels. The median age was 64 years, 59% were male, with a median two prior regimens. Responding patients could stay on treatment until progression. The full-dose CPR regimen produced no dose-limiting toxicity and was delivered for a median of 16 months (3·5-65 months) with acceptable safety and tolerance. The overall response rate (≥ partial response) was 94% at a median follow up of 28 months. The median progression-free survival was 16·1 months [95% confidence interval (CI); 10·9-22·5 months], while the median overall survival was 27·6 months (95% CI; 16·8-36·6 months). Only the beta-2 microglobulin level at protocol entry correlated with a better survival (P = 0·047). These observations compare favourably with other 2- and 3- drug combinations for relapsed/refractory myeloma, and suggest that CPR should be evaluated further in the setting of relapsed/refractory disease, or in newly diagnosed patients.","author":[{"dropping-particle":"","family":"Reece","given":"Donna E.","non-dropping-particle":"","parse-names":false,"suffix":""},{"dropping-particle":"","family":"Masih-Khan","given":"Esther","non-dropping-particle":"","parse-names":false,"suffix":""},{"dropping-particle":"","family":"Atenafu","given":"Eshetu G.","non-dropping-particle":"","parse-names":false,"suffix":""},{"dropping-particle":"","family":"Jimenez-Zepeda","given":"Victor H.","non-dropping-particle":"","parse-names":false,"suffix":""},{"dropping-particle":"","family":"Anglin","given":"Peter","non-dropping-particle":"","parse-names":false,"suffix":""},{"dropping-particle":"","family":"Chen","given":"Christine","non-dropping-particle":"","parse-names":false,"suffix":""},{"dropping-particle":"","family":"Kukreti","given":"Vishal","non-dropping-particle":"","parse-names":false,"suffix":""},{"dropping-particle":"","family":"Mikhael","given":"Joseph R.","non-dropping-particle":"","parse-names":false,"suffix":""},{"dropping-particle":"","family":"Trudel","given":"Suzanne","non-dropping-particle":"","parse-names":false,"suffix":""}],"container-title":"British Journal of Haematology","id":"ITEM-3","issue":"1","issued":{"date-parts":[["2015","1","1"]]},"page":"46-54","publisher":"Blackwell Publishing Ltd","title":"Phase I-II trial of oral cyclophosphamide, prednisone and lenalidomide for the treatment of patients with relapsed and refractory multiple myeloma","type":"article-journal","volume":"168"},"uris":["http://www.mendeley.com/documents/?uuid=f070c6a6-7363-38b7-9c6a-f6434557db11"]},{"id":"ITEM-4","itemData":{"DOI":"10.3109/10428194.2013.847935","ISSN":"1029-2403","PMID":"24067138","abstract":"The objective of the study was to investigate the effects and safety of novel agents such as bortezomib and lenalidomide in the treatment of newly diagnosed patients with multiple myeloma. We performed a comprehensive meta-analysis of randomized controlled trials (RCTs). An initial search yielded 627 citations, of which 10 RCTs enrolling 4534 patients met the inclusion criteria. The addition of bortezomib to first-line therapy significantly prolonged overall survival (OS) (hazard ratio [HR], 0.75 [0.65, 0.87], p &lt; 0.001). On the other hand, the addition of lenalidomide had no impact on survival (HR, 0.88 [0.65, 1.20], p = 0.42). Both lenalidomide and bortezomib consistently improved progression-free survival (PFS) compared with conventional therapy alone. The corresponding HRs were 0.65, 95% confidence interval (CI) [0.55, 0.77] (p &lt; 0.001) for bortezomib and 0.48, 95% CI [0.42, 0.55]; (p &lt; 0.001) for lenalidomide, respectively. Some of the increased adverse events reported were herpes zoster (relative risk [RR], 3.64 [2.23, 5.94], p &lt; 0.001), peripheral neuropathy (RR, 3.59 [1.89, 6.83], p &lt; 0.001) and gastrointestinal effects (RR, 2.19 [1.37, 3.50], p = 0.001) among patients receiving bortezomib, and gastrointestinal effects (RR, 2.36 [1.33, 4.17], p = 0.003) and thromboembolic events (RR, 2.55 [1.48, 4.38], p &lt; 0.001) among patients receiving lenalidomide. Interestingly, treatment with bortezomib seemed to be associated with a lower rate of treatment related mortality (RR, 0.39 [0.18, 0.85], p = 0.02). An increased incidence of second primary cancers was observed in the lenalidomide group (RR 2.61 [1.60, 4.27], p &lt; 0.001). In summary, bortezomib improved OS, and both lenalidomide and bortezomib consistently improved PFS of patients with newly diagnosed myeloma when it was added to standard therapy.","author":[{"dropping-particle":"","family":"Zou","given":"Yandun","non-dropping-particle":"","parse-names":false,"suffix":""},{"dropping-particle":"","family":"Lin","given":"Mingzhen","non-dropping-particle":"","parse-names":false,"suffix":""},{"dropping-particle":"","family":"Sheng","given":"Zhixin","non-dropping-particle":"","parse-names":false,"suffix":""},{"dropping-particle":"","family":"Niu","given":"Shaona","non-dropping-particle":"","parse-names":false,"suffix":""}],"container-title":"Leukemia &amp; lymphoma","id":"ITEM-4","issue":"9","issued":{"date-parts":[["2014","9"]]},"page":"2024-31","title":"Bortezomib and lenalidomide as front-line therapy for multiple myeloma.","type":"article-journal","volume":"55"},"uris":["http://www.mendeley.com/documents/?uuid=9439b288-0a59-314a-9744-9aedc4d3acdf"]}],"mendeley":{"formattedCitation":"[25,44–46]","plainTextFormattedCitation":"[25,44–46]","previouslyFormattedCitation":"[25,44–46]"},"properties":{"noteIndex":0},"schema":"https://github.com/citation-style-language/schema/raw/master/csl-citation.json"}</w:instrText>
      </w:r>
      <w:r w:rsidR="00A96FB6" w:rsidRPr="00805C9F">
        <w:rPr>
          <w:szCs w:val="24"/>
        </w:rPr>
        <w:fldChar w:fldCharType="separate"/>
      </w:r>
      <w:r w:rsidR="00500F37" w:rsidRPr="00500F37">
        <w:rPr>
          <w:noProof/>
          <w:szCs w:val="24"/>
        </w:rPr>
        <w:t>[25,44–46]</w:t>
      </w:r>
      <w:r w:rsidR="00A96FB6" w:rsidRPr="00805C9F">
        <w:rPr>
          <w:szCs w:val="24"/>
        </w:rPr>
        <w:fldChar w:fldCharType="end"/>
      </w:r>
      <w:r w:rsidR="00A625FE" w:rsidRPr="00805C9F">
        <w:rPr>
          <w:szCs w:val="24"/>
        </w:rPr>
        <w:t>:</w:t>
      </w:r>
    </w:p>
    <w:p w14:paraId="4E4FC426" w14:textId="77777777" w:rsidR="0058682B" w:rsidRPr="00805C9F" w:rsidRDefault="0058682B" w:rsidP="00092917">
      <w:pPr>
        <w:pStyle w:val="a6"/>
        <w:numPr>
          <w:ilvl w:val="1"/>
          <w:numId w:val="5"/>
        </w:numPr>
        <w:spacing w:before="0" w:after="0"/>
        <w:ind w:left="0" w:firstLine="0"/>
        <w:rPr>
          <w:szCs w:val="24"/>
        </w:rPr>
      </w:pPr>
      <w:r w:rsidRPr="00805C9F">
        <w:rPr>
          <w:szCs w:val="24"/>
        </w:rPr>
        <w:t>Леналидомид</w:t>
      </w:r>
      <w:r w:rsidR="002A14A3" w:rsidRPr="00805C9F">
        <w:rPr>
          <w:szCs w:val="24"/>
        </w:rPr>
        <w:t>**</w:t>
      </w:r>
      <w:r w:rsidRPr="00805C9F">
        <w:rPr>
          <w:szCs w:val="24"/>
        </w:rPr>
        <w:t>/дексаметазон</w:t>
      </w:r>
      <w:r w:rsidR="002A14A3" w:rsidRPr="00805C9F">
        <w:rPr>
          <w:szCs w:val="24"/>
        </w:rPr>
        <w:t>**</w:t>
      </w:r>
      <w:r w:rsidRPr="00805C9F">
        <w:rPr>
          <w:szCs w:val="24"/>
        </w:rPr>
        <w:t xml:space="preserve"> (RD/Rd)</w:t>
      </w:r>
    </w:p>
    <w:p w14:paraId="6524B9CC" w14:textId="77777777" w:rsidR="0058682B" w:rsidRPr="00805C9F" w:rsidRDefault="0058682B" w:rsidP="00092917">
      <w:pPr>
        <w:pStyle w:val="a6"/>
        <w:numPr>
          <w:ilvl w:val="1"/>
          <w:numId w:val="5"/>
        </w:numPr>
        <w:spacing w:before="0" w:after="0"/>
        <w:ind w:left="0" w:firstLine="0"/>
        <w:rPr>
          <w:szCs w:val="24"/>
        </w:rPr>
      </w:pPr>
      <w:r w:rsidRPr="00805C9F">
        <w:rPr>
          <w:szCs w:val="24"/>
        </w:rPr>
        <w:t>Леналидомид</w:t>
      </w:r>
      <w:r w:rsidR="002A14A3" w:rsidRPr="00805C9F">
        <w:rPr>
          <w:szCs w:val="24"/>
        </w:rPr>
        <w:t>**</w:t>
      </w:r>
      <w:r w:rsidRPr="00805C9F">
        <w:rPr>
          <w:szCs w:val="24"/>
        </w:rPr>
        <w:t>/бортезомиб</w:t>
      </w:r>
      <w:r w:rsidR="002A14A3" w:rsidRPr="00805C9F">
        <w:rPr>
          <w:szCs w:val="24"/>
        </w:rPr>
        <w:t>**</w:t>
      </w:r>
      <w:r w:rsidRPr="00805C9F">
        <w:rPr>
          <w:szCs w:val="24"/>
        </w:rPr>
        <w:t>/дексаметазон</w:t>
      </w:r>
      <w:r w:rsidR="002A14A3" w:rsidRPr="00805C9F">
        <w:rPr>
          <w:szCs w:val="24"/>
        </w:rPr>
        <w:t>**</w:t>
      </w:r>
      <w:r w:rsidRPr="00805C9F">
        <w:rPr>
          <w:szCs w:val="24"/>
        </w:rPr>
        <w:t xml:space="preserve"> (</w:t>
      </w:r>
      <w:r w:rsidR="008668BA" w:rsidRPr="00805C9F">
        <w:rPr>
          <w:szCs w:val="24"/>
          <w:lang w:val="en-US"/>
        </w:rPr>
        <w:t>VR</w:t>
      </w:r>
      <w:r w:rsidRPr="00805C9F">
        <w:rPr>
          <w:szCs w:val="24"/>
        </w:rPr>
        <w:t>D)</w:t>
      </w:r>
    </w:p>
    <w:p w14:paraId="4CF8B8B3" w14:textId="77777777" w:rsidR="0058682B" w:rsidRPr="00805C9F" w:rsidRDefault="0058682B" w:rsidP="00092917">
      <w:pPr>
        <w:pStyle w:val="a6"/>
        <w:numPr>
          <w:ilvl w:val="1"/>
          <w:numId w:val="5"/>
        </w:numPr>
        <w:spacing w:before="0" w:after="0"/>
        <w:ind w:left="0" w:firstLine="0"/>
        <w:rPr>
          <w:szCs w:val="24"/>
        </w:rPr>
      </w:pPr>
      <w:r w:rsidRPr="00805C9F">
        <w:rPr>
          <w:szCs w:val="24"/>
        </w:rPr>
        <w:t>Леналидомид</w:t>
      </w:r>
      <w:r w:rsidR="002A14A3" w:rsidRPr="00805C9F">
        <w:rPr>
          <w:szCs w:val="24"/>
        </w:rPr>
        <w:t>**</w:t>
      </w:r>
      <w:r w:rsidRPr="00805C9F">
        <w:rPr>
          <w:szCs w:val="24"/>
        </w:rPr>
        <w:t>/доксорубицин</w:t>
      </w:r>
      <w:r w:rsidR="002A14A3" w:rsidRPr="00805C9F">
        <w:rPr>
          <w:szCs w:val="24"/>
        </w:rPr>
        <w:t>**</w:t>
      </w:r>
      <w:r w:rsidRPr="00805C9F">
        <w:rPr>
          <w:szCs w:val="24"/>
        </w:rPr>
        <w:t>/дексаметазон</w:t>
      </w:r>
      <w:r w:rsidR="002A14A3" w:rsidRPr="00805C9F">
        <w:rPr>
          <w:szCs w:val="24"/>
        </w:rPr>
        <w:t>**</w:t>
      </w:r>
      <w:r w:rsidRPr="00805C9F">
        <w:rPr>
          <w:szCs w:val="24"/>
        </w:rPr>
        <w:t xml:space="preserve"> (RAD)</w:t>
      </w:r>
    </w:p>
    <w:p w14:paraId="7CD292F3" w14:textId="77777777" w:rsidR="0058682B" w:rsidRPr="00805C9F" w:rsidRDefault="0058682B" w:rsidP="00092917">
      <w:pPr>
        <w:pStyle w:val="a6"/>
        <w:numPr>
          <w:ilvl w:val="1"/>
          <w:numId w:val="5"/>
        </w:numPr>
        <w:spacing w:before="0" w:after="0"/>
        <w:ind w:left="0" w:firstLine="0"/>
        <w:rPr>
          <w:szCs w:val="24"/>
        </w:rPr>
      </w:pPr>
      <w:r w:rsidRPr="00805C9F">
        <w:rPr>
          <w:szCs w:val="24"/>
        </w:rPr>
        <w:t>Леналидомид</w:t>
      </w:r>
      <w:r w:rsidR="002A14A3" w:rsidRPr="00805C9F">
        <w:rPr>
          <w:szCs w:val="24"/>
        </w:rPr>
        <w:t>**</w:t>
      </w:r>
      <w:r w:rsidRPr="00805C9F">
        <w:rPr>
          <w:szCs w:val="24"/>
        </w:rPr>
        <w:t>/циклофосфа</w:t>
      </w:r>
      <w:r w:rsidR="00CD48C7" w:rsidRPr="00805C9F">
        <w:rPr>
          <w:szCs w:val="24"/>
        </w:rPr>
        <w:t>мид</w:t>
      </w:r>
      <w:r w:rsidR="002A14A3" w:rsidRPr="00805C9F">
        <w:rPr>
          <w:szCs w:val="24"/>
        </w:rPr>
        <w:t>**</w:t>
      </w:r>
      <w:r w:rsidRPr="00805C9F">
        <w:rPr>
          <w:szCs w:val="24"/>
        </w:rPr>
        <w:t>/дексаметазон</w:t>
      </w:r>
      <w:r w:rsidR="002A14A3" w:rsidRPr="00805C9F">
        <w:rPr>
          <w:szCs w:val="24"/>
        </w:rPr>
        <w:t>**</w:t>
      </w:r>
      <w:r w:rsidRPr="00805C9F">
        <w:rPr>
          <w:szCs w:val="24"/>
        </w:rPr>
        <w:t xml:space="preserve"> (RCD)</w:t>
      </w:r>
    </w:p>
    <w:p w14:paraId="355C7202" w14:textId="78E7AAB0" w:rsidR="00A625FE" w:rsidRPr="00805C9F" w:rsidRDefault="0058682B" w:rsidP="00092917">
      <w:pPr>
        <w:pStyle w:val="a6"/>
        <w:numPr>
          <w:ilvl w:val="1"/>
          <w:numId w:val="5"/>
        </w:numPr>
        <w:spacing w:before="0" w:after="0"/>
        <w:ind w:left="0" w:firstLine="0"/>
        <w:rPr>
          <w:szCs w:val="24"/>
        </w:rPr>
      </w:pPr>
      <w:r w:rsidRPr="00805C9F">
        <w:rPr>
          <w:szCs w:val="24"/>
        </w:rPr>
        <w:t>Леналидомид</w:t>
      </w:r>
      <w:r w:rsidR="002A14A3" w:rsidRPr="00805C9F">
        <w:rPr>
          <w:szCs w:val="24"/>
        </w:rPr>
        <w:t>**</w:t>
      </w:r>
      <w:r w:rsidRPr="00805C9F">
        <w:rPr>
          <w:szCs w:val="24"/>
        </w:rPr>
        <w:t>/</w:t>
      </w:r>
      <w:r w:rsidR="00CD48C7" w:rsidRPr="00805C9F">
        <w:rPr>
          <w:szCs w:val="24"/>
        </w:rPr>
        <w:t>циклофосфамид</w:t>
      </w:r>
      <w:r w:rsidR="002A14A3" w:rsidRPr="00805C9F">
        <w:rPr>
          <w:szCs w:val="24"/>
        </w:rPr>
        <w:t>**</w:t>
      </w:r>
      <w:r w:rsidRPr="00805C9F">
        <w:rPr>
          <w:szCs w:val="24"/>
        </w:rPr>
        <w:t>/преднизолон</w:t>
      </w:r>
      <w:r w:rsidR="002A14A3" w:rsidRPr="00805C9F">
        <w:rPr>
          <w:szCs w:val="24"/>
        </w:rPr>
        <w:t>**</w:t>
      </w:r>
      <w:r w:rsidRPr="00805C9F">
        <w:rPr>
          <w:szCs w:val="24"/>
        </w:rPr>
        <w:t xml:space="preserve"> (RCP)</w:t>
      </w:r>
      <w:r w:rsidR="00A625FE" w:rsidRPr="00805C9F">
        <w:rPr>
          <w:szCs w:val="24"/>
        </w:rPr>
        <w:t xml:space="preserve">. </w:t>
      </w:r>
    </w:p>
    <w:p w14:paraId="368E88C6" w14:textId="77777777" w:rsidR="00A625FE" w:rsidRPr="00805C9F" w:rsidRDefault="00A625FE" w:rsidP="00092917">
      <w:pPr>
        <w:spacing w:before="0" w:after="0"/>
        <w:contextualSpacing/>
        <w:rPr>
          <w:b/>
          <w:szCs w:val="24"/>
        </w:rPr>
      </w:pPr>
      <w:r w:rsidRPr="00805C9F">
        <w:rPr>
          <w:b/>
          <w:szCs w:val="24"/>
        </w:rPr>
        <w:t>Уровень убедительности рекомендаций</w:t>
      </w:r>
      <w:r w:rsidR="003C7967" w:rsidRPr="00805C9F">
        <w:rPr>
          <w:b/>
          <w:szCs w:val="24"/>
        </w:rPr>
        <w:t xml:space="preserve"> </w:t>
      </w:r>
      <w:r w:rsidR="008668BA" w:rsidRPr="00805C9F">
        <w:rPr>
          <w:b/>
          <w:szCs w:val="24"/>
        </w:rPr>
        <w:t xml:space="preserve">− </w:t>
      </w:r>
      <w:r w:rsidR="0035490D" w:rsidRPr="00805C9F">
        <w:rPr>
          <w:b/>
          <w:szCs w:val="24"/>
          <w:lang w:val="en-US"/>
        </w:rPr>
        <w:t>C</w:t>
      </w:r>
      <w:r w:rsidR="0035490D" w:rsidRPr="00805C9F">
        <w:rPr>
          <w:b/>
          <w:szCs w:val="24"/>
        </w:rPr>
        <w:t xml:space="preserve"> </w:t>
      </w:r>
      <w:r w:rsidRPr="00805C9F">
        <w:rPr>
          <w:b/>
          <w:szCs w:val="24"/>
        </w:rPr>
        <w:t>(уровень достоверности доказательств</w:t>
      </w:r>
      <w:r w:rsidR="00AC286C" w:rsidRPr="00805C9F">
        <w:rPr>
          <w:b/>
          <w:szCs w:val="24"/>
        </w:rPr>
        <w:t xml:space="preserve"> </w:t>
      </w:r>
      <w:r w:rsidR="008668BA" w:rsidRPr="00805C9F">
        <w:rPr>
          <w:b/>
          <w:szCs w:val="24"/>
        </w:rPr>
        <w:t xml:space="preserve">− </w:t>
      </w:r>
      <w:r w:rsidR="005B2EF9" w:rsidRPr="00805C9F">
        <w:rPr>
          <w:b/>
          <w:szCs w:val="24"/>
        </w:rPr>
        <w:t>5</w:t>
      </w:r>
      <w:r w:rsidRPr="00805C9F">
        <w:rPr>
          <w:b/>
          <w:szCs w:val="24"/>
        </w:rPr>
        <w:t>)</w:t>
      </w:r>
    </w:p>
    <w:p w14:paraId="1521E9CD" w14:textId="77777777" w:rsidR="0076197D" w:rsidRPr="00805C9F" w:rsidRDefault="00A625FE" w:rsidP="00092917">
      <w:pPr>
        <w:spacing w:before="0" w:after="0"/>
        <w:contextualSpacing/>
        <w:rPr>
          <w:i/>
          <w:szCs w:val="24"/>
        </w:rPr>
      </w:pPr>
      <w:r w:rsidRPr="00805C9F">
        <w:rPr>
          <w:b/>
          <w:szCs w:val="24"/>
        </w:rPr>
        <w:t xml:space="preserve">Комментарий: </w:t>
      </w:r>
      <w:r w:rsidR="00632333" w:rsidRPr="00805C9F">
        <w:rPr>
          <w:i/>
          <w:szCs w:val="24"/>
        </w:rPr>
        <w:t xml:space="preserve">количество </w:t>
      </w:r>
      <w:r w:rsidR="0076197D" w:rsidRPr="00805C9F">
        <w:rPr>
          <w:i/>
          <w:szCs w:val="24"/>
        </w:rPr>
        <w:t>курсов индукционной терапии определяется противоопухолевым ответом на лечение и согласовывается с трансплантационным центром. Поскольку леналидомид</w:t>
      </w:r>
      <w:r w:rsidR="00D20FB3" w:rsidRPr="00805C9F">
        <w:rPr>
          <w:i/>
          <w:szCs w:val="24"/>
        </w:rPr>
        <w:t>**</w:t>
      </w:r>
      <w:r w:rsidR="0076197D" w:rsidRPr="00805C9F">
        <w:rPr>
          <w:i/>
          <w:szCs w:val="24"/>
        </w:rPr>
        <w:t xml:space="preserve"> обладает миелосупрессивным эффектом, мобилизацию и сбор ауто</w:t>
      </w:r>
      <w:r w:rsidR="00746015" w:rsidRPr="00805C9F">
        <w:rPr>
          <w:i/>
          <w:szCs w:val="24"/>
        </w:rPr>
        <w:t xml:space="preserve">-ТГСК </w:t>
      </w:r>
      <w:r w:rsidR="0076197D" w:rsidRPr="00805C9F">
        <w:rPr>
          <w:i/>
          <w:szCs w:val="24"/>
        </w:rPr>
        <w:t>целесообразно выполнять после 4-го леналидомидсодержащего курса.</w:t>
      </w:r>
    </w:p>
    <w:p w14:paraId="51131718" w14:textId="1EAF02F1" w:rsidR="00BF629F" w:rsidRPr="00805C9F" w:rsidRDefault="003C7967" w:rsidP="00092917">
      <w:pPr>
        <w:pStyle w:val="a6"/>
        <w:numPr>
          <w:ilvl w:val="0"/>
          <w:numId w:val="5"/>
        </w:numPr>
        <w:spacing w:before="0" w:after="0"/>
        <w:ind w:left="0" w:firstLine="0"/>
        <w:rPr>
          <w:b/>
          <w:szCs w:val="24"/>
        </w:rPr>
      </w:pPr>
      <w:r w:rsidRPr="00805C9F">
        <w:rPr>
          <w:szCs w:val="24"/>
        </w:rPr>
        <w:lastRenderedPageBreak/>
        <w:t>Пациентам</w:t>
      </w:r>
      <w:r w:rsidR="00BF629F" w:rsidRPr="00805C9F">
        <w:rPr>
          <w:szCs w:val="24"/>
        </w:rPr>
        <w:t xml:space="preserve"> с впервые выявленной ММ в возрасте до 65</w:t>
      </w:r>
      <w:r w:rsidR="003A08CA" w:rsidRPr="00805C9F">
        <w:rPr>
          <w:szCs w:val="24"/>
        </w:rPr>
        <w:t xml:space="preserve"> лет</w:t>
      </w:r>
      <w:r w:rsidR="00BF629F" w:rsidRPr="00805C9F">
        <w:rPr>
          <w:szCs w:val="24"/>
        </w:rPr>
        <w:t>, а также пациентам 65</w:t>
      </w:r>
      <w:r w:rsidR="00A619A4" w:rsidRPr="00805C9F">
        <w:rPr>
          <w:szCs w:val="24"/>
        </w:rPr>
        <w:t>−</w:t>
      </w:r>
      <w:r w:rsidR="00BF629F" w:rsidRPr="00805C9F">
        <w:rPr>
          <w:szCs w:val="24"/>
        </w:rPr>
        <w:t>70</w:t>
      </w:r>
      <w:r w:rsidR="00A619A4" w:rsidRPr="00805C9F">
        <w:rPr>
          <w:szCs w:val="24"/>
        </w:rPr>
        <w:t> </w:t>
      </w:r>
      <w:r w:rsidR="00BF629F" w:rsidRPr="00805C9F">
        <w:rPr>
          <w:szCs w:val="24"/>
        </w:rPr>
        <w:t>лет с хорошим соматическим статусом без тяжелых сопутствующих заболеваний, которым планируется консолидация ауто</w:t>
      </w:r>
      <w:r w:rsidR="00267DE2" w:rsidRPr="00805C9F">
        <w:rPr>
          <w:szCs w:val="24"/>
        </w:rPr>
        <w:t>-</w:t>
      </w:r>
      <w:r w:rsidR="00BF629F" w:rsidRPr="00805C9F">
        <w:rPr>
          <w:szCs w:val="24"/>
        </w:rPr>
        <w:t xml:space="preserve">ТГСК, в качестве индукционной терапии </w:t>
      </w:r>
      <w:r w:rsidR="00BF629F" w:rsidRPr="00805C9F">
        <w:rPr>
          <w:b/>
          <w:szCs w:val="24"/>
        </w:rPr>
        <w:t xml:space="preserve">не рекомендуется </w:t>
      </w:r>
      <w:r w:rsidR="00BF629F" w:rsidRPr="00805C9F">
        <w:rPr>
          <w:szCs w:val="24"/>
        </w:rPr>
        <w:t>применять схемы терапии, включающие мелфалан</w:t>
      </w:r>
      <w:r w:rsidRPr="00805C9F">
        <w:rPr>
          <w:szCs w:val="24"/>
        </w:rPr>
        <w:t>**</w:t>
      </w:r>
      <w:r w:rsidR="00632333" w:rsidRPr="00805C9F">
        <w:rPr>
          <w:szCs w:val="24"/>
        </w:rPr>
        <w:t xml:space="preserve"> </w:t>
      </w:r>
      <w:r w:rsidR="00032CFB" w:rsidRPr="00805C9F">
        <w:rPr>
          <w:szCs w:val="24"/>
        </w:rPr>
        <w:t xml:space="preserve">(описание режимов – см. приложение </w:t>
      </w:r>
      <w:r w:rsidR="00C812D6" w:rsidRPr="00805C9F">
        <w:rPr>
          <w:szCs w:val="24"/>
        </w:rPr>
        <w:t>А3.1</w:t>
      </w:r>
      <w:r w:rsidR="00A619A4" w:rsidRPr="00805C9F">
        <w:rPr>
          <w:szCs w:val="24"/>
        </w:rPr>
        <w:t>.</w:t>
      </w:r>
      <w:r w:rsidR="00032CFB" w:rsidRPr="00805C9F">
        <w:rPr>
          <w:szCs w:val="24"/>
        </w:rPr>
        <w:t>)</w:t>
      </w:r>
      <w:r w:rsidR="00632333" w:rsidRPr="00805C9F">
        <w:rPr>
          <w:szCs w:val="24"/>
        </w:rPr>
        <w:t xml:space="preserve"> </w:t>
      </w:r>
      <w:r w:rsidR="00A96FB6" w:rsidRPr="00805C9F">
        <w:rPr>
          <w:szCs w:val="24"/>
        </w:rPr>
        <w:fldChar w:fldCharType="begin" w:fldLock="1"/>
      </w:r>
      <w:r w:rsidR="00A14090">
        <w:rPr>
          <w:szCs w:val="24"/>
        </w:rPr>
        <w:instrText>ADDIN CSL_CITATION {"citationItems":[{"id":"ITEM-1","itemData":{"DOI":"10.2147/CPAA.S6258","ISSN":"1179-1438","PMID":"22291488","abstract":"Autologous stem cell transplantation is the preferred treatment option for younger patients with symptomatic plasma cell myeloma. Most patients with newly diagnosed plasma cell myeloma receive 3-4 cycles of induction chemotherapy to achieve a level of disease control before proceeding to stem cell transplant. The ideal induction regimen for transplant-eligible patients shall allow more patients to proceed with transplant, rapidly and effectively control the disease, reverse disease-related complications, avoid early death, and is associated with minimal acute and long-term toxicities. Because of the concerns of potential damages to hematopoietic stem cells, alkylating agent regimens, specifically melphalan, are usually avoided for induction in transplant-eligible patients. Before the advance of immunomodulatory agents (IMiD) and proteasome inhibitors, the combination of vincristine, adriamycin, and dexamethasone (VAD) and variants were the most commonly used induction regimens. Recent reports as discussed in this review suggests that VAD is no longer the induction chemotherapy of choice for transplant eligible patients. Newer regimens incorporating IMiD and/or proteasome inhibitor into the induction regimen improve response rates and progression-free survival before and after the transplant and are evolving as the treatment of choice. Here, we review the available data on these newer induction regimens and to evaluate the potential impacts on the patient outcomes.","author":[{"dropping-particle":"","family":"Fung","given":"Henry C","non-dropping-particle":"","parse-names":false,"suffix":""},{"dropping-particle":"","family":"Nathan","given":"Sunita","non-dropping-particle":"","parse-names":false,"suffix":""},{"dropping-particle":"","family":"Maciejewski","given":"John J","non-dropping-particle":"","parse-names":false,"suffix":""}],"container-title":"Clinical pharmacology : advances and applications","id":"ITEM-1","issued":{"date-parts":[["2010"]]},"page":"71-5","title":"Induction chemotherapy before autologous stem cell transplantation for symptomatic plasma cell myeloma - does it matter?","type":"article-journal","volume":"2"},"uris":["http://www.mendeley.com/documents/?uuid=39ef748f-71f6-33e7-8124-5b96e5eda7d5"]},{"id":"ITEM-2","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-2","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[1,47]","plainTextFormattedCitation":"[1,47]","previouslyFormattedCitation":"[1,47]"},"properties":{"noteIndex":0},"schema":"https://github.com/citation-style-language/schema/raw/master/csl-citation.json"}</w:instrText>
      </w:r>
      <w:r w:rsidR="00A96FB6" w:rsidRPr="00805C9F">
        <w:rPr>
          <w:szCs w:val="24"/>
        </w:rPr>
        <w:fldChar w:fldCharType="separate"/>
      </w:r>
      <w:r w:rsidR="00500F37" w:rsidRPr="00500F37">
        <w:rPr>
          <w:noProof/>
          <w:szCs w:val="24"/>
        </w:rPr>
        <w:t>[1,47]</w:t>
      </w:r>
      <w:r w:rsidR="00A96FB6" w:rsidRPr="00805C9F">
        <w:rPr>
          <w:szCs w:val="24"/>
        </w:rPr>
        <w:fldChar w:fldCharType="end"/>
      </w:r>
      <w:r w:rsidR="00BF629F" w:rsidRPr="00805C9F">
        <w:rPr>
          <w:szCs w:val="24"/>
        </w:rPr>
        <w:t>.</w:t>
      </w:r>
    </w:p>
    <w:p w14:paraId="6469C158" w14:textId="77777777" w:rsidR="00BF629F" w:rsidRPr="00805C9F" w:rsidRDefault="00BF629F" w:rsidP="00092917">
      <w:pPr>
        <w:spacing w:before="0" w:after="0"/>
        <w:contextualSpacing/>
        <w:rPr>
          <w:b/>
          <w:szCs w:val="24"/>
        </w:rPr>
      </w:pPr>
      <w:r w:rsidRPr="00805C9F">
        <w:rPr>
          <w:b/>
          <w:szCs w:val="24"/>
        </w:rPr>
        <w:t xml:space="preserve">Уровень убедительности рекомендаций </w:t>
      </w:r>
      <w:r w:rsidR="00A619A4" w:rsidRPr="00805C9F">
        <w:rPr>
          <w:b/>
          <w:szCs w:val="24"/>
        </w:rPr>
        <w:t xml:space="preserve">− </w:t>
      </w:r>
      <w:r w:rsidR="003C7967" w:rsidRPr="00805C9F">
        <w:rPr>
          <w:b/>
          <w:szCs w:val="24"/>
        </w:rPr>
        <w:t xml:space="preserve">С </w:t>
      </w:r>
      <w:r w:rsidRPr="00805C9F">
        <w:rPr>
          <w:b/>
          <w:szCs w:val="24"/>
        </w:rPr>
        <w:t>(уровень достоверности доказательств</w:t>
      </w:r>
      <w:r w:rsidR="00A619A4" w:rsidRPr="00805C9F">
        <w:rPr>
          <w:b/>
          <w:szCs w:val="24"/>
        </w:rPr>
        <w:t xml:space="preserve"> − </w:t>
      </w:r>
      <w:r w:rsidR="003C7967" w:rsidRPr="00805C9F">
        <w:rPr>
          <w:b/>
          <w:szCs w:val="24"/>
        </w:rPr>
        <w:t>5</w:t>
      </w:r>
      <w:r w:rsidRPr="00805C9F">
        <w:rPr>
          <w:b/>
          <w:szCs w:val="24"/>
        </w:rPr>
        <w:t>)</w:t>
      </w:r>
    </w:p>
    <w:p w14:paraId="482B2DB3" w14:textId="4BB8538B" w:rsidR="00BF629F" w:rsidRPr="00805C9F" w:rsidRDefault="00BF629F" w:rsidP="00092917">
      <w:pPr>
        <w:spacing w:before="0" w:after="0"/>
        <w:contextualSpacing/>
        <w:rPr>
          <w:i/>
          <w:szCs w:val="24"/>
        </w:rPr>
      </w:pPr>
      <w:r w:rsidRPr="00805C9F">
        <w:rPr>
          <w:b/>
          <w:szCs w:val="24"/>
        </w:rPr>
        <w:t>Комментарий:</w:t>
      </w:r>
      <w:r w:rsidR="00727909" w:rsidRPr="00805C9F">
        <w:rPr>
          <w:b/>
          <w:szCs w:val="24"/>
        </w:rPr>
        <w:t xml:space="preserve"> </w:t>
      </w:r>
      <w:r w:rsidR="00A619A4" w:rsidRPr="00805C9F">
        <w:rPr>
          <w:i/>
          <w:szCs w:val="24"/>
        </w:rPr>
        <w:t>м</w:t>
      </w:r>
      <w:r w:rsidRPr="00805C9F">
        <w:rPr>
          <w:i/>
          <w:szCs w:val="24"/>
        </w:rPr>
        <w:t>елфалан</w:t>
      </w:r>
      <w:r w:rsidR="003C7967" w:rsidRPr="00805C9F">
        <w:rPr>
          <w:i/>
          <w:szCs w:val="24"/>
        </w:rPr>
        <w:t>**</w:t>
      </w:r>
      <w:r w:rsidRPr="00805C9F">
        <w:rPr>
          <w:i/>
          <w:szCs w:val="24"/>
        </w:rPr>
        <w:t xml:space="preserve"> обладает миелосупрессивным эффектом, что может оказывать негативное влияние на мобилизацию ауто</w:t>
      </w:r>
      <w:r w:rsidR="00A619A4" w:rsidRPr="00805C9F">
        <w:rPr>
          <w:i/>
          <w:szCs w:val="24"/>
        </w:rPr>
        <w:t>-</w:t>
      </w:r>
      <w:r w:rsidR="003569D8" w:rsidRPr="00805C9F">
        <w:rPr>
          <w:i/>
          <w:szCs w:val="24"/>
        </w:rPr>
        <w:t>ГСК</w:t>
      </w:r>
      <w:r w:rsidRPr="00805C9F">
        <w:rPr>
          <w:i/>
          <w:szCs w:val="24"/>
        </w:rPr>
        <w:t>.</w:t>
      </w:r>
    </w:p>
    <w:p w14:paraId="3B8518F9" w14:textId="77777777" w:rsidR="00EE2530" w:rsidRPr="00805C9F" w:rsidRDefault="00EE2530" w:rsidP="00CC0180">
      <w:pPr>
        <w:pStyle w:val="2"/>
        <w:rPr>
          <w:bCs/>
          <w:szCs w:val="24"/>
        </w:rPr>
      </w:pPr>
      <w:bookmarkStart w:id="30" w:name="_Toc97734629"/>
      <w:r w:rsidRPr="00805C9F">
        <w:rPr>
          <w:rStyle w:val="ac"/>
          <w:b/>
          <w:bCs w:val="0"/>
          <w:szCs w:val="24"/>
        </w:rPr>
        <w:t>3.3.2</w:t>
      </w:r>
      <w:r w:rsidR="00971A8A" w:rsidRPr="00805C9F">
        <w:rPr>
          <w:rStyle w:val="ac"/>
          <w:b/>
          <w:bCs w:val="0"/>
          <w:szCs w:val="24"/>
        </w:rPr>
        <w:t xml:space="preserve"> </w:t>
      </w:r>
      <w:r w:rsidRPr="00805C9F">
        <w:rPr>
          <w:rStyle w:val="ac"/>
          <w:b/>
          <w:bCs w:val="0"/>
          <w:szCs w:val="24"/>
        </w:rPr>
        <w:t>Трансплантационный этап</w:t>
      </w:r>
      <w:bookmarkEnd w:id="30"/>
    </w:p>
    <w:p w14:paraId="7C1BE657" w14:textId="0853FD7A" w:rsidR="001F641D" w:rsidRPr="00805C9F" w:rsidRDefault="003C7967" w:rsidP="00092917">
      <w:pPr>
        <w:pStyle w:val="a6"/>
        <w:numPr>
          <w:ilvl w:val="0"/>
          <w:numId w:val="5"/>
        </w:numPr>
        <w:spacing w:before="0" w:after="0"/>
        <w:ind w:left="0" w:firstLine="0"/>
        <w:rPr>
          <w:szCs w:val="24"/>
        </w:rPr>
      </w:pPr>
      <w:r w:rsidRPr="00805C9F">
        <w:rPr>
          <w:szCs w:val="24"/>
        </w:rPr>
        <w:t>Пациентам</w:t>
      </w:r>
      <w:r w:rsidR="001F641D" w:rsidRPr="00805C9F">
        <w:rPr>
          <w:szCs w:val="24"/>
        </w:rPr>
        <w:t xml:space="preserve"> с впервые выявленной ММ в возрасте до 65</w:t>
      </w:r>
      <w:r w:rsidR="00A473F6" w:rsidRPr="00805C9F">
        <w:rPr>
          <w:szCs w:val="24"/>
        </w:rPr>
        <w:t xml:space="preserve"> лет</w:t>
      </w:r>
      <w:r w:rsidR="001F641D" w:rsidRPr="00805C9F">
        <w:rPr>
          <w:szCs w:val="24"/>
        </w:rPr>
        <w:t>, а также пациентам 65</w:t>
      </w:r>
      <w:r w:rsidR="000A3700" w:rsidRPr="00805C9F">
        <w:rPr>
          <w:szCs w:val="24"/>
        </w:rPr>
        <w:t>−</w:t>
      </w:r>
      <w:r w:rsidR="001F641D" w:rsidRPr="00805C9F">
        <w:rPr>
          <w:szCs w:val="24"/>
        </w:rPr>
        <w:t>70</w:t>
      </w:r>
      <w:r w:rsidR="000A3700" w:rsidRPr="00805C9F">
        <w:rPr>
          <w:szCs w:val="24"/>
        </w:rPr>
        <w:t> </w:t>
      </w:r>
      <w:r w:rsidR="001F641D" w:rsidRPr="00805C9F">
        <w:rPr>
          <w:szCs w:val="24"/>
        </w:rPr>
        <w:t>лет с хорошим соматическим статусом без тяжелых сопутствующих заболе</w:t>
      </w:r>
      <w:r w:rsidR="00624D3B" w:rsidRPr="00805C9F">
        <w:rPr>
          <w:szCs w:val="24"/>
        </w:rPr>
        <w:t xml:space="preserve">ваний, достигшим </w:t>
      </w:r>
      <w:r w:rsidR="00E5500D" w:rsidRPr="00805C9F">
        <w:rPr>
          <w:szCs w:val="24"/>
        </w:rPr>
        <w:t>ПР</w:t>
      </w:r>
      <w:r w:rsidR="00795E89">
        <w:rPr>
          <w:szCs w:val="24"/>
        </w:rPr>
        <w:t>, ОХЧР</w:t>
      </w:r>
      <w:r w:rsidR="00624D3B" w:rsidRPr="00805C9F">
        <w:rPr>
          <w:szCs w:val="24"/>
        </w:rPr>
        <w:t xml:space="preserve"> или</w:t>
      </w:r>
      <w:r w:rsidR="001F641D" w:rsidRPr="00805C9F">
        <w:rPr>
          <w:szCs w:val="24"/>
        </w:rPr>
        <w:t xml:space="preserve"> </w:t>
      </w:r>
      <w:r w:rsidR="00E5500D" w:rsidRPr="00805C9F">
        <w:rPr>
          <w:szCs w:val="24"/>
        </w:rPr>
        <w:t>ЧР</w:t>
      </w:r>
      <w:r w:rsidR="001F641D" w:rsidRPr="00805C9F">
        <w:rPr>
          <w:szCs w:val="24"/>
        </w:rPr>
        <w:t xml:space="preserve"> после индукционной терапии,</w:t>
      </w:r>
      <w:r w:rsidR="006D0F6C" w:rsidRPr="00805C9F">
        <w:rPr>
          <w:szCs w:val="24"/>
        </w:rPr>
        <w:t xml:space="preserve"> </w:t>
      </w:r>
      <w:r w:rsidR="00FF0C02" w:rsidRPr="00805C9F">
        <w:rPr>
          <w:b/>
          <w:szCs w:val="24"/>
        </w:rPr>
        <w:t>рекомендуется</w:t>
      </w:r>
      <w:r w:rsidR="001F641D" w:rsidRPr="00805C9F">
        <w:rPr>
          <w:szCs w:val="24"/>
        </w:rPr>
        <w:t xml:space="preserve"> выполнение мобилизации и сбора </w:t>
      </w:r>
      <w:r w:rsidR="00E5500D" w:rsidRPr="00805C9F">
        <w:rPr>
          <w:szCs w:val="24"/>
        </w:rPr>
        <w:t>ГСК</w:t>
      </w:r>
      <w:r w:rsidR="001F641D" w:rsidRPr="00805C9F">
        <w:rPr>
          <w:szCs w:val="24"/>
        </w:rPr>
        <w:t xml:space="preserve"> крови</w:t>
      </w:r>
      <w:r w:rsidR="006D0B51" w:rsidRPr="00805C9F">
        <w:rPr>
          <w:szCs w:val="24"/>
        </w:rPr>
        <w:t xml:space="preserve"> </w:t>
      </w:r>
      <w:r w:rsidR="00632333" w:rsidRPr="00805C9F">
        <w:rPr>
          <w:szCs w:val="24"/>
        </w:rPr>
        <w:t>под лабораторным контролем количества стволовых кроветворных клеток в периферической крови и аферезном продукте методом проточной цитометрии</w:t>
      </w:r>
      <w:r w:rsidR="00021E5D" w:rsidRPr="00805C9F">
        <w:rPr>
          <w:szCs w:val="24"/>
        </w:rPr>
        <w:t xml:space="preserve"> для последующего выполнения ауто</w:t>
      </w:r>
      <w:r w:rsidR="009B5A8D" w:rsidRPr="00805C9F">
        <w:rPr>
          <w:szCs w:val="24"/>
        </w:rPr>
        <w:t>-</w:t>
      </w:r>
      <w:r w:rsidR="00021E5D" w:rsidRPr="00805C9F">
        <w:rPr>
          <w:szCs w:val="24"/>
        </w:rPr>
        <w:t>ТГСК</w:t>
      </w:r>
      <w:r w:rsidR="00632333" w:rsidRPr="00805C9F">
        <w:rPr>
          <w:szCs w:val="24"/>
        </w:rPr>
        <w:t xml:space="preserve"> </w:t>
      </w:r>
      <w:r w:rsidR="00A96FB6" w:rsidRPr="00805C9F">
        <w:rPr>
          <w:szCs w:val="24"/>
        </w:rPr>
        <w:fldChar w:fldCharType="begin" w:fldLock="1"/>
      </w:r>
      <w:r w:rsidR="00A14090">
        <w:rPr>
          <w:szCs w:val="24"/>
        </w:rPr>
        <w:instrText>ADDIN CSL_CITATION {"citationItems":[{"id":"ITEM-1","itemData":{"DOI":"10.1080/10428194.2018.1543874","ISSN":"10292403","abstract":"To evaluate the role of high-dose melphalan plus autologous stem-cell transplantation (ASCT) as consolidation therapy for patients with newly diagnosed multiple myeloma (NDMM) in the era of novel agents, we undertook this meta-analysis. Medline, Embase, the Cochrane controlled trials register, the SCI, ASH, EHA, and ASCO were searched for clinical trials including high-dose chemotherapy plus ASCT for patients with NDMM. Finally, we identified four RCTs of ASCT versus novel agents based consolidations, and 10 single-arm prospective trials of ASCT alone. Pooled analysis indicated that response quality improved further after ASCT in the era of novel agents (&gt;=CR rates of 13% pre-ASCT versus 29% post-ASCT, p =.003). When compared to novel agents containing consolidation regimens, high-dose chemotherapy plus ASCT significantly improved progression-free survival (PFS) (HR =0.56, p &lt;.001). No significant difference in overall survival (OS) was found between them (HR =0.66, p =.22). Of note, subgroup analysis indicated that ASCT could significantly improve OS (HR =0.49, p =.0004) when compared to alkylating agent-based regimens plus lenalidomide consolidation. In summary, response quality and PFS improved further over ASCT in the era of novel agents. ASCT could improve survival than alkylating agent-based regimens plus lenalidomide consolidations for patients with NDMM.Copyright © 2018, © 2018 Informa UK Limited, trading as Taylor &amp; Francis Group.","author":[{"dropping-particle":"","family":"Su","given":"Baohua","non-dropping-particle":"","parse-names":false,"suffix":""},{"dropping-particle":"","family":"Zhu","given":"Xu","non-dropping-particle":"","parse-names":false,"suffix":""},{"dropping-particle":"","family":"Jiang","given":"Yina","non-dropping-particle":"","parse-names":false,"suffix":""},{"dropping-particle":"","family":"Wang","given":"Lida","non-dropping-particle":"","parse-names":false,"suffix":""},{"dropping-particle":"","family":"Zhao","given":"Ningning","non-dropping-particle":"","parse-names":false,"suffix":""},{"dropping-particle":"","family":"Ran","given":"Xuehong","non-dropping-particle":"","parse-names":false,"suffix":""},{"dropping-particle":"","family":"Zheng","given":"Xiaobin","non-dropping-particle":"","parse-names":false,"suffix":""},{"dropping-particle":"","family":"Guo","given":"Hui","non-dropping-particle":"","parse-names":false,"suffix":""}],"container-title":"Leukemia and Lymphoma","id":"ITEM-1","issued":{"date-parts":[["2018"]]},"publisher":"Taylor and Francis Ltd","title":"A meta-analysis of autologous transplantation for newly diagnosed multiple myeloma in the era of novel agents","type":"article-journal"},"uris":["http://www.mendeley.com/documents/?uuid=a763b0b9-22ac-33ee-8ac3-1da970da9202"]},{"id":"ITEM-2","itemData":{"DOI":"10.1001/jamaoncol.2017.4600","ISSN":"23742445","abstract":"Importance The role of high-dose therapy with melphalan followed by autologous stem cell transplant (HDT/ASCT) in patients with multiple myeloma continues to be debated in the context of novel agent induction. Objective To perform a systematic review, conventional meta-analysis, and network meta-analysis of all phase 3 randomized clinical trials (RCTs) evaluating the role of HDT/ASCT. Data Sources We performed a systematic literature search of Cochrane Central, MEDLINE, and Scopus from January 2000 through April 2017 and relevant annual meeting abstracts from January 2014 to December 2016. The following search terms were used: \"myeloma\" combined with \"autologous,\" \"transplant,\" \"myeloablative,\" or \"stem cell.\" Study Selection Phase 3 RCTs comparing HDT/ASCT with standard-dose therapy (SDT) using novel agents were assessed. Studies comparing single HDT/ASCT with bortezomib, lenalidomide, and dexamethasone consolidation and tandem transplantation were included for network meta-analysis. Data Extraction And Synthesis For the random effects meta-analysis, we used hazard ratios (HRs) and corresponding 95% CIs. Main Outcomes and Measures The primary outcome was progression-free survival (PFS). Overall survival (OS), complete response, and treatment-related mortality were secondary outcomes. Results A total of 4 RCTs (2421 patients) for conventional meta-analysis and 5 RCTs (3171 patients) for network meta-analysis were selected. The combined odds for complete response were 1.27 (95% CI, 0.97-1.65; P = .07) with HDT/ASCT when compared with SDT. The combined HR for PFS was 0.55 (95% CI, 0.41-0.74; P &lt; .001) and 0.76 for OS (95% CI, 0.42-1.36; P = .20) in favor of HDT. Meta-regression showed that longer follow-up was associated with superior PFS (HR/mo, 0.98; 95% CI, 0.96-0.99; P = .03) and OS (HR/mo, 0.90; 95% CI, 0.84-0.96; P = .002). For PFS, tandem HDT/ASCT had the most favorable HR (0.49; 95% CI, 0.37-0.65) followed by single HDT/ASCT with bortezomib, lenalidomide, and dexamethasone (HR, 0.53; 95% CI, 0.37-0.76) and single HDT/ASCT alone (HR, 0.68; 95% CI, 0.53-0.87) compared with SDT. For OS, none of the HDT/ASCT-based approaches had a significant effect on survival. Treatment-related mortality with HDT/ASCT was minimal (&lt;1%). Conclusions and Relevance The results of the conventional meta-analysis and network meta-analysis of all the phase 3 RCTs showed that HDT/ASCT was associated with superior PFS with minimal toxic effects compared with SDT. Both tandem…","author":[{"dropping-particle":"","family":"Dhakal","given":"Binod","non-dropping-particle":"","parse-names":false,"suffix":""},{"dropping-particle":"","family":"Szabo","given":"Aniko","non-dropping-particle":"","parse-names":false,"suffix":""},{"dropping-particle":"","family":"Chhabra","given":"Saurabh","non-dropping-particle":"","parse-names":false,"suffix":""},{"dropping-particle":"","family":"Hamadani","given":"Mehdi","non-dropping-particle":"","parse-names":false,"suffix":""},{"dropping-particle":"","family":"D'Souza","given":"Anita","non-dropping-particle":"","parse-names":false,"suffix":""},{"dropping-particle":"","family":"Usmani","given":"Saad Z.","non-dropping-particle":"","parse-names":false,"suffix":""},{"dropping-particle":"","family":"Sieracki","given":"Rita","non-dropping-particle":"","parse-names":false,"suffix":""},{"dropping-particle":"","family":"Gyawali","given":"Bishal","non-dropping-particle":"","parse-names":false,"suffix":""},{"dropping-particle":"","family":"Jackson","given":"Jeffrey L.","non-dropping-particle":"","parse-names":false,"suffix":""},{"dropping-particle":"","family":"Asimakopoulos","given":"Fotis","non-dropping-particle":"","parse-names":false,"suffix":""},{"dropping-particle":"","family":"Hari","given":"Parameswaran N.","non-dropping-particle":"","parse-names":false,"suffix":""}],"container-title":"JAMA Oncology","id":"ITEM-2","issue":"3","issued":{"date-parts":[["2018","3","1"]]},"page":"343-350","publisher":"American Medical Association","title":"Autologous transplantation for newly diagnosed multiple myeloma in the era of novel agent induction a systematic review and meta-analysis","type":"article-journal","volume":"4"},"uris":["http://www.mendeley.com/documents/?uuid=e10abcf3-d81f-385d-80c0-5398aae26e72"]},{"id":"ITEM-3","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-3","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[1,38,39]","plainTextFormattedCitation":"[1,38,39]","previouslyFormattedCitation":"[1,38,39]"},"properties":{"noteIndex":0},"schema":"https://github.com/citation-style-language/schema/raw/master/csl-citation.json"}</w:instrText>
      </w:r>
      <w:r w:rsidR="00A96FB6" w:rsidRPr="00805C9F">
        <w:rPr>
          <w:szCs w:val="24"/>
        </w:rPr>
        <w:fldChar w:fldCharType="separate"/>
      </w:r>
      <w:r w:rsidR="00500F37" w:rsidRPr="00500F37">
        <w:rPr>
          <w:noProof/>
          <w:szCs w:val="24"/>
        </w:rPr>
        <w:t>[1,38,39]</w:t>
      </w:r>
      <w:r w:rsidR="00A96FB6" w:rsidRPr="00805C9F">
        <w:rPr>
          <w:szCs w:val="24"/>
        </w:rPr>
        <w:fldChar w:fldCharType="end"/>
      </w:r>
      <w:r w:rsidR="001F641D" w:rsidRPr="00805C9F">
        <w:rPr>
          <w:szCs w:val="24"/>
        </w:rPr>
        <w:t xml:space="preserve">. </w:t>
      </w:r>
      <w:r w:rsidR="006D0B51" w:rsidRPr="00805C9F">
        <w:rPr>
          <w:szCs w:val="24"/>
        </w:rPr>
        <w:t xml:space="preserve"> </w:t>
      </w:r>
    </w:p>
    <w:p w14:paraId="5560884C" w14:textId="77777777" w:rsidR="001F641D" w:rsidRPr="00805C9F" w:rsidRDefault="001F641D" w:rsidP="00092917">
      <w:pPr>
        <w:spacing w:before="0" w:after="0"/>
        <w:contextualSpacing/>
        <w:rPr>
          <w:b/>
          <w:szCs w:val="24"/>
        </w:rPr>
      </w:pPr>
      <w:r w:rsidRPr="00805C9F">
        <w:rPr>
          <w:b/>
          <w:szCs w:val="24"/>
        </w:rPr>
        <w:t xml:space="preserve">Уровень убедительности рекомендаций </w:t>
      </w:r>
      <w:r w:rsidR="00E5500D" w:rsidRPr="00805C9F">
        <w:rPr>
          <w:b/>
          <w:szCs w:val="24"/>
        </w:rPr>
        <w:t xml:space="preserve">− </w:t>
      </w:r>
      <w:r w:rsidR="00BF55DF" w:rsidRPr="00805C9F">
        <w:rPr>
          <w:b/>
          <w:szCs w:val="24"/>
        </w:rPr>
        <w:t xml:space="preserve">С </w:t>
      </w:r>
      <w:r w:rsidRPr="00805C9F">
        <w:rPr>
          <w:b/>
          <w:szCs w:val="24"/>
        </w:rPr>
        <w:t>(уровень достоверности доказательств</w:t>
      </w:r>
      <w:r w:rsidR="00632333" w:rsidRPr="00805C9F">
        <w:rPr>
          <w:b/>
          <w:szCs w:val="24"/>
        </w:rPr>
        <w:t xml:space="preserve"> </w:t>
      </w:r>
      <w:r w:rsidR="00E5500D" w:rsidRPr="00805C9F">
        <w:rPr>
          <w:b/>
          <w:szCs w:val="24"/>
        </w:rPr>
        <w:t xml:space="preserve">− </w:t>
      </w:r>
      <w:r w:rsidR="00BF55DF" w:rsidRPr="00805C9F">
        <w:rPr>
          <w:b/>
          <w:szCs w:val="24"/>
        </w:rPr>
        <w:t>5</w:t>
      </w:r>
      <w:r w:rsidRPr="00805C9F">
        <w:rPr>
          <w:b/>
          <w:szCs w:val="24"/>
        </w:rPr>
        <w:t>)</w:t>
      </w:r>
    </w:p>
    <w:p w14:paraId="7359ACA4" w14:textId="2E908F27" w:rsidR="00165A1B" w:rsidRPr="00805C9F" w:rsidRDefault="001F641D" w:rsidP="00092917">
      <w:pPr>
        <w:spacing w:before="0" w:after="0"/>
        <w:contextualSpacing/>
        <w:rPr>
          <w:i/>
          <w:szCs w:val="24"/>
        </w:rPr>
      </w:pPr>
      <w:r w:rsidRPr="00805C9F">
        <w:rPr>
          <w:b/>
          <w:szCs w:val="24"/>
        </w:rPr>
        <w:t xml:space="preserve">Комментарий: </w:t>
      </w:r>
      <w:r w:rsidR="00E5500D" w:rsidRPr="00805C9F">
        <w:rPr>
          <w:i/>
          <w:szCs w:val="24"/>
        </w:rPr>
        <w:t>н</w:t>
      </w:r>
      <w:r w:rsidRPr="00805C9F">
        <w:rPr>
          <w:i/>
          <w:szCs w:val="24"/>
        </w:rPr>
        <w:t>аиболее часто используемым режимом мобилизации является сочетание химиотерапевтических препаратов (чаще всего циклофосфамида</w:t>
      </w:r>
      <w:r w:rsidR="006E7B15" w:rsidRPr="00805C9F">
        <w:rPr>
          <w:i/>
          <w:szCs w:val="24"/>
        </w:rPr>
        <w:t>**</w:t>
      </w:r>
      <w:r w:rsidRPr="00805C9F">
        <w:rPr>
          <w:i/>
          <w:szCs w:val="24"/>
        </w:rPr>
        <w:t xml:space="preserve"> в дозе 2</w:t>
      </w:r>
      <w:r w:rsidR="00E5500D" w:rsidRPr="00805C9F">
        <w:rPr>
          <w:i/>
          <w:szCs w:val="24"/>
        </w:rPr>
        <w:t>−</w:t>
      </w:r>
      <w:r w:rsidRPr="00805C9F">
        <w:rPr>
          <w:i/>
          <w:szCs w:val="24"/>
        </w:rPr>
        <w:t>4 г/м</w:t>
      </w:r>
      <w:r w:rsidRPr="00805C9F">
        <w:rPr>
          <w:i/>
          <w:szCs w:val="24"/>
          <w:vertAlign w:val="superscript"/>
        </w:rPr>
        <w:t>2</w:t>
      </w:r>
      <w:r w:rsidR="00EE48C6" w:rsidRPr="00805C9F">
        <w:rPr>
          <w:i/>
          <w:szCs w:val="24"/>
        </w:rPr>
        <w:t xml:space="preserve"> </w:t>
      </w:r>
      <w:r w:rsidR="00CA66B5" w:rsidRPr="00805C9F">
        <w:rPr>
          <w:i/>
          <w:szCs w:val="24"/>
        </w:rPr>
        <w:t>с последующим назначением</w:t>
      </w:r>
      <w:r w:rsidR="00EE48C6" w:rsidRPr="00805C9F">
        <w:rPr>
          <w:i/>
          <w:szCs w:val="24"/>
        </w:rPr>
        <w:t xml:space="preserve"> </w:t>
      </w:r>
      <w:r w:rsidR="009652BF" w:rsidRPr="00805C9F">
        <w:rPr>
          <w:i/>
          <w:szCs w:val="24"/>
        </w:rPr>
        <w:t>#</w:t>
      </w:r>
      <w:r w:rsidR="00EE48C6" w:rsidRPr="00805C9F">
        <w:rPr>
          <w:i/>
          <w:szCs w:val="24"/>
        </w:rPr>
        <w:t>Г-КСФ</w:t>
      </w:r>
      <w:r w:rsidR="00ED0BF5" w:rsidRPr="00805C9F">
        <w:rPr>
          <w:i/>
          <w:szCs w:val="24"/>
        </w:rPr>
        <w:t>**</w:t>
      </w:r>
      <w:r w:rsidRPr="00805C9F">
        <w:rPr>
          <w:i/>
          <w:szCs w:val="24"/>
        </w:rPr>
        <w:t xml:space="preserve"> и </w:t>
      </w:r>
      <w:r w:rsidR="007B54A0" w:rsidRPr="00805C9F">
        <w:rPr>
          <w:i/>
          <w:szCs w:val="24"/>
        </w:rPr>
        <w:t xml:space="preserve">рекомбинантного человеческого </w:t>
      </w:r>
      <w:r w:rsidRPr="00805C9F">
        <w:rPr>
          <w:i/>
          <w:szCs w:val="24"/>
        </w:rPr>
        <w:t>гранулоцитарного колониестимулирующего фактора (</w:t>
      </w:r>
      <w:r w:rsidR="007B3900" w:rsidRPr="00805C9F">
        <w:rPr>
          <w:i/>
          <w:szCs w:val="24"/>
        </w:rPr>
        <w:t>#</w:t>
      </w:r>
      <w:r w:rsidRPr="00805C9F">
        <w:rPr>
          <w:i/>
          <w:szCs w:val="24"/>
        </w:rPr>
        <w:t>Г-КСФ</w:t>
      </w:r>
      <w:r w:rsidR="00ED0BF5" w:rsidRPr="00805C9F">
        <w:rPr>
          <w:i/>
          <w:szCs w:val="24"/>
        </w:rPr>
        <w:t>**</w:t>
      </w:r>
      <w:r w:rsidRPr="00805C9F">
        <w:rPr>
          <w:i/>
          <w:szCs w:val="24"/>
        </w:rPr>
        <w:t xml:space="preserve">) </w:t>
      </w:r>
      <w:r w:rsidR="005049BE" w:rsidRPr="00805C9F">
        <w:rPr>
          <w:i/>
          <w:szCs w:val="24"/>
        </w:rPr>
        <w:t xml:space="preserve">подкожно </w:t>
      </w:r>
      <w:r w:rsidRPr="00805C9F">
        <w:rPr>
          <w:i/>
          <w:szCs w:val="24"/>
        </w:rPr>
        <w:t>в дозе 5 мкг/кг/сут</w:t>
      </w:r>
      <w:r w:rsidR="001A740A" w:rsidRPr="00805C9F">
        <w:rPr>
          <w:i/>
          <w:szCs w:val="24"/>
        </w:rPr>
        <w:t xml:space="preserve"> </w:t>
      </w:r>
      <w:r w:rsidR="001A740A" w:rsidRPr="00805C9F">
        <w:rPr>
          <w:i/>
          <w:szCs w:val="24"/>
        </w:rPr>
        <w:fldChar w:fldCharType="begin" w:fldLock="1"/>
      </w:r>
      <w:r w:rsidR="00500F37">
        <w:rPr>
          <w:i/>
          <w:szCs w:val="24"/>
        </w:rPr>
        <w:instrText>ADDIN CSL_CITATION {"citationItems":[{"id":"ITEM-1","itemData":{"DOI":"10.1002/jca.21360","ISSN":"10981101","abstract":"High-dose cyclophosphamide (Cy) is frequently employed for peripheral blood mobilization of hematopoietic stem cells before high-dose chemotherapy with autologous stem cell transplantation (ASCT) in multiple myeloma (MM). The benefit of mobilization with Cy over filgrastim (granulocyte colony-stimulating factor; G-CSF) alone is unclear. Between 2000 and 2008, 167 patients with newly diagnosed MM underwent single ASCT after melphalan conditioning at our institution. Seventy-three patients were mobilized with G-CSF alone, and 94 patients with Cy plus G-CSF (Cy+G-CSF). We retrospectively analyzed Cy's impact on both toxicity and efficacy. Mobilization efficiency was augmented by Cy; a mean total of 12 versus 5.8 × 10&lt;sup&gt;6&lt;/sup&gt; CD34+ cells/kg were collected from patients mobilized with Cy+G-CSF versus G-CSF, respectively, (P &lt; 0.01), over a mean of 1.6 versus 2.2 days of peripheral blood apheresis (p = 0.001). Mobilization-related toxicity was also, however, augmented by Cy; 14% of Cy+G-CSF patients were hospitalized because of complications versus none receiving G-CSF (P &lt; 0.0001). Toxicity, including death, related to ASCT was similar between cohorts. Regarding long-term outcomes, multivariate analysis revealed no difference for Cy+G-CSF versus G-CSF (hazard ratio 0.8 for event-free survival [95% confidence interval {CI} 0.57-1.25] and 0.96 for overall survival [95% CI 0.61-1.54]). In summary, we show that mobilization with Cy increases toxicity without positively impacting long-term outcomes in MM. Our findings place into question Cy's benefit as a routine component of stem cell mobilization regimens in MM. Randomized trials are needed to elucidate the risks and benefits of Cy more definitively.","author":[{"dropping-particle":"","family":"Tuchman","given":"Sascha A.","non-dropping-particle":"","parse-names":false,"suffix":""},{"dropping-particle":"","family":"Bacon","given":"Wendi A.","non-dropping-particle":"","parse-names":false,"suffix":""},{"dropping-particle":"","family":"Huang","given":"Li Wen","non-dropping-particle":"","parse-names":false,"suffix":""},{"dropping-particle":"","family":"Long","given":"Gwynn","non-dropping-particle":"","parse-names":false,"suffix":""},{"dropping-particle":"","family":"Rizzieri","given":"David","non-dropping-particle":"","parse-names":false,"suffix":""},{"dropping-particle":"","family":"Horwitz","given":"Mitchell","non-dropping-particle":"","parse-names":false,"suffix":""},{"dropping-particle":"","family":"Chute","given":"John P.","non-dropping-particle":"","parse-names":false,"suffix":""},{"dropping-particle":"","family":"Sullivan","given":"Keith","non-dropping-particle":"","parse-names":false,"suffix":""},{"dropping-particle":"","family":"Engemann","given":"Ashley Morris","non-dropping-particle":"","parse-names":false,"suffix":""},{"dropping-particle":"","family":"Yopp","given":"Amanda","non-dropping-particle":"","parse-names":false,"suffix":""},{"dropping-particle":"","family":"Li","given":"Zhiguo","non-dropping-particle":"","parse-names":false,"suffix":""},{"dropping-particle":"","family":"Corbet","given":"Kelly","non-dropping-particle":"","parse-names":false,"suffix":""},{"dropping-particle":"","family":"Chao","given":"Nelson","non-dropping-particle":"","parse-names":false,"suffix":""},{"dropping-particle":"","family":"Gasparetto","given":"Cristina","non-dropping-particle":"","parse-names":false,"suffix":""}],"container-title":"Journal of Clinical Apheresis","id":"ITEM-1","issue":"3","issued":{"date-parts":[["2015","6","1"]]},"page":"176-182","publisher":"Wiley-Liss Inc.","title":"Cyclophosphamide-based hematopoietic stem cell mobilization before autologous stem cell transplantation in newly diagnosed multiple myeloma","type":"article-journal","volume":"30"},"uris":["http://www.mendeley.com/documents/?uuid=7ab2027e-7a8d-3be6-bb8b-1854f8cab286"]}],"mendeley":{"formattedCitation":"[48]","plainTextFormattedCitation":"[48]","previouslyFormattedCitation":"[48]"},"properties":{"noteIndex":0},"schema":"https://github.com/citation-style-language/schema/raw/master/csl-citation.json"}</w:instrText>
      </w:r>
      <w:r w:rsidR="001A740A" w:rsidRPr="00805C9F">
        <w:rPr>
          <w:i/>
          <w:szCs w:val="24"/>
        </w:rPr>
        <w:fldChar w:fldCharType="separate"/>
      </w:r>
      <w:r w:rsidR="00E03159" w:rsidRPr="00805C9F">
        <w:rPr>
          <w:noProof/>
          <w:szCs w:val="24"/>
        </w:rPr>
        <w:t>[48]</w:t>
      </w:r>
      <w:r w:rsidR="001A740A" w:rsidRPr="00805C9F">
        <w:rPr>
          <w:i/>
          <w:szCs w:val="24"/>
        </w:rPr>
        <w:fldChar w:fldCharType="end"/>
      </w:r>
      <w:r w:rsidRPr="00805C9F">
        <w:rPr>
          <w:i/>
          <w:szCs w:val="24"/>
        </w:rPr>
        <w:t xml:space="preserve">. </w:t>
      </w:r>
      <w:r w:rsidR="007B3900" w:rsidRPr="00805C9F">
        <w:rPr>
          <w:i/>
          <w:szCs w:val="24"/>
        </w:rPr>
        <w:t>#</w:t>
      </w:r>
      <w:r w:rsidRPr="00805C9F">
        <w:rPr>
          <w:i/>
          <w:szCs w:val="24"/>
        </w:rPr>
        <w:t>Г-КСФ</w:t>
      </w:r>
      <w:r w:rsidR="00ED0BF5" w:rsidRPr="00805C9F">
        <w:rPr>
          <w:i/>
          <w:szCs w:val="24"/>
        </w:rPr>
        <w:t>**</w:t>
      </w:r>
      <w:r w:rsidR="00185CAE" w:rsidRPr="00805C9F">
        <w:rPr>
          <w:i/>
          <w:szCs w:val="24"/>
        </w:rPr>
        <w:t xml:space="preserve"> может также</w:t>
      </w:r>
      <w:r w:rsidRPr="00805C9F">
        <w:rPr>
          <w:i/>
          <w:szCs w:val="24"/>
        </w:rPr>
        <w:t xml:space="preserve"> применят</w:t>
      </w:r>
      <w:r w:rsidR="00185CAE" w:rsidRPr="00805C9F">
        <w:rPr>
          <w:i/>
          <w:szCs w:val="24"/>
        </w:rPr>
        <w:t>ь</w:t>
      </w:r>
      <w:r w:rsidRPr="00805C9F">
        <w:rPr>
          <w:i/>
          <w:szCs w:val="24"/>
        </w:rPr>
        <w:t>ся в монорежиме на фоне стабильного состояния кроветворения (</w:t>
      </w:r>
      <w:r w:rsidR="001D3DC1" w:rsidRPr="00805C9F">
        <w:rPr>
          <w:i/>
          <w:szCs w:val="24"/>
        </w:rPr>
        <w:t xml:space="preserve">подкожно </w:t>
      </w:r>
      <w:r w:rsidRPr="00805C9F">
        <w:rPr>
          <w:i/>
          <w:szCs w:val="24"/>
        </w:rPr>
        <w:t>в дозе 10 мкг/кг/сут</w:t>
      </w:r>
      <w:r w:rsidR="001D3DC1" w:rsidRPr="00805C9F">
        <w:rPr>
          <w:i/>
          <w:szCs w:val="24"/>
        </w:rPr>
        <w:t xml:space="preserve"> до афереза</w:t>
      </w:r>
      <w:r w:rsidRPr="00805C9F">
        <w:rPr>
          <w:i/>
          <w:szCs w:val="24"/>
        </w:rPr>
        <w:t>)</w:t>
      </w:r>
      <w:r w:rsidR="001D3DC1" w:rsidRPr="00805C9F">
        <w:rPr>
          <w:i/>
          <w:szCs w:val="24"/>
        </w:rPr>
        <w:t xml:space="preserve"> </w:t>
      </w:r>
      <w:r w:rsidR="001D3DC1" w:rsidRPr="00805C9F">
        <w:rPr>
          <w:i/>
          <w:szCs w:val="24"/>
        </w:rPr>
        <w:fldChar w:fldCharType="begin" w:fldLock="1"/>
      </w:r>
      <w:r w:rsidR="00500F37">
        <w:rPr>
          <w:i/>
          <w:szCs w:val="24"/>
        </w:rPr>
        <w:instrText>ADDIN CSL_CITATION {"citationItems":[{"id":"ITEM-1","itemData":{"DOI":"10.1007/978-1-61779-943-3_3","ISBN":"9781617799426","ISSN":"10643745","abstract":"Cytokine mobilized peripheral blood stem cells are the preferred source of stem cells in autologous stem cell transplantation and have virtually replaced bone marrow as the stem cell source. In recent years, a dramatic increase has been reported in the use of peripheral blood stem cells for allogeneic transplantation as well. The reason for this rise is that peripheral blood stem cell transplants when compared to bone marrow transplants are associated with a more rapid recovery of granulocytes and platelets after transplantation and a lower regimen-related and transplant-related mortality. Peripheral blood stem cells can be easily harvested on an outpatient basis without the need for general anesthesia. In most cases peripheral blood stem cells are collected after G-CSF administration. In this chapter we describe peripheral blood stem cell mobilization in autologous transplant patients and in allogeneic donors using G-CSF. © 2012 Springer Science+Business Media, LLC.","author":[{"dropping-particle":"","family":"Hosing","given":"Chitra","non-dropping-particle":"","parse-names":false,"suffix":""}],"container-title":"Methods in Molecular Biology","id":"ITEM-1","issued":{"date-parts":[["2012"]]},"page":"37-47","publisher":"Humana Press Inc.","title":"Hematopoietic stem cell mobilization with G-CSF","type":"article-journal","volume":"904"},"uris":["http://www.mendeley.com/documents/?uuid=a41d6b1f-a764-3765-bf65-42ba50016b31"]}],"mendeley":{"formattedCitation":"[49]","plainTextFormattedCitation":"[49]","previouslyFormattedCitation":"[49]"},"properties":{"noteIndex":0},"schema":"https://github.com/citation-style-language/schema/raw/master/csl-citation.json"}</w:instrText>
      </w:r>
      <w:r w:rsidR="001D3DC1" w:rsidRPr="00805C9F">
        <w:rPr>
          <w:i/>
          <w:szCs w:val="24"/>
        </w:rPr>
        <w:fldChar w:fldCharType="separate"/>
      </w:r>
      <w:r w:rsidR="00E03159" w:rsidRPr="00805C9F">
        <w:rPr>
          <w:noProof/>
          <w:szCs w:val="24"/>
        </w:rPr>
        <w:t>[49]</w:t>
      </w:r>
      <w:r w:rsidR="001D3DC1" w:rsidRPr="00805C9F">
        <w:rPr>
          <w:i/>
          <w:szCs w:val="24"/>
        </w:rPr>
        <w:fldChar w:fldCharType="end"/>
      </w:r>
      <w:r w:rsidRPr="00805C9F">
        <w:rPr>
          <w:i/>
          <w:szCs w:val="24"/>
        </w:rPr>
        <w:t>. При недостаточной эффективности мобилизации или при проведении ее повторно возможно включение в режим препарата плериксафор</w:t>
      </w:r>
      <w:r w:rsidR="003E3C97" w:rsidRPr="00805C9F">
        <w:rPr>
          <w:i/>
          <w:szCs w:val="24"/>
        </w:rPr>
        <w:t xml:space="preserve"> – 0,24 мг/кг/сут подкожно за 6</w:t>
      </w:r>
      <w:r w:rsidR="005C44D0" w:rsidRPr="00805C9F">
        <w:rPr>
          <w:i/>
          <w:szCs w:val="24"/>
        </w:rPr>
        <w:t>−</w:t>
      </w:r>
      <w:r w:rsidR="003E3C97" w:rsidRPr="00805C9F">
        <w:rPr>
          <w:i/>
          <w:szCs w:val="24"/>
        </w:rPr>
        <w:t xml:space="preserve">11 ч </w:t>
      </w:r>
      <w:r w:rsidR="00165A1B" w:rsidRPr="00805C9F">
        <w:rPr>
          <w:i/>
          <w:szCs w:val="24"/>
        </w:rPr>
        <w:t>до афереза, возможно прим</w:t>
      </w:r>
      <w:r w:rsidR="005C44D0" w:rsidRPr="00805C9F">
        <w:rPr>
          <w:i/>
          <w:szCs w:val="24"/>
        </w:rPr>
        <w:t>енение плериксафора в течение 2−</w:t>
      </w:r>
      <w:r w:rsidR="00165A1B" w:rsidRPr="00805C9F">
        <w:rPr>
          <w:i/>
          <w:szCs w:val="24"/>
        </w:rPr>
        <w:t>4 дней подряд (до 7 дней непрерывного применения).</w:t>
      </w:r>
    </w:p>
    <w:p w14:paraId="5240F208" w14:textId="7AA5457C" w:rsidR="001F641D" w:rsidRPr="00805C9F" w:rsidRDefault="001F641D" w:rsidP="00092917">
      <w:pPr>
        <w:spacing w:before="0" w:after="0"/>
        <w:ind w:firstLine="709"/>
        <w:contextualSpacing/>
        <w:rPr>
          <w:i/>
          <w:szCs w:val="24"/>
        </w:rPr>
      </w:pPr>
      <w:r w:rsidRPr="00805C9F">
        <w:rPr>
          <w:i/>
          <w:szCs w:val="24"/>
        </w:rPr>
        <w:t>При наличии возможности рекомендуется собирать ауто</w:t>
      </w:r>
      <w:r w:rsidR="00CA66B5" w:rsidRPr="00805C9F">
        <w:rPr>
          <w:i/>
          <w:szCs w:val="24"/>
        </w:rPr>
        <w:t>-</w:t>
      </w:r>
      <w:r w:rsidR="003569D8" w:rsidRPr="00805C9F">
        <w:rPr>
          <w:i/>
          <w:szCs w:val="24"/>
        </w:rPr>
        <w:t>ГСК</w:t>
      </w:r>
      <w:r w:rsidRPr="00805C9F">
        <w:rPr>
          <w:i/>
          <w:szCs w:val="24"/>
        </w:rPr>
        <w:t xml:space="preserve"> в количестве, достаточном для выполнения двух трансплантаций.</w:t>
      </w:r>
    </w:p>
    <w:p w14:paraId="209210D3" w14:textId="3167ABF2" w:rsidR="000B622E" w:rsidRPr="00805C9F" w:rsidRDefault="000B622E" w:rsidP="00092917">
      <w:pPr>
        <w:spacing w:before="0" w:after="0"/>
        <w:contextualSpacing/>
        <w:rPr>
          <w:b/>
          <w:szCs w:val="24"/>
        </w:rPr>
      </w:pPr>
      <w:r w:rsidRPr="00805C9F">
        <w:rPr>
          <w:i/>
          <w:szCs w:val="24"/>
        </w:rPr>
        <w:t>Поскольку леналидомид** обладает миелосупрессивным эффектом,</w:t>
      </w:r>
      <w:r w:rsidR="006D0F6C" w:rsidRPr="00805C9F">
        <w:rPr>
          <w:i/>
          <w:szCs w:val="24"/>
        </w:rPr>
        <w:t xml:space="preserve"> </w:t>
      </w:r>
      <w:r w:rsidRPr="00805C9F">
        <w:rPr>
          <w:i/>
          <w:szCs w:val="24"/>
        </w:rPr>
        <w:t xml:space="preserve">в случае применения в индукционном этапе леналидомидсодержащей терапии мобилизацию и сбор </w:t>
      </w:r>
      <w:r w:rsidR="003569D8" w:rsidRPr="00805C9F">
        <w:rPr>
          <w:i/>
          <w:szCs w:val="24"/>
        </w:rPr>
        <w:t xml:space="preserve">ауто-ГСК </w:t>
      </w:r>
      <w:r w:rsidRPr="00805C9F">
        <w:rPr>
          <w:i/>
          <w:szCs w:val="24"/>
        </w:rPr>
        <w:t>целесообразно в</w:t>
      </w:r>
      <w:r w:rsidR="005C44D0" w:rsidRPr="00805C9F">
        <w:rPr>
          <w:i/>
          <w:szCs w:val="24"/>
        </w:rPr>
        <w:t>ыполнять после 4-го леналидомид</w:t>
      </w:r>
      <w:r w:rsidRPr="00805C9F">
        <w:rPr>
          <w:i/>
          <w:szCs w:val="24"/>
        </w:rPr>
        <w:t>содержащего курса.</w:t>
      </w:r>
    </w:p>
    <w:p w14:paraId="1E9C220E" w14:textId="0F38A6AF" w:rsidR="0076197D" w:rsidRPr="00805C9F" w:rsidRDefault="003C7967" w:rsidP="00092917">
      <w:pPr>
        <w:pStyle w:val="a6"/>
        <w:numPr>
          <w:ilvl w:val="0"/>
          <w:numId w:val="5"/>
        </w:numPr>
        <w:spacing w:before="0" w:after="0"/>
        <w:ind w:left="0" w:firstLine="0"/>
        <w:rPr>
          <w:szCs w:val="24"/>
        </w:rPr>
      </w:pPr>
      <w:r w:rsidRPr="00805C9F">
        <w:rPr>
          <w:szCs w:val="24"/>
        </w:rPr>
        <w:lastRenderedPageBreak/>
        <w:t>Пациентам</w:t>
      </w:r>
      <w:r w:rsidR="0076197D" w:rsidRPr="00805C9F">
        <w:rPr>
          <w:szCs w:val="24"/>
        </w:rPr>
        <w:t xml:space="preserve"> с впервые выявленной ММ в возрасте до 65</w:t>
      </w:r>
      <w:r w:rsidR="00A473F6" w:rsidRPr="00805C9F">
        <w:rPr>
          <w:szCs w:val="24"/>
        </w:rPr>
        <w:t xml:space="preserve"> лет</w:t>
      </w:r>
      <w:r w:rsidR="0076197D" w:rsidRPr="00805C9F">
        <w:rPr>
          <w:szCs w:val="24"/>
        </w:rPr>
        <w:t>, а также пациентам 65</w:t>
      </w:r>
      <w:r w:rsidR="005C44D0" w:rsidRPr="00805C9F">
        <w:rPr>
          <w:szCs w:val="24"/>
        </w:rPr>
        <w:t>−</w:t>
      </w:r>
      <w:r w:rsidR="0076197D" w:rsidRPr="00805C9F">
        <w:rPr>
          <w:szCs w:val="24"/>
        </w:rPr>
        <w:t>70 лет с хорошим соматическим статусом без тяжелых сопутствующих заболеваний, дост</w:t>
      </w:r>
      <w:r w:rsidR="00624D3B" w:rsidRPr="00805C9F">
        <w:rPr>
          <w:szCs w:val="24"/>
        </w:rPr>
        <w:t xml:space="preserve">игшим </w:t>
      </w:r>
      <w:r w:rsidR="00593735" w:rsidRPr="00805C9F">
        <w:rPr>
          <w:szCs w:val="24"/>
        </w:rPr>
        <w:t>ПР</w:t>
      </w:r>
      <w:r w:rsidR="00795E89">
        <w:rPr>
          <w:szCs w:val="24"/>
        </w:rPr>
        <w:t>, ОХЧР</w:t>
      </w:r>
      <w:r w:rsidR="00624D3B" w:rsidRPr="00805C9F">
        <w:rPr>
          <w:szCs w:val="24"/>
        </w:rPr>
        <w:t xml:space="preserve"> или</w:t>
      </w:r>
      <w:r w:rsidR="00321B75" w:rsidRPr="00805C9F">
        <w:rPr>
          <w:szCs w:val="24"/>
        </w:rPr>
        <w:t xml:space="preserve"> </w:t>
      </w:r>
      <w:r w:rsidR="00593735" w:rsidRPr="00805C9F">
        <w:rPr>
          <w:szCs w:val="24"/>
        </w:rPr>
        <w:t xml:space="preserve">ЧР </w:t>
      </w:r>
      <w:r w:rsidR="00321B75" w:rsidRPr="00805C9F">
        <w:rPr>
          <w:szCs w:val="24"/>
        </w:rPr>
        <w:t>после индукционной терапии</w:t>
      </w:r>
      <w:r w:rsidR="002905FE" w:rsidRPr="00805C9F">
        <w:rPr>
          <w:szCs w:val="24"/>
        </w:rPr>
        <w:t xml:space="preserve">, в случае успешного сбора </w:t>
      </w:r>
      <w:r w:rsidR="003569D8" w:rsidRPr="00805C9F">
        <w:rPr>
          <w:szCs w:val="24"/>
        </w:rPr>
        <w:t>ГСК</w:t>
      </w:r>
      <w:r w:rsidR="002905FE" w:rsidRPr="00805C9F">
        <w:rPr>
          <w:szCs w:val="24"/>
        </w:rPr>
        <w:t xml:space="preserve"> крови</w:t>
      </w:r>
      <w:r w:rsidR="00BA44DC" w:rsidRPr="00805C9F">
        <w:rPr>
          <w:szCs w:val="24"/>
        </w:rPr>
        <w:t xml:space="preserve"> </w:t>
      </w:r>
      <w:r w:rsidR="00FF0C02" w:rsidRPr="00805C9F">
        <w:rPr>
          <w:b/>
          <w:szCs w:val="24"/>
        </w:rPr>
        <w:t>рекомендуется</w:t>
      </w:r>
      <w:r w:rsidR="00BA44DC" w:rsidRPr="00805C9F">
        <w:rPr>
          <w:b/>
          <w:szCs w:val="24"/>
        </w:rPr>
        <w:t xml:space="preserve"> </w:t>
      </w:r>
      <w:r w:rsidR="00321B75" w:rsidRPr="00805C9F">
        <w:rPr>
          <w:szCs w:val="24"/>
        </w:rPr>
        <w:t>выполнение ВДХТ мелфаланом</w:t>
      </w:r>
      <w:r w:rsidRPr="00805C9F">
        <w:rPr>
          <w:szCs w:val="24"/>
        </w:rPr>
        <w:t>**</w:t>
      </w:r>
      <w:r w:rsidR="00321B75" w:rsidRPr="00805C9F">
        <w:rPr>
          <w:szCs w:val="24"/>
        </w:rPr>
        <w:t xml:space="preserve"> и последующей трансплантации </w:t>
      </w:r>
      <w:r w:rsidR="003569D8" w:rsidRPr="00805C9F">
        <w:rPr>
          <w:szCs w:val="24"/>
        </w:rPr>
        <w:t xml:space="preserve">ауто-ГСК </w:t>
      </w:r>
      <w:r w:rsidR="00A96FB6" w:rsidRPr="00805C9F">
        <w:rPr>
          <w:szCs w:val="24"/>
        </w:rPr>
        <w:fldChar w:fldCharType="begin" w:fldLock="1"/>
      </w:r>
      <w:r w:rsidR="00A14090">
        <w:rPr>
          <w:szCs w:val="24"/>
        </w:rPr>
        <w:instrText>ADDIN CSL_CITATION {"citationItems":[{"id":"ITEM-1","itemData":{"DOI":"10.1080/10428194.2018.1543874","ISSN":"10292403","abstract":"To evaluate the role of high-dose melphalan plus autologous stem-cell transplantation (ASCT) as consolidation therapy for patients with newly diagnosed multiple myeloma (NDMM) in the era of novel agents, we undertook this meta-analysis. Medline, Embase, the Cochrane controlled trials register, the SCI, ASH, EHA, and ASCO were searched for clinical trials including high-dose chemotherapy plus ASCT for patients with NDMM. Finally, we identified four RCTs of ASCT versus novel agents based consolidations, and 10 single-arm prospective trials of ASCT alone. Pooled analysis indicated that response quality improved further after ASCT in the era of novel agents (&gt;=CR rates of 13% pre-ASCT versus 29% post-ASCT, p =.003). When compared to novel agents containing consolidation regimens, high-dose chemotherapy plus ASCT significantly improved progression-free survival (PFS) (HR =0.56, p &lt;.001). No significant difference in overall survival (OS) was found between them (HR =0.66, p =.22). Of note, subgroup analysis indicated that ASCT could significantly improve OS (HR =0.49, p =.0004) when compared to alkylating agent-based regimens plus lenalidomide consolidation. In summary, response quality and PFS improved further over ASCT in the era of novel agents. ASCT could improve survival than alkylating agent-based regimens plus lenalidomide consolidations for patients with NDMM.Copyright © 2018, © 2018 Informa UK Limited, trading as Taylor &amp; Francis Group.","author":[{"dropping-particle":"","family":"Su","given":"Baohua","non-dropping-particle":"","parse-names":false,"suffix":""},{"dropping-particle":"","family":"Zhu","given":"Xu","non-dropping-particle":"","parse-names":false,"suffix":""},{"dropping-particle":"","family":"Jiang","given":"Yina","non-dropping-particle":"","parse-names":false,"suffix":""},{"dropping-particle":"","family":"Wang","given":"Lida","non-dropping-particle":"","parse-names":false,"suffix":""},{"dropping-particle":"","family":"Zhao","given":"Ningning","non-dropping-particle":"","parse-names":false,"suffix":""},{"dropping-particle":"","family":"Ran","given":"Xuehong","non-dropping-particle":"","parse-names":false,"suffix":""},{"dropping-particle":"","family":"Zheng","given":"Xiaobin","non-dropping-particle":"","parse-names":false,"suffix":""},{"dropping-particle":"","family":"Guo","given":"Hui","non-dropping-particle":"","parse-names":false,"suffix":""}],"container-title":"Leukemia and Lymphoma","id":"ITEM-1","issued":{"date-parts":[["2018"]]},"publisher":"Taylor and Francis Ltd","title":"A meta-analysis of autologous transplantation for newly diagnosed multiple myeloma in the era of novel agents","type":"article-journal"},"uris":["http://www.mendeley.com/documents/?uuid=a763b0b9-22ac-33ee-8ac3-1da970da9202"]},{"id":"ITEM-2","itemData":{"DOI":"10.1001/jamaoncol.2017.4600","ISSN":"23742445","abstract":"Importance The role of high-dose therapy with melphalan followed by autologous stem cell transplant (HDT/ASCT) in patients with multiple myeloma continues to be debated in the context of novel agent induction. Objective To perform a systematic review, conventional meta-analysis, and network meta-analysis of all phase 3 randomized clinical trials (RCTs) evaluating the role of HDT/ASCT. Data Sources We performed a systematic literature search of Cochrane Central, MEDLINE, and Scopus from January 2000 through April 2017 and relevant annual meeting abstracts from January 2014 to December 2016. The following search terms were used: \"myeloma\" combined with \"autologous,\" \"transplant,\" \"myeloablative,\" or \"stem cell.\" Study Selection Phase 3 RCTs comparing HDT/ASCT with standard-dose therapy (SDT) using novel agents were assessed. Studies comparing single HDT/ASCT with bortezomib, lenalidomide, and dexamethasone consolidation and tandem transplantation were included for network meta-analysis. Data Extraction And Synthesis For the random effects meta-analysis, we used hazard ratios (HRs) and corresponding 95% CIs. Main Outcomes and Measures The primary outcome was progression-free survival (PFS). Overall survival (OS), complete response, and treatment-related mortality were secondary outcomes. Results A total of 4 RCTs (2421 patients) for conventional meta-analysis and 5 RCTs (3171 patients) for network meta-analysis were selected. The combined odds for complete response were 1.27 (95% CI, 0.97-1.65; P = .07) with HDT/ASCT when compared with SDT. The combined HR for PFS was 0.55 (95% CI, 0.41-0.74; P &lt; .001) and 0.76 for OS (95% CI, 0.42-1.36; P = .20) in favor of HDT. Meta-regression showed that longer follow-up was associated with superior PFS (HR/mo, 0.98; 95% CI, 0.96-0.99; P = .03) and OS (HR/mo, 0.90; 95% CI, 0.84-0.96; P = .002). For PFS, tandem HDT/ASCT had the most favorable HR (0.49; 95% CI, 0.37-0.65) followed by single HDT/ASCT with bortezomib, lenalidomide, and dexamethasone (HR, 0.53; 95% CI, 0.37-0.76) and single HDT/ASCT alone (HR, 0.68; 95% CI, 0.53-0.87) compared with SDT. For OS, none of the HDT/ASCT-based approaches had a significant effect on survival. Treatment-related mortality with HDT/ASCT was minimal (&lt;1%). Conclusions and Relevance The results of the conventional meta-analysis and network meta-analysis of all the phase 3 RCTs showed that HDT/ASCT was associated with superior PFS with minimal toxic effects compared with SDT. Both tandem…","author":[{"dropping-particle":"","family":"Dhakal","given":"Binod","non-dropping-particle":"","parse-names":false,"suffix":""},{"dropping-particle":"","family":"Szabo","given":"Aniko","non-dropping-particle":"","parse-names":false,"suffix":""},{"dropping-particle":"","family":"Chhabra","given":"Saurabh","non-dropping-particle":"","parse-names":false,"suffix":""},{"dropping-particle":"","family":"Hamadani","given":"Mehdi","non-dropping-particle":"","parse-names":false,"suffix":""},{"dropping-particle":"","family":"D'Souza","given":"Anita","non-dropping-particle":"","parse-names":false,"suffix":""},{"dropping-particle":"","family":"Usmani","given":"Saad Z.","non-dropping-particle":"","parse-names":false,"suffix":""},{"dropping-particle":"","family":"Sieracki","given":"Rita","non-dropping-particle":"","parse-names":false,"suffix":""},{"dropping-particle":"","family":"Gyawali","given":"Bishal","non-dropping-particle":"","parse-names":false,"suffix":""},{"dropping-particle":"","family":"Jackson","given":"Jeffrey L.","non-dropping-particle":"","parse-names":false,"suffix":""},{"dropping-particle":"","family":"Asimakopoulos","given":"Fotis","non-dropping-particle":"","parse-names":false,"suffix":""},{"dropping-particle":"","family":"Hari","given":"Parameswaran N.","non-dropping-particle":"","parse-names":false,"suffix":""}],"container-title":"JAMA Oncology","id":"ITEM-2","issue":"3","issued":{"date-parts":[["2018","3","1"]]},"page":"343-350","publisher":"American Medical Association","title":"Autologous transplantation for newly diagnosed multiple myeloma in the era of novel agent induction a systematic review and meta-analysis","type":"article-journal","volume":"4"},"uris":["http://www.mendeley.com/documents/?uuid=e10abcf3-d81f-385d-80c0-5398aae26e72"]}],"mendeley":{"formattedCitation":"[38,39]","plainTextFormattedCitation":"[38,39]","previouslyFormattedCitation":"[38,39]"},"properties":{"noteIndex":0},"schema":"https://github.com/citation-style-language/schema/raw/master/csl-citation.json"}</w:instrText>
      </w:r>
      <w:r w:rsidR="00A96FB6" w:rsidRPr="00805C9F">
        <w:rPr>
          <w:szCs w:val="24"/>
        </w:rPr>
        <w:fldChar w:fldCharType="separate"/>
      </w:r>
      <w:r w:rsidR="00500F37" w:rsidRPr="00500F37">
        <w:rPr>
          <w:noProof/>
          <w:szCs w:val="24"/>
        </w:rPr>
        <w:t>[38,39]</w:t>
      </w:r>
      <w:r w:rsidR="00A96FB6" w:rsidRPr="00805C9F">
        <w:rPr>
          <w:szCs w:val="24"/>
        </w:rPr>
        <w:fldChar w:fldCharType="end"/>
      </w:r>
      <w:r w:rsidR="00185CAE" w:rsidRPr="00805C9F">
        <w:rPr>
          <w:szCs w:val="24"/>
        </w:rPr>
        <w:t>.</w:t>
      </w:r>
    </w:p>
    <w:p w14:paraId="66D33DCA" w14:textId="77777777" w:rsidR="0076197D" w:rsidRPr="00805C9F" w:rsidRDefault="0076197D" w:rsidP="00092917">
      <w:pPr>
        <w:spacing w:before="0" w:after="0"/>
        <w:contextualSpacing/>
        <w:rPr>
          <w:b/>
          <w:szCs w:val="24"/>
        </w:rPr>
      </w:pPr>
      <w:r w:rsidRPr="00805C9F">
        <w:rPr>
          <w:b/>
          <w:szCs w:val="24"/>
        </w:rPr>
        <w:t xml:space="preserve">Уровень убедительности рекомендаций </w:t>
      </w:r>
      <w:r w:rsidR="005C44D0" w:rsidRPr="00805C9F">
        <w:rPr>
          <w:b/>
          <w:szCs w:val="24"/>
        </w:rPr>
        <w:t xml:space="preserve">– </w:t>
      </w:r>
      <w:r w:rsidR="003C7967" w:rsidRPr="00805C9F">
        <w:rPr>
          <w:b/>
          <w:szCs w:val="24"/>
        </w:rPr>
        <w:t>А</w:t>
      </w:r>
      <w:r w:rsidR="005C44D0" w:rsidRPr="00805C9F">
        <w:rPr>
          <w:b/>
          <w:szCs w:val="24"/>
        </w:rPr>
        <w:t xml:space="preserve"> </w:t>
      </w:r>
      <w:r w:rsidRPr="00805C9F">
        <w:rPr>
          <w:b/>
          <w:szCs w:val="24"/>
        </w:rPr>
        <w:t>(уровень достоверности доказательств</w:t>
      </w:r>
      <w:r w:rsidR="005C44D0" w:rsidRPr="00805C9F">
        <w:rPr>
          <w:b/>
          <w:szCs w:val="24"/>
        </w:rPr>
        <w:t xml:space="preserve"> − </w:t>
      </w:r>
      <w:r w:rsidR="003C7967" w:rsidRPr="00805C9F">
        <w:rPr>
          <w:b/>
          <w:szCs w:val="24"/>
        </w:rPr>
        <w:t>1</w:t>
      </w:r>
      <w:r w:rsidRPr="00805C9F">
        <w:rPr>
          <w:b/>
          <w:szCs w:val="24"/>
        </w:rPr>
        <w:t>)</w:t>
      </w:r>
    </w:p>
    <w:p w14:paraId="50F64BE5" w14:textId="10F1E495" w:rsidR="00185CAE" w:rsidRPr="00805C9F" w:rsidRDefault="0076197D" w:rsidP="00092917">
      <w:pPr>
        <w:spacing w:before="0" w:after="0"/>
        <w:contextualSpacing/>
        <w:rPr>
          <w:b/>
          <w:szCs w:val="24"/>
        </w:rPr>
      </w:pPr>
      <w:r w:rsidRPr="00805C9F">
        <w:rPr>
          <w:b/>
          <w:szCs w:val="24"/>
        </w:rPr>
        <w:t xml:space="preserve">Комментарий: </w:t>
      </w:r>
      <w:r w:rsidR="005C44D0" w:rsidRPr="00805C9F">
        <w:rPr>
          <w:i/>
          <w:szCs w:val="24"/>
        </w:rPr>
        <w:t>п</w:t>
      </w:r>
      <w:r w:rsidR="00624D3B" w:rsidRPr="00805C9F">
        <w:rPr>
          <w:i/>
          <w:szCs w:val="24"/>
        </w:rPr>
        <w:t xml:space="preserve">ациенты, достигшие </w:t>
      </w:r>
      <w:r w:rsidR="005C44D0" w:rsidRPr="00805C9F">
        <w:rPr>
          <w:i/>
          <w:szCs w:val="24"/>
        </w:rPr>
        <w:t>ПР</w:t>
      </w:r>
      <w:r w:rsidR="00624D3B" w:rsidRPr="00805C9F">
        <w:rPr>
          <w:i/>
          <w:szCs w:val="24"/>
        </w:rPr>
        <w:t xml:space="preserve"> или </w:t>
      </w:r>
      <w:r w:rsidR="005C44D0" w:rsidRPr="00805C9F">
        <w:rPr>
          <w:i/>
          <w:szCs w:val="24"/>
        </w:rPr>
        <w:t>ОЧХР</w:t>
      </w:r>
      <w:r w:rsidR="000B622E" w:rsidRPr="00805C9F">
        <w:rPr>
          <w:i/>
          <w:szCs w:val="24"/>
        </w:rPr>
        <w:t xml:space="preserve"> (см.</w:t>
      </w:r>
      <w:r w:rsidR="00E778E9" w:rsidRPr="00805C9F">
        <w:rPr>
          <w:i/>
          <w:szCs w:val="24"/>
        </w:rPr>
        <w:t xml:space="preserve"> раздел 7 данных рекомендаций</w:t>
      </w:r>
      <w:r w:rsidR="000B622E" w:rsidRPr="00805C9F">
        <w:rPr>
          <w:i/>
          <w:szCs w:val="24"/>
        </w:rPr>
        <w:t>)</w:t>
      </w:r>
      <w:r w:rsidR="00624D3B" w:rsidRPr="00805C9F">
        <w:rPr>
          <w:i/>
          <w:szCs w:val="24"/>
        </w:rPr>
        <w:t xml:space="preserve"> после индукционной терапии, должны рассматриваться в качестве кандидатов на </w:t>
      </w:r>
      <w:r w:rsidR="00C10AFF" w:rsidRPr="00805C9F">
        <w:rPr>
          <w:i/>
          <w:szCs w:val="24"/>
        </w:rPr>
        <w:t>выполнение ауто-ТГСК, поскольку именно в этих случаях возможно достижение максимального эффекта от консолидации высокодозным мелфаланом</w:t>
      </w:r>
      <w:r w:rsidR="00AD2477" w:rsidRPr="00805C9F">
        <w:rPr>
          <w:i/>
          <w:szCs w:val="24"/>
        </w:rPr>
        <w:t>**</w:t>
      </w:r>
      <w:r w:rsidR="00B1183B" w:rsidRPr="00805C9F">
        <w:rPr>
          <w:i/>
          <w:szCs w:val="24"/>
        </w:rPr>
        <w:t xml:space="preserve"> (200 мг/м</w:t>
      </w:r>
      <w:r w:rsidR="00B1183B" w:rsidRPr="00805C9F">
        <w:rPr>
          <w:i/>
          <w:szCs w:val="24"/>
          <w:vertAlign w:val="superscript"/>
        </w:rPr>
        <w:t>2</w:t>
      </w:r>
      <w:r w:rsidR="00B1183B" w:rsidRPr="00805C9F">
        <w:rPr>
          <w:i/>
          <w:szCs w:val="24"/>
        </w:rPr>
        <w:t>)</w:t>
      </w:r>
      <w:r w:rsidR="00185CAE" w:rsidRPr="00805C9F">
        <w:rPr>
          <w:i/>
          <w:szCs w:val="24"/>
          <w:vertAlign w:val="superscript"/>
        </w:rPr>
        <w:t xml:space="preserve"> </w:t>
      </w:r>
      <w:r w:rsidR="00A96FB6" w:rsidRPr="00805C9F">
        <w:rPr>
          <w:i/>
          <w:szCs w:val="24"/>
          <w:vertAlign w:val="superscript"/>
        </w:rPr>
        <w:fldChar w:fldCharType="begin" w:fldLock="1"/>
      </w:r>
      <w:r w:rsidR="00500F37">
        <w:rPr>
          <w:i/>
          <w:szCs w:val="24"/>
          <w:vertAlign w:val="superscript"/>
        </w:rPr>
        <w:instrText>ADDIN CSL_CITATION {"citationItems":[{"id":"ITEM-1","itemData":{"DOI":"10.1038/bmt.2017.208","ISSN":"14765365","abstract":"High-dose BCNU/Melphalan conditioning regimen before autologous stem cell transplantation in newly diagnosed multiple myeloma","author":[{"dropping-particle":"","family":"Sivaraj","given":"D.","non-dropping-particle":"","parse-names":false,"suffix":""},{"dropping-particle":"","family":"Bacon","given":"W.","non-dropping-particle":"","parse-names":false,"suffix":""},{"dropping-particle":"","family":"Long","given":"G. D.","non-dropping-particle":"","parse-names":false,"suffix":""},{"dropping-particle":"","family":"Rizzieri","given":"D. A.","non-dropping-particle":"","parse-names":false,"suffix":""},{"dropping-particle":"","family":"Horwitz","given":"M. E.","non-dropping-particle":"","parse-names":false,"suffix":""},{"dropping-particle":"","family":"Sullivan","given":"K. M.","non-dropping-particle":"","parse-names":false,"suffix":""},{"dropping-particle":"","family":"Kang","given":"Y.","non-dropping-particle":"","parse-names":false,"suffix":""},{"dropping-particle":"","family":"Li","given":"Z.","non-dropping-particle":"","parse-names":false,"suffix":""},{"dropping-particle":"","family":"Chao","given":"N. J.","non-dropping-particle":"","parse-names":false,"suffix":""},{"dropping-particle":"","family":"Gasparetto","given":"C.","non-dropping-particle":"","parse-names":false,"suffix":""}],"container-title":"Bone Marrow Transplantation","id":"ITEM-1","issue":"1","issued":{"date-parts":[["2018"]]},"page":"34-38","publisher":"Nature Publishing Group","title":"High-dose BCNU/Melphalan conditioning regimen before autologous stem cell transplantation in newly diagnosed multiple myeloma","type":"article-journal","volume":"53"},"uris":["http://www.mendeley.com/documents/?uuid=36fd24a8-0e46-3dff-b299-aa25b401eea7"]}],"mendeley":{"formattedCitation":"[50]","plainTextFormattedCitation":"[50]","previouslyFormattedCitation":"[50]"},"properties":{"noteIndex":0},"schema":"https://github.com/citation-style-language/schema/raw/master/csl-citation.json"}</w:instrText>
      </w:r>
      <w:r w:rsidR="00A96FB6" w:rsidRPr="00805C9F">
        <w:rPr>
          <w:i/>
          <w:szCs w:val="24"/>
          <w:vertAlign w:val="superscript"/>
        </w:rPr>
        <w:fldChar w:fldCharType="separate"/>
      </w:r>
      <w:r w:rsidR="00E03159" w:rsidRPr="00805C9F">
        <w:rPr>
          <w:noProof/>
          <w:szCs w:val="24"/>
        </w:rPr>
        <w:t>[50]</w:t>
      </w:r>
      <w:r w:rsidR="00A96FB6" w:rsidRPr="00805C9F">
        <w:rPr>
          <w:i/>
          <w:szCs w:val="24"/>
          <w:vertAlign w:val="superscript"/>
        </w:rPr>
        <w:fldChar w:fldCharType="end"/>
      </w:r>
      <w:r w:rsidR="00C10AFF" w:rsidRPr="00805C9F">
        <w:rPr>
          <w:i/>
          <w:szCs w:val="24"/>
        </w:rPr>
        <w:t xml:space="preserve"> и значительного увеличения выживаемости </w:t>
      </w:r>
      <w:r w:rsidR="00FB03BB" w:rsidRPr="00805C9F">
        <w:rPr>
          <w:i/>
          <w:szCs w:val="24"/>
        </w:rPr>
        <w:t>пациентов</w:t>
      </w:r>
      <w:r w:rsidR="00C10AFF" w:rsidRPr="00805C9F">
        <w:rPr>
          <w:i/>
          <w:szCs w:val="24"/>
        </w:rPr>
        <w:t xml:space="preserve"> без признаков прогрессирования заболевания.</w:t>
      </w:r>
    </w:p>
    <w:p w14:paraId="13CA5E0C" w14:textId="14C21583" w:rsidR="00185CAE" w:rsidRPr="00805C9F" w:rsidRDefault="00321B75" w:rsidP="00092917">
      <w:pPr>
        <w:spacing w:before="0" w:after="0"/>
        <w:ind w:firstLine="709"/>
        <w:contextualSpacing/>
        <w:rPr>
          <w:i/>
          <w:szCs w:val="24"/>
        </w:rPr>
      </w:pPr>
      <w:r w:rsidRPr="00805C9F">
        <w:rPr>
          <w:i/>
          <w:szCs w:val="24"/>
        </w:rPr>
        <w:t>Интервал от мобилизации до начала предтрансплантационного кондиционирования должен составлять от 2 до 4 нед.</w:t>
      </w:r>
      <w:r w:rsidR="00BA44DC" w:rsidRPr="00805C9F">
        <w:rPr>
          <w:i/>
          <w:szCs w:val="24"/>
        </w:rPr>
        <w:t xml:space="preserve"> </w:t>
      </w:r>
      <w:r w:rsidRPr="00805C9F">
        <w:rPr>
          <w:i/>
          <w:szCs w:val="24"/>
        </w:rPr>
        <w:t>При выраженном нарушении функции почек (</w:t>
      </w:r>
      <w:r w:rsidR="00536161" w:rsidRPr="00805C9F">
        <w:rPr>
          <w:i/>
          <w:szCs w:val="24"/>
        </w:rPr>
        <w:t>скорость клубочковой фильтрации</w:t>
      </w:r>
      <w:r w:rsidRPr="00805C9F">
        <w:rPr>
          <w:i/>
          <w:szCs w:val="24"/>
        </w:rPr>
        <w:t xml:space="preserve"> &lt;30 мл/мин), не требующем проведения гемодиализа, а также </w:t>
      </w:r>
      <w:r w:rsidR="00FB03BB" w:rsidRPr="00805C9F">
        <w:rPr>
          <w:i/>
          <w:szCs w:val="24"/>
        </w:rPr>
        <w:t>пациентам</w:t>
      </w:r>
      <w:r w:rsidRPr="00805C9F">
        <w:rPr>
          <w:i/>
          <w:szCs w:val="24"/>
        </w:rPr>
        <w:t xml:space="preserve"> старшего возраста (65</w:t>
      </w:r>
      <w:r w:rsidR="0030209E" w:rsidRPr="00805C9F">
        <w:rPr>
          <w:i/>
          <w:szCs w:val="24"/>
        </w:rPr>
        <w:t>−</w:t>
      </w:r>
      <w:r w:rsidRPr="00805C9F">
        <w:rPr>
          <w:i/>
          <w:szCs w:val="24"/>
        </w:rPr>
        <w:t>70 лет) целесообразно снижать дозу мелфалана</w:t>
      </w:r>
      <w:r w:rsidR="003C7967" w:rsidRPr="00805C9F">
        <w:rPr>
          <w:i/>
          <w:szCs w:val="24"/>
        </w:rPr>
        <w:t>**</w:t>
      </w:r>
      <w:r w:rsidRPr="00805C9F">
        <w:rPr>
          <w:i/>
          <w:szCs w:val="24"/>
        </w:rPr>
        <w:t xml:space="preserve"> до 140 мг/м</w:t>
      </w:r>
      <w:r w:rsidRPr="00805C9F">
        <w:rPr>
          <w:i/>
          <w:szCs w:val="24"/>
          <w:vertAlign w:val="superscript"/>
        </w:rPr>
        <w:t>2</w:t>
      </w:r>
      <w:r w:rsidRPr="00805C9F">
        <w:rPr>
          <w:i/>
          <w:szCs w:val="24"/>
        </w:rPr>
        <w:t xml:space="preserve">. Для пациентов, находящихся на программном гемодиализе, </w:t>
      </w:r>
      <w:r w:rsidR="00CA66B5" w:rsidRPr="00805C9F">
        <w:rPr>
          <w:i/>
          <w:szCs w:val="24"/>
        </w:rPr>
        <w:t xml:space="preserve">рекомендуемая </w:t>
      </w:r>
      <w:r w:rsidRPr="00805C9F">
        <w:rPr>
          <w:i/>
          <w:szCs w:val="24"/>
        </w:rPr>
        <w:t>доз</w:t>
      </w:r>
      <w:r w:rsidR="00CA66B5" w:rsidRPr="00805C9F">
        <w:rPr>
          <w:i/>
          <w:szCs w:val="24"/>
        </w:rPr>
        <w:t>а</w:t>
      </w:r>
      <w:r w:rsidRPr="00805C9F">
        <w:rPr>
          <w:i/>
          <w:szCs w:val="24"/>
        </w:rPr>
        <w:t xml:space="preserve"> мелфалана</w:t>
      </w:r>
      <w:r w:rsidR="003C7967" w:rsidRPr="00805C9F">
        <w:rPr>
          <w:i/>
          <w:szCs w:val="24"/>
        </w:rPr>
        <w:t>**</w:t>
      </w:r>
      <w:r w:rsidRPr="00805C9F">
        <w:rPr>
          <w:i/>
          <w:szCs w:val="24"/>
        </w:rPr>
        <w:t xml:space="preserve"> </w:t>
      </w:r>
      <w:r w:rsidR="00CA66B5" w:rsidRPr="00805C9F">
        <w:rPr>
          <w:i/>
          <w:szCs w:val="24"/>
        </w:rPr>
        <w:t xml:space="preserve">составляет </w:t>
      </w:r>
      <w:r w:rsidRPr="00805C9F">
        <w:rPr>
          <w:i/>
          <w:szCs w:val="24"/>
        </w:rPr>
        <w:t>140</w:t>
      </w:r>
      <w:r w:rsidR="00CA66B5" w:rsidRPr="00805C9F">
        <w:rPr>
          <w:i/>
          <w:szCs w:val="24"/>
        </w:rPr>
        <w:t xml:space="preserve"> </w:t>
      </w:r>
      <w:r w:rsidRPr="00805C9F">
        <w:rPr>
          <w:i/>
          <w:szCs w:val="24"/>
        </w:rPr>
        <w:t>мг/м</w:t>
      </w:r>
      <w:r w:rsidRPr="00805C9F">
        <w:rPr>
          <w:i/>
          <w:szCs w:val="24"/>
          <w:vertAlign w:val="superscript"/>
        </w:rPr>
        <w:t>2</w:t>
      </w:r>
      <w:r w:rsidRPr="00805C9F">
        <w:rPr>
          <w:i/>
          <w:szCs w:val="24"/>
        </w:rPr>
        <w:t>. Гемодиализ проводится в –4-й, –2-й (перед введением мелфалана</w:t>
      </w:r>
      <w:r w:rsidR="00AD2477" w:rsidRPr="00805C9F">
        <w:rPr>
          <w:i/>
          <w:szCs w:val="24"/>
        </w:rPr>
        <w:t>**</w:t>
      </w:r>
      <w:r w:rsidRPr="00805C9F">
        <w:rPr>
          <w:i/>
          <w:szCs w:val="24"/>
        </w:rPr>
        <w:t xml:space="preserve">) и в 0-й день (перед трансфузией лейкоконцентрата). </w:t>
      </w:r>
    </w:p>
    <w:p w14:paraId="55869B45" w14:textId="24F9A2E8" w:rsidR="00185CAE" w:rsidRPr="00805C9F" w:rsidRDefault="00185CAE" w:rsidP="00092917">
      <w:pPr>
        <w:pStyle w:val="a6"/>
        <w:numPr>
          <w:ilvl w:val="0"/>
          <w:numId w:val="8"/>
        </w:numPr>
        <w:tabs>
          <w:tab w:val="clear" w:pos="348"/>
          <w:tab w:val="num" w:pos="709"/>
        </w:tabs>
        <w:spacing w:before="0" w:after="0"/>
        <w:ind w:left="0" w:firstLine="0"/>
        <w:rPr>
          <w:szCs w:val="24"/>
        </w:rPr>
      </w:pPr>
      <w:r w:rsidRPr="00805C9F">
        <w:rPr>
          <w:szCs w:val="24"/>
        </w:rPr>
        <w:t xml:space="preserve">Для пациентов </w:t>
      </w:r>
      <w:r w:rsidR="00F719E7" w:rsidRPr="00805C9F">
        <w:rPr>
          <w:szCs w:val="24"/>
          <w:lang w:val="en-US"/>
        </w:rPr>
        <w:t>c</w:t>
      </w:r>
      <w:r w:rsidR="00F719E7" w:rsidRPr="00805C9F">
        <w:rPr>
          <w:szCs w:val="24"/>
        </w:rPr>
        <w:t xml:space="preserve"> </w:t>
      </w:r>
      <w:r w:rsidRPr="00805C9F">
        <w:rPr>
          <w:szCs w:val="24"/>
        </w:rPr>
        <w:t>ММ</w:t>
      </w:r>
      <w:r w:rsidR="00F719E7" w:rsidRPr="00805C9F">
        <w:rPr>
          <w:szCs w:val="24"/>
        </w:rPr>
        <w:t xml:space="preserve">, которым была выполнена </w:t>
      </w:r>
      <w:r w:rsidRPr="00805C9F">
        <w:rPr>
          <w:szCs w:val="24"/>
        </w:rPr>
        <w:t>ВДХТ и ауто</w:t>
      </w:r>
      <w:r w:rsidR="00267DE2" w:rsidRPr="00805C9F">
        <w:rPr>
          <w:szCs w:val="24"/>
        </w:rPr>
        <w:t>-</w:t>
      </w:r>
      <w:r w:rsidRPr="00805C9F">
        <w:rPr>
          <w:szCs w:val="24"/>
        </w:rPr>
        <w:t>ТГСК</w:t>
      </w:r>
      <w:r w:rsidR="00F719E7" w:rsidRPr="00805C9F">
        <w:rPr>
          <w:szCs w:val="24"/>
        </w:rPr>
        <w:t>, через 100 дней после проведения ВДХТ и ауто</w:t>
      </w:r>
      <w:r w:rsidR="00267DE2" w:rsidRPr="00805C9F">
        <w:rPr>
          <w:szCs w:val="24"/>
        </w:rPr>
        <w:t>-</w:t>
      </w:r>
      <w:r w:rsidR="00F719E7" w:rsidRPr="00805C9F">
        <w:rPr>
          <w:szCs w:val="24"/>
        </w:rPr>
        <w:t>ТГСК</w:t>
      </w:r>
      <w:r w:rsidRPr="00805C9F">
        <w:rPr>
          <w:szCs w:val="24"/>
        </w:rPr>
        <w:t xml:space="preserve"> </w:t>
      </w:r>
      <w:r w:rsidRPr="00805C9F">
        <w:rPr>
          <w:b/>
          <w:szCs w:val="24"/>
        </w:rPr>
        <w:t xml:space="preserve">рекомендуется </w:t>
      </w:r>
      <w:r w:rsidR="00F719E7" w:rsidRPr="00805C9F">
        <w:rPr>
          <w:szCs w:val="24"/>
        </w:rPr>
        <w:t>иммунофенотипирование биологического материала (пунктата КМ) для выявления маркеров минимальной остаточной болезни при гемобластозах</w:t>
      </w:r>
      <w:r w:rsidR="00F719E7" w:rsidRPr="00805C9F">
        <w:rPr>
          <w:bCs/>
          <w:szCs w:val="24"/>
        </w:rPr>
        <w:t xml:space="preserve"> </w:t>
      </w:r>
      <w:r w:rsidR="00A96FB6" w:rsidRPr="00805C9F">
        <w:rPr>
          <w:bCs/>
          <w:szCs w:val="24"/>
        </w:rPr>
        <w:fldChar w:fldCharType="begin" w:fldLock="1"/>
      </w:r>
      <w:r w:rsidR="00500F37">
        <w:rPr>
          <w:bCs/>
          <w:szCs w:val="24"/>
        </w:rPr>
        <w:instrText>ADDIN CSL_CITATION {"citationItems":[{"id":"ITEM-1","itemData":{"DOI":"10.18632/oncotarget.12641","ISSN":"19492553","abstract":"We analyzed 50 patients who achieved at least a very good partial response in the RV-MM-EMN-441 study. Patients received consolidation with autologous stem-cell transplantation (ASCT) or cyclophosphamide-lenalidomide-dexamethasone (CRD), followed by Lenalidomide-based maintenance. We assessed minimal residual disease (MRD) by multi-parameter flow cytometry (MFC) and allelic-specific oligonucleotide real-time quantitative polymerase chain reaction (ASO-RQ-PCR) after consolidation, after 3 and 6 courses of maintenance, and thereafter every 6 months until progression. By MFC analysis, 19/50 patients achieved complete response (CR) after consolidation, and 7 additional patients during maintenance. A molecular marker was identified in 25/50 patients, 4/25 achieved molecular-CR after consolidation, and 3 additional patients during maintenance. A lower MRD value by MFC was found in ASCT patients compared with CRD patients (p = 0.0134). Tumor burden reduction was different in patients with high-risk vs standard-risk cytogenetics (3.4 vs 5.2, ln-MFC; 3 vs 6 ln-PCR, respectively) and in patients who relapsed vs those who did not (4 vs 5, ln-MFC; 4.4 vs 7.8 ln-PCR). MRD progression anticipated clinical relapse by a median of 9 months while biochemical relapse by a median of 4 months. MRD allows the identification of a low-risk group, independently of response, and a better characterization of the activity of treatments.","author":[{"dropping-particle":"","family":"Oliva","given":"Stefania","non-dropping-particle":"","parse-names":false,"suffix":""},{"dropping-particle":"","family":"Gambella","given":"Manuela","non-dropping-particle":"","parse-names":false,"suffix":""},{"dropping-particle":"","family":"Gilestro","given":"Milena","non-dropping-particle":"","parse-names":false,"suffix":""},{"dropping-particle":"","family":"Muccio","given":"Vittorio Emanuele","non-dropping-particle":"","parse-names":false,"suffix":""},{"dropping-particle":"","family":"Gay","given":"Francesca","non-dropping-particle":"","parse-names":false,"suffix":""},{"dropping-particle":"","family":"Drandi","given":"Daniela","non-dropping-particle":"","parse-names":false,"suffix":""},{"dropping-particle":"","family":"Ferrero","given":"Simone","non-dropping-particle":"","parse-names":false,"suffix":""},{"dropping-particle":"","family":"Passera","given":"Roberto","non-dropping-particle":"","parse-names":false,"suffix":""},{"dropping-particle":"","family":"Pautasso","given":"Chiara","non-dropping-particle":"","parse-names":false,"suffix":""},{"dropping-particle":"","family":"Bernardini","given":"Annalisa","non-dropping-particle":"","parse-names":false,"suffix":""},{"dropping-particle":"","family":"Genuardi","given":"Mariella","non-dropping-particle":"","parse-names":false,"suffix":""},{"dropping-particle":"","family":"Patriarca","given":"Francesca","non-dropping-particle":"","parse-names":false,"suffix":""},{"dropping-particle":"","family":"Saraci","given":"Elona","non-dropping-particle":"","parse-names":false,"suffix":""},{"dropping-particle":"","family":"Petrucci","given":"Maria Teresa","non-dropping-particle":"","parse-names":false,"suffix":""},{"dropping-particle":"","family":"Pescosta","given":"Norbert","non-dropping-particle":"","parse-names":false,"suffix":""},{"dropping-particle":"","family":"Liberati","given":"Anna Marina","non-dropping-particle":"","parse-names":false,"suffix":""},{"dropping-particle":"","family":"Caravita","given":"Tommaso","non-dropping-particle":"","parse-names":false,"suffix":""},{"dropping-particle":"","family":"Conticello","given":"Concetta","non-dropping-particle":"","parse-names":false,"suffix":""},{"dropping-particle":"","family":"Rocci","given":"Alberto","non-dropping-particle":"","parse-names":false,"suffix":""},{"dropping-particle":"","family":"Musto","given":"Pellegrino","non-dropping-particle":"","parse-names":false,"suffix":""},{"dropping-particle":"","family":"Boccadoro","given":"Mario","non-dropping-particle":"","parse-names":false,"suffix":""},{"dropping-particle":"","family":"Palumbo","given":"Antonio","non-dropping-particle":"","parse-names":false,"suffix":""},{"dropping-particle":"","family":"Omedè","given":"Paola","non-dropping-particle":"","parse-names":false,"suffix":""}],"container-title":"Oncotarget","id":"ITEM-1","issue":"4","issued":{"date-parts":[["2017"]]},"page":"5924-5935","publisher":"Impact Journals LLC","title":"Minimal residual disease after transplantation or lenalidomidebased consolidation in myeloma patients: A prospective analysis","type":"article-journal","volume":"8"},"uris":["http://www.mendeley.com/documents/?uuid=90390907-0fb2-35c2-be6e-2e006c152197"]}],"mendeley":{"formattedCitation":"[51]","plainTextFormattedCitation":"[51]","previouslyFormattedCitation":"[51]"},"properties":{"noteIndex":0},"schema":"https://github.com/citation-style-language/schema/raw/master/csl-citation.json"}</w:instrText>
      </w:r>
      <w:r w:rsidR="00A96FB6" w:rsidRPr="00805C9F">
        <w:rPr>
          <w:bCs/>
          <w:szCs w:val="24"/>
        </w:rPr>
        <w:fldChar w:fldCharType="separate"/>
      </w:r>
      <w:r w:rsidR="00E03159" w:rsidRPr="00805C9F">
        <w:rPr>
          <w:bCs/>
          <w:noProof/>
          <w:szCs w:val="24"/>
        </w:rPr>
        <w:t>[51]</w:t>
      </w:r>
      <w:r w:rsidR="00A96FB6" w:rsidRPr="00805C9F">
        <w:rPr>
          <w:bCs/>
          <w:szCs w:val="24"/>
        </w:rPr>
        <w:fldChar w:fldCharType="end"/>
      </w:r>
      <w:r w:rsidRPr="00805C9F">
        <w:rPr>
          <w:szCs w:val="24"/>
        </w:rPr>
        <w:t>.</w:t>
      </w:r>
    </w:p>
    <w:p w14:paraId="27FF86A7" w14:textId="77777777" w:rsidR="00185CAE" w:rsidRPr="00805C9F" w:rsidRDefault="00185CAE" w:rsidP="00092917">
      <w:pPr>
        <w:pStyle w:val="a6"/>
        <w:spacing w:before="0" w:after="0"/>
        <w:ind w:left="0"/>
        <w:rPr>
          <w:b/>
          <w:szCs w:val="24"/>
        </w:rPr>
      </w:pPr>
      <w:r w:rsidRPr="00805C9F">
        <w:rPr>
          <w:b/>
          <w:szCs w:val="24"/>
        </w:rPr>
        <w:t xml:space="preserve">Уровень убедительности рекомендаций </w:t>
      </w:r>
      <w:r w:rsidR="002535B4" w:rsidRPr="00805C9F">
        <w:rPr>
          <w:b/>
          <w:szCs w:val="24"/>
        </w:rPr>
        <w:t xml:space="preserve">− </w:t>
      </w:r>
      <w:r w:rsidR="00EE48C6" w:rsidRPr="00805C9F">
        <w:rPr>
          <w:b/>
          <w:szCs w:val="24"/>
        </w:rPr>
        <w:t xml:space="preserve">С </w:t>
      </w:r>
      <w:r w:rsidRPr="00805C9F">
        <w:rPr>
          <w:b/>
          <w:szCs w:val="24"/>
        </w:rPr>
        <w:t>(уровень достоверности доказательств</w:t>
      </w:r>
      <w:r w:rsidR="00F719E7" w:rsidRPr="00805C9F">
        <w:rPr>
          <w:b/>
          <w:szCs w:val="24"/>
        </w:rPr>
        <w:t xml:space="preserve"> </w:t>
      </w:r>
      <w:r w:rsidR="002535B4" w:rsidRPr="00805C9F">
        <w:rPr>
          <w:b/>
          <w:szCs w:val="24"/>
        </w:rPr>
        <w:t xml:space="preserve">− </w:t>
      </w:r>
      <w:r w:rsidR="00EE48C6" w:rsidRPr="00805C9F">
        <w:rPr>
          <w:b/>
          <w:szCs w:val="24"/>
        </w:rPr>
        <w:t>4</w:t>
      </w:r>
      <w:r w:rsidRPr="00805C9F">
        <w:rPr>
          <w:b/>
          <w:szCs w:val="24"/>
        </w:rPr>
        <w:t>)</w:t>
      </w:r>
    </w:p>
    <w:p w14:paraId="10DD6D51" w14:textId="77777777" w:rsidR="00EE2530" w:rsidRPr="00805C9F" w:rsidRDefault="00EE2530" w:rsidP="00CC0180">
      <w:pPr>
        <w:pStyle w:val="2"/>
        <w:rPr>
          <w:bCs/>
          <w:szCs w:val="24"/>
        </w:rPr>
      </w:pPr>
      <w:bookmarkStart w:id="31" w:name="_Toc97734630"/>
      <w:r w:rsidRPr="00805C9F">
        <w:rPr>
          <w:rStyle w:val="ac"/>
          <w:b/>
          <w:bCs w:val="0"/>
          <w:szCs w:val="24"/>
        </w:rPr>
        <w:t>3.3.3</w:t>
      </w:r>
      <w:r w:rsidR="00BF3C4A" w:rsidRPr="00805C9F">
        <w:rPr>
          <w:rStyle w:val="ac"/>
          <w:b/>
          <w:bCs w:val="0"/>
          <w:szCs w:val="24"/>
        </w:rPr>
        <w:t xml:space="preserve"> </w:t>
      </w:r>
      <w:r w:rsidRPr="00805C9F">
        <w:rPr>
          <w:rStyle w:val="ac"/>
          <w:b/>
          <w:bCs w:val="0"/>
          <w:szCs w:val="24"/>
        </w:rPr>
        <w:t>Этап консолидирующего лечения</w:t>
      </w:r>
      <w:bookmarkEnd w:id="31"/>
    </w:p>
    <w:p w14:paraId="19B77C31" w14:textId="1938BB44" w:rsidR="00C77FEF" w:rsidRPr="00805C9F" w:rsidRDefault="00A473F6" w:rsidP="00092917">
      <w:pPr>
        <w:pStyle w:val="a6"/>
        <w:numPr>
          <w:ilvl w:val="0"/>
          <w:numId w:val="8"/>
        </w:numPr>
        <w:tabs>
          <w:tab w:val="clear" w:pos="348"/>
          <w:tab w:val="num" w:pos="709"/>
        </w:tabs>
        <w:spacing w:before="0" w:after="0"/>
        <w:ind w:left="0" w:firstLine="0"/>
        <w:rPr>
          <w:szCs w:val="24"/>
        </w:rPr>
      </w:pPr>
      <w:r w:rsidRPr="00805C9F">
        <w:rPr>
          <w:szCs w:val="24"/>
        </w:rPr>
        <w:t>Для пациентов</w:t>
      </w:r>
      <w:r w:rsidR="00E50AB4" w:rsidRPr="00805C9F">
        <w:rPr>
          <w:szCs w:val="24"/>
        </w:rPr>
        <w:t xml:space="preserve"> ММ в возрасте до 65</w:t>
      </w:r>
      <w:r w:rsidRPr="00805C9F">
        <w:rPr>
          <w:szCs w:val="24"/>
        </w:rPr>
        <w:t xml:space="preserve"> лет</w:t>
      </w:r>
      <w:r w:rsidR="00E50AB4" w:rsidRPr="00805C9F">
        <w:rPr>
          <w:szCs w:val="24"/>
        </w:rPr>
        <w:t>, а также пациентам 65</w:t>
      </w:r>
      <w:r w:rsidR="002535B4" w:rsidRPr="00805C9F">
        <w:rPr>
          <w:szCs w:val="24"/>
        </w:rPr>
        <w:t>−</w:t>
      </w:r>
      <w:r w:rsidR="00E50AB4" w:rsidRPr="00805C9F">
        <w:rPr>
          <w:szCs w:val="24"/>
        </w:rPr>
        <w:t>70 лет с хорошим соматическим статусом без тя</w:t>
      </w:r>
      <w:r w:rsidR="0055372F" w:rsidRPr="00805C9F">
        <w:rPr>
          <w:szCs w:val="24"/>
        </w:rPr>
        <w:t>желых сопутствующих заболеваний</w:t>
      </w:r>
      <w:r w:rsidR="00BA44DC" w:rsidRPr="00805C9F">
        <w:rPr>
          <w:szCs w:val="24"/>
        </w:rPr>
        <w:t xml:space="preserve"> </w:t>
      </w:r>
      <w:r w:rsidR="00BB0985" w:rsidRPr="00805C9F">
        <w:rPr>
          <w:szCs w:val="24"/>
        </w:rPr>
        <w:t>после выполнения ВДХТ</w:t>
      </w:r>
      <w:r w:rsidR="00185CAE" w:rsidRPr="00805C9F">
        <w:rPr>
          <w:szCs w:val="24"/>
        </w:rPr>
        <w:t xml:space="preserve"> </w:t>
      </w:r>
      <w:r w:rsidR="00BB0985" w:rsidRPr="00805C9F">
        <w:rPr>
          <w:szCs w:val="24"/>
        </w:rPr>
        <w:t xml:space="preserve">и </w:t>
      </w:r>
      <w:r w:rsidR="00E50AB4" w:rsidRPr="00805C9F">
        <w:rPr>
          <w:szCs w:val="24"/>
        </w:rPr>
        <w:t>ауто</w:t>
      </w:r>
      <w:r w:rsidR="00267DE2" w:rsidRPr="00805C9F">
        <w:rPr>
          <w:szCs w:val="24"/>
        </w:rPr>
        <w:t>-</w:t>
      </w:r>
      <w:r w:rsidR="00E50AB4" w:rsidRPr="00805C9F">
        <w:rPr>
          <w:szCs w:val="24"/>
        </w:rPr>
        <w:t xml:space="preserve">ТГСК </w:t>
      </w:r>
      <w:r w:rsidR="00FF0C02" w:rsidRPr="00805C9F">
        <w:rPr>
          <w:b/>
          <w:szCs w:val="24"/>
        </w:rPr>
        <w:t>рекомендуется</w:t>
      </w:r>
      <w:r w:rsidR="00BA44DC" w:rsidRPr="00805C9F">
        <w:rPr>
          <w:b/>
          <w:szCs w:val="24"/>
        </w:rPr>
        <w:t xml:space="preserve"> </w:t>
      </w:r>
      <w:r w:rsidR="005B1401" w:rsidRPr="00805C9F">
        <w:rPr>
          <w:szCs w:val="24"/>
        </w:rPr>
        <w:t>проведени</w:t>
      </w:r>
      <w:r w:rsidR="002535B4" w:rsidRPr="00805C9F">
        <w:rPr>
          <w:szCs w:val="24"/>
        </w:rPr>
        <w:t>е</w:t>
      </w:r>
      <w:r w:rsidR="005B1401" w:rsidRPr="00805C9F">
        <w:rPr>
          <w:szCs w:val="24"/>
        </w:rPr>
        <w:t xml:space="preserve"> консолидирующей терапии</w:t>
      </w:r>
      <w:r w:rsidR="00785A80" w:rsidRPr="00805C9F">
        <w:rPr>
          <w:szCs w:val="24"/>
        </w:rPr>
        <w:t xml:space="preserve"> для </w:t>
      </w:r>
      <w:r w:rsidR="00766ADD" w:rsidRPr="00805C9F">
        <w:rPr>
          <w:szCs w:val="24"/>
        </w:rPr>
        <w:t>повышения качества противоопухолевого ответа, достигнутого на предыдущих этапах лечения</w:t>
      </w:r>
      <w:r w:rsidR="00BF3C4A" w:rsidRPr="00805C9F">
        <w:rPr>
          <w:szCs w:val="24"/>
        </w:rPr>
        <w:t xml:space="preserve"> </w:t>
      </w:r>
      <w:r w:rsidR="00A96FB6" w:rsidRPr="00805C9F">
        <w:rPr>
          <w:szCs w:val="24"/>
        </w:rPr>
        <w:fldChar w:fldCharType="begin" w:fldLock="1"/>
      </w:r>
      <w:r w:rsidR="00500F37">
        <w:rPr>
          <w:szCs w:val="24"/>
        </w:rPr>
        <w:instrText>ADDIN CSL_CITATION {"citationItems":[{"id":"ITEM-1","itemData":{"author":[{"dropping-particle":"","family":"Sonneveld","given":"P.","non-dropping-particle":"","parse-names":false,"suffix":""},{"dropping-particle":"","family":"Beksac","given":"M.","non-dropping-particle":"","parse-names":false,"suffix":""},{"dropping-particle":"","family":"Holt","given":"B.","non-dropping-particle":"van der","parse-names":false,"suffix":""},{"dropping-particle":"","family":"Dimopoulos","given":"M.A.","non-dropping-particle":"","parse-names":false,"suffix":""},{"dropping-particle":"","family":"Carella","given":"A.","non-dropping-particle":"","parse-names":false,"suffix":""},{"dropping-particle":"","family":"Ludwig","given":"H.","non-dropping-particle":"","parse-names":false,"suffix":""},{"dropping-particle":"","family":"Driessen","given":"C.","non-dropping-particle":"","parse-names":false,"suffix":""},{"dropping-particle":"","family":"Wester","given":"R.","non-dropping-particle":"","parse-names":false,"suffix":""},{"dropping-particle":"","family":"Hajek","given":"R.","non-dropping-particle":"","parse-names":false,"suffix":""},{"dropping-particle":"","family":"Cornelisse","given":"P.","non-dropping-particle":"","parse-names":false,"suffix":""},{"dropping-particle":"","family":"Troia","given":"R.","non-dropping-particle":"","parse-names":false,"suffix":""},{"dropping-particle":"","family":"Dozza","given":"L.","non-dropping-particle":"","parse-names":false,"suffix":""},{"dropping-particle":"","family":"Gay","given":"F.","non-dropping-particle":"","parse-names":false,"suffix":""},{"dropping-particle":"","family":"Cafro","given":"A.","non-dropping-particle":"","parse-names":false,"suffix":""},{"dropping-particle":"","family":"Rosa","given":"L.","non-dropping-particle":"De","parse-names":false,"suffix":""},{"dropping-particle":"","family":"Fiontoni","given":"G.","non-dropping-particle":"","parse-names":false,"suffix":""},{"dropping-particle":"","family":"Fiontoni","given":"G.","non-dropping-particle":"","parse-names":false,"suffix":""},{"dropping-particle":"","family":"Mellqvist","given":"U.H.","non-dropping-particle":"","parse-names":false,"suffix":""},{"dropping-particle":"","family":"Johnsen","given":"H.E.","non-dropping-particle":"","parse-names":false,"suffix":""},{"dropping-particle":"","family":"Zweegman","given":"S.","non-dropping-particle":"","parse-names":false,"suffix":""},{"dropping-particle":"","family":"Wu","given":"K.L.","non-dropping-particle":"","parse-names":false,"suffix":""},{"dropping-particle":"","family":"Parreira","given":"J.","non-dropping-particle":"","parse-names":false,"suffix":""},{"dropping-particle":"","family":"Schjesvold","given":"F.H.","non-dropping-particle":"","parse-names":false,"suffix":""},{"dropping-particle":"","family":"D'Rozario","given":"J.","non-dropping-particle":"","parse-names":false,"suffix":""},{"dropping-particle":"","family":"Palumbo","given":"A.","non-dropping-particle":"","parse-names":false,"suffix":""},{"dropping-particle":"","family":"Boccadoro","given":"M.","non-dropping-particle":"","parse-names":false,"suffix":""},{"dropping-particle":"","family":"Cavo","given":"M.","non-dropping-particle":"","parse-names":false,"suffix":""}],"container-title":"EHA 23 Proceedings","id":"ITEM-1","issued":{"date-parts":[["2018"]]},"page":"Abstract S108","title":"Consolidation followed by maintenance vs. maintenance alone in newly diagnosed, transplant eligible multiple myeloma: a randomized phase 3 study of the European Myeloma Network (EMN02/HO95 MM TRIAL)","type":"paper-conference"},"uris":["http://www.mendeley.com/documents/?uuid=f16f19a5-2470-3c95-a999-ddff15c4d0bd"]},{"id":"ITEM-2","itemData":{"DOI":"10.1200/JCO.2013.54.8164","ISSN":"15277755","abstract":"Purpose: The three-drug combination of lenalidomide, bortezomib, and dexamethasone (RVD) has shown significant efficacy in multiple myeloma (MM). The Intergroupe Francophone du Myélome (IFM) decided to evaluate RVD induction and consolidation therapies in a sequential intensive strategy for previously untreated transplantation-eligible patients with MM. Patients and Methods: In this phase II study, 31 symptomatic patients age &lt; 65 years were enrolled to receive three RVD induction cycles followed by cyclophosphamide harvest and transplantation. Patients subsequently received two RVD consolidation cycles and 1-year lenalidomide maintenance. Results: Very good partial response rate or better at the completion of induction, transplantation, and consolidation therapy was 58%, 70%, and 87%, respectively. Maintenance upgraded responses in 27% of patients. Overall, 58% of patients achieved complete response, and 68% were minimal residual disease (MRD) negative by flow cytometry. The most common toxicities with RVD were neurologic and hematologic, including grade 1 to 2 sensory neuropathy (55%), grade 3 to 4 neutropenia (35%), and thrombocytopenia (13%). Two basal cell carcinomas in the same patient and one case of breast cancer were observed. There was no treatment-related mortality. With a median follow-up of 39 months, estimated 3-year progression-free and overall survival were 77% and 100%, respectively. None of the patients who achieved MRD negativity relapsed. Conclusion: The transplantation program with RVD induction and consolidation followed by lenalidomide maintenance produced high-quality responses and showed favorable tolerability in patients with newly diagnosed MM. Overall, 68% of patients achieved MRD negativity; none of these patients relapsed. This program is being evaluated in the ongoing IFM/Dana-Farber Cancer Institute 2009 phase III study. © 2014 by American Society of Clinical Oncology.","author":[{"dropping-particle":"","family":"Roussel","given":"Murielle","non-dropping-particle":"","parse-names":false,"suffix":""},{"dropping-particle":"","family":"Lauwers-Cances","given":"Valérie","non-dropping-particle":"","parse-names":false,"suffix":""},{"dropping-particle":"","family":"Robillard","given":"Nelly","non-dropping-particle":"","parse-names":false,"suffix":""},{"dropping-particle":"","family":"Hulin","given":"Cyrille","non-dropping-particle":"","parse-names":false,"suffix":""},{"dropping-particle":"","family":"Leleu","given":"Xavier","non-dropping-particle":"","parse-names":false,"suffix":""},{"dropping-particle":"","family":"Benboubker","given":"Lotfi","non-dropping-particle":"","parse-names":false,"suffix":""},{"dropping-particle":"","family":"Marit","given":"Gérald","non-dropping-particle":"","parse-names":false,"suffix":""},{"dropping-particle":"","family":"Moreau","given":"Philippe","non-dropping-particle":"","parse-names":false,"suffix":""},{"dropping-particle":"","family":"Pegourie","given":"Brigitte","non-dropping-particle":"","parse-names":false,"suffix":""},{"dropping-particle":"","family":"Caillot","given":"Denis","non-dropping-particle":"","parse-names":false,"suffix":""},{"dropping-particle":"","family":"Fruchart","given":"Christophe","non-dropping-particle":"","parse-names":false,"suffix":""},{"dropping-particle":"","family":"Stoppa","given":"Anne Marie","non-dropping-particle":"","parse-names":false,"suffix":""},{"dropping-particle":"","family":"Gentil","given":"Catherine","non-dropping-particle":"","parse-names":false,"suffix":""},{"dropping-particle":"","family":"Wuilleme","given":"Soraya","non-dropping-particle":"","parse-names":false,"suffix":""},{"dropping-particle":"","family":"Huynh","given":"Anne","non-dropping-particle":"","parse-names":false,"suffix":""},{"dropping-particle":"","family":"Hebraud","given":"Benjamin","non-dropping-particle":"","parse-names":false,"suffix":""},{"dropping-particle":"","family":"Corre","given":"Jill","non-dropping-particle":"","parse-names":false,"suffix":""},{"dropping-particle":"","family":"Chretien","given":"Marie Lorraine","non-dropping-particle":"","parse-names":false,"suffix":""},{"dropping-particle":"","family":"Facon","given":"Thierry","non-dropping-particle":"","parse-names":false,"suffix":""},{"dropping-particle":"","family":"Avet-Loiseau","given":"Hervé","non-dropping-particle":"","parse-names":false,"suffix":""},{"dropping-particle":"","family":"Attal","given":"Michel","non-dropping-particle":"","parse-names":false,"suffix":""}],"container-title":"Journal of Clinical Oncology","id":"ITEM-2","issue":"25","issued":{"date-parts":[["2014","9","1"]]},"page":"2712-2717","publisher":"American Society of Clinical Oncology","title":"Front-line transplantation program with lenalidomide, bortezomib, and dexamethasone combination as induction and consolidation followed by lenalidomide maintenance in patients with multiple myeloma: A phase II study by the Intergroupe Francophone du Myélome","type":"article-journal","volume":"32"},"uris":["http://www.mendeley.com/documents/?uuid=26d353a8-5357-3f67-9a63-0b8987baf727"]},{"id":"ITEM-3","itemData":{"DOI":"10.1002/14651858.CD004626.pub3","ISSN":"1469-493X","PMID":"23076906","abstract":"BACKGROUND Several clinical studies have compared single with tandem (also called double) autologous stem cell transplantation (ASCT) as first-line treatment in patients with symptomatic multiple myeloma (MM), one of the leading indications for ASCT worldwide. OBJECTIVES The present Cochrane Review compares tandem autologous stem cell transplantation (TASCT) with single autologous stem cell transplantation (SASCT) as first-line treatment in patients with symptomatic MM with respect to overall survival (OS), event-free survival (EFS), quality of life (QoL) and treatment- or transplantation-related mortality. SEARCH METHODS We systematically identified controlled trials published between January 1995 and May 2011 in two bibliographic databases (MEDLINE and CENTRAL) and in clinical trial registries. SELECTION CRITERIA One researcher screened references for controlled trials to determine eligibility for the systematic review (SR) according to pre-specified inclusion and exclusion criteria, reflecting characteristics of disease and the interventions. We required a minimal set of details to be reported for observational studies for the studies to be included. DATA COLLECTION AND ANALYSIS We critically evaluated eligible trials with respect to quality of design and actual performance. One researcher extracted individual trial results, which were checked by another researcher. We recapitulated the results of the individual trials in a standardised way for the SR in order to allow a systematic assessment of potential sources of bias. MAIN RESULTS Overall, we identified 14 controlled studies. One registered randomised controlled trial (RCT) is still recruiting patients at the time of this review and no clinical results have been published. Two registered RCTs have remained unpublished despite their termination. Publications on one RCT had been retracted. We excluded five observational studies since neither patients nor treatment regimens were sufficiently characterised to allow an assessment of potential confounding by indication. We conducted a SR of study designs, definition of endpoints, treatment regimens and baseline characteristics of patients in the five included RCTs (two full-text publications, three conference presentations) enrolling1506 patients in total. Because we identified substantial clinical and methodological heterogeneity, we refrained from conducting a formal meta-analysis.While we included only previously untreated, symptomatic patients with…","author":[{"dropping-particle":"","family":"Naumann-Winter","given":"Frauke","non-dropping-particle":"","parse-names":false,"suffix":""},{"dropping-particle":"","family":"Greb","given":"Alexander","non-dropping-particle":"","parse-names":false,"suffix":""},{"dropping-particle":"","family":"Borchmann","given":"Peter","non-dropping-particle":"","parse-names":false,"suffix":""},{"dropping-particle":"","family":"Bohlius","given":"Julia","non-dropping-particle":"","parse-names":false,"suffix":""},{"dropping-particle":"","family":"Engert","given":"Andreas","non-dropping-particle":"","parse-names":false,"suffix":""},{"dropping-particle":"","family":"Schnell","given":"Roland","non-dropping-particle":"","parse-names":false,"suffix":""}],"container-title":"The Cochrane database of systematic reviews","id":"ITEM-3","issued":{"date-parts":[["2012","10","17"]]},"page":"CD004626","title":"First-line tandem high-dose chemotherapy and autologous stem cell transplantation versus single high-dose chemotherapy and autologous stem cell transplantation in multiple myeloma, a systematic review of controlled studies.","type":"article-journal","volume":"10"},"uris":["http://www.mendeley.com/documents/?uuid=4593ca73-a58d-33b7-b657-1766b684c696"]},{"id":"ITEM-4","itemData":{"DOI":"10.1007/s11899-016-0310-9","ISSN":"1558822X","abstract":"Advances in therapy in multiple myeloma have resulted in significant improvements in patient outcomes; however, relapse remains problematic. Strategies to improve outcomes following autologous stem cell transplantation (ASCT) include consolidation to intensify therapy and improve depth of response and maintenance therapy to achieve long-term disease control. Immunomodulatory drugs (IMiDs), including thalidomide and lenalidomide, are appealing as maintenance therapy given their oral administration; however, the cumulative toxicities of thalidomide have limited its efficacy in maintenance therapy. Maintenance lenalidomide is better tolerated, and multiple studies have demonstrated an improvement in progression-free survival (PFS), but its impact on overall survival (OS) remains controversial. Additional concerns regarding the risk of second primary malignancies and significant cost of long-term lenalidomide therapy have also been raised. Proteasome inhibitors, particularly, bortezomib have also been incorporated in consolidation and maintenance regimens alone or in combination with an IMiD. Preliminary studies have suggested bortezomib maintenance may benefit patients with adverse cytogenetics, including t(4;14) and deletion 17p. Determination of the optimal consolidation and maintenance regimen and duration of therapy post-transplantation is a focus of several ongoing randomized studies.","author":[{"dropping-particle":"","family":"Nathwani","given":"Nitya","non-dropping-particle":"","parse-names":false,"suffix":""},{"dropping-particle":"","family":"Larsen","given":"Jeremy T.","non-dropping-particle":"","parse-names":false,"suffix":""},{"dropping-particle":"","family":"Kapoor","given":"Prashant","non-dropping-particle":"","parse-names":false,"suffix":""}],"container-title":"Current Hematologic Malignancy Reports","id":"ITEM-4","issue":"2","issued":{"date-parts":[["2016","4","1"]]},"page":"127-136","publisher":"Current Science Inc.","title":"Consolidation and Maintenance Therapies for Newly Diagnosed Multiple Myeloma in the Era of Novel Agents","type":"article","volume":"11"},"uris":["http://www.mendeley.com/documents/?uuid=009d2130-9b99-378a-b44c-5b74788bd4ae"]}],"mendeley":{"formattedCitation":"[52–55]","plainTextFormattedCitation":"[52–55]","previouslyFormattedCitation":"[52–55]"},"properties":{"noteIndex":0},"schema":"https://github.com/citation-style-language/schema/raw/master/csl-citation.json"}</w:instrText>
      </w:r>
      <w:r w:rsidR="00A96FB6" w:rsidRPr="00805C9F">
        <w:rPr>
          <w:szCs w:val="24"/>
        </w:rPr>
        <w:fldChar w:fldCharType="separate"/>
      </w:r>
      <w:r w:rsidR="00E03159" w:rsidRPr="00805C9F">
        <w:rPr>
          <w:noProof/>
          <w:szCs w:val="24"/>
        </w:rPr>
        <w:t>[52–55]</w:t>
      </w:r>
      <w:r w:rsidR="00A96FB6" w:rsidRPr="00805C9F">
        <w:rPr>
          <w:szCs w:val="24"/>
        </w:rPr>
        <w:fldChar w:fldCharType="end"/>
      </w:r>
      <w:r w:rsidR="000F1BC7" w:rsidRPr="00805C9F">
        <w:rPr>
          <w:szCs w:val="24"/>
        </w:rPr>
        <w:t>.</w:t>
      </w:r>
    </w:p>
    <w:p w14:paraId="2F242D62" w14:textId="77777777" w:rsidR="00C77FEF" w:rsidRPr="00805C9F" w:rsidRDefault="00C77FEF" w:rsidP="00092917">
      <w:pPr>
        <w:pStyle w:val="a6"/>
        <w:spacing w:before="0" w:after="0"/>
        <w:ind w:left="0"/>
        <w:rPr>
          <w:b/>
          <w:szCs w:val="24"/>
        </w:rPr>
      </w:pPr>
      <w:r w:rsidRPr="00805C9F">
        <w:rPr>
          <w:b/>
          <w:szCs w:val="24"/>
        </w:rPr>
        <w:t xml:space="preserve">Уровень убедительности рекомендаций </w:t>
      </w:r>
      <w:r w:rsidR="002535B4" w:rsidRPr="00805C9F">
        <w:rPr>
          <w:b/>
          <w:szCs w:val="24"/>
        </w:rPr>
        <w:t xml:space="preserve">− </w:t>
      </w:r>
      <w:r w:rsidR="00F101D8" w:rsidRPr="00805C9F">
        <w:rPr>
          <w:b/>
          <w:szCs w:val="24"/>
        </w:rPr>
        <w:t xml:space="preserve">С </w:t>
      </w:r>
      <w:r w:rsidRPr="00805C9F">
        <w:rPr>
          <w:b/>
          <w:szCs w:val="24"/>
        </w:rPr>
        <w:t>(уровень достоверности доказательств</w:t>
      </w:r>
      <w:r w:rsidR="00197001" w:rsidRPr="00805C9F">
        <w:rPr>
          <w:b/>
          <w:szCs w:val="24"/>
        </w:rPr>
        <w:t xml:space="preserve"> </w:t>
      </w:r>
      <w:r w:rsidR="002535B4" w:rsidRPr="00805C9F">
        <w:rPr>
          <w:b/>
          <w:szCs w:val="24"/>
        </w:rPr>
        <w:t xml:space="preserve">− </w:t>
      </w:r>
      <w:r w:rsidR="00F101D8" w:rsidRPr="00805C9F">
        <w:rPr>
          <w:b/>
          <w:szCs w:val="24"/>
        </w:rPr>
        <w:t>5</w:t>
      </w:r>
      <w:r w:rsidRPr="00805C9F">
        <w:rPr>
          <w:b/>
          <w:szCs w:val="24"/>
        </w:rPr>
        <w:t>)</w:t>
      </w:r>
    </w:p>
    <w:p w14:paraId="19EDCA51" w14:textId="1B411CC0" w:rsidR="002535B4" w:rsidRPr="00805C9F" w:rsidRDefault="001F641D" w:rsidP="00092917">
      <w:pPr>
        <w:spacing w:before="0" w:after="0"/>
        <w:contextualSpacing/>
        <w:rPr>
          <w:i/>
          <w:szCs w:val="24"/>
        </w:rPr>
      </w:pPr>
      <w:r w:rsidRPr="00805C9F">
        <w:rPr>
          <w:b/>
          <w:szCs w:val="24"/>
        </w:rPr>
        <w:lastRenderedPageBreak/>
        <w:t xml:space="preserve">Комментарий: </w:t>
      </w:r>
      <w:r w:rsidR="002535B4" w:rsidRPr="00805C9F">
        <w:rPr>
          <w:i/>
          <w:szCs w:val="24"/>
        </w:rPr>
        <w:t>к</w:t>
      </w:r>
      <w:r w:rsidRPr="00805C9F">
        <w:rPr>
          <w:i/>
          <w:szCs w:val="24"/>
        </w:rPr>
        <w:t>онсолидирующую терапию целесообразно начинать через 3 мес</w:t>
      </w:r>
      <w:r w:rsidR="00895437" w:rsidRPr="00805C9F">
        <w:rPr>
          <w:i/>
          <w:szCs w:val="24"/>
        </w:rPr>
        <w:t>.</w:t>
      </w:r>
      <w:r w:rsidRPr="00805C9F">
        <w:rPr>
          <w:i/>
          <w:szCs w:val="24"/>
        </w:rPr>
        <w:t xml:space="preserve"> после ауто</w:t>
      </w:r>
      <w:r w:rsidR="00267DE2" w:rsidRPr="00805C9F">
        <w:rPr>
          <w:i/>
          <w:szCs w:val="24"/>
        </w:rPr>
        <w:t>-</w:t>
      </w:r>
      <w:r w:rsidRPr="00805C9F">
        <w:rPr>
          <w:i/>
          <w:szCs w:val="24"/>
        </w:rPr>
        <w:t>ТГСК, после получения результатов контрольного обследования, подтвердившего отсутствие прогрессии заболевания. Консолидирующая терапия включает в себя</w:t>
      </w:r>
      <w:r w:rsidR="006D0F6C" w:rsidRPr="00805C9F">
        <w:rPr>
          <w:i/>
          <w:szCs w:val="24"/>
        </w:rPr>
        <w:t xml:space="preserve"> проведение 2</w:t>
      </w:r>
      <w:r w:rsidR="002535B4" w:rsidRPr="00805C9F">
        <w:rPr>
          <w:i/>
          <w:szCs w:val="24"/>
        </w:rPr>
        <w:t>−</w:t>
      </w:r>
      <w:r w:rsidR="006D0F6C" w:rsidRPr="00805C9F">
        <w:rPr>
          <w:i/>
          <w:szCs w:val="24"/>
        </w:rPr>
        <w:t>3</w:t>
      </w:r>
      <w:r w:rsidRPr="00805C9F">
        <w:rPr>
          <w:i/>
          <w:szCs w:val="24"/>
        </w:rPr>
        <w:t xml:space="preserve"> курсов (например, VCD, VRD). Одним из вариантов консолидирующего лечения</w:t>
      </w:r>
      <w:r w:rsidR="002905FE" w:rsidRPr="00805C9F">
        <w:rPr>
          <w:i/>
          <w:szCs w:val="24"/>
        </w:rPr>
        <w:t xml:space="preserve"> у пациентов, у которых было собрано достаточное количество </w:t>
      </w:r>
      <w:r w:rsidR="002535B4" w:rsidRPr="00805C9F">
        <w:rPr>
          <w:i/>
          <w:szCs w:val="24"/>
        </w:rPr>
        <w:t>ГСК</w:t>
      </w:r>
      <w:r w:rsidR="002905FE" w:rsidRPr="00805C9F">
        <w:rPr>
          <w:i/>
          <w:szCs w:val="24"/>
        </w:rPr>
        <w:t>,</w:t>
      </w:r>
      <w:r w:rsidRPr="00805C9F">
        <w:rPr>
          <w:i/>
          <w:szCs w:val="24"/>
        </w:rPr>
        <w:t xml:space="preserve"> может рассматриваться </w:t>
      </w:r>
      <w:r w:rsidR="002535B4" w:rsidRPr="00805C9F">
        <w:rPr>
          <w:i/>
          <w:szCs w:val="24"/>
        </w:rPr>
        <w:t>2-</w:t>
      </w:r>
      <w:r w:rsidRPr="00805C9F">
        <w:rPr>
          <w:i/>
          <w:szCs w:val="24"/>
        </w:rPr>
        <w:t>я (тандемная) ауто</w:t>
      </w:r>
      <w:r w:rsidR="00267DE2" w:rsidRPr="00805C9F">
        <w:rPr>
          <w:i/>
          <w:szCs w:val="24"/>
        </w:rPr>
        <w:t>-</w:t>
      </w:r>
      <w:r w:rsidRPr="00805C9F">
        <w:rPr>
          <w:i/>
          <w:szCs w:val="24"/>
        </w:rPr>
        <w:t>ТГСК. Вопрос о необходимости проведения консолидации решается в трансплантационном центре</w:t>
      </w:r>
      <w:r w:rsidR="00ED0BF5" w:rsidRPr="00805C9F">
        <w:rPr>
          <w:i/>
          <w:szCs w:val="24"/>
        </w:rPr>
        <w:t>.</w:t>
      </w:r>
    </w:p>
    <w:p w14:paraId="5277445D" w14:textId="77777777" w:rsidR="00EE2530" w:rsidRPr="00805C9F" w:rsidRDefault="00EE2530" w:rsidP="00092917">
      <w:pPr>
        <w:spacing w:before="0" w:after="0"/>
        <w:contextualSpacing/>
        <w:rPr>
          <w:rStyle w:val="ac"/>
          <w:szCs w:val="24"/>
          <w:u w:val="single"/>
        </w:rPr>
      </w:pPr>
      <w:r w:rsidRPr="00805C9F">
        <w:rPr>
          <w:rStyle w:val="ac"/>
          <w:szCs w:val="24"/>
          <w:u w:val="single"/>
        </w:rPr>
        <w:t>3.3.4</w:t>
      </w:r>
      <w:r w:rsidR="003F5F1F" w:rsidRPr="00805C9F">
        <w:rPr>
          <w:rStyle w:val="ac"/>
          <w:szCs w:val="24"/>
          <w:u w:val="single"/>
        </w:rPr>
        <w:t xml:space="preserve"> </w:t>
      </w:r>
      <w:r w:rsidRPr="00805C9F">
        <w:rPr>
          <w:rStyle w:val="ac"/>
          <w:szCs w:val="24"/>
          <w:u w:val="single"/>
        </w:rPr>
        <w:t>Этап поддерживающей терапии</w:t>
      </w:r>
    </w:p>
    <w:p w14:paraId="448693CE" w14:textId="77777777" w:rsidR="00BB211A" w:rsidRPr="00805C9F" w:rsidRDefault="00BB211A" w:rsidP="00092917">
      <w:pPr>
        <w:pStyle w:val="a4"/>
        <w:spacing w:before="0" w:beforeAutospacing="0" w:after="0" w:afterAutospacing="0" w:line="360" w:lineRule="auto"/>
        <w:contextualSpacing/>
        <w:jc w:val="both"/>
      </w:pPr>
      <w:r w:rsidRPr="00805C9F">
        <w:rPr>
          <w:i/>
        </w:rPr>
        <w:t xml:space="preserve">В настоящее время рядом крупных многоцентровых исследований показано значение поддерживающей терапии, назначаемой после </w:t>
      </w:r>
      <w:r w:rsidR="002535B4" w:rsidRPr="00805C9F">
        <w:rPr>
          <w:i/>
        </w:rPr>
        <w:t>1-</w:t>
      </w:r>
      <w:r w:rsidRPr="00805C9F">
        <w:rPr>
          <w:i/>
        </w:rPr>
        <w:t xml:space="preserve">й или </w:t>
      </w:r>
      <w:r w:rsidR="002535B4" w:rsidRPr="00805C9F">
        <w:rPr>
          <w:i/>
        </w:rPr>
        <w:t>2-</w:t>
      </w:r>
      <w:r w:rsidRPr="00805C9F">
        <w:rPr>
          <w:i/>
        </w:rPr>
        <w:t>й ауто</w:t>
      </w:r>
      <w:r w:rsidR="00267DE2" w:rsidRPr="00805C9F">
        <w:rPr>
          <w:i/>
        </w:rPr>
        <w:t>-</w:t>
      </w:r>
      <w:r w:rsidRPr="00805C9F">
        <w:rPr>
          <w:i/>
        </w:rPr>
        <w:t>ТГСК. При этом в качестве терапевтических препаратов рассматриваются бортезомиб</w:t>
      </w:r>
      <w:r w:rsidR="0063182A" w:rsidRPr="00805C9F">
        <w:rPr>
          <w:i/>
        </w:rPr>
        <w:t>**</w:t>
      </w:r>
      <w:r w:rsidRPr="00805C9F">
        <w:rPr>
          <w:i/>
        </w:rPr>
        <w:t xml:space="preserve"> в дозе 1,3 мг/м</w:t>
      </w:r>
      <w:r w:rsidRPr="00805C9F">
        <w:rPr>
          <w:i/>
          <w:vertAlign w:val="superscript"/>
        </w:rPr>
        <w:t>2</w:t>
      </w:r>
      <w:r w:rsidRPr="00805C9F">
        <w:rPr>
          <w:i/>
        </w:rPr>
        <w:t xml:space="preserve"> каждые 2 нед</w:t>
      </w:r>
      <w:r w:rsidR="009F1549" w:rsidRPr="00805C9F">
        <w:rPr>
          <w:i/>
        </w:rPr>
        <w:t>.</w:t>
      </w:r>
      <w:r w:rsidRPr="00805C9F">
        <w:rPr>
          <w:i/>
        </w:rPr>
        <w:t xml:space="preserve"> в течение 2 лет или до прогрессии и </w:t>
      </w:r>
      <w:bookmarkStart w:id="32" w:name="_Hlk6498165"/>
      <w:r w:rsidRPr="00805C9F">
        <w:rPr>
          <w:i/>
        </w:rPr>
        <w:t>леналидомид</w:t>
      </w:r>
      <w:r w:rsidR="0063182A" w:rsidRPr="00805C9F">
        <w:rPr>
          <w:i/>
        </w:rPr>
        <w:t>**</w:t>
      </w:r>
      <w:r w:rsidRPr="00805C9F">
        <w:rPr>
          <w:i/>
        </w:rPr>
        <w:t xml:space="preserve"> в дозе 10</w:t>
      </w:r>
      <w:r w:rsidR="002535B4" w:rsidRPr="00805C9F">
        <w:rPr>
          <w:i/>
        </w:rPr>
        <w:t>−</w:t>
      </w:r>
      <w:r w:rsidRPr="00805C9F">
        <w:rPr>
          <w:i/>
        </w:rPr>
        <w:t>15 мг/сут в течение 1</w:t>
      </w:r>
      <w:r w:rsidR="002535B4" w:rsidRPr="00805C9F">
        <w:rPr>
          <w:i/>
        </w:rPr>
        <w:t>−</w:t>
      </w:r>
      <w:r w:rsidRPr="00805C9F">
        <w:rPr>
          <w:i/>
        </w:rPr>
        <w:t>2 лет или до прогрессии</w:t>
      </w:r>
      <w:bookmarkEnd w:id="32"/>
      <w:r w:rsidRPr="00805C9F">
        <w:rPr>
          <w:i/>
        </w:rPr>
        <w:t>. Исследовательские центры представляют убедительные данные по увеличению показателей ВБП, ВДП и ОВ.</w:t>
      </w:r>
    </w:p>
    <w:p w14:paraId="79E10E83" w14:textId="024BD907" w:rsidR="008434FF" w:rsidRPr="00805C9F" w:rsidRDefault="00141689" w:rsidP="00092917">
      <w:pPr>
        <w:pStyle w:val="a6"/>
        <w:numPr>
          <w:ilvl w:val="0"/>
          <w:numId w:val="5"/>
        </w:numPr>
        <w:spacing w:before="0" w:after="0"/>
        <w:ind w:left="0" w:firstLine="0"/>
        <w:rPr>
          <w:b/>
          <w:szCs w:val="24"/>
        </w:rPr>
      </w:pPr>
      <w:r w:rsidRPr="00805C9F">
        <w:rPr>
          <w:szCs w:val="24"/>
        </w:rPr>
        <w:t>Для пациентов</w:t>
      </w:r>
      <w:r w:rsidR="00EE2530" w:rsidRPr="00805C9F">
        <w:rPr>
          <w:szCs w:val="24"/>
        </w:rPr>
        <w:t xml:space="preserve"> ММ в возрасте до 65</w:t>
      </w:r>
      <w:r w:rsidRPr="00805C9F">
        <w:rPr>
          <w:szCs w:val="24"/>
        </w:rPr>
        <w:t xml:space="preserve"> лет</w:t>
      </w:r>
      <w:r w:rsidR="00EE2530" w:rsidRPr="00805C9F">
        <w:rPr>
          <w:szCs w:val="24"/>
        </w:rPr>
        <w:t>, а также пациентам 65</w:t>
      </w:r>
      <w:r w:rsidR="00B21759" w:rsidRPr="00805C9F">
        <w:rPr>
          <w:szCs w:val="24"/>
        </w:rPr>
        <w:t>−</w:t>
      </w:r>
      <w:r w:rsidR="00EE2530" w:rsidRPr="00805C9F">
        <w:rPr>
          <w:szCs w:val="24"/>
        </w:rPr>
        <w:t>70 лет с хорошим соматическим статусом без тяжелых сопутствующих заболеваний,</w:t>
      </w:r>
      <w:r w:rsidR="008434FF" w:rsidRPr="00805C9F">
        <w:rPr>
          <w:szCs w:val="24"/>
        </w:rPr>
        <w:t xml:space="preserve"> ответивших на индукционную терапию бортезомибом</w:t>
      </w:r>
      <w:r w:rsidRPr="00805C9F">
        <w:rPr>
          <w:szCs w:val="24"/>
        </w:rPr>
        <w:t>**</w:t>
      </w:r>
      <w:r w:rsidR="00474959" w:rsidRPr="00805C9F">
        <w:rPr>
          <w:szCs w:val="24"/>
        </w:rPr>
        <w:t xml:space="preserve"> (достигнута по крайней мере </w:t>
      </w:r>
      <w:r w:rsidR="00B21759" w:rsidRPr="00805C9F">
        <w:rPr>
          <w:szCs w:val="24"/>
        </w:rPr>
        <w:t>ЧР</w:t>
      </w:r>
      <w:r w:rsidR="00474959" w:rsidRPr="00805C9F">
        <w:rPr>
          <w:szCs w:val="24"/>
        </w:rPr>
        <w:t xml:space="preserve"> после 4</w:t>
      </w:r>
      <w:r w:rsidR="00B21759" w:rsidRPr="00805C9F">
        <w:rPr>
          <w:szCs w:val="24"/>
        </w:rPr>
        <w:t>−</w:t>
      </w:r>
      <w:r w:rsidR="00474959" w:rsidRPr="00805C9F">
        <w:rPr>
          <w:szCs w:val="24"/>
        </w:rPr>
        <w:t>6 циклов бортезомибсодержащей терапии)</w:t>
      </w:r>
      <w:r w:rsidR="008434FF" w:rsidRPr="00805C9F">
        <w:rPr>
          <w:szCs w:val="24"/>
        </w:rPr>
        <w:t>,</w:t>
      </w:r>
      <w:r w:rsidR="00B21759" w:rsidRPr="00805C9F">
        <w:rPr>
          <w:szCs w:val="24"/>
        </w:rPr>
        <w:t xml:space="preserve"> </w:t>
      </w:r>
      <w:r w:rsidR="00EE2530" w:rsidRPr="00805C9F">
        <w:rPr>
          <w:szCs w:val="24"/>
        </w:rPr>
        <w:t>после выполнения ВДХТ, одной или тандемной ауто</w:t>
      </w:r>
      <w:r w:rsidR="00267DE2" w:rsidRPr="00805C9F">
        <w:rPr>
          <w:szCs w:val="24"/>
        </w:rPr>
        <w:t>-</w:t>
      </w:r>
      <w:r w:rsidR="00EE2530" w:rsidRPr="00805C9F">
        <w:rPr>
          <w:szCs w:val="24"/>
        </w:rPr>
        <w:t>ТГСК и</w:t>
      </w:r>
      <w:r w:rsidR="00E743CD" w:rsidRPr="00805C9F">
        <w:rPr>
          <w:szCs w:val="24"/>
        </w:rPr>
        <w:t xml:space="preserve"> консолидирующей терапии (если она проводилась)</w:t>
      </w:r>
      <w:r w:rsidR="000A156C" w:rsidRPr="00805C9F">
        <w:rPr>
          <w:szCs w:val="24"/>
        </w:rPr>
        <w:t xml:space="preserve"> </w:t>
      </w:r>
      <w:r w:rsidR="00EE2530" w:rsidRPr="00805C9F">
        <w:rPr>
          <w:b/>
          <w:szCs w:val="24"/>
        </w:rPr>
        <w:t>рекомен</w:t>
      </w:r>
      <w:r w:rsidR="00FF0C02" w:rsidRPr="00805C9F">
        <w:rPr>
          <w:b/>
          <w:szCs w:val="24"/>
        </w:rPr>
        <w:t>дуется</w:t>
      </w:r>
      <w:r w:rsidR="000A156C" w:rsidRPr="00805C9F">
        <w:rPr>
          <w:b/>
          <w:szCs w:val="24"/>
        </w:rPr>
        <w:t xml:space="preserve"> </w:t>
      </w:r>
      <w:r w:rsidR="00E743CD" w:rsidRPr="00805C9F">
        <w:rPr>
          <w:szCs w:val="24"/>
        </w:rPr>
        <w:t>проведение поддерживающей терапии</w:t>
      </w:r>
      <w:r w:rsidR="000A156C" w:rsidRPr="00805C9F">
        <w:rPr>
          <w:szCs w:val="24"/>
        </w:rPr>
        <w:t xml:space="preserve"> </w:t>
      </w:r>
      <w:r w:rsidR="00AC3713" w:rsidRPr="00805C9F">
        <w:rPr>
          <w:szCs w:val="24"/>
        </w:rPr>
        <w:t>бортезомибом</w:t>
      </w:r>
      <w:r w:rsidRPr="00805C9F">
        <w:rPr>
          <w:szCs w:val="24"/>
        </w:rPr>
        <w:t>**</w:t>
      </w:r>
      <w:r w:rsidR="00474959" w:rsidRPr="00805C9F">
        <w:rPr>
          <w:szCs w:val="24"/>
        </w:rPr>
        <w:t>в дозе 1,3</w:t>
      </w:r>
      <w:r w:rsidR="00B21759" w:rsidRPr="00805C9F">
        <w:rPr>
          <w:szCs w:val="24"/>
        </w:rPr>
        <w:t> </w:t>
      </w:r>
      <w:r w:rsidR="00474959" w:rsidRPr="00805C9F">
        <w:rPr>
          <w:szCs w:val="24"/>
        </w:rPr>
        <w:t>мг/м</w:t>
      </w:r>
      <w:r w:rsidR="00474959" w:rsidRPr="00805C9F">
        <w:rPr>
          <w:szCs w:val="24"/>
          <w:vertAlign w:val="superscript"/>
        </w:rPr>
        <w:t>2</w:t>
      </w:r>
      <w:r w:rsidR="00474959" w:rsidRPr="00805C9F">
        <w:rPr>
          <w:szCs w:val="24"/>
        </w:rPr>
        <w:t xml:space="preserve"> каждые 2 нед в течение 2</w:t>
      </w:r>
      <w:r w:rsidR="00B21759" w:rsidRPr="00805C9F">
        <w:rPr>
          <w:szCs w:val="24"/>
        </w:rPr>
        <w:t xml:space="preserve"> </w:t>
      </w:r>
      <w:r w:rsidR="00474959" w:rsidRPr="00805C9F">
        <w:rPr>
          <w:szCs w:val="24"/>
        </w:rPr>
        <w:t xml:space="preserve">лет или до прогрессии </w:t>
      </w:r>
      <w:r w:rsidR="008434FF" w:rsidRPr="00805C9F">
        <w:rPr>
          <w:szCs w:val="24"/>
        </w:rPr>
        <w:t>с целью подавления пролиферации остаточного клона опухолевых клеток и пред</w:t>
      </w:r>
      <w:r w:rsidR="001A0F52" w:rsidRPr="00805C9F">
        <w:rPr>
          <w:szCs w:val="24"/>
        </w:rPr>
        <w:t>упреждения рецидива заболевания</w:t>
      </w:r>
      <w:r w:rsidR="003F5F1F" w:rsidRPr="00805C9F">
        <w:rPr>
          <w:szCs w:val="24"/>
        </w:rPr>
        <w:t xml:space="preserve"> </w:t>
      </w:r>
      <w:r w:rsidR="00A96FB6" w:rsidRPr="00805C9F">
        <w:rPr>
          <w:szCs w:val="24"/>
        </w:rPr>
        <w:fldChar w:fldCharType="begin" w:fldLock="1"/>
      </w:r>
      <w:r w:rsidR="00500F37">
        <w:rPr>
          <w:szCs w:val="24"/>
        </w:rPr>
        <w:instrText>ADDIN CSL_CITATION {"citationItems":[{"id":"ITEM-1","itemData":{"DOI":"10.1200/JCO.2011.39.6820","ISSN":"0732183X","abstract":"Purpose: We investigated whether bortezomib during induction and maintenance improves survival in newly diagnosed multiple myeloma (MM). Patients and Methods: In all, 827 eligible patients with newly diagnosed symptomatic MM were randomly assigned to receive induction therapy with vincristine, doxorubicin, and dexamethasone (VAD) or bortezomib, doxorubicin, and dexamethasone (PAD) followed by high-dose melphalan and autologous stemcell transplantation. Maintenance consisted of thalidomide 50 mg (VAD) once per day or bortezomib 1.3 mg/m2 (PAD) once every 2 weeks for 2 years. The primary analysis was progression-free survival (PFS) adjusted for International Staging System (ISS) stage. Results: Complete response (CR), including near CR, was superior after PAD induction (15% v 31%; P &lt; .001) and bortezomib maintenance (34% v 49%; P &lt; .001). After a median follow-up of 41 months, PFS was superior in the PAD arm (median of 28 months v 35 months; hazard ratio [HR], 0.75; 95% CI, 0.62 to 0.90; P = .002). In multivariate analysis, overall survival (OS) was better in the PAD arm (HR, 0.77; 95% CI, 0.60 to 1.00; P = .049). In high-risk patients presenting with increased creatinine more than 2 mg/dL, bortezomib significantly improved PFS from a median of 13 months to 30 months (HR, 0.45; 95% CI, 0.26 to 0.78; P = .004) and OS from a median of 21 months to 54 months (HR, 0.33; 95% CI, 0.16 to 0.65; P &lt; .001). A benefit was also observed in patients with deletion 17p13 (median PFS, 12 v 22 months; HR, 0.47;95%CI, 0.26 to 0.86; P = .01; median OS, 24 months v not reached at 54 months; HR, 0.36; 95% CI, 0.18 to 0.74; P = .003). Conclusion: Bortezomib during induction and maintenance improves CR and achieves superior PFS and OS. © 2012 by American Society of Clinical Oncology.","author":[{"dropping-particle":"","family":"Sonneveld","given":"Pieter","non-dropping-particle":"","parse-names":false,"suffix":""},{"dropping-particle":"","family":"Schmidt-Wolf","given":"Ingo G.H.","non-dropping-particle":"","parse-names":false,"suffix":""},{"dropping-particle":"","family":"Holt","given":"Bronno","non-dropping-particle":"Van Der","parse-names":false,"suffix":""},{"dropping-particle":"","family":"Jarari","given":"Laila","non-dropping-particle":"El","parse-names":false,"suffix":""},{"dropping-particle":"","family":"Bertsch","given":"Uta","non-dropping-particle":"","parse-names":false,"suffix":""},{"dropping-particle":"","family":"Salwender","given":"Hans","non-dropping-particle":"","parse-names":false,"suffix":""},{"dropping-particle":"","family":"Zweegman","given":"Sonja","non-dropping-particle":"","parse-names":false,"suffix":""},{"dropping-particle":"","family":"Vellenga","given":"Edo","non-dropping-particle":"","parse-names":false,"suffix":""},{"dropping-particle":"","family":"Broyl","given":"Annemiek","non-dropping-particle":"","parse-names":false,"suffix":""},{"dropping-particle":"","family":"Blau","given":"Igor W.","non-dropping-particle":"","parse-names":false,"suffix":""},{"dropping-particle":"","family":"Weisel","given":"Katja C.","non-dropping-particle":"","parse-names":false,"suffix":""},{"dropping-particle":"","family":"Wittebol","given":"Shulamiet","non-dropping-particle":"","parse-names":false,"suffix":""},{"dropping-particle":"","family":"Bos","given":"Gerard M.J.","non-dropping-particle":"","parse-names":false,"suffix":""},{"dropping-particle":"","family":"Stevens-Kroef","given":"Marian","non-dropping-particle":"","parse-names":false,"suffix":""},{"dropping-particle":"","family":"Scheid","given":"Christof","non-dropping-particle":"","parse-names":false,"suffix":""},{"dropping-particle":"","family":"Pfreundschuh","given":"Michael","non-dropping-particle":"","parse-names":false,"suffix":""},{"dropping-particle":"","family":"Hose","given":"Dirk","non-dropping-particle":"","parse-names":false,"suffix":""},{"dropping-particle":"","family":"Jauch","given":"Anna","non-dropping-particle":"","parse-names":false,"suffix":""},{"dropping-particle":"","family":"Velde","given":"Helgi","non-dropping-particle":"Van Der","parse-names":false,"suffix":""},{"dropping-particle":"","family":"Raymakers","given":"Reinier","non-dropping-particle":"","parse-names":false,"suffix":""},{"dropping-particle":"","family":"Schaafsma","given":"Martijn R.","non-dropping-particle":"","parse-names":false,"suffix":""},{"dropping-particle":"","family":"Kersten","given":"Marie Jose","non-dropping-particle":"","parse-names":false,"suffix":""},{"dropping-particle":"","family":"Marwijk-Kooy","given":"Marinus","non-dropping-particle":"Van","parse-names":false,"suffix":""},{"dropping-particle":"","family":"Duehrsen","given":"Ulrich","non-dropping-particle":"","parse-names":false,"suffix":""},{"dropping-particle":"","family":"Lindemann","given":"Walter","non-dropping-particle":"","parse-names":false,"suffix":""},{"dropping-particle":"","family":"Wijermans","given":"Pierre W.","non-dropping-particle":"","parse-names":false,"suffix":""},{"dropping-particle":"","family":"Lokhorst","given":"Henk M.","non-dropping-particle":"","parse-names":false,"suffix":""},{"dropping-particle":"","family":"Goldschmidt","given":"Hartmut M.","non-dropping-particle":"","parse-names":false,"suffix":""}],"container-title":"Journal of Clinical Oncology","id":"ITEM-1","issue":"24","issued":{"date-parts":[["2012","8","20"]]},"page":"2946-2955","title":"Bortezomib induction and maintenance treatment in patients with newly diagnosed multiple myeloma: Results of the randomized phase III HOVON-65/ GMMG-HD4 trial","type":"article-journal","volume":"30"},"uris":["http://www.mendeley.com/documents/?uuid=ffdfec80-b760-3646-a8e8-857d3764dca6"]}],"mendeley":{"formattedCitation":"[56]","plainTextFormattedCitation":"[56]","previouslyFormattedCitation":"[56]"},"properties":{"noteIndex":0},"schema":"https://github.com/citation-style-language/schema/raw/master/csl-citation.json"}</w:instrText>
      </w:r>
      <w:r w:rsidR="00A96FB6" w:rsidRPr="00805C9F">
        <w:rPr>
          <w:szCs w:val="24"/>
        </w:rPr>
        <w:fldChar w:fldCharType="separate"/>
      </w:r>
      <w:r w:rsidR="00E03159" w:rsidRPr="00805C9F">
        <w:rPr>
          <w:noProof/>
          <w:szCs w:val="24"/>
        </w:rPr>
        <w:t>[56]</w:t>
      </w:r>
      <w:r w:rsidR="00A96FB6" w:rsidRPr="00805C9F">
        <w:rPr>
          <w:szCs w:val="24"/>
        </w:rPr>
        <w:fldChar w:fldCharType="end"/>
      </w:r>
      <w:r w:rsidR="001A0F52" w:rsidRPr="00805C9F">
        <w:rPr>
          <w:szCs w:val="24"/>
        </w:rPr>
        <w:t>.</w:t>
      </w:r>
    </w:p>
    <w:p w14:paraId="49F6BF23" w14:textId="77777777" w:rsidR="00EE2530" w:rsidRPr="00805C9F" w:rsidRDefault="002473A8" w:rsidP="00092917">
      <w:pPr>
        <w:pStyle w:val="a6"/>
        <w:spacing w:before="0" w:after="0"/>
        <w:ind w:left="0"/>
        <w:rPr>
          <w:b/>
          <w:szCs w:val="24"/>
        </w:rPr>
      </w:pPr>
      <w:r w:rsidRPr="00805C9F">
        <w:rPr>
          <w:b/>
          <w:szCs w:val="24"/>
        </w:rPr>
        <w:t xml:space="preserve">Уровень убедительности рекомендаций </w:t>
      </w:r>
      <w:r w:rsidR="00B21759" w:rsidRPr="00805C9F">
        <w:rPr>
          <w:b/>
          <w:szCs w:val="24"/>
        </w:rPr>
        <w:t xml:space="preserve">− </w:t>
      </w:r>
      <w:r w:rsidR="001A0F52" w:rsidRPr="00805C9F">
        <w:rPr>
          <w:b/>
          <w:szCs w:val="24"/>
        </w:rPr>
        <w:t xml:space="preserve">A </w:t>
      </w:r>
      <w:r w:rsidRPr="00805C9F">
        <w:rPr>
          <w:b/>
          <w:szCs w:val="24"/>
        </w:rPr>
        <w:t>(уровень достоверности доказательств</w:t>
      </w:r>
      <w:r w:rsidR="003F5F1F" w:rsidRPr="00805C9F">
        <w:rPr>
          <w:b/>
          <w:szCs w:val="24"/>
        </w:rPr>
        <w:t xml:space="preserve"> </w:t>
      </w:r>
      <w:r w:rsidR="00B21759" w:rsidRPr="00805C9F">
        <w:rPr>
          <w:b/>
          <w:szCs w:val="24"/>
        </w:rPr>
        <w:t xml:space="preserve">− </w:t>
      </w:r>
      <w:r w:rsidR="001A0F52" w:rsidRPr="00805C9F">
        <w:rPr>
          <w:b/>
          <w:szCs w:val="24"/>
        </w:rPr>
        <w:t>2</w:t>
      </w:r>
      <w:r w:rsidRPr="00805C9F">
        <w:rPr>
          <w:b/>
          <w:szCs w:val="24"/>
        </w:rPr>
        <w:t>)</w:t>
      </w:r>
    </w:p>
    <w:p w14:paraId="1A0F6BD2" w14:textId="77777777" w:rsidR="00AC3713" w:rsidRPr="00805C9F" w:rsidRDefault="00EE2530" w:rsidP="00092917">
      <w:pPr>
        <w:spacing w:before="0" w:after="0"/>
        <w:contextualSpacing/>
        <w:rPr>
          <w:i/>
          <w:szCs w:val="24"/>
        </w:rPr>
      </w:pPr>
      <w:r w:rsidRPr="00805C9F">
        <w:rPr>
          <w:b/>
          <w:szCs w:val="24"/>
        </w:rPr>
        <w:t xml:space="preserve">Комментарий: </w:t>
      </w:r>
      <w:r w:rsidR="003F5F1F" w:rsidRPr="00805C9F">
        <w:rPr>
          <w:i/>
          <w:szCs w:val="24"/>
        </w:rPr>
        <w:t xml:space="preserve">согласно </w:t>
      </w:r>
      <w:r w:rsidR="00AC3713" w:rsidRPr="00805C9F">
        <w:rPr>
          <w:i/>
          <w:szCs w:val="24"/>
        </w:rPr>
        <w:t>IMWG поддерживающая терапия бортезомибом</w:t>
      </w:r>
      <w:r w:rsidR="00141689" w:rsidRPr="00805C9F">
        <w:rPr>
          <w:i/>
          <w:szCs w:val="24"/>
        </w:rPr>
        <w:t>**</w:t>
      </w:r>
      <w:r w:rsidR="00AC3713" w:rsidRPr="00805C9F">
        <w:rPr>
          <w:i/>
          <w:szCs w:val="24"/>
        </w:rPr>
        <w:t xml:space="preserve"> целесообразна только в случаях достижения ответа на препарат на этапе индукции, однако длительное применение препарата после ауто</w:t>
      </w:r>
      <w:r w:rsidR="00267DE2" w:rsidRPr="00805C9F">
        <w:rPr>
          <w:i/>
          <w:szCs w:val="24"/>
        </w:rPr>
        <w:t>-</w:t>
      </w:r>
      <w:r w:rsidR="00AC3713" w:rsidRPr="00805C9F">
        <w:rPr>
          <w:i/>
          <w:szCs w:val="24"/>
        </w:rPr>
        <w:t>ТГСК (в течение 2</w:t>
      </w:r>
      <w:r w:rsidR="00B21759" w:rsidRPr="00805C9F">
        <w:rPr>
          <w:i/>
          <w:szCs w:val="24"/>
        </w:rPr>
        <w:t> </w:t>
      </w:r>
      <w:r w:rsidR="00AC3713" w:rsidRPr="00805C9F">
        <w:rPr>
          <w:i/>
          <w:szCs w:val="24"/>
        </w:rPr>
        <w:t xml:space="preserve">лет) потребует редукции дозы препарата у </w:t>
      </w:r>
      <w:r w:rsidR="00B21759" w:rsidRPr="00805C9F">
        <w:rPr>
          <w:i/>
          <w:szCs w:val="24"/>
        </w:rPr>
        <w:t>1/3</w:t>
      </w:r>
      <w:r w:rsidR="00AC3713" w:rsidRPr="00805C9F">
        <w:rPr>
          <w:i/>
          <w:szCs w:val="24"/>
        </w:rPr>
        <w:t xml:space="preserve"> </w:t>
      </w:r>
      <w:r w:rsidR="00FB03BB" w:rsidRPr="00805C9F">
        <w:rPr>
          <w:i/>
          <w:szCs w:val="24"/>
        </w:rPr>
        <w:t>пациентов</w:t>
      </w:r>
      <w:r w:rsidR="00AC3713" w:rsidRPr="00805C9F">
        <w:rPr>
          <w:i/>
          <w:szCs w:val="24"/>
        </w:rPr>
        <w:t>. Группа HOVON показала, что поддерживающая терапия бортезомибом</w:t>
      </w:r>
      <w:r w:rsidR="00141689" w:rsidRPr="00805C9F">
        <w:rPr>
          <w:i/>
          <w:szCs w:val="24"/>
        </w:rPr>
        <w:t>**</w:t>
      </w:r>
      <w:r w:rsidR="00AC3713" w:rsidRPr="00805C9F">
        <w:rPr>
          <w:i/>
          <w:szCs w:val="24"/>
        </w:rPr>
        <w:t xml:space="preserve"> после ауто</w:t>
      </w:r>
      <w:r w:rsidR="00267DE2" w:rsidRPr="00805C9F">
        <w:rPr>
          <w:i/>
          <w:szCs w:val="24"/>
        </w:rPr>
        <w:t>-</w:t>
      </w:r>
      <w:r w:rsidR="00AC3713" w:rsidRPr="00805C9F">
        <w:rPr>
          <w:i/>
          <w:szCs w:val="24"/>
        </w:rPr>
        <w:t>ТГСК эффективна у пациентов с del17p.</w:t>
      </w:r>
    </w:p>
    <w:p w14:paraId="5CA8236A" w14:textId="3C62B849" w:rsidR="00BB211A" w:rsidRPr="00805C9F" w:rsidRDefault="000C2F12" w:rsidP="00092917">
      <w:pPr>
        <w:pStyle w:val="a6"/>
        <w:numPr>
          <w:ilvl w:val="0"/>
          <w:numId w:val="5"/>
        </w:numPr>
        <w:spacing w:before="0" w:after="0"/>
        <w:ind w:left="0" w:firstLine="0"/>
        <w:rPr>
          <w:szCs w:val="24"/>
        </w:rPr>
      </w:pPr>
      <w:r w:rsidRPr="00805C9F">
        <w:rPr>
          <w:szCs w:val="24"/>
        </w:rPr>
        <w:t>Для пациентов ММ в возрасте до 65 лет, а также пациентам 65</w:t>
      </w:r>
      <w:r w:rsidR="00B21759" w:rsidRPr="00805C9F">
        <w:rPr>
          <w:szCs w:val="24"/>
        </w:rPr>
        <w:t>−</w:t>
      </w:r>
      <w:r w:rsidRPr="00805C9F">
        <w:rPr>
          <w:szCs w:val="24"/>
        </w:rPr>
        <w:t>70 лет с хорошим соматическим статусом без тяжелых сопутствующих заболеваний после выполнения ВДХТ, одной или тандемной ауто</w:t>
      </w:r>
      <w:r w:rsidR="00267DE2" w:rsidRPr="00805C9F">
        <w:rPr>
          <w:szCs w:val="24"/>
        </w:rPr>
        <w:t>-</w:t>
      </w:r>
      <w:r w:rsidRPr="00805C9F">
        <w:rPr>
          <w:szCs w:val="24"/>
        </w:rPr>
        <w:t xml:space="preserve">ТГСК и консолидирующей терапии (если она проводилась), </w:t>
      </w:r>
      <w:r w:rsidRPr="00805C9F">
        <w:rPr>
          <w:b/>
          <w:bCs/>
          <w:szCs w:val="24"/>
        </w:rPr>
        <w:t>рекомендуется</w:t>
      </w:r>
      <w:r w:rsidRPr="00805C9F">
        <w:rPr>
          <w:szCs w:val="24"/>
        </w:rPr>
        <w:t xml:space="preserve"> проведение поддерживающей терапии леналидомидом** в </w:t>
      </w:r>
      <w:r w:rsidRPr="00805C9F">
        <w:rPr>
          <w:szCs w:val="24"/>
        </w:rPr>
        <w:lastRenderedPageBreak/>
        <w:t>дозе 10</w:t>
      </w:r>
      <w:r w:rsidR="003C3A69" w:rsidRPr="00805C9F">
        <w:rPr>
          <w:szCs w:val="24"/>
        </w:rPr>
        <w:t>−</w:t>
      </w:r>
      <w:r w:rsidRPr="00805C9F">
        <w:rPr>
          <w:szCs w:val="24"/>
        </w:rPr>
        <w:t>15 мг/сут в течение 1</w:t>
      </w:r>
      <w:r w:rsidR="003C3A69" w:rsidRPr="00805C9F">
        <w:rPr>
          <w:szCs w:val="24"/>
        </w:rPr>
        <w:t>−</w:t>
      </w:r>
      <w:r w:rsidRPr="00805C9F">
        <w:rPr>
          <w:szCs w:val="24"/>
        </w:rPr>
        <w:t>2 лет или до прогрессии с целью подавления пролиферации остаточного клона опухолевых клеток и предупреждения рецидива заболевания</w:t>
      </w:r>
      <w:r w:rsidR="003F5F1F" w:rsidRPr="00805C9F">
        <w:rPr>
          <w:szCs w:val="24"/>
        </w:rPr>
        <w:t xml:space="preserve"> </w:t>
      </w:r>
      <w:r w:rsidR="00A96FB6" w:rsidRPr="00805C9F">
        <w:rPr>
          <w:szCs w:val="24"/>
        </w:rPr>
        <w:fldChar w:fldCharType="begin" w:fldLock="1"/>
      </w:r>
      <w:r w:rsidR="00500F37">
        <w:rPr>
          <w:szCs w:val="24"/>
        </w:rPr>
        <w:instrText>ADDIN CSL_CITATION {"citationItems":[{"id":"ITEM-1","itemData":{"DOI":"10.1056/NEJMoa1114083","ISSN":"1533-4406","PMID":"22571201","abstract":"BACKGROUND Data are lacking on whether lenalidomide maintenance therapy prolongs the time to disease progression after autologous hematopoietic stem-cell transplantation in patients with multiple myeloma. METHODS Between April 2005 and July 2009, we randomly assigned 460 patients who were younger than 71 years of age and had stable disease or a marginal, partial, or complete response 100 days after undergoing stem-cell transplantation to lenalidomide or placebo, which was administered until disease progression. The starting dose of lenalidomide was 10 mg per day (range, 5 to 15). RESULTS The study-drug assignments were unblinded in 2009, when a planned interim analysis showed a significantly longer time to disease progression in the lenalidomide group. At unblinding, 20% of patients who received lenalidomide and 44% of patients who received placebo had progressive disease or had died (P&lt;0.001); of the remaining 128 patients who received placebo and who did not have progressive disease, 86 crossed over to lenalidomide. At a median follow-up of 34 months, 86 of 231 patients who received lenalidomide (37%) and 132 of 229 patients who received placebo (58%) had disease progression or had died. The median time to progression was 46 months in the lenalidomide group and 27 months in the placebo group (P&lt;0.001). A total of 35 patients who received lenalidomide (15%) and 53 patients who received placebo (23%) died (P=0.03). More grade 3 or 4 hematologic adverse events and grade 3 nonhematologic adverse events occurred in patients who received lenalidomide (P&lt;0.001 for both comparisons). Second primary cancers occurred in 18 patients who received lenalidomide (8%) and 6 patients who received placebo (3%). CONCLUSIONS Lenalidomide maintenance therapy, initiated at day 100 after hematopoietic stem-cell transplantation, was associated with more toxicity and second cancers but a significantly longer time to disease progression and significantly improved overall survival among patients with myeloma. (Funded by the National Cancer Institute; ClinicalTrials.gov number, NCT00114101.).","author":[{"dropping-particle":"","family":"McCarthy","given":"Philip L","non-dropping-particle":"","parse-names":false,"suffix":""},{"dropping-particle":"","family":"Owzar","given":"Kouros","non-dropping-particle":"","parse-names":false,"suffix":""},{"dropping-particle":"","family":"Hofmeister","given":"Craig C","non-dropping-particle":"","parse-names":false,"suffix":""},{"dropping-particle":"","family":"Hurd","given":"David D","non-dropping-particle":"","parse-names":false,"suffix":""},{"dropping-particle":"","family":"Hassoun","given":"Hani","non-dropping-particle":"","parse-names":false,"suffix":""},{"dropping-particle":"","family":"Richardson","given":"Paul G","non-dropping-particle":"","parse-names":false,"suffix":""},{"dropping-particle":"","family":"Giralt","given":"Sergio","non-dropping-particle":"","parse-names":false,"suffix":""},{"dropping-particle":"","family":"Stadtmauer","given":"Edward A","non-dropping-particle":"","parse-names":false,"suffix":""},{"dropping-particle":"","family":"Weisdorf","given":"Daniel J","non-dropping-particle":"","parse-names":false,"suffix":""},{"dropping-particle":"","family":"Vij","given":"Ravi","non-dropping-particle":"","parse-names":false,"suffix":""},{"dropping-particle":"","family":"Moreb","given":"Jan S","non-dropping-particle":"","parse-names":false,"suffix":""},{"dropping-particle":"","family":"Callander","given":"Natalie Scott","non-dropping-particle":"","parse-names":false,"suffix":""},{"dropping-particle":"","family":"Besien","given":"Koen","non-dropping-particle":"Van","parse-names":false,"suffix":""},{"dropping-particle":"","family":"Gentile","given":"Teresa","non-dropping-particle":"","parse-names":false,"suffix":""},{"dropping-particle":"","family":"Isola","given":"Luis","non-dropping-particle":"","parse-names":false,"suffix":""},{"dropping-particle":"","family":"Maziarz","given":"Richard T","non-dropping-particle":"","parse-names":false,"suffix":""},{"dropping-particle":"","family":"Gabriel","given":"Don A","non-dropping-particle":"","parse-names":false,"suffix":""},{"dropping-particle":"","family":"Bashey","given":"Asad","non-dropping-particle":"","parse-names":false,"suffix":""},{"dropping-particle":"","family":"Landau","given":"Heather","non-dropping-particle":"","parse-names":false,"suffix":""},{"dropping-particle":"","family":"Martin","given":"Thomas","non-dropping-particle":"","parse-names":false,"suffix":""},{"dropping-particle":"","family":"Qazilbash","given":"Muzaffar H","non-dropping-particle":"","parse-names":false,"suffix":""},{"dropping-particle":"","family":"Levitan","given":"Denise","non-dropping-particle":"","parse-names":false,"suffix":""},{"dropping-particle":"","family":"McClune","given":"Brian","non-dropping-particle":"","parse-names":false,"suffix":""},{"dropping-particle":"","family":"Schlossman","given":"Robert","non-dropping-particle":"","parse-names":false,"suffix":""},{"dropping-particle":"","family":"Hars","given":"Vera","non-dropping-particle":"","parse-names":false,"suffix":""},{"dropping-particle":"","family":"Postiglione","given":"John","non-dropping-particle":"","parse-names":false,"suffix":""},{"dropping-particle":"","family":"Jiang","given":"Chen","non-dropping-particle":"","parse-names":false,"suffix":""},{"dropping-particle":"","family":"Bennett","given":"Elizabeth","non-dropping-particle":"","parse-names":false,"suffix":""},{"dropping-particle":"","family":"Barry","given":"Susan","non-dropping-particle":"","parse-names":false,"suffix":""},{"dropping-particle":"","family":"Bressler","given":"Linda","non-dropping-particle":"","parse-names":false,"suffix":""},{"dropping-particle":"","family":"Kelly","given":"Michael","non-dropping-particle":"","parse-names":false,"suffix":""},{"dropping-particle":"","family":"Seiler","given":"Michele","non-dropping-particle":"","parse-names":false,"suffix":""},{"dropping-particle":"","family":"Rosenbaum","given":"Cara","non-dropping-particle":"","parse-names":false,"suffix":""},{"dropping-particle":"","family":"Hari","given":"Parameswaran","non-dropping-particle":"","parse-names":false,"suffix":""},{"dropping-particle":"","family":"Pasquini","given":"Marcelo C","non-dropping-particle":"","parse-names":false,"suffix":""},{"dropping-particle":"","family":"Horowitz","given":"Mary M","non-dropping-particle":"","parse-names":false,"suffix":""},{"dropping-particle":"","family":"Shea","given":"Thomas C","non-dropping-particle":"","parse-names":false,"suffix":""},{"dropping-particle":"","family":"Devine","given":"Steven M","non-dropping-particle":"","parse-names":false,"suffix":""},{"dropping-particle":"","family":"Anderson","given":"Kenneth C","non-dropping-particle":"","parse-names":false,"suffix":""},{"dropping-particle":"","family":"Linker","given":"Charles","non-dropping-particle":"","parse-names":false,"suffix":""}],"container-title":"The New England journal of medicine","id":"ITEM-1","issue":"19","issued":{"date-parts":[["2012","5","10"]]},"page":"1770-81","title":"Lenalidomide after stem-cell transplantation for multiple myeloma.","type":"article-journal","volume":"366"},"uris":["http://www.mendeley.com/documents/?uuid=fead0d63-46b5-37bc-8c9c-4e4c7accc627"]},{"id":"ITEM-2","itemData":{"DOI":"10.1056/NEJMoa1114138","ISSN":"1533-4406","PMID":"22571202","abstract":"BACKGROUND High-dose chemotherapy with autologous stem-cell transplantation is a standard treatment for young patients with multiple myeloma. Residual disease is almost always present after transplantation and is responsible for relapse. This phase 3, placebo-controlled trial investigated the efficacy of lenalidomide maintenance therapy after transplantation. METHODS We randomly assigned 614 patients younger than 65 years of age who had nonprogressive disease after first-line transplantation to maintenance treatment with either lenalidomide (10 mg per day for the first 3 months, increased to 15 mg if tolerated) or placebo until relapse. The primary end point was progression-free survival. RESULTS Lenalidomide maintenance therapy improved median progression-free survival (41 months, vs. 23 months with placebo; hazard ratio, 0.50; P&lt;0.001). This benefit was observed across all patient subgroups, including those based on the β(2)-microglobulin level, cytogenetic profile, and response after transplantation. With a median follow-up period of 45 months, more than 70% of patients in both groups were alive at 4 years. The rates of grade 3 or 4 peripheral neuropathy were similar in the two groups. The incidence of second primary cancers was 3.1 per 100 patient-years in the lenalidomide group versus 1.2 per 100 patient-years in the placebo group (P=0.002). Median event-free survival (with events that included second primary cancers) was significantly improved with lenalidomide (40 months, vs. 23 months with placebo; P&lt;0.001). CONCLUSIONS Lenalidomide maintenance after transplantation significantly prolonged progression-free and event-free survival among patients with multiple myeloma. Four years after randomization, overall survival was similar in the two study groups. (Funded by the Programme Hospitalier de Recherche Clinique and others; ClinicalTrials.gov number, NCT00430365.).","author":[{"dropping-particle":"","family":"Attal","given":"Michel","non-dropping-particle":"","parse-names":false,"suffix":""},{"dropping-particle":"","family":"Lauwers-Cances","given":"Valerie","non-dropping-particle":"","parse-names":false,"suffix":""},{"dropping-particle":"","family":"Marit","given":"Gerald","non-dropping-particle":"","parse-names":false,"suffix":""},{"dropping-particle":"","family":"Caillot","given":"Denis","non-dropping-particle":"","parse-names":false,"suffix":""},{"dropping-particle":"","family":"Moreau","given":"Philippe","non-dropping-particle":"","parse-names":false,"suffix":""},{"dropping-particle":"","family":"Facon","given":"Thierry","non-dropping-particle":"","parse-names":false,"suffix":""},{"dropping-particle":"","family":"Stoppa","given":"Anne Marie","non-dropping-particle":"","parse-names":false,"suffix":""},{"dropping-particle":"","family":"Hulin","given":"Cyrille","non-dropping-particle":"","parse-names":false,"suffix":""},{"dropping-particle":"","family":"Benboubker","given":"Lofti","non-dropping-particle":"","parse-names":false,"suffix":""},{"dropping-particle":"","family":"Garderet","given":"Laurent","non-dropping-particle":"","parse-names":false,"suffix":""},{"dropping-particle":"","family":"Decaux","given":"Olivier","non-dropping-particle":"","parse-names":false,"suffix":""},{"dropping-particle":"","family":"Leyvraz","given":"Serge","non-dropping-particle":"","parse-names":false,"suffix":""},{"dropping-particle":"","family":"Vekemans","given":"Marie-Christiane","non-dropping-particle":"","parse-names":false,"suffix":""},{"dropping-particle":"","family":"Voillat","given":"Laurent","non-dropping-particle":"","parse-names":false,"suffix":""},{"dropping-particle":"","family":"Michallet","given":"Mauricette","non-dropping-particle":"","parse-names":false,"suffix":""},{"dropping-particle":"","family":"Pegourie","given":"Brigitte","non-dropping-particle":"","parse-names":false,"suffix":""},{"dropping-particle":"","family":"Dumontet","given":"Charles","non-dropping-particle":"","parse-names":false,"suffix":""},{"dropping-particle":"","family":"Roussel","given":"Murielle","non-dropping-particle":"","parse-names":false,"suffix":""},{"dropping-particle":"","family":"Leleu","given":"Xavier","non-dropping-particle":"","parse-names":false,"suffix":""},{"dropping-particle":"","family":"Mathiot","given":"Claire","non-dropping-particle":"","parse-names":false,"suffix":""},{"dropping-particle":"","family":"Payen","given":"Catherine","non-dropping-particle":"","parse-names":false,"suffix":""},{"dropping-particle":"","family":"Avet-Loiseau","given":"Hervé","non-dropping-particle":"","parse-names":false,"suffix":""},{"dropping-particle":"","family":"Harousseau","given":"Jean-Luc","non-dropping-particle":"","parse-names":false,"suffix":""},{"dropping-particle":"","family":"IFM Investigators","given":"","non-dropping-particle":"","parse-names":false,"suffix":""}],"container-title":"The New England journal of medicine","id":"ITEM-2","issue":"19","issued":{"date-parts":[["2012","5","10"]]},"page":"1782-91","title":"Lenalidomide maintenance after stem-cell transplantation for multiple myeloma.","type":"article-journal","volume":"366"},"uris":["http://www.mendeley.com/documents/?uuid=6be4d464-cfba-39bf-8c28-bf32bf63774c"]},{"id":"ITEM-3","itemData":{"DOI":"10.1056/NEJMoa1402888","ISSN":"1533-4406","PMID":"25184862","abstract":"BACKGROUND This open-label, randomized, phase 3 study compared melphalan at a dose of 200 mg per square meter of body-surface area plus autologous stem-cell transplantation with melphalan-prednisone-lenalidomide (MPR) and compared lenalidomide maintenance therapy with no maintenance therapy in patients with newly diagnosed multiple myeloma. METHODS We randomly assigned 273 patients 65 years of age or younger to high-dose melphalan plus stem-cell transplantation or MPR consolidation therapy after induction, and 251 patients to lenalidomide maintenance therapy or no maintenance therapy. The primary end point was progression-free survival. RESULTS The median follow-up period was 51.2 months. Both progression-free and overall survival were significantly longer with high-dose melphalan plus stem-cell transplantation than with MPR (median progression-free survival, 43.0 months vs. 22.4 months; hazard ratio for progression or death, 0.44; 95% confidence interval [CI], 0.32 to 0.61; P&lt;0.001; and 4-year overall survival, 81.6% vs. 65.3%; hazard ratio for death, 0.55; 95% CI, 0.32 to 0.93; P=0.02). Median progression-free survival was significantly longer with lenalidomide maintenance than with no maintenance (41.9 months vs. 21.6 months; hazard ratio for progression or death, 0.47; 95% CI, 0.33 to 0.65; P&lt;0.001), but 3-year overall survival was not significantly prolonged (88.0% vs. 79.2%; hazard ratio for death, 0.64; 95% CI, 0.36 to 1.15; P=0.14). Grade 3 or 4 neutropenia was significantly more frequent with high-dose melphalan than with MPR (94.3% vs. 51.5%), as were gastrointestinal adverse events (18.4% vs. 0%) and infections (16.3% vs. 0.8%); neutropenia and dermatologic toxic effects were more frequent with lenalidomide maintenance than with no maintenance (23.3% vs. 0% and 4.3% vs. 0%, respectively). CONCLUSIONS Consolidation therapy with high-dose melphalan plus stem-cell transplantation, as compared with MPR, significantly prolonged progression-free and overall survival among patients with multiple myeloma who were 65 years of age or younger. Lenalidomide maintenance, as compared with no maintenance, significantly prolonged progression-free survival. (Funded by Celgene; ClinicalTrials.gov number, NCT00551928.).","author":[{"dropping-particle":"","family":"Palumbo","given":"Antonio","non-dropping-particle":"","parse-names":false,"suffix":""},{"dropping-particle":"","family":"Cavallo","given":"Federica","non-dropping-particle":"","parse-names":false,"suffix":""},{"dropping-particle":"","family":"Gay","given":"Francesca","non-dropping-particle":"","parse-names":false,"suffix":""},{"dropping-particle":"","family":"Raimondo","given":"Francesco","non-dropping-particle":"Di","parse-names":false,"suffix":""},{"dropping-particle":"","family":"Yehuda","given":"Dina","non-dropping-particle":"Ben","parse-names":false,"suffix":""},{"dropping-particle":"","family":"Petrucci","given":"Maria Teresa","non-dropping-particle":"","parse-names":false,"suffix":""},{"dropping-particle":"","family":"Pezzatti","given":"Sara","non-dropping-particle":"","parse-names":false,"suffix":""},{"dropping-particle":"","family":"Caravita","given":"Tommaso","non-dropping-particle":"","parse-names":false,"suffix":""},{"dropping-particle":"","family":"Cerrato","given":"Chiara","non-dropping-particle":"","parse-names":false,"suffix":""},{"dropping-particle":"","family":"Ribakovsky","given":"Elena","non-dropping-particle":"","parse-names":false,"suffix":""},{"dropping-particle":"","family":"Genuardi","given":"Mariella","non-dropping-particle":"","parse-names":false,"suffix":""},{"dropping-particle":"","family":"Cafro","given":"Anna","non-dropping-particle":"","parse-names":false,"suffix":""},{"dropping-particle":"","family":"Marcatti","given":"Magda","non-dropping-particle":"","parse-names":false,"suffix":""},{"dropping-particle":"","family":"Catalano","given":"Lucio","non-dropping-particle":"","parse-names":false,"suffix":""},{"dropping-particle":"","family":"Offidani","given":"Massimo","non-dropping-particle":"","parse-names":false,"suffix":""},{"dropping-particle":"","family":"Carella","given":"Angelo Michele","non-dropping-particle":"","parse-names":false,"suffix":""},{"dropping-particle":"","family":"Zamagni","given":"Elena","non-dropping-particle":"","parse-names":false,"suffix":""},{"dropping-particle":"","family":"Patriarca","given":"Francesca","non-dropping-particle":"","parse-names":false,"suffix":""},{"dropping-particle":"","family":"Musto","given":"Pellegrino","non-dropping-particle":"","parse-names":false,"suffix":""},{"dropping-particle":"","family":"Evangelista","given":"Andrea","non-dropping-particle":"","parse-names":false,"suffix":""},{"dropping-particle":"","family":"Ciccone","given":"Giovannino","non-dropping-particle":"","parse-names":false,"suffix":""},{"dropping-particle":"","family":"Omedé","given":"Paola","non-dropping-particle":"","parse-names":false,"suffix":""},{"dropping-particle":"","family":"Crippa","given":"Claudia","non-dropping-particle":"","parse-names":false,"suffix":""},{"dropping-particle":"","family":"Corradini","given":"Paolo","non-dropping-particle":"","parse-names":false,"suffix":""},{"dropping-particle":"","family":"Nagler","given":"Arnon","non-dropping-particle":"","parse-names":false,"suffix":""},{"dropping-particle":"","family":"Boccadoro","given":"Mario","non-dropping-particle":"","parse-names":false,"suffix":""},{"dropping-particle":"","family":"Cavo","given":"Michele","non-dropping-particle":"","parse-names":false,"suffix":""}],"container-title":"The New England journal of medicine","id":"ITEM-3","issue":"10","issued":{"date-parts":[["2014","9","4"]]},"page":"895-905","title":"Autologous transplantation and maintenance therapy in multiple myeloma.","type":"article-journal","volume":"371"},"uris":["http://www.mendeley.com/documents/?uuid=e38e0242-874a-3bde-82eb-18ad616fe08e"]}],"mendeley":{"formattedCitation":"[57–59]","plainTextFormattedCitation":"[57–59]","previouslyFormattedCitation":"[57–59]"},"properties":{"noteIndex":0},"schema":"https://github.com/citation-style-language/schema/raw/master/csl-citation.json"}</w:instrText>
      </w:r>
      <w:r w:rsidR="00A96FB6" w:rsidRPr="00805C9F">
        <w:rPr>
          <w:szCs w:val="24"/>
        </w:rPr>
        <w:fldChar w:fldCharType="separate"/>
      </w:r>
      <w:r w:rsidR="00E03159" w:rsidRPr="00805C9F">
        <w:rPr>
          <w:noProof/>
          <w:szCs w:val="24"/>
        </w:rPr>
        <w:t>[57–59]</w:t>
      </w:r>
      <w:r w:rsidR="00A96FB6" w:rsidRPr="00805C9F">
        <w:rPr>
          <w:szCs w:val="24"/>
        </w:rPr>
        <w:fldChar w:fldCharType="end"/>
      </w:r>
      <w:r w:rsidRPr="00805C9F">
        <w:rPr>
          <w:szCs w:val="24"/>
        </w:rPr>
        <w:t>.</w:t>
      </w:r>
    </w:p>
    <w:p w14:paraId="39638854" w14:textId="77777777" w:rsidR="008434FF" w:rsidRPr="00805C9F" w:rsidRDefault="008434FF" w:rsidP="00092917">
      <w:pPr>
        <w:pStyle w:val="a6"/>
        <w:spacing w:before="0" w:after="0"/>
        <w:ind w:left="0"/>
        <w:rPr>
          <w:b/>
          <w:szCs w:val="24"/>
        </w:rPr>
      </w:pPr>
      <w:r w:rsidRPr="00805C9F">
        <w:rPr>
          <w:b/>
          <w:szCs w:val="24"/>
        </w:rPr>
        <w:t xml:space="preserve">Уровень убедительности рекомендаций </w:t>
      </w:r>
      <w:r w:rsidR="003C3A69" w:rsidRPr="00805C9F">
        <w:rPr>
          <w:b/>
          <w:szCs w:val="24"/>
        </w:rPr>
        <w:t xml:space="preserve">− </w:t>
      </w:r>
      <w:r w:rsidR="001A0F52" w:rsidRPr="00805C9F">
        <w:rPr>
          <w:b/>
          <w:szCs w:val="24"/>
          <w:lang w:val="en-US"/>
        </w:rPr>
        <w:t>A</w:t>
      </w:r>
      <w:r w:rsidR="00BA44DC" w:rsidRPr="00805C9F">
        <w:rPr>
          <w:b/>
          <w:szCs w:val="24"/>
        </w:rPr>
        <w:t xml:space="preserve"> </w:t>
      </w:r>
      <w:r w:rsidRPr="00805C9F">
        <w:rPr>
          <w:b/>
          <w:szCs w:val="24"/>
        </w:rPr>
        <w:t>(уровень достоверности доказательств</w:t>
      </w:r>
      <w:r w:rsidR="003F5F1F" w:rsidRPr="00805C9F">
        <w:rPr>
          <w:b/>
          <w:szCs w:val="24"/>
        </w:rPr>
        <w:t xml:space="preserve"> </w:t>
      </w:r>
      <w:r w:rsidR="003C3A69" w:rsidRPr="00805C9F">
        <w:rPr>
          <w:b/>
          <w:szCs w:val="24"/>
        </w:rPr>
        <w:t xml:space="preserve">− </w:t>
      </w:r>
      <w:r w:rsidR="006E390F" w:rsidRPr="00805C9F">
        <w:rPr>
          <w:b/>
          <w:szCs w:val="24"/>
        </w:rPr>
        <w:t>2</w:t>
      </w:r>
      <w:r w:rsidRPr="00805C9F">
        <w:rPr>
          <w:b/>
          <w:szCs w:val="24"/>
        </w:rPr>
        <w:t>)</w:t>
      </w:r>
    </w:p>
    <w:p w14:paraId="3A71CACB" w14:textId="77777777" w:rsidR="008434FF" w:rsidRPr="00805C9F" w:rsidRDefault="008434FF" w:rsidP="00092917">
      <w:pPr>
        <w:spacing w:before="0" w:after="0"/>
        <w:contextualSpacing/>
        <w:rPr>
          <w:i/>
          <w:szCs w:val="24"/>
        </w:rPr>
      </w:pPr>
      <w:r w:rsidRPr="00805C9F">
        <w:rPr>
          <w:b/>
          <w:szCs w:val="24"/>
        </w:rPr>
        <w:t>Комментарий:</w:t>
      </w:r>
      <w:r w:rsidR="00BA44DC" w:rsidRPr="00805C9F">
        <w:rPr>
          <w:b/>
          <w:szCs w:val="24"/>
        </w:rPr>
        <w:t xml:space="preserve"> </w:t>
      </w:r>
      <w:r w:rsidR="003C3A69" w:rsidRPr="00805C9F">
        <w:rPr>
          <w:i/>
          <w:szCs w:val="24"/>
        </w:rPr>
        <w:t>р</w:t>
      </w:r>
      <w:r w:rsidRPr="00805C9F">
        <w:rPr>
          <w:i/>
          <w:szCs w:val="24"/>
        </w:rPr>
        <w:t>оль поддерживающей терапии леналидомидом</w:t>
      </w:r>
      <w:r w:rsidR="00141689" w:rsidRPr="00805C9F">
        <w:rPr>
          <w:i/>
          <w:szCs w:val="24"/>
        </w:rPr>
        <w:t>**</w:t>
      </w:r>
      <w:r w:rsidRPr="00805C9F">
        <w:rPr>
          <w:i/>
          <w:szCs w:val="24"/>
        </w:rPr>
        <w:t xml:space="preserve"> после ауто</w:t>
      </w:r>
      <w:r w:rsidR="00267DE2" w:rsidRPr="00805C9F">
        <w:rPr>
          <w:i/>
          <w:szCs w:val="24"/>
        </w:rPr>
        <w:t>-</w:t>
      </w:r>
      <w:r w:rsidRPr="00805C9F">
        <w:rPr>
          <w:i/>
          <w:szCs w:val="24"/>
        </w:rPr>
        <w:t>ТГСК оценена в 3 кр</w:t>
      </w:r>
      <w:r w:rsidR="003C3A69" w:rsidRPr="00805C9F">
        <w:rPr>
          <w:i/>
          <w:szCs w:val="24"/>
        </w:rPr>
        <w:t>упных рандомизированных плацебо</w:t>
      </w:r>
      <w:r w:rsidRPr="00805C9F">
        <w:rPr>
          <w:i/>
          <w:szCs w:val="24"/>
        </w:rPr>
        <w:t>контролируемых исследованиях. Во всех исследованиях медиана длительности поддерживающей терапии леналидомидом</w:t>
      </w:r>
      <w:r w:rsidR="00FF0C02" w:rsidRPr="00805C9F">
        <w:rPr>
          <w:i/>
          <w:szCs w:val="24"/>
        </w:rPr>
        <w:t>**</w:t>
      </w:r>
      <w:r w:rsidRPr="00805C9F">
        <w:rPr>
          <w:i/>
          <w:szCs w:val="24"/>
        </w:rPr>
        <w:t xml:space="preserve"> составила 1</w:t>
      </w:r>
      <w:r w:rsidR="003C3A69" w:rsidRPr="00805C9F">
        <w:rPr>
          <w:i/>
          <w:szCs w:val="24"/>
        </w:rPr>
        <w:t>−</w:t>
      </w:r>
      <w:r w:rsidRPr="00805C9F">
        <w:rPr>
          <w:i/>
          <w:szCs w:val="24"/>
        </w:rPr>
        <w:t xml:space="preserve">2 года. </w:t>
      </w:r>
    </w:p>
    <w:p w14:paraId="3A7DA424" w14:textId="77777777" w:rsidR="008434FF" w:rsidRPr="00805C9F" w:rsidRDefault="008434FF" w:rsidP="00092917">
      <w:pPr>
        <w:spacing w:before="0" w:after="0"/>
        <w:ind w:firstLine="567"/>
        <w:contextualSpacing/>
        <w:rPr>
          <w:i/>
          <w:szCs w:val="24"/>
        </w:rPr>
      </w:pPr>
      <w:r w:rsidRPr="00805C9F">
        <w:rPr>
          <w:i/>
          <w:szCs w:val="24"/>
        </w:rPr>
        <w:t>При оценке эффективности поддерживающей терапии леналидомидом</w:t>
      </w:r>
      <w:r w:rsidR="001A0F52" w:rsidRPr="00805C9F">
        <w:rPr>
          <w:i/>
          <w:szCs w:val="24"/>
        </w:rPr>
        <w:t>**</w:t>
      </w:r>
      <w:r w:rsidRPr="00805C9F">
        <w:rPr>
          <w:i/>
          <w:szCs w:val="24"/>
        </w:rPr>
        <w:t xml:space="preserve"> по сравнению с плацебо был</w:t>
      </w:r>
      <w:r w:rsidR="003C3A69" w:rsidRPr="00805C9F">
        <w:rPr>
          <w:i/>
          <w:szCs w:val="24"/>
        </w:rPr>
        <w:t>и</w:t>
      </w:r>
      <w:r w:rsidRPr="00805C9F">
        <w:rPr>
          <w:i/>
          <w:szCs w:val="24"/>
        </w:rPr>
        <w:t xml:space="preserve"> показан</w:t>
      </w:r>
      <w:r w:rsidR="003C3A69" w:rsidRPr="00805C9F">
        <w:rPr>
          <w:i/>
          <w:szCs w:val="24"/>
        </w:rPr>
        <w:t>ы</w:t>
      </w:r>
      <w:r w:rsidRPr="00805C9F">
        <w:rPr>
          <w:i/>
          <w:szCs w:val="24"/>
        </w:rPr>
        <w:t xml:space="preserve"> удвоение ВБП, снижение риска прогрессирования заболевания на 50</w:t>
      </w:r>
      <w:r w:rsidR="003C3A69" w:rsidRPr="00805C9F">
        <w:rPr>
          <w:i/>
          <w:szCs w:val="24"/>
        </w:rPr>
        <w:t> </w:t>
      </w:r>
      <w:r w:rsidRPr="00805C9F">
        <w:rPr>
          <w:i/>
          <w:szCs w:val="24"/>
        </w:rPr>
        <w:t>%, а исследование CALGB 100104 подтвердило улучшение показателей ОВ. Поддерживающая терапия леналидомидом</w:t>
      </w:r>
      <w:r w:rsidR="001A0F52" w:rsidRPr="00805C9F">
        <w:rPr>
          <w:i/>
          <w:szCs w:val="24"/>
        </w:rPr>
        <w:t>**</w:t>
      </w:r>
      <w:r w:rsidRPr="00805C9F">
        <w:rPr>
          <w:i/>
          <w:szCs w:val="24"/>
        </w:rPr>
        <w:t xml:space="preserve"> сопровождается удовлетворительной переносимостью с умеренной гематологической токсичностью без увеличения случаев нейротоксических, тромботических и инфекционных осложнений. Однако вероятность возникновения вторых опухолей на фоне длительного приема леналидомида</w:t>
      </w:r>
      <w:r w:rsidR="001A0F52" w:rsidRPr="00805C9F">
        <w:rPr>
          <w:i/>
          <w:szCs w:val="24"/>
        </w:rPr>
        <w:t>**</w:t>
      </w:r>
      <w:r w:rsidRPr="00805C9F">
        <w:rPr>
          <w:i/>
          <w:szCs w:val="24"/>
        </w:rPr>
        <w:t xml:space="preserve"> заставляет врачей и пациентов взвешивать достоинства поддерживающей терапии леналидомидом</w:t>
      </w:r>
      <w:r w:rsidR="001A0F52" w:rsidRPr="00805C9F">
        <w:rPr>
          <w:i/>
          <w:szCs w:val="24"/>
        </w:rPr>
        <w:t>**</w:t>
      </w:r>
      <w:r w:rsidRPr="00805C9F">
        <w:rPr>
          <w:i/>
          <w:szCs w:val="24"/>
        </w:rPr>
        <w:t xml:space="preserve"> по отношению к низкому, но все же имеющему значени</w:t>
      </w:r>
      <w:r w:rsidR="00455BDD" w:rsidRPr="00805C9F">
        <w:rPr>
          <w:i/>
          <w:szCs w:val="24"/>
        </w:rPr>
        <w:t>е риску вторых опухолей. В мета</w:t>
      </w:r>
      <w:r w:rsidRPr="00805C9F">
        <w:rPr>
          <w:i/>
          <w:szCs w:val="24"/>
        </w:rPr>
        <w:t>анализе всех рандомизированных исследований, сравнивающих леналидомид</w:t>
      </w:r>
      <w:r w:rsidR="002635F5" w:rsidRPr="00805C9F">
        <w:rPr>
          <w:i/>
          <w:szCs w:val="24"/>
        </w:rPr>
        <w:t>**</w:t>
      </w:r>
      <w:r w:rsidRPr="00805C9F">
        <w:rPr>
          <w:i/>
          <w:szCs w:val="24"/>
        </w:rPr>
        <w:t xml:space="preserve"> с плацебо, который был представлен на конгрессе ASCO 2016, </w:t>
      </w:r>
      <w:r w:rsidR="00455BDD" w:rsidRPr="00805C9F">
        <w:rPr>
          <w:i/>
          <w:szCs w:val="24"/>
        </w:rPr>
        <w:t xml:space="preserve">M. </w:t>
      </w:r>
      <w:r w:rsidRPr="00805C9F">
        <w:rPr>
          <w:i/>
          <w:szCs w:val="24"/>
        </w:rPr>
        <w:t xml:space="preserve">Attal и </w:t>
      </w:r>
      <w:r w:rsidR="00455BDD" w:rsidRPr="00805C9F">
        <w:rPr>
          <w:i/>
          <w:szCs w:val="24"/>
        </w:rPr>
        <w:t>соавт.</w:t>
      </w:r>
      <w:r w:rsidRPr="00805C9F">
        <w:rPr>
          <w:i/>
          <w:szCs w:val="24"/>
        </w:rPr>
        <w:t xml:space="preserve"> показали, что использование поддерживающей терапии леналидомидом</w:t>
      </w:r>
      <w:r w:rsidR="001A0F52" w:rsidRPr="00805C9F">
        <w:rPr>
          <w:i/>
          <w:szCs w:val="24"/>
        </w:rPr>
        <w:t>**</w:t>
      </w:r>
      <w:r w:rsidRPr="00805C9F">
        <w:rPr>
          <w:i/>
          <w:szCs w:val="24"/>
        </w:rPr>
        <w:t xml:space="preserve"> после ауто</w:t>
      </w:r>
      <w:r w:rsidR="00267DE2" w:rsidRPr="00805C9F">
        <w:rPr>
          <w:i/>
          <w:szCs w:val="24"/>
        </w:rPr>
        <w:t>-</w:t>
      </w:r>
      <w:r w:rsidRPr="00805C9F">
        <w:rPr>
          <w:i/>
          <w:szCs w:val="24"/>
        </w:rPr>
        <w:t>ТГСК имело 2,5-летнее преимущество над плацебо, и это преимущество превышало риск развития вторых опухолей.</w:t>
      </w:r>
    </w:p>
    <w:p w14:paraId="010EBD1E" w14:textId="77777777" w:rsidR="008434FF" w:rsidRPr="00805C9F" w:rsidRDefault="008434FF" w:rsidP="00092917">
      <w:pPr>
        <w:spacing w:before="0" w:after="0"/>
        <w:ind w:firstLine="567"/>
        <w:contextualSpacing/>
        <w:rPr>
          <w:i/>
          <w:szCs w:val="24"/>
        </w:rPr>
      </w:pPr>
      <w:r w:rsidRPr="00805C9F">
        <w:rPr>
          <w:i/>
          <w:szCs w:val="24"/>
        </w:rPr>
        <w:t>После ауто</w:t>
      </w:r>
      <w:r w:rsidR="00267DE2" w:rsidRPr="00805C9F">
        <w:rPr>
          <w:i/>
          <w:szCs w:val="24"/>
        </w:rPr>
        <w:t>-</w:t>
      </w:r>
      <w:r w:rsidRPr="00805C9F">
        <w:rPr>
          <w:i/>
          <w:szCs w:val="24"/>
        </w:rPr>
        <w:t>ТГСК поддерживающую терапию рекомендуется назначать через 90</w:t>
      </w:r>
      <w:r w:rsidR="00455BDD" w:rsidRPr="00805C9F">
        <w:rPr>
          <w:i/>
          <w:szCs w:val="24"/>
        </w:rPr>
        <w:t>−</w:t>
      </w:r>
      <w:r w:rsidRPr="00805C9F">
        <w:rPr>
          <w:i/>
          <w:szCs w:val="24"/>
        </w:rPr>
        <w:t xml:space="preserve">100 дней после переливания стволовых клеток. Предварительно </w:t>
      </w:r>
      <w:r w:rsidR="006E7B15" w:rsidRPr="00805C9F">
        <w:rPr>
          <w:i/>
          <w:szCs w:val="24"/>
        </w:rPr>
        <w:t>проводится обследование пациента</w:t>
      </w:r>
      <w:r w:rsidRPr="00805C9F">
        <w:rPr>
          <w:i/>
          <w:szCs w:val="24"/>
        </w:rPr>
        <w:t xml:space="preserve"> для подтверждения сохраняющегося противоопухолевого ответа и отсутствия прогрессирования заболевания.</w:t>
      </w:r>
    </w:p>
    <w:p w14:paraId="2D79D8AE" w14:textId="77777777" w:rsidR="008434FF" w:rsidRPr="00805C9F" w:rsidRDefault="008434FF" w:rsidP="00092917">
      <w:pPr>
        <w:spacing w:before="0" w:after="0"/>
        <w:ind w:firstLine="567"/>
        <w:contextualSpacing/>
        <w:rPr>
          <w:i/>
          <w:szCs w:val="24"/>
        </w:rPr>
      </w:pPr>
      <w:r w:rsidRPr="00805C9F">
        <w:rPr>
          <w:i/>
          <w:szCs w:val="24"/>
        </w:rPr>
        <w:t xml:space="preserve">В центрах, где есть возможность проводить иммунофенотипирование или секвенирование нового поколения клеток костного мозга, целесообразно выполнять мониторинг МОБ у </w:t>
      </w:r>
      <w:r w:rsidR="00FB03BB" w:rsidRPr="00805C9F">
        <w:rPr>
          <w:i/>
          <w:szCs w:val="24"/>
        </w:rPr>
        <w:t>пациентов</w:t>
      </w:r>
      <w:r w:rsidRPr="00805C9F">
        <w:rPr>
          <w:i/>
          <w:szCs w:val="24"/>
        </w:rPr>
        <w:t xml:space="preserve">, достигших </w:t>
      </w:r>
      <w:r w:rsidR="00593735" w:rsidRPr="00805C9F">
        <w:rPr>
          <w:i/>
          <w:szCs w:val="24"/>
        </w:rPr>
        <w:t>ПР</w:t>
      </w:r>
      <w:r w:rsidRPr="00805C9F">
        <w:rPr>
          <w:i/>
          <w:szCs w:val="24"/>
        </w:rPr>
        <w:t>. Возможно, именно результаты МОБ повлияют на тактику посттрансплантационной терапии.</w:t>
      </w:r>
    </w:p>
    <w:p w14:paraId="367A4834" w14:textId="77777777" w:rsidR="001E61D5" w:rsidRPr="00805C9F" w:rsidRDefault="001E61D5" w:rsidP="00092917">
      <w:pPr>
        <w:pStyle w:val="2"/>
        <w:spacing w:before="0" w:after="0"/>
        <w:rPr>
          <w:szCs w:val="24"/>
        </w:rPr>
      </w:pPr>
      <w:bookmarkStart w:id="33" w:name="_Toc97734631"/>
      <w:r w:rsidRPr="00805C9F">
        <w:rPr>
          <w:szCs w:val="24"/>
        </w:rPr>
        <w:t>3.4 Лечение рецидивов ММ</w:t>
      </w:r>
      <w:bookmarkEnd w:id="33"/>
    </w:p>
    <w:p w14:paraId="0C30D2B1" w14:textId="404174C2" w:rsidR="001E61D5" w:rsidRPr="00805C9F" w:rsidRDefault="001E61D5" w:rsidP="00092917">
      <w:pPr>
        <w:spacing w:before="0" w:after="0"/>
        <w:contextualSpacing/>
        <w:rPr>
          <w:szCs w:val="24"/>
        </w:rPr>
      </w:pPr>
      <w:r w:rsidRPr="00805C9F">
        <w:rPr>
          <w:i/>
          <w:szCs w:val="24"/>
        </w:rPr>
        <w:t>Ре</w:t>
      </w:r>
      <w:r w:rsidR="00FF0C02" w:rsidRPr="00805C9F">
        <w:rPr>
          <w:i/>
          <w:szCs w:val="24"/>
        </w:rPr>
        <w:t>цидивы при ММ</w:t>
      </w:r>
      <w:r w:rsidRPr="00805C9F">
        <w:rPr>
          <w:i/>
          <w:szCs w:val="24"/>
        </w:rPr>
        <w:t xml:space="preserve"> неизбежно наступают у большинства </w:t>
      </w:r>
      <w:r w:rsidR="00FB03BB" w:rsidRPr="00805C9F">
        <w:rPr>
          <w:i/>
          <w:szCs w:val="24"/>
        </w:rPr>
        <w:t>пациентов</w:t>
      </w:r>
      <w:r w:rsidRPr="00805C9F">
        <w:rPr>
          <w:i/>
          <w:szCs w:val="24"/>
        </w:rPr>
        <w:t xml:space="preserve">. Выбор программы лечения рецидивов зависит от эффективности предшествующей терапии, длительности ремиссии, состояния и возраста пациента, сопутствующей патологии и осложнений, </w:t>
      </w:r>
      <w:r w:rsidRPr="00805C9F">
        <w:rPr>
          <w:i/>
          <w:szCs w:val="24"/>
        </w:rPr>
        <w:lastRenderedPageBreak/>
        <w:t xml:space="preserve">сопровождавших первоначальную терапию. </w:t>
      </w:r>
      <w:r w:rsidR="006F2E42" w:rsidRPr="00805C9F">
        <w:rPr>
          <w:i/>
          <w:szCs w:val="24"/>
        </w:rPr>
        <w:t xml:space="preserve">При поздних рецидивах (спустя </w:t>
      </w:r>
      <w:r w:rsidRPr="00805C9F">
        <w:rPr>
          <w:i/>
          <w:szCs w:val="24"/>
        </w:rPr>
        <w:t>12 мес</w:t>
      </w:r>
      <w:r w:rsidR="00E778E9" w:rsidRPr="00805C9F">
        <w:rPr>
          <w:i/>
          <w:szCs w:val="24"/>
        </w:rPr>
        <w:t>.</w:t>
      </w:r>
      <w:r w:rsidRPr="00805C9F">
        <w:rPr>
          <w:i/>
          <w:szCs w:val="24"/>
        </w:rPr>
        <w:t xml:space="preserve"> после окончания предшествующего лечения) возможно возобновление первичной терапии. При ранних рецидивах и рефрактерной ММ необходима смена программы лечения с включением препаратов с другим механизмом действия. Повторную ВДХТ с ауто</w:t>
      </w:r>
      <w:r w:rsidR="00267DE2" w:rsidRPr="00805C9F">
        <w:rPr>
          <w:i/>
          <w:szCs w:val="24"/>
        </w:rPr>
        <w:t>-</w:t>
      </w:r>
      <w:r w:rsidRPr="00805C9F">
        <w:rPr>
          <w:i/>
          <w:szCs w:val="24"/>
        </w:rPr>
        <w:t xml:space="preserve">ТГСК при рецидиве целесообразно проводить только в тех случаях, когда ремиссия после первой </w:t>
      </w:r>
      <w:r w:rsidR="00CA66B5" w:rsidRPr="00805C9F">
        <w:rPr>
          <w:i/>
          <w:szCs w:val="24"/>
        </w:rPr>
        <w:t>ауто-ТГСК</w:t>
      </w:r>
      <w:r w:rsidRPr="00805C9F">
        <w:rPr>
          <w:i/>
          <w:szCs w:val="24"/>
        </w:rPr>
        <w:t xml:space="preserve"> продолжалась 2</w:t>
      </w:r>
      <w:r w:rsidR="000E2F93" w:rsidRPr="00805C9F">
        <w:rPr>
          <w:i/>
          <w:szCs w:val="24"/>
        </w:rPr>
        <w:t>−</w:t>
      </w:r>
      <w:r w:rsidRPr="00805C9F">
        <w:rPr>
          <w:i/>
          <w:szCs w:val="24"/>
        </w:rPr>
        <w:t>3 года.</w:t>
      </w:r>
    </w:p>
    <w:p w14:paraId="480F795C" w14:textId="18924246" w:rsidR="001E61D5" w:rsidRPr="00805C9F" w:rsidRDefault="00A473F6" w:rsidP="00092917">
      <w:pPr>
        <w:pStyle w:val="a6"/>
        <w:numPr>
          <w:ilvl w:val="0"/>
          <w:numId w:val="8"/>
        </w:numPr>
        <w:tabs>
          <w:tab w:val="clear" w:pos="348"/>
          <w:tab w:val="num" w:pos="709"/>
        </w:tabs>
        <w:spacing w:before="0" w:after="0"/>
        <w:ind w:left="0" w:firstLine="0"/>
        <w:rPr>
          <w:szCs w:val="24"/>
        </w:rPr>
      </w:pPr>
      <w:r w:rsidRPr="00805C9F">
        <w:rPr>
          <w:szCs w:val="24"/>
        </w:rPr>
        <w:t>Для пациентов</w:t>
      </w:r>
      <w:r w:rsidR="001E61D5" w:rsidRPr="00805C9F">
        <w:rPr>
          <w:szCs w:val="24"/>
        </w:rPr>
        <w:t xml:space="preserve"> ММ с иммунохимически</w:t>
      </w:r>
      <w:r w:rsidR="00033293" w:rsidRPr="00805C9F">
        <w:rPr>
          <w:szCs w:val="24"/>
        </w:rPr>
        <w:t>м рецидивом или прогрессией</w:t>
      </w:r>
      <w:r w:rsidR="001E61D5" w:rsidRPr="00805C9F">
        <w:rPr>
          <w:szCs w:val="24"/>
        </w:rPr>
        <w:t xml:space="preserve"> ММ, когда отмечается медленное нарастание уровня моноклонального белка при отсутствии клинических симптомов, </w:t>
      </w:r>
      <w:r w:rsidR="00FF0C02" w:rsidRPr="00805C9F">
        <w:rPr>
          <w:b/>
          <w:szCs w:val="24"/>
        </w:rPr>
        <w:t>рекомендуется</w:t>
      </w:r>
      <w:r w:rsidR="001E61D5" w:rsidRPr="00805C9F">
        <w:rPr>
          <w:szCs w:val="24"/>
        </w:rPr>
        <w:t xml:space="preserve"> выжидательная тактика</w:t>
      </w:r>
      <w:r w:rsidR="00D53F50" w:rsidRPr="00805C9F">
        <w:rPr>
          <w:szCs w:val="24"/>
        </w:rPr>
        <w:t xml:space="preserve"> до появления показаний к противорецидивной терапии (появление </w:t>
      </w:r>
      <w:r w:rsidR="00D53F50" w:rsidRPr="00805C9F">
        <w:rPr>
          <w:szCs w:val="24"/>
          <w:lang w:val="en-US"/>
        </w:rPr>
        <w:t>CRAB</w:t>
      </w:r>
      <w:r w:rsidR="00D53F50" w:rsidRPr="00805C9F">
        <w:rPr>
          <w:szCs w:val="24"/>
        </w:rPr>
        <w:t xml:space="preserve">-симптомов, быстрого нарастания М-градиента </w:t>
      </w:r>
      <w:r w:rsidR="000E2F93" w:rsidRPr="00805C9F">
        <w:rPr>
          <w:szCs w:val="24"/>
        </w:rPr>
        <w:t>−</w:t>
      </w:r>
      <w:r w:rsidR="00D53F50" w:rsidRPr="00805C9F">
        <w:rPr>
          <w:szCs w:val="24"/>
        </w:rPr>
        <w:t xml:space="preserve"> см. следующую рекомендацию)</w:t>
      </w:r>
      <w:r w:rsidR="00A25379" w:rsidRPr="00805C9F">
        <w:rPr>
          <w:szCs w:val="24"/>
        </w:rPr>
        <w:t xml:space="preserve"> </w:t>
      </w:r>
      <w:r w:rsidR="00A96FB6" w:rsidRPr="00805C9F">
        <w:rPr>
          <w:szCs w:val="24"/>
        </w:rPr>
        <w:fldChar w:fldCharType="begin" w:fldLock="1"/>
      </w:r>
      <w:r w:rsidR="00500F37">
        <w:rPr>
          <w:szCs w:val="24"/>
        </w:rP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805C9F">
        <w:rPr>
          <w:szCs w:val="24"/>
        </w:rPr>
        <w:fldChar w:fldCharType="separate"/>
      </w:r>
      <w:r w:rsidR="00E03159" w:rsidRPr="00805C9F">
        <w:rPr>
          <w:noProof/>
          <w:szCs w:val="24"/>
        </w:rPr>
        <w:t>[1]</w:t>
      </w:r>
      <w:r w:rsidR="00A96FB6" w:rsidRPr="00805C9F">
        <w:rPr>
          <w:szCs w:val="24"/>
        </w:rPr>
        <w:fldChar w:fldCharType="end"/>
      </w:r>
      <w:r w:rsidRPr="00805C9F">
        <w:rPr>
          <w:szCs w:val="24"/>
        </w:rPr>
        <w:t>.</w:t>
      </w:r>
    </w:p>
    <w:p w14:paraId="14AFACF2" w14:textId="77777777" w:rsidR="001E61D5" w:rsidRPr="00805C9F" w:rsidRDefault="001E61D5" w:rsidP="00092917">
      <w:pPr>
        <w:pStyle w:val="a6"/>
        <w:spacing w:before="0" w:after="0"/>
        <w:ind w:left="0"/>
        <w:rPr>
          <w:b/>
          <w:szCs w:val="24"/>
        </w:rPr>
      </w:pPr>
      <w:r w:rsidRPr="00805C9F">
        <w:rPr>
          <w:b/>
          <w:szCs w:val="24"/>
        </w:rPr>
        <w:t xml:space="preserve">Уровень убедительности рекомендаций </w:t>
      </w:r>
      <w:r w:rsidR="000E2F93" w:rsidRPr="00805C9F">
        <w:rPr>
          <w:b/>
          <w:szCs w:val="24"/>
        </w:rPr>
        <w:t xml:space="preserve">− </w:t>
      </w:r>
      <w:r w:rsidR="00A473F6" w:rsidRPr="00805C9F">
        <w:rPr>
          <w:b/>
          <w:szCs w:val="24"/>
          <w:lang w:val="en-US"/>
        </w:rPr>
        <w:t>C</w:t>
      </w:r>
      <w:r w:rsidR="00A25379" w:rsidRPr="00805C9F">
        <w:rPr>
          <w:b/>
          <w:szCs w:val="24"/>
        </w:rPr>
        <w:t xml:space="preserve"> </w:t>
      </w:r>
      <w:r w:rsidRPr="00805C9F">
        <w:rPr>
          <w:b/>
          <w:szCs w:val="24"/>
        </w:rPr>
        <w:t>(уровень достоверности доказательств</w:t>
      </w:r>
      <w:r w:rsidR="00A25379" w:rsidRPr="00805C9F">
        <w:rPr>
          <w:b/>
          <w:szCs w:val="24"/>
        </w:rPr>
        <w:t xml:space="preserve"> </w:t>
      </w:r>
      <w:r w:rsidR="000E2F93" w:rsidRPr="00805C9F">
        <w:rPr>
          <w:b/>
          <w:szCs w:val="24"/>
        </w:rPr>
        <w:t xml:space="preserve">− </w:t>
      </w:r>
      <w:r w:rsidR="00A473F6" w:rsidRPr="00805C9F">
        <w:rPr>
          <w:b/>
          <w:szCs w:val="24"/>
        </w:rPr>
        <w:t>5</w:t>
      </w:r>
      <w:r w:rsidRPr="00805C9F">
        <w:rPr>
          <w:b/>
          <w:szCs w:val="24"/>
        </w:rPr>
        <w:t>)</w:t>
      </w:r>
    </w:p>
    <w:p w14:paraId="328A7052" w14:textId="4867DE95" w:rsidR="00DB7A27" w:rsidRPr="00805C9F" w:rsidRDefault="00DB7A27" w:rsidP="00092917">
      <w:pPr>
        <w:pStyle w:val="a6"/>
        <w:numPr>
          <w:ilvl w:val="0"/>
          <w:numId w:val="8"/>
        </w:numPr>
        <w:tabs>
          <w:tab w:val="clear" w:pos="348"/>
          <w:tab w:val="num" w:pos="709"/>
        </w:tabs>
        <w:spacing w:before="0" w:after="0"/>
        <w:ind w:left="0" w:firstLine="0"/>
        <w:rPr>
          <w:szCs w:val="24"/>
        </w:rPr>
      </w:pPr>
      <w:r w:rsidRPr="00805C9F">
        <w:rPr>
          <w:szCs w:val="24"/>
        </w:rPr>
        <w:t>Пациентам с признаками клинического рецидива, а также при быстром нарастании парапротеина (удвоение содержания М-градиента в течение 2 мес</w:t>
      </w:r>
      <w:r w:rsidR="00E778E9" w:rsidRPr="00805C9F">
        <w:rPr>
          <w:szCs w:val="24"/>
        </w:rPr>
        <w:t>.</w:t>
      </w:r>
      <w:r w:rsidR="00033293" w:rsidRPr="00805C9F">
        <w:rPr>
          <w:szCs w:val="24"/>
        </w:rPr>
        <w:t>)</w:t>
      </w:r>
      <w:r w:rsidR="00A25379" w:rsidRPr="00805C9F">
        <w:rPr>
          <w:szCs w:val="24"/>
        </w:rPr>
        <w:t xml:space="preserve"> </w:t>
      </w:r>
      <w:r w:rsidR="00FF0C02" w:rsidRPr="00805C9F">
        <w:rPr>
          <w:b/>
          <w:szCs w:val="24"/>
        </w:rPr>
        <w:t>рекомендуется</w:t>
      </w:r>
      <w:r w:rsidR="00A25379" w:rsidRPr="00805C9F">
        <w:rPr>
          <w:b/>
          <w:szCs w:val="24"/>
        </w:rPr>
        <w:t xml:space="preserve"> </w:t>
      </w:r>
      <w:r w:rsidRPr="00805C9F">
        <w:rPr>
          <w:szCs w:val="24"/>
        </w:rPr>
        <w:t>противорецидивная терапия</w:t>
      </w:r>
      <w:r w:rsidR="00A25379" w:rsidRPr="00805C9F">
        <w:rPr>
          <w:szCs w:val="24"/>
        </w:rPr>
        <w:t xml:space="preserve"> </w:t>
      </w:r>
      <w:r w:rsidR="00A96FB6" w:rsidRPr="00805C9F">
        <w:rPr>
          <w:szCs w:val="24"/>
        </w:rPr>
        <w:fldChar w:fldCharType="begin" w:fldLock="1"/>
      </w:r>
      <w:r w:rsidR="00500F37">
        <w:rPr>
          <w:szCs w:val="24"/>
        </w:rP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805C9F">
        <w:rPr>
          <w:szCs w:val="24"/>
        </w:rPr>
        <w:fldChar w:fldCharType="separate"/>
      </w:r>
      <w:r w:rsidR="00E03159" w:rsidRPr="00805C9F">
        <w:rPr>
          <w:noProof/>
          <w:szCs w:val="24"/>
        </w:rPr>
        <w:t>[1]</w:t>
      </w:r>
      <w:r w:rsidR="00A96FB6" w:rsidRPr="00805C9F">
        <w:rPr>
          <w:szCs w:val="24"/>
        </w:rPr>
        <w:fldChar w:fldCharType="end"/>
      </w:r>
      <w:r w:rsidR="00141689" w:rsidRPr="00805C9F">
        <w:rPr>
          <w:szCs w:val="24"/>
        </w:rPr>
        <w:t>.</w:t>
      </w:r>
    </w:p>
    <w:p w14:paraId="0403BA4E" w14:textId="77777777" w:rsidR="00DB7A27" w:rsidRPr="00805C9F" w:rsidRDefault="00DB7A27" w:rsidP="00092917">
      <w:pPr>
        <w:spacing w:before="0" w:after="0"/>
        <w:contextualSpacing/>
        <w:rPr>
          <w:b/>
          <w:szCs w:val="24"/>
        </w:rPr>
      </w:pPr>
      <w:r w:rsidRPr="00805C9F">
        <w:rPr>
          <w:b/>
          <w:szCs w:val="24"/>
        </w:rPr>
        <w:t xml:space="preserve">Уровень убедительности рекомендаций </w:t>
      </w:r>
      <w:r w:rsidR="000E2F93" w:rsidRPr="00805C9F">
        <w:rPr>
          <w:b/>
          <w:szCs w:val="24"/>
        </w:rPr>
        <w:t xml:space="preserve">− </w:t>
      </w:r>
      <w:r w:rsidR="00A473F6" w:rsidRPr="00805C9F">
        <w:rPr>
          <w:b/>
          <w:szCs w:val="24"/>
          <w:lang w:val="en-US"/>
        </w:rPr>
        <w:t>C</w:t>
      </w:r>
      <w:r w:rsidR="00A25379" w:rsidRPr="00805C9F">
        <w:rPr>
          <w:b/>
          <w:szCs w:val="24"/>
        </w:rPr>
        <w:t xml:space="preserve"> </w:t>
      </w:r>
      <w:r w:rsidRPr="00805C9F">
        <w:rPr>
          <w:b/>
          <w:szCs w:val="24"/>
        </w:rPr>
        <w:t>(уровень достоверности доказательств</w:t>
      </w:r>
      <w:r w:rsidR="00A473F6" w:rsidRPr="00805C9F">
        <w:rPr>
          <w:b/>
          <w:szCs w:val="24"/>
        </w:rPr>
        <w:t xml:space="preserve"> </w:t>
      </w:r>
      <w:r w:rsidR="000E2F93" w:rsidRPr="00805C9F">
        <w:rPr>
          <w:b/>
          <w:szCs w:val="24"/>
        </w:rPr>
        <w:t xml:space="preserve">− </w:t>
      </w:r>
      <w:r w:rsidR="00A473F6" w:rsidRPr="00805C9F">
        <w:rPr>
          <w:b/>
          <w:szCs w:val="24"/>
        </w:rPr>
        <w:t>5</w:t>
      </w:r>
      <w:r w:rsidRPr="00805C9F">
        <w:rPr>
          <w:b/>
          <w:szCs w:val="24"/>
        </w:rPr>
        <w:t>)</w:t>
      </w:r>
    </w:p>
    <w:p w14:paraId="1E0F04E0" w14:textId="77777777" w:rsidR="00DB7A27" w:rsidRPr="00805C9F" w:rsidRDefault="00DB7A27" w:rsidP="00092917">
      <w:pPr>
        <w:spacing w:before="0" w:after="0"/>
        <w:contextualSpacing/>
        <w:rPr>
          <w:i/>
          <w:szCs w:val="24"/>
        </w:rPr>
      </w:pPr>
      <w:r w:rsidRPr="00805C9F">
        <w:rPr>
          <w:b/>
          <w:szCs w:val="24"/>
        </w:rPr>
        <w:t xml:space="preserve">Комментарий: </w:t>
      </w:r>
      <w:r w:rsidR="000E2F93" w:rsidRPr="00805C9F">
        <w:rPr>
          <w:i/>
          <w:szCs w:val="24"/>
        </w:rPr>
        <w:t>п</w:t>
      </w:r>
      <w:r w:rsidRPr="00805C9F">
        <w:rPr>
          <w:i/>
          <w:szCs w:val="24"/>
        </w:rPr>
        <w:t xml:space="preserve">ризнаками клинического рецидива являются </w:t>
      </w:r>
      <w:r w:rsidRPr="00805C9F">
        <w:rPr>
          <w:i/>
          <w:szCs w:val="24"/>
          <w:lang w:val="en-US"/>
        </w:rPr>
        <w:t>CRAB</w:t>
      </w:r>
      <w:r w:rsidRPr="00805C9F">
        <w:rPr>
          <w:i/>
          <w:szCs w:val="24"/>
        </w:rPr>
        <w:t>-симптомы:</w:t>
      </w:r>
    </w:p>
    <w:p w14:paraId="413AC43D" w14:textId="77777777" w:rsidR="00DB7A27" w:rsidRPr="00805C9F" w:rsidRDefault="00DB7A27" w:rsidP="00092917">
      <w:pPr>
        <w:pStyle w:val="a6"/>
        <w:numPr>
          <w:ilvl w:val="0"/>
          <w:numId w:val="5"/>
        </w:numPr>
        <w:spacing w:before="0" w:after="0"/>
        <w:ind w:left="0" w:firstLine="0"/>
        <w:rPr>
          <w:i/>
          <w:szCs w:val="24"/>
        </w:rPr>
      </w:pPr>
      <w:r w:rsidRPr="00805C9F">
        <w:rPr>
          <w:i/>
          <w:szCs w:val="24"/>
        </w:rPr>
        <w:t>Гиперкальциемия (содержание кальция крови &gt;2,75 ммоль/л)</w:t>
      </w:r>
    </w:p>
    <w:p w14:paraId="06874137" w14:textId="77777777" w:rsidR="00DB7A27" w:rsidRPr="00805C9F" w:rsidRDefault="00DB7A27" w:rsidP="00092917">
      <w:pPr>
        <w:pStyle w:val="a6"/>
        <w:numPr>
          <w:ilvl w:val="0"/>
          <w:numId w:val="5"/>
        </w:numPr>
        <w:spacing w:before="0" w:after="0"/>
        <w:ind w:left="0" w:firstLine="0"/>
        <w:rPr>
          <w:i/>
          <w:szCs w:val="24"/>
        </w:rPr>
      </w:pPr>
      <w:r w:rsidRPr="00805C9F">
        <w:rPr>
          <w:i/>
          <w:szCs w:val="24"/>
        </w:rPr>
        <w:t>Почечная недостаточность, объясняемая миеломой</w:t>
      </w:r>
    </w:p>
    <w:p w14:paraId="0DDD816C" w14:textId="77777777" w:rsidR="00DB7A27" w:rsidRPr="00805C9F" w:rsidRDefault="00DB7A27" w:rsidP="00092917">
      <w:pPr>
        <w:pStyle w:val="a6"/>
        <w:numPr>
          <w:ilvl w:val="0"/>
          <w:numId w:val="5"/>
        </w:numPr>
        <w:spacing w:before="0" w:after="0"/>
        <w:ind w:left="0" w:firstLine="0"/>
        <w:rPr>
          <w:i/>
          <w:szCs w:val="24"/>
        </w:rPr>
      </w:pPr>
      <w:r w:rsidRPr="00805C9F">
        <w:rPr>
          <w:i/>
          <w:szCs w:val="24"/>
        </w:rPr>
        <w:t>Анемия (гемоглобин &lt;100 г/л)</w:t>
      </w:r>
    </w:p>
    <w:p w14:paraId="6964CEC2" w14:textId="76027395" w:rsidR="00253CC2" w:rsidRPr="00805C9F" w:rsidRDefault="00DB7A27" w:rsidP="00092917">
      <w:pPr>
        <w:pStyle w:val="a6"/>
        <w:numPr>
          <w:ilvl w:val="0"/>
          <w:numId w:val="5"/>
        </w:numPr>
        <w:spacing w:before="0" w:after="0"/>
        <w:ind w:left="0" w:firstLine="0"/>
        <w:rPr>
          <w:i/>
          <w:szCs w:val="24"/>
        </w:rPr>
      </w:pPr>
      <w:r w:rsidRPr="00805C9F">
        <w:rPr>
          <w:i/>
          <w:szCs w:val="24"/>
        </w:rPr>
        <w:t>Костные поражения (литические повреждения или остеопороз с компрессионными переломами)</w:t>
      </w:r>
    </w:p>
    <w:p w14:paraId="5B5CE89A" w14:textId="77777777" w:rsidR="00B228C7" w:rsidRPr="00805C9F" w:rsidRDefault="00B228C7" w:rsidP="00CC0180">
      <w:pPr>
        <w:pStyle w:val="2"/>
        <w:rPr>
          <w:rStyle w:val="ac"/>
          <w:rFonts w:eastAsia="Calibri"/>
          <w:b/>
          <w:bCs w:val="0"/>
          <w:szCs w:val="24"/>
        </w:rPr>
      </w:pPr>
      <w:bookmarkStart w:id="34" w:name="_Toc97734632"/>
      <w:r w:rsidRPr="00805C9F">
        <w:rPr>
          <w:rStyle w:val="ac"/>
          <w:b/>
          <w:bCs w:val="0"/>
          <w:szCs w:val="24"/>
        </w:rPr>
        <w:t>3.4.</w:t>
      </w:r>
      <w:r w:rsidR="00077BDE" w:rsidRPr="00805C9F">
        <w:rPr>
          <w:rStyle w:val="ac"/>
          <w:b/>
          <w:bCs w:val="0"/>
          <w:szCs w:val="24"/>
        </w:rPr>
        <w:t>1</w:t>
      </w:r>
      <w:r w:rsidR="00A25379" w:rsidRPr="00805C9F">
        <w:rPr>
          <w:rStyle w:val="ac"/>
          <w:b/>
          <w:bCs w:val="0"/>
          <w:szCs w:val="24"/>
        </w:rPr>
        <w:t xml:space="preserve"> </w:t>
      </w:r>
      <w:r w:rsidRPr="00805C9F">
        <w:rPr>
          <w:rStyle w:val="ac"/>
          <w:b/>
          <w:bCs w:val="0"/>
          <w:szCs w:val="24"/>
        </w:rPr>
        <w:t>Лечение рецидива ММ, не отягощенного двойной рефрактерностью</w:t>
      </w:r>
      <w:bookmarkEnd w:id="34"/>
    </w:p>
    <w:p w14:paraId="16544D04" w14:textId="2567FDCC" w:rsidR="00B241C1" w:rsidRPr="00805C9F" w:rsidRDefault="00B241C1" w:rsidP="00092917">
      <w:pPr>
        <w:spacing w:before="0" w:after="0"/>
        <w:contextualSpacing/>
        <w:rPr>
          <w:i/>
          <w:szCs w:val="24"/>
        </w:rPr>
      </w:pPr>
      <w:r w:rsidRPr="00805C9F">
        <w:rPr>
          <w:i/>
          <w:szCs w:val="24"/>
        </w:rPr>
        <w:t>Выбор терапии рецидива</w:t>
      </w:r>
      <w:r w:rsidR="00253CC2" w:rsidRPr="00805C9F">
        <w:rPr>
          <w:i/>
          <w:szCs w:val="24"/>
        </w:rPr>
        <w:t xml:space="preserve"> </w:t>
      </w:r>
      <w:r w:rsidR="00B657E4" w:rsidRPr="00805C9F">
        <w:rPr>
          <w:i/>
          <w:szCs w:val="24"/>
        </w:rPr>
        <w:t xml:space="preserve">зависит от </w:t>
      </w:r>
      <w:r w:rsidR="0077566B" w:rsidRPr="00805C9F">
        <w:rPr>
          <w:i/>
          <w:szCs w:val="24"/>
        </w:rPr>
        <w:t>эффективности</w:t>
      </w:r>
      <w:r w:rsidR="00253CC2" w:rsidRPr="00805C9F">
        <w:rPr>
          <w:i/>
          <w:szCs w:val="24"/>
        </w:rPr>
        <w:t xml:space="preserve"> </w:t>
      </w:r>
      <w:r w:rsidR="00033293" w:rsidRPr="00805C9F">
        <w:rPr>
          <w:i/>
          <w:szCs w:val="24"/>
        </w:rPr>
        <w:t>предшествующе</w:t>
      </w:r>
      <w:r w:rsidR="00BE2B1A" w:rsidRPr="00805C9F">
        <w:rPr>
          <w:i/>
          <w:szCs w:val="24"/>
        </w:rPr>
        <w:t>й</w:t>
      </w:r>
      <w:r w:rsidR="007B3991" w:rsidRPr="00805C9F">
        <w:rPr>
          <w:i/>
          <w:szCs w:val="24"/>
        </w:rPr>
        <w:t xml:space="preserve"> лини</w:t>
      </w:r>
      <w:r w:rsidR="00253CC2" w:rsidRPr="00805C9F">
        <w:rPr>
          <w:i/>
          <w:szCs w:val="24"/>
        </w:rPr>
        <w:t>и</w:t>
      </w:r>
      <w:r w:rsidR="007B3991" w:rsidRPr="00805C9F">
        <w:rPr>
          <w:i/>
          <w:szCs w:val="24"/>
        </w:rPr>
        <w:t xml:space="preserve"> терапии, клинических особенностей пациента (наличие полинейропатии или почечной недостаточности, тромбозы в анамнезе и др.), а также от предпочтений и опыта центра и лечащего врача. </w:t>
      </w:r>
      <w:r w:rsidR="00BE2B1A" w:rsidRPr="00805C9F">
        <w:rPr>
          <w:i/>
          <w:szCs w:val="24"/>
        </w:rPr>
        <w:t>У пациентов, у которых не развилась рефрактерность к бортезомибу</w:t>
      </w:r>
      <w:r w:rsidR="0056051E" w:rsidRPr="00805C9F">
        <w:rPr>
          <w:i/>
          <w:szCs w:val="24"/>
        </w:rPr>
        <w:t>**</w:t>
      </w:r>
      <w:r w:rsidR="00BE2B1A" w:rsidRPr="00805C9F">
        <w:rPr>
          <w:i/>
          <w:szCs w:val="24"/>
        </w:rPr>
        <w:t xml:space="preserve"> и леналидомиду</w:t>
      </w:r>
      <w:r w:rsidR="0056051E" w:rsidRPr="00805C9F">
        <w:rPr>
          <w:i/>
          <w:szCs w:val="24"/>
        </w:rPr>
        <w:t>**</w:t>
      </w:r>
      <w:r w:rsidR="00BE2B1A" w:rsidRPr="00805C9F">
        <w:rPr>
          <w:i/>
          <w:szCs w:val="24"/>
        </w:rPr>
        <w:t xml:space="preserve">, </w:t>
      </w:r>
      <w:r w:rsidR="007B3991" w:rsidRPr="00805C9F">
        <w:rPr>
          <w:i/>
          <w:szCs w:val="24"/>
        </w:rPr>
        <w:t>могут применяться следующие варианты лечения</w:t>
      </w:r>
      <w:r w:rsidR="00A25379" w:rsidRPr="00805C9F">
        <w:rPr>
          <w:i/>
          <w:szCs w:val="24"/>
        </w:rPr>
        <w:t xml:space="preserve"> </w:t>
      </w:r>
      <w:r w:rsidR="00032CFB" w:rsidRPr="00805C9F">
        <w:rPr>
          <w:i/>
          <w:szCs w:val="24"/>
        </w:rPr>
        <w:t xml:space="preserve">(описание режимов – см. приложение </w:t>
      </w:r>
      <w:r w:rsidR="00C812D6" w:rsidRPr="00805C9F">
        <w:rPr>
          <w:i/>
          <w:szCs w:val="24"/>
        </w:rPr>
        <w:t>А3.1</w:t>
      </w:r>
      <w:r w:rsidR="00253CC2" w:rsidRPr="00805C9F">
        <w:rPr>
          <w:i/>
          <w:szCs w:val="24"/>
        </w:rPr>
        <w:t>.</w:t>
      </w:r>
      <w:r w:rsidR="00032CFB" w:rsidRPr="00805C9F">
        <w:rPr>
          <w:i/>
          <w:szCs w:val="24"/>
        </w:rPr>
        <w:t>)</w:t>
      </w:r>
      <w:r w:rsidR="00A25379" w:rsidRPr="00805C9F">
        <w:rPr>
          <w:i/>
          <w:szCs w:val="24"/>
        </w:rPr>
        <w:t xml:space="preserve"> </w:t>
      </w:r>
      <w:r w:rsidR="00A96FB6" w:rsidRPr="00805C9F">
        <w:rPr>
          <w:i/>
          <w:szCs w:val="24"/>
        </w:rPr>
        <w:fldChar w:fldCharType="begin" w:fldLock="1"/>
      </w:r>
      <w:r w:rsidR="00500F37">
        <w:rPr>
          <w:i/>
          <w:szCs w:val="24"/>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myeloma","type":"article","volume":"35"},"uris":["http://www.mendeley.com/documents/?uuid=4b51abe8-b4d6-30ad-bad9-00468e013c00"]},{"id":"ITEM-2","itemData":{"DOI":"10.1016/j.clml.2014.03.005","ISSN":"2152-2669","PMID":"25023616","abstract":"INTRODUCTION Bortezomib is administered for a finite course; thus, patients might remain sensitive to bortezomib-based therapy at relapse. We report a meta-analysis of bortezomib-based retreatment in relapsed/refractory myeloma. PATIENTS AND METHODS A systematic literature review identified studies of bortezomib-based retreatment in relapsed/refractory myeloma. Proportions of bortezomib-refractory patients and additional prognostic factors were extracted and used in weighted stratified analyses of TTP and OS. Random-effect pooled estimates were calculated for overall response rate (ORR) and rates of common AEs. RESULTS Twenty-three studies (n = 1051 patients) were identified. Bortezomib was administered intravenously in all studies. Across studies in which data were available, pooled, weighted average ORR was 39.1% (95% confidence interval, 30.8%-47.4%), and pooled, weighted average median TTP and OS were 7.5 and 16.6 months, respectively. Patients with fewer previous therapies (≤ 4) and relapsed (not refractory) patients achieved higher ORRs, of 43.4% and 57.2%, respectively. Random-effects meta-regression analysis confirmed that relapsed patients were associated with a higher ORR by 28 to 41 percentage points versus refractory patients. In relapsed patients, median TTP and OS were 8.5 and 19.7 months, respectively. Common Grade 3/4 AEs included thrombocytopenia (35%), neutropenia (15%), anemia (14%), pneumonia (10%), and peripheral neuropathy (3%). CONCLUSION Based on these findings, bortezomib retreatment is well tolerated and appears efficacious in relapsed patients. In an era of new and emerging treatment options for relapsed and/or refractory myeloma, these data indicate that bortezomib retreatment might be a highly effective option in previously treated patients.","author":[{"dropping-particle":"","family":"Knopf","given":"Kevin B","non-dropping-particle":"","parse-names":false,"suffix":""},{"dropping-particle":"","family":"Duh","given":"Mei Sheng","non-dropping-particle":"","parse-names":false,"suffix":""},{"dropping-particle":"","family":"Lafeuille","given":"Marie-Hélène","non-dropping-particle":"","parse-names":false,"suffix":""},{"dropping-particle":"","family":"Gravel","given":"Jonathan","non-dropping-particle":"","parse-names":false,"suffix":""},{"dropping-particle":"","family":"Lefebvre","given":"Patrick","non-dropping-particle":"","parse-names":false,"suffix":""},{"dropping-particle":"","family":"Niculescu","given":"Liviu","non-dropping-particle":"","parse-names":false,"suffix":""},{"dropping-particle":"","family":"Ba-Mancini","given":"Abbie","non-dropping-particle":"","parse-names":false,"suffix":""},{"dropping-particle":"","family":"Ma","given":"Esprit","non-dropping-particle":"","parse-names":false,"suffix":""},{"dropping-particle":"","family":"Shi","given":"Hongliang","non-dropping-particle":"","parse-names":false,"suffix":""},{"dropping-particle":"","family":"Comenzo","given":"Raymond L","non-dropping-particle":"","parse-names":false,"suffix":""}],"container-title":"Clinical lymphoma, myeloma &amp; leukemia","id":"ITEM-2","issue":"5","issued":{"date-parts":[["2014","10"]]},"page":"380-8","title":"Meta-analysis of the efficacy and safety of bortezomib re-treatment in patients with multiple myeloma.","type":"article-journal","volume":"14"},"uris":["http://www.mendeley.com/documents/?uuid=b3846e4f-86a4-3632-887c-068c5784518c"]},{"id":"ITEM-3","itemData":{"DOI":"10.1002/14651858.CD010816.pub2","ISSN":"1469-493X","PMID":"27096326","abstract":"BACKGROUND Multiple myeloma is a malignancy of plasma cells accounting for approximately 1% of cancers and 12% of haematological malignancies. The first-in-class proteasome inhibitor, bortezomib, is commonly used to treat newly diagnosed as well as relapsed/refractory myeloma, either as single agent or combined with other therapies. OBJECTIVES We conducted a systematic review and meta-analysis to assess the effects of bortezomib on overall survival (OS), progression-free survival (PFS), response rate (RR), health-related quality of life (HRQoL), adverse events (AEs) and treatment-related death (TRD). SEARCH METHODS We searched MEDLINE, the Cochrane Central Register of Controlled Trials and EMBASE (till 27 January 2016) as well as conference proceedings and clinical trial registries for randomised controlled trials (RCTs). SELECTION CRITERIA We included randomised controlled trials (RCTs) that compared i) bortezomib versus no bortezomib with the same background therapy in each arm; ii) bortezomib versus no bortezomib with different background therapy in each arm or compared to other agent(s) and iii) bortezomib dose comparisons and comparisons of different treatment administrations and schedules. DATA COLLECTION AND ANALYSIS Two review authors independently extracted outcomes data and assessed risk of bias. We extracted hazard ratios (HR) and their confidence intervals for OS and PFS and odds ratios (OR) for response rates, AEs and TRD. We contacted trial authors to provide summary statistics if missing. We estimated Logrank statistics which were not available. We extracted HRQoL data, where available. MAIN RESULTS We screened a total of 3667 records, identifying 16 relevant RCTs involving 5626 patients and included 12 trials in the meta-analyses. All trials were randomised and open-label studies. Two trials were published in abstract form and therefore we were unable to assess potential risk of bias in full.There is moderate-quality evidence that bortezomib prolongs OS (four studies, 1586 patients; Peto OR 0.77, 95% CI 0.65 to 0.92) and PFS (five studies, 1855 patients; Peto OR 0.65, 95% CI 0.57 to 0.74) from analysing trials of bortezomib versus no bortezomib with the same background therapy in each arm.There is high-quality evidence that bortezomib prolongs OS (five studies, 2532 patients; Peto OR 0.76, 95% CI 0.67 to 0.88) but low-quality evidence for PFS (four studies, 2489 patients; Peto OR 0.67, 95% CI 0.61 to 0.75) from analysing trials of bortez…","author":[{"dropping-particle":"","family":"Scott","given":"Kathleen","non-dropping-particle":"","parse-names":false,"suffix":""},{"dropping-particle":"","family":"Hayden","given":"Patrick J","non-dropping-particle":"","parse-names":false,"suffix":""},{"dropping-particle":"","family":"Will","given":"Andrea","non-dropping-particle":"","parse-names":false,"suffix":""},{"dropping-particle":"","family":"Wheatley","given":"Keith","non-dropping-particle":"","parse-names":false,"suffix":""},{"dropping-particle":"","family":"Coyne","given":"Imelda","non-dropping-particle":"","parse-names":false,"suffix":""}],"container-title":"The Cochrane database of systematic reviews","id":"ITEM-3","issued":{"date-parts":[["2016","4","20"]]},"page":"CD010816","title":"Bortezomib for the treatment of multiple myeloma.","type":"article-journal","volume":"4"},"uris":["http://www.mendeley.com/documents/?uuid=9ecdc7e8-5097-32cf-a812-bfc887947c9a"]},{"id":"ITEM-4","itemData":{"DOI":"10.1016/j.clml.2017.12.011","ISSN":"21522669","abstract":"A systematic review and network meta-analysis were conducted to compare the clinical efficacy of immunomodulatory drug-containing regimens in patients with relapsed or refractory multiple myeloma. Daratumumab plus lenalidomide and dexamethasone had a significant advantage in improving progression-free survival of patients compared with other immunomodulatory drug-containing regimens. Background: Previous network meta-analyses combined studies of immunomodulatory drug (IMiD)–containing and IMiD-free regimens, despite a lack of head-to-head randomized controlled trials to robustly link them. However, patients with relapsed or refractory multiple myeloma (RRMM) treated with IMiD-containing regimens differ from those treated with IMiD-free regimens, especially relating to treatment history, which is an important treatment-effect modifier requiring clinical consideration when evaluating the most appropriate subsequent treatment options. A need exists to separately assess the efficacy of treatment regimens for patients who are suitable candidates for IMiD-containing and IMiD-free regimens. The presented analyses will enable clinicians to assess the best regimens to use in patients suitable for IMiD-containing regimens. Materials and Methods: We used a Bayesian network meta-analysis to compare IMiD-containing regimens in patients with RRMM. Additionally, subgroup analyses were conducted stratified by previous therapy line, previous bortezomib therapy, and previous lenalidomide therapy. Results: The results indicated that triplet combinations are more effective than doublet combinations. Of the triplet combinations, daratumumab, lenalidomide, dexamethasone (DRd) was significantly better in improving progression-free survival in patients with RRMM than were other IMiD-containing regimens (lenalidomide, dexamethasone [Rd]: hazard ratio [HR], 0.37; carfilzomib, Rd: HR, 0.54; elotuzumab, Rd: HR, 0.54; ixazomib, Rd: HR, 0.50). Similar trends were observed for overall survival and overall response. DRd showed the greatest probability of being the best treatment for all clinical efficacy outcomes. The subgroup analyses results were consistent with the base-case results. Conclusion: In patients with RRMM who are suitable for an IMiD-containing regimen, DRd showed clear advantages in survival and response outcomes compared with other IMiD-containing regimens.","author":[{"dropping-particle":"","family":"Dimopoulos","given":"Meletios Athanasios","non-dropping-particle":"","parse-names":false,"suffix":""},{"dropping-particle":"","family":"Kaufman","given":"Jonathan L.","non-dropping-particle":"","parse-names":false,"suffix":""},{"dropping-particle":"","family":"White","given":"Darrell","non-dropping-particle":"","parse-names":false,"suffix":""},{"dropping-particle":"","family":"Cook","given":"Gordon","non-dropping-particle":"","parse-names":false,"suffix":""},{"dropping-particle":"","family":"Rizzo","given":"Maria","non-dropping-particle":"","parse-names":false,"suffix":""},{"dropping-particle":"","family":"Xu","given":"Yingxin","non-dropping-particle":"","parse-names":false,"suffix":""},{"dropping-particle":"","family":"Fahrbach","given":"Kyle","non-dropping-particle":"","parse-names":false,"suffix":""},{"dropping-particle":"","family":"Gaudig","given":"Maren","non-dropping-particle":"","parse-names":false,"suffix":""},{"dropping-particle":"","family":"Slavcev","given":"Mary","non-dropping-particle":"","parse-names":false,"suffix":""},{"dropping-particle":"","family":"Dearden","given":"Lindsay","non-dropping-particle":"","parse-names":false,"suffix":""},{"dropping-particle":"","family":"Lam","given":"Annette","non-dropping-particle":"","parse-names":false,"suffix":""}],"container-title":"Clinical Lymphoma, Myeloma and Leukemia","id":"ITEM-4","issue":"3","issued":{"date-parts":[["2018","3","1"]]},"page":"163-173.e6","publisher":"Elsevier Inc.","title":"A Comparison of the Efficacy of Immunomodulatory-containing Regimens in Relapsed/Refractory Multiple Myeloma: A Network Meta-analysis","type":"article-journal","volume":"18"},"uris":["http://www.mendeley.com/documents/?uuid=4543af21-4b82-3645-8d1e-52cee5a8b951"]},{"id":"ITEM-5","itemData":{"DOI":"10.1200/jco.2009.27.15_suppl.8536","author":[{"dropping-particle":"","family":"Anderson","given":"K.C.","non-dropping-particle":"","parse-names":false,"suffix":""},{"dropping-particle":"","family":"Jagannath","given":"S.","non-dropping-particle":"","parse-names":false,"suffix":""},{"dropping-particle":"","family":"Jakubowiak","given":"A.","non-dropping-particle":"","parse-names":false,"suffix":""},{"dropping-particle":"","family":"Lonial","given":"S.","non-dropping-particle":"","parse-names":false,"suffix":""},{"dropping-particle":"","family":"Raje","given":"N.","non-dropping-particle":"","parse-names":false,"suffix":""},{"dropping-particle":"","family":"Alsina","given":"M.","non-dropping-particle":"","parse-names":false,"suffix":""},{"dropping-particle":"","family":"Ghobrial","given":"I.","non-dropping-particle":"","parse-names":false,"suffix":""},{"dropping-particle":"","family":"Knight","given":"R.","non-dropping-particle":"","parse-names":false,"suffix":""},{"dropping-particle":"","family":"Esseltine","given":"D.","non-dropping-particle":"","parse-names":false,"suffix":""},{"dropping-particle":"","family":"Richardson","given":"P.","non-dropping-particle":"","parse-names":false,"suffix":""}],"container-title":"Journal of Clinical Oncology","id":"ITEM-5","issue":"15 (Suppl.)","issued":{"date-parts":[["2009"]]},"page":"Abstract 8536","title":"Lenalidomide, bortezomib, and dexamethasone in relapsed/refractory multiple myeloma (MM): Encouraging outcomes and tolerability in a phase II study","type":"article-journal","volume":"27"},"uris":["http://www.mendeley.com/documents/?uuid=e626abc9-b1fb-4470-be82-facc41059486"]}],"mendeley":{"formattedCitation":"[60–64]","plainTextFormattedCitation":"[60–64]","previouslyFormattedCitation":"[60–64]"},"properties":{"noteIndex":0},"schema":"https://github.com/citation-style-language/schema/raw/master/csl-citation.json"}</w:instrText>
      </w:r>
      <w:r w:rsidR="00A96FB6" w:rsidRPr="00805C9F">
        <w:rPr>
          <w:i/>
          <w:szCs w:val="24"/>
        </w:rPr>
        <w:fldChar w:fldCharType="separate"/>
      </w:r>
      <w:r w:rsidR="00E03159" w:rsidRPr="00805C9F">
        <w:rPr>
          <w:noProof/>
          <w:szCs w:val="24"/>
        </w:rPr>
        <w:t>[60–64]</w:t>
      </w:r>
      <w:r w:rsidR="00A96FB6" w:rsidRPr="00805C9F">
        <w:rPr>
          <w:i/>
          <w:szCs w:val="24"/>
        </w:rPr>
        <w:fldChar w:fldCharType="end"/>
      </w:r>
      <w:r w:rsidR="007B3991" w:rsidRPr="00805C9F">
        <w:rPr>
          <w:i/>
          <w:szCs w:val="24"/>
        </w:rPr>
        <w:t>:</w:t>
      </w:r>
    </w:p>
    <w:p w14:paraId="3B1B499A" w14:textId="77777777" w:rsidR="007B3991" w:rsidRPr="00805C9F" w:rsidRDefault="007B3991" w:rsidP="00092917">
      <w:pPr>
        <w:pStyle w:val="a6"/>
        <w:numPr>
          <w:ilvl w:val="0"/>
          <w:numId w:val="9"/>
        </w:numPr>
        <w:spacing w:before="0" w:after="0"/>
        <w:ind w:left="0" w:firstLine="0"/>
        <w:rPr>
          <w:i/>
          <w:szCs w:val="24"/>
        </w:rPr>
      </w:pPr>
      <w:r w:rsidRPr="00805C9F">
        <w:rPr>
          <w:i/>
          <w:szCs w:val="24"/>
        </w:rPr>
        <w:t>Бортезомибсодержащие</w:t>
      </w:r>
      <w:r w:rsidR="00253CC2" w:rsidRPr="00805C9F">
        <w:rPr>
          <w:i/>
          <w:szCs w:val="24"/>
        </w:rPr>
        <w:t>**</w:t>
      </w:r>
      <w:r w:rsidRPr="00805C9F">
        <w:rPr>
          <w:i/>
          <w:szCs w:val="24"/>
        </w:rPr>
        <w:t xml:space="preserve"> режимы</w:t>
      </w:r>
    </w:p>
    <w:p w14:paraId="20E366CC" w14:textId="77777777" w:rsidR="007B3991" w:rsidRPr="00805C9F" w:rsidRDefault="007B3991" w:rsidP="00092917">
      <w:pPr>
        <w:pStyle w:val="a6"/>
        <w:numPr>
          <w:ilvl w:val="0"/>
          <w:numId w:val="9"/>
        </w:numPr>
        <w:spacing w:before="0" w:after="0"/>
        <w:ind w:left="0" w:firstLine="0"/>
        <w:rPr>
          <w:i/>
          <w:szCs w:val="24"/>
        </w:rPr>
      </w:pPr>
      <w:r w:rsidRPr="00805C9F">
        <w:rPr>
          <w:i/>
          <w:szCs w:val="24"/>
        </w:rPr>
        <w:t>Леналидомидсодержащие</w:t>
      </w:r>
      <w:r w:rsidR="00253CC2" w:rsidRPr="00805C9F">
        <w:rPr>
          <w:i/>
          <w:szCs w:val="24"/>
        </w:rPr>
        <w:t>**</w:t>
      </w:r>
      <w:r w:rsidR="00E768D1" w:rsidRPr="00805C9F">
        <w:rPr>
          <w:i/>
          <w:szCs w:val="24"/>
        </w:rPr>
        <w:t xml:space="preserve"> </w:t>
      </w:r>
      <w:r w:rsidRPr="00805C9F">
        <w:rPr>
          <w:i/>
          <w:szCs w:val="24"/>
        </w:rPr>
        <w:t>режимы</w:t>
      </w:r>
    </w:p>
    <w:p w14:paraId="4EEB6F62" w14:textId="77777777" w:rsidR="002D7F46" w:rsidRPr="00805C9F" w:rsidRDefault="008D36F2" w:rsidP="00092917">
      <w:pPr>
        <w:pStyle w:val="a6"/>
        <w:numPr>
          <w:ilvl w:val="0"/>
          <w:numId w:val="9"/>
        </w:numPr>
        <w:spacing w:before="0" w:after="0"/>
        <w:ind w:left="0" w:firstLine="0"/>
        <w:rPr>
          <w:i/>
          <w:szCs w:val="24"/>
        </w:rPr>
      </w:pPr>
      <w:r w:rsidRPr="00805C9F">
        <w:rPr>
          <w:i/>
          <w:szCs w:val="24"/>
        </w:rPr>
        <w:lastRenderedPageBreak/>
        <w:t>Комбинация бортезомиба**, леналидомида** и дексаметазона**</w:t>
      </w:r>
    </w:p>
    <w:p w14:paraId="391CE32F" w14:textId="77777777" w:rsidR="008D36F2" w:rsidRPr="00805C9F" w:rsidRDefault="008D36F2" w:rsidP="00092917">
      <w:pPr>
        <w:pStyle w:val="a6"/>
        <w:numPr>
          <w:ilvl w:val="0"/>
          <w:numId w:val="9"/>
        </w:numPr>
        <w:spacing w:before="0" w:after="0"/>
        <w:ind w:left="0" w:firstLine="0"/>
        <w:rPr>
          <w:i/>
          <w:szCs w:val="24"/>
        </w:rPr>
      </w:pPr>
      <w:r w:rsidRPr="00805C9F">
        <w:rPr>
          <w:i/>
          <w:szCs w:val="24"/>
        </w:rPr>
        <w:t>Комбинация карфилзомиба**, леналидомида** и дексаметазона**</w:t>
      </w:r>
    </w:p>
    <w:p w14:paraId="24446116" w14:textId="77777777" w:rsidR="008D36F2" w:rsidRPr="00805C9F" w:rsidRDefault="008D36F2" w:rsidP="00092917">
      <w:pPr>
        <w:pStyle w:val="a6"/>
        <w:numPr>
          <w:ilvl w:val="0"/>
          <w:numId w:val="9"/>
        </w:numPr>
        <w:spacing w:before="0" w:after="0"/>
        <w:ind w:left="0" w:firstLine="0"/>
        <w:rPr>
          <w:i/>
          <w:szCs w:val="24"/>
        </w:rPr>
      </w:pPr>
      <w:r w:rsidRPr="00805C9F">
        <w:rPr>
          <w:i/>
          <w:szCs w:val="24"/>
        </w:rPr>
        <w:t>Комбинация иксазомиба**, леналидомида** и дексаметазона**</w:t>
      </w:r>
    </w:p>
    <w:p w14:paraId="6E4D48C1" w14:textId="77777777" w:rsidR="00941B7E" w:rsidRPr="00805C9F" w:rsidRDefault="00941B7E" w:rsidP="00092917">
      <w:pPr>
        <w:pStyle w:val="a6"/>
        <w:numPr>
          <w:ilvl w:val="0"/>
          <w:numId w:val="9"/>
        </w:numPr>
        <w:spacing w:before="0" w:after="0"/>
        <w:ind w:left="0" w:firstLine="0"/>
        <w:rPr>
          <w:i/>
          <w:szCs w:val="24"/>
        </w:rPr>
      </w:pPr>
      <w:r w:rsidRPr="00805C9F">
        <w:rPr>
          <w:i/>
          <w:szCs w:val="24"/>
        </w:rPr>
        <w:t>Комбинация даратумумаба**, леналидомида** и дексаметазона**</w:t>
      </w:r>
    </w:p>
    <w:p w14:paraId="25ED040F" w14:textId="77777777" w:rsidR="00941B7E" w:rsidRPr="00805C9F" w:rsidRDefault="00941B7E" w:rsidP="00092917">
      <w:pPr>
        <w:pStyle w:val="a6"/>
        <w:numPr>
          <w:ilvl w:val="0"/>
          <w:numId w:val="9"/>
        </w:numPr>
        <w:spacing w:before="0" w:after="0"/>
        <w:ind w:left="0" w:firstLine="0"/>
        <w:rPr>
          <w:i/>
          <w:szCs w:val="24"/>
        </w:rPr>
      </w:pPr>
      <w:r w:rsidRPr="00805C9F">
        <w:rPr>
          <w:i/>
          <w:szCs w:val="24"/>
        </w:rPr>
        <w:t>Комбинация даратумумаба**, бортезомиба** и дексаметазона**</w:t>
      </w:r>
    </w:p>
    <w:p w14:paraId="10C17550" w14:textId="77777777" w:rsidR="00941B7E" w:rsidRPr="00805C9F" w:rsidRDefault="00941B7E" w:rsidP="00092917">
      <w:pPr>
        <w:pStyle w:val="a6"/>
        <w:numPr>
          <w:ilvl w:val="0"/>
          <w:numId w:val="9"/>
        </w:numPr>
        <w:spacing w:before="0" w:after="0"/>
        <w:ind w:left="0" w:firstLine="0"/>
        <w:rPr>
          <w:i/>
          <w:szCs w:val="24"/>
        </w:rPr>
      </w:pPr>
      <w:r w:rsidRPr="00805C9F">
        <w:rPr>
          <w:i/>
          <w:szCs w:val="24"/>
        </w:rPr>
        <w:t>Комбинация элотузумаба</w:t>
      </w:r>
      <w:r w:rsidR="006E416B" w:rsidRPr="00805C9F">
        <w:rPr>
          <w:i/>
          <w:szCs w:val="24"/>
        </w:rPr>
        <w:t>**</w:t>
      </w:r>
      <w:r w:rsidRPr="00805C9F">
        <w:rPr>
          <w:i/>
          <w:szCs w:val="24"/>
        </w:rPr>
        <w:t>, леналидомида** и дексаметазона**</w:t>
      </w:r>
    </w:p>
    <w:p w14:paraId="1DAD3699" w14:textId="51BBB072" w:rsidR="00E03159" w:rsidRPr="00805C9F" w:rsidRDefault="00E03159" w:rsidP="00092917">
      <w:pPr>
        <w:pStyle w:val="a6"/>
        <w:numPr>
          <w:ilvl w:val="0"/>
          <w:numId w:val="9"/>
        </w:numPr>
        <w:spacing w:before="0" w:after="0"/>
        <w:ind w:left="0" w:firstLine="0"/>
        <w:rPr>
          <w:i/>
          <w:szCs w:val="24"/>
        </w:rPr>
      </w:pPr>
      <w:r w:rsidRPr="00805C9F">
        <w:rPr>
          <w:i/>
          <w:szCs w:val="24"/>
        </w:rPr>
        <w:t>Комбинация даратумумаба**, карфилзомиба** и дексаметазона**</w:t>
      </w:r>
    </w:p>
    <w:p w14:paraId="286CE194" w14:textId="4421EA62" w:rsidR="00E03159" w:rsidRPr="00805C9F" w:rsidRDefault="00E03159" w:rsidP="00092917">
      <w:pPr>
        <w:pStyle w:val="a6"/>
        <w:numPr>
          <w:ilvl w:val="0"/>
          <w:numId w:val="9"/>
        </w:numPr>
        <w:spacing w:before="0" w:after="0"/>
        <w:ind w:left="0" w:firstLine="0"/>
        <w:rPr>
          <w:i/>
          <w:szCs w:val="24"/>
        </w:rPr>
      </w:pPr>
      <w:r w:rsidRPr="00805C9F">
        <w:rPr>
          <w:i/>
          <w:szCs w:val="24"/>
        </w:rPr>
        <w:t>Комбинация изатуксимаба**, карфилзомиба** и дексаметазона**</w:t>
      </w:r>
    </w:p>
    <w:p w14:paraId="68BE4AF0" w14:textId="0B5F4698" w:rsidR="00970CB0" w:rsidRPr="00805C9F" w:rsidRDefault="00970CB0" w:rsidP="00092917">
      <w:pPr>
        <w:spacing w:before="0" w:after="0"/>
        <w:contextualSpacing/>
        <w:rPr>
          <w:i/>
          <w:szCs w:val="24"/>
        </w:rPr>
      </w:pPr>
      <w:r w:rsidRPr="00805C9F">
        <w:rPr>
          <w:i/>
          <w:szCs w:val="24"/>
        </w:rPr>
        <w:t>Для лечения ММ с полинейропатией следует отдавать предпочтение схемам на основе леналидомида</w:t>
      </w:r>
      <w:r w:rsidR="0056051E" w:rsidRPr="00805C9F">
        <w:rPr>
          <w:i/>
          <w:szCs w:val="24"/>
        </w:rPr>
        <w:t>**</w:t>
      </w:r>
      <w:r w:rsidRPr="00805C9F">
        <w:rPr>
          <w:i/>
          <w:szCs w:val="24"/>
        </w:rPr>
        <w:t xml:space="preserve">, в то время как у </w:t>
      </w:r>
      <w:r w:rsidR="00FB03BB" w:rsidRPr="00805C9F">
        <w:rPr>
          <w:i/>
          <w:szCs w:val="24"/>
        </w:rPr>
        <w:t>пациентов</w:t>
      </w:r>
      <w:r w:rsidRPr="00805C9F">
        <w:rPr>
          <w:i/>
          <w:szCs w:val="24"/>
        </w:rPr>
        <w:t xml:space="preserve"> с тромбозами в анамнезе, а также почечной недостаточностью больше подходят программы на основе бортезомиба</w:t>
      </w:r>
      <w:r w:rsidR="0056051E" w:rsidRPr="00805C9F">
        <w:rPr>
          <w:i/>
          <w:szCs w:val="24"/>
        </w:rPr>
        <w:t>**</w:t>
      </w:r>
      <w:r w:rsidRPr="00805C9F">
        <w:rPr>
          <w:i/>
          <w:szCs w:val="24"/>
        </w:rPr>
        <w:t xml:space="preserve">. У </w:t>
      </w:r>
      <w:r w:rsidR="00FB03BB" w:rsidRPr="00805C9F">
        <w:rPr>
          <w:i/>
          <w:szCs w:val="24"/>
        </w:rPr>
        <w:t>пациентов</w:t>
      </w:r>
      <w:r w:rsidRPr="00805C9F">
        <w:rPr>
          <w:i/>
          <w:szCs w:val="24"/>
        </w:rPr>
        <w:t xml:space="preserve"> ММ с почечной недостаточностью также используют программы на основе бендамустина</w:t>
      </w:r>
      <w:r w:rsidR="0056051E" w:rsidRPr="00805C9F">
        <w:rPr>
          <w:i/>
          <w:szCs w:val="24"/>
        </w:rPr>
        <w:t>**</w:t>
      </w:r>
      <w:r w:rsidRPr="00805C9F">
        <w:rPr>
          <w:i/>
          <w:szCs w:val="24"/>
        </w:rPr>
        <w:t>, карфилзомиба</w:t>
      </w:r>
      <w:r w:rsidR="0056051E" w:rsidRPr="00805C9F">
        <w:rPr>
          <w:i/>
          <w:szCs w:val="24"/>
        </w:rPr>
        <w:t>**</w:t>
      </w:r>
      <w:r w:rsidRPr="00805C9F">
        <w:rPr>
          <w:i/>
          <w:szCs w:val="24"/>
        </w:rPr>
        <w:t xml:space="preserve">. </w:t>
      </w:r>
    </w:p>
    <w:p w14:paraId="674DC0F6" w14:textId="008EC697" w:rsidR="00040BEB" w:rsidRPr="00805C9F" w:rsidRDefault="00040BEB" w:rsidP="00092917">
      <w:pPr>
        <w:pStyle w:val="a6"/>
        <w:numPr>
          <w:ilvl w:val="0"/>
          <w:numId w:val="8"/>
        </w:numPr>
        <w:tabs>
          <w:tab w:val="clear" w:pos="348"/>
          <w:tab w:val="num" w:pos="709"/>
        </w:tabs>
        <w:spacing w:before="0" w:after="0"/>
        <w:ind w:left="0" w:firstLine="0"/>
        <w:rPr>
          <w:szCs w:val="24"/>
        </w:rPr>
      </w:pPr>
      <w:r w:rsidRPr="00805C9F">
        <w:rPr>
          <w:szCs w:val="24"/>
        </w:rPr>
        <w:t>Пациентам с</w:t>
      </w:r>
      <w:r w:rsidR="00A473F6" w:rsidRPr="00805C9F">
        <w:rPr>
          <w:szCs w:val="24"/>
        </w:rPr>
        <w:t xml:space="preserve"> рецидивом ММ</w:t>
      </w:r>
      <w:r w:rsidRPr="00805C9F">
        <w:rPr>
          <w:szCs w:val="24"/>
        </w:rPr>
        <w:t>, которым показана противомиеломная терапия</w:t>
      </w:r>
      <w:r w:rsidR="00B228C7" w:rsidRPr="00805C9F">
        <w:rPr>
          <w:szCs w:val="24"/>
        </w:rPr>
        <w:t xml:space="preserve"> и у которых не развилась рефрактерно</w:t>
      </w:r>
      <w:r w:rsidR="00006CE0" w:rsidRPr="00805C9F">
        <w:rPr>
          <w:szCs w:val="24"/>
        </w:rPr>
        <w:t>сть к бортезомибу</w:t>
      </w:r>
      <w:r w:rsidR="00A473F6" w:rsidRPr="00805C9F">
        <w:rPr>
          <w:szCs w:val="24"/>
        </w:rPr>
        <w:t>**</w:t>
      </w:r>
      <w:r w:rsidRPr="00805C9F">
        <w:rPr>
          <w:szCs w:val="24"/>
        </w:rPr>
        <w:t>,</w:t>
      </w:r>
      <w:r w:rsidR="00B241C1" w:rsidRPr="00805C9F">
        <w:rPr>
          <w:szCs w:val="24"/>
        </w:rPr>
        <w:t xml:space="preserve"> в качестве одной из возможных опций</w:t>
      </w:r>
      <w:r w:rsidR="000A156C" w:rsidRPr="00805C9F">
        <w:rPr>
          <w:szCs w:val="24"/>
        </w:rPr>
        <w:t xml:space="preserve"> </w:t>
      </w:r>
      <w:r w:rsidR="00FF0C02" w:rsidRPr="00805C9F">
        <w:rPr>
          <w:b/>
          <w:szCs w:val="24"/>
        </w:rPr>
        <w:t>рекомендуется</w:t>
      </w:r>
      <w:r w:rsidRPr="00805C9F">
        <w:rPr>
          <w:szCs w:val="24"/>
        </w:rPr>
        <w:t xml:space="preserve"> терапия с включением в схему лечени</w:t>
      </w:r>
      <w:r w:rsidR="00215D8C" w:rsidRPr="00805C9F">
        <w:rPr>
          <w:szCs w:val="24"/>
        </w:rPr>
        <w:t>я бортезомиба**</w:t>
      </w:r>
      <w:r w:rsidRPr="00805C9F">
        <w:rPr>
          <w:szCs w:val="24"/>
        </w:rPr>
        <w:t xml:space="preserve"> в сочетании с дексаметазоно</w:t>
      </w:r>
      <w:r w:rsidR="0056051E" w:rsidRPr="00805C9F">
        <w:rPr>
          <w:szCs w:val="24"/>
        </w:rPr>
        <w:t>м** и/или цитостатическими препа</w:t>
      </w:r>
      <w:r w:rsidRPr="00805C9F">
        <w:rPr>
          <w:szCs w:val="24"/>
        </w:rPr>
        <w:t>ра</w:t>
      </w:r>
      <w:r w:rsidR="0056051E" w:rsidRPr="00805C9F">
        <w:rPr>
          <w:szCs w:val="24"/>
        </w:rPr>
        <w:t>та</w:t>
      </w:r>
      <w:r w:rsidRPr="00805C9F">
        <w:rPr>
          <w:szCs w:val="24"/>
        </w:rPr>
        <w:t>ми</w:t>
      </w:r>
      <w:r w:rsidR="008446C4" w:rsidRPr="00805C9F">
        <w:rPr>
          <w:szCs w:val="24"/>
        </w:rPr>
        <w:t xml:space="preserve"> </w:t>
      </w:r>
      <w:r w:rsidR="00032CFB" w:rsidRPr="00805C9F">
        <w:rPr>
          <w:szCs w:val="24"/>
        </w:rPr>
        <w:t xml:space="preserve">(описание режимов – см. приложение </w:t>
      </w:r>
      <w:r w:rsidR="00C812D6" w:rsidRPr="00805C9F">
        <w:rPr>
          <w:szCs w:val="24"/>
        </w:rPr>
        <w:t>А3.1</w:t>
      </w:r>
      <w:r w:rsidR="008446C4" w:rsidRPr="00805C9F">
        <w:rPr>
          <w:szCs w:val="24"/>
        </w:rPr>
        <w:t>.</w:t>
      </w:r>
      <w:r w:rsidR="00032CFB" w:rsidRPr="00805C9F">
        <w:rPr>
          <w:szCs w:val="24"/>
        </w:rPr>
        <w:t>)</w:t>
      </w:r>
      <w:r w:rsidR="00A25379" w:rsidRPr="00805C9F">
        <w:rPr>
          <w:szCs w:val="24"/>
        </w:rPr>
        <w:t xml:space="preserve"> </w:t>
      </w:r>
      <w:r w:rsidR="00A96FB6" w:rsidRPr="00805C9F">
        <w:rPr>
          <w:i/>
          <w:szCs w:val="24"/>
        </w:rPr>
        <w:fldChar w:fldCharType="begin" w:fldLock="1"/>
      </w:r>
      <w:r w:rsidR="00500F37">
        <w:rPr>
          <w:i/>
          <w:szCs w:val="24"/>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myeloma","type":"article","volume":"35"},"uris":["http://www.mendeley.com/documents/?uuid=4b51abe8-b4d6-30ad-bad9-00468e013c00"]},{"id":"ITEM-2","itemData":{"DOI":"10.1016/j.clml.2014.03.005","ISSN":"2152-2669","PMID":"25023616","abstract":"INTRODUCTION Bortezomib is administered for a finite course; thus, patients might remain sensitive to bortezomib-based therapy at relapse. We report a meta-analysis of bortezomib-based retreatment in relapsed/refractory myeloma. PATIENTS AND METHODS A systematic literature review identified studies of bortezomib-based retreatment in relapsed/refractory myeloma. Proportions of bortezomib-refractory patients and additional prognostic factors were extracted and used in weighted stratified analyses of TTP and OS. Random-effect pooled estimates were calculated for overall response rate (ORR) and rates of common AEs. RESULTS Twenty-three studies (n = 1051 patients) were identified. Bortezomib was administered intravenously in all studies. Across studies in which data were available, pooled, weighted average ORR was 39.1% (95% confidence interval, 30.8%-47.4%), and pooled, weighted average median TTP and OS were 7.5 and 16.6 months, respectively. Patients with fewer previous therapies (≤ 4) and relapsed (not refractory) patients achieved higher ORRs, of 43.4% and 57.2%, respectively. Random-effects meta-regression analysis confirmed that relapsed patients were associated with a higher ORR by 28 to 41 percentage points versus refractory patients. In relapsed patients, median TTP and OS were 8.5 and 19.7 months, respectively. Common Grade 3/4 AEs included thrombocytopenia (35%), neutropenia (15%), anemia (14%), pneumonia (10%), and peripheral neuropathy (3%). CONCLUSION Based on these findings, bortezomib retreatment is well tolerated and appears efficacious in relapsed patients. In an era of new and emerging treatment options for relapsed and/or refractory myeloma, these data indicate that bortezomib retreatment might be a highly effective option in previously treated patients.","author":[{"dropping-particle":"","family":"Knopf","given":"Kevin B","non-dropping-particle":"","parse-names":false,"suffix":""},{"dropping-particle":"","family":"Duh","given":"Mei Sheng","non-dropping-particle":"","parse-names":false,"suffix":""},{"dropping-particle":"","family":"Lafeuille","given":"Marie-Hélène","non-dropping-particle":"","parse-names":false,"suffix":""},{"dropping-particle":"","family":"Gravel","given":"Jonathan","non-dropping-particle":"","parse-names":false,"suffix":""},{"dropping-particle":"","family":"Lefebvre","given":"Patrick","non-dropping-particle":"","parse-names":false,"suffix":""},{"dropping-particle":"","family":"Niculescu","given":"Liviu","non-dropping-particle":"","parse-names":false,"suffix":""},{"dropping-particle":"","family":"Ba-Mancini","given":"Abbie","non-dropping-particle":"","parse-names":false,"suffix":""},{"dropping-particle":"","family":"Ma","given":"Esprit","non-dropping-particle":"","parse-names":false,"suffix":""},{"dropping-particle":"","family":"Shi","given":"Hongliang","non-dropping-particle":"","parse-names":false,"suffix":""},{"dropping-particle":"","family":"Comenzo","given":"Raymond L","non-dropping-particle":"","parse-names":false,"suffix":""}],"container-title":"Clinical lymphoma, myeloma &amp; leukemia","id":"ITEM-2","issue":"5","issued":{"date-parts":[["2014","10"]]},"page":"380-8","title":"Meta-analysis of the efficacy and safety of bortezomib re-treatment in patients with multiple myeloma.","type":"article-journal","volume":"14"},"uris":["http://www.mendeley.com/documents/?uuid=b3846e4f-86a4-3632-887c-068c5784518c"]},{"id":"ITEM-3","itemData":{"DOI":"10.1002/14651858.CD010816.pub2","ISSN":"1469-493X","PMID":"27096326","abstract":"BACKGROUND Multiple myeloma is a malignancy of plasma cells accounting for approximately 1% of cancers and 12% of haematological malignancies. The first-in-class proteasome inhibitor, bortezomib, is commonly used to treat newly diagnosed as well as relapsed/refractory myeloma, either as single agent or combined with other therapies. OBJECTIVES We conducted a systematic review and meta-analysis to assess the effects of bortezomib on overall survival (OS), progression-free survival (PFS), response rate (RR), health-related quality of life (HRQoL), adverse events (AEs) and treatment-related death (TRD). SEARCH METHODS We searched MEDLINE, the Cochrane Central Register of Controlled Trials and EMBASE (till 27 January 2016) as well as conference proceedings and clinical trial registries for randomised controlled trials (RCTs). SELECTION CRITERIA We included randomised controlled trials (RCTs) that compared i) bortezomib versus no bortezomib with the same background therapy in each arm; ii) bortezomib versus no bortezomib with different background therapy in each arm or compared to other agent(s) and iii) bortezomib dose comparisons and comparisons of different treatment administrations and schedules. DATA COLLECTION AND ANALYSIS Two review authors independently extracted outcomes data and assessed risk of bias. We extracted hazard ratios (HR) and their confidence intervals for OS and PFS and odds ratios (OR) for response rates, AEs and TRD. We contacted trial authors to provide summary statistics if missing. We estimated Logrank statistics which were not available. We extracted HRQoL data, where available. MAIN RESULTS We screened a total of 3667 records, identifying 16 relevant RCTs involving 5626 patients and included 12 trials in the meta-analyses. All trials were randomised and open-label studies. Two trials were published in abstract form and therefore we were unable to assess potential risk of bias in full.There is moderate-quality evidence that bortezomib prolongs OS (four studies, 1586 patients; Peto OR 0.77, 95% CI 0.65 to 0.92) and PFS (five studies, 1855 patients; Peto OR 0.65, 95% CI 0.57 to 0.74) from analysing trials of bortezomib versus no bortezomib with the same background therapy in each arm.There is high-quality evidence that bortezomib prolongs OS (five studies, 2532 patients; Peto OR 0.76, 95% CI 0.67 to 0.88) but low-quality evidence for PFS (four studies, 2489 patients; Peto OR 0.67, 95% CI 0.61 to 0.75) from analysing trials of bortez…","author":[{"dropping-particle":"","family":"Scott","given":"Kathleen","non-dropping-particle":"","parse-names":false,"suffix":""},{"dropping-particle":"","family":"Hayden","given":"Patrick J","non-dropping-particle":"","parse-names":false,"suffix":""},{"dropping-particle":"","family":"Will","given":"Andrea","non-dropping-particle":"","parse-names":false,"suffix":""},{"dropping-particle":"","family":"Wheatley","given":"Keith","non-dropping-particle":"","parse-names":false,"suffix":""},{"dropping-particle":"","family":"Coyne","given":"Imelda","non-dropping-particle":"","parse-names":false,"suffix":""}],"container-title":"The Cochrane database of systematic reviews","id":"ITEM-3","issued":{"date-parts":[["2016","4","20"]]},"page":"CD010816","title":"Bortezomib for the treatment of multiple myeloma.","type":"article-journal","volume":"4"},"uris":["http://www.mendeley.com/documents/?uuid=9ecdc7e8-5097-32cf-a812-bfc887947c9a"]}],"mendeley":{"formattedCitation":"[60–62]","plainTextFormattedCitation":"[60–62]","previouslyFormattedCitation":"[60–62]"},"properties":{"noteIndex":0},"schema":"https://github.com/citation-style-language/schema/raw/master/csl-citation.json"}</w:instrText>
      </w:r>
      <w:r w:rsidR="00A96FB6" w:rsidRPr="00805C9F">
        <w:rPr>
          <w:i/>
          <w:szCs w:val="24"/>
        </w:rPr>
        <w:fldChar w:fldCharType="separate"/>
      </w:r>
      <w:r w:rsidR="00E03159" w:rsidRPr="00805C9F">
        <w:rPr>
          <w:noProof/>
          <w:szCs w:val="24"/>
        </w:rPr>
        <w:t>[60–62]</w:t>
      </w:r>
      <w:r w:rsidR="00A96FB6" w:rsidRPr="00805C9F">
        <w:rPr>
          <w:i/>
          <w:szCs w:val="24"/>
        </w:rPr>
        <w:fldChar w:fldCharType="end"/>
      </w:r>
      <w:r w:rsidR="0056051E" w:rsidRPr="00805C9F">
        <w:rPr>
          <w:szCs w:val="24"/>
        </w:rPr>
        <w:t>.</w:t>
      </w:r>
    </w:p>
    <w:p w14:paraId="2CF08D29" w14:textId="77777777" w:rsidR="00040BEB" w:rsidRPr="00805C9F" w:rsidRDefault="00040BEB" w:rsidP="00092917">
      <w:pPr>
        <w:pStyle w:val="a6"/>
        <w:spacing w:before="0" w:after="0"/>
        <w:ind w:left="0"/>
        <w:rPr>
          <w:b/>
          <w:szCs w:val="24"/>
        </w:rPr>
      </w:pPr>
      <w:r w:rsidRPr="00805C9F">
        <w:rPr>
          <w:b/>
          <w:szCs w:val="24"/>
        </w:rPr>
        <w:t xml:space="preserve">Уровень убедительности рекомендаций </w:t>
      </w:r>
      <w:r w:rsidR="008446C4" w:rsidRPr="00805C9F">
        <w:rPr>
          <w:b/>
          <w:szCs w:val="24"/>
        </w:rPr>
        <w:t xml:space="preserve">− </w:t>
      </w:r>
      <w:r w:rsidR="002C4947" w:rsidRPr="00805C9F">
        <w:rPr>
          <w:b/>
          <w:szCs w:val="24"/>
          <w:lang w:val="en-US"/>
        </w:rPr>
        <w:t>A</w:t>
      </w:r>
      <w:r w:rsidR="00A25379" w:rsidRPr="00805C9F">
        <w:rPr>
          <w:b/>
          <w:szCs w:val="24"/>
        </w:rPr>
        <w:t xml:space="preserve"> </w:t>
      </w:r>
      <w:r w:rsidRPr="00805C9F">
        <w:rPr>
          <w:b/>
          <w:szCs w:val="24"/>
        </w:rPr>
        <w:t>(уровень достоверности доказательств</w:t>
      </w:r>
      <w:r w:rsidR="00A25379" w:rsidRPr="00805C9F">
        <w:rPr>
          <w:b/>
          <w:szCs w:val="24"/>
        </w:rPr>
        <w:t xml:space="preserve"> </w:t>
      </w:r>
      <w:r w:rsidR="008446C4" w:rsidRPr="00805C9F">
        <w:rPr>
          <w:b/>
          <w:szCs w:val="24"/>
        </w:rPr>
        <w:t xml:space="preserve">− </w:t>
      </w:r>
      <w:r w:rsidR="002C4947" w:rsidRPr="00805C9F">
        <w:rPr>
          <w:b/>
          <w:szCs w:val="24"/>
        </w:rPr>
        <w:t>1</w:t>
      </w:r>
      <w:r w:rsidRPr="00805C9F">
        <w:rPr>
          <w:b/>
          <w:szCs w:val="24"/>
        </w:rPr>
        <w:t>)</w:t>
      </w:r>
    </w:p>
    <w:p w14:paraId="23643809" w14:textId="77777777" w:rsidR="00200F20" w:rsidRPr="00805C9F" w:rsidRDefault="00040BEB" w:rsidP="00092917">
      <w:pPr>
        <w:spacing w:before="0" w:after="0"/>
        <w:contextualSpacing/>
        <w:rPr>
          <w:i/>
          <w:szCs w:val="24"/>
        </w:rPr>
      </w:pPr>
      <w:r w:rsidRPr="00805C9F">
        <w:rPr>
          <w:b/>
          <w:szCs w:val="24"/>
        </w:rPr>
        <w:t xml:space="preserve">Комментарий: </w:t>
      </w:r>
      <w:r w:rsidR="00D939A2" w:rsidRPr="00805C9F">
        <w:rPr>
          <w:i/>
          <w:szCs w:val="24"/>
        </w:rPr>
        <w:t xml:space="preserve">результаты </w:t>
      </w:r>
      <w:r w:rsidR="00200F20" w:rsidRPr="00805C9F">
        <w:rPr>
          <w:i/>
          <w:szCs w:val="24"/>
        </w:rPr>
        <w:t>крупного рандомизированного исследования APEX выявили более высокую эффективность бортезомиба</w:t>
      </w:r>
      <w:r w:rsidR="0056051E" w:rsidRPr="00805C9F">
        <w:rPr>
          <w:i/>
          <w:szCs w:val="24"/>
        </w:rPr>
        <w:t>**</w:t>
      </w:r>
      <w:r w:rsidR="00200F20" w:rsidRPr="00805C9F">
        <w:rPr>
          <w:i/>
          <w:szCs w:val="24"/>
        </w:rPr>
        <w:t xml:space="preserve"> (43</w:t>
      </w:r>
      <w:r w:rsidR="003738E6" w:rsidRPr="00805C9F">
        <w:rPr>
          <w:i/>
          <w:szCs w:val="24"/>
        </w:rPr>
        <w:t> </w:t>
      </w:r>
      <w:r w:rsidR="00200F20" w:rsidRPr="00805C9F">
        <w:rPr>
          <w:i/>
          <w:szCs w:val="24"/>
        </w:rPr>
        <w:t>%) по сравнению с дексаметазоном</w:t>
      </w:r>
      <w:r w:rsidR="0056051E" w:rsidRPr="00805C9F">
        <w:rPr>
          <w:i/>
          <w:szCs w:val="24"/>
        </w:rPr>
        <w:t>**</w:t>
      </w:r>
      <w:r w:rsidR="00200F20" w:rsidRPr="00805C9F">
        <w:rPr>
          <w:i/>
          <w:szCs w:val="24"/>
        </w:rPr>
        <w:t xml:space="preserve"> в высокой дозе (18</w:t>
      </w:r>
      <w:r w:rsidR="003738E6" w:rsidRPr="00805C9F">
        <w:rPr>
          <w:i/>
          <w:szCs w:val="24"/>
        </w:rPr>
        <w:t> </w:t>
      </w:r>
      <w:r w:rsidR="00200F20" w:rsidRPr="00805C9F">
        <w:rPr>
          <w:i/>
          <w:szCs w:val="24"/>
        </w:rPr>
        <w:t>%), а также улучшение показателей ВДП и ОВ. Добавление дексаметазона</w:t>
      </w:r>
      <w:r w:rsidR="0056051E" w:rsidRPr="00805C9F">
        <w:rPr>
          <w:i/>
          <w:szCs w:val="24"/>
        </w:rPr>
        <w:t>**</w:t>
      </w:r>
      <w:r w:rsidR="00200F20" w:rsidRPr="00805C9F">
        <w:rPr>
          <w:i/>
          <w:szCs w:val="24"/>
        </w:rPr>
        <w:t xml:space="preserve"> к терапии бортезомибом</w:t>
      </w:r>
      <w:r w:rsidR="0056051E" w:rsidRPr="00805C9F">
        <w:rPr>
          <w:i/>
          <w:szCs w:val="24"/>
        </w:rPr>
        <w:t>**</w:t>
      </w:r>
      <w:r w:rsidR="00200F20" w:rsidRPr="00805C9F">
        <w:rPr>
          <w:i/>
          <w:szCs w:val="24"/>
        </w:rPr>
        <w:t xml:space="preserve"> (VD) улучшает результаты на 12</w:t>
      </w:r>
      <w:r w:rsidR="00C43878" w:rsidRPr="00805C9F">
        <w:rPr>
          <w:i/>
          <w:szCs w:val="24"/>
        </w:rPr>
        <w:t>−</w:t>
      </w:r>
      <w:r w:rsidR="00200F20" w:rsidRPr="00805C9F">
        <w:rPr>
          <w:i/>
          <w:szCs w:val="24"/>
        </w:rPr>
        <w:t>18</w:t>
      </w:r>
      <w:r w:rsidR="00C43878" w:rsidRPr="00805C9F">
        <w:rPr>
          <w:i/>
          <w:szCs w:val="24"/>
        </w:rPr>
        <w:t> </w:t>
      </w:r>
      <w:r w:rsidR="00200F20" w:rsidRPr="00805C9F">
        <w:rPr>
          <w:i/>
          <w:szCs w:val="24"/>
        </w:rPr>
        <w:t>%. Программа VD считается одним из стандартов лечения рецидивов/рефрактерной ММ.</w:t>
      </w:r>
    </w:p>
    <w:p w14:paraId="56C67873" w14:textId="77777777" w:rsidR="00200F20" w:rsidRPr="00805C9F" w:rsidRDefault="00200F20" w:rsidP="00092917">
      <w:pPr>
        <w:spacing w:before="0" w:after="0"/>
        <w:ind w:firstLine="567"/>
        <w:contextualSpacing/>
        <w:rPr>
          <w:i/>
          <w:szCs w:val="24"/>
        </w:rPr>
      </w:pPr>
      <w:r w:rsidRPr="00805C9F">
        <w:rPr>
          <w:i/>
          <w:szCs w:val="24"/>
        </w:rPr>
        <w:t xml:space="preserve">В рандомизированном исследовании III фазы MMY-3021 было показано, что у </w:t>
      </w:r>
      <w:r w:rsidR="00FB03BB" w:rsidRPr="00805C9F">
        <w:rPr>
          <w:i/>
          <w:szCs w:val="24"/>
        </w:rPr>
        <w:t>пациентов</w:t>
      </w:r>
      <w:r w:rsidRPr="00805C9F">
        <w:rPr>
          <w:i/>
          <w:szCs w:val="24"/>
        </w:rPr>
        <w:t xml:space="preserve"> с рецидивами ММ бортезомиб</w:t>
      </w:r>
      <w:r w:rsidR="0056051E" w:rsidRPr="00805C9F">
        <w:rPr>
          <w:i/>
          <w:szCs w:val="24"/>
        </w:rPr>
        <w:t>**</w:t>
      </w:r>
      <w:r w:rsidRPr="00805C9F">
        <w:rPr>
          <w:i/>
          <w:szCs w:val="24"/>
        </w:rPr>
        <w:t>, вводимый подкожно, не уступает по эффективности бортезомибу</w:t>
      </w:r>
      <w:r w:rsidR="0056051E" w:rsidRPr="00805C9F">
        <w:rPr>
          <w:i/>
          <w:szCs w:val="24"/>
        </w:rPr>
        <w:t>**</w:t>
      </w:r>
      <w:r w:rsidRPr="00805C9F">
        <w:rPr>
          <w:i/>
          <w:szCs w:val="24"/>
        </w:rPr>
        <w:t>, вводимому внутривенно</w:t>
      </w:r>
      <w:r w:rsidR="002E6956" w:rsidRPr="00805C9F">
        <w:rPr>
          <w:i/>
          <w:szCs w:val="24"/>
        </w:rPr>
        <w:t xml:space="preserve"> (в/в)</w:t>
      </w:r>
      <w:r w:rsidRPr="00805C9F">
        <w:rPr>
          <w:i/>
          <w:szCs w:val="24"/>
        </w:rPr>
        <w:t>, и позволяет достичь такого же уровня ВДП и ОВ. Более того, при подкожном введении бортезомиба</w:t>
      </w:r>
      <w:r w:rsidR="0056051E" w:rsidRPr="00805C9F">
        <w:rPr>
          <w:i/>
          <w:szCs w:val="24"/>
        </w:rPr>
        <w:t>**</w:t>
      </w:r>
      <w:r w:rsidRPr="00805C9F">
        <w:rPr>
          <w:i/>
          <w:szCs w:val="24"/>
        </w:rPr>
        <w:t xml:space="preserve"> значительно реже, чем при </w:t>
      </w:r>
      <w:r w:rsidR="0023513B" w:rsidRPr="00805C9F">
        <w:rPr>
          <w:i/>
          <w:szCs w:val="24"/>
        </w:rPr>
        <w:t xml:space="preserve">в/в </w:t>
      </w:r>
      <w:r w:rsidRPr="00805C9F">
        <w:rPr>
          <w:i/>
          <w:szCs w:val="24"/>
        </w:rPr>
        <w:t>введении препарата, развивались нежелательные явления, в том числе периферическая полинейропатия. Таким образом, подкожное введение бортезомиба</w:t>
      </w:r>
      <w:r w:rsidR="00F92D50" w:rsidRPr="00805C9F">
        <w:rPr>
          <w:i/>
          <w:szCs w:val="24"/>
        </w:rPr>
        <w:t>**</w:t>
      </w:r>
      <w:r w:rsidRPr="00805C9F">
        <w:rPr>
          <w:i/>
          <w:szCs w:val="24"/>
        </w:rPr>
        <w:t xml:space="preserve"> следует рассматривать как стандартный метод введения препарата у всех пациентов с ММ.</w:t>
      </w:r>
      <w:r w:rsidR="007D4DCB" w:rsidRPr="00805C9F">
        <w:rPr>
          <w:i/>
          <w:szCs w:val="24"/>
        </w:rPr>
        <w:t xml:space="preserve"> </w:t>
      </w:r>
    </w:p>
    <w:p w14:paraId="1707C30C" w14:textId="77777777" w:rsidR="00200F20" w:rsidRPr="00805C9F" w:rsidRDefault="00200F20" w:rsidP="00092917">
      <w:pPr>
        <w:spacing w:before="0" w:after="0"/>
        <w:ind w:firstLine="567"/>
        <w:contextualSpacing/>
        <w:rPr>
          <w:i/>
          <w:szCs w:val="24"/>
        </w:rPr>
      </w:pPr>
      <w:r w:rsidRPr="00805C9F">
        <w:rPr>
          <w:i/>
          <w:szCs w:val="24"/>
        </w:rPr>
        <w:lastRenderedPageBreak/>
        <w:t>Комбинация бортезомиба</w:t>
      </w:r>
      <w:r w:rsidR="0056051E" w:rsidRPr="00805C9F">
        <w:rPr>
          <w:i/>
          <w:szCs w:val="24"/>
        </w:rPr>
        <w:t>**</w:t>
      </w:r>
      <w:r w:rsidRPr="00805C9F">
        <w:rPr>
          <w:i/>
          <w:szCs w:val="24"/>
        </w:rPr>
        <w:t xml:space="preserve"> с циклофосфамидом</w:t>
      </w:r>
      <w:r w:rsidR="0056051E" w:rsidRPr="00805C9F">
        <w:rPr>
          <w:i/>
          <w:szCs w:val="24"/>
        </w:rPr>
        <w:t>**</w:t>
      </w:r>
      <w:r w:rsidRPr="00805C9F">
        <w:rPr>
          <w:i/>
          <w:szCs w:val="24"/>
        </w:rPr>
        <w:t xml:space="preserve"> и дексаметазоном</w:t>
      </w:r>
      <w:r w:rsidR="0056051E" w:rsidRPr="00805C9F">
        <w:rPr>
          <w:i/>
          <w:szCs w:val="24"/>
        </w:rPr>
        <w:t>**</w:t>
      </w:r>
      <w:r w:rsidR="00C43878" w:rsidRPr="00805C9F">
        <w:rPr>
          <w:i/>
          <w:szCs w:val="24"/>
        </w:rPr>
        <w:t xml:space="preserve"> (VCD, CVD) эффективна у 75−</w:t>
      </w:r>
      <w:r w:rsidRPr="00805C9F">
        <w:rPr>
          <w:i/>
          <w:szCs w:val="24"/>
        </w:rPr>
        <w:t>82</w:t>
      </w:r>
      <w:r w:rsidR="00C43878" w:rsidRPr="00805C9F">
        <w:rPr>
          <w:i/>
          <w:szCs w:val="24"/>
        </w:rPr>
        <w:t> </w:t>
      </w:r>
      <w:r w:rsidRPr="00805C9F">
        <w:rPr>
          <w:i/>
          <w:szCs w:val="24"/>
        </w:rPr>
        <w:t xml:space="preserve">% пациентов с рецидивами MM, обладает умеренно выраженной токсичностью и может быть использована для проведения терапии этих </w:t>
      </w:r>
      <w:r w:rsidR="00FB03BB" w:rsidRPr="00805C9F">
        <w:rPr>
          <w:i/>
          <w:szCs w:val="24"/>
        </w:rPr>
        <w:t>пациентов</w:t>
      </w:r>
      <w:r w:rsidRPr="00805C9F">
        <w:rPr>
          <w:i/>
          <w:szCs w:val="24"/>
        </w:rPr>
        <w:t>. Для лечения рецидивов ММ также применяют другие программы с включением бортезомиба</w:t>
      </w:r>
      <w:r w:rsidR="0056051E" w:rsidRPr="00805C9F">
        <w:rPr>
          <w:i/>
          <w:szCs w:val="24"/>
        </w:rPr>
        <w:t>**</w:t>
      </w:r>
      <w:r w:rsidRPr="00805C9F">
        <w:rPr>
          <w:i/>
          <w:szCs w:val="24"/>
        </w:rPr>
        <w:t xml:space="preserve"> (VMP, PAD</w:t>
      </w:r>
      <w:r w:rsidR="00CF7A54" w:rsidRPr="00805C9F">
        <w:rPr>
          <w:i/>
          <w:szCs w:val="24"/>
        </w:rPr>
        <w:t xml:space="preserve">, </w:t>
      </w:r>
      <w:r w:rsidR="00697C98" w:rsidRPr="00805C9F">
        <w:rPr>
          <w:i/>
          <w:szCs w:val="24"/>
          <w:lang w:val="en-US"/>
        </w:rPr>
        <w:t>Vel</w:t>
      </w:r>
      <w:r w:rsidR="00697C98" w:rsidRPr="00805C9F">
        <w:rPr>
          <w:i/>
          <w:szCs w:val="24"/>
        </w:rPr>
        <w:t>-</w:t>
      </w:r>
      <w:r w:rsidR="00697C98" w:rsidRPr="00805C9F">
        <w:rPr>
          <w:i/>
          <w:szCs w:val="24"/>
          <w:lang w:val="en-US"/>
        </w:rPr>
        <w:t>PLD</w:t>
      </w:r>
      <w:r w:rsidRPr="00805C9F">
        <w:rPr>
          <w:i/>
          <w:szCs w:val="24"/>
        </w:rPr>
        <w:t>).</w:t>
      </w:r>
    </w:p>
    <w:p w14:paraId="1FD27316" w14:textId="77777777" w:rsidR="00040BEB" w:rsidRPr="00805C9F" w:rsidRDefault="00200F20" w:rsidP="00092917">
      <w:pPr>
        <w:spacing w:before="0" w:after="0"/>
        <w:ind w:firstLine="567"/>
        <w:contextualSpacing/>
        <w:rPr>
          <w:i/>
          <w:szCs w:val="24"/>
        </w:rPr>
      </w:pPr>
      <w:r w:rsidRPr="00805C9F">
        <w:rPr>
          <w:i/>
          <w:szCs w:val="24"/>
        </w:rPr>
        <w:t>Практическое значение имеет вопрос об эффективности повторного использования бортезомиба</w:t>
      </w:r>
      <w:r w:rsidR="0056051E" w:rsidRPr="00805C9F">
        <w:rPr>
          <w:i/>
          <w:szCs w:val="24"/>
        </w:rPr>
        <w:t>**</w:t>
      </w:r>
      <w:r w:rsidRPr="00805C9F">
        <w:rPr>
          <w:i/>
          <w:szCs w:val="24"/>
        </w:rPr>
        <w:t>. По данным проспективного исследования, возобновление лечения бортезомибом</w:t>
      </w:r>
      <w:r w:rsidR="0056051E" w:rsidRPr="00805C9F">
        <w:rPr>
          <w:i/>
          <w:szCs w:val="24"/>
        </w:rPr>
        <w:t>**</w:t>
      </w:r>
      <w:r w:rsidRPr="00805C9F">
        <w:rPr>
          <w:i/>
          <w:szCs w:val="24"/>
        </w:rPr>
        <w:t xml:space="preserve"> эффективно у 40</w:t>
      </w:r>
      <w:r w:rsidR="00C43878" w:rsidRPr="00805C9F">
        <w:rPr>
          <w:i/>
          <w:szCs w:val="24"/>
        </w:rPr>
        <w:t> </w:t>
      </w:r>
      <w:r w:rsidRPr="00805C9F">
        <w:rPr>
          <w:i/>
          <w:szCs w:val="24"/>
        </w:rPr>
        <w:t xml:space="preserve">% </w:t>
      </w:r>
      <w:r w:rsidR="00FB03BB" w:rsidRPr="00805C9F">
        <w:rPr>
          <w:i/>
          <w:szCs w:val="24"/>
        </w:rPr>
        <w:t>пациентов</w:t>
      </w:r>
      <w:r w:rsidRPr="00805C9F">
        <w:rPr>
          <w:i/>
          <w:szCs w:val="24"/>
        </w:rPr>
        <w:t>. Результаты одного из ретроспективных исследований показали, что у пациентов, ранее эффективно лечен</w:t>
      </w:r>
      <w:r w:rsidR="003144D3" w:rsidRPr="00805C9F">
        <w:rPr>
          <w:i/>
          <w:szCs w:val="24"/>
        </w:rPr>
        <w:t>н</w:t>
      </w:r>
      <w:r w:rsidRPr="00805C9F">
        <w:rPr>
          <w:i/>
          <w:szCs w:val="24"/>
        </w:rPr>
        <w:t>ых бортезомибом</w:t>
      </w:r>
      <w:r w:rsidR="0056051E" w:rsidRPr="00805C9F">
        <w:rPr>
          <w:i/>
          <w:szCs w:val="24"/>
        </w:rPr>
        <w:t>**</w:t>
      </w:r>
      <w:r w:rsidRPr="00805C9F">
        <w:rPr>
          <w:i/>
          <w:szCs w:val="24"/>
        </w:rPr>
        <w:t>, в 63</w:t>
      </w:r>
      <w:r w:rsidR="00C43878" w:rsidRPr="00805C9F">
        <w:rPr>
          <w:i/>
          <w:szCs w:val="24"/>
        </w:rPr>
        <w:t> </w:t>
      </w:r>
      <w:r w:rsidRPr="00805C9F">
        <w:rPr>
          <w:i/>
          <w:szCs w:val="24"/>
        </w:rPr>
        <w:t xml:space="preserve">% случаев возобновление лечения </w:t>
      </w:r>
      <w:r w:rsidR="006C5992" w:rsidRPr="00805C9F">
        <w:rPr>
          <w:i/>
          <w:szCs w:val="24"/>
        </w:rPr>
        <w:t>этим препаратом</w:t>
      </w:r>
      <w:r w:rsidRPr="00805C9F">
        <w:rPr>
          <w:i/>
          <w:szCs w:val="24"/>
        </w:rPr>
        <w:t xml:space="preserve"> позволило получить противоопухолевый ответ (55</w:t>
      </w:r>
      <w:r w:rsidR="006C5992" w:rsidRPr="00805C9F">
        <w:rPr>
          <w:i/>
          <w:szCs w:val="24"/>
        </w:rPr>
        <w:t> </w:t>
      </w:r>
      <w:r w:rsidRPr="00805C9F">
        <w:rPr>
          <w:i/>
          <w:szCs w:val="24"/>
        </w:rPr>
        <w:t xml:space="preserve">% </w:t>
      </w:r>
      <w:r w:rsidR="00FB03BB" w:rsidRPr="00805C9F">
        <w:rPr>
          <w:i/>
          <w:szCs w:val="24"/>
        </w:rPr>
        <w:t>пациентов</w:t>
      </w:r>
      <w:r w:rsidRPr="00805C9F">
        <w:rPr>
          <w:i/>
          <w:szCs w:val="24"/>
        </w:rPr>
        <w:t xml:space="preserve"> получали дексаметазон</w:t>
      </w:r>
      <w:r w:rsidR="00AD2477" w:rsidRPr="00805C9F">
        <w:rPr>
          <w:i/>
          <w:szCs w:val="24"/>
        </w:rPr>
        <w:t>**</w:t>
      </w:r>
      <w:r w:rsidRPr="00805C9F">
        <w:rPr>
          <w:i/>
          <w:szCs w:val="24"/>
        </w:rPr>
        <w:t>). При этом медиана ВДП достигла 9,3 мес, ОВ – 1,7 года. Эффективность повторного лечения бортезомибом</w:t>
      </w:r>
      <w:r w:rsidR="0056051E" w:rsidRPr="00805C9F">
        <w:rPr>
          <w:i/>
          <w:szCs w:val="24"/>
        </w:rPr>
        <w:t>**</w:t>
      </w:r>
      <w:r w:rsidRPr="00805C9F">
        <w:rPr>
          <w:i/>
          <w:szCs w:val="24"/>
        </w:rPr>
        <w:t xml:space="preserve"> зависела от длительности интервала без лечения после первоначальной терапии этим препаратом. У пациентов с интервалом без лечения после предшествующего лечения этим препаратом </w:t>
      </w:r>
      <w:r w:rsidR="006C5992" w:rsidRPr="00805C9F">
        <w:rPr>
          <w:i/>
          <w:szCs w:val="24"/>
        </w:rPr>
        <w:t>&gt;</w:t>
      </w:r>
      <w:r w:rsidRPr="00805C9F">
        <w:rPr>
          <w:i/>
          <w:szCs w:val="24"/>
        </w:rPr>
        <w:t>6 мес</w:t>
      </w:r>
      <w:r w:rsidR="00E778E9" w:rsidRPr="00805C9F">
        <w:rPr>
          <w:i/>
          <w:szCs w:val="24"/>
        </w:rPr>
        <w:t>.</w:t>
      </w:r>
      <w:r w:rsidRPr="00805C9F">
        <w:rPr>
          <w:i/>
          <w:szCs w:val="24"/>
        </w:rPr>
        <w:t xml:space="preserve"> общая эффективность составила 76,9</w:t>
      </w:r>
      <w:r w:rsidR="006C5992" w:rsidRPr="00805C9F">
        <w:rPr>
          <w:i/>
          <w:szCs w:val="24"/>
        </w:rPr>
        <w:t> </w:t>
      </w:r>
      <w:r w:rsidRPr="00805C9F">
        <w:rPr>
          <w:i/>
          <w:szCs w:val="24"/>
        </w:rPr>
        <w:t xml:space="preserve">%, у </w:t>
      </w:r>
      <w:r w:rsidR="00FB03BB" w:rsidRPr="00805C9F">
        <w:rPr>
          <w:i/>
          <w:szCs w:val="24"/>
        </w:rPr>
        <w:t>пациентов</w:t>
      </w:r>
      <w:r w:rsidRPr="00805C9F">
        <w:rPr>
          <w:i/>
          <w:szCs w:val="24"/>
        </w:rPr>
        <w:t xml:space="preserve"> с интервалом без лечения </w:t>
      </w:r>
      <w:r w:rsidR="003D6BFB" w:rsidRPr="00805C9F">
        <w:rPr>
          <w:i/>
          <w:szCs w:val="24"/>
        </w:rPr>
        <w:t>≤</w:t>
      </w:r>
      <w:r w:rsidRPr="00805C9F">
        <w:rPr>
          <w:i/>
          <w:szCs w:val="24"/>
        </w:rPr>
        <w:t>6 мес</w:t>
      </w:r>
      <w:r w:rsidR="00E778E9" w:rsidRPr="00805C9F">
        <w:rPr>
          <w:i/>
          <w:szCs w:val="24"/>
        </w:rPr>
        <w:t>.</w:t>
      </w:r>
      <w:r w:rsidRPr="00805C9F">
        <w:rPr>
          <w:i/>
          <w:szCs w:val="24"/>
        </w:rPr>
        <w:t xml:space="preserve"> – 38,1</w:t>
      </w:r>
      <w:r w:rsidR="003D6BFB" w:rsidRPr="00805C9F">
        <w:rPr>
          <w:i/>
          <w:szCs w:val="24"/>
        </w:rPr>
        <w:t> </w:t>
      </w:r>
      <w:r w:rsidRPr="00805C9F">
        <w:rPr>
          <w:i/>
          <w:szCs w:val="24"/>
        </w:rPr>
        <w:t xml:space="preserve">%.  </w:t>
      </w:r>
    </w:p>
    <w:p w14:paraId="6795D0A8" w14:textId="127C8873" w:rsidR="00D73B3F" w:rsidRPr="00805C9F" w:rsidRDefault="00B228C7" w:rsidP="00092917">
      <w:pPr>
        <w:pStyle w:val="a6"/>
        <w:numPr>
          <w:ilvl w:val="0"/>
          <w:numId w:val="8"/>
        </w:numPr>
        <w:tabs>
          <w:tab w:val="clear" w:pos="348"/>
          <w:tab w:val="num" w:pos="709"/>
        </w:tabs>
        <w:spacing w:before="0" w:after="0"/>
        <w:ind w:left="0" w:firstLine="0"/>
        <w:rPr>
          <w:szCs w:val="24"/>
        </w:rPr>
      </w:pPr>
      <w:r w:rsidRPr="00805C9F">
        <w:rPr>
          <w:szCs w:val="24"/>
        </w:rPr>
        <w:t>Пациентам с</w:t>
      </w:r>
      <w:r w:rsidR="004A402B" w:rsidRPr="00805C9F">
        <w:rPr>
          <w:szCs w:val="24"/>
        </w:rPr>
        <w:t xml:space="preserve"> рецидивом ММ</w:t>
      </w:r>
      <w:r w:rsidRPr="00805C9F">
        <w:rPr>
          <w:szCs w:val="24"/>
        </w:rPr>
        <w:t>, которым показана противомиеломная терапия и у которых не развилас</w:t>
      </w:r>
      <w:r w:rsidR="00006CE0" w:rsidRPr="00805C9F">
        <w:rPr>
          <w:szCs w:val="24"/>
        </w:rPr>
        <w:t>ь рефрактерность к</w:t>
      </w:r>
      <w:r w:rsidR="000A156C" w:rsidRPr="00805C9F">
        <w:rPr>
          <w:szCs w:val="24"/>
        </w:rPr>
        <w:t xml:space="preserve"> </w:t>
      </w:r>
      <w:r w:rsidRPr="00805C9F">
        <w:rPr>
          <w:szCs w:val="24"/>
        </w:rPr>
        <w:t>леналидомиду</w:t>
      </w:r>
      <w:r w:rsidR="0056051E" w:rsidRPr="00805C9F">
        <w:rPr>
          <w:szCs w:val="24"/>
        </w:rPr>
        <w:t>**</w:t>
      </w:r>
      <w:r w:rsidRPr="00805C9F">
        <w:rPr>
          <w:szCs w:val="24"/>
        </w:rPr>
        <w:t xml:space="preserve">, в качестве одной из возможных опций </w:t>
      </w:r>
      <w:r w:rsidR="00B657E4" w:rsidRPr="00805C9F">
        <w:rPr>
          <w:b/>
          <w:szCs w:val="24"/>
        </w:rPr>
        <w:t>рекомендуется</w:t>
      </w:r>
      <w:r w:rsidR="00D73B3F" w:rsidRPr="00805C9F">
        <w:rPr>
          <w:szCs w:val="24"/>
        </w:rPr>
        <w:t xml:space="preserve"> терапия с включением в схему лечения </w:t>
      </w:r>
      <w:r w:rsidR="00703049" w:rsidRPr="00805C9F">
        <w:rPr>
          <w:szCs w:val="24"/>
        </w:rPr>
        <w:t>леналидомида</w:t>
      </w:r>
      <w:r w:rsidR="00D73B3F" w:rsidRPr="00805C9F">
        <w:rPr>
          <w:szCs w:val="24"/>
        </w:rPr>
        <w:t xml:space="preserve">** в сочетании с дексаметазоном** </w:t>
      </w:r>
      <w:r w:rsidR="00032CFB" w:rsidRPr="00805C9F">
        <w:rPr>
          <w:szCs w:val="24"/>
        </w:rPr>
        <w:t xml:space="preserve">(описание режимов – см. приложение </w:t>
      </w:r>
      <w:r w:rsidR="00C812D6" w:rsidRPr="00805C9F">
        <w:rPr>
          <w:szCs w:val="24"/>
        </w:rPr>
        <w:t>А3.1</w:t>
      </w:r>
      <w:r w:rsidR="00B46790" w:rsidRPr="00805C9F">
        <w:rPr>
          <w:szCs w:val="24"/>
        </w:rPr>
        <w:t>.</w:t>
      </w:r>
      <w:r w:rsidR="00032CFB" w:rsidRPr="00805C9F">
        <w:rPr>
          <w:szCs w:val="24"/>
        </w:rPr>
        <w:t>)</w:t>
      </w:r>
      <w:r w:rsidR="00D939A2" w:rsidRPr="00805C9F">
        <w:rPr>
          <w:szCs w:val="24"/>
        </w:rPr>
        <w:t xml:space="preserve"> </w:t>
      </w:r>
      <w:r w:rsidR="00A96FB6" w:rsidRPr="00805C9F">
        <w:rPr>
          <w:i/>
          <w:szCs w:val="24"/>
        </w:rPr>
        <w:fldChar w:fldCharType="begin" w:fldLock="1"/>
      </w:r>
      <w:r w:rsidR="00500F37">
        <w:rPr>
          <w:i/>
          <w:szCs w:val="24"/>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mendeley":{"formattedCitation":"[60]","plainTextFormattedCitation":"[60]","previouslyFormattedCitation":"[60]"},"properties":{"noteIndex":0},"schema":"https://github.com/citation-style-language/schema/raw/master/csl-citation.json"}</w:instrText>
      </w:r>
      <w:r w:rsidR="00A96FB6" w:rsidRPr="00805C9F">
        <w:rPr>
          <w:i/>
          <w:szCs w:val="24"/>
        </w:rPr>
        <w:fldChar w:fldCharType="separate"/>
      </w:r>
      <w:r w:rsidR="00E03159" w:rsidRPr="00805C9F">
        <w:rPr>
          <w:noProof/>
          <w:szCs w:val="24"/>
        </w:rPr>
        <w:t>[60]</w:t>
      </w:r>
      <w:r w:rsidR="00A96FB6" w:rsidRPr="00805C9F">
        <w:rPr>
          <w:i/>
          <w:szCs w:val="24"/>
        </w:rPr>
        <w:fldChar w:fldCharType="end"/>
      </w:r>
      <w:r w:rsidR="0056051E" w:rsidRPr="00805C9F">
        <w:rPr>
          <w:szCs w:val="24"/>
        </w:rPr>
        <w:t>.</w:t>
      </w:r>
    </w:p>
    <w:p w14:paraId="7972A9AD" w14:textId="77777777" w:rsidR="00D73B3F" w:rsidRPr="00805C9F" w:rsidRDefault="00D73B3F" w:rsidP="00092917">
      <w:pPr>
        <w:pStyle w:val="a6"/>
        <w:spacing w:before="0" w:after="0"/>
        <w:ind w:left="0"/>
        <w:rPr>
          <w:b/>
          <w:szCs w:val="24"/>
        </w:rPr>
      </w:pPr>
      <w:r w:rsidRPr="00805C9F">
        <w:rPr>
          <w:b/>
          <w:szCs w:val="24"/>
        </w:rPr>
        <w:t xml:space="preserve">Уровень убедительности рекомендаций </w:t>
      </w:r>
      <w:r w:rsidR="00B46790" w:rsidRPr="00805C9F">
        <w:rPr>
          <w:b/>
          <w:szCs w:val="24"/>
        </w:rPr>
        <w:t xml:space="preserve">− </w:t>
      </w:r>
      <w:r w:rsidR="002C4947" w:rsidRPr="00805C9F">
        <w:rPr>
          <w:b/>
          <w:szCs w:val="24"/>
          <w:lang w:val="en-US"/>
        </w:rPr>
        <w:t>A</w:t>
      </w:r>
      <w:r w:rsidR="000A156C" w:rsidRPr="00805C9F">
        <w:rPr>
          <w:b/>
          <w:szCs w:val="24"/>
        </w:rPr>
        <w:t xml:space="preserve"> </w:t>
      </w:r>
      <w:r w:rsidRPr="00805C9F">
        <w:rPr>
          <w:b/>
          <w:szCs w:val="24"/>
        </w:rPr>
        <w:t>(уровень достоверности доказательств</w:t>
      </w:r>
      <w:r w:rsidR="000A156C" w:rsidRPr="00805C9F">
        <w:rPr>
          <w:b/>
          <w:szCs w:val="24"/>
        </w:rPr>
        <w:t xml:space="preserve"> </w:t>
      </w:r>
      <w:r w:rsidR="00B46790" w:rsidRPr="00805C9F">
        <w:rPr>
          <w:b/>
          <w:szCs w:val="24"/>
        </w:rPr>
        <w:t xml:space="preserve">− </w:t>
      </w:r>
      <w:r w:rsidR="002C4947" w:rsidRPr="00805C9F">
        <w:rPr>
          <w:b/>
          <w:szCs w:val="24"/>
        </w:rPr>
        <w:t>1</w:t>
      </w:r>
      <w:r w:rsidRPr="00805C9F">
        <w:rPr>
          <w:b/>
          <w:szCs w:val="24"/>
        </w:rPr>
        <w:t>)</w:t>
      </w:r>
    </w:p>
    <w:p w14:paraId="3EE43A39" w14:textId="77777777" w:rsidR="004E08AC" w:rsidRPr="00805C9F" w:rsidRDefault="00D73B3F" w:rsidP="00092917">
      <w:pPr>
        <w:pStyle w:val="a4"/>
        <w:spacing w:before="0" w:beforeAutospacing="0" w:after="0" w:afterAutospacing="0" w:line="360" w:lineRule="auto"/>
        <w:contextualSpacing/>
        <w:jc w:val="both"/>
        <w:rPr>
          <w:rFonts w:eastAsia="Calibri"/>
          <w:i/>
          <w:lang w:eastAsia="en-US"/>
        </w:rPr>
      </w:pPr>
      <w:r w:rsidRPr="00805C9F">
        <w:rPr>
          <w:b/>
        </w:rPr>
        <w:t xml:space="preserve">Комментарий: </w:t>
      </w:r>
      <w:r w:rsidR="00D939A2" w:rsidRPr="00805C9F">
        <w:rPr>
          <w:rFonts w:eastAsia="Calibri"/>
          <w:i/>
          <w:lang w:eastAsia="en-US"/>
        </w:rPr>
        <w:t xml:space="preserve">в </w:t>
      </w:r>
      <w:r w:rsidR="004E08AC" w:rsidRPr="00805C9F">
        <w:rPr>
          <w:rFonts w:eastAsia="Calibri"/>
          <w:i/>
          <w:lang w:eastAsia="en-US"/>
        </w:rPr>
        <w:t>двух крупных рандомизированных исследованиях III фазы показано, что сочетание леналидомида</w:t>
      </w:r>
      <w:r w:rsidR="00A473F6" w:rsidRPr="00805C9F">
        <w:rPr>
          <w:rFonts w:eastAsia="Calibri"/>
          <w:i/>
          <w:lang w:eastAsia="en-US"/>
        </w:rPr>
        <w:t>**</w:t>
      </w:r>
      <w:r w:rsidR="004E08AC" w:rsidRPr="00805C9F">
        <w:rPr>
          <w:rFonts w:eastAsia="Calibri"/>
          <w:i/>
          <w:lang w:eastAsia="en-US"/>
        </w:rPr>
        <w:t xml:space="preserve"> с дексаметазоном</w:t>
      </w:r>
      <w:r w:rsidR="00A473F6" w:rsidRPr="00805C9F">
        <w:rPr>
          <w:rFonts w:eastAsia="Calibri"/>
          <w:i/>
          <w:lang w:eastAsia="en-US"/>
        </w:rPr>
        <w:t>**</w:t>
      </w:r>
      <w:r w:rsidR="004E08AC" w:rsidRPr="00805C9F">
        <w:rPr>
          <w:rFonts w:eastAsia="Calibri"/>
          <w:i/>
          <w:lang w:eastAsia="en-US"/>
        </w:rPr>
        <w:t xml:space="preserve"> существенно превышает по эффективности лечение дексаметазоном</w:t>
      </w:r>
      <w:r w:rsidR="00A473F6" w:rsidRPr="00805C9F">
        <w:rPr>
          <w:rFonts w:eastAsia="Calibri"/>
          <w:i/>
          <w:lang w:eastAsia="en-US"/>
        </w:rPr>
        <w:t>**</w:t>
      </w:r>
      <w:r w:rsidR="004E08AC" w:rsidRPr="00805C9F">
        <w:rPr>
          <w:rFonts w:eastAsia="Calibri"/>
          <w:i/>
          <w:lang w:eastAsia="en-US"/>
        </w:rPr>
        <w:t xml:space="preserve"> в высокой дозе. Общая эффективность терапии леналидомидом</w:t>
      </w:r>
      <w:r w:rsidR="00A473F6" w:rsidRPr="00805C9F">
        <w:rPr>
          <w:rFonts w:eastAsia="Calibri"/>
          <w:i/>
          <w:lang w:eastAsia="en-US"/>
        </w:rPr>
        <w:t>**</w:t>
      </w:r>
      <w:r w:rsidR="004E08AC" w:rsidRPr="00805C9F">
        <w:rPr>
          <w:rFonts w:eastAsia="Calibri"/>
          <w:i/>
          <w:lang w:eastAsia="en-US"/>
        </w:rPr>
        <w:t xml:space="preserve"> и дексаметазоном</w:t>
      </w:r>
      <w:r w:rsidR="00A473F6" w:rsidRPr="00805C9F">
        <w:rPr>
          <w:rFonts w:eastAsia="Calibri"/>
          <w:i/>
          <w:lang w:eastAsia="en-US"/>
        </w:rPr>
        <w:t>**</w:t>
      </w:r>
      <w:r w:rsidR="004E08AC" w:rsidRPr="00805C9F">
        <w:rPr>
          <w:rFonts w:eastAsia="Calibri"/>
          <w:i/>
          <w:lang w:eastAsia="en-US"/>
        </w:rPr>
        <w:t xml:space="preserve"> составила 61 и 60,6</w:t>
      </w:r>
      <w:r w:rsidR="00B46790" w:rsidRPr="00805C9F">
        <w:rPr>
          <w:rFonts w:eastAsia="Calibri"/>
          <w:i/>
          <w:lang w:eastAsia="en-US"/>
        </w:rPr>
        <w:t> </w:t>
      </w:r>
      <w:r w:rsidR="004E08AC" w:rsidRPr="00805C9F">
        <w:rPr>
          <w:rFonts w:eastAsia="Calibri"/>
          <w:i/>
          <w:lang w:eastAsia="en-US"/>
        </w:rPr>
        <w:t>%, а дексаметазоном</w:t>
      </w:r>
      <w:r w:rsidR="00A473F6" w:rsidRPr="00805C9F">
        <w:rPr>
          <w:rFonts w:eastAsia="Calibri"/>
          <w:i/>
          <w:lang w:eastAsia="en-US"/>
        </w:rPr>
        <w:t>**</w:t>
      </w:r>
      <w:r w:rsidR="004E08AC" w:rsidRPr="00805C9F">
        <w:rPr>
          <w:rFonts w:eastAsia="Calibri"/>
          <w:i/>
          <w:lang w:eastAsia="en-US"/>
        </w:rPr>
        <w:t xml:space="preserve"> – 19,9 и 24</w:t>
      </w:r>
      <w:r w:rsidR="00B46790" w:rsidRPr="00805C9F">
        <w:rPr>
          <w:rFonts w:eastAsia="Calibri"/>
          <w:i/>
          <w:lang w:eastAsia="en-US"/>
        </w:rPr>
        <w:t> </w:t>
      </w:r>
      <w:r w:rsidR="004E08AC" w:rsidRPr="00805C9F">
        <w:rPr>
          <w:rFonts w:eastAsia="Calibri"/>
          <w:i/>
          <w:lang w:eastAsia="en-US"/>
        </w:rPr>
        <w:t xml:space="preserve">%. </w:t>
      </w:r>
      <w:r w:rsidR="00B227A1" w:rsidRPr="00805C9F">
        <w:rPr>
          <w:rFonts w:eastAsia="Calibri"/>
          <w:i/>
          <w:lang w:eastAsia="en-US"/>
        </w:rPr>
        <w:t>ПР</w:t>
      </w:r>
      <w:r w:rsidR="004E08AC" w:rsidRPr="00805C9F">
        <w:rPr>
          <w:rFonts w:eastAsia="Calibri"/>
          <w:i/>
          <w:lang w:eastAsia="en-US"/>
        </w:rPr>
        <w:t xml:space="preserve"> и почти </w:t>
      </w:r>
      <w:r w:rsidR="00B227A1" w:rsidRPr="00805C9F">
        <w:rPr>
          <w:rFonts w:eastAsia="Calibri"/>
          <w:i/>
          <w:lang w:eastAsia="en-US"/>
        </w:rPr>
        <w:t>ПР</w:t>
      </w:r>
      <w:r w:rsidR="004E08AC" w:rsidRPr="00805C9F">
        <w:rPr>
          <w:rFonts w:eastAsia="Calibri"/>
          <w:i/>
          <w:lang w:eastAsia="en-US"/>
        </w:rPr>
        <w:t xml:space="preserve"> при лечении леналидомидом</w:t>
      </w:r>
      <w:r w:rsidR="00A473F6" w:rsidRPr="00805C9F">
        <w:rPr>
          <w:rFonts w:eastAsia="Calibri"/>
          <w:i/>
          <w:lang w:eastAsia="en-US"/>
        </w:rPr>
        <w:t>**</w:t>
      </w:r>
      <w:r w:rsidR="004E08AC" w:rsidRPr="00805C9F">
        <w:rPr>
          <w:rFonts w:eastAsia="Calibri"/>
          <w:i/>
          <w:lang w:eastAsia="en-US"/>
        </w:rPr>
        <w:t xml:space="preserve"> и дексаметазоном</w:t>
      </w:r>
      <w:r w:rsidR="00A473F6" w:rsidRPr="00805C9F">
        <w:rPr>
          <w:rFonts w:eastAsia="Calibri"/>
          <w:i/>
          <w:lang w:eastAsia="en-US"/>
        </w:rPr>
        <w:t>**</w:t>
      </w:r>
      <w:r w:rsidR="004E08AC" w:rsidRPr="00805C9F">
        <w:rPr>
          <w:rFonts w:eastAsia="Calibri"/>
          <w:i/>
          <w:lang w:eastAsia="en-US"/>
        </w:rPr>
        <w:t xml:space="preserve"> получены у 24</w:t>
      </w:r>
      <w:r w:rsidR="00B227A1" w:rsidRPr="00805C9F">
        <w:rPr>
          <w:rFonts w:eastAsia="Calibri"/>
          <w:i/>
          <w:lang w:eastAsia="en-US"/>
        </w:rPr>
        <w:t> </w:t>
      </w:r>
      <w:r w:rsidR="004E08AC" w:rsidRPr="00805C9F">
        <w:rPr>
          <w:rFonts w:eastAsia="Calibri"/>
          <w:i/>
          <w:lang w:eastAsia="en-US"/>
        </w:rPr>
        <w:t xml:space="preserve">% </w:t>
      </w:r>
      <w:r w:rsidR="00FB03BB" w:rsidRPr="00805C9F">
        <w:rPr>
          <w:rFonts w:eastAsia="Calibri"/>
          <w:i/>
          <w:lang w:eastAsia="en-US"/>
        </w:rPr>
        <w:t>пациентов</w:t>
      </w:r>
      <w:r w:rsidR="004E08AC" w:rsidRPr="00805C9F">
        <w:rPr>
          <w:rFonts w:eastAsia="Calibri"/>
          <w:i/>
          <w:lang w:eastAsia="en-US"/>
        </w:rPr>
        <w:t>. Медиана ВДП при лечении леналидомидом</w:t>
      </w:r>
      <w:r w:rsidR="00A473F6" w:rsidRPr="00805C9F">
        <w:rPr>
          <w:rFonts w:eastAsia="Calibri"/>
          <w:i/>
          <w:lang w:eastAsia="en-US"/>
        </w:rPr>
        <w:t>**</w:t>
      </w:r>
      <w:r w:rsidR="004E08AC" w:rsidRPr="00805C9F">
        <w:rPr>
          <w:rFonts w:eastAsia="Calibri"/>
          <w:i/>
          <w:lang w:eastAsia="en-US"/>
        </w:rPr>
        <w:t xml:space="preserve"> и дексаметазоном</w:t>
      </w:r>
      <w:r w:rsidR="00A473F6" w:rsidRPr="00805C9F">
        <w:rPr>
          <w:rFonts w:eastAsia="Calibri"/>
          <w:i/>
          <w:lang w:eastAsia="en-US"/>
        </w:rPr>
        <w:t>**</w:t>
      </w:r>
      <w:r w:rsidR="004E08AC" w:rsidRPr="00805C9F">
        <w:rPr>
          <w:rFonts w:eastAsia="Calibri"/>
          <w:i/>
          <w:lang w:eastAsia="en-US"/>
        </w:rPr>
        <w:t xml:space="preserve"> составила 11,2 мес</w:t>
      </w:r>
      <w:r w:rsidR="00E778E9" w:rsidRPr="00805C9F">
        <w:rPr>
          <w:rFonts w:eastAsia="Calibri"/>
          <w:i/>
          <w:lang w:eastAsia="en-US"/>
        </w:rPr>
        <w:t>.</w:t>
      </w:r>
      <w:r w:rsidR="004E08AC" w:rsidRPr="00805C9F">
        <w:rPr>
          <w:rFonts w:eastAsia="Calibri"/>
          <w:i/>
          <w:lang w:eastAsia="en-US"/>
        </w:rPr>
        <w:t xml:space="preserve"> (при лечении дексаметазоном</w:t>
      </w:r>
      <w:r w:rsidR="00A473F6" w:rsidRPr="00805C9F">
        <w:rPr>
          <w:rFonts w:eastAsia="Calibri"/>
          <w:i/>
          <w:lang w:eastAsia="en-US"/>
        </w:rPr>
        <w:t>**</w:t>
      </w:r>
      <w:r w:rsidR="00B227A1" w:rsidRPr="00805C9F">
        <w:rPr>
          <w:rFonts w:eastAsia="Calibri"/>
          <w:i/>
          <w:lang w:eastAsia="en-US"/>
        </w:rPr>
        <w:t xml:space="preserve"> − </w:t>
      </w:r>
      <w:r w:rsidR="004E08AC" w:rsidRPr="00805C9F">
        <w:rPr>
          <w:rFonts w:eastAsia="Calibri"/>
          <w:i/>
          <w:lang w:eastAsia="en-US"/>
        </w:rPr>
        <w:t xml:space="preserve"> 4,7 мес</w:t>
      </w:r>
      <w:r w:rsidR="009F1549" w:rsidRPr="00805C9F">
        <w:rPr>
          <w:rFonts w:eastAsia="Calibri"/>
          <w:i/>
          <w:lang w:eastAsia="en-US"/>
        </w:rPr>
        <w:t>.</w:t>
      </w:r>
      <w:r w:rsidR="004E08AC" w:rsidRPr="00805C9F">
        <w:rPr>
          <w:rFonts w:eastAsia="Calibri"/>
          <w:i/>
          <w:lang w:eastAsia="en-US"/>
        </w:rPr>
        <w:t>). Медиана ОВ составила соответственно 35 и 31 мес.</w:t>
      </w:r>
    </w:p>
    <w:p w14:paraId="549A7798" w14:textId="77777777" w:rsidR="004E08AC" w:rsidRPr="00805C9F" w:rsidRDefault="004E08AC" w:rsidP="00092917">
      <w:pPr>
        <w:pStyle w:val="a4"/>
        <w:spacing w:before="0" w:beforeAutospacing="0" w:after="0" w:afterAutospacing="0" w:line="360" w:lineRule="auto"/>
        <w:ind w:firstLine="709"/>
        <w:contextualSpacing/>
        <w:jc w:val="both"/>
        <w:rPr>
          <w:rFonts w:eastAsia="Calibri"/>
          <w:i/>
          <w:lang w:eastAsia="en-US"/>
        </w:rPr>
      </w:pPr>
      <w:r w:rsidRPr="00805C9F">
        <w:rPr>
          <w:rFonts w:eastAsia="Calibri"/>
          <w:i/>
          <w:lang w:eastAsia="en-US"/>
        </w:rPr>
        <w:t>Существуют данные, указывающие на то, что использование леналидомида</w:t>
      </w:r>
      <w:r w:rsidR="00A473F6" w:rsidRPr="00805C9F">
        <w:rPr>
          <w:rFonts w:eastAsia="Calibri"/>
          <w:i/>
          <w:lang w:eastAsia="en-US"/>
        </w:rPr>
        <w:t>**</w:t>
      </w:r>
      <w:r w:rsidRPr="00805C9F">
        <w:rPr>
          <w:rFonts w:eastAsia="Calibri"/>
          <w:i/>
          <w:lang w:eastAsia="en-US"/>
        </w:rPr>
        <w:t xml:space="preserve"> с дексаметазоном</w:t>
      </w:r>
      <w:r w:rsidR="00A473F6" w:rsidRPr="00805C9F">
        <w:rPr>
          <w:rFonts w:eastAsia="Calibri"/>
          <w:i/>
          <w:lang w:eastAsia="en-US"/>
        </w:rPr>
        <w:t>**</w:t>
      </w:r>
      <w:r w:rsidRPr="00805C9F">
        <w:rPr>
          <w:rFonts w:eastAsia="Calibri"/>
          <w:i/>
          <w:lang w:eastAsia="en-US"/>
        </w:rPr>
        <w:t xml:space="preserve"> при первом рецидиве более эффективно, чем их применение после многократных курсов терапии спасения. Частота ПР и ОХЧР существенно выше при использовании леналидомида</w:t>
      </w:r>
      <w:r w:rsidR="00A473F6" w:rsidRPr="00805C9F">
        <w:rPr>
          <w:rFonts w:eastAsia="Calibri"/>
          <w:i/>
          <w:lang w:eastAsia="en-US"/>
        </w:rPr>
        <w:t>**</w:t>
      </w:r>
      <w:r w:rsidRPr="00805C9F">
        <w:rPr>
          <w:rFonts w:eastAsia="Calibri"/>
          <w:i/>
          <w:lang w:eastAsia="en-US"/>
        </w:rPr>
        <w:t xml:space="preserve"> и дексаметазона</w:t>
      </w:r>
      <w:r w:rsidR="00A473F6" w:rsidRPr="00805C9F">
        <w:rPr>
          <w:rFonts w:eastAsia="Calibri"/>
          <w:i/>
          <w:lang w:eastAsia="en-US"/>
        </w:rPr>
        <w:t>**</w:t>
      </w:r>
      <w:r w:rsidRPr="00805C9F">
        <w:rPr>
          <w:rFonts w:eastAsia="Calibri"/>
          <w:i/>
          <w:lang w:eastAsia="en-US"/>
        </w:rPr>
        <w:t xml:space="preserve"> в качестве терапии </w:t>
      </w:r>
      <w:r w:rsidR="00B227A1" w:rsidRPr="00805C9F">
        <w:rPr>
          <w:rFonts w:eastAsia="Calibri"/>
          <w:i/>
          <w:lang w:eastAsia="en-US"/>
        </w:rPr>
        <w:t>2-</w:t>
      </w:r>
      <w:r w:rsidRPr="00805C9F">
        <w:rPr>
          <w:rFonts w:eastAsia="Calibri"/>
          <w:i/>
          <w:lang w:eastAsia="en-US"/>
        </w:rPr>
        <w:t xml:space="preserve">й линии, чем при </w:t>
      </w:r>
      <w:r w:rsidRPr="00805C9F">
        <w:rPr>
          <w:rFonts w:eastAsia="Calibri"/>
          <w:i/>
          <w:lang w:eastAsia="en-US"/>
        </w:rPr>
        <w:lastRenderedPageBreak/>
        <w:t xml:space="preserve">назначении этой программы в качестве терапии </w:t>
      </w:r>
      <w:r w:rsidR="00B227A1" w:rsidRPr="00805C9F">
        <w:rPr>
          <w:rFonts w:eastAsia="Calibri"/>
          <w:i/>
          <w:lang w:eastAsia="en-US"/>
        </w:rPr>
        <w:t>3-й</w:t>
      </w:r>
      <w:r w:rsidRPr="00805C9F">
        <w:rPr>
          <w:rFonts w:eastAsia="Calibri"/>
          <w:i/>
          <w:lang w:eastAsia="en-US"/>
        </w:rPr>
        <w:t xml:space="preserve"> и последующих линий терапии (39,8</w:t>
      </w:r>
      <w:r w:rsidR="00B227A1" w:rsidRPr="00805C9F">
        <w:rPr>
          <w:rFonts w:eastAsia="Calibri"/>
          <w:i/>
          <w:lang w:eastAsia="en-US"/>
        </w:rPr>
        <w:t> </w:t>
      </w:r>
      <w:r w:rsidRPr="00805C9F">
        <w:rPr>
          <w:rFonts w:eastAsia="Calibri"/>
          <w:i/>
          <w:lang w:eastAsia="en-US"/>
        </w:rPr>
        <w:t>% по сравнению с 27,7</w:t>
      </w:r>
      <w:r w:rsidR="00B227A1" w:rsidRPr="00805C9F">
        <w:rPr>
          <w:rFonts w:eastAsia="Calibri"/>
          <w:i/>
          <w:lang w:eastAsia="en-US"/>
        </w:rPr>
        <w:t> </w:t>
      </w:r>
      <w:r w:rsidRPr="00805C9F">
        <w:rPr>
          <w:rFonts w:eastAsia="Calibri"/>
          <w:i/>
          <w:lang w:eastAsia="en-US"/>
        </w:rPr>
        <w:t>%).  Медиана ОВ также существенно продолжительнее, когда леналидомид</w:t>
      </w:r>
      <w:r w:rsidR="00AD2477" w:rsidRPr="00805C9F">
        <w:rPr>
          <w:rFonts w:eastAsia="Calibri"/>
          <w:i/>
          <w:lang w:eastAsia="en-US"/>
        </w:rPr>
        <w:t>**</w:t>
      </w:r>
      <w:r w:rsidRPr="00805C9F">
        <w:rPr>
          <w:rFonts w:eastAsia="Calibri"/>
          <w:i/>
          <w:lang w:eastAsia="en-US"/>
        </w:rPr>
        <w:t xml:space="preserve"> с дексаметазоном</w:t>
      </w:r>
      <w:r w:rsidR="00AD2477" w:rsidRPr="00805C9F">
        <w:rPr>
          <w:rFonts w:eastAsia="Calibri"/>
          <w:i/>
          <w:lang w:eastAsia="en-US"/>
        </w:rPr>
        <w:t>**</w:t>
      </w:r>
      <w:r w:rsidRPr="00805C9F">
        <w:rPr>
          <w:rFonts w:eastAsia="Calibri"/>
          <w:i/>
          <w:lang w:eastAsia="en-US"/>
        </w:rPr>
        <w:t xml:space="preserve"> применяли при первом рецидиве, по сравнению с ситуациями, когда данную комбинацию использовали после </w:t>
      </w:r>
      <w:r w:rsidR="006844A0" w:rsidRPr="00805C9F">
        <w:rPr>
          <w:rFonts w:eastAsia="Calibri"/>
          <w:i/>
          <w:lang w:eastAsia="en-US"/>
        </w:rPr>
        <w:t>2-</w:t>
      </w:r>
      <w:r w:rsidRPr="00805C9F">
        <w:rPr>
          <w:rFonts w:eastAsia="Calibri"/>
          <w:i/>
          <w:lang w:eastAsia="en-US"/>
        </w:rPr>
        <w:t>й и более линий химиотерапии (42 мес</w:t>
      </w:r>
      <w:r w:rsidR="00E778E9" w:rsidRPr="00805C9F">
        <w:rPr>
          <w:rFonts w:eastAsia="Calibri"/>
          <w:i/>
          <w:lang w:eastAsia="en-US"/>
        </w:rPr>
        <w:t>.</w:t>
      </w:r>
      <w:r w:rsidRPr="00805C9F">
        <w:rPr>
          <w:rFonts w:eastAsia="Calibri"/>
          <w:i/>
          <w:lang w:eastAsia="en-US"/>
        </w:rPr>
        <w:t xml:space="preserve"> по сравнению с 35,8 мес</w:t>
      </w:r>
      <w:r w:rsidR="00E778E9" w:rsidRPr="00805C9F">
        <w:rPr>
          <w:rFonts w:eastAsia="Calibri"/>
          <w:i/>
          <w:lang w:eastAsia="en-US"/>
        </w:rPr>
        <w:t>.</w:t>
      </w:r>
      <w:r w:rsidRPr="00805C9F">
        <w:rPr>
          <w:rFonts w:eastAsia="Calibri"/>
          <w:i/>
          <w:lang w:eastAsia="en-US"/>
        </w:rPr>
        <w:t>).</w:t>
      </w:r>
    </w:p>
    <w:p w14:paraId="44EAE8B8" w14:textId="77777777" w:rsidR="004E08AC" w:rsidRPr="00805C9F" w:rsidRDefault="004E08AC" w:rsidP="00092917">
      <w:pPr>
        <w:pStyle w:val="a4"/>
        <w:spacing w:before="0" w:beforeAutospacing="0" w:after="0" w:afterAutospacing="0" w:line="360" w:lineRule="auto"/>
        <w:ind w:firstLine="709"/>
        <w:contextualSpacing/>
        <w:jc w:val="both"/>
        <w:rPr>
          <w:rFonts w:eastAsia="Calibri"/>
          <w:i/>
          <w:lang w:eastAsia="en-US"/>
        </w:rPr>
      </w:pPr>
      <w:r w:rsidRPr="00805C9F">
        <w:rPr>
          <w:rFonts w:eastAsia="Calibri"/>
          <w:i/>
          <w:lang w:eastAsia="en-US"/>
        </w:rPr>
        <w:t xml:space="preserve">В клиническом исследовании VISTA было показано, что при развитии рецидива после </w:t>
      </w:r>
      <w:r w:rsidR="00D2027D" w:rsidRPr="00805C9F">
        <w:rPr>
          <w:rFonts w:eastAsia="Calibri"/>
          <w:i/>
          <w:lang w:eastAsia="en-US"/>
        </w:rPr>
        <w:t>1-</w:t>
      </w:r>
      <w:r w:rsidRPr="00805C9F">
        <w:rPr>
          <w:rFonts w:eastAsia="Calibri"/>
          <w:i/>
          <w:lang w:eastAsia="en-US"/>
        </w:rPr>
        <w:t>й линии лечения по схеме VMP эффективность программ на основе леналидомида</w:t>
      </w:r>
      <w:r w:rsidR="00A473F6" w:rsidRPr="00805C9F">
        <w:rPr>
          <w:rFonts w:eastAsia="Calibri"/>
          <w:i/>
          <w:lang w:eastAsia="en-US"/>
        </w:rPr>
        <w:t>**</w:t>
      </w:r>
      <w:r w:rsidRPr="00805C9F">
        <w:rPr>
          <w:rFonts w:eastAsia="Calibri"/>
          <w:i/>
          <w:lang w:eastAsia="en-US"/>
        </w:rPr>
        <w:t xml:space="preserve"> выше (73</w:t>
      </w:r>
      <w:r w:rsidR="00D2027D" w:rsidRPr="00805C9F">
        <w:rPr>
          <w:rFonts w:eastAsia="Calibri"/>
          <w:i/>
          <w:lang w:eastAsia="en-US"/>
        </w:rPr>
        <w:t> %) по сравнению с бортезомиб</w:t>
      </w:r>
      <w:r w:rsidRPr="00805C9F">
        <w:rPr>
          <w:rFonts w:eastAsia="Calibri"/>
          <w:i/>
          <w:lang w:eastAsia="en-US"/>
        </w:rPr>
        <w:t>содержащей терапией (41</w:t>
      </w:r>
      <w:r w:rsidR="00D2027D" w:rsidRPr="00805C9F">
        <w:rPr>
          <w:rFonts w:eastAsia="Calibri"/>
          <w:i/>
          <w:lang w:eastAsia="en-US"/>
        </w:rPr>
        <w:t> </w:t>
      </w:r>
      <w:r w:rsidRPr="00805C9F">
        <w:rPr>
          <w:rFonts w:eastAsia="Calibri"/>
          <w:i/>
          <w:lang w:eastAsia="en-US"/>
        </w:rPr>
        <w:t xml:space="preserve">%). </w:t>
      </w:r>
    </w:p>
    <w:p w14:paraId="02EEC745" w14:textId="77777777" w:rsidR="004E08AC" w:rsidRPr="00805C9F" w:rsidRDefault="004E08AC" w:rsidP="00092917">
      <w:pPr>
        <w:pStyle w:val="a4"/>
        <w:spacing w:before="0" w:beforeAutospacing="0" w:after="0" w:afterAutospacing="0" w:line="360" w:lineRule="auto"/>
        <w:ind w:firstLine="709"/>
        <w:contextualSpacing/>
        <w:jc w:val="both"/>
        <w:rPr>
          <w:rFonts w:eastAsia="Calibri"/>
          <w:i/>
          <w:lang w:eastAsia="en-US"/>
        </w:rPr>
      </w:pPr>
      <w:r w:rsidRPr="00805C9F">
        <w:rPr>
          <w:rFonts w:eastAsia="Calibri"/>
          <w:i/>
          <w:lang w:eastAsia="en-US"/>
        </w:rPr>
        <w:t>Перед началом терапии леналидомидом</w:t>
      </w:r>
      <w:r w:rsidR="004A402B" w:rsidRPr="00805C9F">
        <w:rPr>
          <w:rFonts w:eastAsia="Calibri"/>
          <w:i/>
          <w:lang w:eastAsia="en-US"/>
        </w:rPr>
        <w:t>**</w:t>
      </w:r>
      <w:r w:rsidRPr="00805C9F">
        <w:rPr>
          <w:rFonts w:eastAsia="Calibri"/>
          <w:i/>
          <w:lang w:eastAsia="en-US"/>
        </w:rPr>
        <w:t xml:space="preserve"> необходимо оценить функцию почек и провести соответствующую коррекцию дозы препарата</w:t>
      </w:r>
      <w:r w:rsidR="00EE1C7E" w:rsidRPr="00805C9F">
        <w:rPr>
          <w:rFonts w:eastAsia="Calibri"/>
          <w:i/>
          <w:lang w:eastAsia="en-US"/>
        </w:rPr>
        <w:t xml:space="preserve"> (см. приложение </w:t>
      </w:r>
      <w:r w:rsidR="00C812D6" w:rsidRPr="00805C9F">
        <w:rPr>
          <w:rFonts w:eastAsia="Calibri"/>
          <w:i/>
          <w:lang w:eastAsia="en-US"/>
        </w:rPr>
        <w:t>А3.2</w:t>
      </w:r>
      <w:r w:rsidR="00D2027D" w:rsidRPr="00805C9F">
        <w:rPr>
          <w:rFonts w:eastAsia="Calibri"/>
          <w:i/>
          <w:lang w:eastAsia="en-US"/>
        </w:rPr>
        <w:t>.</w:t>
      </w:r>
      <w:r w:rsidR="00EE1C7E" w:rsidRPr="00805C9F">
        <w:rPr>
          <w:rFonts w:eastAsia="Calibri"/>
          <w:i/>
          <w:lang w:eastAsia="en-US"/>
        </w:rPr>
        <w:t>)</w:t>
      </w:r>
      <w:r w:rsidRPr="00805C9F">
        <w:rPr>
          <w:rFonts w:eastAsia="Calibri"/>
          <w:i/>
          <w:lang w:eastAsia="en-US"/>
        </w:rPr>
        <w:t>.</w:t>
      </w:r>
    </w:p>
    <w:p w14:paraId="1D5F4F2D" w14:textId="77777777" w:rsidR="004E08AC" w:rsidRPr="00805C9F" w:rsidRDefault="004E08AC" w:rsidP="00092917">
      <w:pPr>
        <w:pStyle w:val="a4"/>
        <w:spacing w:before="0" w:beforeAutospacing="0" w:after="0" w:afterAutospacing="0" w:line="360" w:lineRule="auto"/>
        <w:ind w:firstLine="709"/>
        <w:contextualSpacing/>
        <w:jc w:val="both"/>
        <w:rPr>
          <w:rFonts w:eastAsia="Calibri"/>
          <w:i/>
          <w:lang w:eastAsia="en-US"/>
        </w:rPr>
      </w:pPr>
      <w:r w:rsidRPr="00805C9F">
        <w:rPr>
          <w:rFonts w:eastAsia="Calibri"/>
          <w:i/>
          <w:lang w:eastAsia="en-US"/>
        </w:rPr>
        <w:t>При лечении леналидомидом</w:t>
      </w:r>
      <w:r w:rsidR="004A402B" w:rsidRPr="00805C9F">
        <w:rPr>
          <w:rFonts w:eastAsia="Calibri"/>
          <w:i/>
          <w:lang w:eastAsia="en-US"/>
        </w:rPr>
        <w:t>**</w:t>
      </w:r>
      <w:r w:rsidR="00D2027D" w:rsidRPr="00805C9F">
        <w:rPr>
          <w:rFonts w:eastAsia="Calibri"/>
          <w:i/>
          <w:lang w:eastAsia="en-US"/>
        </w:rPr>
        <w:t xml:space="preserve"> </w:t>
      </w:r>
      <w:r w:rsidR="00FB03BB" w:rsidRPr="00805C9F">
        <w:rPr>
          <w:rFonts w:eastAsia="Calibri"/>
          <w:i/>
          <w:lang w:eastAsia="en-US"/>
        </w:rPr>
        <w:t>пациентов</w:t>
      </w:r>
      <w:r w:rsidRPr="00805C9F">
        <w:rPr>
          <w:rFonts w:eastAsia="Calibri"/>
          <w:i/>
          <w:lang w:eastAsia="en-US"/>
        </w:rPr>
        <w:t xml:space="preserve"> ММ с почечной недостаточностью необходим тщательный контроль за показателями крови из-за более часто развивающейся миелосупрессии в процессе лечения, чем при нормальной функции почек.</w:t>
      </w:r>
    </w:p>
    <w:p w14:paraId="6C6D3229" w14:textId="75D5889C" w:rsidR="004E08AC" w:rsidRPr="00805C9F" w:rsidRDefault="004E08AC" w:rsidP="00092917">
      <w:pPr>
        <w:pStyle w:val="a4"/>
        <w:spacing w:before="0" w:beforeAutospacing="0" w:after="0" w:afterAutospacing="0" w:line="360" w:lineRule="auto"/>
        <w:ind w:firstLine="709"/>
        <w:contextualSpacing/>
        <w:jc w:val="both"/>
        <w:rPr>
          <w:rFonts w:eastAsia="Calibri"/>
          <w:i/>
          <w:lang w:eastAsia="en-US"/>
        </w:rPr>
      </w:pPr>
      <w:r w:rsidRPr="00805C9F">
        <w:rPr>
          <w:rFonts w:eastAsia="Calibri"/>
          <w:i/>
          <w:lang w:eastAsia="en-US"/>
        </w:rPr>
        <w:t>Для уменьшения частоты развития тромбозов при лечении леналидомидом</w:t>
      </w:r>
      <w:r w:rsidR="004A402B" w:rsidRPr="00805C9F">
        <w:rPr>
          <w:rFonts w:eastAsia="Calibri"/>
          <w:i/>
          <w:lang w:eastAsia="en-US"/>
        </w:rPr>
        <w:t>**</w:t>
      </w:r>
      <w:r w:rsidRPr="00805C9F">
        <w:rPr>
          <w:rFonts w:eastAsia="Calibri"/>
          <w:i/>
          <w:lang w:eastAsia="en-US"/>
        </w:rPr>
        <w:t xml:space="preserve"> и дексаметазоном</w:t>
      </w:r>
      <w:r w:rsidR="004A402B" w:rsidRPr="00805C9F">
        <w:rPr>
          <w:rFonts w:eastAsia="Calibri"/>
          <w:i/>
          <w:lang w:eastAsia="en-US"/>
        </w:rPr>
        <w:t>**</w:t>
      </w:r>
      <w:r w:rsidRPr="00805C9F">
        <w:rPr>
          <w:rFonts w:eastAsia="Calibri"/>
          <w:i/>
          <w:lang w:eastAsia="en-US"/>
        </w:rPr>
        <w:t xml:space="preserve"> необходима антикоагулянтная профилактика. Пациентам со стандартным риском венозной тромбоэмболии назначают низкие дозы ацетилсалициловой кислоты</w:t>
      </w:r>
      <w:r w:rsidR="005D132C" w:rsidRPr="00805C9F">
        <w:rPr>
          <w:rFonts w:eastAsia="Calibri"/>
          <w:i/>
          <w:lang w:eastAsia="en-US"/>
        </w:rPr>
        <w:t>**</w:t>
      </w:r>
      <w:r w:rsidRPr="00805C9F">
        <w:rPr>
          <w:rFonts w:eastAsia="Calibri"/>
          <w:i/>
          <w:lang w:eastAsia="en-US"/>
        </w:rPr>
        <w:t xml:space="preserve"> (</w:t>
      </w:r>
      <w:r w:rsidR="00942902" w:rsidRPr="00805C9F">
        <w:rPr>
          <w:rFonts w:eastAsia="Calibri"/>
          <w:i/>
          <w:lang w:eastAsia="en-US"/>
        </w:rPr>
        <w:t>80</w:t>
      </w:r>
      <w:r w:rsidR="005248AD" w:rsidRPr="00805C9F">
        <w:rPr>
          <w:rFonts w:eastAsia="Calibri"/>
          <w:i/>
          <w:lang w:eastAsia="en-US"/>
        </w:rPr>
        <w:t>−</w:t>
      </w:r>
      <w:r w:rsidRPr="00805C9F">
        <w:rPr>
          <w:rFonts w:eastAsia="Calibri"/>
          <w:i/>
          <w:lang w:eastAsia="en-US"/>
        </w:rPr>
        <w:t xml:space="preserve">100 мг). При более высоком риске тромбозов, особенно у обездвиженных пациентов, </w:t>
      </w:r>
      <w:r w:rsidR="005248AD" w:rsidRPr="00805C9F">
        <w:rPr>
          <w:rFonts w:eastAsia="Calibri"/>
          <w:i/>
          <w:lang w:eastAsia="en-US"/>
        </w:rPr>
        <w:t>лиц</w:t>
      </w:r>
      <w:r w:rsidRPr="00805C9F">
        <w:rPr>
          <w:rFonts w:eastAsia="Calibri"/>
          <w:i/>
          <w:lang w:eastAsia="en-US"/>
        </w:rPr>
        <w:t>, имеющих тромбозы или тромбоэмболии в анамнезе</w:t>
      </w:r>
      <w:r w:rsidR="005248AD" w:rsidRPr="00805C9F">
        <w:rPr>
          <w:rFonts w:eastAsia="Calibri"/>
          <w:i/>
          <w:lang w:eastAsia="en-US"/>
        </w:rPr>
        <w:t>,</w:t>
      </w:r>
      <w:r w:rsidRPr="00805C9F">
        <w:rPr>
          <w:rFonts w:eastAsia="Calibri"/>
          <w:i/>
          <w:lang w:eastAsia="en-US"/>
        </w:rPr>
        <w:t xml:space="preserve"> или у </w:t>
      </w:r>
      <w:r w:rsidR="00534E54" w:rsidRPr="00805C9F">
        <w:rPr>
          <w:rFonts w:eastAsia="Calibri"/>
          <w:i/>
          <w:lang w:eastAsia="en-US"/>
        </w:rPr>
        <w:t>пациентов</w:t>
      </w:r>
      <w:r w:rsidRPr="00805C9F">
        <w:rPr>
          <w:rFonts w:eastAsia="Calibri"/>
          <w:i/>
          <w:lang w:eastAsia="en-US"/>
        </w:rPr>
        <w:t>, получающих эритропоэтин</w:t>
      </w:r>
      <w:r w:rsidR="00FB04F3" w:rsidRPr="00805C9F">
        <w:rPr>
          <w:rFonts w:eastAsia="Calibri"/>
          <w:i/>
          <w:lang w:eastAsia="en-US"/>
        </w:rPr>
        <w:t>**</w:t>
      </w:r>
      <w:r w:rsidRPr="00805C9F">
        <w:rPr>
          <w:rFonts w:eastAsia="Calibri"/>
          <w:i/>
          <w:lang w:eastAsia="en-US"/>
        </w:rPr>
        <w:t>, следует рассмотреть возможность использования профилактической дозы низкомолекулярного гепарина</w:t>
      </w:r>
      <w:r w:rsidR="005D132C" w:rsidRPr="00805C9F">
        <w:rPr>
          <w:rFonts w:eastAsia="Calibri"/>
          <w:i/>
          <w:lang w:eastAsia="en-US"/>
        </w:rPr>
        <w:t>**</w:t>
      </w:r>
      <w:r w:rsidRPr="00805C9F">
        <w:rPr>
          <w:rFonts w:eastAsia="Calibri"/>
          <w:i/>
          <w:lang w:eastAsia="en-US"/>
        </w:rPr>
        <w:t>.</w:t>
      </w:r>
    </w:p>
    <w:p w14:paraId="342A444F" w14:textId="77777777" w:rsidR="00162CF5" w:rsidRPr="00805C9F" w:rsidRDefault="004E08AC" w:rsidP="00092917">
      <w:pPr>
        <w:pStyle w:val="a4"/>
        <w:spacing w:before="0" w:beforeAutospacing="0" w:after="0" w:afterAutospacing="0" w:line="360" w:lineRule="auto"/>
        <w:ind w:firstLine="709"/>
        <w:contextualSpacing/>
        <w:jc w:val="both"/>
        <w:rPr>
          <w:rFonts w:eastAsia="Calibri"/>
          <w:i/>
          <w:lang w:eastAsia="en-US"/>
        </w:rPr>
      </w:pPr>
      <w:r w:rsidRPr="00805C9F">
        <w:rPr>
          <w:rFonts w:eastAsia="Calibri"/>
          <w:i/>
          <w:lang w:eastAsia="en-US"/>
        </w:rPr>
        <w:t>В соответствии с накопленным клиническим опытом для улучшения переносимости терапии рекомендуют проводить соответствующую коррекцию дозы дексаметазона</w:t>
      </w:r>
      <w:r w:rsidR="004A402B" w:rsidRPr="00805C9F">
        <w:rPr>
          <w:rFonts w:eastAsia="Calibri"/>
          <w:i/>
          <w:lang w:eastAsia="en-US"/>
        </w:rPr>
        <w:t>**</w:t>
      </w:r>
      <w:r w:rsidRPr="00805C9F">
        <w:rPr>
          <w:rFonts w:eastAsia="Calibri"/>
          <w:i/>
          <w:lang w:eastAsia="en-US"/>
        </w:rPr>
        <w:t xml:space="preserve"> в зависимости от возраста пациентов.</w:t>
      </w:r>
    </w:p>
    <w:p w14:paraId="548B5673" w14:textId="7A95C700" w:rsidR="002D7F46" w:rsidRPr="00805C9F" w:rsidRDefault="00B228C7" w:rsidP="00092917">
      <w:pPr>
        <w:pStyle w:val="a6"/>
        <w:numPr>
          <w:ilvl w:val="0"/>
          <w:numId w:val="8"/>
        </w:numPr>
        <w:tabs>
          <w:tab w:val="clear" w:pos="348"/>
          <w:tab w:val="num" w:pos="709"/>
        </w:tabs>
        <w:spacing w:before="0" w:after="0"/>
        <w:ind w:left="0" w:firstLine="0"/>
        <w:rPr>
          <w:szCs w:val="24"/>
        </w:rPr>
      </w:pPr>
      <w:r w:rsidRPr="00805C9F">
        <w:rPr>
          <w:szCs w:val="24"/>
        </w:rPr>
        <w:t>Пациентам с</w:t>
      </w:r>
      <w:r w:rsidR="00A473F6" w:rsidRPr="00805C9F">
        <w:rPr>
          <w:szCs w:val="24"/>
        </w:rPr>
        <w:t xml:space="preserve"> рецидивом ММ</w:t>
      </w:r>
      <w:r w:rsidRPr="00805C9F">
        <w:rPr>
          <w:szCs w:val="24"/>
        </w:rPr>
        <w:t>, которым показана противомиеломная терапия и у которых не развилась рефрактерность к бортезомибу</w:t>
      </w:r>
      <w:r w:rsidR="00A473F6" w:rsidRPr="00805C9F">
        <w:rPr>
          <w:szCs w:val="24"/>
        </w:rPr>
        <w:t>**</w:t>
      </w:r>
      <w:r w:rsidRPr="00805C9F">
        <w:rPr>
          <w:szCs w:val="24"/>
        </w:rPr>
        <w:t xml:space="preserve"> и леналидомиду</w:t>
      </w:r>
      <w:r w:rsidR="00A473F6" w:rsidRPr="00805C9F">
        <w:rPr>
          <w:szCs w:val="24"/>
        </w:rPr>
        <w:t>**</w:t>
      </w:r>
      <w:r w:rsidRPr="00805C9F">
        <w:rPr>
          <w:szCs w:val="24"/>
        </w:rPr>
        <w:t xml:space="preserve">, </w:t>
      </w:r>
      <w:r w:rsidR="00C86568" w:rsidRPr="00805C9F">
        <w:rPr>
          <w:szCs w:val="24"/>
        </w:rPr>
        <w:t>при агрессивном течении</w:t>
      </w:r>
      <w:r w:rsidR="00215D8C" w:rsidRPr="00805C9F">
        <w:rPr>
          <w:szCs w:val="24"/>
        </w:rPr>
        <w:t xml:space="preserve"> рецидива</w:t>
      </w:r>
      <w:r w:rsidR="002D7F46" w:rsidRPr="00805C9F">
        <w:rPr>
          <w:szCs w:val="24"/>
        </w:rPr>
        <w:t xml:space="preserve"> в качестве одной из возможных опций может быть </w:t>
      </w:r>
      <w:r w:rsidR="002D7F46" w:rsidRPr="00805C9F">
        <w:rPr>
          <w:b/>
          <w:szCs w:val="24"/>
        </w:rPr>
        <w:t>рекомендована</w:t>
      </w:r>
      <w:r w:rsidR="002D7F46" w:rsidRPr="00805C9F">
        <w:rPr>
          <w:szCs w:val="24"/>
        </w:rPr>
        <w:t xml:space="preserve"> терапия с включением в схему лечения</w:t>
      </w:r>
      <w:r w:rsidR="00C531AE" w:rsidRPr="00805C9F">
        <w:rPr>
          <w:szCs w:val="24"/>
        </w:rPr>
        <w:t xml:space="preserve"> </w:t>
      </w:r>
      <w:r w:rsidR="00C86568" w:rsidRPr="00805C9F">
        <w:rPr>
          <w:szCs w:val="24"/>
        </w:rPr>
        <w:t>бортезомиба**,</w:t>
      </w:r>
      <w:r w:rsidR="000A156C" w:rsidRPr="00805C9F">
        <w:rPr>
          <w:szCs w:val="24"/>
        </w:rPr>
        <w:t xml:space="preserve"> </w:t>
      </w:r>
      <w:r w:rsidR="002D7F46" w:rsidRPr="00805C9F">
        <w:rPr>
          <w:szCs w:val="24"/>
        </w:rPr>
        <w:t>леналидомида**</w:t>
      </w:r>
      <w:r w:rsidR="00C86568" w:rsidRPr="00805C9F">
        <w:rPr>
          <w:szCs w:val="24"/>
        </w:rPr>
        <w:t xml:space="preserve"> и </w:t>
      </w:r>
      <w:r w:rsidR="002D7F46" w:rsidRPr="00805C9F">
        <w:rPr>
          <w:szCs w:val="24"/>
        </w:rPr>
        <w:t>дексаметазон</w:t>
      </w:r>
      <w:r w:rsidR="00C86568" w:rsidRPr="00805C9F">
        <w:rPr>
          <w:szCs w:val="24"/>
        </w:rPr>
        <w:t>а</w:t>
      </w:r>
      <w:r w:rsidR="002D7F46" w:rsidRPr="00805C9F">
        <w:rPr>
          <w:szCs w:val="24"/>
        </w:rPr>
        <w:t xml:space="preserve">** </w:t>
      </w:r>
      <w:r w:rsidR="00032CFB" w:rsidRPr="00805C9F">
        <w:rPr>
          <w:szCs w:val="24"/>
        </w:rPr>
        <w:t xml:space="preserve">(описание режимов – см. приложение </w:t>
      </w:r>
      <w:r w:rsidR="00C812D6" w:rsidRPr="00805C9F">
        <w:rPr>
          <w:szCs w:val="24"/>
        </w:rPr>
        <w:t>А3.1</w:t>
      </w:r>
      <w:r w:rsidR="00C531AE" w:rsidRPr="00805C9F">
        <w:rPr>
          <w:szCs w:val="24"/>
        </w:rPr>
        <w:t>.</w:t>
      </w:r>
      <w:r w:rsidR="00032CFB" w:rsidRPr="00805C9F">
        <w:rPr>
          <w:szCs w:val="24"/>
        </w:rPr>
        <w:t>)</w:t>
      </w:r>
      <w:r w:rsidR="00D939A2" w:rsidRPr="00805C9F">
        <w:rPr>
          <w:szCs w:val="24"/>
        </w:rPr>
        <w:t xml:space="preserve"> </w:t>
      </w:r>
      <w:r w:rsidR="00A96FB6" w:rsidRPr="00805C9F">
        <w:rPr>
          <w:i/>
          <w:szCs w:val="24"/>
        </w:rPr>
        <w:fldChar w:fldCharType="begin" w:fldLock="1"/>
      </w:r>
      <w:r w:rsidR="00500F37">
        <w:rPr>
          <w:i/>
          <w:szCs w:val="24"/>
        </w:rPr>
        <w:instrText>ADDIN CSL_CITATION {"citationItems":[{"id":"ITEM-1","itemData":{"DOI":"10.1200/jco.2009.27.15_suppl.8536","author":[{"dropping-particle":"","family":"Anderson","given":"K.C.","non-dropping-particle":"","parse-names":false,"suffix":""},{"dropping-particle":"","family":"Jagannath","given":"S.","non-dropping-particle":"","parse-names":false,"suffix":""},{"dropping-particle":"","family":"Jakubowiak","given":"A.","non-dropping-particle":"","parse-names":false,"suffix":""},{"dropping-particle":"","family":"Lonial","given":"S.","non-dropping-particle":"","parse-names":false,"suffix":""},{"dropping-particle":"","family":"Raje","given":"N.","non-dropping-particle":"","parse-names":false,"suffix":""},{"dropping-particle":"","family":"Alsina","given":"M.","non-dropping-particle":"","parse-names":false,"suffix":""},{"dropping-particle":"","family":"Ghobrial","given":"I.","non-dropping-particle":"","parse-names":false,"suffix":""},{"dropping-particle":"","family":"Knight","given":"R.","non-dropping-particle":"","parse-names":false,"suffix":""},{"dropping-particle":"","family":"Esseltine","given":"D.","non-dropping-particle":"","parse-names":false,"suffix":""},{"dropping-particle":"","family":"Richardson","given":"P.","non-dropping-particle":"","parse-names":false,"suffix":""}],"container-title":"Journal of Clinical Oncology","id":"ITEM-1","issue":"15 (Suppl.)","issued":{"date-parts":[["2009"]]},"page":"Abstract 8536","title":"Lenalidomide, bortezomib, and dexamethasone in relapsed/refractory multiple myeloma (MM): Encouraging outcomes and tolerability in a phase II study","type":"article-journal","volume":"27"},"uris":["http://www.mendeley.com/documents/?uuid=e626abc9-b1fb-4470-be82-facc41059486"]}],"mendeley":{"formattedCitation":"[64]","plainTextFormattedCitation":"[64]","previouslyFormattedCitation":"[64]"},"properties":{"noteIndex":0},"schema":"https://github.com/citation-style-language/schema/raw/master/csl-citation.json"}</w:instrText>
      </w:r>
      <w:r w:rsidR="00A96FB6" w:rsidRPr="00805C9F">
        <w:rPr>
          <w:i/>
          <w:szCs w:val="24"/>
        </w:rPr>
        <w:fldChar w:fldCharType="separate"/>
      </w:r>
      <w:r w:rsidR="00E03159" w:rsidRPr="00805C9F">
        <w:rPr>
          <w:noProof/>
          <w:szCs w:val="24"/>
        </w:rPr>
        <w:t>[64]</w:t>
      </w:r>
      <w:r w:rsidR="00A96FB6" w:rsidRPr="00805C9F">
        <w:rPr>
          <w:i/>
          <w:szCs w:val="24"/>
        </w:rPr>
        <w:fldChar w:fldCharType="end"/>
      </w:r>
      <w:r w:rsidR="004A402B" w:rsidRPr="00805C9F">
        <w:rPr>
          <w:szCs w:val="24"/>
        </w:rPr>
        <w:t>.</w:t>
      </w:r>
    </w:p>
    <w:p w14:paraId="00806C1F" w14:textId="77777777" w:rsidR="002D7F46" w:rsidRPr="00805C9F" w:rsidRDefault="002D7F46" w:rsidP="00092917">
      <w:pPr>
        <w:pStyle w:val="a6"/>
        <w:spacing w:before="0" w:after="0"/>
        <w:ind w:left="0"/>
        <w:rPr>
          <w:b/>
          <w:szCs w:val="24"/>
        </w:rPr>
      </w:pPr>
      <w:r w:rsidRPr="00805C9F">
        <w:rPr>
          <w:b/>
          <w:szCs w:val="24"/>
        </w:rPr>
        <w:t xml:space="preserve">Уровень убедительности рекомендаций </w:t>
      </w:r>
      <w:r w:rsidR="00C531AE" w:rsidRPr="00805C9F">
        <w:rPr>
          <w:b/>
          <w:szCs w:val="24"/>
        </w:rPr>
        <w:t xml:space="preserve">− </w:t>
      </w:r>
      <w:r w:rsidR="006A50CD" w:rsidRPr="00805C9F">
        <w:rPr>
          <w:b/>
          <w:szCs w:val="24"/>
        </w:rPr>
        <w:t xml:space="preserve">С </w:t>
      </w:r>
      <w:r w:rsidRPr="00805C9F">
        <w:rPr>
          <w:b/>
          <w:szCs w:val="24"/>
        </w:rPr>
        <w:t>(уровень достоверности доказательств</w:t>
      </w:r>
      <w:r w:rsidR="000A156C" w:rsidRPr="00805C9F">
        <w:rPr>
          <w:b/>
          <w:szCs w:val="24"/>
        </w:rPr>
        <w:t xml:space="preserve"> </w:t>
      </w:r>
      <w:r w:rsidR="00C531AE" w:rsidRPr="00805C9F">
        <w:rPr>
          <w:b/>
          <w:szCs w:val="24"/>
        </w:rPr>
        <w:t xml:space="preserve">− </w:t>
      </w:r>
      <w:r w:rsidR="006A50CD" w:rsidRPr="00805C9F">
        <w:rPr>
          <w:b/>
          <w:szCs w:val="24"/>
        </w:rPr>
        <w:t>4</w:t>
      </w:r>
      <w:r w:rsidR="006E390F" w:rsidRPr="00805C9F">
        <w:rPr>
          <w:b/>
          <w:szCs w:val="24"/>
        </w:rPr>
        <w:t>)</w:t>
      </w:r>
    </w:p>
    <w:p w14:paraId="59C09BC8" w14:textId="09B2B441" w:rsidR="00970CB0" w:rsidRPr="00805C9F" w:rsidRDefault="004A402B" w:rsidP="00092917">
      <w:pPr>
        <w:pStyle w:val="a6"/>
        <w:numPr>
          <w:ilvl w:val="0"/>
          <w:numId w:val="8"/>
        </w:numPr>
        <w:tabs>
          <w:tab w:val="clear" w:pos="348"/>
          <w:tab w:val="num" w:pos="709"/>
        </w:tabs>
        <w:spacing w:before="0" w:after="0"/>
        <w:ind w:left="0" w:firstLine="0"/>
        <w:rPr>
          <w:szCs w:val="24"/>
        </w:rPr>
      </w:pPr>
      <w:r w:rsidRPr="00805C9F">
        <w:rPr>
          <w:szCs w:val="24"/>
        </w:rPr>
        <w:t>Пациентам с рецидивом ММ</w:t>
      </w:r>
      <w:r w:rsidR="00B228C7" w:rsidRPr="00805C9F">
        <w:rPr>
          <w:szCs w:val="24"/>
        </w:rPr>
        <w:t>, которым показана противомиеломная терапия и у которых не развилась рефрактерность к бортезомибу</w:t>
      </w:r>
      <w:r w:rsidRPr="00805C9F">
        <w:rPr>
          <w:szCs w:val="24"/>
        </w:rPr>
        <w:t>**</w:t>
      </w:r>
      <w:r w:rsidR="00B228C7" w:rsidRPr="00805C9F">
        <w:rPr>
          <w:szCs w:val="24"/>
        </w:rPr>
        <w:t xml:space="preserve"> и леналидомиду</w:t>
      </w:r>
      <w:r w:rsidRPr="00805C9F">
        <w:rPr>
          <w:szCs w:val="24"/>
        </w:rPr>
        <w:t>**</w:t>
      </w:r>
      <w:r w:rsidR="00B228C7" w:rsidRPr="00805C9F">
        <w:rPr>
          <w:szCs w:val="24"/>
        </w:rPr>
        <w:t>, в качестве одн</w:t>
      </w:r>
      <w:r w:rsidR="00B657E4" w:rsidRPr="00805C9F">
        <w:rPr>
          <w:szCs w:val="24"/>
        </w:rPr>
        <w:t xml:space="preserve">ой из возможных опций </w:t>
      </w:r>
      <w:r w:rsidR="00B657E4" w:rsidRPr="00805C9F">
        <w:rPr>
          <w:b/>
          <w:szCs w:val="24"/>
        </w:rPr>
        <w:t>рекомендуется</w:t>
      </w:r>
      <w:r w:rsidR="00970CB0" w:rsidRPr="00805C9F">
        <w:rPr>
          <w:szCs w:val="24"/>
        </w:rPr>
        <w:t xml:space="preserve"> терапия с </w:t>
      </w:r>
      <w:r w:rsidR="009D3FBB" w:rsidRPr="00805C9F">
        <w:rPr>
          <w:szCs w:val="24"/>
        </w:rPr>
        <w:t>применением комбинированной</w:t>
      </w:r>
      <w:r w:rsidR="00970CB0" w:rsidRPr="00805C9F">
        <w:rPr>
          <w:szCs w:val="24"/>
        </w:rPr>
        <w:t xml:space="preserve"> </w:t>
      </w:r>
      <w:r w:rsidR="009D3FBB" w:rsidRPr="00805C9F">
        <w:rPr>
          <w:szCs w:val="24"/>
        </w:rPr>
        <w:lastRenderedPageBreak/>
        <w:t xml:space="preserve">схемы </w:t>
      </w:r>
      <w:r w:rsidR="00970CB0" w:rsidRPr="00805C9F">
        <w:rPr>
          <w:szCs w:val="24"/>
        </w:rPr>
        <w:t xml:space="preserve">лечения </w:t>
      </w:r>
      <w:r w:rsidR="003446C4" w:rsidRPr="00805C9F">
        <w:rPr>
          <w:szCs w:val="24"/>
        </w:rPr>
        <w:t>карфилзомиба</w:t>
      </w:r>
      <w:r w:rsidR="00C86568" w:rsidRPr="00805C9F">
        <w:rPr>
          <w:szCs w:val="24"/>
        </w:rPr>
        <w:t>**</w:t>
      </w:r>
      <w:r w:rsidR="003446C4" w:rsidRPr="00805C9F">
        <w:rPr>
          <w:szCs w:val="24"/>
        </w:rPr>
        <w:t xml:space="preserve">, </w:t>
      </w:r>
      <w:r w:rsidR="00970CB0" w:rsidRPr="00805C9F">
        <w:rPr>
          <w:szCs w:val="24"/>
        </w:rPr>
        <w:t xml:space="preserve">леналидомида** </w:t>
      </w:r>
      <w:r w:rsidR="003446C4" w:rsidRPr="00805C9F">
        <w:rPr>
          <w:szCs w:val="24"/>
        </w:rPr>
        <w:t xml:space="preserve">и </w:t>
      </w:r>
      <w:r w:rsidR="00970CB0" w:rsidRPr="00805C9F">
        <w:rPr>
          <w:szCs w:val="24"/>
        </w:rPr>
        <w:t>дексаметазон</w:t>
      </w:r>
      <w:r w:rsidR="003446C4" w:rsidRPr="00805C9F">
        <w:rPr>
          <w:szCs w:val="24"/>
        </w:rPr>
        <w:t>а</w:t>
      </w:r>
      <w:r w:rsidR="00970CB0" w:rsidRPr="00805C9F">
        <w:rPr>
          <w:szCs w:val="24"/>
        </w:rPr>
        <w:t xml:space="preserve">** </w:t>
      </w:r>
      <w:r w:rsidR="00032CFB" w:rsidRPr="00805C9F">
        <w:rPr>
          <w:szCs w:val="24"/>
        </w:rPr>
        <w:t xml:space="preserve">(описание режимов – см. приложение </w:t>
      </w:r>
      <w:r w:rsidR="00C812D6" w:rsidRPr="00805C9F">
        <w:rPr>
          <w:szCs w:val="24"/>
        </w:rPr>
        <w:t>А3.1</w:t>
      </w:r>
      <w:r w:rsidR="004B6355" w:rsidRPr="00805C9F">
        <w:rPr>
          <w:szCs w:val="24"/>
        </w:rPr>
        <w:t>.</w:t>
      </w:r>
      <w:r w:rsidR="001D1AA5" w:rsidRPr="00805C9F">
        <w:rPr>
          <w:szCs w:val="24"/>
        </w:rPr>
        <w:t xml:space="preserve">) </w:t>
      </w:r>
      <w:r w:rsidR="00A96FB6" w:rsidRPr="00805C9F">
        <w:rPr>
          <w:i/>
          <w:szCs w:val="24"/>
        </w:rPr>
        <w:fldChar w:fldCharType="begin" w:fldLock="1"/>
      </w:r>
      <w:r w:rsidR="00500F37">
        <w:rPr>
          <w:i/>
          <w:szCs w:val="24"/>
        </w:rPr>
        <w:instrText>ADDIN CSL_CITATION {"citationItems":[{"id":"ITEM-1","itemData":{"DOI":"10.18632/oncotarget.25281","ISSN":"19492553","abstract":"© Shah et al. Objective: Carfilzomib (Carf) is a second-generation proteasome inhibitor approved for patients with relapsed and/or refractory multiple myeloma (RRMM) who failed ≥ 1 prior lines of therapy. We performed a systematic review of Carf literature with meta-analysis to determine the efficacy and safety in RRMM patients. Methods: Based on literature search, we included a total of 14 eligible phase I/ II, phase II and phase III Carf based clinical trials. The cumulative incidence and odds ratios (OR) were calculated with random effect model, using ''R'' software with metaphor package. Results: 2906 evaluable RRMM patients from published clinical trials included. The pooled overall response rate (ORR) was 45% (95% CI: 29-62). The pooled clinical benefit rate (CBR) was 56% (95% CI: 41-71). OR from 3 randomized clinical trials showed that Carf significantly improved ORR and CBR compared to control groups (OR 2.4, P &lt; 0.0001; 2.02, P = 0.0007, respectively). Subgroup analysis showed significantly better ORR (P &lt; 0.0001) and CBR (P &lt; 0.001) with combination regimens compared to monotherapy. Response was significantly higher with high dose of Carf (&gt; 20/27 mg/m2) compared to standard dose (ORR 65% vs. 35%, P = 0.03). Compared to control group, the OR of developing cardiotoxicity (P = 0.002) and hypertension (P &lt; 0.0001) were significantly higher with Carf, while no difference in peripheral neuropathy (P = 0.28). Conclusions: Carf produces significantly better responses with acceptable safety profile in RRMM patients. Combination regimens and higher dose Carf offers better response with no significant extra toxicity. Its efficacy is regardless of cytogenetics or disease stage. Incidences of cardiotoxicity and hypertension seem higher with Carf.","author":[{"dropping-particle":"","family":"Shah","given":"Chintan","non-dropping-particle":"","parse-names":false,"suffix":""},{"dropping-particle":"","family":"Bishnoi","given":"Rohit","non-dropping-particle":"","parse-names":false,"suffix":""},{"dropping-particle":"","family":"Wang","given":"Yu","non-dropping-particle":"","parse-names":false,"suffix":""},{"dropping-particle":"","family":"Zou","given":"Fei","non-dropping-particle":"","parse-names":false,"suffix":""},{"dropping-particle":"","family":"Bejjanki","given":"Harini","non-dropping-particle":"","parse-names":false,"suffix":""},{"dropping-particle":"","family":"Master","given":"Samip","non-dropping-particle":"","parse-names":false,"suffix":""},{"dropping-particle":"","family":"Moreb","given":"Jan S.","non-dropping-particle":"","parse-names":false,"suffix":""}],"container-title":"Oncotarget","id":"ITEM-1","issue":"34","issued":{"date-parts":[["2018","5","1"]]},"page":"23704-23717","publisher":"Impact Journals LLC","title":"Efficacy and safety of carfilzomib in relapsed and/or refractory multiple myeloma: Systematic review and meta-analysis of 14 trials","type":"article-journal","volume":"9"},"uris":["http://www.mendeley.com/documents/?uuid=7eecef4a-18ac-3907-997e-dffa8592d14d"]}],"mendeley":{"formattedCitation":"[65]","plainTextFormattedCitation":"[65]","previouslyFormattedCitation":"[65]"},"properties":{"noteIndex":0},"schema":"https://github.com/citation-style-language/schema/raw/master/csl-citation.json"}</w:instrText>
      </w:r>
      <w:r w:rsidR="00A96FB6" w:rsidRPr="00805C9F">
        <w:rPr>
          <w:i/>
          <w:szCs w:val="24"/>
        </w:rPr>
        <w:fldChar w:fldCharType="separate"/>
      </w:r>
      <w:r w:rsidR="00E03159" w:rsidRPr="00805C9F">
        <w:rPr>
          <w:noProof/>
          <w:szCs w:val="24"/>
        </w:rPr>
        <w:t>[65]</w:t>
      </w:r>
      <w:r w:rsidR="00A96FB6" w:rsidRPr="00805C9F">
        <w:rPr>
          <w:i/>
          <w:szCs w:val="24"/>
        </w:rPr>
        <w:fldChar w:fldCharType="end"/>
      </w:r>
      <w:r w:rsidRPr="00805C9F">
        <w:rPr>
          <w:szCs w:val="24"/>
        </w:rPr>
        <w:t>.</w:t>
      </w:r>
    </w:p>
    <w:p w14:paraId="4D251C2D" w14:textId="77777777" w:rsidR="00970CB0" w:rsidRPr="00805C9F" w:rsidRDefault="00970CB0" w:rsidP="00092917">
      <w:pPr>
        <w:pStyle w:val="a6"/>
        <w:spacing w:before="0" w:after="0"/>
        <w:ind w:left="0"/>
        <w:rPr>
          <w:b/>
          <w:szCs w:val="24"/>
        </w:rPr>
      </w:pPr>
      <w:r w:rsidRPr="00805C9F">
        <w:rPr>
          <w:b/>
          <w:szCs w:val="24"/>
        </w:rPr>
        <w:t xml:space="preserve">Уровень убедительности рекомендаций </w:t>
      </w:r>
      <w:r w:rsidR="004B6355" w:rsidRPr="00805C9F">
        <w:rPr>
          <w:b/>
          <w:szCs w:val="24"/>
        </w:rPr>
        <w:t xml:space="preserve">− </w:t>
      </w:r>
      <w:r w:rsidR="004A402B" w:rsidRPr="00805C9F">
        <w:rPr>
          <w:b/>
          <w:szCs w:val="24"/>
          <w:lang w:val="en-US"/>
        </w:rPr>
        <w:t>A</w:t>
      </w:r>
      <w:r w:rsidR="00D939A2" w:rsidRPr="00805C9F">
        <w:rPr>
          <w:b/>
          <w:szCs w:val="24"/>
        </w:rPr>
        <w:t xml:space="preserve"> </w:t>
      </w:r>
      <w:r w:rsidRPr="00805C9F">
        <w:rPr>
          <w:b/>
          <w:szCs w:val="24"/>
        </w:rPr>
        <w:t>(уровень достоверности доказательств</w:t>
      </w:r>
      <w:r w:rsidR="00D939A2" w:rsidRPr="00805C9F">
        <w:rPr>
          <w:b/>
          <w:szCs w:val="24"/>
        </w:rPr>
        <w:t xml:space="preserve"> </w:t>
      </w:r>
      <w:r w:rsidR="004B6355" w:rsidRPr="00805C9F">
        <w:rPr>
          <w:b/>
          <w:szCs w:val="24"/>
        </w:rPr>
        <w:t xml:space="preserve">− </w:t>
      </w:r>
      <w:r w:rsidR="004A402B" w:rsidRPr="00805C9F">
        <w:rPr>
          <w:b/>
          <w:szCs w:val="24"/>
        </w:rPr>
        <w:t>1</w:t>
      </w:r>
      <w:r w:rsidRPr="00805C9F">
        <w:rPr>
          <w:b/>
          <w:szCs w:val="24"/>
        </w:rPr>
        <w:t>)</w:t>
      </w:r>
    </w:p>
    <w:p w14:paraId="23B6CB75" w14:textId="77777777" w:rsidR="001F641D" w:rsidRPr="00805C9F" w:rsidRDefault="00970CB0" w:rsidP="00092917">
      <w:pPr>
        <w:pStyle w:val="a6"/>
        <w:spacing w:before="0" w:after="0"/>
        <w:ind w:left="0"/>
        <w:rPr>
          <w:i/>
          <w:szCs w:val="24"/>
        </w:rPr>
      </w:pPr>
      <w:r w:rsidRPr="00805C9F">
        <w:rPr>
          <w:b/>
          <w:szCs w:val="24"/>
        </w:rPr>
        <w:t xml:space="preserve">Комментарий: </w:t>
      </w:r>
      <w:r w:rsidR="00D939A2" w:rsidRPr="00805C9F">
        <w:rPr>
          <w:i/>
          <w:szCs w:val="24"/>
        </w:rPr>
        <w:t xml:space="preserve">в </w:t>
      </w:r>
      <w:r w:rsidR="002D7F46" w:rsidRPr="00805C9F">
        <w:rPr>
          <w:i/>
          <w:szCs w:val="24"/>
        </w:rPr>
        <w:t>крупном рандомизированном исследовании III фазы ASPIRE было показано, что добавление карфилзомиба</w:t>
      </w:r>
      <w:r w:rsidR="004A402B" w:rsidRPr="00805C9F">
        <w:rPr>
          <w:i/>
          <w:szCs w:val="24"/>
        </w:rPr>
        <w:t>**</w:t>
      </w:r>
      <w:r w:rsidR="002D7F46" w:rsidRPr="00805C9F">
        <w:rPr>
          <w:i/>
          <w:szCs w:val="24"/>
        </w:rPr>
        <w:t xml:space="preserve"> к сочетанию леналидомида</w:t>
      </w:r>
      <w:r w:rsidR="00AD2477" w:rsidRPr="00805C9F">
        <w:rPr>
          <w:i/>
          <w:szCs w:val="24"/>
        </w:rPr>
        <w:t>**</w:t>
      </w:r>
      <w:r w:rsidR="002D7F46" w:rsidRPr="00805C9F">
        <w:rPr>
          <w:i/>
          <w:szCs w:val="24"/>
        </w:rPr>
        <w:t xml:space="preserve"> и дексаметазона</w:t>
      </w:r>
      <w:r w:rsidR="00AD2477" w:rsidRPr="00805C9F">
        <w:rPr>
          <w:i/>
          <w:szCs w:val="24"/>
        </w:rPr>
        <w:t>**</w:t>
      </w:r>
      <w:r w:rsidR="002D7F46" w:rsidRPr="00805C9F">
        <w:rPr>
          <w:i/>
          <w:szCs w:val="24"/>
        </w:rPr>
        <w:t xml:space="preserve"> значительно улучшает ВБП и ОВ у пациентов с рецидивами ММ. Медиана ВБП составила 26,3 мес</w:t>
      </w:r>
      <w:r w:rsidR="00E778E9" w:rsidRPr="00805C9F">
        <w:rPr>
          <w:i/>
          <w:szCs w:val="24"/>
        </w:rPr>
        <w:t>.</w:t>
      </w:r>
      <w:r w:rsidR="002D7F46" w:rsidRPr="00805C9F">
        <w:rPr>
          <w:i/>
          <w:szCs w:val="24"/>
        </w:rPr>
        <w:t xml:space="preserve"> в группе </w:t>
      </w:r>
      <w:r w:rsidR="00FB03BB" w:rsidRPr="00805C9F">
        <w:rPr>
          <w:i/>
          <w:szCs w:val="24"/>
        </w:rPr>
        <w:t>пациентов</w:t>
      </w:r>
      <w:r w:rsidR="002D7F46" w:rsidRPr="00805C9F">
        <w:rPr>
          <w:i/>
          <w:szCs w:val="24"/>
        </w:rPr>
        <w:t>, получавших карфилзомиб</w:t>
      </w:r>
      <w:r w:rsidR="004A402B" w:rsidRPr="00805C9F">
        <w:rPr>
          <w:i/>
          <w:szCs w:val="24"/>
        </w:rPr>
        <w:t>**</w:t>
      </w:r>
      <w:r w:rsidR="002D7F46" w:rsidRPr="00805C9F">
        <w:rPr>
          <w:i/>
          <w:szCs w:val="24"/>
        </w:rPr>
        <w:t xml:space="preserve"> и 17,6 мес</w:t>
      </w:r>
      <w:r w:rsidR="00E778E9" w:rsidRPr="00805C9F">
        <w:rPr>
          <w:i/>
          <w:szCs w:val="24"/>
        </w:rPr>
        <w:t>.</w:t>
      </w:r>
      <w:r w:rsidR="002D7F46" w:rsidRPr="00805C9F">
        <w:rPr>
          <w:i/>
          <w:szCs w:val="24"/>
        </w:rPr>
        <w:t xml:space="preserve"> у пациентов, получавших только леналидомид</w:t>
      </w:r>
      <w:r w:rsidR="004A402B" w:rsidRPr="00805C9F">
        <w:rPr>
          <w:i/>
          <w:szCs w:val="24"/>
        </w:rPr>
        <w:t>**</w:t>
      </w:r>
      <w:r w:rsidR="002D7F46" w:rsidRPr="00805C9F">
        <w:rPr>
          <w:i/>
          <w:szCs w:val="24"/>
        </w:rPr>
        <w:t xml:space="preserve"> с дексаметазоном</w:t>
      </w:r>
      <w:r w:rsidR="004A402B" w:rsidRPr="00805C9F">
        <w:rPr>
          <w:i/>
          <w:szCs w:val="24"/>
        </w:rPr>
        <w:t>**</w:t>
      </w:r>
      <w:r w:rsidR="002D7F46" w:rsidRPr="00805C9F">
        <w:rPr>
          <w:i/>
          <w:szCs w:val="24"/>
        </w:rPr>
        <w:t>; медиана ОВ – 48,3 мес</w:t>
      </w:r>
      <w:r w:rsidR="00E778E9" w:rsidRPr="00805C9F">
        <w:rPr>
          <w:i/>
          <w:szCs w:val="24"/>
        </w:rPr>
        <w:t>.</w:t>
      </w:r>
      <w:r w:rsidR="002D7F46" w:rsidRPr="00805C9F">
        <w:rPr>
          <w:i/>
          <w:szCs w:val="24"/>
        </w:rPr>
        <w:t xml:space="preserve"> против 40,4 мес</w:t>
      </w:r>
      <w:r w:rsidR="00E778E9" w:rsidRPr="00805C9F">
        <w:rPr>
          <w:i/>
          <w:szCs w:val="24"/>
        </w:rPr>
        <w:t>.</w:t>
      </w:r>
      <w:r w:rsidR="002D7F46" w:rsidRPr="00805C9F">
        <w:rPr>
          <w:i/>
          <w:szCs w:val="24"/>
        </w:rPr>
        <w:t xml:space="preserve"> соответственно. Частота ремиссий также была значительно выше в группе </w:t>
      </w:r>
      <w:r w:rsidR="00FB03BB" w:rsidRPr="00805C9F">
        <w:rPr>
          <w:i/>
          <w:szCs w:val="24"/>
        </w:rPr>
        <w:t>пациентов</w:t>
      </w:r>
      <w:r w:rsidR="002D7F46" w:rsidRPr="00805C9F">
        <w:rPr>
          <w:i/>
          <w:szCs w:val="24"/>
        </w:rPr>
        <w:t>, получавших карфилзомиб</w:t>
      </w:r>
      <w:r w:rsidR="004A402B" w:rsidRPr="00805C9F">
        <w:rPr>
          <w:i/>
          <w:szCs w:val="24"/>
        </w:rPr>
        <w:t>**</w:t>
      </w:r>
      <w:r w:rsidR="002D7F46" w:rsidRPr="00805C9F">
        <w:rPr>
          <w:i/>
          <w:szCs w:val="24"/>
        </w:rPr>
        <w:t>, и составила 87,1</w:t>
      </w:r>
      <w:r w:rsidR="004B6355" w:rsidRPr="00805C9F">
        <w:rPr>
          <w:i/>
          <w:szCs w:val="24"/>
        </w:rPr>
        <w:t> </w:t>
      </w:r>
      <w:r w:rsidR="002D7F46" w:rsidRPr="00805C9F">
        <w:rPr>
          <w:i/>
          <w:szCs w:val="24"/>
        </w:rPr>
        <w:t>% (по сравнению с 66,7</w:t>
      </w:r>
      <w:r w:rsidR="004B6355" w:rsidRPr="00805C9F">
        <w:rPr>
          <w:i/>
          <w:szCs w:val="24"/>
        </w:rPr>
        <w:t> </w:t>
      </w:r>
      <w:r w:rsidR="002D7F46" w:rsidRPr="00805C9F">
        <w:rPr>
          <w:i/>
          <w:szCs w:val="24"/>
        </w:rPr>
        <w:t xml:space="preserve">% в контрольной группе), а частота </w:t>
      </w:r>
      <w:r w:rsidR="004B6355" w:rsidRPr="00805C9F">
        <w:rPr>
          <w:i/>
          <w:szCs w:val="24"/>
        </w:rPr>
        <w:t>ПР</w:t>
      </w:r>
      <w:r w:rsidR="002D7F46" w:rsidRPr="00805C9F">
        <w:rPr>
          <w:i/>
          <w:szCs w:val="24"/>
        </w:rPr>
        <w:t xml:space="preserve"> составила 31,8</w:t>
      </w:r>
      <w:r w:rsidR="004B6355" w:rsidRPr="00805C9F">
        <w:rPr>
          <w:i/>
          <w:szCs w:val="24"/>
        </w:rPr>
        <w:t> </w:t>
      </w:r>
      <w:r w:rsidR="002D7F46" w:rsidRPr="00805C9F">
        <w:rPr>
          <w:i/>
          <w:szCs w:val="24"/>
        </w:rPr>
        <w:t>% (9,3</w:t>
      </w:r>
      <w:r w:rsidR="004B6355" w:rsidRPr="00805C9F">
        <w:rPr>
          <w:i/>
          <w:szCs w:val="24"/>
        </w:rPr>
        <w:t> </w:t>
      </w:r>
      <w:r w:rsidR="002D7F46" w:rsidRPr="00805C9F">
        <w:rPr>
          <w:i/>
          <w:szCs w:val="24"/>
        </w:rPr>
        <w:t>% в контрольной группе). Частота периферической нейропатии была практически одинаковой в обеих группах. Другие негематологические осложнения 3</w:t>
      </w:r>
      <w:r w:rsidR="004B6355" w:rsidRPr="00805C9F">
        <w:rPr>
          <w:i/>
          <w:szCs w:val="24"/>
        </w:rPr>
        <w:t>−</w:t>
      </w:r>
      <w:r w:rsidR="002D7F46" w:rsidRPr="00805C9F">
        <w:rPr>
          <w:i/>
          <w:szCs w:val="24"/>
        </w:rPr>
        <w:t>4</w:t>
      </w:r>
      <w:r w:rsidR="004B6355" w:rsidRPr="00805C9F">
        <w:rPr>
          <w:i/>
          <w:szCs w:val="24"/>
        </w:rPr>
        <w:t>-й</w:t>
      </w:r>
      <w:r w:rsidR="002D7F46" w:rsidRPr="00805C9F">
        <w:rPr>
          <w:i/>
          <w:szCs w:val="24"/>
        </w:rPr>
        <w:t xml:space="preserve"> степени встречались чаще при лечении карфилзомибом</w:t>
      </w:r>
      <w:r w:rsidR="00AD2477" w:rsidRPr="00805C9F">
        <w:rPr>
          <w:i/>
          <w:szCs w:val="24"/>
        </w:rPr>
        <w:t>**</w:t>
      </w:r>
      <w:r w:rsidR="002D7F46" w:rsidRPr="00805C9F">
        <w:rPr>
          <w:i/>
          <w:szCs w:val="24"/>
        </w:rPr>
        <w:t xml:space="preserve"> и включали одышку (2,8 и 1,8</w:t>
      </w:r>
      <w:r w:rsidR="004B6355" w:rsidRPr="00805C9F">
        <w:rPr>
          <w:i/>
          <w:szCs w:val="24"/>
        </w:rPr>
        <w:t> </w:t>
      </w:r>
      <w:r w:rsidR="002D7F46" w:rsidRPr="00805C9F">
        <w:rPr>
          <w:i/>
          <w:szCs w:val="24"/>
        </w:rPr>
        <w:t>% соответственно), сердечную недостаточность (3,8 и 1,8</w:t>
      </w:r>
      <w:r w:rsidR="004B6355" w:rsidRPr="00805C9F">
        <w:rPr>
          <w:i/>
          <w:szCs w:val="24"/>
        </w:rPr>
        <w:t> </w:t>
      </w:r>
      <w:r w:rsidR="002D7F46" w:rsidRPr="00805C9F">
        <w:rPr>
          <w:i/>
          <w:szCs w:val="24"/>
        </w:rPr>
        <w:t>% соответственно) и гипертензию (4,3 и 1,8</w:t>
      </w:r>
      <w:r w:rsidR="004B6355" w:rsidRPr="00805C9F">
        <w:rPr>
          <w:i/>
          <w:szCs w:val="24"/>
        </w:rPr>
        <w:t> </w:t>
      </w:r>
      <w:r w:rsidR="002D7F46" w:rsidRPr="00805C9F">
        <w:rPr>
          <w:i/>
          <w:szCs w:val="24"/>
        </w:rPr>
        <w:t>%). Лечение по схеме KRd рекомендуется при агрессивном течении рецидива</w:t>
      </w:r>
      <w:r w:rsidR="00194E63" w:rsidRPr="00805C9F">
        <w:rPr>
          <w:i/>
          <w:szCs w:val="24"/>
        </w:rPr>
        <w:t>,</w:t>
      </w:r>
      <w:r w:rsidR="002D7F46" w:rsidRPr="00805C9F">
        <w:rPr>
          <w:i/>
          <w:szCs w:val="24"/>
        </w:rPr>
        <w:t xml:space="preserve"> и его продолжают до прогрессирования или развития неприемлемой токсичности.</w:t>
      </w:r>
    </w:p>
    <w:p w14:paraId="36A80A91" w14:textId="212EB7F3" w:rsidR="002D7F46" w:rsidRPr="00805C9F" w:rsidRDefault="00B228C7" w:rsidP="00092917">
      <w:pPr>
        <w:pStyle w:val="a6"/>
        <w:numPr>
          <w:ilvl w:val="0"/>
          <w:numId w:val="8"/>
        </w:numPr>
        <w:tabs>
          <w:tab w:val="clear" w:pos="348"/>
          <w:tab w:val="num" w:pos="709"/>
        </w:tabs>
        <w:spacing w:before="0" w:after="0"/>
        <w:ind w:left="0" w:firstLine="0"/>
        <w:rPr>
          <w:szCs w:val="24"/>
        </w:rPr>
      </w:pPr>
      <w:r w:rsidRPr="00805C9F">
        <w:rPr>
          <w:szCs w:val="24"/>
        </w:rPr>
        <w:t>Пациентам с</w:t>
      </w:r>
      <w:r w:rsidR="00DB0580" w:rsidRPr="00805C9F">
        <w:rPr>
          <w:szCs w:val="24"/>
        </w:rPr>
        <w:t xml:space="preserve"> рецидивом ММ</w:t>
      </w:r>
      <w:r w:rsidRPr="00805C9F">
        <w:rPr>
          <w:szCs w:val="24"/>
        </w:rPr>
        <w:t>, которым показана противомиеломная терапия и у которых не развилась рефр</w:t>
      </w:r>
      <w:r w:rsidR="001D4417" w:rsidRPr="00805C9F">
        <w:rPr>
          <w:szCs w:val="24"/>
        </w:rPr>
        <w:t>а</w:t>
      </w:r>
      <w:r w:rsidRPr="00805C9F">
        <w:rPr>
          <w:szCs w:val="24"/>
        </w:rPr>
        <w:t>ктерность к бортезомибу</w:t>
      </w:r>
      <w:r w:rsidR="002603E3" w:rsidRPr="00805C9F">
        <w:rPr>
          <w:szCs w:val="24"/>
        </w:rPr>
        <w:t>**</w:t>
      </w:r>
      <w:r w:rsidRPr="00805C9F">
        <w:rPr>
          <w:szCs w:val="24"/>
        </w:rPr>
        <w:t xml:space="preserve"> и леналидомиду</w:t>
      </w:r>
      <w:r w:rsidR="002603E3" w:rsidRPr="00805C9F">
        <w:rPr>
          <w:szCs w:val="24"/>
        </w:rPr>
        <w:t>**</w:t>
      </w:r>
      <w:r w:rsidRPr="00805C9F">
        <w:rPr>
          <w:szCs w:val="24"/>
        </w:rPr>
        <w:t>, в качестве од</w:t>
      </w:r>
      <w:r w:rsidR="00B657E4" w:rsidRPr="00805C9F">
        <w:rPr>
          <w:szCs w:val="24"/>
        </w:rPr>
        <w:t xml:space="preserve">ной из возможных опций </w:t>
      </w:r>
      <w:r w:rsidR="00B657E4" w:rsidRPr="00805C9F">
        <w:rPr>
          <w:b/>
          <w:szCs w:val="24"/>
        </w:rPr>
        <w:t>рекомендуется</w:t>
      </w:r>
      <w:r w:rsidR="002D7F46" w:rsidRPr="00805C9F">
        <w:rPr>
          <w:szCs w:val="24"/>
        </w:rPr>
        <w:t xml:space="preserve"> терапия </w:t>
      </w:r>
      <w:r w:rsidR="009D3FBB" w:rsidRPr="00805C9F">
        <w:rPr>
          <w:szCs w:val="24"/>
        </w:rPr>
        <w:t xml:space="preserve">применением комбинированной схемы </w:t>
      </w:r>
      <w:r w:rsidR="002D7F46" w:rsidRPr="00805C9F">
        <w:rPr>
          <w:szCs w:val="24"/>
        </w:rPr>
        <w:t>лечения карфилзомиба</w:t>
      </w:r>
      <w:r w:rsidR="00C86568" w:rsidRPr="00805C9F">
        <w:rPr>
          <w:szCs w:val="24"/>
        </w:rPr>
        <w:t>**</w:t>
      </w:r>
      <w:r w:rsidR="002D7F46" w:rsidRPr="00805C9F">
        <w:rPr>
          <w:szCs w:val="24"/>
        </w:rPr>
        <w:t xml:space="preserve"> и дексаметазона** </w:t>
      </w:r>
      <w:r w:rsidR="00032CFB" w:rsidRPr="00805C9F">
        <w:rPr>
          <w:szCs w:val="24"/>
        </w:rPr>
        <w:t xml:space="preserve">(описание режимов – см. приложение </w:t>
      </w:r>
      <w:r w:rsidR="00C812D6" w:rsidRPr="00805C9F">
        <w:rPr>
          <w:szCs w:val="24"/>
        </w:rPr>
        <w:t>А3.1</w:t>
      </w:r>
      <w:r w:rsidR="00194E63" w:rsidRPr="00805C9F">
        <w:rPr>
          <w:szCs w:val="24"/>
        </w:rPr>
        <w:t>.</w:t>
      </w:r>
      <w:r w:rsidR="00032CFB" w:rsidRPr="00805C9F">
        <w:rPr>
          <w:szCs w:val="24"/>
        </w:rPr>
        <w:t>)</w:t>
      </w:r>
      <w:r w:rsidR="00F2291F" w:rsidRPr="00805C9F">
        <w:rPr>
          <w:szCs w:val="24"/>
        </w:rPr>
        <w:t xml:space="preserve"> </w:t>
      </w:r>
      <w:r w:rsidR="00F2291F" w:rsidRPr="00805C9F">
        <w:rPr>
          <w:szCs w:val="24"/>
        </w:rPr>
        <w:fldChar w:fldCharType="begin" w:fldLock="1"/>
      </w:r>
      <w:r w:rsidR="00500F37">
        <w:rPr>
          <w:szCs w:val="24"/>
        </w:rPr>
        <w:instrText>ADDIN CSL_CITATION {"citationItems":[{"id":"ITEM-1","itemData":{"DOI":"10.18632/oncotarget.25281","ISSN":"19492553","abstract":"© Shah et al. Objective: Carfilzomib (Carf) is a second-generation proteasome inhibitor approved for patients with relapsed and/or refractory multiple myeloma (RRMM) who failed ≥ 1 prior lines of therapy. We performed a systematic review of Carf literature with meta-analysis to determine the efficacy and safety in RRMM patients. Methods: Based on literature search, we included a total of 14 eligible phase I/ II, phase II and phase III Carf based clinical trials. The cumulative incidence and odds ratios (OR) were calculated with random effect model, using ''R'' software with metaphor package. Results: 2906 evaluable RRMM patients from published clinical trials included. The pooled overall response rate (ORR) was 45% (95% CI: 29-62). The pooled clinical benefit rate (CBR) was 56% (95% CI: 41-71). OR from 3 randomized clinical trials showed that Carf significantly improved ORR and CBR compared to control groups (OR 2.4, P &lt; 0.0001; 2.02, P = 0.0007, respectively). Subgroup analysis showed significantly better ORR (P &lt; 0.0001) and CBR (P &lt; 0.001) with combination regimens compared to monotherapy. Response was significantly higher with high dose of Carf (&gt; 20/27 mg/m2) compared to standard dose (ORR 65% vs. 35%, P = 0.03). Compared to control group, the OR of developing cardiotoxicity (P = 0.002) and hypertension (P &lt; 0.0001) were significantly higher with Carf, while no difference in peripheral neuropathy (P = 0.28). Conclusions: Carf produces significantly better responses with acceptable safety profile in RRMM patients. Combination regimens and higher dose Carf offers better response with no significant extra toxicity. Its efficacy is regardless of cytogenetics or disease stage. Incidences of cardiotoxicity and hypertension seem higher with Carf.","author":[{"dropping-particle":"","family":"Shah","given":"Chintan","non-dropping-particle":"","parse-names":false,"suffix":""},{"dropping-particle":"","family":"Bishnoi","given":"Rohit","non-dropping-particle":"","parse-names":false,"suffix":""},{"dropping-particle":"","family":"Wang","given":"Yu","non-dropping-particle":"","parse-names":false,"suffix":""},{"dropping-particle":"","family":"Zou","given":"Fei","non-dropping-particle":"","parse-names":false,"suffix":""},{"dropping-particle":"","family":"Bejjanki","given":"Harini","non-dropping-particle":"","parse-names":false,"suffix":""},{"dropping-particle":"","family":"Master","given":"Samip","non-dropping-particle":"","parse-names":false,"suffix":""},{"dropping-particle":"","family":"Moreb","given":"Jan S.","non-dropping-particle":"","parse-names":false,"suffix":""}],"container-title":"Oncotarget","id":"ITEM-1","issue":"34","issued":{"date-parts":[["2018","5","1"]]},"page":"23704-23717","publisher":"Impact Journals LLC","title":"Efficacy and safety of carfilzomib in relapsed and/or refractory multiple myeloma: Systematic review and meta-analysis of 14 trials","type":"article-journal","volume":"9"},"uris":["http://www.mendeley.com/documents/?uuid=7eecef4a-18ac-3907-997e-dffa8592d14d"]}],"mendeley":{"formattedCitation":"[65]","plainTextFormattedCitation":"[65]","previouslyFormattedCitation":"[65]"},"properties":{"noteIndex":0},"schema":"https://github.com/citation-style-language/schema/raw/master/csl-citation.json"}</w:instrText>
      </w:r>
      <w:r w:rsidR="00F2291F" w:rsidRPr="00805C9F">
        <w:rPr>
          <w:szCs w:val="24"/>
        </w:rPr>
        <w:fldChar w:fldCharType="separate"/>
      </w:r>
      <w:r w:rsidR="00E03159" w:rsidRPr="00805C9F">
        <w:rPr>
          <w:noProof/>
          <w:szCs w:val="24"/>
        </w:rPr>
        <w:t>[65]</w:t>
      </w:r>
      <w:r w:rsidR="00F2291F" w:rsidRPr="00805C9F">
        <w:rPr>
          <w:szCs w:val="24"/>
        </w:rPr>
        <w:fldChar w:fldCharType="end"/>
      </w:r>
      <w:r w:rsidR="009A5168" w:rsidRPr="00805C9F">
        <w:rPr>
          <w:szCs w:val="24"/>
        </w:rPr>
        <w:t>.</w:t>
      </w:r>
    </w:p>
    <w:p w14:paraId="67AA25F4" w14:textId="77777777" w:rsidR="009E099B" w:rsidRPr="00805C9F" w:rsidRDefault="002D7F46" w:rsidP="00092917">
      <w:pPr>
        <w:pStyle w:val="a6"/>
        <w:spacing w:before="0" w:after="0"/>
        <w:ind w:left="0"/>
        <w:rPr>
          <w:b/>
          <w:szCs w:val="24"/>
        </w:rPr>
      </w:pPr>
      <w:r w:rsidRPr="00805C9F">
        <w:rPr>
          <w:b/>
          <w:szCs w:val="24"/>
        </w:rPr>
        <w:t xml:space="preserve">Уровень убедительности рекомендаций </w:t>
      </w:r>
      <w:r w:rsidR="00194E63" w:rsidRPr="00805C9F">
        <w:rPr>
          <w:b/>
          <w:szCs w:val="24"/>
        </w:rPr>
        <w:t xml:space="preserve">− </w:t>
      </w:r>
      <w:r w:rsidR="00BD6788" w:rsidRPr="00805C9F">
        <w:rPr>
          <w:b/>
          <w:szCs w:val="24"/>
          <w:lang w:val="en-US"/>
        </w:rPr>
        <w:t>A</w:t>
      </w:r>
      <w:r w:rsidR="00D939A2" w:rsidRPr="00805C9F">
        <w:rPr>
          <w:b/>
          <w:szCs w:val="24"/>
        </w:rPr>
        <w:t xml:space="preserve"> </w:t>
      </w:r>
      <w:r w:rsidRPr="00805C9F">
        <w:rPr>
          <w:b/>
          <w:szCs w:val="24"/>
        </w:rPr>
        <w:t>(уровень достоверности доказательств</w:t>
      </w:r>
      <w:r w:rsidR="00D939A2" w:rsidRPr="00805C9F">
        <w:rPr>
          <w:b/>
          <w:szCs w:val="24"/>
        </w:rPr>
        <w:t xml:space="preserve"> </w:t>
      </w:r>
      <w:r w:rsidR="00194E63" w:rsidRPr="00805C9F">
        <w:rPr>
          <w:b/>
          <w:szCs w:val="24"/>
        </w:rPr>
        <w:t xml:space="preserve">− </w:t>
      </w:r>
      <w:r w:rsidR="006E390F" w:rsidRPr="00805C9F">
        <w:rPr>
          <w:b/>
          <w:szCs w:val="24"/>
        </w:rPr>
        <w:t>1)</w:t>
      </w:r>
    </w:p>
    <w:p w14:paraId="057EF436" w14:textId="77777777" w:rsidR="002D7F46" w:rsidRPr="00805C9F" w:rsidRDefault="002D7F46" w:rsidP="00092917">
      <w:pPr>
        <w:pStyle w:val="a6"/>
        <w:spacing w:before="0" w:after="0"/>
        <w:ind w:left="0"/>
        <w:rPr>
          <w:i/>
          <w:szCs w:val="24"/>
        </w:rPr>
      </w:pPr>
      <w:r w:rsidRPr="00805C9F">
        <w:rPr>
          <w:b/>
          <w:szCs w:val="24"/>
        </w:rPr>
        <w:t xml:space="preserve">Комментарий: </w:t>
      </w:r>
      <w:r w:rsidR="00D939A2" w:rsidRPr="00805C9F">
        <w:rPr>
          <w:i/>
          <w:szCs w:val="24"/>
        </w:rPr>
        <w:t xml:space="preserve">в </w:t>
      </w:r>
      <w:r w:rsidRPr="00805C9F">
        <w:rPr>
          <w:i/>
          <w:szCs w:val="24"/>
        </w:rPr>
        <w:t>исследовании III фазы ENDEAVOR было показано, что применение комбинации карфилзомиба</w:t>
      </w:r>
      <w:r w:rsidR="006B6D8A" w:rsidRPr="00805C9F">
        <w:rPr>
          <w:i/>
          <w:szCs w:val="24"/>
        </w:rPr>
        <w:t>**</w:t>
      </w:r>
      <w:r w:rsidRPr="00805C9F">
        <w:rPr>
          <w:i/>
          <w:szCs w:val="24"/>
        </w:rPr>
        <w:t xml:space="preserve"> с дексаметазоном</w:t>
      </w:r>
      <w:r w:rsidR="006B6D8A" w:rsidRPr="00805C9F">
        <w:rPr>
          <w:i/>
          <w:szCs w:val="24"/>
        </w:rPr>
        <w:t>**</w:t>
      </w:r>
      <w:r w:rsidRPr="00805C9F">
        <w:rPr>
          <w:i/>
          <w:szCs w:val="24"/>
        </w:rPr>
        <w:t xml:space="preserve"> в 2 раза увеличивает ВБП по сравнению с комбинацией бортезомиба</w:t>
      </w:r>
      <w:r w:rsidR="006B6D8A" w:rsidRPr="00805C9F">
        <w:rPr>
          <w:i/>
          <w:szCs w:val="24"/>
        </w:rPr>
        <w:t>**</w:t>
      </w:r>
      <w:r w:rsidRPr="00805C9F">
        <w:rPr>
          <w:i/>
          <w:szCs w:val="24"/>
        </w:rPr>
        <w:t xml:space="preserve"> с дексаметазоном</w:t>
      </w:r>
      <w:r w:rsidR="006B6D8A" w:rsidRPr="00805C9F">
        <w:rPr>
          <w:i/>
          <w:szCs w:val="24"/>
        </w:rPr>
        <w:t>**</w:t>
      </w:r>
      <w:r w:rsidRPr="00805C9F">
        <w:rPr>
          <w:i/>
          <w:szCs w:val="24"/>
        </w:rPr>
        <w:t xml:space="preserve"> в </w:t>
      </w:r>
      <w:r w:rsidR="00362C51" w:rsidRPr="00805C9F">
        <w:rPr>
          <w:i/>
          <w:szCs w:val="24"/>
        </w:rPr>
        <w:t>этой группе пациентов (18,7 мес</w:t>
      </w:r>
      <w:r w:rsidR="00E778E9" w:rsidRPr="00805C9F">
        <w:rPr>
          <w:i/>
          <w:szCs w:val="24"/>
        </w:rPr>
        <w:t>.</w:t>
      </w:r>
      <w:r w:rsidRPr="00805C9F">
        <w:rPr>
          <w:i/>
          <w:szCs w:val="24"/>
        </w:rPr>
        <w:t xml:space="preserve"> против 9,4 мес</w:t>
      </w:r>
      <w:r w:rsidR="00E778E9" w:rsidRPr="00805C9F">
        <w:rPr>
          <w:i/>
          <w:szCs w:val="24"/>
        </w:rPr>
        <w:t>.</w:t>
      </w:r>
      <w:r w:rsidRPr="00805C9F">
        <w:rPr>
          <w:i/>
          <w:szCs w:val="24"/>
        </w:rPr>
        <w:t>); увеличение ОВ при применении карфилзомиба</w:t>
      </w:r>
      <w:r w:rsidR="00B657E4" w:rsidRPr="00805C9F">
        <w:rPr>
          <w:i/>
          <w:szCs w:val="24"/>
        </w:rPr>
        <w:t>**</w:t>
      </w:r>
      <w:r w:rsidRPr="00805C9F">
        <w:rPr>
          <w:i/>
          <w:szCs w:val="24"/>
        </w:rPr>
        <w:t xml:space="preserve"> также было значимым (47,6 мес</w:t>
      </w:r>
      <w:r w:rsidR="00E778E9" w:rsidRPr="00805C9F">
        <w:rPr>
          <w:i/>
          <w:szCs w:val="24"/>
        </w:rPr>
        <w:t>.</w:t>
      </w:r>
      <w:r w:rsidRPr="00805C9F">
        <w:rPr>
          <w:i/>
          <w:szCs w:val="24"/>
        </w:rPr>
        <w:t xml:space="preserve"> против 40,0 мес</w:t>
      </w:r>
      <w:r w:rsidR="00E778E9" w:rsidRPr="00805C9F">
        <w:rPr>
          <w:i/>
          <w:szCs w:val="24"/>
        </w:rPr>
        <w:t>.</w:t>
      </w:r>
      <w:r w:rsidRPr="00805C9F">
        <w:rPr>
          <w:i/>
          <w:szCs w:val="24"/>
        </w:rPr>
        <w:t>). Частота нежелательных явлений 3</w:t>
      </w:r>
      <w:r w:rsidR="00362C51" w:rsidRPr="00805C9F">
        <w:rPr>
          <w:i/>
          <w:szCs w:val="24"/>
        </w:rPr>
        <w:t>−</w:t>
      </w:r>
      <w:r w:rsidRPr="00805C9F">
        <w:rPr>
          <w:i/>
          <w:szCs w:val="24"/>
        </w:rPr>
        <w:t>4</w:t>
      </w:r>
      <w:r w:rsidR="00362C51" w:rsidRPr="00805C9F">
        <w:rPr>
          <w:i/>
          <w:szCs w:val="24"/>
        </w:rPr>
        <w:t>-й</w:t>
      </w:r>
      <w:r w:rsidRPr="00805C9F">
        <w:rPr>
          <w:i/>
          <w:szCs w:val="24"/>
        </w:rPr>
        <w:t xml:space="preserve"> степени в группе карфилзомиба</w:t>
      </w:r>
      <w:r w:rsidR="006B6D8A" w:rsidRPr="00805C9F">
        <w:rPr>
          <w:i/>
          <w:szCs w:val="24"/>
        </w:rPr>
        <w:t>**</w:t>
      </w:r>
      <w:r w:rsidRPr="00805C9F">
        <w:rPr>
          <w:i/>
          <w:szCs w:val="24"/>
        </w:rPr>
        <w:t xml:space="preserve"> была выше по сравнению с группой бортезомиба</w:t>
      </w:r>
      <w:r w:rsidR="006B6D8A" w:rsidRPr="00805C9F">
        <w:rPr>
          <w:i/>
          <w:szCs w:val="24"/>
        </w:rPr>
        <w:t>**</w:t>
      </w:r>
      <w:r w:rsidRPr="00805C9F">
        <w:rPr>
          <w:i/>
          <w:szCs w:val="24"/>
        </w:rPr>
        <w:t>: гипертензия встречалась у 8,9 и 2,6</w:t>
      </w:r>
      <w:r w:rsidR="00362C51" w:rsidRPr="00805C9F">
        <w:rPr>
          <w:i/>
          <w:szCs w:val="24"/>
        </w:rPr>
        <w:t> </w:t>
      </w:r>
      <w:r w:rsidRPr="00805C9F">
        <w:rPr>
          <w:i/>
          <w:szCs w:val="24"/>
        </w:rPr>
        <w:t>% пациентов соответственно, одышка – у 5,6 и 2,2</w:t>
      </w:r>
      <w:r w:rsidR="00362C51" w:rsidRPr="00805C9F">
        <w:rPr>
          <w:i/>
          <w:szCs w:val="24"/>
        </w:rPr>
        <w:t> </w:t>
      </w:r>
      <w:r w:rsidRPr="00805C9F">
        <w:rPr>
          <w:i/>
          <w:szCs w:val="24"/>
        </w:rPr>
        <w:t>%, сердечная недостаточность – у 4,8 и 1,8</w:t>
      </w:r>
      <w:r w:rsidR="00362C51" w:rsidRPr="00805C9F">
        <w:rPr>
          <w:i/>
          <w:szCs w:val="24"/>
        </w:rPr>
        <w:t> </w:t>
      </w:r>
      <w:r w:rsidRPr="00805C9F">
        <w:rPr>
          <w:i/>
          <w:szCs w:val="24"/>
        </w:rPr>
        <w:t>%, острая почечная недостаточность – у 4,1 и 2,6</w:t>
      </w:r>
      <w:r w:rsidR="00362C51" w:rsidRPr="00805C9F">
        <w:rPr>
          <w:i/>
          <w:szCs w:val="24"/>
        </w:rPr>
        <w:t> </w:t>
      </w:r>
      <w:r w:rsidRPr="00805C9F">
        <w:rPr>
          <w:i/>
          <w:szCs w:val="24"/>
        </w:rPr>
        <w:t>%. При этом следует обратить внимание на то, что в группе лечения карфилзомибом</w:t>
      </w:r>
      <w:r w:rsidR="006B6D8A" w:rsidRPr="00805C9F">
        <w:rPr>
          <w:i/>
          <w:szCs w:val="24"/>
        </w:rPr>
        <w:t>**</w:t>
      </w:r>
      <w:r w:rsidRPr="00805C9F">
        <w:rPr>
          <w:i/>
          <w:szCs w:val="24"/>
        </w:rPr>
        <w:t xml:space="preserve"> частота </w:t>
      </w:r>
      <w:r w:rsidRPr="00805C9F">
        <w:rPr>
          <w:i/>
          <w:szCs w:val="24"/>
        </w:rPr>
        <w:lastRenderedPageBreak/>
        <w:t>периферической полинейропатии 2</w:t>
      </w:r>
      <w:r w:rsidR="00362C51" w:rsidRPr="00805C9F">
        <w:rPr>
          <w:i/>
          <w:szCs w:val="24"/>
        </w:rPr>
        <w:t>-й</w:t>
      </w:r>
      <w:r w:rsidRPr="00805C9F">
        <w:rPr>
          <w:i/>
          <w:szCs w:val="24"/>
        </w:rPr>
        <w:t xml:space="preserve"> степени и более была значительно ниже (6</w:t>
      </w:r>
      <w:r w:rsidR="00815D8E" w:rsidRPr="00805C9F">
        <w:rPr>
          <w:i/>
          <w:szCs w:val="24"/>
        </w:rPr>
        <w:t> </w:t>
      </w:r>
      <w:r w:rsidRPr="00805C9F">
        <w:rPr>
          <w:i/>
          <w:szCs w:val="24"/>
        </w:rPr>
        <w:t xml:space="preserve">%), чем в группе </w:t>
      </w:r>
      <w:r w:rsidR="00FB03BB" w:rsidRPr="00805C9F">
        <w:rPr>
          <w:i/>
          <w:szCs w:val="24"/>
        </w:rPr>
        <w:t>пациентов</w:t>
      </w:r>
      <w:r w:rsidRPr="00805C9F">
        <w:rPr>
          <w:i/>
          <w:szCs w:val="24"/>
        </w:rPr>
        <w:t>, получавших бортезомиб</w:t>
      </w:r>
      <w:r w:rsidR="006B6D8A" w:rsidRPr="00805C9F">
        <w:rPr>
          <w:i/>
          <w:szCs w:val="24"/>
        </w:rPr>
        <w:t>**</w:t>
      </w:r>
      <w:r w:rsidRPr="00805C9F">
        <w:rPr>
          <w:i/>
          <w:szCs w:val="24"/>
        </w:rPr>
        <w:t xml:space="preserve"> (32</w:t>
      </w:r>
      <w:r w:rsidR="00815D8E" w:rsidRPr="00805C9F">
        <w:rPr>
          <w:i/>
          <w:szCs w:val="24"/>
        </w:rPr>
        <w:t> </w:t>
      </w:r>
      <w:r w:rsidRPr="00805C9F">
        <w:rPr>
          <w:i/>
          <w:szCs w:val="24"/>
        </w:rPr>
        <w:t>%).</w:t>
      </w:r>
    </w:p>
    <w:p w14:paraId="726B64AD" w14:textId="00136C63" w:rsidR="00C86568" w:rsidRPr="00805C9F" w:rsidRDefault="00B228C7" w:rsidP="00092917">
      <w:pPr>
        <w:pStyle w:val="a6"/>
        <w:numPr>
          <w:ilvl w:val="0"/>
          <w:numId w:val="8"/>
        </w:numPr>
        <w:tabs>
          <w:tab w:val="clear" w:pos="348"/>
          <w:tab w:val="num" w:pos="709"/>
        </w:tabs>
        <w:spacing w:before="0" w:after="0"/>
        <w:ind w:left="0" w:firstLine="0"/>
        <w:rPr>
          <w:szCs w:val="24"/>
        </w:rPr>
      </w:pPr>
      <w:r w:rsidRPr="00805C9F">
        <w:rPr>
          <w:szCs w:val="24"/>
        </w:rPr>
        <w:t>Пациентам с</w:t>
      </w:r>
      <w:r w:rsidR="00DB0580" w:rsidRPr="00805C9F">
        <w:rPr>
          <w:szCs w:val="24"/>
        </w:rPr>
        <w:t xml:space="preserve"> рецидивом ММ</w:t>
      </w:r>
      <w:r w:rsidRPr="00805C9F">
        <w:rPr>
          <w:szCs w:val="24"/>
        </w:rPr>
        <w:t>, которым показана противомиеломная терапия и у которых не развилась рефрактерность к бортезомибу</w:t>
      </w:r>
      <w:r w:rsidR="002B59AA" w:rsidRPr="00805C9F">
        <w:rPr>
          <w:szCs w:val="24"/>
        </w:rPr>
        <w:t>**</w:t>
      </w:r>
      <w:r w:rsidRPr="00805C9F">
        <w:rPr>
          <w:szCs w:val="24"/>
        </w:rPr>
        <w:t xml:space="preserve"> и леналидомиду</w:t>
      </w:r>
      <w:r w:rsidR="002B59AA" w:rsidRPr="00805C9F">
        <w:rPr>
          <w:szCs w:val="24"/>
        </w:rPr>
        <w:t>**</w:t>
      </w:r>
      <w:r w:rsidRPr="00805C9F">
        <w:rPr>
          <w:szCs w:val="24"/>
        </w:rPr>
        <w:t>, в качестве одн</w:t>
      </w:r>
      <w:r w:rsidR="00B657E4" w:rsidRPr="00805C9F">
        <w:rPr>
          <w:szCs w:val="24"/>
        </w:rPr>
        <w:t>ой из возможных опций</w:t>
      </w:r>
      <w:r w:rsidR="00BA7503" w:rsidRPr="00805C9F">
        <w:rPr>
          <w:szCs w:val="24"/>
        </w:rPr>
        <w:t xml:space="preserve"> </w:t>
      </w:r>
      <w:r w:rsidR="00B657E4" w:rsidRPr="00805C9F">
        <w:rPr>
          <w:b/>
          <w:szCs w:val="24"/>
        </w:rPr>
        <w:t>рекомендуется</w:t>
      </w:r>
      <w:r w:rsidR="00C86568" w:rsidRPr="00805C9F">
        <w:rPr>
          <w:szCs w:val="24"/>
        </w:rPr>
        <w:t xml:space="preserve"> терапия с включением в схему лечения иксазомиба**, леналидомида** и дексаметазона** </w:t>
      </w:r>
      <w:r w:rsidR="00032CFB" w:rsidRPr="00805C9F">
        <w:rPr>
          <w:szCs w:val="24"/>
        </w:rPr>
        <w:t xml:space="preserve">(описание режимов – см. приложение </w:t>
      </w:r>
      <w:r w:rsidR="00C812D6" w:rsidRPr="00805C9F">
        <w:rPr>
          <w:szCs w:val="24"/>
        </w:rPr>
        <w:t>А3.1</w:t>
      </w:r>
      <w:r w:rsidR="00815D8E" w:rsidRPr="00805C9F">
        <w:rPr>
          <w:szCs w:val="24"/>
        </w:rPr>
        <w:t>.</w:t>
      </w:r>
      <w:r w:rsidR="00032CFB" w:rsidRPr="00805C9F">
        <w:rPr>
          <w:szCs w:val="24"/>
        </w:rPr>
        <w:t>)</w:t>
      </w:r>
      <w:r w:rsidR="00D939A2" w:rsidRPr="00805C9F">
        <w:rPr>
          <w:szCs w:val="24"/>
        </w:rPr>
        <w:t xml:space="preserve"> </w:t>
      </w:r>
      <w:r w:rsidR="00A96FB6" w:rsidRPr="00805C9F">
        <w:rPr>
          <w:i/>
          <w:szCs w:val="24"/>
        </w:rPr>
        <w:fldChar w:fldCharType="begin" w:fldLock="1"/>
      </w:r>
      <w:r w:rsidR="00500F37">
        <w:rPr>
          <w:i/>
          <w:szCs w:val="24"/>
        </w:rPr>
        <w:instrText>ADDIN CSL_CITATION {"citationItems":[{"id":"ITEM-1","itemData":{"DOI":"10.1056/NEJMoa1516282","ISSN":"0028-4793","author":[{"dropping-particle":"","family":"Moreau","given":"Philippe","non-dropping-particle":"","parse-names":false,"suffix":""},{"dropping-particle":"","family":"Masszi","given":"Tamás","non-dropping-particle":"","parse-names":false,"suffix":""},{"dropping-particle":"","family":"Grzasko","given":"Norbert","non-dropping-particle":"","parse-names":false,"suffix":""},{"dropping-particle":"","family":"Bahlis","given":"Nizar J.","non-dropping-particle":"","parse-names":false,"suffix":""},{"dropping-particle":"","family":"Hansson","given":"Markus","non-dropping-particle":"","parse-names":false,"suffix":""},{"dropping-particle":"","family":"Pour","given":"Ludek","non-dropping-particle":"","parse-names":false,"suffix":""},{"dropping-particle":"","family":"Sandhu","given":"Irwindeep","non-dropping-particle":"","parse-names":false,"suffix":""},{"dropping-particle":"","family":"Ganly","given":"Peter","non-dropping-particle":"","parse-names":false,"suffix":""},{"dropping-particle":"","family":"Baker","given":"Bartrum W.","non-dropping-particle":"","parse-names":false,"suffix":""},{"dropping-particle":"","family":"Jackson","given":"Sharon R.","non-dropping-particle":"","parse-names":false,"suffix":""},{"dropping-particle":"","family":"Stoppa","given":"Anne-Marie","non-dropping-particle":"","parse-names":false,"suffix":""},{"dropping-particle":"","family":"Simpson","given":"David R.","non-dropping-particle":"","parse-names":false,"suffix":""},{"dropping-particle":"","family":"Gimsing","given":"Peter","non-dropping-particle":"","parse-names":false,"suffix":""},{"dropping-particle":"","family":"Palumbo","given":"Antonio","non-dropping-particle":"","parse-names":false,"suffix":""},{"dropping-particle":"","family":"Garderet","given":"Laurent","non-dropping-particle":"","parse-names":false,"suffix":""},{"dropping-particle":"","family":"Cavo","given":"Michele","non-dropping-particle":"","parse-names":false,"suffix":""},{"dropping-particle":"","family":"Kumar","given":"Shaji","non-dropping-particle":"","parse-names":false,"suffix":""},{"dropping-particle":"","family":"Touzeau","given":"Cyrille","non-dropping-particle":"","parse-names":false,"suffix":""},{"dropping-particle":"","family":"Buadi","given":"Francis K.","non-dropping-particle":"","parse-names":false,"suffix":""},{"dropping-particle":"","family":"Laubach","given":"Jacob P.","non-dropping-particle":"","parse-names":false,"suffix":""},{"dropping-particle":"","family":"Berg","given":"Deborah T.","non-dropping-particle":"","parse-names":false,"suffix":""},{"dropping-particle":"","family":"Lin","given":"Jianchang","non-dropping-particle":"","parse-names":false,"suffix":""},{"dropping-particle":"","family":"Bacco","given":"Alessandra","non-dropping-particle":"Di","parse-names":false,"suffix":""},{"dropping-particle":"","family":"Hui","given":"Ai-Min","non-dropping-particle":"","parse-names":false,"suffix":""},{"dropping-particle":"","family":"Velde","given":"Helgi","non-dropping-particle":"van de","parse-names":false,"suffix":""},{"dropping-particle":"","family":"Richardson","given":"Paul G.","non-dropping-particle":"","parse-names":false,"suffix":""}],"container-title":"New England Journal of Medicine","id":"ITEM-1","issue":"17","issued":{"date-parts":[["2016","4","28"]]},"page":"1621-1634","title":"Oral Ixazomib, Lenalidomide, and Dexamethasone for Multiple Myeloma","type":"article-journal","volume":"374"},"uris":["http://www.mendeley.com/documents/?uuid=4ccb25a7-fe89-3814-923e-66ad0de36099"]}],"mendeley":{"formattedCitation":"[66]","plainTextFormattedCitation":"[66]","previouslyFormattedCitation":"[66]"},"properties":{"noteIndex":0},"schema":"https://github.com/citation-style-language/schema/raw/master/csl-citation.json"}</w:instrText>
      </w:r>
      <w:r w:rsidR="00A96FB6" w:rsidRPr="00805C9F">
        <w:rPr>
          <w:i/>
          <w:szCs w:val="24"/>
        </w:rPr>
        <w:fldChar w:fldCharType="separate"/>
      </w:r>
      <w:r w:rsidR="00E03159" w:rsidRPr="00805C9F">
        <w:rPr>
          <w:noProof/>
          <w:szCs w:val="24"/>
        </w:rPr>
        <w:t>[66]</w:t>
      </w:r>
      <w:r w:rsidR="00A96FB6" w:rsidRPr="00805C9F">
        <w:rPr>
          <w:i/>
          <w:szCs w:val="24"/>
        </w:rPr>
        <w:fldChar w:fldCharType="end"/>
      </w:r>
      <w:r w:rsidR="00032CFB" w:rsidRPr="00805C9F">
        <w:rPr>
          <w:szCs w:val="24"/>
        </w:rPr>
        <w:t>.</w:t>
      </w:r>
    </w:p>
    <w:p w14:paraId="1D022F5F" w14:textId="406D0A21" w:rsidR="00C86568" w:rsidRPr="00805C9F" w:rsidRDefault="00C86568" w:rsidP="00092917">
      <w:pPr>
        <w:pStyle w:val="a6"/>
        <w:spacing w:before="0" w:after="0"/>
        <w:ind w:left="0"/>
        <w:rPr>
          <w:b/>
          <w:szCs w:val="24"/>
        </w:rPr>
      </w:pPr>
      <w:r w:rsidRPr="00805C9F">
        <w:rPr>
          <w:b/>
          <w:szCs w:val="24"/>
        </w:rPr>
        <w:t xml:space="preserve">Уровень убедительности рекомендаций </w:t>
      </w:r>
      <w:r w:rsidR="00815D8E" w:rsidRPr="00805C9F">
        <w:rPr>
          <w:b/>
          <w:szCs w:val="24"/>
        </w:rPr>
        <w:t xml:space="preserve">− </w:t>
      </w:r>
      <w:r w:rsidR="00C82BD2" w:rsidRPr="00805C9F">
        <w:rPr>
          <w:b/>
          <w:szCs w:val="24"/>
        </w:rPr>
        <w:t>А</w:t>
      </w:r>
      <w:r w:rsidR="00F2291F" w:rsidRPr="00805C9F">
        <w:rPr>
          <w:b/>
          <w:szCs w:val="24"/>
        </w:rPr>
        <w:t xml:space="preserve"> </w:t>
      </w:r>
      <w:r w:rsidRPr="00805C9F">
        <w:rPr>
          <w:b/>
          <w:szCs w:val="24"/>
        </w:rPr>
        <w:t>(уровень достоверности доказательств</w:t>
      </w:r>
      <w:r w:rsidR="00286688" w:rsidRPr="00805C9F">
        <w:rPr>
          <w:b/>
          <w:szCs w:val="24"/>
        </w:rPr>
        <w:t xml:space="preserve"> </w:t>
      </w:r>
      <w:r w:rsidR="00815D8E" w:rsidRPr="00805C9F">
        <w:rPr>
          <w:b/>
          <w:szCs w:val="24"/>
        </w:rPr>
        <w:t xml:space="preserve">− </w:t>
      </w:r>
      <w:r w:rsidR="00C82BD2" w:rsidRPr="00805C9F">
        <w:rPr>
          <w:b/>
          <w:szCs w:val="24"/>
        </w:rPr>
        <w:t>1</w:t>
      </w:r>
      <w:r w:rsidR="006E390F" w:rsidRPr="00805C9F">
        <w:rPr>
          <w:b/>
          <w:szCs w:val="24"/>
        </w:rPr>
        <w:t>)</w:t>
      </w:r>
    </w:p>
    <w:p w14:paraId="77DFFFFD" w14:textId="322A5FE4" w:rsidR="00C86568" w:rsidRPr="00805C9F" w:rsidRDefault="00C86568" w:rsidP="00092917">
      <w:pPr>
        <w:pStyle w:val="a6"/>
        <w:spacing w:before="0" w:after="0"/>
        <w:ind w:left="0"/>
        <w:rPr>
          <w:i/>
          <w:szCs w:val="24"/>
        </w:rPr>
      </w:pPr>
      <w:r w:rsidRPr="00805C9F">
        <w:rPr>
          <w:b/>
          <w:szCs w:val="24"/>
        </w:rPr>
        <w:t xml:space="preserve">Комментарий: </w:t>
      </w:r>
      <w:r w:rsidR="00815D8E" w:rsidRPr="00805C9F">
        <w:rPr>
          <w:i/>
          <w:szCs w:val="24"/>
        </w:rPr>
        <w:t>р</w:t>
      </w:r>
      <w:r w:rsidRPr="00805C9F">
        <w:rPr>
          <w:i/>
          <w:szCs w:val="24"/>
        </w:rPr>
        <w:t>езультаты крупного рандомизированного</w:t>
      </w:r>
      <w:r w:rsidR="00C82BD2" w:rsidRPr="00805C9F">
        <w:rPr>
          <w:i/>
          <w:szCs w:val="24"/>
        </w:rPr>
        <w:t xml:space="preserve"> двойного слепого плацебо-контролируемого</w:t>
      </w:r>
      <w:r w:rsidRPr="00805C9F">
        <w:rPr>
          <w:i/>
          <w:szCs w:val="24"/>
        </w:rPr>
        <w:t xml:space="preserve"> исследования TOURMALINE-MM1 выявили, что добавление иксазомиба</w:t>
      </w:r>
      <w:r w:rsidR="0085596B" w:rsidRPr="00805C9F">
        <w:rPr>
          <w:i/>
          <w:szCs w:val="24"/>
        </w:rPr>
        <w:t>**</w:t>
      </w:r>
      <w:r w:rsidRPr="00805C9F">
        <w:rPr>
          <w:i/>
          <w:szCs w:val="24"/>
        </w:rPr>
        <w:t xml:space="preserve"> к комбинации леналидомида</w:t>
      </w:r>
      <w:r w:rsidR="0085596B" w:rsidRPr="00805C9F">
        <w:rPr>
          <w:i/>
          <w:szCs w:val="24"/>
        </w:rPr>
        <w:t>**</w:t>
      </w:r>
      <w:r w:rsidRPr="00805C9F">
        <w:rPr>
          <w:i/>
          <w:szCs w:val="24"/>
        </w:rPr>
        <w:t xml:space="preserve"> с дексаметазоном</w:t>
      </w:r>
      <w:r w:rsidR="0085596B" w:rsidRPr="00805C9F">
        <w:rPr>
          <w:i/>
          <w:szCs w:val="24"/>
        </w:rPr>
        <w:t>**</w:t>
      </w:r>
      <w:r w:rsidRPr="00805C9F">
        <w:rPr>
          <w:i/>
          <w:szCs w:val="24"/>
        </w:rPr>
        <w:t xml:space="preserve"> увеличивает ВБП у </w:t>
      </w:r>
      <w:r w:rsidR="00FB03BB" w:rsidRPr="00805C9F">
        <w:rPr>
          <w:i/>
          <w:szCs w:val="24"/>
        </w:rPr>
        <w:t>пациентов</w:t>
      </w:r>
      <w:r w:rsidRPr="00805C9F">
        <w:rPr>
          <w:i/>
          <w:szCs w:val="24"/>
        </w:rPr>
        <w:t xml:space="preserve"> с рецидивами и рефрактерной ММ по сравнению с контрольной группой.  Медианы ВБП составили 20,6 и 14,7 мес</w:t>
      </w:r>
      <w:r w:rsidR="00E778E9" w:rsidRPr="00805C9F">
        <w:rPr>
          <w:i/>
          <w:szCs w:val="24"/>
        </w:rPr>
        <w:t>.</w:t>
      </w:r>
      <w:r w:rsidRPr="00805C9F">
        <w:rPr>
          <w:i/>
          <w:szCs w:val="24"/>
        </w:rPr>
        <w:t xml:space="preserve"> соответственно. Общая эффективность лечения была выше в группе иксазомиба</w:t>
      </w:r>
      <w:r w:rsidR="0085596B" w:rsidRPr="00805C9F">
        <w:rPr>
          <w:i/>
          <w:szCs w:val="24"/>
        </w:rPr>
        <w:t>**</w:t>
      </w:r>
      <w:r w:rsidRPr="00805C9F">
        <w:rPr>
          <w:i/>
          <w:szCs w:val="24"/>
        </w:rPr>
        <w:t xml:space="preserve"> (78</w:t>
      </w:r>
      <w:r w:rsidR="00815D8E" w:rsidRPr="00805C9F">
        <w:rPr>
          <w:i/>
          <w:szCs w:val="24"/>
        </w:rPr>
        <w:t> </w:t>
      </w:r>
      <w:r w:rsidRPr="00805C9F">
        <w:rPr>
          <w:i/>
          <w:szCs w:val="24"/>
        </w:rPr>
        <w:t>%), чем в группе плацебо (72</w:t>
      </w:r>
      <w:r w:rsidR="00815D8E" w:rsidRPr="00805C9F">
        <w:rPr>
          <w:i/>
          <w:szCs w:val="24"/>
        </w:rPr>
        <w:t> </w:t>
      </w:r>
      <w:r w:rsidRPr="00805C9F">
        <w:rPr>
          <w:i/>
          <w:szCs w:val="24"/>
        </w:rPr>
        <w:t xml:space="preserve">%). </w:t>
      </w:r>
      <w:r w:rsidR="00815D8E" w:rsidRPr="00805C9F">
        <w:rPr>
          <w:i/>
          <w:szCs w:val="24"/>
        </w:rPr>
        <w:t>ПР</w:t>
      </w:r>
      <w:r w:rsidRPr="00805C9F">
        <w:rPr>
          <w:i/>
          <w:szCs w:val="24"/>
        </w:rPr>
        <w:t xml:space="preserve"> в группе иксазомиба</w:t>
      </w:r>
      <w:r w:rsidR="0085596B" w:rsidRPr="00805C9F">
        <w:rPr>
          <w:i/>
          <w:szCs w:val="24"/>
        </w:rPr>
        <w:t>**</w:t>
      </w:r>
      <w:r w:rsidRPr="00805C9F">
        <w:rPr>
          <w:i/>
          <w:szCs w:val="24"/>
        </w:rPr>
        <w:t xml:space="preserve"> достигли 12</w:t>
      </w:r>
      <w:r w:rsidR="00815D8E" w:rsidRPr="00805C9F">
        <w:rPr>
          <w:i/>
          <w:szCs w:val="24"/>
        </w:rPr>
        <w:t> </w:t>
      </w:r>
      <w:r w:rsidRPr="00805C9F">
        <w:rPr>
          <w:i/>
          <w:szCs w:val="24"/>
        </w:rPr>
        <w:t xml:space="preserve">% </w:t>
      </w:r>
      <w:r w:rsidR="00FB03BB" w:rsidRPr="00805C9F">
        <w:rPr>
          <w:i/>
          <w:szCs w:val="24"/>
        </w:rPr>
        <w:t>пациентов</w:t>
      </w:r>
      <w:r w:rsidRPr="00805C9F">
        <w:rPr>
          <w:i/>
          <w:szCs w:val="24"/>
        </w:rPr>
        <w:t xml:space="preserve">, в группе плацебо </w:t>
      </w:r>
      <w:r w:rsidR="00815D8E" w:rsidRPr="00805C9F">
        <w:rPr>
          <w:i/>
          <w:szCs w:val="24"/>
        </w:rPr>
        <w:t>–</w:t>
      </w:r>
      <w:r w:rsidRPr="00805C9F">
        <w:rPr>
          <w:i/>
          <w:szCs w:val="24"/>
        </w:rPr>
        <w:t xml:space="preserve"> 7</w:t>
      </w:r>
      <w:r w:rsidR="00815D8E" w:rsidRPr="00805C9F">
        <w:rPr>
          <w:i/>
          <w:szCs w:val="24"/>
        </w:rPr>
        <w:t> </w:t>
      </w:r>
      <w:r w:rsidRPr="00805C9F">
        <w:rPr>
          <w:i/>
          <w:szCs w:val="24"/>
        </w:rPr>
        <w:t>%. Переносимость комбинации иксазомиба</w:t>
      </w:r>
      <w:r w:rsidR="0085596B" w:rsidRPr="00805C9F">
        <w:rPr>
          <w:i/>
          <w:szCs w:val="24"/>
        </w:rPr>
        <w:t>**</w:t>
      </w:r>
      <w:r w:rsidRPr="00805C9F">
        <w:rPr>
          <w:i/>
          <w:szCs w:val="24"/>
        </w:rPr>
        <w:t xml:space="preserve"> с леналидомидом</w:t>
      </w:r>
      <w:r w:rsidR="0085596B" w:rsidRPr="00805C9F">
        <w:rPr>
          <w:i/>
          <w:szCs w:val="24"/>
        </w:rPr>
        <w:t>**</w:t>
      </w:r>
      <w:r w:rsidRPr="00805C9F">
        <w:rPr>
          <w:i/>
          <w:szCs w:val="24"/>
        </w:rPr>
        <w:t xml:space="preserve"> и дексаметазоном</w:t>
      </w:r>
      <w:r w:rsidR="0085596B" w:rsidRPr="00805C9F">
        <w:rPr>
          <w:i/>
          <w:szCs w:val="24"/>
        </w:rPr>
        <w:t>**</w:t>
      </w:r>
      <w:r w:rsidRPr="00805C9F">
        <w:rPr>
          <w:i/>
          <w:szCs w:val="24"/>
        </w:rPr>
        <w:t xml:space="preserve"> была удовлетворительной. Частота серьезных нежелательных явлений в обеих группах была схожей. Тромбоцитопения 3 и 4</w:t>
      </w:r>
      <w:r w:rsidR="00AE4430" w:rsidRPr="00805C9F">
        <w:rPr>
          <w:i/>
          <w:szCs w:val="24"/>
        </w:rPr>
        <w:t>-й</w:t>
      </w:r>
      <w:r w:rsidRPr="00805C9F">
        <w:rPr>
          <w:i/>
          <w:szCs w:val="24"/>
        </w:rPr>
        <w:t xml:space="preserve"> степени чаще встречалась в группе иксазомиба</w:t>
      </w:r>
      <w:r w:rsidR="0085596B" w:rsidRPr="00805C9F">
        <w:rPr>
          <w:i/>
          <w:szCs w:val="24"/>
        </w:rPr>
        <w:t>**</w:t>
      </w:r>
      <w:r w:rsidRPr="00805C9F">
        <w:rPr>
          <w:i/>
          <w:szCs w:val="24"/>
        </w:rPr>
        <w:t xml:space="preserve"> (19</w:t>
      </w:r>
      <w:r w:rsidR="00AE4430" w:rsidRPr="00805C9F">
        <w:rPr>
          <w:i/>
          <w:szCs w:val="24"/>
        </w:rPr>
        <w:t> </w:t>
      </w:r>
      <w:r w:rsidRPr="00805C9F">
        <w:rPr>
          <w:i/>
          <w:szCs w:val="24"/>
        </w:rPr>
        <w:t>%), чем в группе плацебо (9</w:t>
      </w:r>
      <w:r w:rsidR="00AE4430" w:rsidRPr="00805C9F">
        <w:rPr>
          <w:i/>
          <w:szCs w:val="24"/>
        </w:rPr>
        <w:t> </w:t>
      </w:r>
      <w:r w:rsidRPr="00805C9F">
        <w:rPr>
          <w:i/>
          <w:szCs w:val="24"/>
        </w:rPr>
        <w:t>%). Частота развития периферической нейропатии составила 27</w:t>
      </w:r>
      <w:r w:rsidR="00AE4430" w:rsidRPr="00805C9F">
        <w:rPr>
          <w:i/>
          <w:szCs w:val="24"/>
        </w:rPr>
        <w:t> </w:t>
      </w:r>
      <w:r w:rsidRPr="00805C9F">
        <w:rPr>
          <w:i/>
          <w:szCs w:val="24"/>
        </w:rPr>
        <w:t>% в группе иксазомиба</w:t>
      </w:r>
      <w:r w:rsidR="0085596B" w:rsidRPr="00805C9F">
        <w:rPr>
          <w:i/>
          <w:szCs w:val="24"/>
        </w:rPr>
        <w:t>**</w:t>
      </w:r>
      <w:r w:rsidRPr="00805C9F">
        <w:rPr>
          <w:i/>
          <w:szCs w:val="24"/>
        </w:rPr>
        <w:t xml:space="preserve"> и 22</w:t>
      </w:r>
      <w:r w:rsidR="00AE4430" w:rsidRPr="00805C9F">
        <w:rPr>
          <w:i/>
          <w:szCs w:val="24"/>
        </w:rPr>
        <w:t> </w:t>
      </w:r>
      <w:r w:rsidRPr="00805C9F">
        <w:rPr>
          <w:i/>
          <w:szCs w:val="24"/>
        </w:rPr>
        <w:t>% в группе плацебо (нейропатия 3</w:t>
      </w:r>
      <w:r w:rsidR="00AE4430" w:rsidRPr="00805C9F">
        <w:rPr>
          <w:i/>
          <w:szCs w:val="24"/>
        </w:rPr>
        <w:t>-й</w:t>
      </w:r>
      <w:r w:rsidRPr="00805C9F">
        <w:rPr>
          <w:i/>
          <w:szCs w:val="24"/>
        </w:rPr>
        <w:t xml:space="preserve"> степени наблюдалась у 2</w:t>
      </w:r>
      <w:r w:rsidR="00AE4430" w:rsidRPr="00805C9F">
        <w:rPr>
          <w:i/>
          <w:szCs w:val="24"/>
        </w:rPr>
        <w:t> </w:t>
      </w:r>
      <w:r w:rsidRPr="00805C9F">
        <w:rPr>
          <w:i/>
          <w:szCs w:val="24"/>
        </w:rPr>
        <w:t xml:space="preserve">% </w:t>
      </w:r>
      <w:r w:rsidR="00FB03BB" w:rsidRPr="00805C9F">
        <w:rPr>
          <w:i/>
          <w:szCs w:val="24"/>
        </w:rPr>
        <w:t>пациентов</w:t>
      </w:r>
      <w:r w:rsidRPr="00805C9F">
        <w:rPr>
          <w:i/>
          <w:szCs w:val="24"/>
        </w:rPr>
        <w:t xml:space="preserve"> в каждой группе). </w:t>
      </w:r>
    </w:p>
    <w:p w14:paraId="676C7AC1" w14:textId="2A29090D" w:rsidR="00C86568" w:rsidRPr="00805C9F" w:rsidRDefault="00C86568" w:rsidP="00092917">
      <w:pPr>
        <w:pStyle w:val="a6"/>
        <w:spacing w:before="0" w:after="0"/>
        <w:ind w:left="0"/>
        <w:rPr>
          <w:i/>
          <w:szCs w:val="24"/>
        </w:rPr>
      </w:pPr>
      <w:r w:rsidRPr="00805C9F">
        <w:rPr>
          <w:i/>
          <w:szCs w:val="24"/>
        </w:rPr>
        <w:t>По фармакокинетике и фармакодинамике</w:t>
      </w:r>
      <w:r w:rsidR="00D939A2" w:rsidRPr="00805C9F">
        <w:rPr>
          <w:i/>
          <w:szCs w:val="24"/>
        </w:rPr>
        <w:t xml:space="preserve"> </w:t>
      </w:r>
      <w:r w:rsidRPr="00805C9F">
        <w:rPr>
          <w:i/>
          <w:szCs w:val="24"/>
        </w:rPr>
        <w:t>иксазомиб</w:t>
      </w:r>
      <w:r w:rsidR="0085596B" w:rsidRPr="00805C9F">
        <w:rPr>
          <w:i/>
          <w:szCs w:val="24"/>
        </w:rPr>
        <w:t>**</w:t>
      </w:r>
      <w:r w:rsidRPr="00805C9F">
        <w:rPr>
          <w:i/>
          <w:szCs w:val="24"/>
        </w:rPr>
        <w:t xml:space="preserve"> отличается от бортезомиба</w:t>
      </w:r>
      <w:r w:rsidR="0085596B" w:rsidRPr="00805C9F">
        <w:rPr>
          <w:i/>
          <w:szCs w:val="24"/>
        </w:rPr>
        <w:t>**</w:t>
      </w:r>
      <w:r w:rsidRPr="00805C9F">
        <w:rPr>
          <w:i/>
          <w:szCs w:val="24"/>
        </w:rPr>
        <w:t xml:space="preserve"> лучшим проникновением в ткани и более высокой биологической активностью. Фармакокинетика иксазомиба</w:t>
      </w:r>
      <w:r w:rsidR="00AD2477" w:rsidRPr="00805C9F">
        <w:rPr>
          <w:i/>
          <w:szCs w:val="24"/>
        </w:rPr>
        <w:t>**</w:t>
      </w:r>
      <w:r w:rsidRPr="00805C9F">
        <w:rPr>
          <w:i/>
          <w:szCs w:val="24"/>
        </w:rPr>
        <w:t xml:space="preserve"> была сходной у пациентов с нормальной функцией почек и при нарушении функции почек легкой или умеренной степени (клиренс креатинина ≥30 мл/мин).  Фармакокинетика также была сходной у пациентов с нормальной функцией печени и при нарушении функции печени легкой степени. При умеренном и тяжелом нарушении функции печени</w:t>
      </w:r>
      <w:r w:rsidR="00CA66B5" w:rsidRPr="00805C9F">
        <w:rPr>
          <w:i/>
          <w:szCs w:val="24"/>
        </w:rPr>
        <w:t xml:space="preserve"> и почек</w:t>
      </w:r>
      <w:r w:rsidRPr="00805C9F">
        <w:rPr>
          <w:i/>
          <w:szCs w:val="24"/>
        </w:rPr>
        <w:t xml:space="preserve"> требуется снижение начальной дозы с 4 до 3 мг.</w:t>
      </w:r>
    </w:p>
    <w:p w14:paraId="47AE230B" w14:textId="4FDB1BC3" w:rsidR="00B472C9" w:rsidRPr="00805C9F" w:rsidRDefault="00B228C7" w:rsidP="00092917">
      <w:pPr>
        <w:pStyle w:val="a6"/>
        <w:numPr>
          <w:ilvl w:val="0"/>
          <w:numId w:val="8"/>
        </w:numPr>
        <w:tabs>
          <w:tab w:val="clear" w:pos="348"/>
          <w:tab w:val="num" w:pos="709"/>
        </w:tabs>
        <w:spacing w:before="0" w:after="0"/>
        <w:ind w:left="0" w:firstLine="0"/>
        <w:rPr>
          <w:szCs w:val="24"/>
        </w:rPr>
      </w:pPr>
      <w:r w:rsidRPr="00805C9F">
        <w:rPr>
          <w:szCs w:val="24"/>
        </w:rPr>
        <w:t>Пациентам с</w:t>
      </w:r>
      <w:r w:rsidR="00DB0580" w:rsidRPr="00805C9F">
        <w:rPr>
          <w:szCs w:val="24"/>
        </w:rPr>
        <w:t xml:space="preserve"> рецидивом ММ</w:t>
      </w:r>
      <w:r w:rsidRPr="00805C9F">
        <w:rPr>
          <w:szCs w:val="24"/>
        </w:rPr>
        <w:t>, которым показана противомиеломная терапия и у которы</w:t>
      </w:r>
      <w:r w:rsidR="005A7F3F" w:rsidRPr="00805C9F">
        <w:rPr>
          <w:szCs w:val="24"/>
        </w:rPr>
        <w:t>х не развилась рефрактерность к</w:t>
      </w:r>
      <w:r w:rsidR="00AE4430" w:rsidRPr="00805C9F">
        <w:rPr>
          <w:szCs w:val="24"/>
        </w:rPr>
        <w:t xml:space="preserve"> </w:t>
      </w:r>
      <w:r w:rsidRPr="00805C9F">
        <w:rPr>
          <w:szCs w:val="24"/>
        </w:rPr>
        <w:t>леналидомиду</w:t>
      </w:r>
      <w:r w:rsidR="00AD2477" w:rsidRPr="00805C9F">
        <w:rPr>
          <w:szCs w:val="24"/>
        </w:rPr>
        <w:t>**</w:t>
      </w:r>
      <w:r w:rsidRPr="00805C9F">
        <w:rPr>
          <w:szCs w:val="24"/>
        </w:rPr>
        <w:t>, в качестве одной из в</w:t>
      </w:r>
      <w:r w:rsidR="00B657E4" w:rsidRPr="00805C9F">
        <w:rPr>
          <w:szCs w:val="24"/>
        </w:rPr>
        <w:t>озможных опций</w:t>
      </w:r>
      <w:r w:rsidR="009D3B20" w:rsidRPr="00805C9F">
        <w:rPr>
          <w:szCs w:val="24"/>
        </w:rPr>
        <w:t xml:space="preserve"> </w:t>
      </w:r>
      <w:r w:rsidR="00B657E4" w:rsidRPr="00805C9F">
        <w:rPr>
          <w:b/>
          <w:szCs w:val="24"/>
        </w:rPr>
        <w:t>рекомендуется</w:t>
      </w:r>
      <w:r w:rsidR="00B472C9" w:rsidRPr="00805C9F">
        <w:rPr>
          <w:szCs w:val="24"/>
        </w:rPr>
        <w:t xml:space="preserve"> терапия с включением в схему лечения даратумумаба**, леналидомида** и дексаметазона** </w:t>
      </w:r>
      <w:r w:rsidR="00032CFB" w:rsidRPr="00805C9F">
        <w:rPr>
          <w:szCs w:val="24"/>
        </w:rPr>
        <w:t xml:space="preserve">(описание режимов – см. приложение </w:t>
      </w:r>
      <w:r w:rsidR="00C812D6" w:rsidRPr="00805C9F">
        <w:rPr>
          <w:szCs w:val="24"/>
        </w:rPr>
        <w:t>А3.1</w:t>
      </w:r>
      <w:r w:rsidR="00AE4430" w:rsidRPr="00805C9F">
        <w:rPr>
          <w:szCs w:val="24"/>
        </w:rPr>
        <w:t>.</w:t>
      </w:r>
      <w:r w:rsidR="00032CFB" w:rsidRPr="00805C9F">
        <w:rPr>
          <w:szCs w:val="24"/>
        </w:rPr>
        <w:t>)</w:t>
      </w:r>
      <w:r w:rsidR="00286688" w:rsidRPr="00805C9F">
        <w:rPr>
          <w:szCs w:val="24"/>
        </w:rPr>
        <w:t xml:space="preserve"> </w:t>
      </w:r>
      <w:r w:rsidR="00A96FB6" w:rsidRPr="00805C9F">
        <w:rPr>
          <w:i/>
          <w:szCs w:val="24"/>
        </w:rPr>
        <w:fldChar w:fldCharType="begin" w:fldLock="1"/>
      </w:r>
      <w:r w:rsidR="00A14090">
        <w:rPr>
          <w:i/>
          <w:szCs w:val="24"/>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myeloma","type":"article","volume":"35"},"uris":["http://www.mendeley.com/documents/?uuid=4b51abe8-b4d6-30ad-bad9-00468e013c00"]},{"id":"ITEM-2","itemData":{"DOI":"10.1016/j.clml.2017.12.011","ISSN":"21522669","abstract":"A systematic review and network meta-analysis were conducted to compare the clinical efficacy of immunomodulatory drug-containing regimens in patients with relapsed or refractory multiple myeloma. Daratumumab plus lenalidomide and dexamethasone had a significant advantage in improving progression-free survival of patients compared with other immunomodulatory drug-containing regimens. Background: Previous network meta-analyses combined studies of immunomodulatory drug (IMiD)–containing and IMiD-free regimens, despite a lack of head-to-head randomized controlled trials to robustly link them. However, patients with relapsed or refractory multiple myeloma (RRMM) treated with IMiD-containing regimens differ from those treated with IMiD-free regimens, especially relating to treatment history, which is an important treatment-effect modifier requiring clinical consideration when evaluating the most appropriate subsequent treatment options. A need exists to separately assess the efficacy of treatment regimens for patients who are suitable candidates for IMiD-containing and IMiD-free regimens. The presented analyses will enable clinicians to assess the best regimens to use in patients suitable for IMiD-containing regimens. Materials and Methods: We used a Bayesian network meta-analysis to compare IMiD-containing regimens in patients with RRMM. Additionally, subgroup analyses were conducted stratified by previous therapy line, previous bortezomib therapy, and previous lenalidomide therapy. Results: The results indicated that triplet combinations are more effective than doublet combinations. Of the triplet combinations, daratumumab, lenalidomide, dexamethasone (DRd) was significantly better in improving progression-free survival in patients with RRMM than were other IMiD-containing regimens (lenalidomide, dexamethasone [Rd]: hazard ratio [HR], 0.37; carfilzomib, Rd: HR, 0.54; elotuzumab, Rd: HR, 0.54; ixazomib, Rd: HR, 0.50). Similar trends were observed for overall survival and overall response. DRd showed the greatest probability of being the best treatment for all clinical efficacy outcomes. The subgroup analyses results were consistent with the base-case results. Conclusion: In patients with RRMM who are suitable for an IMiD-containing regimen, DRd showed clear advantages in survival and response outcomes compared with other IMiD-containing regimens.","author":[{"dropping-particle":"","family":"Dimopoulos","given":"Meletios Athanasios","non-dropping-particle":"","parse-names":false,"suffix":""},{"dropping-particle":"","family":"Kaufman","given":"Jonathan L.","non-dropping-particle":"","parse-names":false,"suffix":""},{"dropping-particle":"","family":"White","given":"Darrell","non-dropping-particle":"","parse-names":false,"suffix":""},{"dropping-particle":"","family":"Cook","given":"Gordon","non-dropping-particle":"","parse-names":false,"suffix":""},{"dropping-particle":"","family":"Rizzo","given":"Maria","non-dropping-particle":"","parse-names":false,"suffix":""},{"dropping-particle":"","family":"Xu","given":"Yingxin","non-dropping-particle":"","parse-names":false,"suffix":""},{"dropping-particle":"","family":"Fahrbach","given":"Kyle","non-dropping-particle":"","parse-names":false,"suffix":""},{"dropping-particle":"","family":"Gaudig","given":"Maren","non-dropping-particle":"","parse-names":false,"suffix":""},{"dropping-particle":"","family":"Slavcev","given":"Mary","non-dropping-particle":"","parse-names":false,"suffix":""},{"dropping-particle":"","family":"Dearden","given":"Lindsay","non-dropping-particle":"","parse-names":false,"suffix":""},{"dropping-particle":"","family":"Lam","given":"Annette","non-dropping-particle":"","parse-names":false,"suffix":""}],"container-title":"Clinical Lymphoma, Myeloma and Leukemia","id":"ITEM-2","issue":"3","issued":{"date-parts":[["2018","3","1"]]},"page":"163-173.e6","publisher":"Elsevier Inc.","title":"A Comparison of the Efficacy of Immunomodulatory-containing Regimens in Relapsed/Refractory Multiple Myeloma: A Network Meta-analysis","type":"article-journal","volume":"18"},"uris":["http://www.mendeley.com/documents/?uuid=4543af21-4b82-3645-8d1e-52cee5a8b951"]}],"mendeley":{"formattedCitation":"[60,63]","plainTextFormattedCitation":"[60,63]","previouslyFormattedCitation":"[60,63]"},"properties":{"noteIndex":0},"schema":"https://github.com/citation-style-language/schema/raw/master/csl-citation.json"}</w:instrText>
      </w:r>
      <w:r w:rsidR="00A96FB6" w:rsidRPr="00805C9F">
        <w:rPr>
          <w:i/>
          <w:szCs w:val="24"/>
        </w:rPr>
        <w:fldChar w:fldCharType="separate"/>
      </w:r>
      <w:r w:rsidR="00500F37" w:rsidRPr="00500F37">
        <w:rPr>
          <w:noProof/>
          <w:szCs w:val="24"/>
        </w:rPr>
        <w:t>[60,63]</w:t>
      </w:r>
      <w:r w:rsidR="00A96FB6" w:rsidRPr="00805C9F">
        <w:rPr>
          <w:i/>
          <w:szCs w:val="24"/>
        </w:rPr>
        <w:fldChar w:fldCharType="end"/>
      </w:r>
      <w:r w:rsidR="00DB0580" w:rsidRPr="00805C9F">
        <w:rPr>
          <w:szCs w:val="24"/>
        </w:rPr>
        <w:t>.</w:t>
      </w:r>
    </w:p>
    <w:p w14:paraId="7E832A2B" w14:textId="77777777" w:rsidR="00B472C9" w:rsidRPr="00805C9F" w:rsidRDefault="00B472C9" w:rsidP="00092917">
      <w:pPr>
        <w:pStyle w:val="a6"/>
        <w:spacing w:before="0" w:after="0"/>
        <w:ind w:left="0"/>
        <w:rPr>
          <w:b/>
          <w:szCs w:val="24"/>
        </w:rPr>
      </w:pPr>
      <w:r w:rsidRPr="00805C9F">
        <w:rPr>
          <w:b/>
          <w:szCs w:val="24"/>
        </w:rPr>
        <w:lastRenderedPageBreak/>
        <w:t xml:space="preserve">Уровень убедительности рекомендаций </w:t>
      </w:r>
      <w:r w:rsidR="00AE4430" w:rsidRPr="00805C9F">
        <w:rPr>
          <w:b/>
          <w:szCs w:val="24"/>
        </w:rPr>
        <w:t xml:space="preserve">− </w:t>
      </w:r>
      <w:r w:rsidR="00BD6788" w:rsidRPr="00805C9F">
        <w:rPr>
          <w:b/>
          <w:szCs w:val="24"/>
          <w:lang w:val="en-US"/>
        </w:rPr>
        <w:t>A</w:t>
      </w:r>
      <w:r w:rsidR="000A156C" w:rsidRPr="00805C9F">
        <w:rPr>
          <w:b/>
          <w:szCs w:val="24"/>
        </w:rPr>
        <w:t xml:space="preserve"> </w:t>
      </w:r>
      <w:r w:rsidRPr="00805C9F">
        <w:rPr>
          <w:b/>
          <w:szCs w:val="24"/>
        </w:rPr>
        <w:t>(уровень достоверности доказательств</w:t>
      </w:r>
      <w:r w:rsidR="000A156C" w:rsidRPr="00805C9F">
        <w:rPr>
          <w:b/>
          <w:szCs w:val="24"/>
        </w:rPr>
        <w:t xml:space="preserve"> </w:t>
      </w:r>
      <w:r w:rsidR="00AE4430" w:rsidRPr="00805C9F">
        <w:rPr>
          <w:b/>
          <w:szCs w:val="24"/>
        </w:rPr>
        <w:t xml:space="preserve">− </w:t>
      </w:r>
      <w:r w:rsidR="006E390F" w:rsidRPr="00805C9F">
        <w:rPr>
          <w:b/>
          <w:szCs w:val="24"/>
        </w:rPr>
        <w:t>1)</w:t>
      </w:r>
    </w:p>
    <w:p w14:paraId="08F5B746" w14:textId="77777777" w:rsidR="00CF7A54" w:rsidRPr="00805C9F" w:rsidRDefault="00B472C9" w:rsidP="00092917">
      <w:pPr>
        <w:pStyle w:val="a6"/>
        <w:spacing w:before="0" w:after="0"/>
        <w:ind w:left="0"/>
        <w:rPr>
          <w:i/>
          <w:szCs w:val="24"/>
        </w:rPr>
      </w:pPr>
      <w:r w:rsidRPr="00805C9F">
        <w:rPr>
          <w:b/>
          <w:szCs w:val="24"/>
        </w:rPr>
        <w:t xml:space="preserve">Комментарий: </w:t>
      </w:r>
      <w:r w:rsidR="00286688" w:rsidRPr="00805C9F">
        <w:rPr>
          <w:i/>
          <w:szCs w:val="24"/>
        </w:rPr>
        <w:t xml:space="preserve">эффективность </w:t>
      </w:r>
      <w:r w:rsidR="00CF7A54" w:rsidRPr="00805C9F">
        <w:rPr>
          <w:i/>
          <w:szCs w:val="24"/>
        </w:rPr>
        <w:t>комбинации анти-CD38 моноклонального антитела даратумумаба</w:t>
      </w:r>
      <w:r w:rsidR="00B657E4" w:rsidRPr="00805C9F">
        <w:rPr>
          <w:i/>
          <w:szCs w:val="24"/>
        </w:rPr>
        <w:t>**</w:t>
      </w:r>
      <w:r w:rsidR="00CF7A54" w:rsidRPr="00805C9F">
        <w:rPr>
          <w:i/>
          <w:szCs w:val="24"/>
        </w:rPr>
        <w:t xml:space="preserve"> с леналидомидом</w:t>
      </w:r>
      <w:r w:rsidR="00B657E4" w:rsidRPr="00805C9F">
        <w:rPr>
          <w:i/>
          <w:szCs w:val="24"/>
        </w:rPr>
        <w:t>**</w:t>
      </w:r>
      <w:r w:rsidR="00CF7A54" w:rsidRPr="00805C9F">
        <w:rPr>
          <w:i/>
          <w:szCs w:val="24"/>
        </w:rPr>
        <w:t xml:space="preserve"> и дексаметазоном</w:t>
      </w:r>
      <w:r w:rsidR="00B657E4" w:rsidRPr="00805C9F">
        <w:rPr>
          <w:i/>
          <w:szCs w:val="24"/>
        </w:rPr>
        <w:t>**</w:t>
      </w:r>
      <w:r w:rsidR="00CF7A54" w:rsidRPr="00805C9F">
        <w:rPr>
          <w:i/>
          <w:szCs w:val="24"/>
        </w:rPr>
        <w:t xml:space="preserve"> у пациентов с рецидивирующей ММ, получивших по крайней мере одну предшествующую линию терапии, была продемонстрирована в крупном рандомизированном иследовании III</w:t>
      </w:r>
      <w:r w:rsidR="003B2F2C" w:rsidRPr="00805C9F">
        <w:rPr>
          <w:i/>
          <w:szCs w:val="24"/>
        </w:rPr>
        <w:t> </w:t>
      </w:r>
      <w:r w:rsidR="00CF7A54" w:rsidRPr="00805C9F">
        <w:rPr>
          <w:i/>
          <w:szCs w:val="24"/>
        </w:rPr>
        <w:t>фазы POLLUX. В исследуемой группе (DRd) достоверно чаще достигались ответы на терапию (93</w:t>
      </w:r>
      <w:r w:rsidR="003B2F2C" w:rsidRPr="00805C9F">
        <w:rPr>
          <w:i/>
          <w:szCs w:val="24"/>
        </w:rPr>
        <w:t> </w:t>
      </w:r>
      <w:r w:rsidR="00CF7A54" w:rsidRPr="00805C9F">
        <w:rPr>
          <w:i/>
          <w:szCs w:val="24"/>
        </w:rPr>
        <w:t>%), чем в контрольной группе (Rd) (76</w:t>
      </w:r>
      <w:r w:rsidR="003B2F2C" w:rsidRPr="00805C9F">
        <w:rPr>
          <w:i/>
          <w:szCs w:val="24"/>
        </w:rPr>
        <w:t> </w:t>
      </w:r>
      <w:r w:rsidR="00CF7A54" w:rsidRPr="00805C9F">
        <w:rPr>
          <w:i/>
          <w:szCs w:val="24"/>
        </w:rPr>
        <w:t>%), более чем в 2 раза чаще достигались как минимум ПР (57</w:t>
      </w:r>
      <w:r w:rsidR="003B2F2C" w:rsidRPr="00805C9F">
        <w:rPr>
          <w:i/>
          <w:szCs w:val="24"/>
        </w:rPr>
        <w:t> </w:t>
      </w:r>
      <w:r w:rsidR="00CF7A54" w:rsidRPr="00805C9F">
        <w:rPr>
          <w:i/>
          <w:szCs w:val="24"/>
        </w:rPr>
        <w:t>% против 23</w:t>
      </w:r>
      <w:r w:rsidR="003B2F2C" w:rsidRPr="00805C9F">
        <w:rPr>
          <w:i/>
          <w:szCs w:val="24"/>
        </w:rPr>
        <w:t> </w:t>
      </w:r>
      <w:r w:rsidR="00CF7A54" w:rsidRPr="00805C9F">
        <w:rPr>
          <w:i/>
          <w:szCs w:val="24"/>
        </w:rPr>
        <w:t>%) и в 6 раз больше пациентов достигали МОБ-негативности при пороге чувствительности 10</w:t>
      </w:r>
      <w:r w:rsidR="003B2F2C" w:rsidRPr="00805C9F">
        <w:rPr>
          <w:i/>
          <w:szCs w:val="24"/>
        </w:rPr>
        <w:t>−</w:t>
      </w:r>
      <w:r w:rsidR="00CF7A54" w:rsidRPr="00805C9F">
        <w:rPr>
          <w:i/>
          <w:szCs w:val="24"/>
        </w:rPr>
        <w:t>5 (30</w:t>
      </w:r>
      <w:r w:rsidR="003B2F2C" w:rsidRPr="00805C9F">
        <w:rPr>
          <w:i/>
          <w:szCs w:val="24"/>
        </w:rPr>
        <w:t> </w:t>
      </w:r>
      <w:r w:rsidR="00CF7A54" w:rsidRPr="00805C9F">
        <w:rPr>
          <w:i/>
          <w:szCs w:val="24"/>
        </w:rPr>
        <w:t>% против 5</w:t>
      </w:r>
      <w:r w:rsidR="003B2F2C" w:rsidRPr="00805C9F">
        <w:rPr>
          <w:i/>
          <w:szCs w:val="24"/>
        </w:rPr>
        <w:t> </w:t>
      </w:r>
      <w:r w:rsidR="00CF7A54" w:rsidRPr="00805C9F">
        <w:rPr>
          <w:i/>
          <w:szCs w:val="24"/>
        </w:rPr>
        <w:t>%). Медиана ВБП составила 44,5 мес</w:t>
      </w:r>
      <w:r w:rsidR="00E778E9" w:rsidRPr="00805C9F">
        <w:rPr>
          <w:i/>
          <w:szCs w:val="24"/>
        </w:rPr>
        <w:t>.</w:t>
      </w:r>
      <w:r w:rsidR="00CF7A54" w:rsidRPr="00805C9F">
        <w:rPr>
          <w:i/>
          <w:szCs w:val="24"/>
        </w:rPr>
        <w:t xml:space="preserve"> в группе DRd и 17,5 мес</w:t>
      </w:r>
      <w:r w:rsidR="00E778E9" w:rsidRPr="00805C9F">
        <w:rPr>
          <w:i/>
          <w:szCs w:val="24"/>
        </w:rPr>
        <w:t>.</w:t>
      </w:r>
      <w:r w:rsidR="00CF7A54" w:rsidRPr="00805C9F">
        <w:rPr>
          <w:i/>
          <w:szCs w:val="24"/>
        </w:rPr>
        <w:t xml:space="preserve"> в группе Rd.</w:t>
      </w:r>
    </w:p>
    <w:p w14:paraId="5584B173" w14:textId="77777777" w:rsidR="007D5C85" w:rsidRPr="00805C9F" w:rsidRDefault="00CF7A54" w:rsidP="00092917">
      <w:pPr>
        <w:pStyle w:val="a6"/>
        <w:spacing w:before="0" w:after="0"/>
        <w:ind w:left="0" w:firstLine="709"/>
        <w:rPr>
          <w:i/>
          <w:szCs w:val="24"/>
        </w:rPr>
      </w:pPr>
      <w:r w:rsidRPr="00805C9F">
        <w:rPr>
          <w:i/>
          <w:szCs w:val="24"/>
        </w:rPr>
        <w:t>Добавление даратумумаба</w:t>
      </w:r>
      <w:r w:rsidR="00B657E4" w:rsidRPr="00805C9F">
        <w:rPr>
          <w:i/>
          <w:szCs w:val="24"/>
        </w:rPr>
        <w:t>**</w:t>
      </w:r>
      <w:r w:rsidRPr="00805C9F">
        <w:rPr>
          <w:i/>
          <w:szCs w:val="24"/>
        </w:rPr>
        <w:t xml:space="preserve"> к режиму Rd не приводило к повышению токсичности: частота отмены терапии была сопоставима в об</w:t>
      </w:r>
      <w:r w:rsidR="003B2F2C" w:rsidRPr="00805C9F">
        <w:rPr>
          <w:i/>
          <w:szCs w:val="24"/>
        </w:rPr>
        <w:t>е</w:t>
      </w:r>
      <w:r w:rsidRPr="00805C9F">
        <w:rPr>
          <w:i/>
          <w:szCs w:val="24"/>
        </w:rPr>
        <w:t xml:space="preserve">их группах (15% в </w:t>
      </w:r>
      <w:r w:rsidR="003B2F2C" w:rsidRPr="00805C9F">
        <w:rPr>
          <w:i/>
          <w:szCs w:val="24"/>
        </w:rPr>
        <w:t>каждой из</w:t>
      </w:r>
      <w:r w:rsidRPr="00805C9F">
        <w:rPr>
          <w:i/>
          <w:szCs w:val="24"/>
        </w:rPr>
        <w:t xml:space="preserve"> групп). Профиль безопасности комбинации DRd соответствовал описанному в предшествовавших исследованиях даратумумаба</w:t>
      </w:r>
      <w:r w:rsidR="00B657E4" w:rsidRPr="00805C9F">
        <w:rPr>
          <w:i/>
          <w:szCs w:val="24"/>
        </w:rPr>
        <w:t>**</w:t>
      </w:r>
      <w:r w:rsidRPr="00805C9F">
        <w:rPr>
          <w:i/>
          <w:szCs w:val="24"/>
        </w:rPr>
        <w:t xml:space="preserve"> и леналидомида</w:t>
      </w:r>
      <w:r w:rsidR="00B657E4" w:rsidRPr="00805C9F">
        <w:rPr>
          <w:i/>
          <w:szCs w:val="24"/>
        </w:rPr>
        <w:t>**</w:t>
      </w:r>
      <w:r w:rsidRPr="00805C9F">
        <w:rPr>
          <w:i/>
          <w:szCs w:val="24"/>
        </w:rPr>
        <w:t xml:space="preserve"> с низкими дозами дексаметазона</w:t>
      </w:r>
      <w:r w:rsidR="00B657E4" w:rsidRPr="00805C9F">
        <w:rPr>
          <w:i/>
          <w:szCs w:val="24"/>
        </w:rPr>
        <w:t>**</w:t>
      </w:r>
      <w:r w:rsidRPr="00805C9F">
        <w:rPr>
          <w:i/>
          <w:szCs w:val="24"/>
        </w:rPr>
        <w:t>.</w:t>
      </w:r>
    </w:p>
    <w:p w14:paraId="5E986B62" w14:textId="2B777289" w:rsidR="007D5C85" w:rsidRPr="00805C9F" w:rsidRDefault="00B228C7" w:rsidP="00092917">
      <w:pPr>
        <w:pStyle w:val="a6"/>
        <w:numPr>
          <w:ilvl w:val="0"/>
          <w:numId w:val="8"/>
        </w:numPr>
        <w:tabs>
          <w:tab w:val="clear" w:pos="348"/>
          <w:tab w:val="num" w:pos="709"/>
        </w:tabs>
        <w:spacing w:before="0" w:after="0"/>
        <w:ind w:left="0" w:firstLine="0"/>
        <w:rPr>
          <w:szCs w:val="24"/>
        </w:rPr>
      </w:pPr>
      <w:r w:rsidRPr="00805C9F">
        <w:rPr>
          <w:szCs w:val="24"/>
        </w:rPr>
        <w:t>Пациентам с</w:t>
      </w:r>
      <w:r w:rsidR="00DB0580" w:rsidRPr="00805C9F">
        <w:rPr>
          <w:szCs w:val="24"/>
        </w:rPr>
        <w:t xml:space="preserve"> рецидивом ММ</w:t>
      </w:r>
      <w:r w:rsidRPr="00805C9F">
        <w:rPr>
          <w:szCs w:val="24"/>
        </w:rPr>
        <w:t>, которым показана противомиеломная терапия и у которых не развилась рефрактерно</w:t>
      </w:r>
      <w:r w:rsidR="005A7F3F" w:rsidRPr="00805C9F">
        <w:rPr>
          <w:szCs w:val="24"/>
        </w:rPr>
        <w:t>сть к бортезомибу</w:t>
      </w:r>
      <w:r w:rsidR="0085596B" w:rsidRPr="00805C9F">
        <w:rPr>
          <w:szCs w:val="24"/>
        </w:rPr>
        <w:t>**</w:t>
      </w:r>
      <w:r w:rsidRPr="00805C9F">
        <w:rPr>
          <w:szCs w:val="24"/>
        </w:rPr>
        <w:t>, в качестве одной из возможных опций</w:t>
      </w:r>
      <w:r w:rsidR="00BA7503" w:rsidRPr="00805C9F">
        <w:rPr>
          <w:szCs w:val="24"/>
        </w:rPr>
        <w:t xml:space="preserve"> </w:t>
      </w:r>
      <w:r w:rsidR="00B657E4" w:rsidRPr="00805C9F">
        <w:rPr>
          <w:b/>
          <w:szCs w:val="24"/>
        </w:rPr>
        <w:t>рекомендуется</w:t>
      </w:r>
      <w:r w:rsidR="007D5C85" w:rsidRPr="00805C9F">
        <w:rPr>
          <w:szCs w:val="24"/>
        </w:rPr>
        <w:t xml:space="preserve"> терапия с включением в схему лечения даратумумаба**, бортезомиба** и дексаметазона** </w:t>
      </w:r>
      <w:r w:rsidR="00032CFB" w:rsidRPr="00805C9F">
        <w:rPr>
          <w:szCs w:val="24"/>
        </w:rPr>
        <w:t xml:space="preserve">(описание режимов – см. приложение </w:t>
      </w:r>
      <w:r w:rsidR="00C812D6" w:rsidRPr="00805C9F">
        <w:rPr>
          <w:szCs w:val="24"/>
        </w:rPr>
        <w:t>А3.1</w:t>
      </w:r>
      <w:r w:rsidR="00EA60BC" w:rsidRPr="00805C9F">
        <w:rPr>
          <w:szCs w:val="24"/>
        </w:rPr>
        <w:t>.</w:t>
      </w:r>
      <w:r w:rsidR="00032CFB" w:rsidRPr="00805C9F">
        <w:rPr>
          <w:szCs w:val="24"/>
        </w:rPr>
        <w:t>)</w:t>
      </w:r>
      <w:r w:rsidR="00286688" w:rsidRPr="00805C9F">
        <w:rPr>
          <w:szCs w:val="24"/>
        </w:rPr>
        <w:t xml:space="preserve"> </w:t>
      </w:r>
      <w:r w:rsidR="00A96FB6" w:rsidRPr="00805C9F">
        <w:rPr>
          <w:i/>
          <w:szCs w:val="24"/>
        </w:rPr>
        <w:fldChar w:fldCharType="begin" w:fldLock="1"/>
      </w:r>
      <w:r w:rsidR="00500F37">
        <w:rPr>
          <w:i/>
          <w:szCs w:val="24"/>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mendeley":{"formattedCitation":"[60]","plainTextFormattedCitation":"[60]","previouslyFormattedCitation":"[60]"},"properties":{"noteIndex":0},"schema":"https://github.com/citation-style-language/schema/raw/master/csl-citation.json"}</w:instrText>
      </w:r>
      <w:r w:rsidR="00A96FB6" w:rsidRPr="00805C9F">
        <w:rPr>
          <w:i/>
          <w:szCs w:val="24"/>
        </w:rPr>
        <w:fldChar w:fldCharType="separate"/>
      </w:r>
      <w:r w:rsidR="00E03159" w:rsidRPr="00805C9F">
        <w:rPr>
          <w:noProof/>
          <w:szCs w:val="24"/>
        </w:rPr>
        <w:t>[60]</w:t>
      </w:r>
      <w:r w:rsidR="00A96FB6" w:rsidRPr="00805C9F">
        <w:rPr>
          <w:i/>
          <w:szCs w:val="24"/>
        </w:rPr>
        <w:fldChar w:fldCharType="end"/>
      </w:r>
      <w:r w:rsidR="00BD6788" w:rsidRPr="00805C9F">
        <w:rPr>
          <w:szCs w:val="24"/>
        </w:rPr>
        <w:t>.</w:t>
      </w:r>
    </w:p>
    <w:p w14:paraId="185C69F1" w14:textId="77777777" w:rsidR="007D5C85" w:rsidRPr="00805C9F" w:rsidRDefault="007D5C85" w:rsidP="00092917">
      <w:pPr>
        <w:pStyle w:val="a6"/>
        <w:spacing w:before="0" w:after="0"/>
        <w:ind w:left="0"/>
        <w:rPr>
          <w:b/>
          <w:szCs w:val="24"/>
        </w:rPr>
      </w:pPr>
      <w:r w:rsidRPr="00805C9F">
        <w:rPr>
          <w:b/>
          <w:szCs w:val="24"/>
        </w:rPr>
        <w:t xml:space="preserve">Уровень убедительности рекомендаций </w:t>
      </w:r>
      <w:r w:rsidR="004713CC" w:rsidRPr="00805C9F">
        <w:rPr>
          <w:b/>
          <w:szCs w:val="24"/>
        </w:rPr>
        <w:t xml:space="preserve">− </w:t>
      </w:r>
      <w:r w:rsidR="00BD6788" w:rsidRPr="00805C9F">
        <w:rPr>
          <w:b/>
          <w:szCs w:val="24"/>
          <w:lang w:val="en-US"/>
        </w:rPr>
        <w:t>A</w:t>
      </w:r>
      <w:r w:rsidR="000A156C" w:rsidRPr="00805C9F">
        <w:rPr>
          <w:b/>
          <w:szCs w:val="24"/>
        </w:rPr>
        <w:t xml:space="preserve"> </w:t>
      </w:r>
      <w:r w:rsidRPr="00805C9F">
        <w:rPr>
          <w:b/>
          <w:szCs w:val="24"/>
        </w:rPr>
        <w:t>(уровень достоверности доказательств</w:t>
      </w:r>
      <w:r w:rsidR="000A156C" w:rsidRPr="00805C9F">
        <w:rPr>
          <w:b/>
          <w:szCs w:val="24"/>
        </w:rPr>
        <w:t xml:space="preserve"> </w:t>
      </w:r>
      <w:r w:rsidR="004713CC" w:rsidRPr="00805C9F">
        <w:rPr>
          <w:b/>
          <w:szCs w:val="24"/>
        </w:rPr>
        <w:t xml:space="preserve">− </w:t>
      </w:r>
      <w:r w:rsidR="006E390F" w:rsidRPr="00805C9F">
        <w:rPr>
          <w:b/>
          <w:szCs w:val="24"/>
        </w:rPr>
        <w:t>1)</w:t>
      </w:r>
    </w:p>
    <w:p w14:paraId="2C590623" w14:textId="77777777" w:rsidR="00CF7A54" w:rsidRPr="00805C9F" w:rsidRDefault="007D5C85" w:rsidP="00092917">
      <w:pPr>
        <w:pStyle w:val="a6"/>
        <w:spacing w:before="0" w:after="0"/>
        <w:ind w:left="0"/>
        <w:rPr>
          <w:i/>
          <w:szCs w:val="24"/>
        </w:rPr>
      </w:pPr>
      <w:r w:rsidRPr="00805C9F">
        <w:rPr>
          <w:b/>
          <w:szCs w:val="24"/>
        </w:rPr>
        <w:t xml:space="preserve">Комментарий: </w:t>
      </w:r>
      <w:r w:rsidR="00286688" w:rsidRPr="00805C9F">
        <w:rPr>
          <w:i/>
          <w:szCs w:val="24"/>
        </w:rPr>
        <w:t xml:space="preserve">эффективность </w:t>
      </w:r>
      <w:r w:rsidR="00CF7A54" w:rsidRPr="00805C9F">
        <w:rPr>
          <w:i/>
          <w:szCs w:val="24"/>
        </w:rPr>
        <w:t>добавления даратумумаба</w:t>
      </w:r>
      <w:r w:rsidR="00B657E4" w:rsidRPr="00805C9F">
        <w:rPr>
          <w:i/>
          <w:szCs w:val="24"/>
        </w:rPr>
        <w:t>**</w:t>
      </w:r>
      <w:r w:rsidR="00CF7A54" w:rsidRPr="00805C9F">
        <w:rPr>
          <w:i/>
          <w:szCs w:val="24"/>
        </w:rPr>
        <w:t xml:space="preserve"> к комбинации бортезомиба</w:t>
      </w:r>
      <w:r w:rsidR="00B657E4" w:rsidRPr="00805C9F">
        <w:rPr>
          <w:i/>
          <w:szCs w:val="24"/>
        </w:rPr>
        <w:t>**</w:t>
      </w:r>
      <w:r w:rsidR="00CF7A54" w:rsidRPr="00805C9F">
        <w:rPr>
          <w:i/>
          <w:szCs w:val="24"/>
        </w:rPr>
        <w:t xml:space="preserve"> с дексаметазоном</w:t>
      </w:r>
      <w:r w:rsidR="00B657E4" w:rsidRPr="00805C9F">
        <w:rPr>
          <w:i/>
          <w:szCs w:val="24"/>
        </w:rPr>
        <w:t>**</w:t>
      </w:r>
      <w:r w:rsidR="00CF7A54" w:rsidRPr="00805C9F">
        <w:rPr>
          <w:i/>
          <w:szCs w:val="24"/>
        </w:rPr>
        <w:t xml:space="preserve"> у пациентов с рецидивирующей ММ, получивших по крайней мере одну предшествующую линию терапии, была оценена в крупном рандомизированном иследовании III фазы CASTOR. В исследуемой группе (DVd) достоверно чаще достигались ответы на терапию (85</w:t>
      </w:r>
      <w:r w:rsidR="004713CC" w:rsidRPr="00805C9F">
        <w:rPr>
          <w:i/>
          <w:szCs w:val="24"/>
        </w:rPr>
        <w:t> </w:t>
      </w:r>
      <w:r w:rsidR="00CF7A54" w:rsidRPr="00805C9F">
        <w:rPr>
          <w:i/>
          <w:szCs w:val="24"/>
        </w:rPr>
        <w:t>%), чем в контрольной группе (Vd) (63</w:t>
      </w:r>
      <w:r w:rsidR="004713CC" w:rsidRPr="00805C9F">
        <w:rPr>
          <w:i/>
          <w:szCs w:val="24"/>
        </w:rPr>
        <w:t> </w:t>
      </w:r>
      <w:r w:rsidR="00CF7A54" w:rsidRPr="00805C9F">
        <w:rPr>
          <w:i/>
          <w:szCs w:val="24"/>
        </w:rPr>
        <w:t>%), в 3 раза больше пациентов достигали как минимум ПР (30</w:t>
      </w:r>
      <w:r w:rsidR="004713CC" w:rsidRPr="00805C9F">
        <w:rPr>
          <w:i/>
          <w:szCs w:val="24"/>
        </w:rPr>
        <w:t> </w:t>
      </w:r>
      <w:r w:rsidR="00CF7A54" w:rsidRPr="00805C9F">
        <w:rPr>
          <w:i/>
          <w:szCs w:val="24"/>
        </w:rPr>
        <w:t>% против 10</w:t>
      </w:r>
      <w:r w:rsidR="004713CC" w:rsidRPr="00805C9F">
        <w:rPr>
          <w:i/>
          <w:szCs w:val="24"/>
        </w:rPr>
        <w:t> </w:t>
      </w:r>
      <w:r w:rsidR="00CF7A54" w:rsidRPr="00805C9F">
        <w:rPr>
          <w:i/>
          <w:szCs w:val="24"/>
        </w:rPr>
        <w:t>%) и в 7 раз больше пациентов достигали МОБ-негативности при пороге чувствительности 10</w:t>
      </w:r>
      <w:r w:rsidR="004713CC" w:rsidRPr="00805C9F">
        <w:rPr>
          <w:i/>
          <w:szCs w:val="24"/>
        </w:rPr>
        <w:t>−</w:t>
      </w:r>
      <w:r w:rsidR="00CF7A54" w:rsidRPr="00805C9F">
        <w:rPr>
          <w:i/>
          <w:szCs w:val="24"/>
        </w:rPr>
        <w:t>5 (14</w:t>
      </w:r>
      <w:r w:rsidR="004713CC" w:rsidRPr="00805C9F">
        <w:rPr>
          <w:i/>
          <w:szCs w:val="24"/>
        </w:rPr>
        <w:t> </w:t>
      </w:r>
      <w:r w:rsidR="00CF7A54" w:rsidRPr="00805C9F">
        <w:rPr>
          <w:i/>
          <w:szCs w:val="24"/>
        </w:rPr>
        <w:t>% против 2</w:t>
      </w:r>
      <w:r w:rsidR="004713CC" w:rsidRPr="00805C9F">
        <w:rPr>
          <w:i/>
          <w:szCs w:val="24"/>
        </w:rPr>
        <w:t> </w:t>
      </w:r>
      <w:r w:rsidR="00CF7A54" w:rsidRPr="00805C9F">
        <w:rPr>
          <w:i/>
          <w:szCs w:val="24"/>
        </w:rPr>
        <w:t>%). Медиана ВБП составила 16,7 мес</w:t>
      </w:r>
      <w:r w:rsidR="00E778E9" w:rsidRPr="00805C9F">
        <w:rPr>
          <w:i/>
          <w:szCs w:val="24"/>
        </w:rPr>
        <w:t>.</w:t>
      </w:r>
      <w:r w:rsidR="00CF7A54" w:rsidRPr="00805C9F">
        <w:rPr>
          <w:i/>
          <w:szCs w:val="24"/>
        </w:rPr>
        <w:t xml:space="preserve"> в группе DVd и 7,1 мес</w:t>
      </w:r>
      <w:r w:rsidR="00E778E9" w:rsidRPr="00805C9F">
        <w:rPr>
          <w:i/>
          <w:szCs w:val="24"/>
        </w:rPr>
        <w:t>.</w:t>
      </w:r>
      <w:r w:rsidR="00CF7A54" w:rsidRPr="00805C9F">
        <w:rPr>
          <w:i/>
          <w:szCs w:val="24"/>
        </w:rPr>
        <w:t xml:space="preserve"> в группе Vd, а при применении сразу в первом рецидиве </w:t>
      </w:r>
      <w:r w:rsidR="004713CC" w:rsidRPr="00805C9F">
        <w:rPr>
          <w:i/>
          <w:szCs w:val="24"/>
        </w:rPr>
        <w:t>−</w:t>
      </w:r>
      <w:r w:rsidR="00CF7A54" w:rsidRPr="00805C9F">
        <w:rPr>
          <w:i/>
          <w:szCs w:val="24"/>
        </w:rPr>
        <w:t xml:space="preserve"> 27,0</w:t>
      </w:r>
      <w:r w:rsidR="004713CC" w:rsidRPr="00805C9F">
        <w:rPr>
          <w:i/>
          <w:szCs w:val="24"/>
        </w:rPr>
        <w:t> </w:t>
      </w:r>
      <w:r w:rsidR="00CF7A54" w:rsidRPr="00805C9F">
        <w:rPr>
          <w:i/>
          <w:szCs w:val="24"/>
        </w:rPr>
        <w:t>мес</w:t>
      </w:r>
      <w:r w:rsidR="00E778E9" w:rsidRPr="00805C9F">
        <w:rPr>
          <w:i/>
          <w:szCs w:val="24"/>
        </w:rPr>
        <w:t>.</w:t>
      </w:r>
      <w:r w:rsidR="00CF7A54" w:rsidRPr="00805C9F">
        <w:rPr>
          <w:i/>
          <w:szCs w:val="24"/>
        </w:rPr>
        <w:t xml:space="preserve"> в группе DVd и 7,9 мес</w:t>
      </w:r>
      <w:r w:rsidR="00E778E9" w:rsidRPr="00805C9F">
        <w:rPr>
          <w:i/>
          <w:szCs w:val="24"/>
        </w:rPr>
        <w:t>.</w:t>
      </w:r>
      <w:r w:rsidR="00CF7A54" w:rsidRPr="00805C9F">
        <w:rPr>
          <w:i/>
          <w:szCs w:val="24"/>
        </w:rPr>
        <w:t xml:space="preserve"> в группе Vd.</w:t>
      </w:r>
    </w:p>
    <w:p w14:paraId="6E4D4068" w14:textId="77777777" w:rsidR="007D5C85" w:rsidRPr="00805C9F" w:rsidRDefault="00CF7A54" w:rsidP="00092917">
      <w:pPr>
        <w:pStyle w:val="a6"/>
        <w:spacing w:before="0" w:after="0"/>
        <w:ind w:left="0"/>
        <w:rPr>
          <w:i/>
          <w:szCs w:val="24"/>
        </w:rPr>
      </w:pPr>
      <w:r w:rsidRPr="00805C9F">
        <w:rPr>
          <w:i/>
          <w:szCs w:val="24"/>
        </w:rPr>
        <w:t>Добавление даратумумаба</w:t>
      </w:r>
      <w:r w:rsidR="00B657E4" w:rsidRPr="00805C9F">
        <w:rPr>
          <w:i/>
          <w:szCs w:val="24"/>
        </w:rPr>
        <w:t>**</w:t>
      </w:r>
      <w:r w:rsidRPr="00805C9F">
        <w:rPr>
          <w:i/>
          <w:szCs w:val="24"/>
        </w:rPr>
        <w:t xml:space="preserve"> к режиму Vd не приводило к повышению токсичности: частота отмены терапии была сопоставима в об</w:t>
      </w:r>
      <w:r w:rsidR="004713CC" w:rsidRPr="00805C9F">
        <w:rPr>
          <w:i/>
          <w:szCs w:val="24"/>
        </w:rPr>
        <w:t>е</w:t>
      </w:r>
      <w:r w:rsidRPr="00805C9F">
        <w:rPr>
          <w:i/>
          <w:szCs w:val="24"/>
        </w:rPr>
        <w:t>их группах (10</w:t>
      </w:r>
      <w:r w:rsidR="004713CC" w:rsidRPr="00805C9F">
        <w:rPr>
          <w:i/>
          <w:szCs w:val="24"/>
        </w:rPr>
        <w:t> </w:t>
      </w:r>
      <w:r w:rsidRPr="00805C9F">
        <w:rPr>
          <w:i/>
          <w:szCs w:val="24"/>
        </w:rPr>
        <w:t>% при применении DVd и 9</w:t>
      </w:r>
      <w:r w:rsidR="004713CC" w:rsidRPr="00805C9F">
        <w:rPr>
          <w:i/>
          <w:szCs w:val="24"/>
        </w:rPr>
        <w:t> </w:t>
      </w:r>
      <w:r w:rsidRPr="00805C9F">
        <w:rPr>
          <w:i/>
          <w:szCs w:val="24"/>
        </w:rPr>
        <w:t xml:space="preserve">% при применении Vd). Профиль безопасности комбинации DVd соответствовал </w:t>
      </w:r>
      <w:r w:rsidRPr="00805C9F">
        <w:rPr>
          <w:i/>
          <w:szCs w:val="24"/>
        </w:rPr>
        <w:lastRenderedPageBreak/>
        <w:t>описанному в предшествовавших исследованиях даратумумаба</w:t>
      </w:r>
      <w:r w:rsidR="00B657E4" w:rsidRPr="00805C9F">
        <w:rPr>
          <w:i/>
          <w:szCs w:val="24"/>
        </w:rPr>
        <w:t>**</w:t>
      </w:r>
      <w:r w:rsidRPr="00805C9F">
        <w:rPr>
          <w:i/>
          <w:szCs w:val="24"/>
        </w:rPr>
        <w:t xml:space="preserve"> и бортезомиба</w:t>
      </w:r>
      <w:r w:rsidR="00B657E4" w:rsidRPr="00805C9F">
        <w:rPr>
          <w:i/>
          <w:szCs w:val="24"/>
        </w:rPr>
        <w:t>**</w:t>
      </w:r>
      <w:r w:rsidRPr="00805C9F">
        <w:rPr>
          <w:i/>
          <w:szCs w:val="24"/>
        </w:rPr>
        <w:t xml:space="preserve"> с дексаметазоном</w:t>
      </w:r>
      <w:r w:rsidR="00B657E4" w:rsidRPr="00805C9F">
        <w:rPr>
          <w:i/>
          <w:szCs w:val="24"/>
        </w:rPr>
        <w:t>**</w:t>
      </w:r>
      <w:r w:rsidRPr="00805C9F">
        <w:rPr>
          <w:i/>
          <w:szCs w:val="24"/>
        </w:rPr>
        <w:t>.</w:t>
      </w:r>
    </w:p>
    <w:p w14:paraId="24ACD1DD" w14:textId="70E2292F" w:rsidR="008D36F2" w:rsidRPr="00805C9F" w:rsidRDefault="00B228C7" w:rsidP="00092917">
      <w:pPr>
        <w:pStyle w:val="a6"/>
        <w:numPr>
          <w:ilvl w:val="0"/>
          <w:numId w:val="10"/>
        </w:numPr>
        <w:spacing w:before="0" w:after="0"/>
        <w:ind w:left="0" w:firstLine="0"/>
        <w:rPr>
          <w:szCs w:val="24"/>
        </w:rPr>
      </w:pPr>
      <w:r w:rsidRPr="00805C9F">
        <w:rPr>
          <w:szCs w:val="24"/>
        </w:rPr>
        <w:t>Пациентам с</w:t>
      </w:r>
      <w:r w:rsidR="00DB0580" w:rsidRPr="00805C9F">
        <w:rPr>
          <w:szCs w:val="24"/>
        </w:rPr>
        <w:t xml:space="preserve"> рецидивом ММ</w:t>
      </w:r>
      <w:r w:rsidRPr="00805C9F">
        <w:rPr>
          <w:szCs w:val="24"/>
        </w:rPr>
        <w:t xml:space="preserve">, которым показана противомиеломная терапия и у которых не развилась </w:t>
      </w:r>
      <w:r w:rsidR="005A7F3F" w:rsidRPr="00805C9F">
        <w:rPr>
          <w:szCs w:val="24"/>
        </w:rPr>
        <w:t>рефрактерность к</w:t>
      </w:r>
      <w:r w:rsidR="004713CC" w:rsidRPr="00805C9F">
        <w:rPr>
          <w:szCs w:val="24"/>
        </w:rPr>
        <w:t xml:space="preserve"> </w:t>
      </w:r>
      <w:r w:rsidRPr="00805C9F">
        <w:rPr>
          <w:szCs w:val="24"/>
        </w:rPr>
        <w:t>леналидомиду</w:t>
      </w:r>
      <w:r w:rsidR="00DB0580" w:rsidRPr="00805C9F">
        <w:rPr>
          <w:szCs w:val="24"/>
        </w:rPr>
        <w:t>**</w:t>
      </w:r>
      <w:r w:rsidRPr="00805C9F">
        <w:rPr>
          <w:szCs w:val="24"/>
        </w:rPr>
        <w:t>, в качестве одной из</w:t>
      </w:r>
      <w:r w:rsidR="00B657E4" w:rsidRPr="00805C9F">
        <w:rPr>
          <w:szCs w:val="24"/>
        </w:rPr>
        <w:t xml:space="preserve"> возможных опций</w:t>
      </w:r>
      <w:r w:rsidR="00BA7503" w:rsidRPr="00805C9F">
        <w:rPr>
          <w:szCs w:val="24"/>
        </w:rPr>
        <w:t xml:space="preserve"> </w:t>
      </w:r>
      <w:r w:rsidR="00B657E4" w:rsidRPr="00805C9F">
        <w:rPr>
          <w:b/>
          <w:szCs w:val="24"/>
        </w:rPr>
        <w:t>рекомендуется</w:t>
      </w:r>
      <w:r w:rsidR="008D36F2" w:rsidRPr="00805C9F">
        <w:rPr>
          <w:szCs w:val="24"/>
        </w:rPr>
        <w:t xml:space="preserve"> терапия с включением в схему лечения элотузумаба</w:t>
      </w:r>
      <w:r w:rsidR="00566ED8" w:rsidRPr="00805C9F">
        <w:rPr>
          <w:szCs w:val="24"/>
        </w:rPr>
        <w:t>**</w:t>
      </w:r>
      <w:r w:rsidR="008D36F2" w:rsidRPr="00805C9F">
        <w:rPr>
          <w:szCs w:val="24"/>
        </w:rPr>
        <w:t xml:space="preserve">, леналидомида** и дексаметазона** </w:t>
      </w:r>
      <w:r w:rsidR="00032CFB" w:rsidRPr="00805C9F">
        <w:rPr>
          <w:szCs w:val="24"/>
        </w:rPr>
        <w:t xml:space="preserve">(описание режимов – см. приложение </w:t>
      </w:r>
      <w:r w:rsidR="00C812D6" w:rsidRPr="00805C9F">
        <w:rPr>
          <w:szCs w:val="24"/>
        </w:rPr>
        <w:t>А3.1</w:t>
      </w:r>
      <w:r w:rsidR="004713CC" w:rsidRPr="00805C9F">
        <w:rPr>
          <w:szCs w:val="24"/>
        </w:rPr>
        <w:t>.</w:t>
      </w:r>
      <w:r w:rsidR="00032CFB" w:rsidRPr="00805C9F">
        <w:rPr>
          <w:szCs w:val="24"/>
        </w:rPr>
        <w:t>)</w:t>
      </w:r>
      <w:r w:rsidR="00286688" w:rsidRPr="00805C9F">
        <w:rPr>
          <w:szCs w:val="24"/>
        </w:rPr>
        <w:t xml:space="preserve"> </w:t>
      </w:r>
      <w:r w:rsidR="00C82BD2" w:rsidRPr="00805C9F">
        <w:rPr>
          <w:szCs w:val="24"/>
        </w:rPr>
        <w:fldChar w:fldCharType="begin" w:fldLock="1"/>
      </w:r>
      <w:r w:rsidR="00500F37">
        <w:rPr>
          <w:szCs w:val="24"/>
        </w:rPr>
        <w:instrText>ADDIN CSL_CITATION {"citationItems":[{"id":"ITEM-1","itemData":{"DOI":"10.1002/cncr.31680","ISSN":"10970142","PMID":"30204239","abstract":"Background: The randomized phase 3 ELOQUENT-2 study (NCT01239797) evaluated the efficacy and safety of elotuzumab plus lenalidomide and dexamethasone (ELd) versus lenalidomide and dexamethasone (Ld) in relapsed/refractory multiple myeloma (RRMM), and to date, has the longest follow-up of any monoclonal antibody in patients with RRMM. Methods: In this extended 4-year follow-up of the ELOQUENT-2 trial, the coprimary endpoints of progression-free survival (PFS) and overall response rate as well as the secondary endpoint of overall survival were assessed. In the absence of head-to-head trials comparing Ld-based triplet regimens to guide treatment selection, 4 randomized controlled trials—ELOQUENT-2, ASPIRE, TOURMALINE-MM1, and POLLUX—were indirectly compared to provide insight into the relative efficacy of these regimens in RRMM. Results: Data at 4 years were consistent with 2- and 3-year follow-up data: ELd reduced the risk of disease progression/death by 29% versus Ld (hazard ratio, 0.71) while maintaining safety. The greatest PFS benefit among the assessed subgroups was observed in patients at the median time or further from diagnosis (≥3.5 years) with 1 prior line of therapy, who had a 44% reduction in the risk of progression/death, and in patients in the high-risk category, who had a 36% reduction in favor of ELd. This regimen also showed a relative PFS benefit that was maintained beyond 50 months. Conclusions: The sustained PFS benefit and long-term safety of ELd at 4 years, similar to those observed at 2 and 3 years, support ELd as a valuable therapeutic option for the long-term treatment of patients with RRMM.","author":[{"dropping-particle":"","family":"Dimopoulos","given":"Meletios A.","non-dropping-particle":"","parse-names":false,"suffix":""},{"dropping-particle":"","family":"Lonial","given":"Sagar","non-dropping-particle":"","parse-names":false,"suffix":""},{"dropping-particle":"","family":"Betts","given":"Keith A.","non-dropping-particle":"","parse-names":false,"suffix":""},{"dropping-particle":"","family":"Chen","given":"Clara","non-dropping-particle":"","parse-names":false,"suffix":""},{"dropping-particle":"","family":"Zichlin","given":"Miriam L.","non-dropping-particle":"","parse-names":false,"suffix":""},{"dropping-particle":"","family":"Brun","given":"Alexander","non-dropping-particle":"","parse-names":false,"suffix":""},{"dropping-particle":"","family":"Signorovitch","given":"James E.","non-dropping-particle":"","parse-names":false,"suffix":""},{"dropping-particle":"","family":"Makenbaeva","given":"Dinara","non-dropping-particle":"","parse-names":false,"suffix":""},{"dropping-particle":"","family":"Mekan","given":"Sabeen","non-dropping-particle":"","parse-names":false,"suffix":""},{"dropping-particle":"","family":"Sy","given":"Oumar","non-dropping-particle":"","parse-names":false,"suffix":""},{"dropping-particle":"","family":"Weisel","given":"Katja","non-dropping-particle":"","parse-names":false,"suffix":""},{"dropping-particle":"","family":"Richardson","given":"Paul G.","non-dropping-particle":"","parse-names":false,"suffix":""}],"container-title":"Cancer","id":"ITEM-1","issue":"20","issued":{"date-parts":[["2018","10"]]},"page":"4032-4043","publisher":"John Wiley and Sons Inc.","title":"Elotuzumab plus lenalidomide and dexamethasone in relapsed/refractory multiple myeloma: Extended 4-year follow-up and analysis of relative progression-free survival from the randomized ELOQUENT-2 trial","type":"article-journal","volume":"124"},"uris":["http://www.mendeley.com/documents/?uuid=61bd686b-4f84-4095-8ebf-00c4d9aa8225"]}],"mendeley":{"formattedCitation":"[67]","plainTextFormattedCitation":"[67]","previouslyFormattedCitation":"[67]"},"properties":{"noteIndex":0},"schema":"https://github.com/citation-style-language/schema/raw/master/csl-citation.json"}</w:instrText>
      </w:r>
      <w:r w:rsidR="00C82BD2" w:rsidRPr="00805C9F">
        <w:rPr>
          <w:szCs w:val="24"/>
        </w:rPr>
        <w:fldChar w:fldCharType="separate"/>
      </w:r>
      <w:r w:rsidR="00E03159" w:rsidRPr="00805C9F">
        <w:rPr>
          <w:noProof/>
          <w:szCs w:val="24"/>
        </w:rPr>
        <w:t>[67]</w:t>
      </w:r>
      <w:r w:rsidR="00C82BD2" w:rsidRPr="00805C9F">
        <w:rPr>
          <w:szCs w:val="24"/>
        </w:rPr>
        <w:fldChar w:fldCharType="end"/>
      </w:r>
    </w:p>
    <w:p w14:paraId="14FBDD56" w14:textId="77777777" w:rsidR="008D36F2" w:rsidRPr="00805C9F" w:rsidRDefault="008D36F2" w:rsidP="00092917">
      <w:pPr>
        <w:pStyle w:val="a6"/>
        <w:spacing w:before="0" w:after="0"/>
        <w:ind w:left="0"/>
        <w:rPr>
          <w:b/>
          <w:szCs w:val="24"/>
        </w:rPr>
      </w:pPr>
      <w:r w:rsidRPr="00805C9F">
        <w:rPr>
          <w:b/>
          <w:szCs w:val="24"/>
        </w:rPr>
        <w:t xml:space="preserve">Уровень убедительности рекомендаций </w:t>
      </w:r>
      <w:r w:rsidR="004713CC" w:rsidRPr="00805C9F">
        <w:rPr>
          <w:b/>
          <w:szCs w:val="24"/>
        </w:rPr>
        <w:t xml:space="preserve">− </w:t>
      </w:r>
      <w:r w:rsidR="006E390F" w:rsidRPr="00805C9F">
        <w:rPr>
          <w:b/>
          <w:szCs w:val="24"/>
        </w:rPr>
        <w:t>А</w:t>
      </w:r>
      <w:r w:rsidR="000A156C" w:rsidRPr="00805C9F">
        <w:rPr>
          <w:b/>
          <w:szCs w:val="24"/>
        </w:rPr>
        <w:t xml:space="preserve"> </w:t>
      </w:r>
      <w:r w:rsidRPr="00805C9F">
        <w:rPr>
          <w:b/>
          <w:szCs w:val="24"/>
        </w:rPr>
        <w:t>(уровень достоверности доказательств</w:t>
      </w:r>
      <w:r w:rsidR="000A156C" w:rsidRPr="00805C9F">
        <w:rPr>
          <w:b/>
          <w:szCs w:val="24"/>
        </w:rPr>
        <w:t xml:space="preserve"> </w:t>
      </w:r>
      <w:r w:rsidR="004713CC" w:rsidRPr="00805C9F">
        <w:rPr>
          <w:b/>
          <w:szCs w:val="24"/>
        </w:rPr>
        <w:t xml:space="preserve">− </w:t>
      </w:r>
      <w:r w:rsidR="006E390F" w:rsidRPr="00805C9F">
        <w:rPr>
          <w:b/>
          <w:szCs w:val="24"/>
        </w:rPr>
        <w:t>1)</w:t>
      </w:r>
    </w:p>
    <w:p w14:paraId="1D66DBC0" w14:textId="77777777" w:rsidR="008D36F2" w:rsidRPr="00805C9F" w:rsidRDefault="008D36F2" w:rsidP="00092917">
      <w:pPr>
        <w:pStyle w:val="a6"/>
        <w:spacing w:before="0" w:after="0"/>
        <w:ind w:left="0" w:firstLine="709"/>
        <w:rPr>
          <w:i/>
          <w:szCs w:val="24"/>
        </w:rPr>
      </w:pPr>
      <w:r w:rsidRPr="00805C9F">
        <w:rPr>
          <w:b/>
          <w:szCs w:val="24"/>
        </w:rPr>
        <w:t xml:space="preserve">Комментарий: </w:t>
      </w:r>
      <w:r w:rsidR="004713CC" w:rsidRPr="00805C9F">
        <w:rPr>
          <w:i/>
          <w:szCs w:val="24"/>
        </w:rPr>
        <w:t>э</w:t>
      </w:r>
      <w:r w:rsidRPr="00805C9F">
        <w:rPr>
          <w:i/>
          <w:szCs w:val="24"/>
        </w:rPr>
        <w:t>ффективность анти-SLAMF7 моноклонального антитела элотузумаба</w:t>
      </w:r>
      <w:r w:rsidR="006E416B" w:rsidRPr="00805C9F">
        <w:rPr>
          <w:i/>
          <w:szCs w:val="24"/>
        </w:rPr>
        <w:t>**</w:t>
      </w:r>
      <w:r w:rsidRPr="00805C9F">
        <w:rPr>
          <w:i/>
          <w:szCs w:val="24"/>
        </w:rPr>
        <w:t xml:space="preserve"> была показана в рандомизированном исследовании III фазы ELOQUENT-2, в котором сравнивали элотузумаб</w:t>
      </w:r>
      <w:r w:rsidR="006E416B" w:rsidRPr="00805C9F">
        <w:rPr>
          <w:i/>
          <w:szCs w:val="24"/>
        </w:rPr>
        <w:t>**</w:t>
      </w:r>
      <w:r w:rsidRPr="00805C9F">
        <w:rPr>
          <w:i/>
          <w:szCs w:val="24"/>
        </w:rPr>
        <w:t xml:space="preserve"> и плацебо в комбинации с леналидомидом</w:t>
      </w:r>
      <w:r w:rsidR="002B59AA" w:rsidRPr="00805C9F">
        <w:rPr>
          <w:i/>
          <w:szCs w:val="24"/>
        </w:rPr>
        <w:t>**</w:t>
      </w:r>
      <w:r w:rsidRPr="00805C9F">
        <w:rPr>
          <w:i/>
          <w:szCs w:val="24"/>
        </w:rPr>
        <w:t xml:space="preserve"> и дексаметазоном</w:t>
      </w:r>
      <w:r w:rsidR="002B59AA" w:rsidRPr="00805C9F">
        <w:rPr>
          <w:i/>
          <w:szCs w:val="24"/>
        </w:rPr>
        <w:t>**</w:t>
      </w:r>
      <w:r w:rsidRPr="00805C9F">
        <w:rPr>
          <w:i/>
          <w:szCs w:val="24"/>
        </w:rPr>
        <w:t xml:space="preserve"> у пациентов с рецидивами и рефрактерной ММ. В исследование включали пациент</w:t>
      </w:r>
      <w:r w:rsidR="00CD49B5" w:rsidRPr="00805C9F">
        <w:rPr>
          <w:i/>
          <w:szCs w:val="24"/>
        </w:rPr>
        <w:t>ов</w:t>
      </w:r>
      <w:r w:rsidRPr="00805C9F">
        <w:rPr>
          <w:i/>
          <w:szCs w:val="24"/>
        </w:rPr>
        <w:t xml:space="preserve"> без документированной рефрактерности к леналидомиду</w:t>
      </w:r>
      <w:r w:rsidR="002B59AA" w:rsidRPr="00805C9F">
        <w:rPr>
          <w:i/>
          <w:szCs w:val="24"/>
        </w:rPr>
        <w:t>**</w:t>
      </w:r>
      <w:r w:rsidRPr="00805C9F">
        <w:rPr>
          <w:i/>
          <w:szCs w:val="24"/>
        </w:rPr>
        <w:t>. Общая эффективность в группе, получавшей элотузумаб</w:t>
      </w:r>
      <w:r w:rsidR="006E416B" w:rsidRPr="00805C9F">
        <w:rPr>
          <w:i/>
          <w:szCs w:val="24"/>
        </w:rPr>
        <w:t>**</w:t>
      </w:r>
      <w:r w:rsidRPr="00805C9F">
        <w:rPr>
          <w:i/>
          <w:szCs w:val="24"/>
        </w:rPr>
        <w:t>, составила 79</w:t>
      </w:r>
      <w:r w:rsidR="002D414E" w:rsidRPr="00805C9F">
        <w:rPr>
          <w:i/>
          <w:szCs w:val="24"/>
        </w:rPr>
        <w:t> </w:t>
      </w:r>
      <w:r w:rsidRPr="00805C9F">
        <w:rPr>
          <w:i/>
          <w:szCs w:val="24"/>
        </w:rPr>
        <w:t>%, в группе без элотузумаба</w:t>
      </w:r>
      <w:r w:rsidR="006E416B" w:rsidRPr="00805C9F">
        <w:rPr>
          <w:i/>
          <w:szCs w:val="24"/>
        </w:rPr>
        <w:t>**</w:t>
      </w:r>
      <w:r w:rsidRPr="00805C9F">
        <w:rPr>
          <w:i/>
          <w:szCs w:val="24"/>
        </w:rPr>
        <w:t xml:space="preserve"> – 66</w:t>
      </w:r>
      <w:r w:rsidR="002D414E" w:rsidRPr="00805C9F">
        <w:rPr>
          <w:i/>
          <w:szCs w:val="24"/>
        </w:rPr>
        <w:t> </w:t>
      </w:r>
      <w:r w:rsidRPr="00805C9F">
        <w:rPr>
          <w:i/>
          <w:szCs w:val="24"/>
        </w:rPr>
        <w:t>%; медианы ВБП – 19,4 и 14,9 мес</w:t>
      </w:r>
      <w:r w:rsidR="00267DE2" w:rsidRPr="00805C9F">
        <w:rPr>
          <w:i/>
          <w:szCs w:val="24"/>
        </w:rPr>
        <w:t>.</w:t>
      </w:r>
      <w:r w:rsidRPr="00805C9F">
        <w:rPr>
          <w:i/>
          <w:szCs w:val="24"/>
        </w:rPr>
        <w:t xml:space="preserve"> соответственно. Наиболее частыми нежелательными явлениями 3 и 4</w:t>
      </w:r>
      <w:r w:rsidR="002D414E" w:rsidRPr="00805C9F">
        <w:rPr>
          <w:i/>
          <w:szCs w:val="24"/>
        </w:rPr>
        <w:t>-й</w:t>
      </w:r>
      <w:r w:rsidRPr="00805C9F">
        <w:rPr>
          <w:i/>
          <w:szCs w:val="24"/>
        </w:rPr>
        <w:t xml:space="preserve"> степени в обеих группах были лимфоцитопения, нейтропения, пневмония и утомляемость. Инфузионные реакции (в большинстве случаев 1 и 2</w:t>
      </w:r>
      <w:r w:rsidR="002D414E" w:rsidRPr="00805C9F">
        <w:rPr>
          <w:i/>
          <w:szCs w:val="24"/>
        </w:rPr>
        <w:t>-й</w:t>
      </w:r>
      <w:r w:rsidRPr="00805C9F">
        <w:rPr>
          <w:i/>
          <w:szCs w:val="24"/>
        </w:rPr>
        <w:t xml:space="preserve"> степени) развились у 10</w:t>
      </w:r>
      <w:r w:rsidR="002D414E" w:rsidRPr="00805C9F">
        <w:rPr>
          <w:i/>
          <w:szCs w:val="24"/>
        </w:rPr>
        <w:t> </w:t>
      </w:r>
      <w:r w:rsidRPr="00805C9F">
        <w:rPr>
          <w:i/>
          <w:szCs w:val="24"/>
        </w:rPr>
        <w:t>%</w:t>
      </w:r>
      <w:r w:rsidR="002D414E" w:rsidRPr="00805C9F">
        <w:rPr>
          <w:i/>
          <w:szCs w:val="24"/>
        </w:rPr>
        <w:t xml:space="preserve"> </w:t>
      </w:r>
      <w:r w:rsidR="00FB03BB" w:rsidRPr="00805C9F">
        <w:rPr>
          <w:i/>
          <w:szCs w:val="24"/>
        </w:rPr>
        <w:t>пациентов</w:t>
      </w:r>
      <w:r w:rsidR="002B59AA" w:rsidRPr="00805C9F">
        <w:rPr>
          <w:i/>
          <w:szCs w:val="24"/>
        </w:rPr>
        <w:t>, получавших элотузумаб</w:t>
      </w:r>
      <w:r w:rsidR="006E416B" w:rsidRPr="00805C9F">
        <w:rPr>
          <w:i/>
          <w:szCs w:val="24"/>
        </w:rPr>
        <w:t>**</w:t>
      </w:r>
      <w:r w:rsidRPr="00805C9F">
        <w:rPr>
          <w:i/>
          <w:szCs w:val="24"/>
        </w:rPr>
        <w:t>.</w:t>
      </w:r>
    </w:p>
    <w:p w14:paraId="0E090E60" w14:textId="77777777" w:rsidR="0018717A" w:rsidRPr="00805C9F" w:rsidRDefault="008D36F2" w:rsidP="00092917">
      <w:pPr>
        <w:pStyle w:val="a6"/>
        <w:spacing w:before="0" w:after="0"/>
        <w:ind w:left="0" w:firstLine="709"/>
        <w:rPr>
          <w:i/>
          <w:szCs w:val="24"/>
        </w:rPr>
      </w:pPr>
      <w:r w:rsidRPr="00805C9F">
        <w:rPr>
          <w:i/>
          <w:szCs w:val="24"/>
        </w:rPr>
        <w:t xml:space="preserve">Следует отметить, </w:t>
      </w:r>
      <w:r w:rsidR="002D414E" w:rsidRPr="00805C9F">
        <w:rPr>
          <w:i/>
          <w:szCs w:val="24"/>
        </w:rPr>
        <w:t>что отличительными чертами иммуно</w:t>
      </w:r>
      <w:r w:rsidRPr="00805C9F">
        <w:rPr>
          <w:i/>
          <w:szCs w:val="24"/>
        </w:rPr>
        <w:t>онкологических препаратов явля</w:t>
      </w:r>
      <w:r w:rsidR="002D414E" w:rsidRPr="00805C9F">
        <w:rPr>
          <w:i/>
          <w:szCs w:val="24"/>
        </w:rPr>
        <w:t>ю</w:t>
      </w:r>
      <w:r w:rsidRPr="00805C9F">
        <w:rPr>
          <w:i/>
          <w:szCs w:val="24"/>
        </w:rPr>
        <w:t>тся отсроченный эффект и его длительное сохранение. Поэтому необходимо оценивать не только медиану, но и отдаленные результаты лечения. На сегодняшний день доступны данные 4-летнего наблюдения пациентов из исследования ELOQUENT-2. В группе элотузумаба</w:t>
      </w:r>
      <w:r w:rsidR="006E416B" w:rsidRPr="00805C9F">
        <w:rPr>
          <w:i/>
          <w:szCs w:val="24"/>
        </w:rPr>
        <w:t>**</w:t>
      </w:r>
      <w:r w:rsidRPr="00805C9F">
        <w:rPr>
          <w:i/>
          <w:szCs w:val="24"/>
        </w:rPr>
        <w:t xml:space="preserve"> почти вдвое большее число пациентов все еще находились на лечении (17</w:t>
      </w:r>
      <w:r w:rsidR="0018717A" w:rsidRPr="00805C9F">
        <w:rPr>
          <w:i/>
          <w:szCs w:val="24"/>
        </w:rPr>
        <w:t> </w:t>
      </w:r>
      <w:r w:rsidRPr="00805C9F">
        <w:rPr>
          <w:i/>
          <w:szCs w:val="24"/>
        </w:rPr>
        <w:t>% по сравнению с 9</w:t>
      </w:r>
      <w:r w:rsidR="0018717A" w:rsidRPr="00805C9F">
        <w:rPr>
          <w:i/>
          <w:szCs w:val="24"/>
        </w:rPr>
        <w:t> </w:t>
      </w:r>
      <w:r w:rsidRPr="00805C9F">
        <w:rPr>
          <w:i/>
          <w:szCs w:val="24"/>
        </w:rPr>
        <w:t xml:space="preserve">%). Преимущество в ВБП сохранялось в течение 4 лет наблюдения: </w:t>
      </w:r>
      <w:r w:rsidR="0018717A" w:rsidRPr="00805C9F">
        <w:rPr>
          <w:i/>
          <w:szCs w:val="24"/>
        </w:rPr>
        <w:t>числ</w:t>
      </w:r>
      <w:r w:rsidRPr="00805C9F">
        <w:rPr>
          <w:i/>
          <w:szCs w:val="24"/>
        </w:rPr>
        <w:t>о пациентов без прогрессии составило 21</w:t>
      </w:r>
      <w:r w:rsidR="0018717A" w:rsidRPr="00805C9F">
        <w:rPr>
          <w:i/>
          <w:szCs w:val="24"/>
        </w:rPr>
        <w:t> </w:t>
      </w:r>
      <w:r w:rsidRPr="00805C9F">
        <w:rPr>
          <w:i/>
          <w:szCs w:val="24"/>
        </w:rPr>
        <w:t>% в группе элотузумаба</w:t>
      </w:r>
      <w:r w:rsidR="006E416B" w:rsidRPr="00805C9F">
        <w:rPr>
          <w:i/>
          <w:szCs w:val="24"/>
        </w:rPr>
        <w:t>**</w:t>
      </w:r>
      <w:r w:rsidRPr="00805C9F">
        <w:rPr>
          <w:i/>
          <w:szCs w:val="24"/>
        </w:rPr>
        <w:t xml:space="preserve"> и 14</w:t>
      </w:r>
      <w:r w:rsidR="0018717A" w:rsidRPr="00805C9F">
        <w:rPr>
          <w:i/>
          <w:szCs w:val="24"/>
        </w:rPr>
        <w:t> </w:t>
      </w:r>
      <w:r w:rsidRPr="00805C9F">
        <w:rPr>
          <w:i/>
          <w:szCs w:val="24"/>
        </w:rPr>
        <w:t>% в контрольной группе (относительное улучшение на 50</w:t>
      </w:r>
      <w:r w:rsidR="0018717A" w:rsidRPr="00805C9F">
        <w:rPr>
          <w:i/>
          <w:szCs w:val="24"/>
        </w:rPr>
        <w:t> </w:t>
      </w:r>
      <w:r w:rsidRPr="00805C9F">
        <w:rPr>
          <w:i/>
          <w:szCs w:val="24"/>
        </w:rPr>
        <w:t>%). Время до начала следующей терапии отличалось на 12 мес</w:t>
      </w:r>
      <w:r w:rsidR="00E778E9" w:rsidRPr="00805C9F">
        <w:rPr>
          <w:i/>
          <w:szCs w:val="24"/>
        </w:rPr>
        <w:t>.</w:t>
      </w:r>
      <w:r w:rsidRPr="00805C9F">
        <w:rPr>
          <w:i/>
          <w:szCs w:val="24"/>
        </w:rPr>
        <w:t xml:space="preserve"> в пользу пациентов, по</w:t>
      </w:r>
      <w:r w:rsidR="0018717A" w:rsidRPr="00805C9F">
        <w:rPr>
          <w:i/>
          <w:szCs w:val="24"/>
        </w:rPr>
        <w:t>лучавших элотузумаб</w:t>
      </w:r>
      <w:r w:rsidR="006E416B" w:rsidRPr="00805C9F">
        <w:rPr>
          <w:i/>
          <w:szCs w:val="24"/>
        </w:rPr>
        <w:t>**</w:t>
      </w:r>
      <w:r w:rsidR="0018717A" w:rsidRPr="00805C9F">
        <w:rPr>
          <w:i/>
          <w:szCs w:val="24"/>
        </w:rPr>
        <w:t xml:space="preserve"> (33 и 21 мес</w:t>
      </w:r>
      <w:r w:rsidR="00267DE2" w:rsidRPr="00805C9F">
        <w:rPr>
          <w:i/>
          <w:szCs w:val="24"/>
        </w:rPr>
        <w:t>.</w:t>
      </w:r>
      <w:r w:rsidRPr="00805C9F">
        <w:rPr>
          <w:i/>
          <w:szCs w:val="24"/>
        </w:rPr>
        <w:t xml:space="preserve"> соответственно).</w:t>
      </w:r>
    </w:p>
    <w:p w14:paraId="43F07492" w14:textId="37AE84B4" w:rsidR="00843ECB" w:rsidRPr="00805C9F" w:rsidRDefault="00843ECB" w:rsidP="00843ECB">
      <w:pPr>
        <w:pStyle w:val="a6"/>
        <w:numPr>
          <w:ilvl w:val="0"/>
          <w:numId w:val="10"/>
        </w:numPr>
        <w:spacing w:before="0" w:after="0"/>
        <w:ind w:left="0" w:firstLine="0"/>
        <w:rPr>
          <w:szCs w:val="24"/>
        </w:rPr>
      </w:pPr>
      <w:r w:rsidRPr="00805C9F">
        <w:rPr>
          <w:szCs w:val="24"/>
        </w:rPr>
        <w:t>Пациентам с рецидивом ММ, которым показана противомиеломная терапия в качестве одной из возможных опций рекомендуется терапия с включением в схему лечения даратумумаба</w:t>
      </w:r>
      <w:r w:rsidR="00C15DA7" w:rsidRPr="00805C9F">
        <w:rPr>
          <w:szCs w:val="24"/>
        </w:rPr>
        <w:t>**</w:t>
      </w:r>
      <w:r w:rsidRPr="00805C9F">
        <w:rPr>
          <w:szCs w:val="24"/>
        </w:rPr>
        <w:t xml:space="preserve"> и карфилзомиба</w:t>
      </w:r>
      <w:r w:rsidR="00C15DA7" w:rsidRPr="00805C9F">
        <w:rPr>
          <w:szCs w:val="24"/>
        </w:rPr>
        <w:t>**</w:t>
      </w:r>
      <w:r w:rsidRPr="00805C9F">
        <w:rPr>
          <w:szCs w:val="24"/>
        </w:rPr>
        <w:t xml:space="preserve"> в сочетании с дексаметазоном</w:t>
      </w:r>
      <w:r w:rsidR="00C15DA7" w:rsidRPr="00805C9F">
        <w:rPr>
          <w:szCs w:val="24"/>
        </w:rPr>
        <w:t>**</w:t>
      </w:r>
      <w:r w:rsidRPr="00805C9F">
        <w:rPr>
          <w:szCs w:val="24"/>
        </w:rPr>
        <w:t xml:space="preserve"> (описание режимов – см. приложение А3.1.) </w:t>
      </w:r>
      <w:r w:rsidR="00E03159" w:rsidRPr="00805C9F">
        <w:rPr>
          <w:szCs w:val="24"/>
        </w:rPr>
        <w:fldChar w:fldCharType="begin" w:fldLock="1"/>
      </w:r>
      <w:r w:rsidR="00500F37">
        <w:rPr>
          <w:szCs w:val="24"/>
        </w:rPr>
        <w:instrText>ADDIN CSL_CITATION {"citationItems":[{"id":"ITEM-1","itemData":{"DOI":"10.1016/S0140-6736(20)30734-0","ISSN":"0140-6736","PMID":"32682484","abstract":"Background: Lenalidomide and bortezomib frontline exposure has raised a growing need for novel treatments for patients with relapsed or refractory multiple myeloma. Carfilzomib in combination with daratumumab has shown substantial efficacy with tolerable safety in relapsed or refractory multiple myeloma in a phase 1 study. In this study, we aimed to compare the efficacy and safety of carfilzomib, dexamethasone, and daratumumab versus carfilzomib and dexamethasone in patients with relapsed or refractory multiple myeloma. Methods: In this randomised, multicentre, open-label, phase 3 study, 466 patients recruited from 102 sites across North America, Europe, Australia, and Asia with relapsed or refractory multiple myeloma were randomly assigned 2:1 to carfilzomib, dexamethasone, and daratumumab (KdD) or carfilzomib and dexamethasone (Kd). All patients received twice per week carfilzomib at 56 mg/m2 (20 mg/m2; days 1 and 2 during cycle 1). Daratumumab (8 mg/kg) was administered intravenously on days 1 and 2 of cycle 1 and at 16 mg/kg weekly for the remaining doses of the first two cycles, then every 2 weeks for four cycles (cycles 3–6), and every 4 weeks thereafter. Patients received 40 mg dexamethasone weekly (20 mg for patients ≥75 years old starting on the second week). The primary endpoint was progression-free survival assessed by intention to treat. Adverse events were assessed in the safety population. This trial (NCT03158688) is registered with ClinicalTrials.gov, and is active but not recruiting. Findings: Between June 13, 2017, and June 25, 2018, 466 patients of 569 assessed for eligibility were enrolled. After median follow-up of approximately 17 months, median progression-free survival was not reached in the KdD group versus 15·8 months in the Kd group (hazard ratio 0·63; 95% CI 0·46–0·85; p=0·0027). Median treatment duration was longer in the KdD versus the Kd group (70·1 vs 40·3 weeks). Grade 3 or higher adverse events were reported in 253 (82%) patients in the KdD group and 113 (74%) patients in the Kd group. The frequency of adverse events leading to treatment discontinuation was similar in both groups (KdD, 69 [22%]; Kd, 38 [25%]). Interpretation: KdD significantly prolonged progression-free survival versus Kd in patients with relapsed or refractory multiple myeloma and was associated with a favourable benefit–risk profile. Funding: Amgen.","author":[{"dropping-particle":"","family":"Dimopoulos","given":"Meletios","non-dropping-particle":"","parse-names":false,"suffix":""},{"dropping-particle":"","family":"Quach","given":"Hang","non-dropping-particle":"","parse-names":false,"suffix":""},{"dropping-particle":"","family":"Mateos","given":"Maria Victoria","non-dropping-particle":"","parse-names":false,"suffix":""},{"dropping-particle":"","family":"Landgren","given":"Ola","non-dropping-particle":"","parse-names":false,"suffix":""},{"dropping-particle":"","family":"Leleu","given":"Xavier","non-dropping-particle":"","parse-names":false,"suffix":""},{"dropping-particle":"","family":"Siegel","given":"David","non-dropping-particle":"","parse-names":false,"suffix":""},{"dropping-particle":"","family":"Weisel","given":"Katja","non-dropping-particle":"","parse-names":false,"suffix":""},{"dropping-particle":"","family":"Yang","given":"Hui","non-dropping-particle":"","parse-names":false,"suffix":""},{"dropping-particle":"","family":"Klippel","given":"Zandra","non-dropping-particle":"","parse-names":false,"suffix":""},{"dropping-particle":"","family":"Zahlten-Kumeli","given":"Anita","non-dropping-particle":"","parse-names":false,"suffix":""},{"dropping-particle":"","family":"Usmani","given":"Saad Z.","non-dropping-particle":"","parse-names":false,"suffix":""}],"container-title":"The Lancet","id":"ITEM-1","issue":"10245","issued":{"date-parts":[["2020","7"]]},"page":"186-197","publisher":"Elsevier","title":"Carfilzomib, dexamethasone, and daratumumab versus carfilzomib and dexamethasone for patients with relapsed or refractory multiple myeloma (CANDOR): results from a randomised, multicentre, open-label, phase 3 study","type":"article-journal","volume":"396"},"uris":["http://www.mendeley.com/documents/?uuid=646ec476-bdb7-3bc0-bb47-2df71417abac","http://www.mendeley.com/documents/?uuid=2fdf4db7-d22b-4383-a399-1a60a2ea65c4"]}],"mendeley":{"formattedCitation":"[68]","plainTextFormattedCitation":"[68]","previouslyFormattedCitation":"[68]"},"properties":{"noteIndex":0},"schema":"https://github.com/citation-style-language/schema/raw/master/csl-citation.json"}</w:instrText>
      </w:r>
      <w:r w:rsidR="00E03159" w:rsidRPr="00805C9F">
        <w:rPr>
          <w:szCs w:val="24"/>
        </w:rPr>
        <w:fldChar w:fldCharType="separate"/>
      </w:r>
      <w:r w:rsidR="00E03159" w:rsidRPr="00805C9F">
        <w:rPr>
          <w:noProof/>
          <w:szCs w:val="24"/>
        </w:rPr>
        <w:t>[68]</w:t>
      </w:r>
      <w:r w:rsidR="00E03159" w:rsidRPr="00805C9F">
        <w:rPr>
          <w:szCs w:val="24"/>
        </w:rPr>
        <w:fldChar w:fldCharType="end"/>
      </w:r>
    </w:p>
    <w:p w14:paraId="7AB4DF1A" w14:textId="77777777" w:rsidR="00843ECB" w:rsidRPr="00805C9F" w:rsidRDefault="00843ECB" w:rsidP="00843ECB">
      <w:pPr>
        <w:pStyle w:val="a6"/>
        <w:spacing w:before="0" w:after="0"/>
        <w:ind w:left="0"/>
        <w:rPr>
          <w:b/>
          <w:szCs w:val="24"/>
        </w:rPr>
      </w:pPr>
      <w:r w:rsidRPr="00805C9F">
        <w:rPr>
          <w:b/>
          <w:szCs w:val="24"/>
        </w:rPr>
        <w:lastRenderedPageBreak/>
        <w:t>Уровень убедительности рекомендаций − А (уровень достоверности доказательств − 1)</w:t>
      </w:r>
    </w:p>
    <w:p w14:paraId="3015E648" w14:textId="1EAD98EB" w:rsidR="00843ECB" w:rsidRPr="00805C9F" w:rsidRDefault="00843ECB" w:rsidP="00843ECB">
      <w:pPr>
        <w:pStyle w:val="a6"/>
        <w:spacing w:before="0" w:after="0"/>
        <w:ind w:left="0" w:firstLine="709"/>
        <w:rPr>
          <w:rFonts w:eastAsia="Times New Roman"/>
          <w:i/>
          <w:szCs w:val="24"/>
          <w:lang w:eastAsia="ru-RU"/>
        </w:rPr>
      </w:pPr>
      <w:r w:rsidRPr="00805C9F">
        <w:rPr>
          <w:rFonts w:eastAsia="Times New Roman"/>
          <w:b/>
          <w:i/>
          <w:szCs w:val="24"/>
          <w:lang w:eastAsia="ru-RU"/>
        </w:rPr>
        <w:t>Комментарий:</w:t>
      </w:r>
      <w:r w:rsidRPr="00805C9F">
        <w:rPr>
          <w:rFonts w:eastAsia="Times New Roman"/>
          <w:i/>
          <w:szCs w:val="24"/>
          <w:lang w:eastAsia="ru-RU"/>
        </w:rPr>
        <w:t xml:space="preserve"> в крупном рандомизированном исследовании III фазы CANDOR изучалась эффективность добавления анти-CD38 моноклонального антитела - даратумумаба к комбинации карфилзомиба и дексаметазона (Kd) у пациентов с РР ММ, получивших от 1 до 3-х линий предшествующей терапии. При медиане наблюдения 27 мес. медиана ВБП в группе DКd составила 28,6 месяца по сравнению с 15,2 мес. в группе Кd (ОР 0,59; 95 % ДИ 0,45-0,78). У пациентов с рефрактерностью к леналидомиду медиана ВБП составила 25 месяцев в группе DКd и 9,3 месяца в группе Кd (ОР 0,11; 95 % ДИ 0,02–0,52). Общий ответ в группе DКd составил 84 %, а в контрольной группе – 75 %, при этом полный ответ на терапию достигался значительно чаще в группе DКd (29% и 10% соответственно), а также частота достижения МОБ-негативности при пороге чувствительности 10</w:t>
      </w:r>
      <w:r w:rsidRPr="00805C9F">
        <w:rPr>
          <w:rFonts w:eastAsia="Times New Roman"/>
          <w:i/>
          <w:szCs w:val="24"/>
          <w:vertAlign w:val="superscript"/>
          <w:lang w:eastAsia="ru-RU"/>
        </w:rPr>
        <w:t>−5</w:t>
      </w:r>
      <w:r w:rsidRPr="00805C9F">
        <w:rPr>
          <w:rFonts w:eastAsia="Times New Roman"/>
          <w:i/>
          <w:szCs w:val="24"/>
          <w:lang w:eastAsia="ru-RU"/>
        </w:rPr>
        <w:t xml:space="preserve"> была в 3,9 раза выше в группе DКd (22,8%</w:t>
      </w:r>
      <w:r w:rsidR="007B1C2E" w:rsidRPr="00805C9F">
        <w:rPr>
          <w:rFonts w:eastAsia="Times New Roman"/>
          <w:i/>
          <w:szCs w:val="24"/>
          <w:lang w:eastAsia="ru-RU"/>
        </w:rPr>
        <w:t xml:space="preserve"> и 5,8% соответственно).</w:t>
      </w:r>
    </w:p>
    <w:p w14:paraId="6788148B" w14:textId="4D71276F" w:rsidR="00E03159" w:rsidRPr="00805C9F" w:rsidRDefault="00E03159" w:rsidP="00E03159">
      <w:pPr>
        <w:pStyle w:val="a6"/>
        <w:numPr>
          <w:ilvl w:val="0"/>
          <w:numId w:val="10"/>
        </w:numPr>
        <w:spacing w:before="0" w:after="0"/>
        <w:ind w:left="0" w:firstLine="0"/>
        <w:rPr>
          <w:szCs w:val="24"/>
        </w:rPr>
      </w:pPr>
      <w:r w:rsidRPr="00805C9F">
        <w:rPr>
          <w:szCs w:val="24"/>
        </w:rPr>
        <w:t>Пациентам с рецидивом ММ, которым показана противомиеломная терапия в качестве одной из возможных опций рекомендуется терапия с включением в схему лечения изатуксимаба</w:t>
      </w:r>
      <w:r w:rsidR="00C15DA7" w:rsidRPr="00805C9F">
        <w:rPr>
          <w:rFonts w:eastAsia="Times New Roman"/>
          <w:i/>
          <w:szCs w:val="24"/>
          <w:lang w:eastAsia="ru-RU"/>
        </w:rPr>
        <w:t>**</w:t>
      </w:r>
      <w:r w:rsidRPr="00805C9F">
        <w:rPr>
          <w:szCs w:val="24"/>
        </w:rPr>
        <w:t xml:space="preserve"> и карфилзомиба</w:t>
      </w:r>
      <w:r w:rsidR="00C15DA7" w:rsidRPr="00805C9F">
        <w:rPr>
          <w:rFonts w:eastAsia="Times New Roman"/>
          <w:i/>
          <w:szCs w:val="24"/>
          <w:lang w:eastAsia="ru-RU"/>
        </w:rPr>
        <w:t>**</w:t>
      </w:r>
      <w:r w:rsidRPr="00805C9F">
        <w:rPr>
          <w:szCs w:val="24"/>
        </w:rPr>
        <w:t xml:space="preserve"> в сочетании с дексаметазоном</w:t>
      </w:r>
      <w:r w:rsidR="00C15DA7" w:rsidRPr="00805C9F">
        <w:rPr>
          <w:rFonts w:eastAsia="Times New Roman"/>
          <w:i/>
          <w:szCs w:val="24"/>
          <w:lang w:eastAsia="ru-RU"/>
        </w:rPr>
        <w:t>**</w:t>
      </w:r>
      <w:r w:rsidRPr="00805C9F">
        <w:rPr>
          <w:szCs w:val="24"/>
        </w:rPr>
        <w:t xml:space="preserve">(описание </w:t>
      </w:r>
      <w:r w:rsidR="00C15DA7" w:rsidRPr="00805C9F">
        <w:rPr>
          <w:szCs w:val="24"/>
        </w:rPr>
        <w:t>режимов – см. приложение А3.1.)</w:t>
      </w:r>
      <w:r w:rsidR="00C15DA7" w:rsidRPr="00805C9F">
        <w:rPr>
          <w:szCs w:val="24"/>
        </w:rPr>
        <w:fldChar w:fldCharType="begin" w:fldLock="1"/>
      </w:r>
      <w:r w:rsidR="00500F37">
        <w:rPr>
          <w:szCs w:val="24"/>
        </w:rPr>
        <w:instrText>ADDIN CSL_CITATION {"citationItems":[{"id":"ITEM-1","itemData":{"DOI":"10.1016/S0140-6736(21)00592-4","ISSN":"0140-6736","PMID":"34097854","abstract":"Background: Isatuximab is an anti-CD38 monoclonal antibody approved in combination with pomalidomide–dexamethasone and carfilzomib–dexamethasone for relapsed or refractory multiple myeloma. This phase 3, open-label study compared the efficacy of isatuximab plus carfilzomib–dexamethasone versus carfilzomib–dexamethasone in patients with relapsed multiple myeloma. Methods: This was a prospective, randomised, open-label, parallel-group, phase 3 study done at 69 study centres in 16 countries across North America, South America, Europe, and the Asia-Pacific region. Patients with relapsed or refractory multiple myeloma aged at least 18 years who had received one to three previous lines of therapy and had measurable serum or urine M-protein were eligible. Patients were randomly assigned (3:2) to isatuximab plus carfilzomib–dexamethasone (isatuximab group) or carfilzomib–dexamethasone (control group). Patients in the isatuximab group received isatuximab 10 mg/kg intravenously weekly for the first 4 weeks, then every 2 weeks. Both groups received the approved schedule of intravenous carfilzomib and oral or intravenous dexamethasone. Treatment continued until progression or unacceptable toxicity. The primary endpoint was progression-free survival and was assessed in the intention-to-treat population according to assigned treatment. Safety was assessed in all patients who received at least one dose according to treatment received. The study is registered at ClinicalTrials.gov, NCT03275285. Findings: Between Nov 15, 2017, and March 21, 2019, 302 patients with a median of two previous lines of therapy were enrolled. 179 were randomly assigned to the isatuximab group and 123 to the control group. Median progression-free survival was not reached in the isatuximab group compared with 19·15 months (95% CI 15·77–not reached) in the control group, with a hazard ratio of 0·53 (99% CI 0·32–0·89; one-sided p=0·0007). Treatment-emergent adverse events (TEAEs) of grade 3 or worse occurred in 136 (77%) of 177 patients in the isatuximab group versus 82 (67%) of 122 in the control group, serious TEAEs occurred in 105 (59%) versus 70 (57%) patients, and TEAEs led to discontinuation in 15 (8%) versus 17 (14%) patients. Fatal TEAEs during study treatment occurred in six (3%) versus four (3%) patients. Interpretation: The addition of isatuximab to carfilzomib–dexamethasone significantly improves progression-free survival and depth of response in patients with relapsed multiple myelom…","author":[{"dropping-particle":"","family":"Moreau","given":"Philippe","non-dropping-particle":"","parse-names":false,"suffix":""},{"dropping-particle":"","family":"Dimopoulos","given":"Meletios Athanasios","non-dropping-particle":"","parse-names":false,"suffix":""},{"dropping-particle":"","family":"Mikhael","given":"Joseph","non-dropping-particle":"","parse-names":false,"suffix":""},{"dropping-particle":"","family":"Yong","given":"Kwee","non-dropping-particle":"","parse-names":false,"suffix":""},{"dropping-particle":"","family":"Capra","given":"Marcelo","non-dropping-particle":"","parse-names":false,"suffix":""},{"dropping-particle":"","family":"Facon","given":"Thierry","non-dropping-particle":"","parse-names":false,"suffix":""},{"dropping-particle":"","family":"Hajek","given":"Roman","non-dropping-particle":"","parse-names":false,"suffix":""},{"dropping-particle":"","family":"Špička","given":"Ivan","non-dropping-particle":"","parse-names":false,"suffix":""},{"dropping-particle":"","family":"Baker","given":"Ross","non-dropping-particle":"","parse-names":false,"suffix":""},{"dropping-particle":"","family":"Kim","given":"Kihyun","non-dropping-particle":"","parse-names":false,"suffix":""},{"dropping-particle":"","family":"Martinez","given":"Gracia","non-dropping-particle":"","parse-names":false,"suffix":""},{"dropping-particle":"","family":"Min","given":"Chang Ki","non-dropping-particle":"","parse-names":false,"suffix":""},{"dropping-particle":"","family":"Pour","given":"Ludek","non-dropping-particle":"","parse-names":false,"suffix":""},{"dropping-particle":"","family":"Leleu","given":"Xavier","non-dropping-particle":"","parse-names":false,"suffix":""},{"dropping-particle":"","family":"Oriol","given":"Albert","non-dropping-particle":"","parse-names":false,"suffix":""},{"dropping-particle":"","family":"Koh","given":"Youngil","non-dropping-particle":"","parse-names":false,"suffix":""},{"dropping-particle":"","family":"Suzuki","given":"Kenshi","non-dropping-particle":"","parse-names":false,"suffix":""},{"dropping-particle":"","family":"Risse","given":"Marie Laure","non-dropping-particle":"","parse-names":false,"suffix":""},{"dropping-particle":"","family":"Asset","given":"Gaelle","non-dropping-particle":"","parse-names":false,"suffix":""},{"dropping-particle":"","family":"Macé","given":"Sandrine","non-dropping-particle":"","parse-names":false,"suffix":""},{"dropping-particle":"","family":"Martin","given":"Thomas","non-dropping-particle":"","parse-names":false,"suffix":""},{"dropping-particle":"","family":"Spicka","given":"Ivan","non-dropping-particle":"","parse-names":false,"suffix":""},{"dropping-particle":"","family":"Kihyun","given":"Kim","non-dropping-particle":"","parse-names":false,"suffix":""},{"dropping-particle":"","family":"Chang-Ki","given":"Min","non-dropping-particle":"","parse-names":false,"suffix":""},{"dropping-particle":"","family":"Youngil","given":"Koh","non-dropping-particle":"","parse-names":false,"suffix":""},{"dropping-particle":"","family":"Martin","given":"Tom","non-dropping-particle":"","parse-names":false,"suffix":""},{"dropping-particle":"","family":"Quach","given":"Hang","non-dropping-particle":"","parse-names":false,"suffix":""},{"dropping-particle":"","family":"Lim","given":"Andrew","non-dropping-particle":"","parse-names":false,"suffix":""},{"dropping-particle":"","family":"Crowther","given":"Helen","non-dropping-particle":"","parse-names":false,"suffix":""},{"dropping-particle":"","family":"Sia","given":"Hanlon","non-dropping-particle":"","parse-names":false,"suffix":""},{"dropping-particle":"","family":"Hulin","given":"Cyrille","non-dropping-particle":"","parse-names":false,"suffix":""},{"dropping-particle":"","family":"Mohty","given":"Mohamad","non-dropping-particle":"","parse-names":false,"suffix":""},{"dropping-particle":"","family":"Mikala","given":"Gabor","non-dropping-particle":"","parse-names":false,"suffix":""},{"dropping-particle":"","family":"Nagy","given":"Zsolt","non-dropping-particle":"","parse-names":false,"suffix":""},{"dropping-particle":"","family":"Reinoso Segura","given":"Marta","non-dropping-particle":"","parse-names":false,"suffix":""},{"dropping-particle":"","family":"Rosinol","given":"Laura","non-dropping-particle":"","parse-names":false,"suffix":""},{"dropping-particle":"","family":"Yagci","given":"Munci","non-dropping-particle":"","parse-names":false,"suffix":""},{"dropping-particle":"","family":"Turgut","given":"Mehmet","non-dropping-particle":"","parse-names":false,"suffix":""},{"dropping-particle":"","family":"Garg","given":"Mamta","non-dropping-particle":"","parse-names":false,"suffix":""},{"dropping-particle":"","family":"Parmar","given":"Gurdeep","non-dropping-particle":"","parse-names":false,"suffix":""},{"dropping-particle":"","family":"Augustson","given":"Brad","non-dropping-particle":"","parse-names":false,"suffix":""},{"dropping-particle":"","family":"Castro","given":"Nelson","non-dropping-particle":"","parse-names":false,"suffix":""},{"dropping-particle":"","family":"Crusoe","given":"Edvan","non-dropping-particle":"","parse-names":false,"suffix":""},{"dropping-particle":"","family":"Pika","given":"Tomas","non-dropping-particle":"","parse-names":false,"suffix":""},{"dropping-particle":"","family":"Delimpasi","given":"Sosana","non-dropping-particle":"","parse-names":false,"suffix":""},{"dropping-particle":"","family":"Ishizawa","given":"Kenichi","non-dropping-particle":"","parse-names":false,"suffix":""},{"dropping-particle":"","family":"George","given":"Anup","non-dropping-particle":"","parse-names":false,"suffix":""},{"dropping-particle":"","family":"Konstantinova","given":"Tatiana","non-dropping-particle":"","parse-names":false,"suffix":""},{"dropping-particle":"","family":"La Rubia","given":"Javier","non-dropping-particle":"De","parse-names":false,"suffix":""},{"dropping-particle":"","family":"Sung-Hyun","given":"Kim","non-dropping-particle":"","parse-names":false,"suffix":""},{"dropping-particle":"","family":"Maiolino","given":"Angelo","non-dropping-particle":"","parse-names":false,"suffix":""},{"dropping-particle":"","family":"Reiman","given":"Anthony","non-dropping-particle":"","parse-names":false,"suffix":""},{"dropping-particle":"","family":"LeBlanc","given":"Richard","non-dropping-particle":"","parse-names":false,"suffix":""},{"dropping-particle":"","family":"Ito","given":"Shigeki","non-dropping-particle":"","parse-names":false,"suffix":""},{"dropping-particle":"","family":"Tanaka","given":"Junji","non-dropping-particle":"","parse-names":false,"suffix":""},{"dropping-particle":"","family":"Luchinin","given":"Alexander","non-dropping-particle":"","parse-names":false,"suffix":""},{"dropping-particle":"","family":"Kryuchkova","given":"Irina","non-dropping-particle":"","parse-names":false,"suffix":""},{"dropping-particle":"","family":"Martinez","given":"Joaquin","non-dropping-particle":"","parse-names":false,"suffix":""},{"dropping-particle":"","family":"Shustik","given":"Jesse","non-dropping-particle":"","parse-names":false,"suffix":""},{"dropping-particle":"","family":"Karlin","given":"Lionel","non-dropping-particle":"","parse-names":false,"suffix":""},{"dropping-particle":"","family":"Symeonidis","given":"Anargyros","non-dropping-particle":"","parse-names":false,"suffix":""},{"dropping-particle":"","family":"Egyed","given":"Miklos","non-dropping-particle":"","parse-names":false,"suffix":""},{"dropping-particle":"","family":"Petrini","given":"Mario","non-dropping-particle":"","parse-names":false,"suffix":""},{"dropping-particle":"","family":"Cavo","given":"Michele","non-dropping-particle":"","parse-names":false,"suffix":""},{"dropping-particle":"","family":"Uchiyama","given":"Michihiro","non-dropping-particle":"","parse-names":false,"suffix":""},{"dropping-particle":"","family":"Blacklock","given":"Hilary","non-dropping-particle":"","parse-names":false,"suffix":""},{"dropping-particle":"","family":"Arat","given":"Mutlu","non-dropping-particle":"","parse-names":false,"suffix":""},{"dropping-particle":"","family":"Griffin","given":"James","non-dropping-particle":"","parse-names":false,"suffix":""},{"dropping-particle":"","family":"Hunter","given":"Hannah","non-dropping-particle":"","parse-names":false,"suffix":""},{"dropping-particle":"","family":"Buck","given":"Tonda","non-dropping-particle":"","parse-names":false,"suffix":""},{"dropping-particle":"","family":"Anagnostopoulos","given":"Achilles","non-dropping-particle":"","parse-names":false,"suffix":""},{"dropping-particle":"","family":"Konstantopoulos","given":"Konstantinos","non-dropping-particle":"","parse-names":false,"suffix":""},{"dropping-particle":"","family":"Masszi","given":"Tamas","non-dropping-particle":"","parse-names":false,"suffix":""},{"dropping-particle":"","family":"Bringhen","given":"Sara","non-dropping-particle":"","parse-names":false,"suffix":""},{"dropping-particle":"","family":"Gamberi","given":"Barbara","non-dropping-particle":"","parse-names":false,"suffix":""},{"dropping-particle":"","family":"Kawano","given":"Yawara","non-dropping-particle":"","parse-names":false,"suffix":""},{"dropping-particle":"","family":"Jin Seok","given":"Kim","non-dropping-particle":"","parse-names":false,"suffix":""},{"dropping-particle":"","family":"Ozdogu","given":"Hakan","non-dropping-particle":"","parse-names":false,"suffix":""},{"dropping-particle":"","family":"Ozkalemkas","given":"Fahir","non-dropping-particle":"","parse-names":false,"suffix":""}],"container-title":"The Lancet","id":"ITEM-1","issue":"10292","issued":{"date-parts":[["2021","6"]]},"page":"2361-2371","publisher":"Elsevier","title":"Isatuximab, carfilzomib, and dexamethasone in relapsed multiple myeloma (IKEMA): a multicentre, open-label, randomised phase 3 trial","type":"article-journal","volume":"397"},"uris":["http://www.mendeley.com/documents/?uuid=7b9ee59c-3284-3bdf-9dac-a06a1991e5d6","http://www.mendeley.com/documents/?uuid=8725235b-a21e-4cd5-a9f1-240a9a5a60d4"]}],"mendeley":{"formattedCitation":"[69]","plainTextFormattedCitation":"[69]","previouslyFormattedCitation":"[69]"},"properties":{"noteIndex":0},"schema":"https://github.com/citation-style-language/schema/raw/master/csl-citation.json"}</w:instrText>
      </w:r>
      <w:r w:rsidR="00C15DA7" w:rsidRPr="00805C9F">
        <w:rPr>
          <w:szCs w:val="24"/>
        </w:rPr>
        <w:fldChar w:fldCharType="separate"/>
      </w:r>
      <w:r w:rsidR="00C15DA7" w:rsidRPr="00805C9F">
        <w:rPr>
          <w:noProof/>
          <w:szCs w:val="24"/>
        </w:rPr>
        <w:t>[69]</w:t>
      </w:r>
      <w:r w:rsidR="00C15DA7" w:rsidRPr="00805C9F">
        <w:rPr>
          <w:szCs w:val="24"/>
        </w:rPr>
        <w:fldChar w:fldCharType="end"/>
      </w:r>
    </w:p>
    <w:p w14:paraId="6A890045" w14:textId="5808B2E8" w:rsidR="00E03159" w:rsidRPr="00805C9F" w:rsidRDefault="00E03159" w:rsidP="00E03159">
      <w:pPr>
        <w:pStyle w:val="a6"/>
        <w:spacing w:before="0" w:after="0"/>
        <w:ind w:left="0"/>
        <w:rPr>
          <w:b/>
          <w:szCs w:val="24"/>
        </w:rPr>
      </w:pPr>
      <w:r w:rsidRPr="00805C9F">
        <w:rPr>
          <w:b/>
          <w:szCs w:val="24"/>
        </w:rPr>
        <w:t>Уровень убедительности рекомендаций − А (уровень достоверности доказательств − 1)</w:t>
      </w:r>
    </w:p>
    <w:p w14:paraId="7F689946" w14:textId="3A0C0C51" w:rsidR="00C15DA7" w:rsidRPr="00805C9F" w:rsidRDefault="00E03159" w:rsidP="00E03159">
      <w:pPr>
        <w:pStyle w:val="a6"/>
        <w:spacing w:before="0"/>
        <w:ind w:left="0" w:firstLine="709"/>
        <w:rPr>
          <w:rFonts w:eastAsia="Times New Roman"/>
          <w:i/>
          <w:szCs w:val="24"/>
          <w:lang w:eastAsia="ru-RU"/>
        </w:rPr>
      </w:pPr>
      <w:r w:rsidRPr="00805C9F">
        <w:rPr>
          <w:rFonts w:eastAsia="Times New Roman"/>
          <w:b/>
          <w:i/>
          <w:szCs w:val="24"/>
          <w:lang w:eastAsia="ru-RU"/>
        </w:rPr>
        <w:t>Комментарий:</w:t>
      </w:r>
      <w:r w:rsidRPr="00805C9F">
        <w:rPr>
          <w:rFonts w:eastAsia="Times New Roman"/>
          <w:i/>
          <w:szCs w:val="24"/>
          <w:lang w:eastAsia="ru-RU"/>
        </w:rPr>
        <w:t xml:space="preserve"> в крупном рандомизированном исследовании </w:t>
      </w:r>
      <w:r w:rsidRPr="00805C9F">
        <w:rPr>
          <w:rFonts w:eastAsia="Times New Roman"/>
          <w:i/>
          <w:szCs w:val="24"/>
          <w:lang w:val="en-US" w:eastAsia="ru-RU"/>
        </w:rPr>
        <w:t>III</w:t>
      </w:r>
      <w:r w:rsidRPr="00805C9F">
        <w:rPr>
          <w:rFonts w:eastAsia="Times New Roman"/>
          <w:i/>
          <w:szCs w:val="24"/>
          <w:lang w:eastAsia="ru-RU"/>
        </w:rPr>
        <w:t xml:space="preserve"> фазы </w:t>
      </w:r>
      <w:r w:rsidRPr="00805C9F">
        <w:rPr>
          <w:rFonts w:eastAsia="Times New Roman"/>
          <w:i/>
          <w:szCs w:val="24"/>
          <w:lang w:val="en-US" w:eastAsia="ru-RU"/>
        </w:rPr>
        <w:t>IKEMA</w:t>
      </w:r>
      <w:r w:rsidRPr="00805C9F">
        <w:rPr>
          <w:rFonts w:eastAsia="Times New Roman"/>
          <w:i/>
          <w:szCs w:val="24"/>
          <w:lang w:eastAsia="ru-RU"/>
        </w:rPr>
        <w:t xml:space="preserve"> </w:t>
      </w:r>
      <w:r w:rsidR="00C15DA7" w:rsidRPr="00805C9F">
        <w:rPr>
          <w:rFonts w:eastAsia="Times New Roman"/>
          <w:i/>
          <w:szCs w:val="24"/>
          <w:lang w:eastAsia="ru-RU"/>
        </w:rPr>
        <w:t>изучалась</w:t>
      </w:r>
      <w:r w:rsidRPr="00805C9F">
        <w:rPr>
          <w:rFonts w:eastAsia="Times New Roman"/>
          <w:i/>
          <w:szCs w:val="24"/>
          <w:lang w:eastAsia="ru-RU"/>
        </w:rPr>
        <w:t xml:space="preserve"> эффективност</w:t>
      </w:r>
      <w:r w:rsidR="00C15DA7" w:rsidRPr="00805C9F">
        <w:rPr>
          <w:rFonts w:eastAsia="Times New Roman"/>
          <w:i/>
          <w:szCs w:val="24"/>
          <w:lang w:eastAsia="ru-RU"/>
        </w:rPr>
        <w:t>ь эффективность добавления анти-CD38 моноклонального антитела</w:t>
      </w:r>
      <w:r w:rsidRPr="00805C9F">
        <w:rPr>
          <w:rFonts w:eastAsia="Times New Roman"/>
          <w:i/>
          <w:szCs w:val="24"/>
          <w:lang w:eastAsia="ru-RU"/>
        </w:rPr>
        <w:t xml:space="preserve"> изатуксимаб</w:t>
      </w:r>
      <w:r w:rsidR="00C15DA7" w:rsidRPr="00805C9F">
        <w:rPr>
          <w:rFonts w:eastAsia="Times New Roman"/>
          <w:i/>
          <w:szCs w:val="24"/>
          <w:lang w:eastAsia="ru-RU"/>
        </w:rPr>
        <w:t xml:space="preserve">а** к комбинации </w:t>
      </w:r>
      <w:r w:rsidRPr="00805C9F">
        <w:rPr>
          <w:rFonts w:eastAsia="Times New Roman"/>
          <w:i/>
          <w:szCs w:val="24"/>
          <w:lang w:eastAsia="ru-RU"/>
        </w:rPr>
        <w:t>карфилзомиб</w:t>
      </w:r>
      <w:r w:rsidR="00C15DA7" w:rsidRPr="00805C9F">
        <w:rPr>
          <w:rFonts w:eastAsia="Times New Roman"/>
          <w:i/>
          <w:szCs w:val="24"/>
          <w:lang w:eastAsia="ru-RU"/>
        </w:rPr>
        <w:t>а</w:t>
      </w:r>
      <w:r w:rsidRPr="00805C9F">
        <w:rPr>
          <w:rFonts w:eastAsia="Times New Roman"/>
          <w:i/>
          <w:szCs w:val="24"/>
          <w:lang w:eastAsia="ru-RU"/>
        </w:rPr>
        <w:t>**</w:t>
      </w:r>
      <w:r w:rsidR="00C15DA7" w:rsidRPr="00805C9F">
        <w:rPr>
          <w:rFonts w:eastAsia="Times New Roman"/>
          <w:i/>
          <w:szCs w:val="24"/>
          <w:lang w:eastAsia="ru-RU"/>
        </w:rPr>
        <w:t xml:space="preserve"> и </w:t>
      </w:r>
      <w:r w:rsidRPr="00805C9F">
        <w:rPr>
          <w:rFonts w:eastAsia="Times New Roman"/>
          <w:i/>
          <w:szCs w:val="24"/>
          <w:lang w:eastAsia="ru-RU"/>
        </w:rPr>
        <w:t>дексаметазон</w:t>
      </w:r>
      <w:r w:rsidR="00C15DA7" w:rsidRPr="00805C9F">
        <w:rPr>
          <w:rFonts w:eastAsia="Times New Roman"/>
          <w:i/>
          <w:szCs w:val="24"/>
          <w:lang w:eastAsia="ru-RU"/>
        </w:rPr>
        <w:t>а</w:t>
      </w:r>
      <w:r w:rsidRPr="00805C9F">
        <w:rPr>
          <w:rFonts w:eastAsia="Times New Roman"/>
          <w:i/>
          <w:szCs w:val="24"/>
          <w:lang w:eastAsia="ru-RU"/>
        </w:rPr>
        <w:t>**(</w:t>
      </w:r>
      <w:r w:rsidRPr="00805C9F">
        <w:rPr>
          <w:rFonts w:eastAsia="Times New Roman"/>
          <w:i/>
          <w:szCs w:val="24"/>
          <w:lang w:val="en-US" w:eastAsia="ru-RU"/>
        </w:rPr>
        <w:t>Kd</w:t>
      </w:r>
      <w:r w:rsidRPr="00805C9F">
        <w:rPr>
          <w:rFonts w:eastAsia="Times New Roman"/>
          <w:i/>
          <w:szCs w:val="24"/>
          <w:lang w:eastAsia="ru-RU"/>
        </w:rPr>
        <w:t xml:space="preserve">). До включения в исследование пациенты получили от 1 до 3 линий терапии (медиана-2). </w:t>
      </w:r>
    </w:p>
    <w:p w14:paraId="24DC46DD" w14:textId="69B07A14" w:rsidR="00E03159" w:rsidRPr="00805C9F" w:rsidRDefault="00C15DA7" w:rsidP="00C15DA7">
      <w:pPr>
        <w:pStyle w:val="a6"/>
        <w:spacing w:before="0"/>
        <w:ind w:left="0" w:firstLine="709"/>
        <w:rPr>
          <w:rFonts w:eastAsia="Times New Roman"/>
          <w:i/>
          <w:szCs w:val="24"/>
          <w:lang w:eastAsia="ru-RU"/>
        </w:rPr>
      </w:pPr>
      <w:r w:rsidRPr="00805C9F">
        <w:rPr>
          <w:rFonts w:eastAsia="Times New Roman"/>
          <w:i/>
          <w:szCs w:val="24"/>
          <w:lang w:eastAsia="ru-RU"/>
        </w:rPr>
        <w:t xml:space="preserve">При медиане наблюдения 20,7 мес. медиана ВБП в группе </w:t>
      </w:r>
      <w:r w:rsidRPr="00805C9F">
        <w:rPr>
          <w:rFonts w:eastAsia="Times New Roman"/>
          <w:i/>
          <w:szCs w:val="24"/>
          <w:lang w:val="en-US" w:eastAsia="ru-RU"/>
        </w:rPr>
        <w:t>Isa</w:t>
      </w:r>
      <w:r w:rsidRPr="00805C9F">
        <w:rPr>
          <w:rFonts w:eastAsia="Times New Roman"/>
          <w:i/>
          <w:szCs w:val="24"/>
          <w:lang w:eastAsia="ru-RU"/>
        </w:rPr>
        <w:t>-Кd не была достигнута по сравнению с 19,1 мес. в группе Кd (</w:t>
      </w:r>
      <w:r w:rsidRPr="00805C9F">
        <w:rPr>
          <w:rFonts w:eastAsia="Times New Roman"/>
          <w:i/>
          <w:szCs w:val="24"/>
          <w:lang w:val="en-US" w:eastAsia="ru-RU"/>
        </w:rPr>
        <w:t>HR</w:t>
      </w:r>
      <w:r w:rsidRPr="00805C9F">
        <w:rPr>
          <w:rFonts w:eastAsia="Times New Roman"/>
          <w:i/>
          <w:szCs w:val="24"/>
          <w:lang w:eastAsia="ru-RU"/>
        </w:rPr>
        <w:t xml:space="preserve">=0,531; 99% ДИ 0,31-0,88; р=0,0007). </w:t>
      </w:r>
      <w:r w:rsidR="00E03159" w:rsidRPr="00805C9F">
        <w:rPr>
          <w:rFonts w:eastAsia="Times New Roman"/>
          <w:i/>
          <w:szCs w:val="24"/>
          <w:lang w:eastAsia="ru-RU"/>
        </w:rPr>
        <w:t xml:space="preserve">Частота </w:t>
      </w:r>
      <w:r w:rsidRPr="00805C9F">
        <w:rPr>
          <w:rFonts w:eastAsia="Times New Roman"/>
          <w:i/>
          <w:szCs w:val="24"/>
          <w:lang w:eastAsia="ru-RU"/>
        </w:rPr>
        <w:t xml:space="preserve">достижения </w:t>
      </w:r>
      <w:r w:rsidR="00E03159" w:rsidRPr="00805C9F">
        <w:rPr>
          <w:rFonts w:eastAsia="Times New Roman"/>
          <w:i/>
          <w:szCs w:val="24"/>
          <w:lang w:eastAsia="ru-RU"/>
        </w:rPr>
        <w:t xml:space="preserve">ОХЧР была значимо </w:t>
      </w:r>
      <w:r w:rsidRPr="00805C9F">
        <w:rPr>
          <w:rFonts w:eastAsia="Times New Roman"/>
          <w:i/>
          <w:szCs w:val="24"/>
          <w:lang w:eastAsia="ru-RU"/>
        </w:rPr>
        <w:t>выше</w:t>
      </w:r>
      <w:r w:rsidR="00E03159" w:rsidRPr="00805C9F">
        <w:rPr>
          <w:rFonts w:eastAsia="Times New Roman"/>
          <w:i/>
          <w:szCs w:val="24"/>
          <w:lang w:eastAsia="ru-RU"/>
        </w:rPr>
        <w:t xml:space="preserve"> в группе </w:t>
      </w:r>
      <w:r w:rsidR="00E03159" w:rsidRPr="00805C9F">
        <w:rPr>
          <w:rFonts w:eastAsia="Times New Roman"/>
          <w:i/>
          <w:szCs w:val="24"/>
          <w:lang w:val="en-US" w:eastAsia="ru-RU"/>
        </w:rPr>
        <w:t>Isa</w:t>
      </w:r>
      <w:r w:rsidR="00E03159" w:rsidRPr="00805C9F">
        <w:rPr>
          <w:rFonts w:eastAsia="Times New Roman"/>
          <w:i/>
          <w:szCs w:val="24"/>
          <w:lang w:eastAsia="ru-RU"/>
        </w:rPr>
        <w:t>-</w:t>
      </w:r>
      <w:r w:rsidR="00E03159" w:rsidRPr="00805C9F">
        <w:rPr>
          <w:rFonts w:eastAsia="Times New Roman"/>
          <w:i/>
          <w:szCs w:val="24"/>
          <w:lang w:val="en-US" w:eastAsia="ru-RU"/>
        </w:rPr>
        <w:t>Kd</w:t>
      </w:r>
      <w:r w:rsidR="00E03159" w:rsidRPr="00805C9F">
        <w:rPr>
          <w:rFonts w:eastAsia="Times New Roman"/>
          <w:i/>
          <w:szCs w:val="24"/>
          <w:lang w:eastAsia="ru-RU"/>
        </w:rPr>
        <w:t xml:space="preserve"> </w:t>
      </w:r>
      <w:r w:rsidRPr="00805C9F">
        <w:rPr>
          <w:rFonts w:eastAsia="Times New Roman"/>
          <w:i/>
          <w:szCs w:val="24"/>
          <w:lang w:eastAsia="ru-RU"/>
        </w:rPr>
        <w:t xml:space="preserve">и составила 73% против 56% в группе </w:t>
      </w:r>
      <w:r w:rsidRPr="00805C9F">
        <w:rPr>
          <w:rFonts w:eastAsia="Times New Roman"/>
          <w:i/>
          <w:szCs w:val="24"/>
          <w:lang w:val="en-US" w:eastAsia="ru-RU"/>
        </w:rPr>
        <w:t>Kd</w:t>
      </w:r>
      <w:r w:rsidR="00E03159" w:rsidRPr="00805C9F">
        <w:rPr>
          <w:rFonts w:eastAsia="Times New Roman"/>
          <w:i/>
          <w:szCs w:val="24"/>
          <w:lang w:eastAsia="ru-RU"/>
        </w:rPr>
        <w:t xml:space="preserve"> (р=0,0011), режим </w:t>
      </w:r>
      <w:r w:rsidR="00E03159" w:rsidRPr="00805C9F">
        <w:rPr>
          <w:rFonts w:eastAsia="Times New Roman"/>
          <w:i/>
          <w:szCs w:val="24"/>
          <w:lang w:val="en-US" w:eastAsia="ru-RU"/>
        </w:rPr>
        <w:t>Isa</w:t>
      </w:r>
      <w:r w:rsidR="00E03159" w:rsidRPr="00805C9F">
        <w:rPr>
          <w:rFonts w:eastAsia="Times New Roman"/>
          <w:i/>
          <w:szCs w:val="24"/>
          <w:lang w:eastAsia="ru-RU"/>
        </w:rPr>
        <w:t>-</w:t>
      </w:r>
      <w:r w:rsidR="00E03159" w:rsidRPr="00805C9F">
        <w:rPr>
          <w:rFonts w:eastAsia="Times New Roman"/>
          <w:i/>
          <w:szCs w:val="24"/>
          <w:lang w:val="en-US" w:eastAsia="ru-RU"/>
        </w:rPr>
        <w:t>Kd</w:t>
      </w:r>
      <w:r w:rsidRPr="00805C9F">
        <w:rPr>
          <w:rFonts w:eastAsia="Times New Roman"/>
          <w:i/>
          <w:szCs w:val="24"/>
          <w:lang w:eastAsia="ru-RU"/>
        </w:rPr>
        <w:t xml:space="preserve"> значимо повышал</w:t>
      </w:r>
      <w:r w:rsidR="00E03159" w:rsidRPr="00805C9F">
        <w:rPr>
          <w:rFonts w:eastAsia="Times New Roman"/>
          <w:i/>
          <w:szCs w:val="24"/>
          <w:lang w:eastAsia="ru-RU"/>
        </w:rPr>
        <w:t xml:space="preserve"> частоту </w:t>
      </w:r>
      <w:r w:rsidRPr="00805C9F">
        <w:rPr>
          <w:rFonts w:eastAsia="Times New Roman"/>
          <w:i/>
          <w:szCs w:val="24"/>
          <w:lang w:eastAsia="ru-RU"/>
        </w:rPr>
        <w:t xml:space="preserve">достижения </w:t>
      </w:r>
      <w:r w:rsidR="00E03159" w:rsidRPr="00805C9F">
        <w:rPr>
          <w:rFonts w:eastAsia="Times New Roman"/>
          <w:i/>
          <w:szCs w:val="24"/>
          <w:lang w:eastAsia="ru-RU"/>
        </w:rPr>
        <w:t xml:space="preserve">МОБ-негативности по сравнению с </w:t>
      </w:r>
      <w:r w:rsidR="00E03159" w:rsidRPr="00805C9F">
        <w:rPr>
          <w:rFonts w:eastAsia="Times New Roman"/>
          <w:i/>
          <w:szCs w:val="24"/>
          <w:lang w:val="en-US" w:eastAsia="ru-RU"/>
        </w:rPr>
        <w:t>Kd</w:t>
      </w:r>
      <w:r w:rsidRPr="00805C9F">
        <w:rPr>
          <w:rFonts w:eastAsia="Times New Roman"/>
          <w:i/>
          <w:szCs w:val="24"/>
          <w:lang w:eastAsia="ru-RU"/>
        </w:rPr>
        <w:t xml:space="preserve"> – 30% </w:t>
      </w:r>
      <w:r w:rsidR="00E03159" w:rsidRPr="00805C9F">
        <w:rPr>
          <w:rFonts w:eastAsia="Times New Roman"/>
          <w:i/>
          <w:szCs w:val="24"/>
          <w:lang w:eastAsia="ru-RU"/>
        </w:rPr>
        <w:t xml:space="preserve">и 13%, соответственно (р=0,0004). Добавление изатуксимаба к режиму </w:t>
      </w:r>
      <w:r w:rsidR="00E03159" w:rsidRPr="00805C9F">
        <w:rPr>
          <w:rFonts w:eastAsia="Times New Roman"/>
          <w:i/>
          <w:szCs w:val="24"/>
          <w:lang w:val="en-US" w:eastAsia="ru-RU"/>
        </w:rPr>
        <w:t>K</w:t>
      </w:r>
      <w:r w:rsidR="00E03159" w:rsidRPr="00805C9F">
        <w:rPr>
          <w:rFonts w:eastAsia="Times New Roman"/>
          <w:i/>
          <w:szCs w:val="24"/>
          <w:lang w:eastAsia="ru-RU"/>
        </w:rPr>
        <w:t>d не привело к повышению токсичности: частота отмены терапии была ниже в группе Isa-</w:t>
      </w:r>
      <w:r w:rsidR="00E03159" w:rsidRPr="00805C9F">
        <w:rPr>
          <w:rFonts w:eastAsia="Times New Roman"/>
          <w:i/>
          <w:szCs w:val="24"/>
          <w:lang w:val="en-US" w:eastAsia="ru-RU"/>
        </w:rPr>
        <w:t>K</w:t>
      </w:r>
      <w:r w:rsidR="00E03159" w:rsidRPr="00805C9F">
        <w:rPr>
          <w:rFonts w:eastAsia="Times New Roman"/>
          <w:i/>
          <w:szCs w:val="24"/>
          <w:lang w:eastAsia="ru-RU"/>
        </w:rPr>
        <w:t xml:space="preserve">d по сравнению с группой </w:t>
      </w:r>
      <w:r w:rsidR="00E03159" w:rsidRPr="00805C9F">
        <w:rPr>
          <w:rFonts w:eastAsia="Times New Roman"/>
          <w:i/>
          <w:szCs w:val="24"/>
          <w:lang w:val="en-US" w:eastAsia="ru-RU"/>
        </w:rPr>
        <w:t>K</w:t>
      </w:r>
      <w:r w:rsidR="00E03159" w:rsidRPr="00805C9F">
        <w:rPr>
          <w:rFonts w:eastAsia="Times New Roman"/>
          <w:i/>
          <w:szCs w:val="24"/>
          <w:lang w:eastAsia="ru-RU"/>
        </w:rPr>
        <w:t xml:space="preserve">d (8,4% и 13,8 %, соответственно). </w:t>
      </w:r>
    </w:p>
    <w:p w14:paraId="0C792024" w14:textId="77777777" w:rsidR="00241DE1" w:rsidRPr="00805C9F" w:rsidRDefault="00241DE1" w:rsidP="00CC0180">
      <w:pPr>
        <w:pStyle w:val="2"/>
        <w:rPr>
          <w:rStyle w:val="ac"/>
          <w:rFonts w:eastAsia="Calibri"/>
          <w:b/>
          <w:bCs w:val="0"/>
          <w:szCs w:val="24"/>
        </w:rPr>
      </w:pPr>
      <w:bookmarkStart w:id="35" w:name="_Toc97734633"/>
      <w:r w:rsidRPr="00805C9F">
        <w:rPr>
          <w:rStyle w:val="ac"/>
          <w:b/>
          <w:bCs w:val="0"/>
          <w:szCs w:val="24"/>
        </w:rPr>
        <w:lastRenderedPageBreak/>
        <w:t>3.4.2</w:t>
      </w:r>
      <w:r w:rsidR="0018717A" w:rsidRPr="00805C9F">
        <w:rPr>
          <w:rStyle w:val="ac"/>
          <w:b/>
          <w:bCs w:val="0"/>
          <w:szCs w:val="24"/>
        </w:rPr>
        <w:t xml:space="preserve"> </w:t>
      </w:r>
      <w:r w:rsidRPr="00805C9F">
        <w:rPr>
          <w:rStyle w:val="ac"/>
          <w:b/>
          <w:bCs w:val="0"/>
          <w:szCs w:val="24"/>
        </w:rPr>
        <w:t>Лечение рецидива ММ, отягощенного двойной рефрактерностью</w:t>
      </w:r>
      <w:bookmarkEnd w:id="35"/>
    </w:p>
    <w:p w14:paraId="1DD2BF73" w14:textId="0A309DCB" w:rsidR="00D14A54" w:rsidRPr="00805C9F" w:rsidRDefault="00D14A54" w:rsidP="00092917">
      <w:pPr>
        <w:pStyle w:val="a6"/>
        <w:numPr>
          <w:ilvl w:val="0"/>
          <w:numId w:val="8"/>
        </w:numPr>
        <w:tabs>
          <w:tab w:val="clear" w:pos="348"/>
          <w:tab w:val="num" w:pos="709"/>
        </w:tabs>
        <w:spacing w:before="0" w:after="0"/>
        <w:ind w:left="0" w:firstLine="0"/>
        <w:rPr>
          <w:szCs w:val="24"/>
        </w:rPr>
      </w:pPr>
      <w:r w:rsidRPr="00805C9F">
        <w:rPr>
          <w:szCs w:val="24"/>
        </w:rPr>
        <w:t xml:space="preserve">Пациентам с </w:t>
      </w:r>
      <w:r w:rsidR="00B15365" w:rsidRPr="00805C9F">
        <w:rPr>
          <w:szCs w:val="24"/>
        </w:rPr>
        <w:t>рецидивом ММ</w:t>
      </w:r>
      <w:r w:rsidRPr="00805C9F">
        <w:rPr>
          <w:szCs w:val="24"/>
        </w:rPr>
        <w:t>, которы</w:t>
      </w:r>
      <w:r w:rsidR="00155D8D" w:rsidRPr="00805C9F">
        <w:rPr>
          <w:szCs w:val="24"/>
        </w:rPr>
        <w:t>е ра</w:t>
      </w:r>
      <w:r w:rsidR="00610FE7" w:rsidRPr="00805C9F">
        <w:rPr>
          <w:szCs w:val="24"/>
        </w:rPr>
        <w:t>ньше получали терапию ингибиторами</w:t>
      </w:r>
      <w:r w:rsidR="00155D8D" w:rsidRPr="00805C9F">
        <w:rPr>
          <w:szCs w:val="24"/>
        </w:rPr>
        <w:t xml:space="preserve"> проте</w:t>
      </w:r>
      <w:r w:rsidR="000C2F12" w:rsidRPr="00805C9F">
        <w:rPr>
          <w:szCs w:val="24"/>
        </w:rPr>
        <w:t>а</w:t>
      </w:r>
      <w:r w:rsidR="00155D8D" w:rsidRPr="00805C9F">
        <w:rPr>
          <w:szCs w:val="24"/>
        </w:rPr>
        <w:t>сом и леналидомид</w:t>
      </w:r>
      <w:r w:rsidR="00610FE7" w:rsidRPr="00805C9F">
        <w:rPr>
          <w:szCs w:val="24"/>
        </w:rPr>
        <w:t>ом</w:t>
      </w:r>
      <w:r w:rsidR="00B15365" w:rsidRPr="00805C9F">
        <w:rPr>
          <w:szCs w:val="24"/>
        </w:rPr>
        <w:t>**</w:t>
      </w:r>
      <w:r w:rsidR="006F0CFC" w:rsidRPr="00805C9F">
        <w:rPr>
          <w:szCs w:val="24"/>
        </w:rPr>
        <w:t>,</w:t>
      </w:r>
      <w:r w:rsidR="00155D8D" w:rsidRPr="00805C9F">
        <w:rPr>
          <w:szCs w:val="24"/>
        </w:rPr>
        <w:t xml:space="preserve"> и у которых наблюдалось прогрессирование заболевания на фоне предшествующей терапии, </w:t>
      </w:r>
      <w:r w:rsidRPr="00805C9F">
        <w:rPr>
          <w:szCs w:val="24"/>
        </w:rPr>
        <w:t>в качестве одн</w:t>
      </w:r>
      <w:r w:rsidR="00B657E4" w:rsidRPr="00805C9F">
        <w:rPr>
          <w:szCs w:val="24"/>
        </w:rPr>
        <w:t>ой из возможных опций</w:t>
      </w:r>
      <w:r w:rsidR="000A156C" w:rsidRPr="00805C9F">
        <w:rPr>
          <w:szCs w:val="24"/>
        </w:rPr>
        <w:t xml:space="preserve"> </w:t>
      </w:r>
      <w:r w:rsidR="00B657E4" w:rsidRPr="00805C9F">
        <w:rPr>
          <w:b/>
          <w:szCs w:val="24"/>
        </w:rPr>
        <w:t>рекомендуется</w:t>
      </w:r>
      <w:r w:rsidRPr="00805C9F">
        <w:rPr>
          <w:szCs w:val="24"/>
        </w:rPr>
        <w:t xml:space="preserve"> терапия с включением в схему лечения </w:t>
      </w:r>
      <w:r w:rsidR="00155D8D" w:rsidRPr="00805C9F">
        <w:rPr>
          <w:szCs w:val="24"/>
        </w:rPr>
        <w:t>помалидомида</w:t>
      </w:r>
      <w:r w:rsidR="006C0012" w:rsidRPr="00805C9F">
        <w:rPr>
          <w:szCs w:val="24"/>
        </w:rPr>
        <w:t>**</w:t>
      </w:r>
      <w:r w:rsidRPr="00805C9F">
        <w:rPr>
          <w:szCs w:val="24"/>
        </w:rPr>
        <w:t xml:space="preserve"> и дексаметазона** </w:t>
      </w:r>
      <w:r w:rsidR="00032CFB" w:rsidRPr="00805C9F">
        <w:rPr>
          <w:szCs w:val="24"/>
        </w:rPr>
        <w:t xml:space="preserve">(описание режимов – см. приложение </w:t>
      </w:r>
      <w:r w:rsidR="00C812D6" w:rsidRPr="00805C9F">
        <w:rPr>
          <w:szCs w:val="24"/>
        </w:rPr>
        <w:t>А3.1</w:t>
      </w:r>
      <w:r w:rsidR="00E137CF" w:rsidRPr="00805C9F">
        <w:rPr>
          <w:szCs w:val="24"/>
        </w:rPr>
        <w:t>.</w:t>
      </w:r>
      <w:r w:rsidR="00032CFB" w:rsidRPr="00805C9F">
        <w:rPr>
          <w:szCs w:val="24"/>
        </w:rPr>
        <w:t>)</w:t>
      </w:r>
      <w:r w:rsidR="00286688" w:rsidRPr="00805C9F">
        <w:rPr>
          <w:szCs w:val="24"/>
        </w:rPr>
        <w:t xml:space="preserve"> </w:t>
      </w:r>
      <w:r w:rsidR="00A96FB6" w:rsidRPr="00805C9F">
        <w:rPr>
          <w:szCs w:val="24"/>
        </w:rPr>
        <w:fldChar w:fldCharType="begin" w:fldLock="1"/>
      </w:r>
      <w:r w:rsidR="00500F37">
        <w:rPr>
          <w:szCs w:val="24"/>
        </w:rPr>
        <w:instrText>ADDIN CSL_CITATION {"citationItems":[{"id":"ITEM-1","itemData":{"DOI":"10.1016/S1470-2045(13)70380-2","ISSN":"14702045","abstract":"Background: Few effective treatments exist for patients with refractory or relapsed and refractory multiple myeloma not responding to treatment with bortezomib and lenalidomide. Pomalidomide alone has shown limited efficacy in patients with relapsed multiple myeloma, but synergistic effects have been noted when combined with dexamethasone. We compared the efficacy and safety of pomalidomide plus low-dose dexamethasone with high-dose dexamethasone alone in these patients. Methods: This multicentre, open-label, randomised phase 3 trial was undertaken in Australia, Canada, Europe, Russia, and the USA. Patients were eligible if they had been diagnosed with refractory or relapsed and refractory multiple myeloma, and had failed at least two previous treatments of bortezomib and lenalidomide. They were assigned in a 2:1 ratio with a validated interactive voice and internet response system to either 28 day cycles of pomalidomide (4 mg/day on days 1-21, orally) plus low-dose dexamethasone (40 mg/day on days 1, 8, 15, and 22, orally) or high-dose dexamethasone (40 mg/day on days 1-4, 9-12, and 17-20, orally) until disease progression or unacceptable toxicity. Stratification factors were age (≤75 years vs &gt;75 years), disease population (refractory vs relapsed and refractory vs bortezomib intolerant), and number of previous treatments (two vs more than two). The primary endpoint was progression-free survival (PFS). Analysis was by intention to treat. This trial is registered with ClinicalTrials.gov, number NCT01311687, and with EudraCT, number 2010-019820-30. Findings: The accrual for the study has been completed and the analyses are presented. 302 patients were randomly assigned to receive pomalidomide plus low-dose dexamethasone and 153 high-dose dexamethasone. After a median follow-up of 10·0 months (IQR 7·2-13·2), median PFS with pomalidomide plus low-dose dexamethasone was 4·0 months (95% CI 3·6-4·7) versus 1·9 months (1·9-2·2) with high-dose dexamethasone (hazard ratio 0·48 [95% CI 0·39-0·60]; p&lt;0·0001). The most common grade 3-4 haematological adverse events in the pomalidomide plus low-dose dexamethasone and high-dose dexamethasone groups were neutropenia (143 [48%] of 300 vs 24 [16%] of 150, respectively), anaemia (99 [33%] vs 55 [37%], respectively), and thrombocytopenia (67 [22%] vs 39 [26%], respectively). Grade 3-4 non-haematological adverse events in the pomalidomide plus low-dose dexamethasone and high-dose dexamethasone groups included pneumonia (38…","author":[{"dropping-particle":"","family":"Miguel","given":"Jesus San","non-dropping-particle":"","parse-names":false,"suffix":""},{"dropping-particle":"","family":"Weisel","given":"Katja","non-dropping-particle":"","parse-names":false,"suffix":""},{"dropping-particle":"","family":"Moreau","given":"Philippe","non-dropping-particle":"","parse-names":false,"suffix":""},{"dropping-particle":"","family":"Lacy","given":"Martha","non-dropping-particle":"","parse-names":false,"suffix":""},{"dropping-particle":"","family":"Song","given":"Kevin","non-dropping-particle":"","parse-names":false,"suffix":""},{"dropping-particle":"","family":"Delforge","given":"Michel","non-dropping-particle":"","parse-names":false,"suffix":""},{"dropping-particle":"","family":"Karlin","given":"Lionel","non-dropping-particle":"","parse-names":false,"suffix":""},{"dropping-particle":"","family":"Goldschmidt","given":"Hartmut","non-dropping-particle":"","parse-names":false,"suffix":""},{"dropping-particle":"","family":"Banos","given":"Anne","non-dropping-particle":"","parse-names":false,"suffix":""},{"dropping-particle":"","family":"Oriol","given":"Albert","non-dropping-particle":"","parse-names":false,"suffix":""},{"dropping-particle":"","family":"Alegre","given":"Adrian","non-dropping-particle":"","parse-names":false,"suffix":""},{"dropping-particle":"","family":"Chen","given":"Christine","non-dropping-particle":"","parse-names":false,"suffix":""},{"dropping-particle":"","family":"Cavo","given":"Michele","non-dropping-particle":"","parse-names":false,"suffix":""},{"dropping-particle":"","family":"Garderet","given":"Laurent","non-dropping-particle":"","parse-names":false,"suffix":""},{"dropping-particle":"","family":"Ivanova","given":"Valentina","non-dropping-particle":"","parse-names":false,"suffix":""},{"dropping-particle":"","family":"Martinez-Lopez","given":"Joaquin","non-dropping-particle":"","parse-names":false,"suffix":""},{"dropping-particle":"","family":"Belch","given":"Andrew","non-dropping-particle":"","parse-names":false,"suffix":""},{"dropping-particle":"","family":"Palumbo","given":"Antonio","non-dropping-particle":"","parse-names":false,"suffix":""},{"dropping-particle":"","family":"Schey","given":"Stephen","non-dropping-particle":"","parse-names":false,"suffix":""},{"dropping-particle":"","family":"Sonneveld","given":"Pieter","non-dropping-particle":"","parse-names":false,"suffix":""},{"dropping-particle":"","family":"Yu","given":"Xin","non-dropping-particle":"","parse-names":false,"suffix":""},{"dropping-particle":"","family":"Sternas","given":"Lars","non-dropping-particle":"","parse-names":false,"suffix":""},{"dropping-particle":"","family":"Jacques","given":"Christian","non-dropping-particle":"","parse-names":false,"suffix":""},{"dropping-particle":"","family":"Zaki","given":"Mohamed","non-dropping-particle":"","parse-names":false,"suffix":""},{"dropping-particle":"","family":"Dimopoulos","given":"Meletios","non-dropping-particle":"","parse-names":false,"suffix":""}],"container-title":"The Lancet Oncology","id":"ITEM-1","issue":"11","issued":{"date-parts":[["2013","10"]]},"page":"1055-1066","title":"Pomalidomide plus low-dose dexamethasone versus high-dose dexamethasone alone for patients with relapsed and refractory multiple myeloma (MM-003): A randomised, open-label, phase 3 trial","type":"article-journal","volume":"14"},"uris":["http://www.mendeley.com/documents/?uuid=212c99f9-e3b6-332f-a2d2-503dd0b7864a"]}],"mendeley":{"formattedCitation":"[70]","plainTextFormattedCitation":"[70]","previouslyFormattedCitation":"[70]"},"properties":{"noteIndex":0},"schema":"https://github.com/citation-style-language/schema/raw/master/csl-citation.json"}</w:instrText>
      </w:r>
      <w:r w:rsidR="00A96FB6" w:rsidRPr="00805C9F">
        <w:rPr>
          <w:szCs w:val="24"/>
        </w:rPr>
        <w:fldChar w:fldCharType="separate"/>
      </w:r>
      <w:r w:rsidR="00C15DA7" w:rsidRPr="00805C9F">
        <w:rPr>
          <w:noProof/>
          <w:szCs w:val="24"/>
        </w:rPr>
        <w:t>[70]</w:t>
      </w:r>
      <w:r w:rsidR="00A96FB6" w:rsidRPr="00805C9F">
        <w:rPr>
          <w:szCs w:val="24"/>
        </w:rPr>
        <w:fldChar w:fldCharType="end"/>
      </w:r>
      <w:r w:rsidR="002B59AA" w:rsidRPr="00805C9F">
        <w:rPr>
          <w:szCs w:val="24"/>
        </w:rPr>
        <w:t>.</w:t>
      </w:r>
    </w:p>
    <w:p w14:paraId="3907655C" w14:textId="77777777" w:rsidR="00D14A54" w:rsidRPr="00805C9F" w:rsidRDefault="00D14A54" w:rsidP="00092917">
      <w:pPr>
        <w:pStyle w:val="a6"/>
        <w:spacing w:before="0" w:after="0"/>
        <w:ind w:left="0"/>
        <w:rPr>
          <w:b/>
          <w:szCs w:val="24"/>
        </w:rPr>
      </w:pPr>
      <w:r w:rsidRPr="00805C9F">
        <w:rPr>
          <w:b/>
          <w:szCs w:val="24"/>
        </w:rPr>
        <w:t xml:space="preserve">Уровень убедительности рекомендаций </w:t>
      </w:r>
      <w:r w:rsidR="00E137CF" w:rsidRPr="00805C9F">
        <w:rPr>
          <w:b/>
          <w:szCs w:val="24"/>
        </w:rPr>
        <w:t xml:space="preserve">− </w:t>
      </w:r>
      <w:r w:rsidR="00BD6788" w:rsidRPr="00805C9F">
        <w:rPr>
          <w:b/>
          <w:szCs w:val="24"/>
          <w:lang w:val="en-US"/>
        </w:rPr>
        <w:t>A</w:t>
      </w:r>
      <w:r w:rsidR="00286688" w:rsidRPr="00805C9F">
        <w:rPr>
          <w:b/>
          <w:szCs w:val="24"/>
        </w:rPr>
        <w:t xml:space="preserve"> </w:t>
      </w:r>
      <w:r w:rsidRPr="00805C9F">
        <w:rPr>
          <w:b/>
          <w:szCs w:val="24"/>
        </w:rPr>
        <w:t>(уровень достоверности доказательств</w:t>
      </w:r>
      <w:r w:rsidR="00286688" w:rsidRPr="00805C9F">
        <w:rPr>
          <w:b/>
          <w:szCs w:val="24"/>
        </w:rPr>
        <w:t xml:space="preserve"> </w:t>
      </w:r>
      <w:r w:rsidR="00E137CF" w:rsidRPr="00805C9F">
        <w:rPr>
          <w:b/>
          <w:szCs w:val="24"/>
        </w:rPr>
        <w:t xml:space="preserve">− </w:t>
      </w:r>
      <w:r w:rsidR="00BD6788" w:rsidRPr="00805C9F">
        <w:rPr>
          <w:b/>
          <w:szCs w:val="24"/>
        </w:rPr>
        <w:t>2</w:t>
      </w:r>
      <w:r w:rsidRPr="00805C9F">
        <w:rPr>
          <w:b/>
          <w:szCs w:val="24"/>
        </w:rPr>
        <w:t>)</w:t>
      </w:r>
    </w:p>
    <w:p w14:paraId="6BC8584E" w14:textId="0494D23D" w:rsidR="00023729" w:rsidRPr="00805C9F" w:rsidRDefault="00D14A54" w:rsidP="00092917">
      <w:pPr>
        <w:pStyle w:val="a4"/>
        <w:spacing w:before="0" w:beforeAutospacing="0" w:after="0" w:afterAutospacing="0" w:line="360" w:lineRule="auto"/>
        <w:ind w:firstLine="709"/>
        <w:contextualSpacing/>
        <w:jc w:val="both"/>
        <w:rPr>
          <w:i/>
        </w:rPr>
      </w:pPr>
      <w:r w:rsidRPr="00805C9F">
        <w:rPr>
          <w:b/>
        </w:rPr>
        <w:t xml:space="preserve">Комментарий: </w:t>
      </w:r>
      <w:r w:rsidR="00286688" w:rsidRPr="00805C9F">
        <w:rPr>
          <w:i/>
        </w:rPr>
        <w:t xml:space="preserve">в </w:t>
      </w:r>
      <w:r w:rsidR="00023729" w:rsidRPr="00805C9F">
        <w:rPr>
          <w:i/>
        </w:rPr>
        <w:t>крупном рандомизированном исследовании III фазы ММ-003 участвовал</w:t>
      </w:r>
      <w:r w:rsidR="00E137CF" w:rsidRPr="00805C9F">
        <w:rPr>
          <w:i/>
        </w:rPr>
        <w:t>и</w:t>
      </w:r>
      <w:r w:rsidR="00023729" w:rsidRPr="00805C9F">
        <w:rPr>
          <w:i/>
        </w:rPr>
        <w:t xml:space="preserve"> 445 пациентов с рецидивами и рефрактерной ММ, у большинства из которых (75</w:t>
      </w:r>
      <w:r w:rsidR="00E137CF" w:rsidRPr="00805C9F">
        <w:rPr>
          <w:i/>
        </w:rPr>
        <w:t> </w:t>
      </w:r>
      <w:r w:rsidR="00023729" w:rsidRPr="00805C9F">
        <w:rPr>
          <w:i/>
        </w:rPr>
        <w:t>%) отмечалась резистентность к бортезомибу</w:t>
      </w:r>
      <w:r w:rsidR="00B15365" w:rsidRPr="00805C9F">
        <w:rPr>
          <w:i/>
        </w:rPr>
        <w:t>**</w:t>
      </w:r>
      <w:r w:rsidR="00023729" w:rsidRPr="00805C9F">
        <w:rPr>
          <w:i/>
        </w:rPr>
        <w:t xml:space="preserve"> и леналидомиду</w:t>
      </w:r>
      <w:r w:rsidR="00B15365" w:rsidRPr="00805C9F">
        <w:rPr>
          <w:i/>
        </w:rPr>
        <w:t>**</w:t>
      </w:r>
      <w:r w:rsidR="00023729" w:rsidRPr="00805C9F">
        <w:rPr>
          <w:i/>
        </w:rPr>
        <w:t>. В этом исследовании проведено сравнение эффективности комбинации помалидомида</w:t>
      </w:r>
      <w:r w:rsidR="006C0012" w:rsidRPr="00805C9F">
        <w:t>**</w:t>
      </w:r>
      <w:r w:rsidR="00023729" w:rsidRPr="00805C9F">
        <w:rPr>
          <w:i/>
        </w:rPr>
        <w:t xml:space="preserve"> с дексаметазоном</w:t>
      </w:r>
      <w:r w:rsidR="00B15365" w:rsidRPr="00805C9F">
        <w:rPr>
          <w:i/>
        </w:rPr>
        <w:t>**</w:t>
      </w:r>
      <w:r w:rsidR="00023729" w:rsidRPr="00805C9F">
        <w:rPr>
          <w:i/>
        </w:rPr>
        <w:t xml:space="preserve"> в низкой дозе и только дексаметазона</w:t>
      </w:r>
      <w:r w:rsidR="00B15365" w:rsidRPr="00805C9F">
        <w:rPr>
          <w:i/>
        </w:rPr>
        <w:t>**</w:t>
      </w:r>
      <w:r w:rsidR="00023729" w:rsidRPr="00805C9F">
        <w:rPr>
          <w:i/>
        </w:rPr>
        <w:t xml:space="preserve"> в высокой дозе. До включения в исследование </w:t>
      </w:r>
      <w:r w:rsidR="00E94D41" w:rsidRPr="00805C9F">
        <w:rPr>
          <w:i/>
        </w:rPr>
        <w:t>пациенты</w:t>
      </w:r>
      <w:r w:rsidR="00E137CF" w:rsidRPr="00805C9F">
        <w:rPr>
          <w:i/>
        </w:rPr>
        <w:t xml:space="preserve"> </w:t>
      </w:r>
      <w:r w:rsidR="00023729" w:rsidRPr="00805C9F">
        <w:rPr>
          <w:i/>
        </w:rPr>
        <w:t>получили от 2 до 17 линий терапии (медиана 5). Общая эффективность лечения помалидомидом и дексаметазоном</w:t>
      </w:r>
      <w:r w:rsidR="00B15365" w:rsidRPr="00805C9F">
        <w:rPr>
          <w:i/>
        </w:rPr>
        <w:t>**</w:t>
      </w:r>
      <w:r w:rsidR="00023729" w:rsidRPr="00805C9F">
        <w:rPr>
          <w:i/>
        </w:rPr>
        <w:t xml:space="preserve"> была значительно выше (31</w:t>
      </w:r>
      <w:r w:rsidR="00E137CF" w:rsidRPr="00805C9F">
        <w:rPr>
          <w:i/>
        </w:rPr>
        <w:t xml:space="preserve"> </w:t>
      </w:r>
      <w:r w:rsidR="00023729" w:rsidRPr="00805C9F">
        <w:rPr>
          <w:i/>
        </w:rPr>
        <w:t>%), чем при использовании дексаметазона</w:t>
      </w:r>
      <w:r w:rsidR="00B15365" w:rsidRPr="00805C9F">
        <w:rPr>
          <w:i/>
        </w:rPr>
        <w:t>**</w:t>
      </w:r>
      <w:r w:rsidR="00023729" w:rsidRPr="00805C9F">
        <w:rPr>
          <w:i/>
        </w:rPr>
        <w:t xml:space="preserve"> в высокой дозе (10</w:t>
      </w:r>
      <w:r w:rsidR="00E137CF" w:rsidRPr="00805C9F">
        <w:rPr>
          <w:i/>
        </w:rPr>
        <w:t> </w:t>
      </w:r>
      <w:r w:rsidR="00023729" w:rsidRPr="00805C9F">
        <w:rPr>
          <w:i/>
        </w:rPr>
        <w:t>%). Также показано улучшение показателей выживаемости при использовании сочетания препаратов по сравнению с лечением дексаметазоном</w:t>
      </w:r>
      <w:r w:rsidR="00B15365" w:rsidRPr="00805C9F">
        <w:rPr>
          <w:i/>
        </w:rPr>
        <w:t>**</w:t>
      </w:r>
      <w:r w:rsidR="00023729" w:rsidRPr="00805C9F">
        <w:rPr>
          <w:i/>
        </w:rPr>
        <w:t xml:space="preserve"> в высокой дозе. При медиане наблюдения 15,4 мес</w:t>
      </w:r>
      <w:r w:rsidR="00E778E9" w:rsidRPr="00805C9F">
        <w:rPr>
          <w:i/>
        </w:rPr>
        <w:t>.</w:t>
      </w:r>
      <w:r w:rsidR="00023729" w:rsidRPr="00805C9F">
        <w:rPr>
          <w:i/>
        </w:rPr>
        <w:t xml:space="preserve"> медианы ВБП составили 4 и 1,9 мес, ОВ </w:t>
      </w:r>
      <w:r w:rsidR="0093772A" w:rsidRPr="00805C9F">
        <w:rPr>
          <w:i/>
        </w:rPr>
        <w:t>−</w:t>
      </w:r>
      <w:r w:rsidR="00023729" w:rsidRPr="00805C9F">
        <w:rPr>
          <w:i/>
        </w:rPr>
        <w:t xml:space="preserve"> 13,1</w:t>
      </w:r>
      <w:r w:rsidR="0093772A" w:rsidRPr="00805C9F">
        <w:rPr>
          <w:i/>
        </w:rPr>
        <w:t xml:space="preserve"> </w:t>
      </w:r>
      <w:r w:rsidR="00023729" w:rsidRPr="00805C9F">
        <w:rPr>
          <w:i/>
        </w:rPr>
        <w:t>и 8,1 мес</w:t>
      </w:r>
      <w:r w:rsidR="00E778E9" w:rsidRPr="00805C9F">
        <w:rPr>
          <w:i/>
        </w:rPr>
        <w:t>.</w:t>
      </w:r>
      <w:r w:rsidR="00023729" w:rsidRPr="00805C9F">
        <w:rPr>
          <w:i/>
        </w:rPr>
        <w:t xml:space="preserve"> соответственно. Улучшение </w:t>
      </w:r>
      <w:r w:rsidR="0093772A" w:rsidRPr="00805C9F">
        <w:rPr>
          <w:i/>
        </w:rPr>
        <w:t>ОВ</w:t>
      </w:r>
      <w:r w:rsidR="00023729" w:rsidRPr="00805C9F">
        <w:rPr>
          <w:i/>
        </w:rPr>
        <w:t xml:space="preserve"> при лечении помалидомидом и дексаметазоном</w:t>
      </w:r>
      <w:r w:rsidR="00B15365" w:rsidRPr="00805C9F">
        <w:rPr>
          <w:i/>
        </w:rPr>
        <w:t>**</w:t>
      </w:r>
      <w:r w:rsidR="00023729" w:rsidRPr="00805C9F">
        <w:rPr>
          <w:i/>
        </w:rPr>
        <w:t xml:space="preserve"> в низкой дозе было значительным, несмотря на то</w:t>
      </w:r>
      <w:r w:rsidR="002F6CE5" w:rsidRPr="00805C9F">
        <w:rPr>
          <w:i/>
        </w:rPr>
        <w:t>,</w:t>
      </w:r>
      <w:r w:rsidR="00023729" w:rsidRPr="00805C9F">
        <w:rPr>
          <w:i/>
        </w:rPr>
        <w:t xml:space="preserve"> что ко времени проведения анализа 50</w:t>
      </w:r>
      <w:r w:rsidR="0093772A" w:rsidRPr="00805C9F">
        <w:rPr>
          <w:i/>
        </w:rPr>
        <w:t> </w:t>
      </w:r>
      <w:r w:rsidR="00023729" w:rsidRPr="00805C9F">
        <w:rPr>
          <w:i/>
        </w:rPr>
        <w:t>% пациентов, рандомизированных для получения дексаметазона</w:t>
      </w:r>
      <w:r w:rsidR="00B15365" w:rsidRPr="00805C9F">
        <w:rPr>
          <w:i/>
        </w:rPr>
        <w:t>**</w:t>
      </w:r>
      <w:r w:rsidR="00023729" w:rsidRPr="00805C9F">
        <w:rPr>
          <w:i/>
        </w:rPr>
        <w:t>, уже получали помалидомид. У пациентов, достигших минимального ответа на терапию, включавшую помалидомид, ОВ составила 17,2</w:t>
      </w:r>
      <w:r w:rsidR="00F168F7" w:rsidRPr="00805C9F">
        <w:rPr>
          <w:i/>
        </w:rPr>
        <w:t> </w:t>
      </w:r>
      <w:r w:rsidR="00023729" w:rsidRPr="00805C9F">
        <w:rPr>
          <w:i/>
        </w:rPr>
        <w:t>мес</w:t>
      </w:r>
      <w:r w:rsidR="00F168F7" w:rsidRPr="00805C9F">
        <w:rPr>
          <w:i/>
        </w:rPr>
        <w:t>,</w:t>
      </w:r>
      <w:r w:rsidR="00023729" w:rsidRPr="00805C9F">
        <w:rPr>
          <w:i/>
        </w:rPr>
        <w:t xml:space="preserve"> при достижении частичного ответа – 19,9</w:t>
      </w:r>
      <w:r w:rsidR="00F168F7" w:rsidRPr="00805C9F">
        <w:rPr>
          <w:i/>
        </w:rPr>
        <w:t> </w:t>
      </w:r>
      <w:r w:rsidR="00023729" w:rsidRPr="00805C9F">
        <w:rPr>
          <w:i/>
        </w:rPr>
        <w:t>мес.</w:t>
      </w:r>
    </w:p>
    <w:p w14:paraId="7FF09906" w14:textId="5C521FB0" w:rsidR="00023729" w:rsidRPr="00805C9F" w:rsidRDefault="00023729" w:rsidP="00092917">
      <w:pPr>
        <w:pStyle w:val="a4"/>
        <w:spacing w:before="0" w:beforeAutospacing="0" w:after="0" w:afterAutospacing="0" w:line="360" w:lineRule="auto"/>
        <w:ind w:firstLine="709"/>
        <w:contextualSpacing/>
        <w:jc w:val="both"/>
        <w:rPr>
          <w:i/>
        </w:rPr>
      </w:pPr>
      <w:r w:rsidRPr="00805C9F">
        <w:rPr>
          <w:i/>
        </w:rPr>
        <w:t>Помалидомид</w:t>
      </w:r>
      <w:r w:rsidR="00F168F7" w:rsidRPr="00805C9F">
        <w:rPr>
          <w:i/>
        </w:rPr>
        <w:t xml:space="preserve"> </w:t>
      </w:r>
      <w:r w:rsidRPr="00805C9F">
        <w:rPr>
          <w:i/>
        </w:rPr>
        <w:t>метаболизируется в печени</w:t>
      </w:r>
      <w:r w:rsidR="00F168F7" w:rsidRPr="00805C9F">
        <w:rPr>
          <w:i/>
        </w:rPr>
        <w:t>,</w:t>
      </w:r>
      <w:r w:rsidRPr="00805C9F">
        <w:rPr>
          <w:i/>
        </w:rPr>
        <w:t xml:space="preserve"> и в отличие от леналидомида</w:t>
      </w:r>
      <w:r w:rsidR="00B15365" w:rsidRPr="00805C9F">
        <w:rPr>
          <w:i/>
        </w:rPr>
        <w:t>**</w:t>
      </w:r>
      <w:r w:rsidRPr="00805C9F">
        <w:rPr>
          <w:i/>
        </w:rPr>
        <w:t xml:space="preserve"> только 2</w:t>
      </w:r>
      <w:r w:rsidR="00F168F7" w:rsidRPr="00805C9F">
        <w:rPr>
          <w:i/>
        </w:rPr>
        <w:t> </w:t>
      </w:r>
      <w:r w:rsidRPr="00805C9F">
        <w:rPr>
          <w:i/>
        </w:rPr>
        <w:t xml:space="preserve">% неизмененного препарата выводится с мочой. У </w:t>
      </w:r>
      <w:r w:rsidR="00FB03BB" w:rsidRPr="00805C9F">
        <w:rPr>
          <w:i/>
        </w:rPr>
        <w:t>пациентов</w:t>
      </w:r>
      <w:r w:rsidRPr="00805C9F">
        <w:rPr>
          <w:i/>
        </w:rPr>
        <w:t xml:space="preserve"> с любой степенью почечной недостаточности не требуется изменения дозы помалидомида</w:t>
      </w:r>
      <w:r w:rsidR="006C0012" w:rsidRPr="00805C9F">
        <w:t>**</w:t>
      </w:r>
      <w:r w:rsidRPr="00805C9F">
        <w:rPr>
          <w:i/>
        </w:rPr>
        <w:t>. В дни гемодиализа препарат следует принимать после выполнения процедуры.</w:t>
      </w:r>
    </w:p>
    <w:p w14:paraId="4C2B8293" w14:textId="55967F40" w:rsidR="00023729" w:rsidRPr="00805C9F" w:rsidRDefault="00023729" w:rsidP="00092917">
      <w:pPr>
        <w:pStyle w:val="a4"/>
        <w:spacing w:before="0" w:beforeAutospacing="0" w:after="0" w:afterAutospacing="0" w:line="360" w:lineRule="auto"/>
        <w:ind w:firstLine="709"/>
        <w:contextualSpacing/>
        <w:jc w:val="both"/>
        <w:rPr>
          <w:i/>
        </w:rPr>
      </w:pPr>
      <w:r w:rsidRPr="00805C9F">
        <w:rPr>
          <w:i/>
        </w:rPr>
        <w:t>Применение помалидомида</w:t>
      </w:r>
      <w:r w:rsidR="006C0012" w:rsidRPr="00805C9F">
        <w:t>**</w:t>
      </w:r>
      <w:r w:rsidRPr="00805C9F">
        <w:rPr>
          <w:i/>
        </w:rPr>
        <w:t xml:space="preserve"> требует профилактики тромботических осложнений. При наличии хотя бы одного фактора риска развития венозных тромбоэмболических осложнений рекомендуется антикоагулянтная терапия низкомолекулярными гепаринами.</w:t>
      </w:r>
    </w:p>
    <w:p w14:paraId="3C3D23EF" w14:textId="099C8BB3" w:rsidR="00241DE1" w:rsidRPr="00805C9F" w:rsidRDefault="00023729" w:rsidP="00092917">
      <w:pPr>
        <w:pStyle w:val="a4"/>
        <w:spacing w:before="0" w:beforeAutospacing="0" w:after="0" w:afterAutospacing="0" w:line="360" w:lineRule="auto"/>
        <w:ind w:firstLine="709"/>
        <w:contextualSpacing/>
        <w:jc w:val="both"/>
        <w:rPr>
          <w:i/>
        </w:rPr>
      </w:pPr>
      <w:r w:rsidRPr="00805C9F">
        <w:rPr>
          <w:i/>
        </w:rPr>
        <w:t>Терапию помалидомидом</w:t>
      </w:r>
      <w:r w:rsidR="006C0012" w:rsidRPr="00805C9F">
        <w:t>**</w:t>
      </w:r>
      <w:r w:rsidRPr="00805C9F">
        <w:rPr>
          <w:i/>
        </w:rPr>
        <w:t xml:space="preserve"> в сочетании с низкими дозами дексаметазона</w:t>
      </w:r>
      <w:r w:rsidR="00B15365" w:rsidRPr="00805C9F">
        <w:rPr>
          <w:i/>
        </w:rPr>
        <w:t>**</w:t>
      </w:r>
      <w:r w:rsidRPr="00805C9F">
        <w:rPr>
          <w:i/>
        </w:rPr>
        <w:t xml:space="preserve"> рекомендуется проводить до прогрессирования заболевания. При достижении плато </w:t>
      </w:r>
      <w:r w:rsidRPr="00805C9F">
        <w:rPr>
          <w:i/>
        </w:rPr>
        <w:lastRenderedPageBreak/>
        <w:t>ответа следует рассмотреть возможность снижения дозы дексаметазона</w:t>
      </w:r>
      <w:r w:rsidR="00B15365" w:rsidRPr="00805C9F">
        <w:rPr>
          <w:i/>
        </w:rPr>
        <w:t>**</w:t>
      </w:r>
      <w:r w:rsidRPr="00805C9F">
        <w:rPr>
          <w:i/>
        </w:rPr>
        <w:t xml:space="preserve"> для улучшения переносимости длительного лечения.</w:t>
      </w:r>
    </w:p>
    <w:p w14:paraId="10985C32" w14:textId="12444343" w:rsidR="00023729" w:rsidRPr="00805C9F" w:rsidRDefault="00023729" w:rsidP="00092917">
      <w:pPr>
        <w:pStyle w:val="a6"/>
        <w:numPr>
          <w:ilvl w:val="0"/>
          <w:numId w:val="8"/>
        </w:numPr>
        <w:tabs>
          <w:tab w:val="clear" w:pos="348"/>
          <w:tab w:val="num" w:pos="709"/>
        </w:tabs>
        <w:spacing w:before="0" w:after="0"/>
        <w:ind w:left="0" w:firstLine="0"/>
        <w:rPr>
          <w:szCs w:val="24"/>
        </w:rPr>
      </w:pPr>
      <w:r w:rsidRPr="00805C9F">
        <w:rPr>
          <w:szCs w:val="24"/>
        </w:rPr>
        <w:t xml:space="preserve">Пациентам с </w:t>
      </w:r>
      <w:r w:rsidR="00B15365" w:rsidRPr="00805C9F">
        <w:rPr>
          <w:szCs w:val="24"/>
        </w:rPr>
        <w:t>рецидивом ММ</w:t>
      </w:r>
      <w:r w:rsidRPr="00805C9F">
        <w:rPr>
          <w:szCs w:val="24"/>
        </w:rPr>
        <w:t>, которые ран</w:t>
      </w:r>
      <w:r w:rsidR="00C82BD2" w:rsidRPr="00805C9F">
        <w:rPr>
          <w:szCs w:val="24"/>
        </w:rPr>
        <w:t>ее</w:t>
      </w:r>
      <w:r w:rsidRPr="00805C9F">
        <w:rPr>
          <w:szCs w:val="24"/>
        </w:rPr>
        <w:t xml:space="preserve"> получали терапию</w:t>
      </w:r>
      <w:r w:rsidR="00610FE7" w:rsidRPr="00805C9F">
        <w:rPr>
          <w:szCs w:val="24"/>
        </w:rPr>
        <w:t xml:space="preserve"> ингибиторами</w:t>
      </w:r>
      <w:r w:rsidRPr="00805C9F">
        <w:rPr>
          <w:szCs w:val="24"/>
        </w:rPr>
        <w:t xml:space="preserve"> проте</w:t>
      </w:r>
      <w:r w:rsidR="000C2F12" w:rsidRPr="00805C9F">
        <w:rPr>
          <w:szCs w:val="24"/>
        </w:rPr>
        <w:t>а</w:t>
      </w:r>
      <w:r w:rsidRPr="00805C9F">
        <w:rPr>
          <w:szCs w:val="24"/>
        </w:rPr>
        <w:t>сом и леналидомид</w:t>
      </w:r>
      <w:r w:rsidR="00610FE7" w:rsidRPr="00805C9F">
        <w:rPr>
          <w:szCs w:val="24"/>
        </w:rPr>
        <w:t>ом</w:t>
      </w:r>
      <w:r w:rsidR="00B15365" w:rsidRPr="00805C9F">
        <w:rPr>
          <w:szCs w:val="24"/>
        </w:rPr>
        <w:t>**</w:t>
      </w:r>
      <w:r w:rsidRPr="00805C9F">
        <w:rPr>
          <w:szCs w:val="24"/>
        </w:rPr>
        <w:t xml:space="preserve"> и у которых наблюдалось прогрессирование заболевания на фоне предшествующей терапии, в качестве</w:t>
      </w:r>
      <w:r w:rsidR="00277FD3" w:rsidRPr="00805C9F">
        <w:rPr>
          <w:szCs w:val="24"/>
        </w:rPr>
        <w:t xml:space="preserve"> одной из возможных опций</w:t>
      </w:r>
      <w:r w:rsidR="00286688" w:rsidRPr="00805C9F">
        <w:rPr>
          <w:szCs w:val="24"/>
        </w:rPr>
        <w:t xml:space="preserve"> </w:t>
      </w:r>
      <w:r w:rsidR="00277FD3" w:rsidRPr="00805C9F">
        <w:rPr>
          <w:b/>
          <w:szCs w:val="24"/>
        </w:rPr>
        <w:t>рекомендуется</w:t>
      </w:r>
      <w:r w:rsidR="00286688" w:rsidRPr="00805C9F">
        <w:rPr>
          <w:b/>
          <w:szCs w:val="24"/>
        </w:rPr>
        <w:t xml:space="preserve"> </w:t>
      </w:r>
      <w:r w:rsidRPr="00805C9F">
        <w:rPr>
          <w:szCs w:val="24"/>
        </w:rPr>
        <w:t>монотерапия</w:t>
      </w:r>
      <w:r w:rsidR="009D3B20" w:rsidRPr="00805C9F">
        <w:rPr>
          <w:szCs w:val="24"/>
        </w:rPr>
        <w:t xml:space="preserve"> </w:t>
      </w:r>
      <w:r w:rsidRPr="00805C9F">
        <w:rPr>
          <w:szCs w:val="24"/>
        </w:rPr>
        <w:t xml:space="preserve">даратумумабом** </w:t>
      </w:r>
      <w:r w:rsidR="00032CFB" w:rsidRPr="00805C9F">
        <w:rPr>
          <w:szCs w:val="24"/>
        </w:rPr>
        <w:t xml:space="preserve">(описание режимов – см. приложение </w:t>
      </w:r>
      <w:r w:rsidR="00C812D6" w:rsidRPr="00805C9F">
        <w:rPr>
          <w:szCs w:val="24"/>
        </w:rPr>
        <w:t>А3.1</w:t>
      </w:r>
      <w:r w:rsidR="008B576F" w:rsidRPr="00805C9F">
        <w:rPr>
          <w:szCs w:val="24"/>
        </w:rPr>
        <w:t>.</w:t>
      </w:r>
      <w:r w:rsidR="00032CFB" w:rsidRPr="00805C9F">
        <w:rPr>
          <w:szCs w:val="24"/>
        </w:rPr>
        <w:t>)</w:t>
      </w:r>
      <w:r w:rsidR="00286688" w:rsidRPr="00805C9F">
        <w:rPr>
          <w:szCs w:val="24"/>
        </w:rPr>
        <w:t xml:space="preserve"> </w:t>
      </w:r>
      <w:r w:rsidR="00A96FB6" w:rsidRPr="00805C9F">
        <w:rPr>
          <w:szCs w:val="24"/>
        </w:rPr>
        <w:fldChar w:fldCharType="begin" w:fldLock="1"/>
      </w:r>
      <w:r w:rsidR="00A14090">
        <w:rPr>
          <w:szCs w:val="24"/>
        </w:rPr>
        <w:instrText>ADDIN CSL_CITATION {"citationItems":[{"id":"ITEM-1","itemData":{"DOI":"10.1056/NEJMoa1506348","ISSN":"1533-4406","PMID":"26308596","abstract":"BACKGROUND Multiple myeloma cells uniformly overexpress CD38. We studied daratumumab, a CD38-targeting, human IgG1κ monoclonal antibody, in a phase 1-2 trial involving patients with relapsed myeloma or relapsed myeloma that was refractory to two or more prior lines of therapy. METHODS In part 1, the dose-escalation phase, we administered daratumumab at doses of 0.005 to 24 mg per kilogram of body weight. In part 2, the dose-expansion phase, 30 patients received 8 mg per kilogram of daratumumab and 42 received 16 mg per kilogram, administered once weekly (8 doses), twice monthly (8 doses), and monthly for up to 24 months. End points included safety, efficacy, and pharmacokinetics. RESULTS No maximum tolerated dose was identified in part 1. In part 2, the median time since diagnosis was 5.7 years. Patients had received a median of four prior treatments; 79% of the patients had disease that was refractory to the last therapy received (64% had disease refractory to proteasome inhibitors and immunomodulatory drugs and 64% had disease refractory to bortezomib and lenalidomide), and 76% had received autologous stem-cell transplants. Infusion-related reactions in part 2 were mild (71% of patients had an event of any grade, and 1% had an event of grade 3), with no dose-dependent adverse events. The most common adverse events of grade 3 or 4 (in ≥ 5% of patients) were pneumonia and thrombocytopenia. The overall response rate was 36% in the cohort that received 16 mg per kilogram (15 patients had a partial response or better, including 2 with a complete response and 2 with a very good partial response) and 10% in the cohort that received 8 mg per kilogram (3 had a partial response). In the cohort that received 16 mg per kilogram, the median progression-free survival was 5.6 months (95% confidence interval [CI], 4.2 to 8.1), and 65% (95% CI, 28 to 86) of the patients who had a response did not have progression at 12 months. CONCLUSIONS Daratumumab monotherapy had a favorable safety profile and encouraging efficacy in patients with heavily pretreated and refractory myeloma. (Funded by Janssen Research and Development and Genmab; ClinicalTrials.gov number, NCT00574288.).","author":[{"dropping-particle":"","family":"Lokhorst","given":"Henk M","non-dropping-particle":"","parse-names":false,"suffix":""},{"dropping-particle":"","family":"Plesner","given":"Torben","non-dropping-particle":"","parse-names":false,"suffix":""},{"dropping-particle":"","family":"Laubach","given":"Jacob P","non-dropping-particle":"","parse-names":false,"suffix":""},{"dropping-particle":"","family":"Nahi","given":"Hareth","non-dropping-particle":"","parse-names":false,"suffix":""},{"dropping-particle":"","family":"Gimsing","given":"Peter","non-dropping-particle":"","parse-names":false,"suffix":""},{"dropping-particle":"","family":"Hansson","given":"Markus","non-dropping-particle":"","parse-names":false,"suffix":""},{"dropping-particle":"","family":"Minnema","given":"Monique C","non-dropping-particle":"","parse-names":false,"suffix":""},{"dropping-particle":"","family":"Lassen","given":"Ulrik","non-dropping-particle":"","parse-names":false,"suffix":""},{"dropping-particle":"","family":"Krejcik","given":"Jakub","non-dropping-particle":"","parse-names":false,"suffix":""},{"dropping-particle":"","family":"Palumbo","given":"Antonio","non-dropping-particle":"","parse-names":false,"suffix":""},{"dropping-particle":"","family":"Donk","given":"Niels W C J","non-dropping-particle":"van de","parse-names":false,"suffix":""},{"dropping-particle":"","family":"Ahmadi","given":"Tahamtan","non-dropping-particle":"","parse-names":false,"suffix":""},{"dropping-particle":"","family":"Khan","given":"Imran","non-dropping-particle":"","parse-names":false,"suffix":""},{"dropping-particle":"","family":"Uhlar","given":"Clarissa M","non-dropping-particle":"","parse-names":false,"suffix":""},{"dropping-particle":"","family":"Wang","given":"Jianping","non-dropping-particle":"","parse-names":false,"suffix":""},{"dropping-particle":"","family":"Sasser","given":"A Kate","non-dropping-particle":"","parse-names":false,"suffix":""},{"dropping-particle":"","family":"Losic","given":"Nedjad","non-dropping-particle":"","parse-names":false,"suffix":""},{"dropping-particle":"","family":"Lisby","given":"Steen","non-dropping-particle":"","parse-names":false,"suffix":""},{"dropping-particle":"","family":"Basse","given":"Linda","non-dropping-particle":"","parse-names":false,"suffix":""},{"dropping-particle":"","family":"Brun","given":"Nikolai","non-dropping-particle":"","parse-names":false,"suffix":""},{"dropping-particle":"","family":"Richardson","given":"Paul G","non-dropping-particle":"","parse-names":false,"suffix":""}],"container-title":"The New England journal of medicine","id":"ITEM-1","issue":"13","issued":{"date-parts":[["2015","9","24"]]},"page":"1207-19","title":"Targeting CD38 with Daratumumab Monotherapy in Multiple Myeloma.","type":"article-journal","volume":"373"},"uris":["http://www.mendeley.com/documents/?uuid=a85ca09c-7df4-31f2-b664-6c5d1d05c57c"]},{"id":"ITEM-2","itemData":{"DOI":"10.1016/S0140-6736(15)01120-4","ISSN":"1474547X","abstract":"Background New treatment options are needed for patients with multiple myeloma that is refractory to proteasome inhibitors and immunomodulatory drugs. We assessed daratumumab, a novel CD38-targeted monoclonal antibody, in patients with refractory multiple myeloma. Methods In this open-label, multicentre, phase 2 trial done in Canada, Spain, and the USA, patients (age ≥18 years) with multiple myeloma who were previously treated with at least three lines of therapy (including proteasome inhibitors and immunomodulatory drugs), or were refractory to both proteasome inhibitors and immunomodulatory drugs, were randomly allocated in a 1:1 ratio to receive intravenous daratumumab 8 mg/kg or 16 mg/kg in part 1 stage 1 of the study, to decide the dose for further assessment in part 2. Patients received 8 mg/kg every 4 weeks, or 16 mg/kg per week for 8 weeks (cycles 1 and 2), then every 2 weeks for 16 weeks (cycles 3-6), and then every 4 weeks thereafter (cycle 7 and higher). The allocation schedule was computer-generated and randomisation, with permuted blocks, was done centrally with an interactive web response system. In part 1 stage 2 and part 2, patients received 16 mg/kg dosed as in part 1 stage 1. The primary endpoint was overall response rate (partial response [PR] + very good PR + complete response [CR] + stringent CR). All patients who received at least one dose of daratumumab were included in the analysis. The trial is registered with ClinicalTrials.gov, number NCT01985126. Findings The study is ongoing. In part 1 stage 1 of the study, 18 patients were randomly allocated to the 8 mg/kg group and 16 to the 16 mg/kg group. Findings are reported for the 106 patients who received daratumumab 16 mg/kg in parts 1 and 2. Patients received a median of five previous lines of therapy (range 2-14). 85 (80%) patients had previously received autologous stem cell transplantation, 101 (95%) were refractory to the most recent proteasome inhibitors and immunomodulatory drugs used, and 103 (97%) were refractory to the last line of therapy. Overall responses were noted in 31 patients (29·2%, 95% CI 20·8-38·9) - three (2·8%, 0·6-8·0) had a stringent CR, ten (9·4%, 4·6-16·7) had a very good PR, and 18 (17·0%, 10·4-25·5) had a PR. The median time to first response was 1·0 month (range 0·9-5·6). Median duration of response was 7·4 months (95% CI 5·5-not estimable) and progression-free survival was 3·7 months (95% CI 2·8-4·6). The 12-month overall survival was 64·8% (95% CI 51…","author":[{"dropping-particle":"","family":"Lonial","given":"Sagar","non-dropping-particle":"","parse-names":false,"suffix":""},{"dropping-particle":"","family":"Weiss","given":"Brendan M.","non-dropping-particle":"","parse-names":false,"suffix":""},{"dropping-particle":"","family":"Usmani","given":"Saad Z.","non-dropping-particle":"","parse-names":false,"suffix":""},{"dropping-particle":"","family":"Singhal","given":"Seema","non-dropping-particle":"","parse-names":false,"suffix":""},{"dropping-particle":"","family":"Chari","given":"Ajai","non-dropping-particle":"","parse-names":false,"suffix":""},{"dropping-particle":"","family":"Bahlis","given":"Nizar J.","non-dropping-particle":"","parse-names":false,"suffix":""},{"dropping-particle":"","family":"Belch","given":"Andrew","non-dropping-particle":"","parse-names":false,"suffix":""},{"dropping-particle":"","family":"Krishnan","given":"Amrita","non-dropping-particle":"","parse-names":false,"suffix":""},{"dropping-particle":"","family":"Vescio","given":"Robert A.","non-dropping-particle":"","parse-names":false,"suffix":""},{"dropping-particle":"","family":"Mateos","given":"Maria Victoria","non-dropping-particle":"","parse-names":false,"suffix":""},{"dropping-particle":"","family":"Mazumder","given":"Amitabha","non-dropping-particle":"","parse-names":false,"suffix":""},{"dropping-particle":"","family":"Orlowski","given":"Robert Z.","non-dropping-particle":"","parse-names":false,"suffix":""},{"dropping-particle":"","family":"Sutherland","given":"Heather J.","non-dropping-particle":"","parse-names":false,"suffix":""},{"dropping-particle":"","family":"Bladé","given":"Joan","non-dropping-particle":"","parse-names":false,"suffix":""},{"dropping-particle":"","family":"Scott","given":"Emma C.","non-dropping-particle":"","parse-names":false,"suffix":""},{"dropping-particle":"","family":"Oriol","given":"Albert","non-dropping-particle":"","parse-names":false,"suffix":""},{"dropping-particle":"","family":"Berdeja","given":"Jesus","non-dropping-particle":"","parse-names":false,"suffix":""},{"dropping-particle":"","family":"Gharibo","given":"Mecide","non-dropping-particle":"","parse-names":false,"suffix":""},{"dropping-particle":"","family":"Stevens","given":"Don A.","non-dropping-particle":"","parse-names":false,"suffix":""},{"dropping-particle":"","family":"Leblanc","given":"Richard","non-dropping-particle":"","parse-names":false,"suffix":""},{"dropping-particle":"","family":"Sebag","given":"Michael","non-dropping-particle":"","parse-names":false,"suffix":""},{"dropping-particle":"","family":"Callander","given":"Natalie","non-dropping-particle":"","parse-names":false,"suffix":""},{"dropping-particle":"","family":"Jakubowiak","given":"Andrzej","non-dropping-particle":"","parse-names":false,"suffix":""},{"dropping-particle":"","family":"White","given":"Darrell","non-dropping-particle":"","parse-names":false,"suffix":""},{"dropping-particle":"","family":"La Rubia","given":"Javier","non-dropping-particle":"De","parse-names":false,"suffix":""},{"dropping-particle":"","family":"Richardson","given":"Paul G.","non-dropping-particle":"","parse-names":false,"suffix":""},{"dropping-particle":"","family":"Lisby","given":"Steen","non-dropping-particle":"","parse-names":false,"suffix":""},{"dropping-particle":"","family":"Feng","given":"Huaibao","non-dropping-particle":"","parse-names":false,"suffix":""},{"dropping-particle":"","family":"Uhlar","given":"Clarissa M.","non-dropping-particle":"","parse-names":false,"suffix":""},{"dropping-particle":"","family":"Khan","given":"Imran","non-dropping-particle":"","parse-names":false,"suffix":""},{"dropping-particle":"","family":"Ahmadi","given":"Tahamtan","non-dropping-particle":"","parse-names":false,"suffix":""},{"dropping-particle":"","family":"Voorhees","given":"Peter M.","non-dropping-particle":"","parse-names":false,"suffix":""}],"container-title":"The Lancet","id":"ITEM-2","issue":"10027","issued":{"date-parts":[["2016","4","9"]]},"page":"1551-1560","publisher":"Lancet Publishing Group","title":"Daratumumab monotherapy in patients with treatment-refractory multiple myeloma (SIRIUS): An open-label, randomised, phase 2 trial","type":"article-journal","volume":"387"},"uris":["http://www.mendeley.com/documents/?uuid=5e02dc22-bbb8-33a8-9133-7012835ce425"]}],"mendeley":{"formattedCitation":"[71,72]","plainTextFormattedCitation":"[71,72]","previouslyFormattedCitation":"[71,72]"},"properties":{"noteIndex":0},"schema":"https://github.com/citation-style-language/schema/raw/master/csl-citation.json"}</w:instrText>
      </w:r>
      <w:r w:rsidR="00A96FB6" w:rsidRPr="00805C9F">
        <w:rPr>
          <w:szCs w:val="24"/>
        </w:rPr>
        <w:fldChar w:fldCharType="separate"/>
      </w:r>
      <w:r w:rsidR="00500F37" w:rsidRPr="00500F37">
        <w:rPr>
          <w:noProof/>
          <w:szCs w:val="24"/>
        </w:rPr>
        <w:t>[71,72]</w:t>
      </w:r>
      <w:r w:rsidR="00A96FB6" w:rsidRPr="00805C9F">
        <w:rPr>
          <w:szCs w:val="24"/>
        </w:rPr>
        <w:fldChar w:fldCharType="end"/>
      </w:r>
      <w:r w:rsidR="00B15365" w:rsidRPr="00805C9F">
        <w:rPr>
          <w:szCs w:val="24"/>
        </w:rPr>
        <w:t>.</w:t>
      </w:r>
    </w:p>
    <w:p w14:paraId="4015B1DF" w14:textId="2F364B74" w:rsidR="00023729" w:rsidRPr="00805C9F" w:rsidRDefault="00023729" w:rsidP="00092917">
      <w:pPr>
        <w:pStyle w:val="a6"/>
        <w:spacing w:before="0" w:after="0"/>
        <w:ind w:left="0"/>
        <w:rPr>
          <w:b/>
          <w:szCs w:val="24"/>
        </w:rPr>
      </w:pPr>
      <w:r w:rsidRPr="00805C9F">
        <w:rPr>
          <w:b/>
          <w:szCs w:val="24"/>
        </w:rPr>
        <w:t xml:space="preserve">Уровень убедительности рекомендаций </w:t>
      </w:r>
      <w:r w:rsidR="00616C15" w:rsidRPr="00805C9F">
        <w:rPr>
          <w:b/>
          <w:szCs w:val="24"/>
        </w:rPr>
        <w:t xml:space="preserve">− </w:t>
      </w:r>
      <w:r w:rsidR="00B37E1F" w:rsidRPr="00805C9F">
        <w:rPr>
          <w:b/>
          <w:szCs w:val="24"/>
        </w:rPr>
        <w:t>В</w:t>
      </w:r>
      <w:r w:rsidR="005B2EF9" w:rsidRPr="00805C9F">
        <w:rPr>
          <w:b/>
          <w:szCs w:val="24"/>
        </w:rPr>
        <w:t xml:space="preserve"> </w:t>
      </w:r>
      <w:r w:rsidRPr="00805C9F">
        <w:rPr>
          <w:b/>
          <w:szCs w:val="24"/>
        </w:rPr>
        <w:t>(уровень достоверности доказательств</w:t>
      </w:r>
      <w:r w:rsidR="00286688" w:rsidRPr="00805C9F">
        <w:rPr>
          <w:b/>
          <w:szCs w:val="24"/>
        </w:rPr>
        <w:t xml:space="preserve"> </w:t>
      </w:r>
      <w:r w:rsidR="00616C15" w:rsidRPr="00805C9F">
        <w:rPr>
          <w:b/>
          <w:szCs w:val="24"/>
        </w:rPr>
        <w:t xml:space="preserve">− </w:t>
      </w:r>
      <w:r w:rsidR="00B37E1F" w:rsidRPr="00805C9F">
        <w:rPr>
          <w:b/>
          <w:szCs w:val="24"/>
        </w:rPr>
        <w:t>2</w:t>
      </w:r>
      <w:r w:rsidRPr="00805C9F">
        <w:rPr>
          <w:b/>
          <w:szCs w:val="24"/>
        </w:rPr>
        <w:t>)</w:t>
      </w:r>
    </w:p>
    <w:p w14:paraId="1B558B56" w14:textId="77777777" w:rsidR="00023729" w:rsidRPr="00805C9F" w:rsidRDefault="00023729" w:rsidP="00092917">
      <w:pPr>
        <w:pStyle w:val="a4"/>
        <w:spacing w:before="0" w:beforeAutospacing="0" w:after="0" w:afterAutospacing="0" w:line="360" w:lineRule="auto"/>
        <w:contextualSpacing/>
        <w:jc w:val="both"/>
        <w:rPr>
          <w:i/>
        </w:rPr>
      </w:pPr>
      <w:r w:rsidRPr="00805C9F">
        <w:rPr>
          <w:b/>
        </w:rPr>
        <w:t xml:space="preserve">Комментарий: </w:t>
      </w:r>
      <w:r w:rsidR="00616C15" w:rsidRPr="00805C9F">
        <w:rPr>
          <w:i/>
        </w:rPr>
        <w:t>э</w:t>
      </w:r>
      <w:r w:rsidR="00BC4092" w:rsidRPr="00805C9F">
        <w:rPr>
          <w:i/>
        </w:rPr>
        <w:t>ффективность монотерапии даратумумабом</w:t>
      </w:r>
      <w:r w:rsidR="00B15365" w:rsidRPr="00805C9F">
        <w:rPr>
          <w:i/>
        </w:rPr>
        <w:t>**</w:t>
      </w:r>
      <w:r w:rsidR="00BC4092" w:rsidRPr="00805C9F">
        <w:rPr>
          <w:i/>
        </w:rPr>
        <w:t xml:space="preserve"> была показана в двух клинических исследованиях SIRIUS и GEN501. По объединенным данным этих исследований</w:t>
      </w:r>
      <w:r w:rsidR="00616C15" w:rsidRPr="00805C9F">
        <w:rPr>
          <w:i/>
        </w:rPr>
        <w:t>,</w:t>
      </w:r>
      <w:r w:rsidR="00BC4092" w:rsidRPr="00805C9F">
        <w:rPr>
          <w:i/>
        </w:rPr>
        <w:t xml:space="preserve"> общая эффективность лечения даратумумабом</w:t>
      </w:r>
      <w:r w:rsidR="00B15365" w:rsidRPr="00805C9F">
        <w:rPr>
          <w:i/>
        </w:rPr>
        <w:t>**</w:t>
      </w:r>
      <w:r w:rsidR="00BC4092" w:rsidRPr="00805C9F">
        <w:rPr>
          <w:i/>
        </w:rPr>
        <w:t xml:space="preserve"> у </w:t>
      </w:r>
      <w:r w:rsidR="00FB03BB" w:rsidRPr="00805C9F">
        <w:rPr>
          <w:i/>
        </w:rPr>
        <w:t>пациентов</w:t>
      </w:r>
      <w:r w:rsidR="00BC4092" w:rsidRPr="00805C9F">
        <w:rPr>
          <w:i/>
        </w:rPr>
        <w:t xml:space="preserve"> с рецидивирующей и рефрактерной к ингибиторам протеасом и иммуномодулирующим препаратам ММ, получивших массивную терапию, составила 31</w:t>
      </w:r>
      <w:r w:rsidR="00522C8E" w:rsidRPr="00805C9F">
        <w:rPr>
          <w:i/>
        </w:rPr>
        <w:t> </w:t>
      </w:r>
      <w:r w:rsidR="00BC4092" w:rsidRPr="00805C9F">
        <w:rPr>
          <w:i/>
        </w:rPr>
        <w:t>%, медиана длительности сохранения ответа на терапию – 7,5 мес, медиана ОВ – 20,1 мес. При достижении стабилизации заболевания или минимального клинического ответа отмечено повышение показателя ОВ до 18</w:t>
      </w:r>
      <w:r w:rsidR="00522C8E" w:rsidRPr="00805C9F">
        <w:rPr>
          <w:i/>
        </w:rPr>
        <w:t> </w:t>
      </w:r>
      <w:r w:rsidR="00BC4092" w:rsidRPr="00805C9F">
        <w:rPr>
          <w:i/>
        </w:rPr>
        <w:t>мес; 36,5</w:t>
      </w:r>
      <w:r w:rsidR="00522C8E" w:rsidRPr="00805C9F">
        <w:rPr>
          <w:i/>
        </w:rPr>
        <w:t> </w:t>
      </w:r>
      <w:r w:rsidR="00BC4092" w:rsidRPr="00805C9F">
        <w:rPr>
          <w:i/>
        </w:rPr>
        <w:t>% пациентов оставались живы в течение 3 лет после начала терапии даратумумабом</w:t>
      </w:r>
      <w:r w:rsidR="00B15365" w:rsidRPr="00805C9F">
        <w:rPr>
          <w:i/>
        </w:rPr>
        <w:t>**</w:t>
      </w:r>
      <w:r w:rsidR="00BC4092" w:rsidRPr="00805C9F">
        <w:rPr>
          <w:i/>
        </w:rPr>
        <w:t>. Переносимость даратумумаба</w:t>
      </w:r>
      <w:r w:rsidR="00B15365" w:rsidRPr="00805C9F">
        <w:rPr>
          <w:i/>
        </w:rPr>
        <w:t>**</w:t>
      </w:r>
      <w:r w:rsidR="00BC4092" w:rsidRPr="00805C9F">
        <w:rPr>
          <w:i/>
        </w:rPr>
        <w:t xml:space="preserve"> была удовлетворительной. Среди нежелательных явлений 3</w:t>
      </w:r>
      <w:r w:rsidR="00522C8E" w:rsidRPr="00805C9F">
        <w:rPr>
          <w:i/>
        </w:rPr>
        <w:t>-й</w:t>
      </w:r>
      <w:r w:rsidR="00BC4092" w:rsidRPr="00805C9F">
        <w:rPr>
          <w:i/>
        </w:rPr>
        <w:t xml:space="preserve"> степени и выше наиболее частыми были анемия (17,6</w:t>
      </w:r>
      <w:r w:rsidR="002E6956" w:rsidRPr="00805C9F">
        <w:rPr>
          <w:i/>
        </w:rPr>
        <w:t> </w:t>
      </w:r>
      <w:r w:rsidR="00BC4092" w:rsidRPr="00805C9F">
        <w:rPr>
          <w:i/>
        </w:rPr>
        <w:t>%), тромбоцитопения (14,2</w:t>
      </w:r>
      <w:r w:rsidR="002E6956" w:rsidRPr="00805C9F">
        <w:rPr>
          <w:i/>
        </w:rPr>
        <w:t> </w:t>
      </w:r>
      <w:r w:rsidR="00BC4092" w:rsidRPr="00805C9F">
        <w:rPr>
          <w:i/>
        </w:rPr>
        <w:t>%) и нейтропения (10,1</w:t>
      </w:r>
      <w:r w:rsidR="002E6956" w:rsidRPr="00805C9F">
        <w:rPr>
          <w:i/>
        </w:rPr>
        <w:t> </w:t>
      </w:r>
      <w:r w:rsidR="00BC4092" w:rsidRPr="00805C9F">
        <w:rPr>
          <w:i/>
        </w:rPr>
        <w:t>%). Инфузионные реакции развились у 48</w:t>
      </w:r>
      <w:r w:rsidR="002E6956" w:rsidRPr="00805C9F">
        <w:rPr>
          <w:i/>
        </w:rPr>
        <w:t> </w:t>
      </w:r>
      <w:r w:rsidR="00BC4092" w:rsidRPr="00805C9F">
        <w:rPr>
          <w:i/>
        </w:rPr>
        <w:t xml:space="preserve">% </w:t>
      </w:r>
      <w:r w:rsidR="00FB03BB" w:rsidRPr="00805C9F">
        <w:rPr>
          <w:i/>
        </w:rPr>
        <w:t>пациентов</w:t>
      </w:r>
      <w:r w:rsidR="00BC4092" w:rsidRPr="00805C9F">
        <w:rPr>
          <w:i/>
        </w:rPr>
        <w:t>, в большинстве случаев 1</w:t>
      </w:r>
      <w:r w:rsidR="002E6956" w:rsidRPr="00805C9F">
        <w:rPr>
          <w:i/>
        </w:rPr>
        <w:t>−</w:t>
      </w:r>
      <w:r w:rsidR="00BC4092" w:rsidRPr="00805C9F">
        <w:rPr>
          <w:i/>
        </w:rPr>
        <w:t>2</w:t>
      </w:r>
      <w:r w:rsidR="002E6956" w:rsidRPr="00805C9F">
        <w:rPr>
          <w:i/>
        </w:rPr>
        <w:t>-й</w:t>
      </w:r>
      <w:r w:rsidR="00BC4092" w:rsidRPr="00805C9F">
        <w:rPr>
          <w:i/>
        </w:rPr>
        <w:t xml:space="preserve"> степени. С целью снижения риска возникновения инфузионных реакций все пациенты должны получать премедикацию примерно за </w:t>
      </w:r>
      <w:r w:rsidR="002E6956" w:rsidRPr="00805C9F">
        <w:rPr>
          <w:i/>
        </w:rPr>
        <w:t xml:space="preserve">1 </w:t>
      </w:r>
      <w:r w:rsidR="00BC4092" w:rsidRPr="00805C9F">
        <w:rPr>
          <w:i/>
        </w:rPr>
        <w:t>ч</w:t>
      </w:r>
      <w:r w:rsidR="002E6956" w:rsidRPr="00805C9F">
        <w:rPr>
          <w:i/>
        </w:rPr>
        <w:t xml:space="preserve"> </w:t>
      </w:r>
      <w:r w:rsidR="00BC4092" w:rsidRPr="00805C9F">
        <w:rPr>
          <w:i/>
        </w:rPr>
        <w:t>до каждой инфузии даратумумаба</w:t>
      </w:r>
      <w:r w:rsidR="00B15365" w:rsidRPr="00805C9F">
        <w:rPr>
          <w:i/>
        </w:rPr>
        <w:t>**</w:t>
      </w:r>
      <w:r w:rsidR="00BC4092" w:rsidRPr="00805C9F">
        <w:rPr>
          <w:i/>
        </w:rPr>
        <w:t>: кортикостероиды (в/в), жаропонижающий препарат (энтерально), антигистаминный препарат (в/в или энтерально).</w:t>
      </w:r>
    </w:p>
    <w:p w14:paraId="3BCF151E" w14:textId="2ED54533" w:rsidR="00EA6A32" w:rsidRPr="00805C9F" w:rsidRDefault="00EA6A32" w:rsidP="00092917">
      <w:pPr>
        <w:pStyle w:val="a6"/>
        <w:numPr>
          <w:ilvl w:val="0"/>
          <w:numId w:val="8"/>
        </w:numPr>
        <w:tabs>
          <w:tab w:val="clear" w:pos="348"/>
          <w:tab w:val="num" w:pos="709"/>
        </w:tabs>
        <w:spacing w:before="0" w:after="0"/>
        <w:ind w:left="0" w:firstLine="0"/>
        <w:rPr>
          <w:szCs w:val="24"/>
        </w:rPr>
      </w:pPr>
      <w:r w:rsidRPr="00805C9F">
        <w:rPr>
          <w:szCs w:val="24"/>
        </w:rPr>
        <w:t>Пациентам с</w:t>
      </w:r>
      <w:r w:rsidR="00B15365" w:rsidRPr="00805C9F">
        <w:rPr>
          <w:szCs w:val="24"/>
        </w:rPr>
        <w:t xml:space="preserve"> рецидивом ММ</w:t>
      </w:r>
      <w:r w:rsidRPr="00805C9F">
        <w:rPr>
          <w:szCs w:val="24"/>
        </w:rPr>
        <w:t>, которые раньше получали терапию инги</w:t>
      </w:r>
      <w:r w:rsidR="00610FE7" w:rsidRPr="00805C9F">
        <w:rPr>
          <w:szCs w:val="24"/>
        </w:rPr>
        <w:t>биторами</w:t>
      </w:r>
      <w:r w:rsidRPr="00805C9F">
        <w:rPr>
          <w:szCs w:val="24"/>
        </w:rPr>
        <w:t xml:space="preserve"> проте</w:t>
      </w:r>
      <w:r w:rsidR="000C2F12" w:rsidRPr="00805C9F">
        <w:rPr>
          <w:szCs w:val="24"/>
        </w:rPr>
        <w:t>а</w:t>
      </w:r>
      <w:r w:rsidRPr="00805C9F">
        <w:rPr>
          <w:szCs w:val="24"/>
        </w:rPr>
        <w:t>сом и леналидомид</w:t>
      </w:r>
      <w:r w:rsidR="00610FE7" w:rsidRPr="00805C9F">
        <w:rPr>
          <w:szCs w:val="24"/>
        </w:rPr>
        <w:t>ом</w:t>
      </w:r>
      <w:r w:rsidR="00B15365" w:rsidRPr="00805C9F">
        <w:rPr>
          <w:szCs w:val="24"/>
        </w:rPr>
        <w:t>**</w:t>
      </w:r>
      <w:r w:rsidRPr="00805C9F">
        <w:rPr>
          <w:szCs w:val="24"/>
        </w:rPr>
        <w:t xml:space="preserve"> и у которых наблюдалось прогрессирование заболевания на фоне предшествующей терапии, в качестве одн</w:t>
      </w:r>
      <w:r w:rsidR="00277FD3" w:rsidRPr="00805C9F">
        <w:rPr>
          <w:szCs w:val="24"/>
        </w:rPr>
        <w:t>ой из возможных опций</w:t>
      </w:r>
      <w:r w:rsidR="000A156C" w:rsidRPr="00805C9F">
        <w:rPr>
          <w:szCs w:val="24"/>
        </w:rPr>
        <w:t xml:space="preserve"> </w:t>
      </w:r>
      <w:r w:rsidR="00277FD3" w:rsidRPr="00805C9F">
        <w:rPr>
          <w:b/>
          <w:szCs w:val="24"/>
        </w:rPr>
        <w:t>рекомендуется</w:t>
      </w:r>
      <w:r w:rsidR="000A156C" w:rsidRPr="00805C9F">
        <w:rPr>
          <w:b/>
          <w:szCs w:val="24"/>
        </w:rPr>
        <w:t xml:space="preserve"> </w:t>
      </w:r>
      <w:r w:rsidRPr="00805C9F">
        <w:rPr>
          <w:szCs w:val="24"/>
        </w:rPr>
        <w:t>монотерапия</w:t>
      </w:r>
      <w:r w:rsidR="009D3B20" w:rsidRPr="00805C9F">
        <w:rPr>
          <w:szCs w:val="24"/>
        </w:rPr>
        <w:t xml:space="preserve"> </w:t>
      </w:r>
      <w:r w:rsidRPr="00805C9F">
        <w:rPr>
          <w:szCs w:val="24"/>
        </w:rPr>
        <w:t xml:space="preserve">карфилзомибом** </w:t>
      </w:r>
      <w:r w:rsidR="00032CFB" w:rsidRPr="00805C9F">
        <w:rPr>
          <w:szCs w:val="24"/>
        </w:rPr>
        <w:t xml:space="preserve">(описание режимов – см. приложение </w:t>
      </w:r>
      <w:r w:rsidR="00C812D6" w:rsidRPr="00805C9F">
        <w:rPr>
          <w:szCs w:val="24"/>
        </w:rPr>
        <w:t>А3.1</w:t>
      </w:r>
      <w:r w:rsidR="007D4DCB" w:rsidRPr="00805C9F">
        <w:rPr>
          <w:szCs w:val="24"/>
        </w:rPr>
        <w:t>.</w:t>
      </w:r>
      <w:r w:rsidR="00032CFB" w:rsidRPr="00805C9F">
        <w:rPr>
          <w:szCs w:val="24"/>
        </w:rPr>
        <w:t>)</w:t>
      </w:r>
      <w:r w:rsidR="00286688" w:rsidRPr="00805C9F">
        <w:rPr>
          <w:szCs w:val="24"/>
        </w:rPr>
        <w:t xml:space="preserve"> </w:t>
      </w:r>
      <w:r w:rsidR="00A96FB6" w:rsidRPr="00805C9F">
        <w:rPr>
          <w:szCs w:val="24"/>
        </w:rPr>
        <w:fldChar w:fldCharType="begin" w:fldLock="1"/>
      </w:r>
      <w:r w:rsidR="00500F37">
        <w:rPr>
          <w:szCs w:val="24"/>
        </w:rPr>
        <w:instrText>ADDIN CSL_CITATION {"citationItems":[{"id":"ITEM-1","itemData":{"DOI":"10.18632/oncotarget.25281","ISSN":"19492553","abstract":"© Shah et al. Objective: Carfilzomib (Carf) is a second-generation proteasome inhibitor approved for patients with relapsed and/or refractory multiple myeloma (RRMM) who failed ≥ 1 prior lines of therapy. We performed a systematic review of Carf literature with meta-analysis to determine the efficacy and safety in RRMM patients. Methods: Based on literature search, we included a total of 14 eligible phase I/ II, phase II and phase III Carf based clinical trials. The cumulative incidence and odds ratios (OR) were calculated with random effect model, using ''R'' software with metaphor package. Results: 2906 evaluable RRMM patients from published clinical trials included. The pooled overall response rate (ORR) was 45% (95% CI: 29-62). The pooled clinical benefit rate (CBR) was 56% (95% CI: 41-71). OR from 3 randomized clinical trials showed that Carf significantly improved ORR and CBR compared to control groups (OR 2.4, P &lt; 0.0001; 2.02, P = 0.0007, respectively). Subgroup analysis showed significantly better ORR (P &lt; 0.0001) and CBR (P &lt; 0.001) with combination regimens compared to monotherapy. Response was significantly higher with high dose of Carf (&gt; 20/27 mg/m2) compared to standard dose (ORR 65% vs. 35%, P = 0.03). Compared to control group, the OR of developing cardiotoxicity (P = 0.002) and hypertension (P &lt; 0.0001) were significantly higher with Carf, while no difference in peripheral neuropathy (P = 0.28). Conclusions: Carf produces significantly better responses with acceptable safety profile in RRMM patients. Combination regimens and higher dose Carf offers better response with no significant extra toxicity. Its efficacy is regardless of cytogenetics or disease stage. Incidences of cardiotoxicity and hypertension seem higher with Carf.","author":[{"dropping-particle":"","family":"Shah","given":"Chintan","non-dropping-particle":"","parse-names":false,"suffix":""},{"dropping-particle":"","family":"Bishnoi","given":"Rohit","non-dropping-particle":"","parse-names":false,"suffix":""},{"dropping-particle":"","family":"Wang","given":"Yu","non-dropping-particle":"","parse-names":false,"suffix":""},{"dropping-particle":"","family":"Zou","given":"Fei","non-dropping-particle":"","parse-names":false,"suffix":""},{"dropping-particle":"","family":"Bejjanki","given":"Harini","non-dropping-particle":"","parse-names":false,"suffix":""},{"dropping-particle":"","family":"Master","given":"Samip","non-dropping-particle":"","parse-names":false,"suffix":""},{"dropping-particle":"","family":"Moreb","given":"Jan S.","non-dropping-particle":"","parse-names":false,"suffix":""}],"container-title":"Oncotarget","id":"ITEM-1","issue":"34","issued":{"date-parts":[["2018","5","1"]]},"page":"23704-23717","publisher":"Impact Journals LLC","title":"Efficacy and safety of carfilzomib in relapsed and/or refractory multiple myeloma: Systematic review and meta-analysis of 14 trials","type":"article-journal","volume":"9"},"uris":["http://www.mendeley.com/documents/?uuid=7eecef4a-18ac-3907-997e-dffa8592d14d"]}],"mendeley":{"formattedCitation":"[65]","plainTextFormattedCitation":"[65]","previouslyFormattedCitation":"[65]"},"properties":{"noteIndex":0},"schema":"https://github.com/citation-style-language/schema/raw/master/csl-citation.json"}</w:instrText>
      </w:r>
      <w:r w:rsidR="00A96FB6" w:rsidRPr="00805C9F">
        <w:rPr>
          <w:szCs w:val="24"/>
        </w:rPr>
        <w:fldChar w:fldCharType="separate"/>
      </w:r>
      <w:r w:rsidR="00E03159" w:rsidRPr="00805C9F">
        <w:rPr>
          <w:noProof/>
          <w:szCs w:val="24"/>
        </w:rPr>
        <w:t>[65]</w:t>
      </w:r>
      <w:r w:rsidR="00A96FB6" w:rsidRPr="00805C9F">
        <w:rPr>
          <w:szCs w:val="24"/>
        </w:rPr>
        <w:fldChar w:fldCharType="end"/>
      </w:r>
      <w:r w:rsidR="00B15365" w:rsidRPr="00805C9F">
        <w:rPr>
          <w:szCs w:val="24"/>
        </w:rPr>
        <w:t>.</w:t>
      </w:r>
    </w:p>
    <w:p w14:paraId="126A068E" w14:textId="77777777" w:rsidR="0085596B" w:rsidRPr="00805C9F" w:rsidRDefault="00EA6A32" w:rsidP="00092917">
      <w:pPr>
        <w:pStyle w:val="a6"/>
        <w:spacing w:before="0" w:after="0"/>
        <w:ind w:left="0"/>
        <w:rPr>
          <w:b/>
          <w:szCs w:val="24"/>
        </w:rPr>
      </w:pPr>
      <w:r w:rsidRPr="00805C9F">
        <w:rPr>
          <w:b/>
          <w:szCs w:val="24"/>
        </w:rPr>
        <w:t xml:space="preserve">Уровень убедительности рекомендаций </w:t>
      </w:r>
      <w:r w:rsidR="007D4DCB" w:rsidRPr="00805C9F">
        <w:rPr>
          <w:b/>
          <w:szCs w:val="24"/>
        </w:rPr>
        <w:t xml:space="preserve">− </w:t>
      </w:r>
      <w:r w:rsidR="00BD6788" w:rsidRPr="00805C9F">
        <w:rPr>
          <w:b/>
          <w:szCs w:val="24"/>
          <w:lang w:val="en-US"/>
        </w:rPr>
        <w:t>A</w:t>
      </w:r>
      <w:r w:rsidR="000A156C" w:rsidRPr="00805C9F">
        <w:rPr>
          <w:b/>
          <w:szCs w:val="24"/>
        </w:rPr>
        <w:t xml:space="preserve"> </w:t>
      </w:r>
      <w:r w:rsidRPr="00805C9F">
        <w:rPr>
          <w:b/>
          <w:szCs w:val="24"/>
        </w:rPr>
        <w:t>(уровень достоверности доказательств</w:t>
      </w:r>
      <w:r w:rsidR="000A156C" w:rsidRPr="00805C9F">
        <w:rPr>
          <w:b/>
          <w:szCs w:val="24"/>
        </w:rPr>
        <w:t xml:space="preserve"> </w:t>
      </w:r>
      <w:r w:rsidR="007D4DCB" w:rsidRPr="00805C9F">
        <w:rPr>
          <w:b/>
          <w:szCs w:val="24"/>
        </w:rPr>
        <w:t xml:space="preserve">− </w:t>
      </w:r>
      <w:r w:rsidR="00BD6788" w:rsidRPr="00805C9F">
        <w:rPr>
          <w:b/>
          <w:szCs w:val="24"/>
        </w:rPr>
        <w:t>2</w:t>
      </w:r>
      <w:r w:rsidRPr="00805C9F">
        <w:rPr>
          <w:b/>
          <w:szCs w:val="24"/>
        </w:rPr>
        <w:t>)</w:t>
      </w:r>
    </w:p>
    <w:p w14:paraId="69BD3151" w14:textId="345043BC" w:rsidR="00836298" w:rsidRPr="00805C9F" w:rsidRDefault="006F294C" w:rsidP="00E56E56">
      <w:pPr>
        <w:pStyle w:val="a6"/>
        <w:numPr>
          <w:ilvl w:val="0"/>
          <w:numId w:val="10"/>
        </w:numPr>
        <w:tabs>
          <w:tab w:val="left" w:pos="709"/>
        </w:tabs>
        <w:ind w:left="0" w:firstLine="0"/>
        <w:rPr>
          <w:b/>
          <w:szCs w:val="24"/>
        </w:rPr>
      </w:pPr>
      <w:r w:rsidRPr="00805C9F">
        <w:rPr>
          <w:szCs w:val="24"/>
        </w:rPr>
        <w:t xml:space="preserve">Пациентам с рецидивом ММ, которые раньше получали терапию ингибиторами протеасом и леналидомидом**, и у которых наблюдалось прогрессирование заболевания на фоне предшествующей терапии, в качестве одной из возможных опций </w:t>
      </w:r>
      <w:r w:rsidRPr="00805C9F">
        <w:rPr>
          <w:b/>
          <w:szCs w:val="24"/>
        </w:rPr>
        <w:t>рекомендуется</w:t>
      </w:r>
      <w:r w:rsidRPr="00805C9F">
        <w:rPr>
          <w:szCs w:val="24"/>
        </w:rPr>
        <w:t xml:space="preserve"> </w:t>
      </w:r>
      <w:r w:rsidRPr="00805C9F">
        <w:rPr>
          <w:szCs w:val="24"/>
        </w:rPr>
        <w:lastRenderedPageBreak/>
        <w:t>терапия с включением в схему лечения элотузумаба</w:t>
      </w:r>
      <w:r w:rsidR="00566ED8" w:rsidRPr="00805C9F">
        <w:rPr>
          <w:szCs w:val="24"/>
        </w:rPr>
        <w:t>**</w:t>
      </w:r>
      <w:r w:rsidRPr="00805C9F">
        <w:rPr>
          <w:szCs w:val="24"/>
        </w:rPr>
        <w:t>, помалидомида</w:t>
      </w:r>
      <w:r w:rsidR="006C0012" w:rsidRPr="00805C9F">
        <w:rPr>
          <w:szCs w:val="24"/>
        </w:rPr>
        <w:t>**</w:t>
      </w:r>
      <w:r w:rsidRPr="00805C9F">
        <w:rPr>
          <w:szCs w:val="24"/>
        </w:rPr>
        <w:t xml:space="preserve"> и дексаметазона** (описание режимов – см. приложение А3.1.) </w:t>
      </w:r>
      <w:r w:rsidR="00836298" w:rsidRPr="00805C9F">
        <w:rPr>
          <w:szCs w:val="24"/>
        </w:rPr>
        <w:fldChar w:fldCharType="begin" w:fldLock="1"/>
      </w:r>
      <w:r w:rsidR="00500F37">
        <w:rPr>
          <w:szCs w:val="24"/>
        </w:rPr>
        <w:instrText>ADDIN CSL_CITATION {"citationItems":[{"id":"ITEM-1","itemData":{"DOI":"10.1056/nejmoa1805762","ISSN":"0028-4793","PMID":"30403938","abstract":"BACKGROUND: The immunostimulatory monoclonal antibody elotuzumab plus lenalidomide and dexamethasone has been shown to be effective in patients with relapsed or refractory multiple myeloma. The immunomodulatory agent pomalidomide plus dexamethasone has been shown to be effective in patients with multiple myeloma that is refractory to lenalidomide and a proteasome inhibitor. METHODS: Patients with multiple myeloma that was refractory or relapsed and refractory to lenalidomide and a proteasome inhibitor were randomly assigned to receive elotuzumab plus pomalidomide and dexamethasone (elotuzumab group) or pomalidomide and dexamethasone alone (control group). The primary end point was investigatorassessed progressionfree survival. RESULTS: A total of 117 patients were randomly assigned to the elotuzumab group (60 patients) or the control group (57 patients). After a minimum followup period of 9.1 months, the median progressionfree survival was 10.3 months in the elotuzumab group and 4.7 months in the control group. The hazard ratio for disease progression or death in the elotuzumab group as compared with the control group was 0.54 (95% confidence interval [CI], 0.34 to 0.86; P=0.008). The overall response rate was 53% in the elotuzumab group as compared with 26% in the control group (odds ratio, 3.25; 95% CI, 1.49 to 7.11). The most common grade 3 or 4 adverse events were neutropenia (13% in the elotuzumab group vs. 27% in the control group), anemia (10% vs. 20%), and hyperglycemia (8% vs. 7%). A total of 65% of the patients in each group had infections. Infusion reactions occurred in 3 patients (5%) in the elotuzumab group. CONCLUSIONS: Among patients with multiple myeloma in whom treatment with lenalidomide and a proteasome inhibitor had failed, the risk of progression or death was significantly lower among those who received elotuzumab plus pomalidomide and dexamethasone than among those who received pomalidomide plus dexamethasone alone.","author":[{"dropping-particle":"","family":"Dimopoulos","given":"Meletios A.","non-dropping-particle":"","parse-names":false,"suffix":""},{"dropping-particle":"","family":"Dytfeld","given":"Dominik","non-dropping-particle":"","parse-names":false,"suffix":""},{"dropping-particle":"","family":"Grosicki","given":"Sebastian","non-dropping-particle":"","parse-names":false,"suffix":""},{"dropping-particle":"","family":"Moreau","given":"Philippe","non-dropping-particle":"","parse-names":false,"suffix":""},{"dropping-particle":"","family":"Takezako","given":"Naoki","non-dropping-particle":"","parse-names":false,"suffix":""},{"dropping-particle":"","family":"Hori","given":"Mitsuo","non-dropping-particle":"","parse-names":false,"suffix":""},{"dropping-particle":"","family":"Leleu","given":"Xavier","non-dropping-particle":"","parse-names":false,"suffix":""},{"dropping-particle":"","family":"LeBlanc","given":"Richard","non-dropping-particle":"","parse-names":false,"suffix":""},{"dropping-particle":"","family":"Suzuki","given":"Kenshi","non-dropping-particle":"","parse-names":false,"suffix":""},{"dropping-particle":"","family":"Raab","given":"Marc S.","non-dropping-particle":"","parse-names":false,"suffix":""},{"dropping-particle":"","family":"Richardson","given":"Paul G.","non-dropping-particle":"","parse-names":false,"suffix":""},{"dropping-particle":"","family":"Popa McKiver","given":"Mihaela","non-dropping-particle":"","parse-names":false,"suffix":""},{"dropping-particle":"","family":"Jou","given":"Ying-Ming","non-dropping-particle":"","parse-names":false,"suffix":""},{"dropping-particle":"","family":"Shelat","given":"Suresh G.","non-dropping-particle":"","parse-names":false,"suffix":""},{"dropping-particle":"","family":"Robbins","given":"Michael","non-dropping-particle":"","parse-names":false,"suffix":""},{"dropping-particle":"","family":"Rafferty","given":"Brian","non-dropping-particle":"","parse-names":false,"suffix":""},{"dropping-particle":"","family":"San-Miguel","given":"Jesús","non-dropping-particle":"","parse-names":false,"suffix":""}],"container-title":"New England Journal of Medicine","id":"ITEM-1","issue":"19","issued":{"date-parts":[["2018","11"]]},"page":"1811-1822","publisher":"New England Journal of Medicine (NEJM/MMS)","title":"Elotuzumab plus Pomalidomide and Dexamethasone for Multiple Myeloma","type":"article-journal","volume":"379"},"uris":["http://www.mendeley.com/documents/?uuid=14312555-01d7-4ee4-9882-8575a9eb963a"]}],"mendeley":{"formattedCitation":"[73]","plainTextFormattedCitation":"[73]","previouslyFormattedCitation":"[73]"},"properties":{"noteIndex":0},"schema":"https://github.com/citation-style-language/schema/raw/master/csl-citation.json"}</w:instrText>
      </w:r>
      <w:r w:rsidR="00836298" w:rsidRPr="00805C9F">
        <w:rPr>
          <w:szCs w:val="24"/>
        </w:rPr>
        <w:fldChar w:fldCharType="separate"/>
      </w:r>
      <w:r w:rsidR="00C15DA7" w:rsidRPr="00805C9F">
        <w:rPr>
          <w:noProof/>
          <w:szCs w:val="24"/>
        </w:rPr>
        <w:t>[73]</w:t>
      </w:r>
      <w:r w:rsidR="00836298" w:rsidRPr="00805C9F">
        <w:rPr>
          <w:szCs w:val="24"/>
        </w:rPr>
        <w:fldChar w:fldCharType="end"/>
      </w:r>
    </w:p>
    <w:p w14:paraId="09AA3113" w14:textId="3FAF1427" w:rsidR="006F294C" w:rsidRPr="00805C9F" w:rsidRDefault="006F294C" w:rsidP="00836298">
      <w:pPr>
        <w:pStyle w:val="a6"/>
        <w:ind w:left="0"/>
        <w:rPr>
          <w:b/>
          <w:szCs w:val="24"/>
        </w:rPr>
      </w:pPr>
      <w:r w:rsidRPr="00805C9F">
        <w:rPr>
          <w:b/>
          <w:szCs w:val="24"/>
        </w:rPr>
        <w:t xml:space="preserve">Уровень убедительности рекомендаций − </w:t>
      </w:r>
      <w:r w:rsidRPr="00805C9F">
        <w:rPr>
          <w:b/>
          <w:szCs w:val="24"/>
          <w:lang w:val="en-US"/>
        </w:rPr>
        <w:t>A</w:t>
      </w:r>
      <w:r w:rsidRPr="00805C9F">
        <w:rPr>
          <w:b/>
          <w:szCs w:val="24"/>
        </w:rPr>
        <w:t xml:space="preserve"> (уровень достоверности доказательств − 2)</w:t>
      </w:r>
    </w:p>
    <w:p w14:paraId="5BF51192" w14:textId="2FE77448" w:rsidR="006F294C" w:rsidRPr="00805C9F" w:rsidRDefault="006F294C" w:rsidP="006F294C">
      <w:pPr>
        <w:pStyle w:val="a6"/>
        <w:spacing w:before="0" w:after="0"/>
        <w:ind w:left="0"/>
        <w:rPr>
          <w:b/>
          <w:szCs w:val="24"/>
        </w:rPr>
      </w:pPr>
      <w:r w:rsidRPr="00805C9F">
        <w:rPr>
          <w:b/>
          <w:szCs w:val="24"/>
        </w:rPr>
        <w:t xml:space="preserve">Комментарий: </w:t>
      </w:r>
      <w:r w:rsidR="00BB0E33" w:rsidRPr="00805C9F">
        <w:rPr>
          <w:i/>
          <w:szCs w:val="24"/>
        </w:rPr>
        <w:t>в</w:t>
      </w:r>
      <w:r w:rsidRPr="00805C9F">
        <w:rPr>
          <w:i/>
          <w:szCs w:val="24"/>
        </w:rPr>
        <w:t xml:space="preserve"> открытом, рандомизированном, многоцентровом исследовании II фазы ELOQUENT-3 (117 пациентов), оценивалась клиническая польза и безопасность комбинированного лечения EPd по сравнению с Pd у пациентов с рецидивами и рефрактерной ММ. При добавлении элотузумаба</w:t>
      </w:r>
      <w:r w:rsidR="00BB0E33" w:rsidRPr="00805C9F">
        <w:rPr>
          <w:i/>
          <w:szCs w:val="24"/>
        </w:rPr>
        <w:t>**</w:t>
      </w:r>
      <w:r w:rsidRPr="00805C9F">
        <w:rPr>
          <w:i/>
          <w:szCs w:val="24"/>
        </w:rPr>
        <w:t xml:space="preserve"> к Pd существенно улучшаются показатели ВБП по сравнению с Pd. Медиана ВБП составила 10,3 и 4,7 месяцев в группах, получавших E</w:t>
      </w:r>
      <w:r w:rsidRPr="00805C9F">
        <w:rPr>
          <w:i/>
          <w:szCs w:val="24"/>
          <w:lang w:val="en-US"/>
        </w:rPr>
        <w:t>lo</w:t>
      </w:r>
      <w:r w:rsidRPr="00805C9F">
        <w:rPr>
          <w:i/>
          <w:szCs w:val="24"/>
        </w:rPr>
        <w:t>Pd или Pd, соответственно. При применении схемы E</w:t>
      </w:r>
      <w:r w:rsidRPr="00805C9F">
        <w:rPr>
          <w:i/>
          <w:szCs w:val="24"/>
          <w:lang w:val="en-US"/>
        </w:rPr>
        <w:t>lo</w:t>
      </w:r>
      <w:r w:rsidRPr="00805C9F">
        <w:rPr>
          <w:i/>
          <w:szCs w:val="24"/>
        </w:rPr>
        <w:t>Pd показано увеличение частоты ответа (53%) по сравнению с применением только Pd (</w:t>
      </w:r>
      <w:r w:rsidR="004E2C44" w:rsidRPr="00805C9F">
        <w:rPr>
          <w:i/>
          <w:szCs w:val="24"/>
        </w:rPr>
        <w:t>26%).</w:t>
      </w:r>
    </w:p>
    <w:p w14:paraId="3E986131" w14:textId="3D12152B" w:rsidR="00E56E56" w:rsidRPr="00805C9F" w:rsidRDefault="00E56E56" w:rsidP="00E56E56">
      <w:pPr>
        <w:pStyle w:val="a6"/>
        <w:numPr>
          <w:ilvl w:val="0"/>
          <w:numId w:val="10"/>
        </w:numPr>
        <w:spacing w:before="0" w:after="0"/>
        <w:ind w:left="0" w:firstLine="0"/>
        <w:rPr>
          <w:b/>
          <w:szCs w:val="24"/>
        </w:rPr>
      </w:pPr>
      <w:r w:rsidRPr="00805C9F">
        <w:rPr>
          <w:szCs w:val="24"/>
        </w:rPr>
        <w:t>Пациентам с рецидивом ММ, которые ранее получали терапию ингибиторами протеасом и леналидомидом** и у которых наблюдалось прогрессирование заболевания на фоне предшествующей терапии, в качестве одной из возможных опций рекомендуется терапия, включающая изатуксимаб</w:t>
      </w:r>
      <w:r w:rsidR="006C0012" w:rsidRPr="00805C9F">
        <w:rPr>
          <w:szCs w:val="24"/>
        </w:rPr>
        <w:t>**</w:t>
      </w:r>
      <w:r w:rsidRPr="00805C9F">
        <w:rPr>
          <w:szCs w:val="24"/>
        </w:rPr>
        <w:t>, помалидомид</w:t>
      </w:r>
      <w:r w:rsidR="006C0012" w:rsidRPr="00805C9F">
        <w:rPr>
          <w:szCs w:val="24"/>
        </w:rPr>
        <w:t>**</w:t>
      </w:r>
      <w:r w:rsidRPr="00805C9F">
        <w:rPr>
          <w:szCs w:val="24"/>
        </w:rPr>
        <w:t xml:space="preserve">  и дексаметазона**  (описание режимов – см. приложение А3.1.) </w:t>
      </w:r>
      <w:r w:rsidRPr="00805C9F">
        <w:rPr>
          <w:szCs w:val="24"/>
        </w:rPr>
        <w:fldChar w:fldCharType="begin" w:fldLock="1"/>
      </w:r>
      <w:r w:rsidR="00500F37">
        <w:rPr>
          <w:szCs w:val="24"/>
        </w:rPr>
        <w:instrText>ADDIN CSL_CITATION {"citationItems":[{"id":"ITEM-1","itemData":{"DOI":"10.1016/S0140-6736(19)32556-5","ISSN":"1474547X","PMID":"31735560","abstract":"Background: Isatuximab is a monoclonal antibody that binds a specific epitope on the human CD38 receptor and has antitumour activity via multiple mechanisms of action. In a previous phase 1b study, around 65% of patients with relapsed and refractory multiple myeloma achieved an overall response with a combination of isatuximab with pomalidomide and low-dose dexamethasone. The aim of this study was to determine the progression-free survival benefit of isatuximab plus pomalidomide and dexamethasone compared with pomalidomide and dexamethasone in patients with relapsed and refractory multiple myeloma. Methods: We did a randomised, multicentre, open-label, phase 3 study at 102 hospitals in 24 countries in Europe, North America, and the Asia-Pacific regions. Eligible participants were adult patients with relapsed and refractory multiple myeloma who had received at least two previous lines of treatment, including lenalidomide and a proteasome inhibitor. Patients were excluded if they were refractory to previous treatment with an anti-CD38 monoclonal antibody. We randomly assigned patients (1:1) to either isatuximab 10 mg/kg plus pomalidomide 4 mg plus dexamethasone 40 mg (20 mg for patients aged ≥75 years), or pomalidomide 4 mg plus dexamethasone 40 mg. Randomisation was done using interactive response technology and stratified according to the number of previous lines of treatment (2–3 vs &gt;3) and age (&lt;75 years vs ≥75 years). Treatments were assigned based on a permuted blocked randomisation scheme with a block size of four. The isatuximab–pomalidomide–dexamethasone group received isatuximab intravenously on days 1, 8, 15, and 22 in the first 28-day cycle, then on days 1 and 15 in subsequent cycles. Both groups received oral pomalidomide on days 1 to 21 in each cycle, and oral or intravenous dexamethasone on days 1, 8, 15, and 22 of each cycle. Treatment continued until disease progression, unacceptable toxicity, or consent withdrawal. Dose reductions for adverse reactions were permitted for pomalidomide and dexamethasone, but not for isatuximab. The primary endpoint was progression-free survival, determined by an independent response committee and assessed in the intention-to-treat population. Safety was assessed in all participants who received at least one dose of study drug. This study is registered at ClinicalTrials.gov, number NCT02990338. Findings: Between Jan 10, 2017, and Feb 2, 2018, we randomly assigned 307 patients to treatment: 154 to isatuximab…","author":[{"dropping-particle":"","family":"Attal","given":"Michel","non-dropping-particle":"","parse-names":false,"suffix":""},{"dropping-particle":"","family":"Richardson","given":"Paul G.","non-dropping-particle":"","parse-names":false,"suffix":""},{"dropping-particle":"","family":"Rajkumar","given":"S. Vincent","non-dropping-particle":"","parse-names":false,"suffix":""},{"dropping-particle":"","family":"San-Miguel","given":"Jesus","non-dropping-particle":"","parse-names":false,"suffix":""},{"dropping-particle":"","family":"Beksac","given":"Meral","non-dropping-particle":"","parse-names":false,"suffix":""},{"dropping-particle":"","family":"Spicka","given":"Ivan","non-dropping-particle":"","parse-names":false,"suffix":""},{"dropping-particle":"","family":"Leleu","given":"Xavier","non-dropping-particle":"","parse-names":false,"suffix":""},{"dropping-particle":"","family":"Schjesvold","given":"Fredrik","non-dropping-particle":"","parse-names":false,"suffix":""},{"dropping-particle":"","family":"Moreau","given":"Philippe","non-dropping-particle":"","parse-names":false,"suffix":""},{"dropping-particle":"","family":"Dimopoulos","given":"Meletios A.","non-dropping-particle":"","parse-names":false,"suffix":""},{"dropping-particle":"","family":"Huang","given":"Jeffrey Shang Yi","non-dropping-particle":"","parse-names":false,"suffix":""},{"dropping-particle":"","family":"Minarik","given":"Jiri","non-dropping-particle":"","parse-names":false,"suffix":""},{"dropping-particle":"","family":"Cavo","given":"Michele","non-dropping-particle":"","parse-names":false,"suffix":""},{"dropping-particle":"","family":"Prince","given":"H. Miles","non-dropping-particle":"","parse-names":false,"suffix":""},{"dropping-particle":"","family":"Macé","given":"Sandrine","non-dropping-particle":"","parse-names":false,"suffix":""},{"dropping-particle":"","family":"Corzo","given":"Kathryn P.","non-dropping-particle":"","parse-names":false,"suffix":""},{"dropping-particle":"","family":"Campana","given":"Frank","non-dropping-particle":"","parse-names":false,"suffix":""},{"dropping-particle":"","family":"Le-Guennec","given":"Solenn","non-dropping-particle":"","parse-names":false,"suffix":""},{"dropping-particle":"","family":"Dubin","given":"Franck","non-dropping-particle":"","parse-names":false,"suffix":""},{"dropping-particle":"","family":"Anderson","given":"Kenneth C.","non-dropping-particle":"","parse-names":false,"suffix":""},{"dropping-particle":"","family":"Richardson","given":"Paul G.","non-dropping-particle":"","parse-names":false,"suffix":""},{"dropping-particle":"","family":"Rajkumar","given":"Vincent","non-dropping-particle":"","parse-names":false,"suffix":""},{"dropping-particle":"","family":"Dimopoulos","given":"Meletios A.","non-dropping-particle":"","parse-names":false,"suffix":""},{"dropping-particle":"","family":"Prince","given":"H. Miles","non-dropping-particle":"","parse-names":false,"suffix":""},{"dropping-particle":"","family":"Corzo","given":"Kathryn P.","non-dropping-particle":"","parse-names":false,"suffix":""},{"dropping-particle":"","family":"Anderson","given":"Kenneth C.","non-dropping-particle":"","parse-names":false,"suffix":""},{"dropping-particle":"","family":"Harrison","given":"Simon","non-dropping-particle":"","parse-names":false,"suffix":""},{"dropping-particle":"","family":"Janowski","given":"Wojt","non-dropping-particle":"","parse-names":false,"suffix":""},{"dropping-particle":"","family":"Kerridge","given":"Ian","non-dropping-particle":"","parse-names":false,"suffix":""},{"dropping-particle":"","family":"Spencer","given":"Andrew","non-dropping-particle":"","parse-names":false,"suffix":""},{"dropping-particle":"","family":"Delforge","given":"Michel","non-dropping-particle":"","parse-names":false,"suffix":""},{"dropping-particle":"","family":"Fostier","given":"Karel","non-dropping-particle":"","parse-names":false,"suffix":""},{"dropping-particle":"","family":"Vlummens","given":"Philip","non-dropping-particle":"","parse-names":false,"suffix":""},{"dropping-particle":"","family":"Wu","given":"Ka Lung","non-dropping-particle":"","parse-names":false,"suffix":""},{"dropping-particle":"","family":"Leblanc","given":"Richard","non-dropping-particle":"","parse-names":false,"suffix":""},{"dropping-particle":"","family":"Pavic","given":"Michel","non-dropping-particle":"","parse-names":false,"suffix":""},{"dropping-particle":"","family":"Sebag","given":"Michael","non-dropping-particle":"","parse-names":false,"suffix":""},{"dropping-particle":"","family":"Hajek","given":"Roman","non-dropping-particle":"","parse-names":false,"suffix":""},{"dropping-particle":"","family":"Maisnar","given":"Vladimir","non-dropping-particle":"","parse-names":false,"suffix":""},{"dropping-particle":"","family":"Pour","given":"Ludek","non-dropping-particle":"","parse-names":false,"suffix":""},{"dropping-particle":"","family":"Gregersen","given":"Henrik","non-dropping-particle":"","parse-names":false,"suffix":""},{"dropping-particle":"","family":"Benbouker","given":"Lotfi","non-dropping-particle":"","parse-names":false,"suffix":""},{"dropping-particle":"","family":"Caillot","given":"Denis","non-dropping-particle":"","parse-names":false,"suffix":""},{"dropping-particle":"","family":"Escoffre-Barbe","given":"Martine","non-dropping-particle":"","parse-names":false,"suffix":""},{"dropping-particle":"","family":"Facon","given":"Thierry","non-dropping-particle":"","parse-names":false,"suffix":""},{"dropping-particle":"","family":"Frenzel","given":"Laurent","non-dropping-particle":"","parse-names":false,"suffix":""},{"dropping-particle":"","family":"Hulin","given":"Cyrille","non-dropping-particle":"","parse-names":false,"suffix":""},{"dropping-particle":"","family":"Karlin","given":"Lionel","non-dropping-particle":"","parse-names":false,"suffix":""},{"dropping-particle":"","family":"Kolb","given":"Brigitte","non-dropping-particle":"","parse-names":false,"suffix":""},{"dropping-particle":"","family":"Pegourie","given":"Brigitte","non-dropping-particle":"","parse-names":false,"suffix":""},{"dropping-particle":"","family":"Perrot","given":"Aurore","non-dropping-particle":"","parse-names":false,"suffix":""},{"dropping-particle":"","family":"Tiab","given":"Mourad","non-dropping-particle":"","parse-names":false,"suffix":""},{"dropping-particle":"","family":"Vincent","given":"Laure","non-dropping-particle":"","parse-names":false,"suffix":""},{"dropping-particle":"","family":"Niederwieser","given":"Dietger","non-dropping-particle":"","parse-names":false,"suffix":""},{"dropping-particle":"","family":"Anagnostopoulos","given":"Achilles","non-dropping-particle":"","parse-names":false,"suffix":""},{"dropping-particle":"","family":"Delimpasi","given":"Sosana","non-dropping-particle":"","parse-names":false,"suffix":""},{"dropping-particle":"","family":"Kyrtsonis","given":"Marie Christine","non-dropping-particle":"","parse-names":false,"suffix":""},{"dropping-particle":"","family":"Symeonidis","given":"Anargyros","non-dropping-particle":"","parse-names":false,"suffix":""},{"dropping-particle":"","family":"Illes","given":"Arpad","non-dropping-particle":"","parse-names":false,"suffix":""},{"dropping-particle":"","family":"Mikala","given":"Gabor","non-dropping-particle":"","parse-names":false,"suffix":""},{"dropping-particle":"","family":"Nagy","given":"Zsolt","non-dropping-particle":"","parse-names":false,"suffix":""},{"dropping-particle":"","family":"Bringen","given":"Sara","non-dropping-particle":"","parse-names":false,"suffix":""},{"dropping-particle":"","family":"Corradini","given":"Paolo","non-dropping-particle":"","parse-names":false,"suffix":""},{"dropping-particle":"","family":"Fabio","given":"Ciceri","non-dropping-particle":"","parse-names":false,"suffix":""},{"dropping-particle":"","family":"Lemoli","given":"Roberto","non-dropping-particle":"","parse-names":false,"suffix":""},{"dropping-particle":"","family":"Liberati","given":"Anna","non-dropping-particle":"","parse-names":false,"suffix":""},{"dropping-particle":"","family":"Nozzoli","given":"Chiara","non-dropping-particle":"","parse-names":false,"suffix":""},{"dropping-particle":"","family":"Zambello","given":"Renato","non-dropping-particle":"","parse-names":false,"suffix":""},{"dropping-particle":"","family":"Iida","given":"Shinsuke","non-dropping-particle":"","parse-names":false,"suffix":""},{"dropping-particle":"","family":"Ikeda","given":"Takashi","non-dropping-particle":"","parse-names":false,"suffix":""},{"dropping-particle":"","family":"Iyama","given":"Satoshi","non-dropping-particle":"","parse-names":false,"suffix":""},{"dropping-particle":"","family":"Matsumoto","given":"Morio","non-dropping-particle":"","parse-names":false,"suffix":""},{"dropping-particle":"","family":"Shimazaki","given":"Chihiro","non-dropping-particle":"","parse-names":false,"suffix":""},{"dropping-particle":"","family":"Sunami","given":"Kazutaka","non-dropping-particle":"","parse-names":false,"suffix":""},{"dropping-particle":"","family":"Suzuki","given":"Kenshi","non-dropping-particle":"","parse-names":false,"suffix":""},{"dropping-particle":"","family":"Uchiyama","given":"Michihiro","non-dropping-particle":"","parse-names":false,"suffix":""},{"dropping-particle":"","family":"Koh","given":"Youngil","non-dropping-particle":"","parse-names":false,"suffix":""},{"dropping-particle":"","family":"Kim","given":"Kihyun","non-dropping-particle":"","parse-names":false,"suffix":""},{"dropping-particle":"","family":"Lee","given":"Jae Hoon","non-dropping-particle":"","parse-names":false,"suffix":""},{"dropping-particle":"","family":"Min","given":"Chang Ki","non-dropping-particle":"","parse-names":false,"suffix":""},{"dropping-particle":"","family":"Blacklock","given":"Hillary","non-dropping-particle":"","parse-names":false,"suffix":""},{"dropping-particle":"","family":"Goodman","given":"Hugh","non-dropping-particle":"","parse-names":false,"suffix":""},{"dropping-particle":"","family":"Neylon","given":"Annette","non-dropping-particle":"","parse-names":false,"suffix":""},{"dropping-particle":"","family":"Simpson","given":"David","non-dropping-particle":"","parse-names":false,"suffix":""},{"dropping-particle":"","family":"Grosicki","given":"Sebastian","non-dropping-particle":"","parse-names":false,"suffix":""},{"dropping-particle":"","family":"Jurczyszyn","given":"Artur","non-dropping-particle":"","parse-names":false,"suffix":""},{"dropping-particle":"","family":"Walter-Croneck","given":"Adam","non-dropping-particle":"","parse-names":false,"suffix":""},{"dropping-particle":"","family":"Warzocha","given":"Krzysztof","non-dropping-particle":"","parse-names":false,"suffix":""},{"dropping-particle":"","family":"Araujo","given":"Luis","non-dropping-particle":"","parse-names":false,"suffix":""},{"dropping-particle":"","family":"Moreira","given":"Claudia","non-dropping-particle":"","parse-names":false,"suffix":""},{"dropping-particle":"","family":"Doronin","given":"Vadim","non-dropping-particle":"","parse-names":false,"suffix":""},{"dropping-particle":"","family":"Mendeleeva","given":"Larisa","non-dropping-particle":"","parse-names":false,"suffix":""},{"dropping-particle":"","family":"Vorobyev","given":"Vladimir","non-dropping-particle":"","parse-names":false,"suffix":""},{"dropping-particle":"","family":"Vranovsky","given":"Andrej","non-dropping-particle":"","parse-names":false,"suffix":""},{"dropping-particle":"","family":"Alegre","given":"Adrian","non-dropping-particle":"","parse-names":false,"suffix":""},{"dropping-particle":"","family":"Gironella","given":"Mercedes","non-dropping-particle":"","parse-names":false,"suffix":""},{"dropping-particle":"","family":"Gonzalez Perez","given":"Marta Sonia","non-dropping-particle":"","parse-names":false,"suffix":""},{"dropping-particle":"","family":"Montes","given":"Carmen","non-dropping-particle":"","parse-names":false,"suffix":""},{"dropping-particle":"","family":"Ocio","given":"Enrique","non-dropping-particle":"","parse-names":false,"suffix":""},{"dropping-particle":"","family":"Rodriguez","given":"Paula","non-dropping-particle":"","parse-names":false,"suffix":""},{"dropping-particle":"","family":"Hardling","given":"Mats","non-dropping-particle":"","parse-names":false,"suffix":""},{"dropping-particle":"","family":"Lauri","given":"Birgitta","non-dropping-particle":"","parse-names":false,"suffix":""},{"dropping-particle":"","family":"Wang","given":"Ming Chung","non-dropping-particle":"","parse-names":false,"suffix":""},{"dropping-particle":"","family":"Yeh","given":"Su Peng","non-dropping-particle":"","parse-names":false,"suffix":""},{"dropping-particle":"","family":"Arat","given":"Mutlu","non-dropping-particle":"","parse-names":false,"suffix":""},{"dropping-particle":"","family":"Demirkan","given":"Fatih","non-dropping-particle":"","parse-names":false,"suffix":""},{"dropping-particle":"","family":"Gulbas","given":"Zafer","non-dropping-particle":"","parse-names":false,"suffix":""},{"dropping-particle":"","family":"Besisik","given":"Sevgi Kalayoglu","non-dropping-particle":"","parse-names":false,"suffix":""},{"dropping-particle":"","family":"Karadogan","given":"Ihsan","non-dropping-particle":"","parse-names":false,"suffix":""},{"dropping-particle":"","family":"Tuglular","given":"Tulin","non-dropping-particle":"","parse-names":false,"suffix":""},{"dropping-particle":"","family":"Unal","given":"Ali","non-dropping-particle":"","parse-names":false,"suffix":""},{"dropping-particle":"","family":"Vural","given":"Filiz","non-dropping-particle":"","parse-names":false,"suffix":""},{"dropping-particle":"","family":"Sive","given":"Jonathan","non-dropping-particle":"","parse-names":false,"suffix":""},{"dropping-particle":"","family":"Streetly","given":"Matthew","non-dropping-particle":"","parse-names":false,"suffix":""},{"dropping-particle":"","family":"Yong","given":"Kwee","non-dropping-particle":"","parse-names":false,"suffix":""},{"dropping-particle":"","family":"Tache","given":"Jason","non-dropping-particle":"","parse-names":false,"suffix":""}],"container-title":"The Lancet","id":"ITEM-1","issue":"10214","issued":{"date-parts":[["2019","12"]]},"page":"2096-2107","publisher":"Lancet Publishing Group","title":"Isatuximab plus pomalidomide and low-dose dexamethasone versus pomalidomide and low-dose dexamethasone in patients with relapsed and refractory multiple myeloma (ICARIA-MM): a randomised, multicentre, open-label, phase 3 study","type":"article-journal","volume":"394"},"uris":["http://www.mendeley.com/documents/?uuid=20466213-4d26-438c-91c1-d564970f7f26"]}],"mendeley":{"formattedCitation":"[74]","plainTextFormattedCitation":"[74]","previouslyFormattedCitation":"[74]"},"properties":{"noteIndex":0},"schema":"https://github.com/citation-style-language/schema/raw/master/csl-citation.json"}</w:instrText>
      </w:r>
      <w:r w:rsidRPr="00805C9F">
        <w:rPr>
          <w:szCs w:val="24"/>
        </w:rPr>
        <w:fldChar w:fldCharType="separate"/>
      </w:r>
      <w:r w:rsidR="00C15DA7" w:rsidRPr="00805C9F">
        <w:rPr>
          <w:noProof/>
          <w:szCs w:val="24"/>
        </w:rPr>
        <w:t>[74]</w:t>
      </w:r>
      <w:r w:rsidRPr="00805C9F">
        <w:rPr>
          <w:szCs w:val="24"/>
        </w:rPr>
        <w:fldChar w:fldCharType="end"/>
      </w:r>
    </w:p>
    <w:p w14:paraId="54C02134" w14:textId="7D2E9B36" w:rsidR="00E56E56" w:rsidRPr="00805C9F" w:rsidRDefault="00E56E56" w:rsidP="00E56E56">
      <w:pPr>
        <w:spacing w:before="0" w:after="0"/>
        <w:rPr>
          <w:b/>
          <w:szCs w:val="24"/>
        </w:rPr>
      </w:pPr>
      <w:r w:rsidRPr="00805C9F">
        <w:rPr>
          <w:b/>
          <w:szCs w:val="24"/>
        </w:rPr>
        <w:t xml:space="preserve">Уровень убедительности рекомендаций − </w:t>
      </w:r>
      <w:r w:rsidRPr="00805C9F">
        <w:rPr>
          <w:b/>
          <w:szCs w:val="24"/>
          <w:lang w:val="en-US"/>
        </w:rPr>
        <w:t>A</w:t>
      </w:r>
      <w:r w:rsidRPr="00805C9F">
        <w:rPr>
          <w:b/>
          <w:szCs w:val="24"/>
        </w:rPr>
        <w:t xml:space="preserve"> (уровень достоверности доказательств − 1)</w:t>
      </w:r>
    </w:p>
    <w:p w14:paraId="490A5EC2" w14:textId="54817CDD" w:rsidR="00E56E56" w:rsidRPr="00805C9F" w:rsidRDefault="00E56E56" w:rsidP="00E56E56">
      <w:pPr>
        <w:spacing w:before="0" w:after="0"/>
        <w:rPr>
          <w:i/>
          <w:szCs w:val="24"/>
        </w:rPr>
      </w:pPr>
      <w:r w:rsidRPr="00805C9F">
        <w:rPr>
          <w:b/>
          <w:szCs w:val="24"/>
        </w:rPr>
        <w:t xml:space="preserve">Комментарий: </w:t>
      </w:r>
      <w:r w:rsidRPr="00805C9F">
        <w:rPr>
          <w:i/>
          <w:szCs w:val="24"/>
        </w:rPr>
        <w:t>в крупном международном рандомизированном исследовании III фазы ICARIA-ММ изучена эффективность добавления анти-CD38 моноклонального антитела изатуксимаб</w:t>
      </w:r>
      <w:r w:rsidR="006C0012" w:rsidRPr="00805C9F">
        <w:rPr>
          <w:szCs w:val="24"/>
        </w:rPr>
        <w:t>**</w:t>
      </w:r>
      <w:r w:rsidRPr="00805C9F">
        <w:rPr>
          <w:i/>
          <w:szCs w:val="24"/>
        </w:rPr>
        <w:t xml:space="preserve"> к комбинации помалидомид</w:t>
      </w:r>
      <w:r w:rsidR="006C0012" w:rsidRPr="00805C9F">
        <w:rPr>
          <w:szCs w:val="24"/>
        </w:rPr>
        <w:t>**</w:t>
      </w:r>
      <w:r w:rsidRPr="00805C9F">
        <w:rPr>
          <w:i/>
          <w:szCs w:val="24"/>
        </w:rPr>
        <w:t xml:space="preserve"> и дексаметазон</w:t>
      </w:r>
      <w:r w:rsidR="006C0012" w:rsidRPr="00805C9F">
        <w:rPr>
          <w:szCs w:val="24"/>
        </w:rPr>
        <w:t>**</w:t>
      </w:r>
      <w:r w:rsidRPr="00805C9F">
        <w:rPr>
          <w:i/>
          <w:szCs w:val="24"/>
        </w:rPr>
        <w:t>. В исследовании участвовало 307 пациентов с рецидивирующей и рефрактерной множественной миеломой, ранее получивших как минимум два режима терапии, включая применение леналидомида и ингибиторов протеасом. У большинства пациентов (72 %) отмечалась резистентность к ингибиторам протеасом и леналидомиду** и у 94 % больных резистентность к леналидомиду**. Медиана выживаемости без прогрессирования (ВБП) составила 11,5 месяца в группе изатуксимаб</w:t>
      </w:r>
      <w:r w:rsidR="006C0012" w:rsidRPr="00805C9F">
        <w:rPr>
          <w:szCs w:val="24"/>
        </w:rPr>
        <w:t>**</w:t>
      </w:r>
      <w:r w:rsidRPr="00805C9F">
        <w:rPr>
          <w:i/>
          <w:szCs w:val="24"/>
        </w:rPr>
        <w:t>, помалидомид</w:t>
      </w:r>
      <w:r w:rsidR="006C0012" w:rsidRPr="00805C9F">
        <w:rPr>
          <w:szCs w:val="24"/>
        </w:rPr>
        <w:t>**</w:t>
      </w:r>
      <w:r w:rsidRPr="00805C9F">
        <w:rPr>
          <w:i/>
          <w:szCs w:val="24"/>
        </w:rPr>
        <w:t>, дексаметазон** и 6,5 месяца в группе помалидомид, дексаметазон** (р=0,001). Частота общего ответа в группе изатуксимаб-</w:t>
      </w:r>
      <w:r w:rsidRPr="00805C9F">
        <w:rPr>
          <w:i/>
          <w:szCs w:val="24"/>
          <w:lang w:val="en-US"/>
        </w:rPr>
        <w:t>Pd</w:t>
      </w:r>
      <w:r w:rsidRPr="00805C9F">
        <w:rPr>
          <w:i/>
          <w:szCs w:val="24"/>
        </w:rPr>
        <w:t xml:space="preserve"> составила 60 % vs 35 </w:t>
      </w:r>
      <w:proofErr w:type="gramStart"/>
      <w:r w:rsidRPr="00805C9F">
        <w:rPr>
          <w:i/>
          <w:szCs w:val="24"/>
        </w:rPr>
        <w:t>%  в</w:t>
      </w:r>
      <w:proofErr w:type="gramEnd"/>
      <w:r w:rsidRPr="00805C9F">
        <w:rPr>
          <w:i/>
          <w:szCs w:val="24"/>
        </w:rPr>
        <w:t xml:space="preserve"> группе </w:t>
      </w:r>
      <w:r w:rsidRPr="00805C9F">
        <w:rPr>
          <w:i/>
          <w:szCs w:val="24"/>
          <w:lang w:val="en-US"/>
        </w:rPr>
        <w:t>Pd</w:t>
      </w:r>
      <w:r w:rsidRPr="00805C9F">
        <w:rPr>
          <w:i/>
          <w:szCs w:val="24"/>
        </w:rPr>
        <w:t xml:space="preserve"> (p&lt;0.0001). </w:t>
      </w:r>
    </w:p>
    <w:p w14:paraId="088A2339" w14:textId="7AC43D6F" w:rsidR="0038589B" w:rsidRPr="00805C9F" w:rsidRDefault="0038589B" w:rsidP="00E56E56">
      <w:pPr>
        <w:pStyle w:val="a6"/>
        <w:numPr>
          <w:ilvl w:val="0"/>
          <w:numId w:val="10"/>
        </w:numPr>
        <w:spacing w:before="0" w:after="0"/>
        <w:ind w:left="0" w:firstLine="0"/>
        <w:rPr>
          <w:i/>
          <w:szCs w:val="24"/>
        </w:rPr>
      </w:pPr>
      <w:r w:rsidRPr="00805C9F">
        <w:rPr>
          <w:szCs w:val="24"/>
        </w:rPr>
        <w:t>Отдельным пациентам с</w:t>
      </w:r>
      <w:r w:rsidR="00B15365" w:rsidRPr="00805C9F">
        <w:rPr>
          <w:szCs w:val="24"/>
        </w:rPr>
        <w:t xml:space="preserve"> рецидивом ММ</w:t>
      </w:r>
      <w:r w:rsidRPr="00805C9F">
        <w:rPr>
          <w:szCs w:val="24"/>
        </w:rPr>
        <w:t>, которым не могут быть назначены современные таргетные препараты, в качестве одн</w:t>
      </w:r>
      <w:r w:rsidR="00277FD3" w:rsidRPr="00805C9F">
        <w:rPr>
          <w:szCs w:val="24"/>
        </w:rPr>
        <w:t xml:space="preserve">ой из возможных опций </w:t>
      </w:r>
      <w:r w:rsidR="00277FD3" w:rsidRPr="00805C9F">
        <w:rPr>
          <w:b/>
          <w:szCs w:val="24"/>
        </w:rPr>
        <w:t>рекомендуется</w:t>
      </w:r>
      <w:r w:rsidR="00286688" w:rsidRPr="00805C9F">
        <w:rPr>
          <w:b/>
          <w:szCs w:val="24"/>
        </w:rPr>
        <w:t xml:space="preserve"> </w:t>
      </w:r>
      <w:r w:rsidRPr="00805C9F">
        <w:rPr>
          <w:szCs w:val="24"/>
        </w:rPr>
        <w:t>традиционная противомиеломная</w:t>
      </w:r>
      <w:r w:rsidR="00286688" w:rsidRPr="00805C9F">
        <w:rPr>
          <w:szCs w:val="24"/>
        </w:rPr>
        <w:t xml:space="preserve"> </w:t>
      </w:r>
      <w:r w:rsidRPr="00805C9F">
        <w:rPr>
          <w:szCs w:val="24"/>
        </w:rPr>
        <w:t xml:space="preserve">полихимиотерапия (режим </w:t>
      </w:r>
      <w:r w:rsidRPr="00805C9F">
        <w:rPr>
          <w:szCs w:val="24"/>
          <w:lang w:val="en-US"/>
        </w:rPr>
        <w:t>VMVP</w:t>
      </w:r>
      <w:r w:rsidRPr="00805C9F">
        <w:rPr>
          <w:szCs w:val="24"/>
        </w:rPr>
        <w:t xml:space="preserve">, режим </w:t>
      </w:r>
      <w:r w:rsidRPr="00805C9F">
        <w:rPr>
          <w:szCs w:val="24"/>
          <w:lang w:val="en-US"/>
        </w:rPr>
        <w:t>M</w:t>
      </w:r>
      <w:r w:rsidRPr="00805C9F">
        <w:rPr>
          <w:szCs w:val="24"/>
        </w:rPr>
        <w:t>2</w:t>
      </w:r>
      <w:r w:rsidR="009E099B" w:rsidRPr="00805C9F">
        <w:rPr>
          <w:szCs w:val="24"/>
        </w:rPr>
        <w:t xml:space="preserve">, режимы </w:t>
      </w:r>
      <w:r w:rsidR="009E099B" w:rsidRPr="00805C9F">
        <w:rPr>
          <w:szCs w:val="24"/>
          <w:lang w:val="en-US"/>
        </w:rPr>
        <w:t>DHAP</w:t>
      </w:r>
      <w:r w:rsidR="009E099B" w:rsidRPr="00805C9F">
        <w:rPr>
          <w:szCs w:val="24"/>
        </w:rPr>
        <w:t xml:space="preserve">, </w:t>
      </w:r>
      <w:r w:rsidR="009E099B" w:rsidRPr="00805C9F">
        <w:rPr>
          <w:szCs w:val="24"/>
          <w:lang w:val="en-US"/>
        </w:rPr>
        <w:t>DCEP</w:t>
      </w:r>
      <w:r w:rsidR="00141FB9" w:rsidRPr="00805C9F">
        <w:rPr>
          <w:szCs w:val="24"/>
        </w:rPr>
        <w:t xml:space="preserve">, </w:t>
      </w:r>
      <w:r w:rsidR="00141FB9" w:rsidRPr="00805C9F">
        <w:rPr>
          <w:szCs w:val="24"/>
          <w:lang w:val="en-US"/>
        </w:rPr>
        <w:t>VD</w:t>
      </w:r>
      <w:r w:rsidR="00141FB9" w:rsidRPr="00805C9F">
        <w:rPr>
          <w:szCs w:val="24"/>
        </w:rPr>
        <w:t>-</w:t>
      </w:r>
      <w:r w:rsidR="00141FB9" w:rsidRPr="00805C9F">
        <w:rPr>
          <w:szCs w:val="24"/>
          <w:lang w:val="en-US"/>
        </w:rPr>
        <w:t>PACE</w:t>
      </w:r>
      <w:r w:rsidR="00E27D31" w:rsidRPr="00805C9F">
        <w:rPr>
          <w:szCs w:val="24"/>
        </w:rPr>
        <w:t xml:space="preserve">; </w:t>
      </w:r>
      <w:r w:rsidR="00032CFB" w:rsidRPr="00805C9F">
        <w:rPr>
          <w:szCs w:val="24"/>
        </w:rPr>
        <w:t xml:space="preserve">описание режимов – см. приложение </w:t>
      </w:r>
      <w:r w:rsidR="00C812D6" w:rsidRPr="00805C9F">
        <w:rPr>
          <w:szCs w:val="24"/>
        </w:rPr>
        <w:t>А3.1</w:t>
      </w:r>
      <w:r w:rsidR="00E27D31" w:rsidRPr="00805C9F">
        <w:rPr>
          <w:szCs w:val="24"/>
        </w:rPr>
        <w:t>.</w:t>
      </w:r>
      <w:r w:rsidR="00032CFB" w:rsidRPr="00805C9F">
        <w:rPr>
          <w:szCs w:val="24"/>
        </w:rPr>
        <w:t>)</w:t>
      </w:r>
      <w:r w:rsidR="00286688" w:rsidRPr="00805C9F">
        <w:rPr>
          <w:szCs w:val="24"/>
        </w:rPr>
        <w:t xml:space="preserve"> </w:t>
      </w:r>
      <w:r w:rsidR="00A96FB6" w:rsidRPr="00805C9F">
        <w:rPr>
          <w:szCs w:val="24"/>
        </w:rPr>
        <w:fldChar w:fldCharType="begin" w:fldLock="1"/>
      </w:r>
      <w:r w:rsidR="00500F37">
        <w:rPr>
          <w:szCs w:val="24"/>
        </w:rP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805C9F">
        <w:rPr>
          <w:szCs w:val="24"/>
        </w:rPr>
        <w:fldChar w:fldCharType="separate"/>
      </w:r>
      <w:r w:rsidR="00E03159" w:rsidRPr="00805C9F">
        <w:rPr>
          <w:noProof/>
          <w:szCs w:val="24"/>
        </w:rPr>
        <w:t>[1]</w:t>
      </w:r>
      <w:r w:rsidR="00A96FB6" w:rsidRPr="00805C9F">
        <w:rPr>
          <w:szCs w:val="24"/>
        </w:rPr>
        <w:fldChar w:fldCharType="end"/>
      </w:r>
      <w:r w:rsidR="00B15365" w:rsidRPr="00805C9F">
        <w:rPr>
          <w:szCs w:val="24"/>
        </w:rPr>
        <w:t>.</w:t>
      </w:r>
    </w:p>
    <w:p w14:paraId="3675E693" w14:textId="77777777" w:rsidR="0038589B" w:rsidRPr="00805C9F" w:rsidRDefault="0038589B" w:rsidP="00092917">
      <w:pPr>
        <w:pStyle w:val="a6"/>
        <w:spacing w:before="0" w:after="0"/>
        <w:ind w:left="0"/>
        <w:rPr>
          <w:b/>
          <w:szCs w:val="24"/>
        </w:rPr>
      </w:pPr>
      <w:r w:rsidRPr="00805C9F">
        <w:rPr>
          <w:b/>
          <w:szCs w:val="24"/>
        </w:rPr>
        <w:lastRenderedPageBreak/>
        <w:t xml:space="preserve">Уровень убедительности рекомендаций </w:t>
      </w:r>
      <w:r w:rsidR="00E27D31" w:rsidRPr="00805C9F">
        <w:rPr>
          <w:b/>
          <w:szCs w:val="24"/>
        </w:rPr>
        <w:t xml:space="preserve">− </w:t>
      </w:r>
      <w:r w:rsidR="00BD6788" w:rsidRPr="00805C9F">
        <w:rPr>
          <w:b/>
          <w:szCs w:val="24"/>
          <w:lang w:val="en-US"/>
        </w:rPr>
        <w:t>C</w:t>
      </w:r>
      <w:r w:rsidR="000A156C" w:rsidRPr="00805C9F">
        <w:rPr>
          <w:b/>
          <w:szCs w:val="24"/>
        </w:rPr>
        <w:t xml:space="preserve"> </w:t>
      </w:r>
      <w:r w:rsidRPr="00805C9F">
        <w:rPr>
          <w:b/>
          <w:szCs w:val="24"/>
        </w:rPr>
        <w:t>(уровень достоверности доказательств</w:t>
      </w:r>
      <w:r w:rsidR="000A156C" w:rsidRPr="00805C9F">
        <w:rPr>
          <w:b/>
          <w:szCs w:val="24"/>
        </w:rPr>
        <w:t xml:space="preserve"> </w:t>
      </w:r>
      <w:r w:rsidR="00E27D31" w:rsidRPr="00805C9F">
        <w:rPr>
          <w:b/>
          <w:szCs w:val="24"/>
        </w:rPr>
        <w:t xml:space="preserve">− </w:t>
      </w:r>
      <w:r w:rsidR="00BD6788" w:rsidRPr="00805C9F">
        <w:rPr>
          <w:b/>
          <w:szCs w:val="24"/>
        </w:rPr>
        <w:t>5</w:t>
      </w:r>
      <w:r w:rsidRPr="00805C9F">
        <w:rPr>
          <w:b/>
          <w:szCs w:val="24"/>
        </w:rPr>
        <w:t>)</w:t>
      </w:r>
    </w:p>
    <w:p w14:paraId="641B56F6" w14:textId="5D14250C" w:rsidR="0038589B" w:rsidRPr="00805C9F" w:rsidRDefault="0038589B" w:rsidP="00092917">
      <w:pPr>
        <w:pStyle w:val="a6"/>
        <w:numPr>
          <w:ilvl w:val="0"/>
          <w:numId w:val="8"/>
        </w:numPr>
        <w:tabs>
          <w:tab w:val="clear" w:pos="348"/>
          <w:tab w:val="num" w:pos="709"/>
        </w:tabs>
        <w:spacing w:before="0" w:after="0"/>
        <w:ind w:left="0" w:firstLine="0"/>
        <w:rPr>
          <w:szCs w:val="24"/>
        </w:rPr>
      </w:pPr>
      <w:r w:rsidRPr="00805C9F">
        <w:rPr>
          <w:szCs w:val="24"/>
        </w:rPr>
        <w:t>Пациентам с</w:t>
      </w:r>
      <w:r w:rsidR="00B15365" w:rsidRPr="00805C9F">
        <w:rPr>
          <w:szCs w:val="24"/>
        </w:rPr>
        <w:t xml:space="preserve"> рецидивом ММ</w:t>
      </w:r>
      <w:r w:rsidRPr="00805C9F">
        <w:rPr>
          <w:szCs w:val="24"/>
        </w:rPr>
        <w:t xml:space="preserve"> старше 80 лет и/или с плохим физическим состоянием с паллиативной цел</w:t>
      </w:r>
      <w:r w:rsidR="00277FD3" w:rsidRPr="00805C9F">
        <w:rPr>
          <w:szCs w:val="24"/>
        </w:rPr>
        <w:t>ью</w:t>
      </w:r>
      <w:r w:rsidR="000A156C" w:rsidRPr="00805C9F">
        <w:rPr>
          <w:szCs w:val="24"/>
        </w:rPr>
        <w:t xml:space="preserve"> </w:t>
      </w:r>
      <w:r w:rsidR="00277FD3" w:rsidRPr="00805C9F">
        <w:rPr>
          <w:b/>
          <w:szCs w:val="24"/>
        </w:rPr>
        <w:t>рекомендуется</w:t>
      </w:r>
      <w:r w:rsidRPr="00805C9F">
        <w:rPr>
          <w:szCs w:val="24"/>
        </w:rPr>
        <w:t xml:space="preserve"> терапия циклофосфамидом</w:t>
      </w:r>
      <w:r w:rsidR="00B15365" w:rsidRPr="00805C9F">
        <w:rPr>
          <w:szCs w:val="24"/>
        </w:rPr>
        <w:t>**</w:t>
      </w:r>
      <w:r w:rsidRPr="00805C9F">
        <w:rPr>
          <w:szCs w:val="24"/>
        </w:rPr>
        <w:t xml:space="preserve"> по 50 мг внутрь ежедневно или через день в сочетании с преднизолоном</w:t>
      </w:r>
      <w:r w:rsidR="00B15365" w:rsidRPr="00805C9F">
        <w:rPr>
          <w:szCs w:val="24"/>
        </w:rPr>
        <w:t>**</w:t>
      </w:r>
      <w:r w:rsidRPr="00805C9F">
        <w:rPr>
          <w:szCs w:val="24"/>
        </w:rPr>
        <w:t xml:space="preserve"> по 30 мг через день или дексаметазоном</w:t>
      </w:r>
      <w:r w:rsidR="00B15365" w:rsidRPr="00805C9F">
        <w:rPr>
          <w:szCs w:val="24"/>
        </w:rPr>
        <w:t>**</w:t>
      </w:r>
      <w:r w:rsidRPr="00805C9F">
        <w:rPr>
          <w:szCs w:val="24"/>
        </w:rPr>
        <w:t xml:space="preserve"> по 20 мг внутрь 1 раз в неделю</w:t>
      </w:r>
      <w:r w:rsidR="0094380E" w:rsidRPr="00805C9F">
        <w:rPr>
          <w:szCs w:val="24"/>
        </w:rPr>
        <w:t xml:space="preserve"> </w:t>
      </w:r>
      <w:r w:rsidR="00FD2995" w:rsidRPr="00805C9F">
        <w:rPr>
          <w:szCs w:val="24"/>
        </w:rPr>
        <w:t xml:space="preserve">(описание режимов – см. приложение </w:t>
      </w:r>
      <w:r w:rsidR="00C812D6" w:rsidRPr="00805C9F">
        <w:rPr>
          <w:szCs w:val="24"/>
        </w:rPr>
        <w:t>А3.1</w:t>
      </w:r>
      <w:r w:rsidR="0094380E" w:rsidRPr="00805C9F">
        <w:rPr>
          <w:szCs w:val="24"/>
        </w:rPr>
        <w:t>.</w:t>
      </w:r>
      <w:r w:rsidR="00FD2995" w:rsidRPr="00805C9F">
        <w:rPr>
          <w:szCs w:val="24"/>
        </w:rPr>
        <w:t>)</w:t>
      </w:r>
      <w:r w:rsidR="00286688" w:rsidRPr="00805C9F">
        <w:rPr>
          <w:szCs w:val="24"/>
        </w:rPr>
        <w:t xml:space="preserve"> </w:t>
      </w:r>
      <w:r w:rsidR="00A96FB6" w:rsidRPr="00805C9F">
        <w:rPr>
          <w:szCs w:val="24"/>
        </w:rPr>
        <w:fldChar w:fldCharType="begin" w:fldLock="1"/>
      </w:r>
      <w:r w:rsidR="00500F37">
        <w:rPr>
          <w:szCs w:val="24"/>
        </w:rP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805C9F">
        <w:rPr>
          <w:szCs w:val="24"/>
        </w:rPr>
        <w:fldChar w:fldCharType="separate"/>
      </w:r>
      <w:r w:rsidR="00E03159" w:rsidRPr="00805C9F">
        <w:rPr>
          <w:noProof/>
          <w:szCs w:val="24"/>
        </w:rPr>
        <w:t>[1]</w:t>
      </w:r>
      <w:r w:rsidR="00A96FB6" w:rsidRPr="00805C9F">
        <w:rPr>
          <w:szCs w:val="24"/>
        </w:rPr>
        <w:fldChar w:fldCharType="end"/>
      </w:r>
      <w:r w:rsidR="00B15365" w:rsidRPr="00805C9F">
        <w:rPr>
          <w:szCs w:val="24"/>
        </w:rPr>
        <w:t>.</w:t>
      </w:r>
    </w:p>
    <w:p w14:paraId="07E4191A" w14:textId="77777777" w:rsidR="0038589B" w:rsidRPr="00805C9F" w:rsidRDefault="0038589B" w:rsidP="00092917">
      <w:pPr>
        <w:pStyle w:val="a6"/>
        <w:spacing w:before="0" w:after="0"/>
        <w:ind w:left="0"/>
        <w:rPr>
          <w:b/>
          <w:szCs w:val="24"/>
        </w:rPr>
      </w:pPr>
      <w:r w:rsidRPr="00805C9F">
        <w:rPr>
          <w:b/>
          <w:szCs w:val="24"/>
        </w:rPr>
        <w:t xml:space="preserve">Уровень убедительности рекомендаций </w:t>
      </w:r>
      <w:r w:rsidR="0094380E" w:rsidRPr="00805C9F">
        <w:rPr>
          <w:b/>
          <w:szCs w:val="24"/>
        </w:rPr>
        <w:t xml:space="preserve">− </w:t>
      </w:r>
      <w:r w:rsidR="00BD6788" w:rsidRPr="00805C9F">
        <w:rPr>
          <w:b/>
          <w:szCs w:val="24"/>
          <w:lang w:val="en-US"/>
        </w:rPr>
        <w:t>C</w:t>
      </w:r>
      <w:r w:rsidR="000A156C" w:rsidRPr="00805C9F">
        <w:rPr>
          <w:b/>
          <w:szCs w:val="24"/>
        </w:rPr>
        <w:t xml:space="preserve"> </w:t>
      </w:r>
      <w:r w:rsidRPr="00805C9F">
        <w:rPr>
          <w:b/>
          <w:szCs w:val="24"/>
        </w:rPr>
        <w:t>(уровень достоверности доказательств</w:t>
      </w:r>
      <w:r w:rsidR="009A45EF" w:rsidRPr="00805C9F">
        <w:rPr>
          <w:b/>
          <w:szCs w:val="24"/>
        </w:rPr>
        <w:t xml:space="preserve"> </w:t>
      </w:r>
      <w:r w:rsidR="0094380E" w:rsidRPr="00805C9F">
        <w:rPr>
          <w:b/>
          <w:szCs w:val="24"/>
        </w:rPr>
        <w:t xml:space="preserve">− </w:t>
      </w:r>
      <w:r w:rsidR="00BD6788" w:rsidRPr="00805C9F">
        <w:rPr>
          <w:b/>
          <w:szCs w:val="24"/>
        </w:rPr>
        <w:t>5</w:t>
      </w:r>
      <w:r w:rsidRPr="00805C9F">
        <w:rPr>
          <w:b/>
          <w:szCs w:val="24"/>
        </w:rPr>
        <w:t>)</w:t>
      </w:r>
    </w:p>
    <w:p w14:paraId="54A3A5FA" w14:textId="57935150" w:rsidR="00D02CBC" w:rsidRPr="00805C9F" w:rsidRDefault="00B15365" w:rsidP="00092917">
      <w:pPr>
        <w:pStyle w:val="a6"/>
        <w:numPr>
          <w:ilvl w:val="0"/>
          <w:numId w:val="8"/>
        </w:numPr>
        <w:tabs>
          <w:tab w:val="clear" w:pos="348"/>
          <w:tab w:val="num" w:pos="709"/>
        </w:tabs>
        <w:spacing w:before="0" w:after="0"/>
        <w:ind w:left="0" w:firstLine="0"/>
        <w:rPr>
          <w:szCs w:val="24"/>
        </w:rPr>
      </w:pPr>
      <w:r w:rsidRPr="00805C9F">
        <w:rPr>
          <w:szCs w:val="24"/>
        </w:rPr>
        <w:t xml:space="preserve">Пациентам </w:t>
      </w:r>
      <w:r w:rsidR="0094380E" w:rsidRPr="00805C9F">
        <w:rPr>
          <w:szCs w:val="24"/>
        </w:rPr>
        <w:t xml:space="preserve">с </w:t>
      </w:r>
      <w:r w:rsidRPr="00805C9F">
        <w:rPr>
          <w:szCs w:val="24"/>
        </w:rPr>
        <w:t>ММ</w:t>
      </w:r>
      <w:r w:rsidR="00D02CBC" w:rsidRPr="00805C9F">
        <w:rPr>
          <w:szCs w:val="24"/>
        </w:rPr>
        <w:t xml:space="preserve"> с цитопенией в качестве одн</w:t>
      </w:r>
      <w:r w:rsidR="00277FD3" w:rsidRPr="00805C9F">
        <w:rPr>
          <w:szCs w:val="24"/>
        </w:rPr>
        <w:t>ой из возможных опций</w:t>
      </w:r>
      <w:r w:rsidR="000A156C" w:rsidRPr="00805C9F">
        <w:rPr>
          <w:szCs w:val="24"/>
        </w:rPr>
        <w:t xml:space="preserve"> </w:t>
      </w:r>
      <w:r w:rsidR="00277FD3" w:rsidRPr="00805C9F">
        <w:rPr>
          <w:b/>
          <w:szCs w:val="24"/>
        </w:rPr>
        <w:t xml:space="preserve">рекомендуется </w:t>
      </w:r>
      <w:r w:rsidR="00D02CBC" w:rsidRPr="00805C9F">
        <w:rPr>
          <w:szCs w:val="24"/>
        </w:rPr>
        <w:t>монотерапия</w:t>
      </w:r>
      <w:r w:rsidR="000A156C" w:rsidRPr="00805C9F">
        <w:rPr>
          <w:szCs w:val="24"/>
        </w:rPr>
        <w:t xml:space="preserve"> </w:t>
      </w:r>
      <w:r w:rsidR="00D02CBC" w:rsidRPr="00805C9F">
        <w:rPr>
          <w:szCs w:val="24"/>
        </w:rPr>
        <w:t>дексаметазоном</w:t>
      </w:r>
      <w:r w:rsidR="00403D5F" w:rsidRPr="00805C9F">
        <w:rPr>
          <w:szCs w:val="24"/>
        </w:rPr>
        <w:t>**</w:t>
      </w:r>
      <w:r w:rsidR="00D02CBC" w:rsidRPr="00805C9F">
        <w:rPr>
          <w:szCs w:val="24"/>
        </w:rPr>
        <w:t xml:space="preserve"> в высоких дозах</w:t>
      </w:r>
      <w:r w:rsidR="001C2BAD" w:rsidRPr="00805C9F">
        <w:rPr>
          <w:szCs w:val="24"/>
        </w:rPr>
        <w:t xml:space="preserve"> (описание режимов – см. приложение </w:t>
      </w:r>
      <w:r w:rsidR="00C812D6" w:rsidRPr="00805C9F">
        <w:rPr>
          <w:szCs w:val="24"/>
        </w:rPr>
        <w:t>А3.1</w:t>
      </w:r>
      <w:r w:rsidR="0094380E" w:rsidRPr="00805C9F">
        <w:rPr>
          <w:szCs w:val="24"/>
        </w:rPr>
        <w:t>.</w:t>
      </w:r>
      <w:r w:rsidR="001C2BAD" w:rsidRPr="00805C9F">
        <w:rPr>
          <w:szCs w:val="24"/>
        </w:rPr>
        <w:t>) – 4 цикла, либо до восстановления показателей крови</w:t>
      </w:r>
      <w:r w:rsidR="009D0748" w:rsidRPr="00805C9F">
        <w:rPr>
          <w:szCs w:val="24"/>
        </w:rPr>
        <w:t xml:space="preserve"> </w:t>
      </w:r>
      <w:r w:rsidR="00A96FB6" w:rsidRPr="00805C9F">
        <w:rPr>
          <w:szCs w:val="24"/>
        </w:rPr>
        <w:fldChar w:fldCharType="begin" w:fldLock="1"/>
      </w:r>
      <w:r w:rsidR="00500F37">
        <w:rPr>
          <w:szCs w:val="24"/>
        </w:rP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805C9F">
        <w:rPr>
          <w:szCs w:val="24"/>
        </w:rPr>
        <w:fldChar w:fldCharType="separate"/>
      </w:r>
      <w:r w:rsidR="00E03159" w:rsidRPr="00805C9F">
        <w:rPr>
          <w:noProof/>
          <w:szCs w:val="24"/>
        </w:rPr>
        <w:t>[1]</w:t>
      </w:r>
      <w:r w:rsidR="00A96FB6" w:rsidRPr="00805C9F">
        <w:rPr>
          <w:szCs w:val="24"/>
        </w:rPr>
        <w:fldChar w:fldCharType="end"/>
      </w:r>
      <w:r w:rsidR="001C2BAD" w:rsidRPr="00805C9F">
        <w:rPr>
          <w:szCs w:val="24"/>
        </w:rPr>
        <w:t xml:space="preserve">. </w:t>
      </w:r>
    </w:p>
    <w:p w14:paraId="2523561E" w14:textId="77777777" w:rsidR="00D02CBC" w:rsidRPr="00805C9F" w:rsidRDefault="00D02CBC" w:rsidP="00092917">
      <w:pPr>
        <w:pStyle w:val="a6"/>
        <w:spacing w:before="0" w:after="0"/>
        <w:ind w:left="0"/>
        <w:rPr>
          <w:b/>
          <w:szCs w:val="24"/>
        </w:rPr>
      </w:pPr>
      <w:r w:rsidRPr="00805C9F">
        <w:rPr>
          <w:b/>
          <w:szCs w:val="24"/>
        </w:rPr>
        <w:t xml:space="preserve">Уровень убедительности рекомендаций </w:t>
      </w:r>
      <w:r w:rsidR="00C21ADD" w:rsidRPr="00805C9F">
        <w:rPr>
          <w:b/>
          <w:szCs w:val="24"/>
        </w:rPr>
        <w:t xml:space="preserve">− </w:t>
      </w:r>
      <w:r w:rsidR="00BD6788" w:rsidRPr="00805C9F">
        <w:rPr>
          <w:b/>
          <w:szCs w:val="24"/>
          <w:lang w:val="en-US"/>
        </w:rPr>
        <w:t>C</w:t>
      </w:r>
      <w:r w:rsidR="009D0748" w:rsidRPr="00805C9F">
        <w:rPr>
          <w:b/>
          <w:szCs w:val="24"/>
        </w:rPr>
        <w:t xml:space="preserve"> </w:t>
      </w:r>
      <w:r w:rsidRPr="00805C9F">
        <w:rPr>
          <w:b/>
          <w:szCs w:val="24"/>
        </w:rPr>
        <w:t>(уровень достоверности доказательств</w:t>
      </w:r>
      <w:r w:rsidR="009D0748" w:rsidRPr="00805C9F">
        <w:rPr>
          <w:b/>
          <w:szCs w:val="24"/>
        </w:rPr>
        <w:t xml:space="preserve"> </w:t>
      </w:r>
      <w:r w:rsidR="00C21ADD" w:rsidRPr="00805C9F">
        <w:rPr>
          <w:b/>
          <w:szCs w:val="24"/>
        </w:rPr>
        <w:t xml:space="preserve">− </w:t>
      </w:r>
      <w:r w:rsidR="00BD6788" w:rsidRPr="00805C9F">
        <w:rPr>
          <w:b/>
          <w:szCs w:val="24"/>
        </w:rPr>
        <w:t>5</w:t>
      </w:r>
      <w:r w:rsidRPr="00805C9F">
        <w:rPr>
          <w:b/>
          <w:szCs w:val="24"/>
        </w:rPr>
        <w:t>)</w:t>
      </w:r>
    </w:p>
    <w:p w14:paraId="57AB7EC2" w14:textId="70E55E61" w:rsidR="009A45EF" w:rsidRPr="00805C9F" w:rsidRDefault="009A45EF" w:rsidP="00092917">
      <w:pPr>
        <w:pStyle w:val="a6"/>
        <w:numPr>
          <w:ilvl w:val="0"/>
          <w:numId w:val="8"/>
        </w:numPr>
        <w:tabs>
          <w:tab w:val="clear" w:pos="348"/>
          <w:tab w:val="num" w:pos="709"/>
        </w:tabs>
        <w:spacing w:before="0" w:after="0"/>
        <w:ind w:left="0" w:firstLine="0"/>
        <w:rPr>
          <w:szCs w:val="24"/>
        </w:rPr>
      </w:pPr>
      <w:r w:rsidRPr="00805C9F">
        <w:rPr>
          <w:szCs w:val="24"/>
        </w:rPr>
        <w:t xml:space="preserve">Пациентам с ММ с неконтролируемым болевым синдромом, при угрозах патологического перелома или при компрессии спинного мозга </w:t>
      </w:r>
      <w:r w:rsidRPr="00805C9F">
        <w:rPr>
          <w:b/>
          <w:szCs w:val="24"/>
        </w:rPr>
        <w:t xml:space="preserve">рекомендуется </w:t>
      </w:r>
      <w:r w:rsidRPr="00805C9F">
        <w:rPr>
          <w:bCs/>
          <w:szCs w:val="24"/>
        </w:rPr>
        <w:t xml:space="preserve">рассмотреть применение дистанционной лучевой терапии с паллиативной целью </w:t>
      </w:r>
      <w:r w:rsidR="00A96FB6" w:rsidRPr="00805C9F">
        <w:rPr>
          <w:bCs/>
          <w:szCs w:val="24"/>
        </w:rPr>
        <w:fldChar w:fldCharType="begin" w:fldLock="1"/>
      </w:r>
      <w:r w:rsidR="00A14090">
        <w:rPr>
          <w:bCs/>
          <w:szCs w:val="24"/>
        </w:rPr>
        <w:instrText>ADDIN CSL_CITATION {"citationItems":[{"id":"ITEM-1","itemData":{"DOI":"10.1016/j.ijrobp.2018.05.009","ISSN":"1879-355X","PMID":"29976492","abstract":"PURPOSE To develop guidelines for the work-up and radiation therapy (RT) management of patients with plasma cell neoplasms. METHODS AND MATERIALS A literature review was conducted covering staging, work-up, and RT management of plasma cell neoplasms. Guidelines were developed through consensus by an international panel of radiation oncologists with expertise in these diseases, from the International Lymphoma Radiation Oncology Group. RT volume definitions are based on the International Commission on Radiation Units and Measurements. RESULTS Plasma cell neoplasms account for approximately one-fifth of mature B-cell neoplasms in the United States. The majority (</w:instrText>
      </w:r>
      <w:r w:rsidR="00A14090">
        <w:rPr>
          <w:rFonts w:ascii="Cambria Math" w:hAnsi="Cambria Math" w:cs="Cambria Math"/>
          <w:bCs/>
          <w:szCs w:val="24"/>
        </w:rPr>
        <w:instrText>∼</w:instrText>
      </w:r>
      <w:r w:rsidR="00A14090">
        <w:rPr>
          <w:bCs/>
          <w:szCs w:val="24"/>
        </w:rPr>
        <w:instrText>95%) are diagnosed as multiple myeloma, in which there has been tremendous progress in systemic therapy approaches with novel drugs over the last 2 decades, resulting in improvements in disease control and survival. In contrast, a small proportion of patients with plasma cell neoplasms present with a localized plasmacytoma in the bone, or in extramedullary (extraosseous) soft tissues, and definitive RT is the standard treatment. RT provides long-term local control in the solitary bone plasmacytomas and is potentially curative in the extramedullary cases. This guideline reviews the diagnostic work-up, principles, and indications for RT, target volume definition, treatment planning, and follow-up procedures for solitary plasmacytoma. Specifically, detailed recommendations for RT volumes and dose/fractionation are provided, illustrated with specific case scenarios. The role of palliative RT in multiple myeloma is also discussed. CONCLUSIONS The International Lymphoma Radiation Oncology Group presents a standardized approach to the use and implementation of definitive RT in solitary plasmacytomas. The modern principles outlining the supportive role of palliative RT in multiple myeloma in an era of novel systemic therapies are also discussed.","author":[{"dropping-particle":"","family":"Tsang","given":"Richard W","non-dropping-particle":"","parse-names":false,"suffix":""},{"dropping-particle":"","family":"Campbell","given":"Belinda A","non-dropping-particle":"","parse-names":false,"suffix":""},{"dropping-particle":"","family":"Goda","given":"Jayant S","non-dropping-particle":"","parse-names":false,"suffix":""},{"dropping-particle":"","family":"Kelsey","given":"Chris R","non-dropping-particle":"","parse-names":false,"suffix":""},{"dropping-particle":"","family":"Kirova","given":"Youlia M","non-dropping-particle":"","parse-names":false,"suffix":""},{"dropping-particle":"","family":"Parikh","given":"Rahul R","non-dropping-particle":"","parse-names":false,"suffix":""},{"dropping-particle":"","family":"Ng","given":"Andrea K","non-dropping-particle":"","parse-names":false,"suffix":""},{"dropping-particle":"","family":"Ricardi","given":"Umberto","non-dropping-particle":"","parse-names":false,"suffix":""},{"dropping-particle":"","family":"Suh","given":"Chang-Ok","non-dropping-particle":"","parse-names":false,"suffix":""},{"dropping-particle":"","family":"Mauch","given":"Peter M","non-dropping-particle":"","parse-names":false,"suffix":""},{"dropping-particle":"","family":"Specht","given":"Lena","non-dropping-particle":"","parse-names":false,"suffix":""},{"dropping-particle":"","family":"Yahalom","given":"Joachim","non-dropping-particle":"","parse-names":false,"suffix":""}],"container-title":"International journal of radiation oncology, biology, physics","id":"ITEM-1","issue":"4","issued":{"date-parts":[["2018"]]},"page":"794-808","title":"Radiation Therapy for Solitary Plasmacytoma and Multiple Myeloma: Guidelines From the International Lymphoma Radiation Oncology Group.","type":"article-journal","volume":"101"},"uris":["http://www.mendeley.com/documents/?uuid=f4bfe628-ea0d-3a70-ad32-a87028222960"]},{"id":"ITEM-2","itemData":{"DOI":"10.3389/fonc.2019.00601","ISSN":"2234-943X","PMID":"31334121","abstract":"Purpose: The objective of this study was to assess a contemporary cohort of patients with multiple myeloma referred for palliative radiation to the mobile spine for clinical and radiological responses. Materials/Methods: The records of patients treated between 2009 and 2016 with radiotherapy for multiple myeloma of the spine were retrospectively reviewed. Demographics, systemic therapy, radiation dose, number of fractions, radiographic response based upon adapted RECIST criteria, and symptomatic response were recorded. Results: Eighty eight patients and 98 treatment courses were analyzed. All courses were analyzed for symptomatic response and 61 of the treatment courses were available for radiologic follow-up. The median follow-up was 9.7 months with a median radiation dose of 25 Gy (12.5-50 Gy) delivered in a median of 10 fractions (5-25 fractions). Fifty-four percent of patients had a high-risk lesion. Symptomatic response as measured by a decrease of ≤5 points on the pain related scale was 83% and 34% of patients had a decrease of &gt;5 points. Of 35% of patients that had neurologic impairments prior to treatment, improvement was identified 83% of the time. Radiographic response was noted as 13% complete response, 16% partial response, 57% stable disease, and 13% disease progression. Specifically, high-risk lesions treated with radiation alone demonstrated no regression with only 10% demonstrating partial response. Conclusion: This retrospective series of patients treated with palliative intent for multiple myeloma using various dose and fractionation schemes showed favorable symptomatic relief in most patients. Radiographic response did not correlate with clinical response with fewer patients having radiologic disease regression. Longer follow-up is necessary to determine if the lack of radiologic response is associated with clinically relevant recurrent pain.","author":[{"dropping-particle":"","family":"Mark","given":"Daniel","non-dropping-particle":"","parse-names":false,"suffix":""},{"dropping-particle":"","family":"Gilbo","given":"Philip","non-dropping-particle":"","parse-names":false,"suffix":""},{"dropping-particle":"","family":"Meshrekey","given":"Raymond","non-dropping-particle":"","parse-names":false,"suffix":""},{"dropping-particle":"","family":"Ghaly","given":"Maged","non-dropping-particle":"","parse-names":false,"suffix":""}],"container-title":"Frontiers in oncology","id":"ITEM-2","issued":{"date-parts":[["2019"]]},"page":"601","title":"Local Radiation Therapy for Palliation in Patients With Multiple Myeloma of the Spine.","type":"article-journal","volume":"9"},"uris":["http://www.mendeley.com/documents/?uuid=16895ece-dab7-3031-ba13-5908f14424ab"]}],"mendeley":{"formattedCitation":"[75,76]","plainTextFormattedCitation":"[75,76]","previouslyFormattedCitation":"[75,76]"},"properties":{"noteIndex":0},"schema":"https://github.com/citation-style-language/schema/raw/master/csl-citation.json"}</w:instrText>
      </w:r>
      <w:r w:rsidR="00A96FB6" w:rsidRPr="00805C9F">
        <w:rPr>
          <w:bCs/>
          <w:szCs w:val="24"/>
        </w:rPr>
        <w:fldChar w:fldCharType="separate"/>
      </w:r>
      <w:r w:rsidR="00500F37" w:rsidRPr="00500F37">
        <w:rPr>
          <w:bCs/>
          <w:noProof/>
          <w:szCs w:val="24"/>
        </w:rPr>
        <w:t>[75,76]</w:t>
      </w:r>
      <w:r w:rsidR="00A96FB6" w:rsidRPr="00805C9F">
        <w:rPr>
          <w:bCs/>
          <w:szCs w:val="24"/>
        </w:rPr>
        <w:fldChar w:fldCharType="end"/>
      </w:r>
      <w:r w:rsidRPr="00805C9F">
        <w:rPr>
          <w:szCs w:val="24"/>
        </w:rPr>
        <w:t>.</w:t>
      </w:r>
    </w:p>
    <w:p w14:paraId="692ACBB7" w14:textId="77777777" w:rsidR="009A45EF" w:rsidRPr="00805C9F" w:rsidRDefault="009A45EF" w:rsidP="00092917">
      <w:pPr>
        <w:pStyle w:val="a6"/>
        <w:spacing w:before="0" w:after="0"/>
        <w:ind w:left="0"/>
        <w:rPr>
          <w:b/>
          <w:szCs w:val="24"/>
        </w:rPr>
      </w:pPr>
      <w:r w:rsidRPr="00805C9F">
        <w:rPr>
          <w:b/>
          <w:szCs w:val="24"/>
        </w:rPr>
        <w:t xml:space="preserve">Уровень убедительности рекомендаций </w:t>
      </w:r>
      <w:r w:rsidR="00C21ADD" w:rsidRPr="00805C9F">
        <w:rPr>
          <w:b/>
          <w:szCs w:val="24"/>
        </w:rPr>
        <w:t xml:space="preserve">− </w:t>
      </w:r>
      <w:r w:rsidRPr="00805C9F">
        <w:rPr>
          <w:b/>
          <w:szCs w:val="24"/>
          <w:lang w:val="en-US"/>
        </w:rPr>
        <w:t>C</w:t>
      </w:r>
      <w:r w:rsidRPr="00805C9F">
        <w:rPr>
          <w:b/>
          <w:szCs w:val="24"/>
        </w:rPr>
        <w:t xml:space="preserve"> (уровень достоверности доказательств </w:t>
      </w:r>
      <w:r w:rsidR="00C21ADD" w:rsidRPr="00805C9F">
        <w:rPr>
          <w:b/>
          <w:szCs w:val="24"/>
        </w:rPr>
        <w:t xml:space="preserve">− </w:t>
      </w:r>
      <w:r w:rsidRPr="00805C9F">
        <w:rPr>
          <w:b/>
          <w:szCs w:val="24"/>
        </w:rPr>
        <w:t>5)</w:t>
      </w:r>
    </w:p>
    <w:p w14:paraId="29D61342" w14:textId="77777777" w:rsidR="009A45EF" w:rsidRPr="00805C9F" w:rsidRDefault="009A45EF" w:rsidP="00092917">
      <w:pPr>
        <w:pStyle w:val="a6"/>
        <w:spacing w:before="0" w:after="0"/>
        <w:ind w:left="0"/>
        <w:rPr>
          <w:bCs/>
          <w:i/>
          <w:iCs/>
          <w:szCs w:val="24"/>
        </w:rPr>
      </w:pPr>
      <w:r w:rsidRPr="00805C9F">
        <w:rPr>
          <w:b/>
          <w:szCs w:val="24"/>
        </w:rPr>
        <w:t xml:space="preserve">Комментарий: </w:t>
      </w:r>
      <w:r w:rsidRPr="00805C9F">
        <w:rPr>
          <w:bCs/>
          <w:i/>
          <w:iCs/>
          <w:szCs w:val="24"/>
        </w:rPr>
        <w:t xml:space="preserve">режим </w:t>
      </w:r>
      <w:r w:rsidR="00C21ADD" w:rsidRPr="00805C9F">
        <w:rPr>
          <w:bCs/>
          <w:i/>
          <w:iCs/>
          <w:szCs w:val="24"/>
        </w:rPr>
        <w:t>лучевой терапии</w:t>
      </w:r>
      <w:r w:rsidRPr="00805C9F">
        <w:rPr>
          <w:bCs/>
          <w:i/>
          <w:iCs/>
          <w:szCs w:val="24"/>
        </w:rPr>
        <w:t xml:space="preserve"> определяется клинической ситуацией, соматическим состоянием </w:t>
      </w:r>
      <w:r w:rsidR="00534E54" w:rsidRPr="00805C9F">
        <w:rPr>
          <w:bCs/>
          <w:i/>
          <w:iCs/>
          <w:szCs w:val="24"/>
        </w:rPr>
        <w:t>пациента</w:t>
      </w:r>
      <w:r w:rsidRPr="00805C9F">
        <w:rPr>
          <w:bCs/>
          <w:i/>
          <w:iCs/>
          <w:szCs w:val="24"/>
        </w:rPr>
        <w:t xml:space="preserve">: </w:t>
      </w:r>
      <w:r w:rsidR="00C21ADD" w:rsidRPr="00805C9F">
        <w:rPr>
          <w:bCs/>
          <w:i/>
          <w:iCs/>
          <w:szCs w:val="24"/>
        </w:rPr>
        <w:t>разовая очаговая доза</w:t>
      </w:r>
      <w:r w:rsidRPr="00805C9F">
        <w:rPr>
          <w:bCs/>
          <w:i/>
          <w:iCs/>
          <w:szCs w:val="24"/>
        </w:rPr>
        <w:t xml:space="preserve"> 8 Гр однократно или </w:t>
      </w:r>
      <w:r w:rsidR="007279FD" w:rsidRPr="00805C9F">
        <w:rPr>
          <w:bCs/>
          <w:i/>
          <w:iCs/>
          <w:szCs w:val="24"/>
        </w:rPr>
        <w:t xml:space="preserve">разовая очаговая доза </w:t>
      </w:r>
      <w:r w:rsidRPr="00805C9F">
        <w:rPr>
          <w:bCs/>
          <w:i/>
          <w:iCs/>
          <w:szCs w:val="24"/>
        </w:rPr>
        <w:t xml:space="preserve">2,0–3,0 Гр до </w:t>
      </w:r>
      <w:r w:rsidR="007279FD" w:rsidRPr="00805C9F">
        <w:rPr>
          <w:bCs/>
          <w:i/>
          <w:iCs/>
          <w:szCs w:val="24"/>
        </w:rPr>
        <w:t>суммарной очаговой дозы</w:t>
      </w:r>
      <w:r w:rsidRPr="00805C9F">
        <w:rPr>
          <w:bCs/>
          <w:i/>
          <w:iCs/>
          <w:szCs w:val="24"/>
        </w:rPr>
        <w:t xml:space="preserve"> 10</w:t>
      </w:r>
      <w:r w:rsidR="007279FD" w:rsidRPr="00805C9F">
        <w:rPr>
          <w:bCs/>
          <w:i/>
          <w:iCs/>
          <w:szCs w:val="24"/>
        </w:rPr>
        <w:t>−</w:t>
      </w:r>
      <w:r w:rsidRPr="00805C9F">
        <w:rPr>
          <w:bCs/>
          <w:i/>
          <w:iCs/>
          <w:szCs w:val="24"/>
        </w:rPr>
        <w:t xml:space="preserve">30 Гр. При планировании </w:t>
      </w:r>
      <w:r w:rsidR="00D71FBE" w:rsidRPr="00805C9F">
        <w:rPr>
          <w:bCs/>
          <w:i/>
          <w:iCs/>
          <w:szCs w:val="24"/>
        </w:rPr>
        <w:t>ВДХТ</w:t>
      </w:r>
      <w:r w:rsidRPr="00805C9F">
        <w:rPr>
          <w:bCs/>
          <w:i/>
          <w:iCs/>
          <w:szCs w:val="24"/>
        </w:rPr>
        <w:t xml:space="preserve"> с последующей ауто-ТГСК объем лучевой терапии должен быть ограничен с учетом необходимости проведения сбора стволовых клеток.</w:t>
      </w:r>
    </w:p>
    <w:p w14:paraId="1C52EF20" w14:textId="7A6DD674" w:rsidR="00B424E0" w:rsidRPr="00805C9F" w:rsidRDefault="00B424E0" w:rsidP="00092917">
      <w:pPr>
        <w:pStyle w:val="2"/>
        <w:spacing w:before="0" w:after="0"/>
        <w:rPr>
          <w:rStyle w:val="ac"/>
          <w:rFonts w:eastAsia="Calibri"/>
          <w:b/>
          <w:bCs w:val="0"/>
          <w:szCs w:val="24"/>
          <w:u w:val="none"/>
        </w:rPr>
      </w:pPr>
      <w:bookmarkStart w:id="36" w:name="_Toc97734634"/>
      <w:r w:rsidRPr="00805C9F">
        <w:rPr>
          <w:rStyle w:val="ac"/>
          <w:b/>
          <w:bCs w:val="0"/>
          <w:szCs w:val="24"/>
        </w:rPr>
        <w:t>3.5 Лечение больных множественной миеломой с почечной недостаточностью</w:t>
      </w:r>
      <w:bookmarkEnd w:id="36"/>
    </w:p>
    <w:p w14:paraId="192C627F" w14:textId="77777777" w:rsidR="00B424E0" w:rsidRPr="00805C9F" w:rsidRDefault="00B424E0" w:rsidP="00092917">
      <w:pPr>
        <w:spacing w:before="0" w:after="0"/>
        <w:rPr>
          <w:b/>
          <w:szCs w:val="24"/>
        </w:rPr>
      </w:pPr>
      <w:r w:rsidRPr="00805C9F">
        <w:rPr>
          <w:b/>
          <w:szCs w:val="24"/>
        </w:rPr>
        <w:t xml:space="preserve">Индукционная терапия больных с почечной недостаточностью. </w:t>
      </w:r>
    </w:p>
    <w:p w14:paraId="1F6535F7" w14:textId="52DA5A6F" w:rsidR="004B0830" w:rsidRPr="00805C9F" w:rsidRDefault="004B0830" w:rsidP="00092917">
      <w:pPr>
        <w:pStyle w:val="a6"/>
        <w:numPr>
          <w:ilvl w:val="0"/>
          <w:numId w:val="10"/>
        </w:numPr>
        <w:spacing w:before="0" w:after="0"/>
        <w:ind w:left="0" w:firstLine="0"/>
        <w:rPr>
          <w:szCs w:val="24"/>
        </w:rPr>
      </w:pPr>
      <w:r w:rsidRPr="00805C9F">
        <w:rPr>
          <w:szCs w:val="24"/>
        </w:rPr>
        <w:t xml:space="preserve">Пациентам с ММ, осложненной миеломной нефропатией </w:t>
      </w:r>
      <w:r w:rsidRPr="00805C9F">
        <w:rPr>
          <w:b/>
          <w:szCs w:val="24"/>
        </w:rPr>
        <w:t xml:space="preserve">рекомендуется </w:t>
      </w:r>
      <w:r w:rsidRPr="00805C9F">
        <w:rPr>
          <w:szCs w:val="24"/>
        </w:rPr>
        <w:t>проведение</w:t>
      </w:r>
      <w:r w:rsidRPr="00805C9F">
        <w:rPr>
          <w:b/>
          <w:szCs w:val="24"/>
        </w:rPr>
        <w:t xml:space="preserve"> </w:t>
      </w:r>
      <w:r w:rsidRPr="00805C9F">
        <w:rPr>
          <w:szCs w:val="24"/>
        </w:rPr>
        <w:t>противоопухолевой терапии, включающей</w:t>
      </w:r>
      <w:r w:rsidRPr="00805C9F">
        <w:rPr>
          <w:b/>
          <w:szCs w:val="24"/>
        </w:rPr>
        <w:t xml:space="preserve"> </w:t>
      </w:r>
      <w:r w:rsidRPr="00805C9F">
        <w:rPr>
          <w:szCs w:val="24"/>
        </w:rPr>
        <w:t>бортезомиб</w:t>
      </w:r>
      <w:r w:rsidR="00BB0E33" w:rsidRPr="00805C9F">
        <w:rPr>
          <w:szCs w:val="24"/>
        </w:rPr>
        <w:t>**</w:t>
      </w:r>
      <w:r w:rsidRPr="00805C9F">
        <w:rPr>
          <w:b/>
          <w:szCs w:val="24"/>
        </w:rPr>
        <w:t xml:space="preserve">. </w:t>
      </w:r>
      <w:r w:rsidRPr="00805C9F">
        <w:rPr>
          <w:szCs w:val="24"/>
        </w:rPr>
        <w:fldChar w:fldCharType="begin" w:fldLock="1"/>
      </w:r>
      <w:r w:rsidR="00A14090">
        <w:rPr>
          <w:szCs w:val="24"/>
        </w:rPr>
        <w:instrText>ADDIN CSL_CITATION {"citationItems":[{"id":"ITEM-1","itemData":{"DOI":"10.1002/cncr.28325","ISSN":"0008543X","author":[{"dropping-particle":"","family":"Nooka","given":"Ajay K.","non-dropping-particle":"","parse-names":false,"suffix":""},{"dropping-particle":"","family":"Kaufman","given":"Jonathan L.","non-dropping-particle":"","parse-names":false,"suffix":""},{"dropping-particle":"","family":"Behera","given":"Madhusmita","non-dropping-particle":"","parse-names":false,"suffix":""},{"dropping-particle":"","family":"Langston","given":"Amelia","non-dropping-particle":"","parse-names":false,"suffix":""},{"dropping-particle":"","family":"Waller","given":"Edmund K.","non-dropping-particle":"","parse-names":false,"suffix":""},{"dropping-particle":"","family":"Flowers","given":"Christopher R.","non-dropping-particle":"","parse-names":false,"suffix":""},{"dropping-particle":"","family":"Gleason","given":"Charise","non-dropping-particle":"","parse-names":false,"suffix":""},{"dropping-particle":"","family":"Boise","given":"Lawrence H.","non-dropping-particle":"","parse-names":false,"suffix":""},{"dropping-particle":"","family":"Lonial","given":"Sagar","non-dropping-particle":"","parse-names":false,"suffix":""}],"container-title":"Cancer","id":"ITEM-1","issue":"23","issued":{"date-parts":[["2013","12","1"]]},"page":"4119-4128","title":"Bortezomib-containing induction regimens in transplant-eligible myeloma patients","type":"article-journal","volume":"119"},"uris":["http://www.mendeley.com/documents/?uuid=256f10f7-eef8-3ee6-82f2-127c8c710e16"]},{"id":"ITEM-2","itemData":{"DOI":"10.1111/bjh.12946","ISSN":"13652141","abstract":"Three-drug induction regimens have become the standard of care in newly diagnosed transplant-eligible multiple myeloma patients. Two frequently used protocols are bortezomib, cyclophosphamide and dexamethasone (VCD) and bortezomib, thalidomide and dexamethasone (VTD). Comparisons between the two are lacking. The present study aimed to identify the differences in response rate and toxicity between the two regimens. Databases were searched using the terms 'VTD' or 'VCD' and 'induction regimens for newly diagnosed multiple myeloma'. Prospective trials evaluating initial response in transplant eligible patients were included. The main outcome measures were response rates and adverse events. Eight clinical trials were eligible for analysis. Overall 672 patients were treated with either VCD (n = 157) or VTD (n = 515) as induction therapy. Patients treated with VTD presented with a significantly higher complete/near complete response (34% vs. 6%, P = 0·002) as well as a higher very good partial response rate or better, following induction therapy (62% vs. 27%, P &lt; 0·0001). Although grade 3-4 neurotoxicity was more frequent during VTD therapy (11% vs. 6%, P = 0·057), a higher incidence of overall grade 3-4 adverse events was found in the VCD-treated patients (74% vs. 51%, P &lt; 0·001). VTD induction therapy may be superior in achieving deeper response rate following induction therapy, and is better tolerated. © 2014 John Wiley &amp; Sons Ltd.","author":[{"dropping-particle":"","family":"Leiba","given":"Merav","non-dropping-particle":"","parse-names":false,"suffix":""},{"dropping-particle":"","family":"Kedmi","given":"Meirav","non-dropping-particle":"","parse-names":false,"suffix":""},{"dropping-particle":"","family":"Duek","given":"Adrian","non-dropping-particle":"","parse-names":false,"suffix":""},{"dropping-particle":"","family":"Freidman","given":"Tzachi","non-dropping-particle":"","parse-names":false,"suffix":""},{"dropping-particle":"","family":"Weiss","given":"Mia","non-dropping-particle":"","parse-names":false,"suffix":""},{"dropping-particle":"","family":"Leiba","given":"Ronit","non-dropping-particle":"","parse-names":false,"suffix":""},{"dropping-particle":"","family":"Nagler","given":"Arnon","non-dropping-particle":"","parse-names":false,"suffix":""},{"dropping-particle":"","family":"Avigdor","given":"Abraham","non-dropping-particle":"","parse-names":false,"suffix":""}],"container-title":"British Journal of Haematology","id":"ITEM-2","issue":"5","issued":{"date-parts":[["2014"]]},"page":"702-710","publisher":"Blackwell Publishing Ltd","title":"Bortezomib-Cyclophosphamide-Dexamethasone (VCD) versus Bortezomib-Thalidomide-Dexamethasone (VTD) -based regimens as induction therapies in newly diagnosed transplant eligible patients with multiple myeloma: A meta-analysis","type":"article-journal","volume":"166"},"uris":["http://www.mendeley.com/documents/?uuid=305ba1b6-a29e-353f-b070-b7510acc69ad"]}],"mendeley":{"formattedCitation":"[40,41]","plainTextFormattedCitation":"[40,41]","previouslyFormattedCitation":"[40,41]"},"properties":{"noteIndex":0},"schema":"https://github.com/citation-style-language/schema/raw/master/csl-citation.json"}</w:instrText>
      </w:r>
      <w:r w:rsidRPr="00805C9F">
        <w:rPr>
          <w:szCs w:val="24"/>
        </w:rPr>
        <w:fldChar w:fldCharType="separate"/>
      </w:r>
      <w:r w:rsidR="00500F37" w:rsidRPr="00500F37">
        <w:rPr>
          <w:noProof/>
          <w:szCs w:val="24"/>
        </w:rPr>
        <w:t>[40,41]</w:t>
      </w:r>
      <w:r w:rsidRPr="00805C9F">
        <w:rPr>
          <w:szCs w:val="24"/>
        </w:rPr>
        <w:fldChar w:fldCharType="end"/>
      </w:r>
      <w:r w:rsidRPr="00805C9F">
        <w:rPr>
          <w:szCs w:val="24"/>
        </w:rPr>
        <w:t>.</w:t>
      </w:r>
    </w:p>
    <w:p w14:paraId="2CC3E668" w14:textId="0B3B0007" w:rsidR="004B0830" w:rsidRPr="00805C9F" w:rsidRDefault="004B0830" w:rsidP="00092917">
      <w:pPr>
        <w:spacing w:before="0" w:after="0"/>
        <w:rPr>
          <w:b/>
          <w:szCs w:val="24"/>
        </w:rPr>
      </w:pPr>
      <w:r w:rsidRPr="00805C9F">
        <w:rPr>
          <w:b/>
          <w:szCs w:val="24"/>
        </w:rPr>
        <w:t xml:space="preserve">Уровень убедительности рекомендаций − А (уровень достоверности доказательств − </w:t>
      </w:r>
      <w:r w:rsidR="00B37E1F" w:rsidRPr="00805C9F">
        <w:rPr>
          <w:b/>
          <w:szCs w:val="24"/>
        </w:rPr>
        <w:t>1</w:t>
      </w:r>
      <w:r w:rsidRPr="00805C9F">
        <w:rPr>
          <w:b/>
          <w:szCs w:val="24"/>
        </w:rPr>
        <w:t>)</w:t>
      </w:r>
    </w:p>
    <w:p w14:paraId="3AC538FC" w14:textId="33D3696A" w:rsidR="00B13C92" w:rsidRPr="00805C9F" w:rsidRDefault="004B0830" w:rsidP="00092917">
      <w:pPr>
        <w:pStyle w:val="a6"/>
        <w:spacing w:before="0" w:after="0"/>
        <w:ind w:left="0"/>
        <w:rPr>
          <w:i/>
          <w:szCs w:val="24"/>
        </w:rPr>
      </w:pPr>
      <w:r w:rsidRPr="00805C9F">
        <w:rPr>
          <w:i/>
          <w:szCs w:val="24"/>
        </w:rPr>
        <w:t>Комментарий: б</w:t>
      </w:r>
      <w:r w:rsidR="0010200D" w:rsidRPr="00805C9F">
        <w:rPr>
          <w:i/>
          <w:szCs w:val="24"/>
        </w:rPr>
        <w:t xml:space="preserve">ортезомиб-содержащие схемы остаются основными в лечении пациентов с миеломной нефропатией. </w:t>
      </w:r>
      <w:r w:rsidR="00B424E0" w:rsidRPr="00805C9F">
        <w:rPr>
          <w:i/>
          <w:szCs w:val="24"/>
        </w:rPr>
        <w:t>Для пациентов с сохраненной водовыделительной функцией показана гидратация в объеме 3 л/сутки или 2 л/м</w:t>
      </w:r>
      <w:r w:rsidR="00B424E0" w:rsidRPr="00805C9F">
        <w:rPr>
          <w:i/>
          <w:szCs w:val="24"/>
          <w:vertAlign w:val="superscript"/>
        </w:rPr>
        <w:t>2</w:t>
      </w:r>
      <w:r w:rsidR="008F69F6" w:rsidRPr="00805C9F">
        <w:rPr>
          <w:i/>
          <w:szCs w:val="24"/>
        </w:rPr>
        <w:t xml:space="preserve"> в сутки.</w:t>
      </w:r>
      <w:r w:rsidRPr="00805C9F">
        <w:rPr>
          <w:i/>
          <w:szCs w:val="24"/>
        </w:rPr>
        <w:t xml:space="preserve"> </w:t>
      </w:r>
      <w:r w:rsidR="00B424E0" w:rsidRPr="00805C9F">
        <w:rPr>
          <w:i/>
          <w:szCs w:val="24"/>
        </w:rPr>
        <w:t>Следует начинать терапию бортезомибом</w:t>
      </w:r>
      <w:r w:rsidR="00BB0E33" w:rsidRPr="00805C9F">
        <w:rPr>
          <w:i/>
          <w:szCs w:val="24"/>
        </w:rPr>
        <w:t>**</w:t>
      </w:r>
      <w:r w:rsidR="00B424E0" w:rsidRPr="00805C9F">
        <w:rPr>
          <w:i/>
          <w:szCs w:val="24"/>
        </w:rPr>
        <w:t xml:space="preserve"> в стандартной дозе 1,3 мг/м</w:t>
      </w:r>
      <w:r w:rsidR="00B424E0" w:rsidRPr="00805C9F">
        <w:rPr>
          <w:i/>
          <w:szCs w:val="24"/>
          <w:vertAlign w:val="superscript"/>
        </w:rPr>
        <w:t>2</w:t>
      </w:r>
      <w:r w:rsidR="00B424E0" w:rsidRPr="00805C9F">
        <w:rPr>
          <w:i/>
          <w:szCs w:val="24"/>
        </w:rPr>
        <w:t xml:space="preserve"> в 1, 4, 8 и 11 дни 3-недельного цикла. </w:t>
      </w:r>
      <w:r w:rsidR="00B424E0" w:rsidRPr="00805C9F">
        <w:rPr>
          <w:i/>
          <w:szCs w:val="24"/>
        </w:rPr>
        <w:lastRenderedPageBreak/>
        <w:t>Подкожное введение бортезомиба</w:t>
      </w:r>
      <w:r w:rsidR="00BB0E33" w:rsidRPr="00805C9F">
        <w:rPr>
          <w:i/>
          <w:szCs w:val="24"/>
        </w:rPr>
        <w:t>**</w:t>
      </w:r>
      <w:r w:rsidR="00B424E0" w:rsidRPr="00805C9F">
        <w:rPr>
          <w:i/>
          <w:szCs w:val="24"/>
        </w:rPr>
        <w:t xml:space="preserve"> имеет такую же эффективность, как и внутривенное. Рекомендуемая высокая доза дексаметазона</w:t>
      </w:r>
      <w:r w:rsidR="00BB0E33" w:rsidRPr="00805C9F">
        <w:rPr>
          <w:i/>
          <w:szCs w:val="24"/>
        </w:rPr>
        <w:t>**</w:t>
      </w:r>
      <w:r w:rsidR="00B424E0" w:rsidRPr="00805C9F">
        <w:rPr>
          <w:i/>
          <w:szCs w:val="24"/>
        </w:rPr>
        <w:t xml:space="preserve"> – 40 мг/день (20 мг для пациентов старше 75 лет) применяется в первом цикле терапии в режиме 4 дня введения - 4 дня пауза; затем – соответственно протоколу лечения, т. е. суммарная доза дексаметазона</w:t>
      </w:r>
      <w:r w:rsidR="00BB0E33" w:rsidRPr="00805C9F">
        <w:rPr>
          <w:i/>
          <w:szCs w:val="24"/>
        </w:rPr>
        <w:t>**</w:t>
      </w:r>
      <w:r w:rsidR="00B424E0" w:rsidRPr="00805C9F">
        <w:rPr>
          <w:i/>
          <w:szCs w:val="24"/>
        </w:rPr>
        <w:t xml:space="preserve"> </w:t>
      </w:r>
      <w:proofErr w:type="gramStart"/>
      <w:r w:rsidR="00B424E0" w:rsidRPr="00805C9F">
        <w:rPr>
          <w:i/>
          <w:szCs w:val="24"/>
        </w:rPr>
        <w:t>во время</w:t>
      </w:r>
      <w:proofErr w:type="gramEnd"/>
      <w:r w:rsidR="00B424E0" w:rsidRPr="00805C9F">
        <w:rPr>
          <w:i/>
          <w:szCs w:val="24"/>
        </w:rPr>
        <w:t xml:space="preserve"> 1-го курса составляет 320 мг</w:t>
      </w:r>
      <w:r w:rsidR="008F69F6" w:rsidRPr="00805C9F">
        <w:rPr>
          <w:i/>
          <w:szCs w:val="24"/>
        </w:rPr>
        <w:t>.</w:t>
      </w:r>
      <w:r w:rsidR="00B424E0" w:rsidRPr="00805C9F">
        <w:rPr>
          <w:szCs w:val="24"/>
        </w:rPr>
        <w:t xml:space="preserve"> </w:t>
      </w:r>
      <w:r w:rsidR="00B424E0" w:rsidRPr="00805C9F">
        <w:rPr>
          <w:i/>
          <w:szCs w:val="24"/>
        </w:rPr>
        <w:t>Добавление третьего препарата к VD может быть эффективным. У пациентов, подходящих для ауто</w:t>
      </w:r>
      <w:r w:rsidR="00BB0E33" w:rsidRPr="00805C9F">
        <w:rPr>
          <w:i/>
          <w:szCs w:val="24"/>
        </w:rPr>
        <w:t>-</w:t>
      </w:r>
      <w:r w:rsidR="00B424E0" w:rsidRPr="00805C9F">
        <w:rPr>
          <w:i/>
          <w:szCs w:val="24"/>
        </w:rPr>
        <w:t>ТГСК, бортезомиб</w:t>
      </w:r>
      <w:r w:rsidR="00BB0E33" w:rsidRPr="00805C9F">
        <w:rPr>
          <w:i/>
          <w:szCs w:val="24"/>
        </w:rPr>
        <w:t>**</w:t>
      </w:r>
      <w:r w:rsidR="00B424E0" w:rsidRPr="00805C9F">
        <w:rPr>
          <w:i/>
          <w:szCs w:val="24"/>
        </w:rPr>
        <w:t xml:space="preserve"> можно назначать в комбинации ци</w:t>
      </w:r>
      <w:r w:rsidR="008F69F6" w:rsidRPr="00805C9F">
        <w:rPr>
          <w:i/>
          <w:szCs w:val="24"/>
        </w:rPr>
        <w:t>клофосфамидом</w:t>
      </w:r>
      <w:r w:rsidR="00BB0E33" w:rsidRPr="00805C9F">
        <w:rPr>
          <w:i/>
          <w:szCs w:val="24"/>
        </w:rPr>
        <w:t>**</w:t>
      </w:r>
      <w:r w:rsidR="008F69F6" w:rsidRPr="00805C9F">
        <w:rPr>
          <w:i/>
          <w:szCs w:val="24"/>
        </w:rPr>
        <w:t xml:space="preserve"> и дексаметазоном</w:t>
      </w:r>
      <w:r w:rsidR="00BB0E33" w:rsidRPr="00805C9F">
        <w:rPr>
          <w:i/>
          <w:szCs w:val="24"/>
        </w:rPr>
        <w:t>**</w:t>
      </w:r>
      <w:r w:rsidR="00791645" w:rsidRPr="00805C9F">
        <w:rPr>
          <w:i/>
          <w:szCs w:val="24"/>
        </w:rPr>
        <w:t>.</w:t>
      </w:r>
    </w:p>
    <w:p w14:paraId="453810E3" w14:textId="1A644DB5" w:rsidR="001317C7" w:rsidRPr="00805C9F" w:rsidRDefault="00B13C92" w:rsidP="00092917">
      <w:pPr>
        <w:pStyle w:val="a6"/>
        <w:numPr>
          <w:ilvl w:val="0"/>
          <w:numId w:val="10"/>
        </w:numPr>
        <w:spacing w:before="0" w:after="0"/>
        <w:ind w:left="0" w:firstLine="0"/>
        <w:rPr>
          <w:i/>
          <w:szCs w:val="24"/>
        </w:rPr>
      </w:pPr>
      <w:r w:rsidRPr="00805C9F">
        <w:rPr>
          <w:szCs w:val="24"/>
        </w:rPr>
        <w:t xml:space="preserve">Пациентам с ММ, осложненной миеломной нефропатией (особенно у диализ-зависимых пациентов) </w:t>
      </w:r>
      <w:r w:rsidRPr="00805C9F">
        <w:rPr>
          <w:b/>
          <w:szCs w:val="24"/>
        </w:rPr>
        <w:t xml:space="preserve">рекомендуется </w:t>
      </w:r>
      <w:r w:rsidRPr="00805C9F">
        <w:rPr>
          <w:szCs w:val="24"/>
        </w:rPr>
        <w:t xml:space="preserve">оценивать </w:t>
      </w:r>
      <w:r w:rsidR="004B0830" w:rsidRPr="00805C9F">
        <w:rPr>
          <w:szCs w:val="24"/>
        </w:rPr>
        <w:t>г</w:t>
      </w:r>
      <w:r w:rsidR="00B424E0" w:rsidRPr="00805C9F">
        <w:rPr>
          <w:szCs w:val="24"/>
        </w:rPr>
        <w:t>ематологический ответ после каждого курса терапии, при этом показатели секреции СЛЦ иммуноглобулинов должны снижаться после каждого курса. При отсутствии положительной динамики содержания СЛЦ</w:t>
      </w:r>
      <w:r w:rsidRPr="00805C9F">
        <w:rPr>
          <w:szCs w:val="24"/>
        </w:rPr>
        <w:t>, непереносимости бортезомиба</w:t>
      </w:r>
      <w:r w:rsidR="00BB0E33" w:rsidRPr="00805C9F">
        <w:rPr>
          <w:szCs w:val="24"/>
        </w:rPr>
        <w:t>**</w:t>
      </w:r>
      <w:r w:rsidR="00B424E0" w:rsidRPr="00805C9F">
        <w:rPr>
          <w:szCs w:val="24"/>
        </w:rPr>
        <w:t xml:space="preserve"> необходима смена программы лечения</w:t>
      </w:r>
      <w:r w:rsidR="00791645" w:rsidRPr="00805C9F">
        <w:rPr>
          <w:szCs w:val="24"/>
        </w:rPr>
        <w:t xml:space="preserve"> – переход на II линию терапии</w:t>
      </w:r>
      <w:r w:rsidR="0070528E" w:rsidRPr="00805C9F">
        <w:rPr>
          <w:szCs w:val="24"/>
        </w:rPr>
        <w:t xml:space="preserve"> </w:t>
      </w:r>
      <w:r w:rsidR="0070528E" w:rsidRPr="00805C9F">
        <w:rPr>
          <w:szCs w:val="24"/>
        </w:rPr>
        <w:fldChar w:fldCharType="begin" w:fldLock="1"/>
      </w:r>
      <w:r w:rsidR="00A14090">
        <w:rPr>
          <w:szCs w:val="24"/>
        </w:rPr>
        <w:instrText>ADDIN CSL_CITATION {"citationItems":[{"id":"ITEM-1","itemData":{"DOI":"10.1002/cncr.28325","ISSN":"0008543X","author":[{"dropping-particle":"","family":"Nooka","given":"Ajay K.","non-dropping-particle":"","parse-names":false,"suffix":""},{"dropping-particle":"","family":"Kaufman","given":"Jonathan L.","non-dropping-particle":"","parse-names":false,"suffix":""},{"dropping-particle":"","family":"Behera","given":"Madhusmita","non-dropping-particle":"","parse-names":false,"suffix":""},{"dropping-particle":"","family":"Langston","given":"Amelia","non-dropping-particle":"","parse-names":false,"suffix":""},{"dropping-particle":"","family":"Waller","given":"Edmund K.","non-dropping-particle":"","parse-names":false,"suffix":""},{"dropping-particle":"","family":"Flowers","given":"Christopher R.","non-dropping-particle":"","parse-names":false,"suffix":""},{"dropping-particle":"","family":"Gleason","given":"Charise","non-dropping-particle":"","parse-names":false,"suffix":""},{"dropping-particle":"","family":"Boise","given":"Lawrence H.","non-dropping-particle":"","parse-names":false,"suffix":""},{"dropping-particle":"","family":"Lonial","given":"Sagar","non-dropping-particle":"","parse-names":false,"suffix":""}],"container-title":"Cancer","id":"ITEM-1","issue":"23","issued":{"date-parts":[["2013","12","1"]]},"page":"4119-4128","title":"Bortezomib-containing induction regimens in transplant-eligible myeloma patients","type":"article-journal","volume":"119"},"uris":["http://www.mendeley.com/documents/?uuid=256f10f7-eef8-3ee6-82f2-127c8c710e16"]},{"id":"ITEM-2","itemData":{"DOI":"10.1155/2012/712613","ISSN":"16879104","abstract":"Although multiple myeloma remains incurable outside of allogeneic hematopoietic stem cell transplantation, novel agents made available only in the last few decades have nonetheless tremendously improved the landscape of myeloma treatment. Lenalidomide, of the immunomodulatory class of drugs, is one of those novel agents. In the non-transplant and relapsed/refractory settings, lenalidomide clearly benefits patients in terms of virtually all meaningful outcomes including overall survival. Data supporting the usage of lenalidomide as part of treatment approaches incorporating high-dose chemotherapy with autologous stem cell support (ASCT) are less mature as pertains to such long-term outcomes and toxicity, and lenalidomide is not currently approved by regulatory agencies for use in the context of ASCT in either the United States or Europe. That said, relatively preliminary efficacy data describing lenalidomide as a component of ASCT-based treatment approaches to MM are indeed promising, and consequently lenalidomide’s role in ASCT-based treatment strategies is growing. In this review we summarize existing data that pertains to lenalidomide in the specific context of ASCT, and we share our thoughts on how our own group applies these data to approach this complex issue clinically.","author":[{"dropping-particle":"","family":"Tuchman","given":"S. A.","non-dropping-particle":"","parse-names":false,"suffix":""},{"dropping-particle":"","family":"Chao","given":"N. J.","non-dropping-particle":"","parse-names":false,"suffix":""},{"dropping-particle":"","family":"Gasparetto","given":"C. G.","non-dropping-particle":"","parse-names":false,"suffix":""}],"container-title":"Advances in Hematology","id":"ITEM-2","issued":{"date-parts":[["2012"]]},"title":"Lenalidomide before and after autologous hematopoietic stem cell transplantation in multiple myeloma","type":"article","volume":"2012"},"uris":["http://www.mendeley.com/documents/?uuid=330c55ae-fe1c-3bb9-a9c3-2ee72be5b533"]}],"mendeley":{"formattedCitation":"[40,44]","plainTextFormattedCitation":"[40,44]","previouslyFormattedCitation":"[40,44]"},"properties":{"noteIndex":0},"schema":"https://github.com/citation-style-language/schema/raw/master/csl-citation.json"}</w:instrText>
      </w:r>
      <w:r w:rsidR="0070528E" w:rsidRPr="00805C9F">
        <w:rPr>
          <w:szCs w:val="24"/>
        </w:rPr>
        <w:fldChar w:fldCharType="separate"/>
      </w:r>
      <w:r w:rsidR="00500F37" w:rsidRPr="00500F37">
        <w:rPr>
          <w:noProof/>
          <w:szCs w:val="24"/>
        </w:rPr>
        <w:t>[40,44]</w:t>
      </w:r>
      <w:r w:rsidR="0070528E" w:rsidRPr="00805C9F">
        <w:rPr>
          <w:szCs w:val="24"/>
        </w:rPr>
        <w:fldChar w:fldCharType="end"/>
      </w:r>
      <w:r w:rsidR="00B37E1F" w:rsidRPr="00805C9F">
        <w:rPr>
          <w:szCs w:val="24"/>
        </w:rPr>
        <w:t>.</w:t>
      </w:r>
    </w:p>
    <w:p w14:paraId="4F1073D2" w14:textId="6FFCC4C2" w:rsidR="001317C7" w:rsidRPr="00805C9F" w:rsidRDefault="001317C7" w:rsidP="00092917">
      <w:pPr>
        <w:spacing w:before="0" w:after="0"/>
        <w:rPr>
          <w:b/>
          <w:szCs w:val="24"/>
        </w:rPr>
      </w:pPr>
      <w:r w:rsidRPr="00805C9F">
        <w:rPr>
          <w:b/>
          <w:szCs w:val="24"/>
        </w:rPr>
        <w:t xml:space="preserve">Уровень убедительности рекомендаций − А (уровень достоверности доказательств − </w:t>
      </w:r>
      <w:r w:rsidR="0070528E" w:rsidRPr="00805C9F">
        <w:rPr>
          <w:b/>
          <w:szCs w:val="24"/>
        </w:rPr>
        <w:t>1</w:t>
      </w:r>
      <w:r w:rsidRPr="00805C9F">
        <w:rPr>
          <w:b/>
          <w:szCs w:val="24"/>
        </w:rPr>
        <w:t>)</w:t>
      </w:r>
      <w:r w:rsidR="00791645" w:rsidRPr="00805C9F">
        <w:rPr>
          <w:b/>
          <w:szCs w:val="24"/>
        </w:rPr>
        <w:t>.</w:t>
      </w:r>
    </w:p>
    <w:p w14:paraId="6B8C461C" w14:textId="429D1961" w:rsidR="00FA6648" w:rsidRPr="00805C9F" w:rsidRDefault="00B13C92" w:rsidP="00092917">
      <w:pPr>
        <w:pStyle w:val="a6"/>
        <w:numPr>
          <w:ilvl w:val="0"/>
          <w:numId w:val="10"/>
        </w:numPr>
        <w:spacing w:before="0" w:after="0"/>
        <w:ind w:left="0" w:firstLine="0"/>
        <w:rPr>
          <w:szCs w:val="24"/>
        </w:rPr>
      </w:pPr>
      <w:r w:rsidRPr="00805C9F">
        <w:rPr>
          <w:szCs w:val="24"/>
        </w:rPr>
        <w:t xml:space="preserve">Пациентам с ММ, осложненной миеломной нефропатией </w:t>
      </w:r>
      <w:r w:rsidRPr="00805C9F">
        <w:rPr>
          <w:b/>
          <w:szCs w:val="24"/>
        </w:rPr>
        <w:t xml:space="preserve">рекомендуется </w:t>
      </w:r>
      <w:r w:rsidRPr="00805C9F">
        <w:rPr>
          <w:szCs w:val="24"/>
        </w:rPr>
        <w:t>проведение</w:t>
      </w:r>
      <w:r w:rsidRPr="00805C9F">
        <w:rPr>
          <w:b/>
          <w:szCs w:val="24"/>
        </w:rPr>
        <w:t xml:space="preserve"> </w:t>
      </w:r>
      <w:r w:rsidR="00744144" w:rsidRPr="00805C9F">
        <w:rPr>
          <w:szCs w:val="24"/>
        </w:rPr>
        <w:t>противоопухолевой терапии,</w:t>
      </w:r>
      <w:r w:rsidRPr="00805C9F">
        <w:rPr>
          <w:szCs w:val="24"/>
        </w:rPr>
        <w:t xml:space="preserve"> включающей</w:t>
      </w:r>
      <w:r w:rsidRPr="00805C9F">
        <w:rPr>
          <w:b/>
          <w:szCs w:val="24"/>
        </w:rPr>
        <w:t xml:space="preserve"> </w:t>
      </w:r>
      <w:r w:rsidRPr="00805C9F">
        <w:rPr>
          <w:szCs w:val="24"/>
        </w:rPr>
        <w:t>л</w:t>
      </w:r>
      <w:r w:rsidR="00B424E0" w:rsidRPr="00805C9F">
        <w:rPr>
          <w:szCs w:val="24"/>
        </w:rPr>
        <w:t>еналидомид</w:t>
      </w:r>
      <w:r w:rsidR="00744144" w:rsidRPr="00805C9F">
        <w:rPr>
          <w:szCs w:val="24"/>
        </w:rPr>
        <w:t>**</w:t>
      </w:r>
      <w:r w:rsidRPr="00805C9F">
        <w:rPr>
          <w:szCs w:val="24"/>
        </w:rPr>
        <w:t xml:space="preserve"> в комбинации с другими противоопухолевыми препаратами в зависимости от предшествующей эффективности лечения, наличия осложнений в виде периферической полинейропатии</w:t>
      </w:r>
      <w:r w:rsidR="001317C7" w:rsidRPr="00805C9F">
        <w:rPr>
          <w:szCs w:val="24"/>
        </w:rPr>
        <w:t>,</w:t>
      </w:r>
      <w:r w:rsidRPr="00805C9F">
        <w:rPr>
          <w:szCs w:val="24"/>
        </w:rPr>
        <w:t xml:space="preserve"> агрессивности </w:t>
      </w:r>
      <w:r w:rsidR="002B762F" w:rsidRPr="00805C9F">
        <w:rPr>
          <w:szCs w:val="24"/>
        </w:rPr>
        <w:t>заболевания</w:t>
      </w:r>
      <w:r w:rsidRPr="00805C9F">
        <w:rPr>
          <w:szCs w:val="24"/>
        </w:rPr>
        <w:t>. П</w:t>
      </w:r>
      <w:r w:rsidR="00B424E0" w:rsidRPr="00805C9F">
        <w:rPr>
          <w:szCs w:val="24"/>
        </w:rPr>
        <w:t xml:space="preserve">ри этом доза </w:t>
      </w:r>
      <w:r w:rsidRPr="00805C9F">
        <w:rPr>
          <w:szCs w:val="24"/>
        </w:rPr>
        <w:t>леналидомида</w:t>
      </w:r>
      <w:r w:rsidR="00744144" w:rsidRPr="00805C9F">
        <w:rPr>
          <w:szCs w:val="24"/>
        </w:rPr>
        <w:t>**</w:t>
      </w:r>
      <w:r w:rsidR="00B424E0" w:rsidRPr="00805C9F">
        <w:rPr>
          <w:szCs w:val="24"/>
        </w:rPr>
        <w:t xml:space="preserve"> должна корректироваться в зависимости от клиренса креатинина </w:t>
      </w:r>
      <w:r w:rsidR="008F69F6" w:rsidRPr="00805C9F">
        <w:rPr>
          <w:i/>
          <w:szCs w:val="24"/>
        </w:rPr>
        <w:fldChar w:fldCharType="begin" w:fldLock="1"/>
      </w:r>
      <w:r w:rsidR="00500F37">
        <w:rPr>
          <w:i/>
          <w:szCs w:val="24"/>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myeloma","type":"article","volume":"35"},"uris":["http://www.mendeley.com/documents/?uuid=4b51abe8-b4d6-30ad-bad9-00468e013c00"]},{"id":"ITEM-2","itemData":{"DOI":"10.1016/j.clml.2014.03.005","ISSN":"2152-2669","PMID":"25023616","abstract":"INTRODUCTION Bortezomib is administered for a finite course; thus, patients might remain sensitive to bortezomib-based therapy at relapse. We report a meta-analysis of bortezomib-based retreatment in relapsed/refractory myeloma. PATIENTS AND METHODS A systematic literature review identified studies of bortezomib-based retreatment in relapsed/refractory myeloma. Proportions of bortezomib-refractory patients and additional prognostic factors were extracted and used in weighted stratified analyses of TTP and OS. Random-effect pooled estimates were calculated for overall response rate (ORR) and rates of common AEs. RESULTS Twenty-three studies (n = 1051 patients) were identified. Bortezomib was administered intravenously in all studies. Across studies in which data were available, pooled, weighted average ORR was 39.1% (95% confidence interval, 30.8%-47.4%), and pooled, weighted average median TTP and OS were 7.5 and 16.6 months, respectively. Patients with fewer previous therapies (≤ 4) and relapsed (not refractory) patients achieved higher ORRs, of 43.4% and 57.2%, respectively. Random-effects meta-regression analysis confirmed that relapsed patients were associated with a higher ORR by 28 to 41 percentage points versus refractory patients. In relapsed patients, median TTP and OS were 8.5 and 19.7 months, respectively. Common Grade 3/4 AEs included thrombocytopenia (35%), neutropenia (15%), anemia (14%), pneumonia (10%), and peripheral neuropathy (3%). CONCLUSION Based on these findings, bortezomib retreatment is well tolerated and appears efficacious in relapsed patients. In an era of new and emerging treatment options for relapsed and/or refractory myeloma, these data indicate that bortezomib retreatment might be a highly effective option in previously treated patients.","author":[{"dropping-particle":"","family":"Knopf","given":"Kevin B","non-dropping-particle":"","parse-names":false,"suffix":""},{"dropping-particle":"","family":"Duh","given":"Mei Sheng","non-dropping-particle":"","parse-names":false,"suffix":""},{"dropping-particle":"","family":"Lafeuille","given":"Marie-Hélène","non-dropping-particle":"","parse-names":false,"suffix":""},{"dropping-particle":"","family":"Gravel","given":"Jonathan","non-dropping-particle":"","parse-names":false,"suffix":""},{"dropping-particle":"","family":"Lefebvre","given":"Patrick","non-dropping-particle":"","parse-names":false,"suffix":""},{"dropping-particle":"","family":"Niculescu","given":"Liviu","non-dropping-particle":"","parse-names":false,"suffix":""},{"dropping-particle":"","family":"Ba-Mancini","given":"Abbie","non-dropping-particle":"","parse-names":false,"suffix":""},{"dropping-particle":"","family":"Ma","given":"Esprit","non-dropping-particle":"","parse-names":false,"suffix":""},{"dropping-particle":"","family":"Shi","given":"Hongliang","non-dropping-particle":"","parse-names":false,"suffix":""},{"dropping-particle":"","family":"Comenzo","given":"Raymond L","non-dropping-particle":"","parse-names":false,"suffix":""}],"container-title":"Clinical lymphoma, myeloma &amp; leukemia","id":"ITEM-2","issue":"5","issued":{"date-parts":[["2014","10"]]},"page":"380-8","title":"Meta-analysis of the efficacy and safety of bortezomib re-treatment in patients with multiple myeloma.","type":"article-journal","volume":"14"},"uris":["http://www.mendeley.com/documents/?uuid=b3846e4f-86a4-3632-887c-068c5784518c"]},{"id":"ITEM-3","itemData":{"DOI":"10.1002/14651858.CD010816.pub2","ISSN":"1469-493X","PMID":"27096326","abstract":"BACKGROUND Multiple myeloma is a malignancy of plasma cells accounting for approximately 1% of cancers and 12% of haematological malignancies. The first-in-class proteasome inhibitor, bortezomib, is commonly used to treat newly diagnosed as well as relapsed/refractory myeloma, either as single agent or combined with other therapies. OBJECTIVES We conducted a systematic review and meta-analysis to assess the effects of bortezomib on overall survival (OS), progression-free survival (PFS), response rate (RR), health-related quality of life (HRQoL), adverse events (AEs) and treatment-related death (TRD). SEARCH METHODS We searched MEDLINE, the Cochrane Central Register of Controlled Trials and EMBASE (till 27 January 2016) as well as conference proceedings and clinical trial registries for randomised controlled trials (RCTs). SELECTION CRITERIA We included randomised controlled trials (RCTs) that compared i) bortezomib versus no bortezomib with the same background therapy in each arm; ii) bortezomib versus no bortezomib with different background therapy in each arm or compared to other agent(s) and iii) bortezomib dose comparisons and comparisons of different treatment administrations and schedules. DATA COLLECTION AND ANALYSIS Two review authors independently extracted outcomes data and assessed risk of bias. We extracted hazard ratios (HR) and their confidence intervals for OS and PFS and odds ratios (OR) for response rates, AEs and TRD. We contacted trial authors to provide summary statistics if missing. We estimated Logrank statistics which were not available. We extracted HRQoL data, where available. MAIN RESULTS We screened a total of 3667 records, identifying 16 relevant RCTs involving 5626 patients and included 12 trials in the meta-analyses. All trials were randomised and open-label studies. Two trials were published in abstract form and therefore we were unable to assess potential risk of bias in full.There is moderate-quality evidence that bortezomib prolongs OS (four studies, 1586 patients; Peto OR 0.77, 95% CI 0.65 to 0.92) and PFS (five studies, 1855 patients; Peto OR 0.65, 95% CI 0.57 to 0.74) from analysing trials of bortezomib versus no bortezomib with the same background therapy in each arm.There is high-quality evidence that bortezomib prolongs OS (five studies, 2532 patients; Peto OR 0.76, 95% CI 0.67 to 0.88) but low-quality evidence for PFS (four studies, 2489 patients; Peto OR 0.67, 95% CI 0.61 to 0.75) from analysing trials of bortez…","author":[{"dropping-particle":"","family":"Scott","given":"Kathleen","non-dropping-particle":"","parse-names":false,"suffix":""},{"dropping-particle":"","family":"Hayden","given":"Patrick J","non-dropping-particle":"","parse-names":false,"suffix":""},{"dropping-particle":"","family":"Will","given":"Andrea","non-dropping-particle":"","parse-names":false,"suffix":""},{"dropping-particle":"","family":"Wheatley","given":"Keith","non-dropping-particle":"","parse-names":false,"suffix":""},{"dropping-particle":"","family":"Coyne","given":"Imelda","non-dropping-particle":"","parse-names":false,"suffix":""}],"container-title":"The Cochrane database of systematic reviews","id":"ITEM-3","issued":{"date-parts":[["2016","4","20"]]},"page":"CD010816","title":"Bortezomib for the treatment of multiple myeloma.","type":"article-journal","volume":"4"},"uris":["http://www.mendeley.com/documents/?uuid=9ecdc7e8-5097-32cf-a812-bfc887947c9a"]}],"mendeley":{"formattedCitation":"[60–62]","plainTextFormattedCitation":"[60–62]","previouslyFormattedCitation":"[60–62]"},"properties":{"noteIndex":0},"schema":"https://github.com/citation-style-language/schema/raw/master/csl-citation.json"}</w:instrText>
      </w:r>
      <w:r w:rsidR="008F69F6" w:rsidRPr="00805C9F">
        <w:rPr>
          <w:i/>
          <w:szCs w:val="24"/>
        </w:rPr>
        <w:fldChar w:fldCharType="separate"/>
      </w:r>
      <w:r w:rsidR="00E03159" w:rsidRPr="00805C9F">
        <w:rPr>
          <w:noProof/>
          <w:szCs w:val="24"/>
        </w:rPr>
        <w:t>[60–62]</w:t>
      </w:r>
      <w:r w:rsidR="008F69F6" w:rsidRPr="00805C9F">
        <w:rPr>
          <w:i/>
          <w:szCs w:val="24"/>
        </w:rPr>
        <w:fldChar w:fldCharType="end"/>
      </w:r>
      <w:r w:rsidR="008F69F6" w:rsidRPr="00805C9F">
        <w:rPr>
          <w:szCs w:val="24"/>
        </w:rPr>
        <w:t>.</w:t>
      </w:r>
    </w:p>
    <w:p w14:paraId="56BD9CB4" w14:textId="7DACF9BC" w:rsidR="00FA6648" w:rsidRPr="00805C9F" w:rsidRDefault="00FA6648" w:rsidP="00092917">
      <w:pPr>
        <w:spacing w:before="0" w:after="0"/>
        <w:rPr>
          <w:b/>
          <w:szCs w:val="24"/>
        </w:rPr>
      </w:pPr>
      <w:r w:rsidRPr="00805C9F">
        <w:rPr>
          <w:b/>
          <w:szCs w:val="24"/>
        </w:rPr>
        <w:t xml:space="preserve">Уровень убедительности рекомендаций − </w:t>
      </w:r>
      <w:r w:rsidR="001317C7" w:rsidRPr="00805C9F">
        <w:rPr>
          <w:b/>
          <w:szCs w:val="24"/>
        </w:rPr>
        <w:t>А</w:t>
      </w:r>
      <w:r w:rsidRPr="00805C9F">
        <w:rPr>
          <w:b/>
          <w:szCs w:val="24"/>
        </w:rPr>
        <w:t xml:space="preserve"> (уровень достоверности доказательств − </w:t>
      </w:r>
      <w:r w:rsidR="0070528E" w:rsidRPr="00805C9F">
        <w:rPr>
          <w:b/>
          <w:szCs w:val="24"/>
        </w:rPr>
        <w:t>1</w:t>
      </w:r>
      <w:r w:rsidRPr="00805C9F">
        <w:rPr>
          <w:b/>
          <w:szCs w:val="24"/>
        </w:rPr>
        <w:t>)</w:t>
      </w:r>
    </w:p>
    <w:p w14:paraId="0C38DBCD" w14:textId="052D8F2F" w:rsidR="00B424E0" w:rsidRPr="00805C9F" w:rsidRDefault="008F69F6" w:rsidP="00092917">
      <w:pPr>
        <w:spacing w:before="0" w:after="0"/>
        <w:contextualSpacing/>
        <w:rPr>
          <w:i/>
          <w:szCs w:val="24"/>
        </w:rPr>
      </w:pPr>
      <w:r w:rsidRPr="00805C9F">
        <w:rPr>
          <w:i/>
          <w:szCs w:val="24"/>
        </w:rPr>
        <w:t xml:space="preserve">Комментарий: </w:t>
      </w:r>
      <w:r w:rsidR="00B424E0" w:rsidRPr="00805C9F">
        <w:rPr>
          <w:i/>
          <w:szCs w:val="24"/>
        </w:rPr>
        <w:t>Леналидомид</w:t>
      </w:r>
      <w:r w:rsidR="00744144" w:rsidRPr="00805C9F">
        <w:rPr>
          <w:i/>
          <w:szCs w:val="24"/>
        </w:rPr>
        <w:t>**</w:t>
      </w:r>
      <w:r w:rsidR="00E56E56" w:rsidRPr="00805C9F">
        <w:rPr>
          <w:i/>
          <w:szCs w:val="24"/>
        </w:rPr>
        <w:t xml:space="preserve"> также </w:t>
      </w:r>
      <w:r w:rsidR="00B424E0" w:rsidRPr="00805C9F">
        <w:rPr>
          <w:i/>
          <w:szCs w:val="24"/>
        </w:rPr>
        <w:t>может назначаться пациентам с тяжелой, в том числе диализ-зависимой почечной недостаточностью, в этих случаях должен проводиться тщательный мониторинг гематологической токсичности.</w:t>
      </w:r>
      <w:r w:rsidRPr="00805C9F">
        <w:rPr>
          <w:i/>
          <w:szCs w:val="24"/>
        </w:rPr>
        <w:t xml:space="preserve"> </w:t>
      </w:r>
      <w:r w:rsidR="00B424E0" w:rsidRPr="00805C9F">
        <w:rPr>
          <w:i/>
          <w:szCs w:val="24"/>
        </w:rPr>
        <w:t>Высокодозная химиотерапия с последующей аутоТГСК выполнима у больных ММ с почечной недостаточностью; доза мелфалана</w:t>
      </w:r>
      <w:r w:rsidR="00744144" w:rsidRPr="00805C9F">
        <w:rPr>
          <w:i/>
          <w:szCs w:val="24"/>
        </w:rPr>
        <w:t>**</w:t>
      </w:r>
      <w:r w:rsidR="00B424E0" w:rsidRPr="00805C9F">
        <w:rPr>
          <w:i/>
          <w:szCs w:val="24"/>
        </w:rPr>
        <w:t xml:space="preserve"> должн</w:t>
      </w:r>
      <w:r w:rsidR="002B762F" w:rsidRPr="00805C9F">
        <w:rPr>
          <w:i/>
          <w:szCs w:val="24"/>
        </w:rPr>
        <w:t>а</w:t>
      </w:r>
      <w:r w:rsidR="00791645" w:rsidRPr="00805C9F">
        <w:rPr>
          <w:i/>
          <w:szCs w:val="24"/>
        </w:rPr>
        <w:t xml:space="preserve"> быть ограничена 140 мг/м2.</w:t>
      </w:r>
    </w:p>
    <w:p w14:paraId="116641D6" w14:textId="69BD785A" w:rsidR="002A7543" w:rsidRPr="00805C9F" w:rsidRDefault="0084190C" w:rsidP="00A70D87">
      <w:pPr>
        <w:pStyle w:val="a6"/>
        <w:numPr>
          <w:ilvl w:val="0"/>
          <w:numId w:val="10"/>
        </w:numPr>
        <w:spacing w:before="0" w:after="0"/>
        <w:ind w:left="0" w:firstLine="0"/>
        <w:rPr>
          <w:b/>
          <w:szCs w:val="24"/>
        </w:rPr>
      </w:pPr>
      <w:r w:rsidRPr="00805C9F">
        <w:rPr>
          <w:szCs w:val="24"/>
        </w:rPr>
        <w:t>Пациентам с ММ, осложненной миеломной нефропатией, д</w:t>
      </w:r>
      <w:r w:rsidR="00B424E0" w:rsidRPr="00805C9F">
        <w:rPr>
          <w:szCs w:val="24"/>
        </w:rPr>
        <w:t xml:space="preserve">ля лечения рецидивирующей/рефрактерной ММ с почечной недостаточностью </w:t>
      </w:r>
      <w:r w:rsidR="004B0830" w:rsidRPr="00805C9F">
        <w:rPr>
          <w:b/>
          <w:szCs w:val="24"/>
        </w:rPr>
        <w:t xml:space="preserve">рекомендуется </w:t>
      </w:r>
      <w:r w:rsidR="004B0830" w:rsidRPr="00805C9F">
        <w:rPr>
          <w:szCs w:val="24"/>
        </w:rPr>
        <w:t>применять</w:t>
      </w:r>
      <w:r w:rsidR="00B424E0" w:rsidRPr="00805C9F">
        <w:rPr>
          <w:szCs w:val="24"/>
        </w:rPr>
        <w:t xml:space="preserve"> </w:t>
      </w:r>
      <w:r w:rsidR="004B0830" w:rsidRPr="00805C9F">
        <w:rPr>
          <w:szCs w:val="24"/>
        </w:rPr>
        <w:t>следующие противоопухолевые препараты</w:t>
      </w:r>
      <w:r w:rsidR="001317C7" w:rsidRPr="00805C9F">
        <w:rPr>
          <w:szCs w:val="24"/>
        </w:rPr>
        <w:t>:</w:t>
      </w:r>
      <w:r w:rsidR="004B0830" w:rsidRPr="00805C9F">
        <w:rPr>
          <w:szCs w:val="24"/>
        </w:rPr>
        <w:t xml:space="preserve"> </w:t>
      </w:r>
      <w:r w:rsidR="001317C7" w:rsidRPr="00805C9F">
        <w:rPr>
          <w:szCs w:val="24"/>
        </w:rPr>
        <w:t>бортезомиб</w:t>
      </w:r>
      <w:r w:rsidR="00744144" w:rsidRPr="00805C9F">
        <w:rPr>
          <w:szCs w:val="24"/>
        </w:rPr>
        <w:t>**</w:t>
      </w:r>
      <w:r w:rsidR="001317C7" w:rsidRPr="00805C9F">
        <w:rPr>
          <w:szCs w:val="24"/>
        </w:rPr>
        <w:t>, леналидомид</w:t>
      </w:r>
      <w:r w:rsidR="00744144" w:rsidRPr="00805C9F">
        <w:rPr>
          <w:szCs w:val="24"/>
        </w:rPr>
        <w:t>**</w:t>
      </w:r>
      <w:r w:rsidR="001317C7" w:rsidRPr="00805C9F">
        <w:rPr>
          <w:szCs w:val="24"/>
        </w:rPr>
        <w:t xml:space="preserve">, </w:t>
      </w:r>
      <w:r w:rsidR="004B0830" w:rsidRPr="00805C9F">
        <w:rPr>
          <w:szCs w:val="24"/>
        </w:rPr>
        <w:t>иксазомиб</w:t>
      </w:r>
      <w:r w:rsidR="00744144" w:rsidRPr="00805C9F">
        <w:rPr>
          <w:szCs w:val="24"/>
        </w:rPr>
        <w:t>**</w:t>
      </w:r>
      <w:r w:rsidR="004B0830" w:rsidRPr="00805C9F">
        <w:rPr>
          <w:szCs w:val="24"/>
        </w:rPr>
        <w:t>, карфилзомиб</w:t>
      </w:r>
      <w:r w:rsidR="00744144" w:rsidRPr="00805C9F">
        <w:rPr>
          <w:szCs w:val="24"/>
        </w:rPr>
        <w:t>**</w:t>
      </w:r>
      <w:r w:rsidR="004B0830" w:rsidRPr="00805C9F">
        <w:rPr>
          <w:szCs w:val="24"/>
        </w:rPr>
        <w:t>, элотузумаб</w:t>
      </w:r>
      <w:r w:rsidR="00744144" w:rsidRPr="00805C9F">
        <w:rPr>
          <w:szCs w:val="24"/>
        </w:rPr>
        <w:t>**</w:t>
      </w:r>
      <w:r w:rsidR="004B0830" w:rsidRPr="00805C9F">
        <w:rPr>
          <w:szCs w:val="24"/>
        </w:rPr>
        <w:t xml:space="preserve">, </w:t>
      </w:r>
      <w:r w:rsidR="004F3F23" w:rsidRPr="00805C9F">
        <w:rPr>
          <w:szCs w:val="24"/>
        </w:rPr>
        <w:t>помалидомид</w:t>
      </w:r>
      <w:r w:rsidR="006C0012" w:rsidRPr="00805C9F">
        <w:rPr>
          <w:szCs w:val="24"/>
        </w:rPr>
        <w:t>**</w:t>
      </w:r>
      <w:r w:rsidR="004F3F23" w:rsidRPr="00805C9F">
        <w:rPr>
          <w:szCs w:val="24"/>
        </w:rPr>
        <w:t xml:space="preserve">, </w:t>
      </w:r>
      <w:r w:rsidR="004B0830" w:rsidRPr="00805C9F">
        <w:rPr>
          <w:szCs w:val="24"/>
        </w:rPr>
        <w:t>даратумумаб</w:t>
      </w:r>
      <w:r w:rsidR="00744144" w:rsidRPr="00805C9F">
        <w:rPr>
          <w:szCs w:val="24"/>
        </w:rPr>
        <w:t>**</w:t>
      </w:r>
      <w:r w:rsidR="002B762F" w:rsidRPr="00805C9F">
        <w:rPr>
          <w:szCs w:val="24"/>
        </w:rPr>
        <w:t>, изатуксимаб</w:t>
      </w:r>
      <w:r w:rsidR="006C0012" w:rsidRPr="00805C9F">
        <w:rPr>
          <w:szCs w:val="24"/>
        </w:rPr>
        <w:t>**</w:t>
      </w:r>
      <w:r w:rsidR="002B762F" w:rsidRPr="00805C9F">
        <w:rPr>
          <w:szCs w:val="24"/>
        </w:rPr>
        <w:t xml:space="preserve"> </w:t>
      </w:r>
      <w:r w:rsidR="004B0830" w:rsidRPr="00805C9F">
        <w:rPr>
          <w:szCs w:val="24"/>
        </w:rPr>
        <w:t xml:space="preserve">согласно представленным в приложении А 3.1 схемам терапии. </w:t>
      </w:r>
      <w:r w:rsidR="002A7543" w:rsidRPr="00805C9F">
        <w:rPr>
          <w:szCs w:val="24"/>
          <w:lang w:val="en-US"/>
        </w:rPr>
        <w:fldChar w:fldCharType="begin" w:fldLock="1"/>
      </w:r>
      <w:r w:rsidR="00A14090">
        <w:rPr>
          <w:szCs w:val="24"/>
          <w:lang w:val="en-US"/>
        </w:rPr>
        <w:instrText>ADDIN</w:instrText>
      </w:r>
      <w:r w:rsidR="00A14090" w:rsidRPr="00A14090">
        <w:rPr>
          <w:szCs w:val="24"/>
        </w:rPr>
        <w:instrText xml:space="preserve"> </w:instrText>
      </w:r>
      <w:r w:rsidR="00A14090">
        <w:rPr>
          <w:szCs w:val="24"/>
          <w:lang w:val="en-US"/>
        </w:rPr>
        <w:instrText>CSL</w:instrText>
      </w:r>
      <w:r w:rsidR="00A14090" w:rsidRPr="00A14090">
        <w:rPr>
          <w:szCs w:val="24"/>
        </w:rPr>
        <w:instrText>_</w:instrText>
      </w:r>
      <w:r w:rsidR="00A14090">
        <w:rPr>
          <w:szCs w:val="24"/>
          <w:lang w:val="en-US"/>
        </w:rPr>
        <w:instrText>CITATION</w:instrText>
      </w:r>
      <w:r w:rsidR="00A14090" w:rsidRPr="00A14090">
        <w:rPr>
          <w:szCs w:val="24"/>
        </w:rPr>
        <w:instrText xml:space="preserve"> {"</w:instrText>
      </w:r>
      <w:r w:rsidR="00A14090">
        <w:rPr>
          <w:szCs w:val="24"/>
          <w:lang w:val="en-US"/>
        </w:rPr>
        <w:instrText>citationItems</w:instrText>
      </w:r>
      <w:r w:rsidR="00A14090" w:rsidRPr="00A14090">
        <w:rPr>
          <w:szCs w:val="24"/>
        </w:rPr>
        <w:instrText>":[{"</w:instrText>
      </w:r>
      <w:r w:rsidR="00A14090">
        <w:rPr>
          <w:szCs w:val="24"/>
          <w:lang w:val="en-US"/>
        </w:rPr>
        <w:instrText>id</w:instrText>
      </w:r>
      <w:r w:rsidR="00A14090" w:rsidRPr="00A14090">
        <w:rPr>
          <w:szCs w:val="24"/>
        </w:rPr>
        <w:instrText>":"</w:instrText>
      </w:r>
      <w:r w:rsidR="00A14090">
        <w:rPr>
          <w:szCs w:val="24"/>
          <w:lang w:val="en-US"/>
        </w:rPr>
        <w:instrText>ITEM</w:instrText>
      </w:r>
      <w:r w:rsidR="00A14090" w:rsidRPr="00A14090">
        <w:rPr>
          <w:szCs w:val="24"/>
        </w:rPr>
        <w:instrText>-1","</w:instrText>
      </w:r>
      <w:r w:rsidR="00A14090">
        <w:rPr>
          <w:szCs w:val="24"/>
          <w:lang w:val="en-US"/>
        </w:rPr>
        <w:instrText>itemData</w:instrText>
      </w:r>
      <w:r w:rsidR="00A14090" w:rsidRPr="00A14090">
        <w:rPr>
          <w:szCs w:val="24"/>
        </w:rPr>
        <w:instrText>":{"</w:instrText>
      </w:r>
      <w:r w:rsidR="00A14090">
        <w:rPr>
          <w:szCs w:val="24"/>
          <w:lang w:val="en-US"/>
        </w:rPr>
        <w:instrText>DOI</w:instrText>
      </w:r>
      <w:r w:rsidR="00A14090" w:rsidRPr="00A14090">
        <w:rPr>
          <w:szCs w:val="24"/>
        </w:rPr>
        <w:instrText>":"10.1016/</w:instrText>
      </w:r>
      <w:r w:rsidR="00A14090">
        <w:rPr>
          <w:szCs w:val="24"/>
          <w:lang w:val="en-US"/>
        </w:rPr>
        <w:instrText>S</w:instrText>
      </w:r>
      <w:r w:rsidR="00A14090" w:rsidRPr="00A14090">
        <w:rPr>
          <w:szCs w:val="24"/>
        </w:rPr>
        <w:instrText>1470-2045(17)30578-8","</w:instrText>
      </w:r>
      <w:r w:rsidR="00A14090">
        <w:rPr>
          <w:szCs w:val="24"/>
          <w:lang w:val="en-US"/>
        </w:rPr>
        <w:instrText>ISSN</w:instrText>
      </w:r>
      <w:r w:rsidR="00A14090" w:rsidRPr="00A14090">
        <w:rPr>
          <w:szCs w:val="24"/>
        </w:rPr>
        <w:instrText>":"14745488","</w:instrText>
      </w:r>
      <w:r w:rsidR="00A14090">
        <w:rPr>
          <w:szCs w:val="24"/>
          <w:lang w:val="en-US"/>
        </w:rPr>
        <w:instrText>abstract</w:instrText>
      </w:r>
      <w:r w:rsidR="00A14090" w:rsidRPr="00A14090">
        <w:rPr>
          <w:szCs w:val="24"/>
        </w:rPr>
        <w:instrText>":"</w:instrText>
      </w:r>
      <w:r w:rsidR="00A14090">
        <w:rPr>
          <w:szCs w:val="24"/>
          <w:lang w:val="en-US"/>
        </w:rPr>
        <w:instrText>Background</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phase</w:instrText>
      </w:r>
      <w:r w:rsidR="00A14090" w:rsidRPr="00A14090">
        <w:rPr>
          <w:szCs w:val="24"/>
        </w:rPr>
        <w:instrText xml:space="preserve"> 3 </w:instrText>
      </w:r>
      <w:r w:rsidR="00A14090">
        <w:rPr>
          <w:szCs w:val="24"/>
          <w:lang w:val="en-US"/>
        </w:rPr>
        <w:instrText>ENDEAVOR</w:instrText>
      </w:r>
      <w:r w:rsidR="00A14090" w:rsidRPr="00A14090">
        <w:rPr>
          <w:szCs w:val="24"/>
        </w:rPr>
        <w:instrText xml:space="preserve"> </w:instrText>
      </w:r>
      <w:r w:rsidR="00A14090">
        <w:rPr>
          <w:szCs w:val="24"/>
          <w:lang w:val="en-US"/>
        </w:rPr>
        <w:instrText>trial</w:instrText>
      </w:r>
      <w:r w:rsidR="00A14090" w:rsidRPr="00A14090">
        <w:rPr>
          <w:szCs w:val="24"/>
        </w:rPr>
        <w:instrText xml:space="preserve"> </w:instrText>
      </w:r>
      <w:r w:rsidR="00A14090">
        <w:rPr>
          <w:szCs w:val="24"/>
          <w:lang w:val="en-US"/>
        </w:rPr>
        <w:instrText>was</w:instrText>
      </w:r>
      <w:r w:rsidR="00A14090" w:rsidRPr="00A14090">
        <w:rPr>
          <w:szCs w:val="24"/>
        </w:rPr>
        <w:instrText xml:space="preserve"> </w:instrText>
      </w:r>
      <w:r w:rsidR="00A14090">
        <w:rPr>
          <w:szCs w:val="24"/>
          <w:lang w:val="en-US"/>
        </w:rPr>
        <w:instrText>a</w:instrText>
      </w:r>
      <w:r w:rsidR="00A14090" w:rsidRPr="00A14090">
        <w:rPr>
          <w:szCs w:val="24"/>
        </w:rPr>
        <w:instrText xml:space="preserve"> </w:instrText>
      </w:r>
      <w:r w:rsidR="00A14090">
        <w:rPr>
          <w:szCs w:val="24"/>
          <w:lang w:val="en-US"/>
        </w:rPr>
        <w:instrText>head</w:instrText>
      </w:r>
      <w:r w:rsidR="00A14090" w:rsidRPr="00A14090">
        <w:rPr>
          <w:szCs w:val="24"/>
        </w:rPr>
        <w:instrText>-</w:instrText>
      </w:r>
      <w:r w:rsidR="00A14090">
        <w:rPr>
          <w:szCs w:val="24"/>
          <w:lang w:val="en-US"/>
        </w:rPr>
        <w:instrText>to</w:instrText>
      </w:r>
      <w:r w:rsidR="00A14090" w:rsidRPr="00A14090">
        <w:rPr>
          <w:szCs w:val="24"/>
        </w:rPr>
        <w:instrText>-</w:instrText>
      </w:r>
      <w:r w:rsidR="00A14090">
        <w:rPr>
          <w:szCs w:val="24"/>
          <w:lang w:val="en-US"/>
        </w:rPr>
        <w:instrText>head</w:instrText>
      </w:r>
      <w:r w:rsidR="00A14090" w:rsidRPr="00A14090">
        <w:rPr>
          <w:szCs w:val="24"/>
        </w:rPr>
        <w:instrText xml:space="preserve"> </w:instrText>
      </w:r>
      <w:r w:rsidR="00A14090">
        <w:rPr>
          <w:szCs w:val="24"/>
          <w:lang w:val="en-US"/>
        </w:rPr>
        <w:instrText>comparison</w:instrText>
      </w:r>
      <w:r w:rsidR="00A14090" w:rsidRPr="00A14090">
        <w:rPr>
          <w:szCs w:val="24"/>
        </w:rPr>
        <w:instrText xml:space="preserve"> </w:instrText>
      </w:r>
      <w:r w:rsidR="00A14090">
        <w:rPr>
          <w:szCs w:val="24"/>
          <w:lang w:val="en-US"/>
        </w:rPr>
        <w:instrText>of</w:instrText>
      </w:r>
      <w:r w:rsidR="00A14090" w:rsidRPr="00A14090">
        <w:rPr>
          <w:szCs w:val="24"/>
        </w:rPr>
        <w:instrText xml:space="preserve"> </w:instrText>
      </w:r>
      <w:r w:rsidR="00A14090">
        <w:rPr>
          <w:szCs w:val="24"/>
          <w:lang w:val="en-US"/>
        </w:rPr>
        <w:instrText>two</w:instrText>
      </w:r>
      <w:r w:rsidR="00A14090" w:rsidRPr="00A14090">
        <w:rPr>
          <w:szCs w:val="24"/>
        </w:rPr>
        <w:instrText xml:space="preserve"> </w:instrText>
      </w:r>
      <w:r w:rsidR="00A14090">
        <w:rPr>
          <w:szCs w:val="24"/>
          <w:lang w:val="en-US"/>
        </w:rPr>
        <w:instrText>proteasome</w:instrText>
      </w:r>
      <w:r w:rsidR="00A14090" w:rsidRPr="00A14090">
        <w:rPr>
          <w:szCs w:val="24"/>
        </w:rPr>
        <w:instrText xml:space="preserve"> </w:instrText>
      </w:r>
      <w:r w:rsidR="00A14090">
        <w:rPr>
          <w:szCs w:val="24"/>
          <w:lang w:val="en-US"/>
        </w:rPr>
        <w:instrText>inhibitors</w:instrText>
      </w:r>
      <w:r w:rsidR="00A14090" w:rsidRPr="00A14090">
        <w:rPr>
          <w:szCs w:val="24"/>
        </w:rPr>
        <w:instrText xml:space="preserve"> </w:instrText>
      </w:r>
      <w:r w:rsidR="00A14090">
        <w:rPr>
          <w:szCs w:val="24"/>
          <w:lang w:val="en-US"/>
        </w:rPr>
        <w:instrText>in</w:instrText>
      </w:r>
      <w:r w:rsidR="00A14090" w:rsidRPr="00A14090">
        <w:rPr>
          <w:szCs w:val="24"/>
        </w:rPr>
        <w:instrText xml:space="preserve"> </w:instrText>
      </w:r>
      <w:r w:rsidR="00A14090">
        <w:rPr>
          <w:szCs w:val="24"/>
          <w:lang w:val="en-US"/>
        </w:rPr>
        <w:instrText>patients</w:instrText>
      </w:r>
      <w:r w:rsidR="00A14090" w:rsidRPr="00A14090">
        <w:rPr>
          <w:szCs w:val="24"/>
        </w:rPr>
        <w:instrText xml:space="preserve"> </w:instrText>
      </w:r>
      <w:r w:rsidR="00A14090">
        <w:rPr>
          <w:szCs w:val="24"/>
          <w:lang w:val="en-US"/>
        </w:rPr>
        <w:instrText>with</w:instrText>
      </w:r>
      <w:r w:rsidR="00A14090" w:rsidRPr="00A14090">
        <w:rPr>
          <w:szCs w:val="24"/>
        </w:rPr>
        <w:instrText xml:space="preserve"> </w:instrText>
      </w:r>
      <w:r w:rsidR="00A14090">
        <w:rPr>
          <w:szCs w:val="24"/>
          <w:lang w:val="en-US"/>
        </w:rPr>
        <w:instrText>relapsed</w:instrText>
      </w:r>
      <w:r w:rsidR="00A14090" w:rsidRPr="00A14090">
        <w:rPr>
          <w:szCs w:val="24"/>
        </w:rPr>
        <w:instrText xml:space="preserve"> </w:instrText>
      </w:r>
      <w:r w:rsidR="00A14090">
        <w:rPr>
          <w:szCs w:val="24"/>
          <w:lang w:val="en-US"/>
        </w:rPr>
        <w:instrText>or</w:instrText>
      </w:r>
      <w:r w:rsidR="00A14090" w:rsidRPr="00A14090">
        <w:rPr>
          <w:szCs w:val="24"/>
        </w:rPr>
        <w:instrText xml:space="preserve"> </w:instrText>
      </w:r>
      <w:r w:rsidR="00A14090">
        <w:rPr>
          <w:szCs w:val="24"/>
          <w:lang w:val="en-US"/>
        </w:rPr>
        <w:instrText>refractory</w:instrText>
      </w:r>
      <w:r w:rsidR="00A14090" w:rsidRPr="00A14090">
        <w:rPr>
          <w:szCs w:val="24"/>
        </w:rPr>
        <w:instrText xml:space="preserve"> </w:instrText>
      </w:r>
      <w:r w:rsidR="00A14090">
        <w:rPr>
          <w:szCs w:val="24"/>
          <w:lang w:val="en-US"/>
        </w:rPr>
        <w:instrText>multiple</w:instrText>
      </w:r>
      <w:r w:rsidR="00A14090" w:rsidRPr="00A14090">
        <w:rPr>
          <w:szCs w:val="24"/>
        </w:rPr>
        <w:instrText xml:space="preserve"> </w:instrText>
      </w:r>
      <w:r w:rsidR="00A14090">
        <w:rPr>
          <w:szCs w:val="24"/>
          <w:lang w:val="en-US"/>
        </w:rPr>
        <w:instrText>myeloma</w:instrText>
      </w:r>
      <w:r w:rsidR="00A14090" w:rsidRPr="00A14090">
        <w:rPr>
          <w:szCs w:val="24"/>
        </w:rPr>
        <w:instrText xml:space="preserve">. </w:instrText>
      </w:r>
      <w:r w:rsidR="00A14090">
        <w:rPr>
          <w:szCs w:val="24"/>
          <w:lang w:val="en-US"/>
        </w:rPr>
        <w:instrText>Progression</w:instrText>
      </w:r>
      <w:r w:rsidR="00A14090" w:rsidRPr="00A14090">
        <w:rPr>
          <w:szCs w:val="24"/>
        </w:rPr>
        <w:instrText>-</w:instrText>
      </w:r>
      <w:r w:rsidR="00A14090">
        <w:rPr>
          <w:szCs w:val="24"/>
          <w:lang w:val="en-US"/>
        </w:rPr>
        <w:instrText>free</w:instrText>
      </w:r>
      <w:r w:rsidR="00A14090" w:rsidRPr="00A14090">
        <w:rPr>
          <w:szCs w:val="24"/>
        </w:rPr>
        <w:instrText xml:space="preserve"> </w:instrText>
      </w:r>
      <w:r w:rsidR="00A14090">
        <w:rPr>
          <w:szCs w:val="24"/>
          <w:lang w:val="en-US"/>
        </w:rPr>
        <w:instrText>survival</w:instrText>
      </w:r>
      <w:r w:rsidR="00A14090" w:rsidRPr="00A14090">
        <w:rPr>
          <w:szCs w:val="24"/>
        </w:rPr>
        <w:instrText xml:space="preserve"> </w:instrText>
      </w:r>
      <w:r w:rsidR="00A14090">
        <w:rPr>
          <w:szCs w:val="24"/>
          <w:lang w:val="en-US"/>
        </w:rPr>
        <w:instrText>was</w:instrText>
      </w:r>
      <w:r w:rsidR="00A14090" w:rsidRPr="00A14090">
        <w:rPr>
          <w:szCs w:val="24"/>
        </w:rPr>
        <w:instrText xml:space="preserve"> </w:instrText>
      </w:r>
      <w:r w:rsidR="00A14090">
        <w:rPr>
          <w:szCs w:val="24"/>
          <w:lang w:val="en-US"/>
        </w:rPr>
        <w:instrText>previously</w:instrText>
      </w:r>
      <w:r w:rsidR="00A14090" w:rsidRPr="00A14090">
        <w:rPr>
          <w:szCs w:val="24"/>
        </w:rPr>
        <w:instrText xml:space="preserve"> </w:instrText>
      </w:r>
      <w:r w:rsidR="00A14090">
        <w:rPr>
          <w:szCs w:val="24"/>
          <w:lang w:val="en-US"/>
        </w:rPr>
        <w:instrText>reported</w:instrText>
      </w:r>
      <w:r w:rsidR="00A14090" w:rsidRPr="00A14090">
        <w:rPr>
          <w:szCs w:val="24"/>
        </w:rPr>
        <w:instrText xml:space="preserve"> </w:instrText>
      </w:r>
      <w:r w:rsidR="00A14090">
        <w:rPr>
          <w:szCs w:val="24"/>
          <w:lang w:val="en-US"/>
        </w:rPr>
        <w:instrText>to</w:instrText>
      </w:r>
      <w:r w:rsidR="00A14090" w:rsidRPr="00A14090">
        <w:rPr>
          <w:szCs w:val="24"/>
        </w:rPr>
        <w:instrText xml:space="preserve"> </w:instrText>
      </w:r>
      <w:r w:rsidR="00A14090">
        <w:rPr>
          <w:szCs w:val="24"/>
          <w:lang w:val="en-US"/>
        </w:rPr>
        <w:instrText>be</w:instrText>
      </w:r>
      <w:r w:rsidR="00A14090" w:rsidRPr="00A14090">
        <w:rPr>
          <w:szCs w:val="24"/>
        </w:rPr>
        <w:instrText xml:space="preserve"> </w:instrText>
      </w:r>
      <w:r w:rsidR="00A14090">
        <w:rPr>
          <w:szCs w:val="24"/>
          <w:lang w:val="en-US"/>
        </w:rPr>
        <w:instrText>significantly</w:instrText>
      </w:r>
      <w:r w:rsidR="00A14090" w:rsidRPr="00A14090">
        <w:rPr>
          <w:szCs w:val="24"/>
        </w:rPr>
        <w:instrText xml:space="preserve"> </w:instrText>
      </w:r>
      <w:r w:rsidR="00A14090">
        <w:rPr>
          <w:szCs w:val="24"/>
          <w:lang w:val="en-US"/>
        </w:rPr>
        <w:instrText>longer</w:instrText>
      </w:r>
      <w:r w:rsidR="00A14090" w:rsidRPr="00A14090">
        <w:rPr>
          <w:szCs w:val="24"/>
        </w:rPr>
        <w:instrText xml:space="preserve"> </w:instrText>
      </w:r>
      <w:r w:rsidR="00A14090">
        <w:rPr>
          <w:szCs w:val="24"/>
          <w:lang w:val="en-US"/>
        </w:rPr>
        <w:instrText>with</w:instrText>
      </w:r>
      <w:r w:rsidR="00A14090" w:rsidRPr="00A14090">
        <w:rPr>
          <w:szCs w:val="24"/>
        </w:rPr>
        <w:instrText xml:space="preserve"> </w:instrText>
      </w:r>
      <w:r w:rsidR="00A14090">
        <w:rPr>
          <w:szCs w:val="24"/>
          <w:lang w:val="en-US"/>
        </w:rPr>
        <w:instrText>carfilzomib</w:instrText>
      </w:r>
      <w:r w:rsidR="00A14090" w:rsidRPr="00A14090">
        <w:rPr>
          <w:szCs w:val="24"/>
        </w:rPr>
        <w:instrText xml:space="preserve"> </w:instrText>
      </w:r>
      <w:r w:rsidR="00A14090">
        <w:rPr>
          <w:szCs w:val="24"/>
          <w:lang w:val="en-US"/>
        </w:rPr>
        <w:instrText>administered</w:instrText>
      </w:r>
      <w:r w:rsidR="00A14090" w:rsidRPr="00A14090">
        <w:rPr>
          <w:szCs w:val="24"/>
        </w:rPr>
        <w:instrText xml:space="preserve"> </w:instrText>
      </w:r>
      <w:r w:rsidR="00A14090">
        <w:rPr>
          <w:szCs w:val="24"/>
          <w:lang w:val="en-US"/>
        </w:rPr>
        <w:instrText>in</w:instrText>
      </w:r>
      <w:r w:rsidR="00A14090" w:rsidRPr="00A14090">
        <w:rPr>
          <w:szCs w:val="24"/>
        </w:rPr>
        <w:instrText xml:space="preserve"> </w:instrText>
      </w:r>
      <w:r w:rsidR="00A14090">
        <w:rPr>
          <w:szCs w:val="24"/>
          <w:lang w:val="en-US"/>
        </w:rPr>
        <w:instrText>combination</w:instrText>
      </w:r>
      <w:r w:rsidR="00A14090" w:rsidRPr="00A14090">
        <w:rPr>
          <w:szCs w:val="24"/>
        </w:rPr>
        <w:instrText xml:space="preserve"> </w:instrText>
      </w:r>
      <w:r w:rsidR="00A14090">
        <w:rPr>
          <w:szCs w:val="24"/>
          <w:lang w:val="en-US"/>
        </w:rPr>
        <w:instrText>with</w:instrText>
      </w:r>
      <w:r w:rsidR="00A14090" w:rsidRPr="00A14090">
        <w:rPr>
          <w:szCs w:val="24"/>
        </w:rPr>
        <w:instrText xml:space="preserve"> </w:instrText>
      </w:r>
      <w:r w:rsidR="00A14090">
        <w:rPr>
          <w:szCs w:val="24"/>
          <w:lang w:val="en-US"/>
        </w:rPr>
        <w:instrText>dexamethasone</w:instrText>
      </w:r>
      <w:r w:rsidR="00A14090" w:rsidRPr="00A14090">
        <w:rPr>
          <w:szCs w:val="24"/>
        </w:rPr>
        <w:instrText xml:space="preserve"> </w:instrText>
      </w:r>
      <w:r w:rsidR="00A14090">
        <w:rPr>
          <w:szCs w:val="24"/>
          <w:lang w:val="en-US"/>
        </w:rPr>
        <w:instrText>than</w:instrText>
      </w:r>
      <w:r w:rsidR="00A14090" w:rsidRPr="00A14090">
        <w:rPr>
          <w:szCs w:val="24"/>
        </w:rPr>
        <w:instrText xml:space="preserve"> </w:instrText>
      </w:r>
      <w:r w:rsidR="00A14090">
        <w:rPr>
          <w:szCs w:val="24"/>
          <w:lang w:val="en-US"/>
        </w:rPr>
        <w:instrText>with</w:instrText>
      </w:r>
      <w:r w:rsidR="00A14090" w:rsidRPr="00A14090">
        <w:rPr>
          <w:szCs w:val="24"/>
        </w:rPr>
        <w:instrText xml:space="preserve"> </w:instrText>
      </w:r>
      <w:r w:rsidR="00A14090">
        <w:rPr>
          <w:szCs w:val="24"/>
          <w:lang w:val="en-US"/>
        </w:rPr>
        <w:instrText>bortezomib</w:instrText>
      </w:r>
      <w:r w:rsidR="00A14090" w:rsidRPr="00A14090">
        <w:rPr>
          <w:szCs w:val="24"/>
        </w:rPr>
        <w:instrText xml:space="preserve"> </w:instrText>
      </w:r>
      <w:r w:rsidR="00A14090">
        <w:rPr>
          <w:szCs w:val="24"/>
          <w:lang w:val="en-US"/>
        </w:rPr>
        <w:instrText>and</w:instrText>
      </w:r>
      <w:r w:rsidR="00A14090" w:rsidRPr="00A14090">
        <w:rPr>
          <w:szCs w:val="24"/>
        </w:rPr>
        <w:instrText xml:space="preserve"> </w:instrText>
      </w:r>
      <w:r w:rsidR="00A14090">
        <w:rPr>
          <w:szCs w:val="24"/>
          <w:lang w:val="en-US"/>
        </w:rPr>
        <w:instrText>dexamethasone</w:instrText>
      </w:r>
      <w:r w:rsidR="00A14090" w:rsidRPr="00A14090">
        <w:rPr>
          <w:szCs w:val="24"/>
        </w:rPr>
        <w:instrText xml:space="preserve"> </w:instrText>
      </w:r>
      <w:r w:rsidR="00A14090">
        <w:rPr>
          <w:szCs w:val="24"/>
          <w:lang w:val="en-US"/>
        </w:rPr>
        <w:instrText>in</w:instrText>
      </w:r>
      <w:r w:rsidR="00A14090" w:rsidRPr="00A14090">
        <w:rPr>
          <w:szCs w:val="24"/>
        </w:rPr>
        <w:instrText xml:space="preserve"> </w:instrText>
      </w:r>
      <w:r w:rsidR="00A14090">
        <w:rPr>
          <w:szCs w:val="24"/>
          <w:lang w:val="en-US"/>
        </w:rPr>
        <w:instrText>an</w:instrText>
      </w:r>
      <w:r w:rsidR="00A14090" w:rsidRPr="00A14090">
        <w:rPr>
          <w:szCs w:val="24"/>
        </w:rPr>
        <w:instrText xml:space="preserve"> </w:instrText>
      </w:r>
      <w:r w:rsidR="00A14090">
        <w:rPr>
          <w:szCs w:val="24"/>
          <w:lang w:val="en-US"/>
        </w:rPr>
        <w:instrText>interim</w:instrText>
      </w:r>
      <w:r w:rsidR="00A14090" w:rsidRPr="00A14090">
        <w:rPr>
          <w:szCs w:val="24"/>
        </w:rPr>
        <w:instrText xml:space="preserve"> </w:instrText>
      </w:r>
      <w:r w:rsidR="00A14090">
        <w:rPr>
          <w:szCs w:val="24"/>
          <w:lang w:val="en-US"/>
        </w:rPr>
        <w:instrText>analysis</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aim</w:instrText>
      </w:r>
      <w:r w:rsidR="00A14090" w:rsidRPr="00A14090">
        <w:rPr>
          <w:szCs w:val="24"/>
        </w:rPr>
        <w:instrText xml:space="preserve"> </w:instrText>
      </w:r>
      <w:r w:rsidR="00A14090">
        <w:rPr>
          <w:szCs w:val="24"/>
          <w:lang w:val="en-US"/>
        </w:rPr>
        <w:instrText>of</w:instrText>
      </w:r>
      <w:r w:rsidR="00A14090" w:rsidRPr="00A14090">
        <w:rPr>
          <w:szCs w:val="24"/>
        </w:rPr>
        <w:instrText xml:space="preserve"> </w:instrText>
      </w:r>
      <w:r w:rsidR="00A14090">
        <w:rPr>
          <w:szCs w:val="24"/>
          <w:lang w:val="en-US"/>
        </w:rPr>
        <w:instrText>this</w:instrText>
      </w:r>
      <w:r w:rsidR="00A14090" w:rsidRPr="00A14090">
        <w:rPr>
          <w:szCs w:val="24"/>
        </w:rPr>
        <w:instrText xml:space="preserve"> </w:instrText>
      </w:r>
      <w:r w:rsidR="00A14090">
        <w:rPr>
          <w:szCs w:val="24"/>
          <w:lang w:val="en-US"/>
        </w:rPr>
        <w:instrText>second</w:instrText>
      </w:r>
      <w:r w:rsidR="00A14090" w:rsidRPr="00A14090">
        <w:rPr>
          <w:szCs w:val="24"/>
        </w:rPr>
        <w:instrText xml:space="preserve"> </w:instrText>
      </w:r>
      <w:r w:rsidR="00A14090">
        <w:rPr>
          <w:szCs w:val="24"/>
          <w:lang w:val="en-US"/>
        </w:rPr>
        <w:instrText>interim</w:instrText>
      </w:r>
      <w:r w:rsidR="00A14090" w:rsidRPr="00A14090">
        <w:rPr>
          <w:szCs w:val="24"/>
        </w:rPr>
        <w:instrText xml:space="preserve"> </w:instrText>
      </w:r>
      <w:r w:rsidR="00A14090">
        <w:rPr>
          <w:szCs w:val="24"/>
          <w:lang w:val="en-US"/>
        </w:rPr>
        <w:instrText>analysis</w:instrText>
      </w:r>
      <w:r w:rsidR="00A14090" w:rsidRPr="00A14090">
        <w:rPr>
          <w:szCs w:val="24"/>
        </w:rPr>
        <w:instrText xml:space="preserve"> </w:instrText>
      </w:r>
      <w:r w:rsidR="00A14090">
        <w:rPr>
          <w:szCs w:val="24"/>
          <w:lang w:val="en-US"/>
        </w:rPr>
        <w:instrText>was</w:instrText>
      </w:r>
      <w:r w:rsidR="00A14090" w:rsidRPr="00A14090">
        <w:rPr>
          <w:szCs w:val="24"/>
        </w:rPr>
        <w:instrText xml:space="preserve"> </w:instrText>
      </w:r>
      <w:r w:rsidR="00A14090">
        <w:rPr>
          <w:szCs w:val="24"/>
          <w:lang w:val="en-US"/>
        </w:rPr>
        <w:instrText>to</w:instrText>
      </w:r>
      <w:r w:rsidR="00A14090" w:rsidRPr="00A14090">
        <w:rPr>
          <w:szCs w:val="24"/>
        </w:rPr>
        <w:instrText xml:space="preserve"> </w:instrText>
      </w:r>
      <w:r w:rsidR="00A14090">
        <w:rPr>
          <w:szCs w:val="24"/>
          <w:lang w:val="en-US"/>
        </w:rPr>
        <w:instrText>compare</w:instrText>
      </w:r>
      <w:r w:rsidR="00A14090" w:rsidRPr="00A14090">
        <w:rPr>
          <w:szCs w:val="24"/>
        </w:rPr>
        <w:instrText xml:space="preserve"> </w:instrText>
      </w:r>
      <w:r w:rsidR="00A14090">
        <w:rPr>
          <w:szCs w:val="24"/>
          <w:lang w:val="en-US"/>
        </w:rPr>
        <w:instrText>overall</w:instrText>
      </w:r>
      <w:r w:rsidR="00A14090" w:rsidRPr="00A14090">
        <w:rPr>
          <w:szCs w:val="24"/>
        </w:rPr>
        <w:instrText xml:space="preserve"> </w:instrText>
      </w:r>
      <w:r w:rsidR="00A14090">
        <w:rPr>
          <w:szCs w:val="24"/>
          <w:lang w:val="en-US"/>
        </w:rPr>
        <w:instrText>survival</w:instrText>
      </w:r>
      <w:r w:rsidR="00A14090" w:rsidRPr="00A14090">
        <w:rPr>
          <w:szCs w:val="24"/>
        </w:rPr>
        <w:instrText xml:space="preserve"> </w:instrText>
      </w:r>
      <w:r w:rsidR="00A14090">
        <w:rPr>
          <w:szCs w:val="24"/>
          <w:lang w:val="en-US"/>
        </w:rPr>
        <w:instrText>between</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two</w:instrText>
      </w:r>
      <w:r w:rsidR="00A14090" w:rsidRPr="00A14090">
        <w:rPr>
          <w:szCs w:val="24"/>
        </w:rPr>
        <w:instrText xml:space="preserve"> </w:instrText>
      </w:r>
      <w:r w:rsidR="00A14090">
        <w:rPr>
          <w:szCs w:val="24"/>
          <w:lang w:val="en-US"/>
        </w:rPr>
        <w:instrText>treatment</w:instrText>
      </w:r>
      <w:r w:rsidR="00A14090" w:rsidRPr="00A14090">
        <w:rPr>
          <w:szCs w:val="24"/>
        </w:rPr>
        <w:instrText xml:space="preserve"> </w:instrText>
      </w:r>
      <w:r w:rsidR="00A14090">
        <w:rPr>
          <w:szCs w:val="24"/>
          <w:lang w:val="en-US"/>
        </w:rPr>
        <w:instrText>groups</w:instrText>
      </w:r>
      <w:r w:rsidR="00A14090" w:rsidRPr="00A14090">
        <w:rPr>
          <w:szCs w:val="24"/>
        </w:rPr>
        <w:instrText xml:space="preserve">. </w:instrText>
      </w:r>
      <w:r w:rsidR="00A14090">
        <w:rPr>
          <w:szCs w:val="24"/>
          <w:lang w:val="en-US"/>
        </w:rPr>
        <w:instrText>Methods</w:instrText>
      </w:r>
      <w:r w:rsidR="00A14090" w:rsidRPr="00A14090">
        <w:rPr>
          <w:szCs w:val="24"/>
        </w:rPr>
        <w:instrText xml:space="preserve"> </w:instrText>
      </w:r>
      <w:r w:rsidR="00A14090">
        <w:rPr>
          <w:szCs w:val="24"/>
          <w:lang w:val="en-US"/>
        </w:rPr>
        <w:instrText>ENDEAVOR</w:instrText>
      </w:r>
      <w:r w:rsidR="00A14090" w:rsidRPr="00A14090">
        <w:rPr>
          <w:szCs w:val="24"/>
        </w:rPr>
        <w:instrText xml:space="preserve"> </w:instrText>
      </w:r>
      <w:r w:rsidR="00A14090">
        <w:rPr>
          <w:szCs w:val="24"/>
          <w:lang w:val="en-US"/>
        </w:rPr>
        <w:instrText>was</w:instrText>
      </w:r>
      <w:r w:rsidR="00A14090" w:rsidRPr="00A14090">
        <w:rPr>
          <w:szCs w:val="24"/>
        </w:rPr>
        <w:instrText xml:space="preserve"> </w:instrText>
      </w:r>
      <w:r w:rsidR="00A14090">
        <w:rPr>
          <w:szCs w:val="24"/>
          <w:lang w:val="en-US"/>
        </w:rPr>
        <w:instrText>a</w:instrText>
      </w:r>
      <w:r w:rsidR="00A14090" w:rsidRPr="00A14090">
        <w:rPr>
          <w:szCs w:val="24"/>
        </w:rPr>
        <w:instrText xml:space="preserve"> </w:instrText>
      </w:r>
      <w:r w:rsidR="00A14090">
        <w:rPr>
          <w:szCs w:val="24"/>
          <w:lang w:val="en-US"/>
        </w:rPr>
        <w:instrText>phase</w:instrText>
      </w:r>
      <w:r w:rsidR="00A14090" w:rsidRPr="00A14090">
        <w:rPr>
          <w:szCs w:val="24"/>
        </w:rPr>
        <w:instrText xml:space="preserve"> 3, </w:instrText>
      </w:r>
      <w:r w:rsidR="00A14090">
        <w:rPr>
          <w:szCs w:val="24"/>
          <w:lang w:val="en-US"/>
        </w:rPr>
        <w:instrText>open</w:instrText>
      </w:r>
      <w:r w:rsidR="00A14090" w:rsidRPr="00A14090">
        <w:rPr>
          <w:szCs w:val="24"/>
        </w:rPr>
        <w:instrText>-</w:instrText>
      </w:r>
      <w:r w:rsidR="00A14090">
        <w:rPr>
          <w:szCs w:val="24"/>
          <w:lang w:val="en-US"/>
        </w:rPr>
        <w:instrText>label</w:instrText>
      </w:r>
      <w:r w:rsidR="00A14090" w:rsidRPr="00A14090">
        <w:rPr>
          <w:szCs w:val="24"/>
        </w:rPr>
        <w:instrText xml:space="preserve">, </w:instrText>
      </w:r>
      <w:r w:rsidR="00A14090">
        <w:rPr>
          <w:szCs w:val="24"/>
          <w:lang w:val="en-US"/>
        </w:rPr>
        <w:instrText>randomised</w:instrText>
      </w:r>
      <w:r w:rsidR="00A14090" w:rsidRPr="00A14090">
        <w:rPr>
          <w:szCs w:val="24"/>
        </w:rPr>
        <w:instrText xml:space="preserve"> </w:instrText>
      </w:r>
      <w:r w:rsidR="00A14090">
        <w:rPr>
          <w:szCs w:val="24"/>
          <w:lang w:val="en-US"/>
        </w:rPr>
        <w:instrText>controlled</w:instrText>
      </w:r>
      <w:r w:rsidR="00A14090" w:rsidRPr="00A14090">
        <w:rPr>
          <w:szCs w:val="24"/>
        </w:rPr>
        <w:instrText xml:space="preserve"> </w:instrText>
      </w:r>
      <w:r w:rsidR="00A14090">
        <w:rPr>
          <w:szCs w:val="24"/>
          <w:lang w:val="en-US"/>
        </w:rPr>
        <w:instrText>trial</w:instrText>
      </w:r>
      <w:r w:rsidR="00A14090" w:rsidRPr="00A14090">
        <w:rPr>
          <w:szCs w:val="24"/>
        </w:rPr>
        <w:instrText xml:space="preserve"> </w:instrText>
      </w:r>
      <w:r w:rsidR="00A14090">
        <w:rPr>
          <w:szCs w:val="24"/>
          <w:lang w:val="en-US"/>
        </w:rPr>
        <w:instrText>in</w:instrText>
      </w:r>
      <w:r w:rsidR="00A14090" w:rsidRPr="00A14090">
        <w:rPr>
          <w:szCs w:val="24"/>
        </w:rPr>
        <w:instrText xml:space="preserve"> </w:instrText>
      </w:r>
      <w:r w:rsidR="00A14090">
        <w:rPr>
          <w:szCs w:val="24"/>
          <w:lang w:val="en-US"/>
        </w:rPr>
        <w:instrText>patients</w:instrText>
      </w:r>
      <w:r w:rsidR="00A14090" w:rsidRPr="00A14090">
        <w:rPr>
          <w:szCs w:val="24"/>
        </w:rPr>
        <w:instrText xml:space="preserve"> </w:instrText>
      </w:r>
      <w:r w:rsidR="00A14090">
        <w:rPr>
          <w:szCs w:val="24"/>
          <w:lang w:val="en-US"/>
        </w:rPr>
        <w:instrText>with</w:instrText>
      </w:r>
      <w:r w:rsidR="00A14090" w:rsidRPr="00A14090">
        <w:rPr>
          <w:szCs w:val="24"/>
        </w:rPr>
        <w:instrText xml:space="preserve"> </w:instrText>
      </w:r>
      <w:r w:rsidR="00A14090">
        <w:rPr>
          <w:szCs w:val="24"/>
          <w:lang w:val="en-US"/>
        </w:rPr>
        <w:instrText>relapsed</w:instrText>
      </w:r>
      <w:r w:rsidR="00A14090" w:rsidRPr="00A14090">
        <w:rPr>
          <w:szCs w:val="24"/>
        </w:rPr>
        <w:instrText xml:space="preserve"> </w:instrText>
      </w:r>
      <w:r w:rsidR="00A14090">
        <w:rPr>
          <w:szCs w:val="24"/>
          <w:lang w:val="en-US"/>
        </w:rPr>
        <w:instrText>or</w:instrText>
      </w:r>
      <w:r w:rsidR="00A14090" w:rsidRPr="00A14090">
        <w:rPr>
          <w:szCs w:val="24"/>
        </w:rPr>
        <w:instrText xml:space="preserve"> </w:instrText>
      </w:r>
      <w:r w:rsidR="00A14090">
        <w:rPr>
          <w:szCs w:val="24"/>
          <w:lang w:val="en-US"/>
        </w:rPr>
        <w:instrText>refractory</w:instrText>
      </w:r>
      <w:r w:rsidR="00A14090" w:rsidRPr="00A14090">
        <w:rPr>
          <w:szCs w:val="24"/>
        </w:rPr>
        <w:instrText xml:space="preserve"> </w:instrText>
      </w:r>
      <w:r w:rsidR="00A14090">
        <w:rPr>
          <w:szCs w:val="24"/>
          <w:lang w:val="en-US"/>
        </w:rPr>
        <w:instrText>multiple</w:instrText>
      </w:r>
      <w:r w:rsidR="00A14090" w:rsidRPr="00A14090">
        <w:rPr>
          <w:szCs w:val="24"/>
        </w:rPr>
        <w:instrText xml:space="preserve"> </w:instrText>
      </w:r>
      <w:r w:rsidR="00A14090">
        <w:rPr>
          <w:szCs w:val="24"/>
          <w:lang w:val="en-US"/>
        </w:rPr>
        <w:instrText>myeloma</w:instrText>
      </w:r>
      <w:r w:rsidR="00A14090" w:rsidRPr="00A14090">
        <w:rPr>
          <w:szCs w:val="24"/>
        </w:rPr>
        <w:instrText xml:space="preserve">. </w:instrText>
      </w:r>
      <w:r w:rsidR="00A14090">
        <w:rPr>
          <w:szCs w:val="24"/>
          <w:lang w:val="en-US"/>
        </w:rPr>
        <w:instrText>Patients</w:instrText>
      </w:r>
      <w:r w:rsidR="00A14090" w:rsidRPr="00A14090">
        <w:rPr>
          <w:szCs w:val="24"/>
        </w:rPr>
        <w:instrText xml:space="preserve"> </w:instrText>
      </w:r>
      <w:r w:rsidR="00A14090">
        <w:rPr>
          <w:szCs w:val="24"/>
          <w:lang w:val="en-US"/>
        </w:rPr>
        <w:instrText>were</w:instrText>
      </w:r>
      <w:r w:rsidR="00A14090" w:rsidRPr="00A14090">
        <w:rPr>
          <w:szCs w:val="24"/>
        </w:rPr>
        <w:instrText xml:space="preserve"> </w:instrText>
      </w:r>
      <w:r w:rsidR="00A14090">
        <w:rPr>
          <w:szCs w:val="24"/>
          <w:lang w:val="en-US"/>
        </w:rPr>
        <w:instrText>recruited</w:instrText>
      </w:r>
      <w:r w:rsidR="00A14090" w:rsidRPr="00A14090">
        <w:rPr>
          <w:szCs w:val="24"/>
        </w:rPr>
        <w:instrText xml:space="preserve"> </w:instrText>
      </w:r>
      <w:r w:rsidR="00A14090">
        <w:rPr>
          <w:szCs w:val="24"/>
          <w:lang w:val="en-US"/>
        </w:rPr>
        <w:instrText>from</w:instrText>
      </w:r>
      <w:r w:rsidR="00A14090" w:rsidRPr="00A14090">
        <w:rPr>
          <w:szCs w:val="24"/>
        </w:rPr>
        <w:instrText xml:space="preserve"> 198 </w:instrText>
      </w:r>
      <w:r w:rsidR="00A14090">
        <w:rPr>
          <w:szCs w:val="24"/>
          <w:lang w:val="en-US"/>
        </w:rPr>
        <w:instrText>hospitals</w:instrText>
      </w:r>
      <w:r w:rsidR="00A14090" w:rsidRPr="00A14090">
        <w:rPr>
          <w:szCs w:val="24"/>
        </w:rPr>
        <w:instrText xml:space="preserve"> </w:instrText>
      </w:r>
      <w:r w:rsidR="00A14090">
        <w:rPr>
          <w:szCs w:val="24"/>
          <w:lang w:val="en-US"/>
        </w:rPr>
        <w:instrText>and</w:instrText>
      </w:r>
      <w:r w:rsidR="00A14090" w:rsidRPr="00A14090">
        <w:rPr>
          <w:szCs w:val="24"/>
        </w:rPr>
        <w:instrText xml:space="preserve"> </w:instrText>
      </w:r>
      <w:r w:rsidR="00A14090">
        <w:rPr>
          <w:szCs w:val="24"/>
          <w:lang w:val="en-US"/>
        </w:rPr>
        <w:instrText>outpatient</w:instrText>
      </w:r>
      <w:r w:rsidR="00A14090" w:rsidRPr="00A14090">
        <w:rPr>
          <w:szCs w:val="24"/>
        </w:rPr>
        <w:instrText xml:space="preserve"> </w:instrText>
      </w:r>
      <w:r w:rsidR="00A14090">
        <w:rPr>
          <w:szCs w:val="24"/>
          <w:lang w:val="en-US"/>
        </w:rPr>
        <w:instrText>clinics</w:instrText>
      </w:r>
      <w:r w:rsidR="00A14090" w:rsidRPr="00A14090">
        <w:rPr>
          <w:szCs w:val="24"/>
        </w:rPr>
        <w:instrText xml:space="preserve"> </w:instrText>
      </w:r>
      <w:r w:rsidR="00A14090">
        <w:rPr>
          <w:szCs w:val="24"/>
          <w:lang w:val="en-US"/>
        </w:rPr>
        <w:instrText>in</w:instrText>
      </w:r>
      <w:r w:rsidR="00A14090" w:rsidRPr="00A14090">
        <w:rPr>
          <w:szCs w:val="24"/>
        </w:rPr>
        <w:instrText xml:space="preserve"> 27 </w:instrText>
      </w:r>
      <w:r w:rsidR="00A14090">
        <w:rPr>
          <w:szCs w:val="24"/>
          <w:lang w:val="en-US"/>
        </w:rPr>
        <w:instrText>countries</w:instrText>
      </w:r>
      <w:r w:rsidR="00A14090" w:rsidRPr="00A14090">
        <w:rPr>
          <w:szCs w:val="24"/>
        </w:rPr>
        <w:instrText xml:space="preserve"> </w:instrText>
      </w:r>
      <w:r w:rsidR="00A14090">
        <w:rPr>
          <w:szCs w:val="24"/>
          <w:lang w:val="en-US"/>
        </w:rPr>
        <w:instrText>in</w:instrText>
      </w:r>
      <w:r w:rsidR="00A14090" w:rsidRPr="00A14090">
        <w:rPr>
          <w:szCs w:val="24"/>
        </w:rPr>
        <w:instrText xml:space="preserve"> </w:instrText>
      </w:r>
      <w:r w:rsidR="00A14090">
        <w:rPr>
          <w:szCs w:val="24"/>
          <w:lang w:val="en-US"/>
        </w:rPr>
        <w:instrText>Europe</w:instrText>
      </w:r>
      <w:r w:rsidR="00A14090" w:rsidRPr="00A14090">
        <w:rPr>
          <w:szCs w:val="24"/>
        </w:rPr>
        <w:instrText xml:space="preserve">, </w:instrText>
      </w:r>
      <w:r w:rsidR="00A14090">
        <w:rPr>
          <w:szCs w:val="24"/>
          <w:lang w:val="en-US"/>
        </w:rPr>
        <w:instrText>North</w:instrText>
      </w:r>
      <w:r w:rsidR="00A14090" w:rsidRPr="00A14090">
        <w:rPr>
          <w:szCs w:val="24"/>
        </w:rPr>
        <w:instrText xml:space="preserve"> </w:instrText>
      </w:r>
      <w:r w:rsidR="00A14090">
        <w:rPr>
          <w:szCs w:val="24"/>
          <w:lang w:val="en-US"/>
        </w:rPr>
        <w:instrText>America</w:instrText>
      </w:r>
      <w:r w:rsidR="00A14090" w:rsidRPr="00A14090">
        <w:rPr>
          <w:szCs w:val="24"/>
        </w:rPr>
        <w:instrText xml:space="preserve">, </w:instrText>
      </w:r>
      <w:r w:rsidR="00A14090">
        <w:rPr>
          <w:szCs w:val="24"/>
          <w:lang w:val="en-US"/>
        </w:rPr>
        <w:instrText>South</w:instrText>
      </w:r>
      <w:r w:rsidR="00A14090" w:rsidRPr="00A14090">
        <w:rPr>
          <w:szCs w:val="24"/>
        </w:rPr>
        <w:instrText xml:space="preserve"> </w:instrText>
      </w:r>
      <w:r w:rsidR="00A14090">
        <w:rPr>
          <w:szCs w:val="24"/>
          <w:lang w:val="en-US"/>
        </w:rPr>
        <w:instrText>America</w:instrText>
      </w:r>
      <w:r w:rsidR="00A14090" w:rsidRPr="00A14090">
        <w:rPr>
          <w:szCs w:val="24"/>
        </w:rPr>
        <w:instrText xml:space="preserve">, </w:instrText>
      </w:r>
      <w:r w:rsidR="00A14090">
        <w:rPr>
          <w:szCs w:val="24"/>
          <w:lang w:val="en-US"/>
        </w:rPr>
        <w:instrText>and</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Asia</w:instrText>
      </w:r>
      <w:r w:rsidR="00A14090" w:rsidRPr="00A14090">
        <w:rPr>
          <w:szCs w:val="24"/>
        </w:rPr>
        <w:instrText>-</w:instrText>
      </w:r>
      <w:r w:rsidR="00A14090">
        <w:rPr>
          <w:szCs w:val="24"/>
          <w:lang w:val="en-US"/>
        </w:rPr>
        <w:instrText>Pacific</w:instrText>
      </w:r>
      <w:r w:rsidR="00A14090" w:rsidRPr="00A14090">
        <w:rPr>
          <w:szCs w:val="24"/>
        </w:rPr>
        <w:instrText xml:space="preserve"> </w:instrText>
      </w:r>
      <w:r w:rsidR="00A14090">
        <w:rPr>
          <w:szCs w:val="24"/>
          <w:lang w:val="en-US"/>
        </w:rPr>
        <w:instrText>region</w:instrText>
      </w:r>
      <w:r w:rsidR="00A14090" w:rsidRPr="00A14090">
        <w:rPr>
          <w:szCs w:val="24"/>
        </w:rPr>
        <w:instrText xml:space="preserve">. </w:instrText>
      </w:r>
      <w:r w:rsidR="00A14090">
        <w:rPr>
          <w:szCs w:val="24"/>
          <w:lang w:val="en-US"/>
        </w:rPr>
        <w:instrText>Patients</w:instrText>
      </w:r>
      <w:r w:rsidR="00A14090" w:rsidRPr="00A14090">
        <w:rPr>
          <w:szCs w:val="24"/>
        </w:rPr>
        <w:instrText xml:space="preserve"> </w:instrText>
      </w:r>
      <w:r w:rsidR="00A14090">
        <w:rPr>
          <w:szCs w:val="24"/>
          <w:lang w:val="en-US"/>
        </w:rPr>
        <w:instrText>were</w:instrText>
      </w:r>
      <w:r w:rsidR="00A14090" w:rsidRPr="00A14090">
        <w:rPr>
          <w:szCs w:val="24"/>
        </w:rPr>
        <w:instrText xml:space="preserve"> </w:instrText>
      </w:r>
      <w:r w:rsidR="00A14090">
        <w:rPr>
          <w:szCs w:val="24"/>
          <w:lang w:val="en-US"/>
        </w:rPr>
        <w:instrText>aged</w:instrText>
      </w:r>
      <w:r w:rsidR="00A14090" w:rsidRPr="00A14090">
        <w:rPr>
          <w:szCs w:val="24"/>
        </w:rPr>
        <w:instrText xml:space="preserve"> 18 </w:instrText>
      </w:r>
      <w:r w:rsidR="00A14090">
        <w:rPr>
          <w:szCs w:val="24"/>
          <w:lang w:val="en-US"/>
        </w:rPr>
        <w:instrText>years</w:instrText>
      </w:r>
      <w:r w:rsidR="00A14090" w:rsidRPr="00A14090">
        <w:rPr>
          <w:szCs w:val="24"/>
        </w:rPr>
        <w:instrText xml:space="preserve"> </w:instrText>
      </w:r>
      <w:r w:rsidR="00A14090">
        <w:rPr>
          <w:szCs w:val="24"/>
          <w:lang w:val="en-US"/>
        </w:rPr>
        <w:instrText>or</w:instrText>
      </w:r>
      <w:r w:rsidR="00A14090" w:rsidRPr="00A14090">
        <w:rPr>
          <w:szCs w:val="24"/>
        </w:rPr>
        <w:instrText xml:space="preserve"> </w:instrText>
      </w:r>
      <w:r w:rsidR="00A14090">
        <w:rPr>
          <w:szCs w:val="24"/>
          <w:lang w:val="en-US"/>
        </w:rPr>
        <w:instrText>older</w:instrText>
      </w:r>
      <w:r w:rsidR="00A14090" w:rsidRPr="00A14090">
        <w:rPr>
          <w:szCs w:val="24"/>
        </w:rPr>
        <w:instrText xml:space="preserve">, </w:instrText>
      </w:r>
      <w:r w:rsidR="00A14090">
        <w:rPr>
          <w:szCs w:val="24"/>
          <w:lang w:val="en-US"/>
        </w:rPr>
        <w:instrText>had</w:instrText>
      </w:r>
      <w:r w:rsidR="00A14090" w:rsidRPr="00A14090">
        <w:rPr>
          <w:szCs w:val="24"/>
        </w:rPr>
        <w:instrText xml:space="preserve"> </w:instrText>
      </w:r>
      <w:r w:rsidR="00A14090">
        <w:rPr>
          <w:szCs w:val="24"/>
          <w:lang w:val="en-US"/>
        </w:rPr>
        <w:instrText>relapsed</w:instrText>
      </w:r>
      <w:r w:rsidR="00A14090" w:rsidRPr="00A14090">
        <w:rPr>
          <w:szCs w:val="24"/>
        </w:rPr>
        <w:instrText xml:space="preserve"> </w:instrText>
      </w:r>
      <w:r w:rsidR="00A14090">
        <w:rPr>
          <w:szCs w:val="24"/>
          <w:lang w:val="en-US"/>
        </w:rPr>
        <w:instrText>or</w:instrText>
      </w:r>
      <w:r w:rsidR="00A14090" w:rsidRPr="00A14090">
        <w:rPr>
          <w:szCs w:val="24"/>
        </w:rPr>
        <w:instrText xml:space="preserve"> </w:instrText>
      </w:r>
      <w:r w:rsidR="00A14090">
        <w:rPr>
          <w:szCs w:val="24"/>
          <w:lang w:val="en-US"/>
        </w:rPr>
        <w:instrText>refractory</w:instrText>
      </w:r>
      <w:r w:rsidR="00A14090" w:rsidRPr="00A14090">
        <w:rPr>
          <w:szCs w:val="24"/>
        </w:rPr>
        <w:instrText xml:space="preserve"> </w:instrText>
      </w:r>
      <w:r w:rsidR="00A14090">
        <w:rPr>
          <w:szCs w:val="24"/>
          <w:lang w:val="en-US"/>
        </w:rPr>
        <w:instrText>multiple</w:instrText>
      </w:r>
      <w:r w:rsidR="00A14090" w:rsidRPr="00A14090">
        <w:rPr>
          <w:szCs w:val="24"/>
        </w:rPr>
        <w:instrText xml:space="preserve"> </w:instrText>
      </w:r>
      <w:r w:rsidR="00A14090">
        <w:rPr>
          <w:szCs w:val="24"/>
          <w:lang w:val="en-US"/>
        </w:rPr>
        <w:instrText>myeloma</w:instrText>
      </w:r>
      <w:r w:rsidR="00A14090" w:rsidRPr="00A14090">
        <w:rPr>
          <w:szCs w:val="24"/>
        </w:rPr>
        <w:instrText xml:space="preserve">, </w:instrText>
      </w:r>
      <w:r w:rsidR="00A14090">
        <w:rPr>
          <w:szCs w:val="24"/>
          <w:lang w:val="en-US"/>
        </w:rPr>
        <w:instrText>and</w:instrText>
      </w:r>
      <w:r w:rsidR="00A14090" w:rsidRPr="00A14090">
        <w:rPr>
          <w:szCs w:val="24"/>
        </w:rPr>
        <w:instrText xml:space="preserve"> </w:instrText>
      </w:r>
      <w:r w:rsidR="00A14090">
        <w:rPr>
          <w:szCs w:val="24"/>
          <w:lang w:val="en-US"/>
        </w:rPr>
        <w:instrText>had</w:instrText>
      </w:r>
      <w:r w:rsidR="00A14090" w:rsidRPr="00A14090">
        <w:rPr>
          <w:szCs w:val="24"/>
        </w:rPr>
        <w:instrText xml:space="preserve"> </w:instrText>
      </w:r>
      <w:r w:rsidR="00A14090">
        <w:rPr>
          <w:szCs w:val="24"/>
          <w:lang w:val="en-US"/>
        </w:rPr>
        <w:instrText>received</w:instrText>
      </w:r>
      <w:r w:rsidR="00A14090" w:rsidRPr="00A14090">
        <w:rPr>
          <w:szCs w:val="24"/>
        </w:rPr>
        <w:instrText xml:space="preserve"> </w:instrText>
      </w:r>
      <w:r w:rsidR="00A14090">
        <w:rPr>
          <w:szCs w:val="24"/>
          <w:lang w:val="en-US"/>
        </w:rPr>
        <w:instrText>between</w:instrText>
      </w:r>
      <w:r w:rsidR="00A14090" w:rsidRPr="00A14090">
        <w:rPr>
          <w:szCs w:val="24"/>
        </w:rPr>
        <w:instrText xml:space="preserve"> </w:instrText>
      </w:r>
      <w:r w:rsidR="00A14090">
        <w:rPr>
          <w:szCs w:val="24"/>
          <w:lang w:val="en-US"/>
        </w:rPr>
        <w:instrText>one</w:instrText>
      </w:r>
      <w:r w:rsidR="00A14090" w:rsidRPr="00A14090">
        <w:rPr>
          <w:szCs w:val="24"/>
        </w:rPr>
        <w:instrText xml:space="preserve"> </w:instrText>
      </w:r>
      <w:r w:rsidR="00A14090">
        <w:rPr>
          <w:szCs w:val="24"/>
          <w:lang w:val="en-US"/>
        </w:rPr>
        <w:instrText>and</w:instrText>
      </w:r>
      <w:r w:rsidR="00A14090" w:rsidRPr="00A14090">
        <w:rPr>
          <w:szCs w:val="24"/>
        </w:rPr>
        <w:instrText xml:space="preserve"> </w:instrText>
      </w:r>
      <w:r w:rsidR="00A14090">
        <w:rPr>
          <w:szCs w:val="24"/>
          <w:lang w:val="en-US"/>
        </w:rPr>
        <w:instrText>three</w:instrText>
      </w:r>
      <w:r w:rsidR="00A14090" w:rsidRPr="00A14090">
        <w:rPr>
          <w:szCs w:val="24"/>
        </w:rPr>
        <w:instrText xml:space="preserve"> </w:instrText>
      </w:r>
      <w:r w:rsidR="00A14090">
        <w:rPr>
          <w:szCs w:val="24"/>
          <w:lang w:val="en-US"/>
        </w:rPr>
        <w:instrText>previous</w:instrText>
      </w:r>
      <w:r w:rsidR="00A14090" w:rsidRPr="00A14090">
        <w:rPr>
          <w:szCs w:val="24"/>
        </w:rPr>
        <w:instrText xml:space="preserve"> </w:instrText>
      </w:r>
      <w:r w:rsidR="00A14090">
        <w:rPr>
          <w:szCs w:val="24"/>
          <w:lang w:val="en-US"/>
        </w:rPr>
        <w:instrText>lines</w:instrText>
      </w:r>
      <w:r w:rsidR="00A14090" w:rsidRPr="00A14090">
        <w:rPr>
          <w:szCs w:val="24"/>
        </w:rPr>
        <w:instrText xml:space="preserve"> </w:instrText>
      </w:r>
      <w:r w:rsidR="00A14090">
        <w:rPr>
          <w:szCs w:val="24"/>
          <w:lang w:val="en-US"/>
        </w:rPr>
        <w:instrText>of</w:instrText>
      </w:r>
      <w:r w:rsidR="00A14090" w:rsidRPr="00A14090">
        <w:rPr>
          <w:szCs w:val="24"/>
        </w:rPr>
        <w:instrText xml:space="preserve"> </w:instrText>
      </w:r>
      <w:r w:rsidR="00A14090">
        <w:rPr>
          <w:szCs w:val="24"/>
          <w:lang w:val="en-US"/>
        </w:rPr>
        <w:instrText>therapy</w:instrText>
      </w:r>
      <w:r w:rsidR="00A14090" w:rsidRPr="00A14090">
        <w:rPr>
          <w:szCs w:val="24"/>
        </w:rPr>
        <w:instrText xml:space="preserve">. </w:instrText>
      </w:r>
      <w:r w:rsidR="00A14090">
        <w:rPr>
          <w:szCs w:val="24"/>
          <w:lang w:val="en-US"/>
        </w:rPr>
        <w:instrText>Patients</w:instrText>
      </w:r>
      <w:r w:rsidR="00A14090" w:rsidRPr="00A14090">
        <w:rPr>
          <w:szCs w:val="24"/>
        </w:rPr>
        <w:instrText xml:space="preserve"> </w:instrText>
      </w:r>
      <w:r w:rsidR="00A14090">
        <w:rPr>
          <w:szCs w:val="24"/>
          <w:lang w:val="en-US"/>
        </w:rPr>
        <w:instrText>were</w:instrText>
      </w:r>
      <w:r w:rsidR="00A14090" w:rsidRPr="00A14090">
        <w:rPr>
          <w:szCs w:val="24"/>
        </w:rPr>
        <w:instrText xml:space="preserve"> </w:instrText>
      </w:r>
      <w:r w:rsidR="00A14090">
        <w:rPr>
          <w:szCs w:val="24"/>
          <w:lang w:val="en-US"/>
        </w:rPr>
        <w:instrText>randomly</w:instrText>
      </w:r>
      <w:r w:rsidR="00A14090" w:rsidRPr="00A14090">
        <w:rPr>
          <w:szCs w:val="24"/>
        </w:rPr>
        <w:instrText xml:space="preserve"> </w:instrText>
      </w:r>
      <w:r w:rsidR="00A14090">
        <w:rPr>
          <w:szCs w:val="24"/>
          <w:lang w:val="en-US"/>
        </w:rPr>
        <w:instrText>assigned</w:instrText>
      </w:r>
      <w:r w:rsidR="00A14090" w:rsidRPr="00A14090">
        <w:rPr>
          <w:szCs w:val="24"/>
        </w:rPr>
        <w:instrText xml:space="preserve"> (1:1) </w:instrText>
      </w:r>
      <w:r w:rsidR="00A14090">
        <w:rPr>
          <w:szCs w:val="24"/>
          <w:lang w:val="en-US"/>
        </w:rPr>
        <w:instrText>to</w:instrText>
      </w:r>
      <w:r w:rsidR="00A14090" w:rsidRPr="00A14090">
        <w:rPr>
          <w:szCs w:val="24"/>
        </w:rPr>
        <w:instrText xml:space="preserve"> </w:instrText>
      </w:r>
      <w:r w:rsidR="00A14090">
        <w:rPr>
          <w:szCs w:val="24"/>
          <w:lang w:val="en-US"/>
        </w:rPr>
        <w:instrText>receive</w:instrText>
      </w:r>
      <w:r w:rsidR="00A14090" w:rsidRPr="00A14090">
        <w:rPr>
          <w:szCs w:val="24"/>
        </w:rPr>
        <w:instrText xml:space="preserve"> </w:instrText>
      </w:r>
      <w:r w:rsidR="00A14090">
        <w:rPr>
          <w:szCs w:val="24"/>
          <w:lang w:val="en-US"/>
        </w:rPr>
        <w:instrText>carfilzomib</w:instrText>
      </w:r>
      <w:r w:rsidR="00A14090" w:rsidRPr="00A14090">
        <w:rPr>
          <w:szCs w:val="24"/>
        </w:rPr>
        <w:instrText xml:space="preserve"> </w:instrText>
      </w:r>
      <w:r w:rsidR="00A14090">
        <w:rPr>
          <w:szCs w:val="24"/>
          <w:lang w:val="en-US"/>
        </w:rPr>
        <w:instrText>and</w:instrText>
      </w:r>
      <w:r w:rsidR="00A14090" w:rsidRPr="00A14090">
        <w:rPr>
          <w:szCs w:val="24"/>
        </w:rPr>
        <w:instrText xml:space="preserve"> </w:instrText>
      </w:r>
      <w:r w:rsidR="00A14090">
        <w:rPr>
          <w:szCs w:val="24"/>
          <w:lang w:val="en-US"/>
        </w:rPr>
        <w:instrText>dexamethasone</w:instrText>
      </w:r>
      <w:r w:rsidR="00A14090" w:rsidRPr="00A14090">
        <w:rPr>
          <w:szCs w:val="24"/>
        </w:rPr>
        <w:instrText xml:space="preserve"> (</w:instrText>
      </w:r>
      <w:r w:rsidR="00A14090">
        <w:rPr>
          <w:szCs w:val="24"/>
          <w:lang w:val="en-US"/>
        </w:rPr>
        <w:instrText>carfilzomib</w:instrText>
      </w:r>
      <w:r w:rsidR="00A14090" w:rsidRPr="00A14090">
        <w:rPr>
          <w:szCs w:val="24"/>
        </w:rPr>
        <w:instrText xml:space="preserve"> </w:instrText>
      </w:r>
      <w:r w:rsidR="00A14090">
        <w:rPr>
          <w:szCs w:val="24"/>
          <w:lang w:val="en-US"/>
        </w:rPr>
        <w:instrText>group</w:instrText>
      </w:r>
      <w:r w:rsidR="00A14090" w:rsidRPr="00A14090">
        <w:rPr>
          <w:szCs w:val="24"/>
        </w:rPr>
        <w:instrText xml:space="preserve">) </w:instrText>
      </w:r>
      <w:r w:rsidR="00A14090">
        <w:rPr>
          <w:szCs w:val="24"/>
          <w:lang w:val="en-US"/>
        </w:rPr>
        <w:instrText>or</w:instrText>
      </w:r>
      <w:r w:rsidR="00A14090" w:rsidRPr="00A14090">
        <w:rPr>
          <w:szCs w:val="24"/>
        </w:rPr>
        <w:instrText xml:space="preserve"> </w:instrText>
      </w:r>
      <w:r w:rsidR="00A14090">
        <w:rPr>
          <w:szCs w:val="24"/>
          <w:lang w:val="en-US"/>
        </w:rPr>
        <w:instrText>bortezomib</w:instrText>
      </w:r>
      <w:r w:rsidR="00A14090" w:rsidRPr="00A14090">
        <w:rPr>
          <w:szCs w:val="24"/>
        </w:rPr>
        <w:instrText xml:space="preserve"> </w:instrText>
      </w:r>
      <w:r w:rsidR="00A14090">
        <w:rPr>
          <w:szCs w:val="24"/>
          <w:lang w:val="en-US"/>
        </w:rPr>
        <w:instrText>and</w:instrText>
      </w:r>
      <w:r w:rsidR="00A14090" w:rsidRPr="00A14090">
        <w:rPr>
          <w:szCs w:val="24"/>
        </w:rPr>
        <w:instrText xml:space="preserve"> </w:instrText>
      </w:r>
      <w:r w:rsidR="00A14090">
        <w:rPr>
          <w:szCs w:val="24"/>
          <w:lang w:val="en-US"/>
        </w:rPr>
        <w:instrText>dexamethasone</w:instrText>
      </w:r>
      <w:r w:rsidR="00A14090" w:rsidRPr="00A14090">
        <w:rPr>
          <w:szCs w:val="24"/>
        </w:rPr>
        <w:instrText xml:space="preserve"> (</w:instrText>
      </w:r>
      <w:r w:rsidR="00A14090">
        <w:rPr>
          <w:szCs w:val="24"/>
          <w:lang w:val="en-US"/>
        </w:rPr>
        <w:instrText>bortezomib</w:instrText>
      </w:r>
      <w:r w:rsidR="00A14090" w:rsidRPr="00A14090">
        <w:rPr>
          <w:szCs w:val="24"/>
        </w:rPr>
        <w:instrText xml:space="preserve"> </w:instrText>
      </w:r>
      <w:r w:rsidR="00A14090">
        <w:rPr>
          <w:szCs w:val="24"/>
          <w:lang w:val="en-US"/>
        </w:rPr>
        <w:instrText>group</w:instrText>
      </w:r>
      <w:r w:rsidR="00A14090" w:rsidRPr="00A14090">
        <w:rPr>
          <w:szCs w:val="24"/>
        </w:rPr>
        <w:instrText xml:space="preserve">) </w:instrText>
      </w:r>
      <w:r w:rsidR="00A14090">
        <w:rPr>
          <w:szCs w:val="24"/>
          <w:lang w:val="en-US"/>
        </w:rPr>
        <w:instrText>through</w:instrText>
      </w:r>
      <w:r w:rsidR="00A14090" w:rsidRPr="00A14090">
        <w:rPr>
          <w:szCs w:val="24"/>
        </w:rPr>
        <w:instrText xml:space="preserve"> </w:instrText>
      </w:r>
      <w:r w:rsidR="00A14090">
        <w:rPr>
          <w:szCs w:val="24"/>
          <w:lang w:val="en-US"/>
        </w:rPr>
        <w:instrText>a</w:instrText>
      </w:r>
      <w:r w:rsidR="00A14090" w:rsidRPr="00A14090">
        <w:rPr>
          <w:szCs w:val="24"/>
        </w:rPr>
        <w:instrText xml:space="preserve"> </w:instrText>
      </w:r>
      <w:r w:rsidR="00A14090">
        <w:rPr>
          <w:szCs w:val="24"/>
          <w:lang w:val="en-US"/>
        </w:rPr>
        <w:instrText>blocked</w:instrText>
      </w:r>
      <w:r w:rsidR="00A14090" w:rsidRPr="00A14090">
        <w:rPr>
          <w:szCs w:val="24"/>
        </w:rPr>
        <w:instrText xml:space="preserve"> </w:instrText>
      </w:r>
      <w:r w:rsidR="00A14090">
        <w:rPr>
          <w:szCs w:val="24"/>
          <w:lang w:val="en-US"/>
        </w:rPr>
        <w:instrText>randomisation</w:instrText>
      </w:r>
      <w:r w:rsidR="00A14090" w:rsidRPr="00A14090">
        <w:rPr>
          <w:szCs w:val="24"/>
        </w:rPr>
        <w:instrText xml:space="preserve"> </w:instrText>
      </w:r>
      <w:r w:rsidR="00A14090">
        <w:rPr>
          <w:szCs w:val="24"/>
          <w:lang w:val="en-US"/>
        </w:rPr>
        <w:instrText>scheme</w:instrText>
      </w:r>
      <w:r w:rsidR="00A14090" w:rsidRPr="00A14090">
        <w:rPr>
          <w:szCs w:val="24"/>
        </w:rPr>
        <w:instrText xml:space="preserve"> (</w:instrText>
      </w:r>
      <w:r w:rsidR="00A14090">
        <w:rPr>
          <w:szCs w:val="24"/>
          <w:lang w:val="en-US"/>
        </w:rPr>
        <w:instrText>block</w:instrText>
      </w:r>
      <w:r w:rsidR="00A14090" w:rsidRPr="00A14090">
        <w:rPr>
          <w:szCs w:val="24"/>
        </w:rPr>
        <w:instrText xml:space="preserve"> </w:instrText>
      </w:r>
      <w:r w:rsidR="00A14090">
        <w:rPr>
          <w:szCs w:val="24"/>
          <w:lang w:val="en-US"/>
        </w:rPr>
        <w:instrText>size</w:instrText>
      </w:r>
      <w:r w:rsidR="00A14090" w:rsidRPr="00A14090">
        <w:rPr>
          <w:szCs w:val="24"/>
        </w:rPr>
        <w:instrText xml:space="preserve"> </w:instrText>
      </w:r>
      <w:r w:rsidR="00A14090">
        <w:rPr>
          <w:szCs w:val="24"/>
          <w:lang w:val="en-US"/>
        </w:rPr>
        <w:instrText>of</w:instrText>
      </w:r>
      <w:r w:rsidR="00A14090" w:rsidRPr="00A14090">
        <w:rPr>
          <w:szCs w:val="24"/>
        </w:rPr>
        <w:instrText xml:space="preserve"> </w:instrText>
      </w:r>
      <w:r w:rsidR="00A14090">
        <w:rPr>
          <w:szCs w:val="24"/>
          <w:lang w:val="en-US"/>
        </w:rPr>
        <w:instrText>four</w:instrText>
      </w:r>
      <w:r w:rsidR="00A14090" w:rsidRPr="00A14090">
        <w:rPr>
          <w:szCs w:val="24"/>
        </w:rPr>
        <w:instrText xml:space="preserve">), </w:instrText>
      </w:r>
      <w:r w:rsidR="00A14090">
        <w:rPr>
          <w:szCs w:val="24"/>
          <w:lang w:val="en-US"/>
        </w:rPr>
        <w:instrText>stratified</w:instrText>
      </w:r>
      <w:r w:rsidR="00A14090" w:rsidRPr="00A14090">
        <w:rPr>
          <w:szCs w:val="24"/>
        </w:rPr>
        <w:instrText xml:space="preserve"> </w:instrText>
      </w:r>
      <w:r w:rsidR="00A14090">
        <w:rPr>
          <w:szCs w:val="24"/>
          <w:lang w:val="en-US"/>
        </w:rPr>
        <w:instrText>by</w:instrText>
      </w:r>
      <w:r w:rsidR="00A14090" w:rsidRPr="00A14090">
        <w:rPr>
          <w:szCs w:val="24"/>
        </w:rPr>
        <w:instrText xml:space="preserve"> </w:instrText>
      </w:r>
      <w:r w:rsidR="00A14090">
        <w:rPr>
          <w:szCs w:val="24"/>
          <w:lang w:val="en-US"/>
        </w:rPr>
        <w:instrText>International</w:instrText>
      </w:r>
      <w:r w:rsidR="00A14090" w:rsidRPr="00A14090">
        <w:rPr>
          <w:szCs w:val="24"/>
        </w:rPr>
        <w:instrText xml:space="preserve"> </w:instrText>
      </w:r>
      <w:r w:rsidR="00A14090">
        <w:rPr>
          <w:szCs w:val="24"/>
          <w:lang w:val="en-US"/>
        </w:rPr>
        <w:instrText>Staging</w:instrText>
      </w:r>
      <w:r w:rsidR="00A14090" w:rsidRPr="00A14090">
        <w:rPr>
          <w:szCs w:val="24"/>
        </w:rPr>
        <w:instrText xml:space="preserve"> </w:instrText>
      </w:r>
      <w:r w:rsidR="00A14090">
        <w:rPr>
          <w:szCs w:val="24"/>
          <w:lang w:val="en-US"/>
        </w:rPr>
        <w:instrText>System</w:instrText>
      </w:r>
      <w:r w:rsidR="00A14090" w:rsidRPr="00A14090">
        <w:rPr>
          <w:szCs w:val="24"/>
        </w:rPr>
        <w:instrText xml:space="preserve"> </w:instrText>
      </w:r>
      <w:r w:rsidR="00A14090">
        <w:rPr>
          <w:szCs w:val="24"/>
          <w:lang w:val="en-US"/>
        </w:rPr>
        <w:instrText>stage</w:instrText>
      </w:r>
      <w:r w:rsidR="00A14090" w:rsidRPr="00A14090">
        <w:rPr>
          <w:szCs w:val="24"/>
        </w:rPr>
        <w:instrText xml:space="preserve">, </w:instrText>
      </w:r>
      <w:r w:rsidR="00A14090">
        <w:rPr>
          <w:szCs w:val="24"/>
          <w:lang w:val="en-US"/>
        </w:rPr>
        <w:instrText>previous</w:instrText>
      </w:r>
      <w:r w:rsidR="00A14090" w:rsidRPr="00A14090">
        <w:rPr>
          <w:szCs w:val="24"/>
        </w:rPr>
        <w:instrText xml:space="preserve"> </w:instrText>
      </w:r>
      <w:r w:rsidR="00A14090">
        <w:rPr>
          <w:szCs w:val="24"/>
          <w:lang w:val="en-US"/>
        </w:rPr>
        <w:instrText>lines</w:instrText>
      </w:r>
      <w:r w:rsidR="00A14090" w:rsidRPr="00A14090">
        <w:rPr>
          <w:szCs w:val="24"/>
        </w:rPr>
        <w:instrText xml:space="preserve"> </w:instrText>
      </w:r>
      <w:r w:rsidR="00A14090">
        <w:rPr>
          <w:szCs w:val="24"/>
          <w:lang w:val="en-US"/>
        </w:rPr>
        <w:instrText>of</w:instrText>
      </w:r>
      <w:r w:rsidR="00A14090" w:rsidRPr="00A14090">
        <w:rPr>
          <w:szCs w:val="24"/>
        </w:rPr>
        <w:instrText xml:space="preserve"> </w:instrText>
      </w:r>
      <w:r w:rsidR="00A14090">
        <w:rPr>
          <w:szCs w:val="24"/>
          <w:lang w:val="en-US"/>
        </w:rPr>
        <w:instrText>treatment</w:instrText>
      </w:r>
      <w:r w:rsidR="00A14090" w:rsidRPr="00A14090">
        <w:rPr>
          <w:szCs w:val="24"/>
        </w:rPr>
        <w:instrText xml:space="preserve">, </w:instrText>
      </w:r>
      <w:r w:rsidR="00A14090">
        <w:rPr>
          <w:szCs w:val="24"/>
          <w:lang w:val="en-US"/>
        </w:rPr>
        <w:instrText>previous</w:instrText>
      </w:r>
      <w:r w:rsidR="00A14090" w:rsidRPr="00A14090">
        <w:rPr>
          <w:szCs w:val="24"/>
        </w:rPr>
        <w:instrText xml:space="preserve"> </w:instrText>
      </w:r>
      <w:r w:rsidR="00A14090">
        <w:rPr>
          <w:szCs w:val="24"/>
          <w:lang w:val="en-US"/>
        </w:rPr>
        <w:instrText>proteasome</w:instrText>
      </w:r>
      <w:r w:rsidR="00A14090" w:rsidRPr="00A14090">
        <w:rPr>
          <w:szCs w:val="24"/>
        </w:rPr>
        <w:instrText xml:space="preserve"> </w:instrText>
      </w:r>
      <w:r w:rsidR="00A14090">
        <w:rPr>
          <w:szCs w:val="24"/>
          <w:lang w:val="en-US"/>
        </w:rPr>
        <w:instrText>inhibitor</w:instrText>
      </w:r>
      <w:r w:rsidR="00A14090" w:rsidRPr="00A14090">
        <w:rPr>
          <w:szCs w:val="24"/>
        </w:rPr>
        <w:instrText xml:space="preserve"> </w:instrText>
      </w:r>
      <w:r w:rsidR="00A14090">
        <w:rPr>
          <w:szCs w:val="24"/>
          <w:lang w:val="en-US"/>
        </w:rPr>
        <w:instrText>therapy</w:instrText>
      </w:r>
      <w:r w:rsidR="00A14090" w:rsidRPr="00A14090">
        <w:rPr>
          <w:szCs w:val="24"/>
        </w:rPr>
        <w:instrText xml:space="preserve">, </w:instrText>
      </w:r>
      <w:r w:rsidR="00A14090">
        <w:rPr>
          <w:szCs w:val="24"/>
          <w:lang w:val="en-US"/>
        </w:rPr>
        <w:instrText>and</w:instrText>
      </w:r>
      <w:r w:rsidR="00A14090" w:rsidRPr="00A14090">
        <w:rPr>
          <w:szCs w:val="24"/>
        </w:rPr>
        <w:instrText xml:space="preserve"> </w:instrText>
      </w:r>
      <w:r w:rsidR="00A14090">
        <w:rPr>
          <w:szCs w:val="24"/>
          <w:lang w:val="en-US"/>
        </w:rPr>
        <w:instrText>planned</w:instrText>
      </w:r>
      <w:r w:rsidR="00A14090" w:rsidRPr="00A14090">
        <w:rPr>
          <w:szCs w:val="24"/>
        </w:rPr>
        <w:instrText xml:space="preserve"> </w:instrText>
      </w:r>
      <w:r w:rsidR="00A14090">
        <w:rPr>
          <w:szCs w:val="24"/>
          <w:lang w:val="en-US"/>
        </w:rPr>
        <w:instrText>route</w:instrText>
      </w:r>
      <w:r w:rsidR="00A14090" w:rsidRPr="00A14090">
        <w:rPr>
          <w:szCs w:val="24"/>
        </w:rPr>
        <w:instrText xml:space="preserve"> </w:instrText>
      </w:r>
      <w:r w:rsidR="00A14090">
        <w:rPr>
          <w:szCs w:val="24"/>
          <w:lang w:val="en-US"/>
        </w:rPr>
        <w:instrText>of</w:instrText>
      </w:r>
      <w:r w:rsidR="00A14090" w:rsidRPr="00A14090">
        <w:rPr>
          <w:szCs w:val="24"/>
        </w:rPr>
        <w:instrText xml:space="preserve"> </w:instrText>
      </w:r>
      <w:r w:rsidR="00A14090">
        <w:rPr>
          <w:szCs w:val="24"/>
          <w:lang w:val="en-US"/>
        </w:rPr>
        <w:instrText>bortezomib</w:instrText>
      </w:r>
      <w:r w:rsidR="00A14090" w:rsidRPr="00A14090">
        <w:rPr>
          <w:szCs w:val="24"/>
        </w:rPr>
        <w:instrText xml:space="preserve"> </w:instrText>
      </w:r>
      <w:r w:rsidR="00A14090">
        <w:rPr>
          <w:szCs w:val="24"/>
          <w:lang w:val="en-US"/>
        </w:rPr>
        <w:instrText>delivery</w:instrText>
      </w:r>
      <w:r w:rsidR="00A14090" w:rsidRPr="00A14090">
        <w:rPr>
          <w:szCs w:val="24"/>
        </w:rPr>
        <w:instrText xml:space="preserve"> </w:instrText>
      </w:r>
      <w:r w:rsidR="00A14090">
        <w:rPr>
          <w:szCs w:val="24"/>
          <w:lang w:val="en-US"/>
        </w:rPr>
        <w:instrText>if</w:instrText>
      </w:r>
      <w:r w:rsidR="00A14090" w:rsidRPr="00A14090">
        <w:rPr>
          <w:szCs w:val="24"/>
        </w:rPr>
        <w:instrText xml:space="preserve"> </w:instrText>
      </w:r>
      <w:r w:rsidR="00A14090">
        <w:rPr>
          <w:szCs w:val="24"/>
          <w:lang w:val="en-US"/>
        </w:rPr>
        <w:instrText>assigned</w:instrText>
      </w:r>
      <w:r w:rsidR="00A14090" w:rsidRPr="00A14090">
        <w:rPr>
          <w:szCs w:val="24"/>
        </w:rPr>
        <w:instrText xml:space="preserve"> </w:instrText>
      </w:r>
      <w:r w:rsidR="00A14090">
        <w:rPr>
          <w:szCs w:val="24"/>
          <w:lang w:val="en-US"/>
        </w:rPr>
        <w:instrText>to</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bortezomib</w:instrText>
      </w:r>
      <w:r w:rsidR="00A14090" w:rsidRPr="00A14090">
        <w:rPr>
          <w:szCs w:val="24"/>
        </w:rPr>
        <w:instrText xml:space="preserve"> </w:instrText>
      </w:r>
      <w:r w:rsidR="00A14090">
        <w:rPr>
          <w:szCs w:val="24"/>
          <w:lang w:val="en-US"/>
        </w:rPr>
        <w:instrText>group</w:instrText>
      </w:r>
      <w:r w:rsidR="00A14090" w:rsidRPr="00A14090">
        <w:rPr>
          <w:szCs w:val="24"/>
        </w:rPr>
        <w:instrText xml:space="preserve">. </w:instrText>
      </w:r>
      <w:r w:rsidR="00A14090">
        <w:rPr>
          <w:szCs w:val="24"/>
          <w:lang w:val="en-US"/>
        </w:rPr>
        <w:instrText>Carfilzomib</w:instrText>
      </w:r>
      <w:r w:rsidR="00A14090" w:rsidRPr="00A14090">
        <w:rPr>
          <w:szCs w:val="24"/>
        </w:rPr>
        <w:instrText xml:space="preserve"> (20 </w:instrText>
      </w:r>
      <w:r w:rsidR="00A14090">
        <w:rPr>
          <w:szCs w:val="24"/>
          <w:lang w:val="en-US"/>
        </w:rPr>
        <w:instrText>mg</w:instrText>
      </w:r>
      <w:r w:rsidR="00A14090" w:rsidRPr="00A14090">
        <w:rPr>
          <w:szCs w:val="24"/>
        </w:rPr>
        <w:instrText>/</w:instrText>
      </w:r>
      <w:r w:rsidR="00A14090">
        <w:rPr>
          <w:szCs w:val="24"/>
          <w:lang w:val="en-US"/>
        </w:rPr>
        <w:instrText>m</w:instrText>
      </w:r>
      <w:r w:rsidR="00A14090" w:rsidRPr="00A14090">
        <w:rPr>
          <w:szCs w:val="24"/>
        </w:rPr>
        <w:instrText xml:space="preserve">2 </w:instrText>
      </w:r>
      <w:r w:rsidR="00A14090">
        <w:rPr>
          <w:szCs w:val="24"/>
          <w:lang w:val="en-US"/>
        </w:rPr>
        <w:instrText>on</w:instrText>
      </w:r>
      <w:r w:rsidR="00A14090" w:rsidRPr="00A14090">
        <w:rPr>
          <w:szCs w:val="24"/>
        </w:rPr>
        <w:instrText xml:space="preserve"> </w:instrText>
      </w:r>
      <w:r w:rsidR="00A14090">
        <w:rPr>
          <w:szCs w:val="24"/>
          <w:lang w:val="en-US"/>
        </w:rPr>
        <w:instrText>days</w:instrText>
      </w:r>
      <w:r w:rsidR="00A14090" w:rsidRPr="00A14090">
        <w:rPr>
          <w:szCs w:val="24"/>
        </w:rPr>
        <w:instrText xml:space="preserve"> 1 </w:instrText>
      </w:r>
      <w:r w:rsidR="00A14090">
        <w:rPr>
          <w:szCs w:val="24"/>
          <w:lang w:val="en-US"/>
        </w:rPr>
        <w:instrText>and</w:instrText>
      </w:r>
      <w:r w:rsidR="00A14090" w:rsidRPr="00A14090">
        <w:rPr>
          <w:szCs w:val="24"/>
        </w:rPr>
        <w:instrText xml:space="preserve"> 2 </w:instrText>
      </w:r>
      <w:r w:rsidR="00A14090">
        <w:rPr>
          <w:szCs w:val="24"/>
          <w:lang w:val="en-US"/>
        </w:rPr>
        <w:instrText>of</w:instrText>
      </w:r>
      <w:r w:rsidR="00A14090" w:rsidRPr="00A14090">
        <w:rPr>
          <w:szCs w:val="24"/>
        </w:rPr>
        <w:instrText xml:space="preserve"> </w:instrText>
      </w:r>
      <w:r w:rsidR="00A14090">
        <w:rPr>
          <w:szCs w:val="24"/>
          <w:lang w:val="en-US"/>
        </w:rPr>
        <w:instrText>cycle</w:instrText>
      </w:r>
      <w:r w:rsidR="00A14090" w:rsidRPr="00A14090">
        <w:rPr>
          <w:szCs w:val="24"/>
        </w:rPr>
        <w:instrText xml:space="preserve"> 1; 56 </w:instrText>
      </w:r>
      <w:r w:rsidR="00A14090">
        <w:rPr>
          <w:szCs w:val="24"/>
          <w:lang w:val="en-US"/>
        </w:rPr>
        <w:instrText>mg</w:instrText>
      </w:r>
      <w:r w:rsidR="00A14090" w:rsidRPr="00A14090">
        <w:rPr>
          <w:szCs w:val="24"/>
        </w:rPr>
        <w:instrText>/</w:instrText>
      </w:r>
      <w:r w:rsidR="00A14090">
        <w:rPr>
          <w:szCs w:val="24"/>
          <w:lang w:val="en-US"/>
        </w:rPr>
        <w:instrText>m</w:instrText>
      </w:r>
      <w:r w:rsidR="00A14090" w:rsidRPr="00A14090">
        <w:rPr>
          <w:szCs w:val="24"/>
        </w:rPr>
        <w:instrText xml:space="preserve">2 </w:instrText>
      </w:r>
      <w:r w:rsidR="00A14090">
        <w:rPr>
          <w:szCs w:val="24"/>
          <w:lang w:val="en-US"/>
        </w:rPr>
        <w:instrText>thereafter</w:instrText>
      </w:r>
      <w:r w:rsidR="00A14090" w:rsidRPr="00A14090">
        <w:rPr>
          <w:szCs w:val="24"/>
        </w:rPr>
        <w:instrText xml:space="preserve">) </w:instrText>
      </w:r>
      <w:r w:rsidR="00A14090">
        <w:rPr>
          <w:szCs w:val="24"/>
          <w:lang w:val="en-US"/>
        </w:rPr>
        <w:instrText>was</w:instrText>
      </w:r>
      <w:r w:rsidR="00A14090" w:rsidRPr="00A14090">
        <w:rPr>
          <w:szCs w:val="24"/>
        </w:rPr>
        <w:instrText xml:space="preserve"> </w:instrText>
      </w:r>
      <w:r w:rsidR="00A14090">
        <w:rPr>
          <w:szCs w:val="24"/>
          <w:lang w:val="en-US"/>
        </w:rPr>
        <w:instrText>given</w:instrText>
      </w:r>
      <w:r w:rsidR="00A14090" w:rsidRPr="00A14090">
        <w:rPr>
          <w:szCs w:val="24"/>
        </w:rPr>
        <w:instrText xml:space="preserve"> </w:instrText>
      </w:r>
      <w:r w:rsidR="00A14090">
        <w:rPr>
          <w:szCs w:val="24"/>
          <w:lang w:val="en-US"/>
        </w:rPr>
        <w:instrText>as</w:instrText>
      </w:r>
      <w:r w:rsidR="00A14090" w:rsidRPr="00A14090">
        <w:rPr>
          <w:szCs w:val="24"/>
        </w:rPr>
        <w:instrText xml:space="preserve"> </w:instrText>
      </w:r>
      <w:r w:rsidR="00A14090">
        <w:rPr>
          <w:szCs w:val="24"/>
          <w:lang w:val="en-US"/>
        </w:rPr>
        <w:instrText>a</w:instrText>
      </w:r>
      <w:r w:rsidR="00A14090" w:rsidRPr="00A14090">
        <w:rPr>
          <w:szCs w:val="24"/>
        </w:rPr>
        <w:instrText xml:space="preserve"> 30-</w:instrText>
      </w:r>
      <w:r w:rsidR="00A14090">
        <w:rPr>
          <w:szCs w:val="24"/>
          <w:lang w:val="en-US"/>
        </w:rPr>
        <w:instrText>min</w:instrText>
      </w:r>
      <w:r w:rsidR="00A14090" w:rsidRPr="00A14090">
        <w:rPr>
          <w:szCs w:val="24"/>
        </w:rPr>
        <w:instrText xml:space="preserve"> </w:instrText>
      </w:r>
      <w:r w:rsidR="00A14090">
        <w:rPr>
          <w:szCs w:val="24"/>
          <w:lang w:val="en-US"/>
        </w:rPr>
        <w:instrText>intravenous</w:instrText>
      </w:r>
      <w:r w:rsidR="00A14090" w:rsidRPr="00A14090">
        <w:rPr>
          <w:szCs w:val="24"/>
        </w:rPr>
        <w:instrText xml:space="preserve"> </w:instrText>
      </w:r>
      <w:r w:rsidR="00A14090">
        <w:rPr>
          <w:szCs w:val="24"/>
          <w:lang w:val="en-US"/>
        </w:rPr>
        <w:instrText>infusion</w:instrText>
      </w:r>
      <w:r w:rsidR="00A14090" w:rsidRPr="00A14090">
        <w:rPr>
          <w:szCs w:val="24"/>
        </w:rPr>
        <w:instrText xml:space="preserve"> </w:instrText>
      </w:r>
      <w:r w:rsidR="00A14090">
        <w:rPr>
          <w:szCs w:val="24"/>
          <w:lang w:val="en-US"/>
        </w:rPr>
        <w:instrText>on</w:instrText>
      </w:r>
      <w:r w:rsidR="00A14090" w:rsidRPr="00A14090">
        <w:rPr>
          <w:szCs w:val="24"/>
        </w:rPr>
        <w:instrText xml:space="preserve"> </w:instrText>
      </w:r>
      <w:r w:rsidR="00A14090">
        <w:rPr>
          <w:szCs w:val="24"/>
          <w:lang w:val="en-US"/>
        </w:rPr>
        <w:instrText>days</w:instrText>
      </w:r>
      <w:r w:rsidR="00A14090" w:rsidRPr="00A14090">
        <w:rPr>
          <w:szCs w:val="24"/>
        </w:rPr>
        <w:instrText xml:space="preserve"> 1, 2, 8, 9, 15, </w:instrText>
      </w:r>
      <w:r w:rsidR="00A14090">
        <w:rPr>
          <w:szCs w:val="24"/>
          <w:lang w:val="en-US"/>
        </w:rPr>
        <w:instrText>and</w:instrText>
      </w:r>
      <w:r w:rsidR="00A14090" w:rsidRPr="00A14090">
        <w:rPr>
          <w:szCs w:val="24"/>
        </w:rPr>
        <w:instrText xml:space="preserve"> 16 </w:instrText>
      </w:r>
      <w:r w:rsidR="00A14090">
        <w:rPr>
          <w:szCs w:val="24"/>
          <w:lang w:val="en-US"/>
        </w:rPr>
        <w:instrText>of</w:instrText>
      </w:r>
      <w:r w:rsidR="00A14090" w:rsidRPr="00A14090">
        <w:rPr>
          <w:szCs w:val="24"/>
        </w:rPr>
        <w:instrText xml:space="preserve"> 28-</w:instrText>
      </w:r>
      <w:r w:rsidR="00A14090">
        <w:rPr>
          <w:szCs w:val="24"/>
          <w:lang w:val="en-US"/>
        </w:rPr>
        <w:instrText>day</w:instrText>
      </w:r>
      <w:r w:rsidR="00A14090" w:rsidRPr="00A14090">
        <w:rPr>
          <w:szCs w:val="24"/>
        </w:rPr>
        <w:instrText xml:space="preserve"> </w:instrText>
      </w:r>
      <w:r w:rsidR="00A14090">
        <w:rPr>
          <w:szCs w:val="24"/>
          <w:lang w:val="en-US"/>
        </w:rPr>
        <w:instrText>cycles</w:instrText>
      </w:r>
      <w:r w:rsidR="00A14090" w:rsidRPr="00A14090">
        <w:rPr>
          <w:szCs w:val="24"/>
        </w:rPr>
        <w:instrText xml:space="preserve">; </w:instrText>
      </w:r>
      <w:r w:rsidR="00A14090">
        <w:rPr>
          <w:szCs w:val="24"/>
          <w:lang w:val="en-US"/>
        </w:rPr>
        <w:instrText>bortezomib</w:instrText>
      </w:r>
      <w:r w:rsidR="00A14090" w:rsidRPr="00A14090">
        <w:rPr>
          <w:szCs w:val="24"/>
        </w:rPr>
        <w:instrText xml:space="preserve"> (1·3 </w:instrText>
      </w:r>
      <w:r w:rsidR="00A14090">
        <w:rPr>
          <w:szCs w:val="24"/>
          <w:lang w:val="en-US"/>
        </w:rPr>
        <w:instrText>mg</w:instrText>
      </w:r>
      <w:r w:rsidR="00A14090" w:rsidRPr="00A14090">
        <w:rPr>
          <w:szCs w:val="24"/>
        </w:rPr>
        <w:instrText>/</w:instrText>
      </w:r>
      <w:r w:rsidR="00A14090">
        <w:rPr>
          <w:szCs w:val="24"/>
          <w:lang w:val="en-US"/>
        </w:rPr>
        <w:instrText>m</w:instrText>
      </w:r>
      <w:r w:rsidR="00A14090" w:rsidRPr="00A14090">
        <w:rPr>
          <w:szCs w:val="24"/>
        </w:rPr>
        <w:instrText xml:space="preserve">2) </w:instrText>
      </w:r>
      <w:r w:rsidR="00A14090">
        <w:rPr>
          <w:szCs w:val="24"/>
          <w:lang w:val="en-US"/>
        </w:rPr>
        <w:instrText>was</w:instrText>
      </w:r>
      <w:r w:rsidR="00A14090" w:rsidRPr="00A14090">
        <w:rPr>
          <w:szCs w:val="24"/>
        </w:rPr>
        <w:instrText xml:space="preserve"> </w:instrText>
      </w:r>
      <w:r w:rsidR="00A14090">
        <w:rPr>
          <w:szCs w:val="24"/>
          <w:lang w:val="en-US"/>
        </w:rPr>
        <w:instrText>given</w:instrText>
      </w:r>
      <w:r w:rsidR="00A14090" w:rsidRPr="00A14090">
        <w:rPr>
          <w:szCs w:val="24"/>
        </w:rPr>
        <w:instrText xml:space="preserve"> </w:instrText>
      </w:r>
      <w:r w:rsidR="00A14090">
        <w:rPr>
          <w:szCs w:val="24"/>
          <w:lang w:val="en-US"/>
        </w:rPr>
        <w:instrText>as</w:instrText>
      </w:r>
      <w:r w:rsidR="00A14090" w:rsidRPr="00A14090">
        <w:rPr>
          <w:szCs w:val="24"/>
        </w:rPr>
        <w:instrText xml:space="preserve"> </w:instrText>
      </w:r>
      <w:r w:rsidR="00A14090">
        <w:rPr>
          <w:szCs w:val="24"/>
          <w:lang w:val="en-US"/>
        </w:rPr>
        <w:instrText>an</w:instrText>
      </w:r>
      <w:r w:rsidR="00A14090" w:rsidRPr="00A14090">
        <w:rPr>
          <w:szCs w:val="24"/>
        </w:rPr>
        <w:instrText xml:space="preserve"> </w:instrText>
      </w:r>
      <w:r w:rsidR="00A14090">
        <w:rPr>
          <w:szCs w:val="24"/>
          <w:lang w:val="en-US"/>
        </w:rPr>
        <w:instrText>intravenous</w:instrText>
      </w:r>
      <w:r w:rsidR="00A14090" w:rsidRPr="00A14090">
        <w:rPr>
          <w:szCs w:val="24"/>
        </w:rPr>
        <w:instrText xml:space="preserve"> </w:instrText>
      </w:r>
      <w:r w:rsidR="00A14090">
        <w:rPr>
          <w:szCs w:val="24"/>
          <w:lang w:val="en-US"/>
        </w:rPr>
        <w:instrText>bolus</w:instrText>
      </w:r>
      <w:r w:rsidR="00A14090" w:rsidRPr="00A14090">
        <w:rPr>
          <w:szCs w:val="24"/>
        </w:rPr>
        <w:instrText xml:space="preserve"> </w:instrText>
      </w:r>
      <w:r w:rsidR="00A14090">
        <w:rPr>
          <w:szCs w:val="24"/>
          <w:lang w:val="en-US"/>
        </w:rPr>
        <w:instrText>or</w:instrText>
      </w:r>
      <w:r w:rsidR="00A14090" w:rsidRPr="00A14090">
        <w:rPr>
          <w:szCs w:val="24"/>
        </w:rPr>
        <w:instrText xml:space="preserve"> </w:instrText>
      </w:r>
      <w:r w:rsidR="00A14090">
        <w:rPr>
          <w:szCs w:val="24"/>
          <w:lang w:val="en-US"/>
        </w:rPr>
        <w:instrText>subcutaneous</w:instrText>
      </w:r>
      <w:r w:rsidR="00A14090" w:rsidRPr="00A14090">
        <w:rPr>
          <w:szCs w:val="24"/>
        </w:rPr>
        <w:instrText xml:space="preserve"> </w:instrText>
      </w:r>
      <w:r w:rsidR="00A14090">
        <w:rPr>
          <w:szCs w:val="24"/>
          <w:lang w:val="en-US"/>
        </w:rPr>
        <w:instrText>injection</w:instrText>
      </w:r>
      <w:r w:rsidR="00A14090" w:rsidRPr="00A14090">
        <w:rPr>
          <w:szCs w:val="24"/>
        </w:rPr>
        <w:instrText xml:space="preserve"> </w:instrText>
      </w:r>
      <w:r w:rsidR="00A14090">
        <w:rPr>
          <w:szCs w:val="24"/>
          <w:lang w:val="en-US"/>
        </w:rPr>
        <w:instrText>on</w:instrText>
      </w:r>
      <w:r w:rsidR="00A14090" w:rsidRPr="00A14090">
        <w:rPr>
          <w:szCs w:val="24"/>
        </w:rPr>
        <w:instrText xml:space="preserve"> </w:instrText>
      </w:r>
      <w:r w:rsidR="00A14090">
        <w:rPr>
          <w:szCs w:val="24"/>
          <w:lang w:val="en-US"/>
        </w:rPr>
        <w:instrText>days</w:instrText>
      </w:r>
      <w:r w:rsidR="00A14090" w:rsidRPr="00A14090">
        <w:rPr>
          <w:szCs w:val="24"/>
        </w:rPr>
        <w:instrText xml:space="preserve"> 1, 4, 8, </w:instrText>
      </w:r>
      <w:r w:rsidR="00A14090">
        <w:rPr>
          <w:szCs w:val="24"/>
          <w:lang w:val="en-US"/>
        </w:rPr>
        <w:instrText>and</w:instrText>
      </w:r>
      <w:r w:rsidR="00A14090" w:rsidRPr="00A14090">
        <w:rPr>
          <w:szCs w:val="24"/>
        </w:rPr>
        <w:instrText xml:space="preserve"> 11 </w:instrText>
      </w:r>
      <w:r w:rsidR="00A14090">
        <w:rPr>
          <w:szCs w:val="24"/>
          <w:lang w:val="en-US"/>
        </w:rPr>
        <w:instrText>of</w:instrText>
      </w:r>
      <w:r w:rsidR="00A14090" w:rsidRPr="00A14090">
        <w:rPr>
          <w:szCs w:val="24"/>
        </w:rPr>
        <w:instrText xml:space="preserve"> 21-</w:instrText>
      </w:r>
      <w:r w:rsidR="00A14090">
        <w:rPr>
          <w:szCs w:val="24"/>
          <w:lang w:val="en-US"/>
        </w:rPr>
        <w:instrText>day</w:instrText>
      </w:r>
      <w:r w:rsidR="00A14090" w:rsidRPr="00A14090">
        <w:rPr>
          <w:szCs w:val="24"/>
        </w:rPr>
        <w:instrText xml:space="preserve"> </w:instrText>
      </w:r>
      <w:r w:rsidR="00A14090">
        <w:rPr>
          <w:szCs w:val="24"/>
          <w:lang w:val="en-US"/>
        </w:rPr>
        <w:instrText>cycles</w:instrText>
      </w:r>
      <w:r w:rsidR="00A14090" w:rsidRPr="00A14090">
        <w:rPr>
          <w:szCs w:val="24"/>
        </w:rPr>
        <w:instrText xml:space="preserve">. </w:instrText>
      </w:r>
      <w:r w:rsidR="00A14090">
        <w:rPr>
          <w:szCs w:val="24"/>
          <w:lang w:val="en-US"/>
        </w:rPr>
        <w:instrText>Dexamethasone</w:instrText>
      </w:r>
      <w:r w:rsidR="00A14090" w:rsidRPr="00A14090">
        <w:rPr>
          <w:szCs w:val="24"/>
        </w:rPr>
        <w:instrText xml:space="preserve"> (20 </w:instrText>
      </w:r>
      <w:r w:rsidR="00A14090">
        <w:rPr>
          <w:szCs w:val="24"/>
          <w:lang w:val="en-US"/>
        </w:rPr>
        <w:instrText>mg</w:instrText>
      </w:r>
      <w:r w:rsidR="00A14090" w:rsidRPr="00A14090">
        <w:rPr>
          <w:szCs w:val="24"/>
        </w:rPr>
        <w:instrText xml:space="preserve"> </w:instrText>
      </w:r>
      <w:r w:rsidR="00A14090">
        <w:rPr>
          <w:szCs w:val="24"/>
          <w:lang w:val="en-US"/>
        </w:rPr>
        <w:instrText>oral</w:instrText>
      </w:r>
      <w:r w:rsidR="00A14090" w:rsidRPr="00A14090">
        <w:rPr>
          <w:szCs w:val="24"/>
        </w:rPr>
        <w:instrText xml:space="preserve"> </w:instrText>
      </w:r>
      <w:r w:rsidR="00A14090">
        <w:rPr>
          <w:szCs w:val="24"/>
          <w:lang w:val="en-US"/>
        </w:rPr>
        <w:instrText>or</w:instrText>
      </w:r>
      <w:r w:rsidR="00A14090" w:rsidRPr="00A14090">
        <w:rPr>
          <w:szCs w:val="24"/>
        </w:rPr>
        <w:instrText xml:space="preserve"> </w:instrText>
      </w:r>
      <w:r w:rsidR="00A14090">
        <w:rPr>
          <w:szCs w:val="24"/>
          <w:lang w:val="en-US"/>
        </w:rPr>
        <w:instrText>intravenous</w:instrText>
      </w:r>
      <w:r w:rsidR="00A14090" w:rsidRPr="00A14090">
        <w:rPr>
          <w:szCs w:val="24"/>
        </w:rPr>
        <w:instrText xml:space="preserve"> </w:instrText>
      </w:r>
      <w:r w:rsidR="00A14090">
        <w:rPr>
          <w:szCs w:val="24"/>
          <w:lang w:val="en-US"/>
        </w:rPr>
        <w:instrText>infusion</w:instrText>
      </w:r>
      <w:r w:rsidR="00A14090" w:rsidRPr="00A14090">
        <w:rPr>
          <w:szCs w:val="24"/>
        </w:rPr>
        <w:instrText xml:space="preserve">) </w:instrText>
      </w:r>
      <w:r w:rsidR="00A14090">
        <w:rPr>
          <w:szCs w:val="24"/>
          <w:lang w:val="en-US"/>
        </w:rPr>
        <w:instrText>was</w:instrText>
      </w:r>
      <w:r w:rsidR="00A14090" w:rsidRPr="00A14090">
        <w:rPr>
          <w:szCs w:val="24"/>
        </w:rPr>
        <w:instrText xml:space="preserve"> </w:instrText>
      </w:r>
      <w:r w:rsidR="00A14090">
        <w:rPr>
          <w:szCs w:val="24"/>
          <w:lang w:val="en-US"/>
        </w:rPr>
        <w:instrText>given</w:instrText>
      </w:r>
      <w:r w:rsidR="00A14090" w:rsidRPr="00A14090">
        <w:rPr>
          <w:szCs w:val="24"/>
        </w:rPr>
        <w:instrText xml:space="preserve"> </w:instrText>
      </w:r>
      <w:r w:rsidR="00A14090">
        <w:rPr>
          <w:szCs w:val="24"/>
          <w:lang w:val="en-US"/>
        </w:rPr>
        <w:instrText>on</w:instrText>
      </w:r>
      <w:r w:rsidR="00A14090" w:rsidRPr="00A14090">
        <w:rPr>
          <w:szCs w:val="24"/>
        </w:rPr>
        <w:instrText xml:space="preserve"> </w:instrText>
      </w:r>
      <w:r w:rsidR="00A14090">
        <w:rPr>
          <w:szCs w:val="24"/>
          <w:lang w:val="en-US"/>
        </w:rPr>
        <w:instrText>days</w:instrText>
      </w:r>
      <w:r w:rsidR="00A14090" w:rsidRPr="00A14090">
        <w:rPr>
          <w:szCs w:val="24"/>
        </w:rPr>
        <w:instrText xml:space="preserve"> 1, 2, 8, 9, 15, 16, 22, </w:instrText>
      </w:r>
      <w:r w:rsidR="00A14090">
        <w:rPr>
          <w:szCs w:val="24"/>
          <w:lang w:val="en-US"/>
        </w:rPr>
        <w:instrText>and</w:instrText>
      </w:r>
      <w:r w:rsidR="00A14090" w:rsidRPr="00A14090">
        <w:rPr>
          <w:szCs w:val="24"/>
        </w:rPr>
        <w:instrText xml:space="preserve"> 23 </w:instrText>
      </w:r>
      <w:r w:rsidR="00A14090">
        <w:rPr>
          <w:szCs w:val="24"/>
          <w:lang w:val="en-US"/>
        </w:rPr>
        <w:instrText>in</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carfilzomib</w:instrText>
      </w:r>
      <w:r w:rsidR="00A14090" w:rsidRPr="00A14090">
        <w:rPr>
          <w:szCs w:val="24"/>
        </w:rPr>
        <w:instrText xml:space="preserve"> </w:instrText>
      </w:r>
      <w:r w:rsidR="00A14090">
        <w:rPr>
          <w:szCs w:val="24"/>
          <w:lang w:val="en-US"/>
        </w:rPr>
        <w:instrText>group</w:instrText>
      </w:r>
      <w:r w:rsidR="00A14090" w:rsidRPr="00A14090">
        <w:rPr>
          <w:szCs w:val="24"/>
        </w:rPr>
        <w:instrText xml:space="preserve"> </w:instrText>
      </w:r>
      <w:r w:rsidR="00A14090">
        <w:rPr>
          <w:szCs w:val="24"/>
          <w:lang w:val="en-US"/>
        </w:rPr>
        <w:instrText>and</w:instrText>
      </w:r>
      <w:r w:rsidR="00A14090" w:rsidRPr="00A14090">
        <w:rPr>
          <w:szCs w:val="24"/>
        </w:rPr>
        <w:instrText xml:space="preserve"> </w:instrText>
      </w:r>
      <w:r w:rsidR="00A14090">
        <w:rPr>
          <w:szCs w:val="24"/>
          <w:lang w:val="en-US"/>
        </w:rPr>
        <w:instrText>on</w:instrText>
      </w:r>
      <w:r w:rsidR="00A14090" w:rsidRPr="00A14090">
        <w:rPr>
          <w:szCs w:val="24"/>
        </w:rPr>
        <w:instrText xml:space="preserve"> </w:instrText>
      </w:r>
      <w:r w:rsidR="00A14090">
        <w:rPr>
          <w:szCs w:val="24"/>
          <w:lang w:val="en-US"/>
        </w:rPr>
        <w:instrText>days</w:instrText>
      </w:r>
      <w:r w:rsidR="00A14090" w:rsidRPr="00A14090">
        <w:rPr>
          <w:szCs w:val="24"/>
        </w:rPr>
        <w:instrText xml:space="preserve"> 1, 2, 4, 5, 8, 9, 11, </w:instrText>
      </w:r>
      <w:r w:rsidR="00A14090">
        <w:rPr>
          <w:szCs w:val="24"/>
          <w:lang w:val="en-US"/>
        </w:rPr>
        <w:instrText>and</w:instrText>
      </w:r>
      <w:r w:rsidR="00A14090" w:rsidRPr="00A14090">
        <w:rPr>
          <w:szCs w:val="24"/>
        </w:rPr>
        <w:instrText xml:space="preserve"> 12 </w:instrText>
      </w:r>
      <w:r w:rsidR="00A14090">
        <w:rPr>
          <w:szCs w:val="24"/>
          <w:lang w:val="en-US"/>
        </w:rPr>
        <w:instrText>in</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bortezomib</w:instrText>
      </w:r>
      <w:r w:rsidR="00A14090" w:rsidRPr="00A14090">
        <w:rPr>
          <w:szCs w:val="24"/>
        </w:rPr>
        <w:instrText xml:space="preserve"> </w:instrText>
      </w:r>
      <w:r w:rsidR="00A14090">
        <w:rPr>
          <w:szCs w:val="24"/>
          <w:lang w:val="en-US"/>
        </w:rPr>
        <w:instrText>group</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primary</w:instrText>
      </w:r>
      <w:r w:rsidR="00A14090" w:rsidRPr="00A14090">
        <w:rPr>
          <w:szCs w:val="24"/>
        </w:rPr>
        <w:instrText xml:space="preserve"> </w:instrText>
      </w:r>
      <w:r w:rsidR="00A14090">
        <w:rPr>
          <w:szCs w:val="24"/>
          <w:lang w:val="en-US"/>
        </w:rPr>
        <w:instrText>endpoint</w:instrText>
      </w:r>
      <w:r w:rsidR="00A14090" w:rsidRPr="00A14090">
        <w:rPr>
          <w:szCs w:val="24"/>
        </w:rPr>
        <w:instrText xml:space="preserve"> </w:instrText>
      </w:r>
      <w:r w:rsidR="00A14090">
        <w:rPr>
          <w:szCs w:val="24"/>
          <w:lang w:val="en-US"/>
        </w:rPr>
        <w:instrText>of</w:instrText>
      </w:r>
      <w:r w:rsidR="00A14090" w:rsidRPr="00A14090">
        <w:rPr>
          <w:szCs w:val="24"/>
        </w:rPr>
        <w:instrText xml:space="preserve"> </w:instrText>
      </w:r>
      <w:r w:rsidR="00A14090">
        <w:rPr>
          <w:szCs w:val="24"/>
          <w:lang w:val="en-US"/>
        </w:rPr>
        <w:instrText>ENDEAVOR</w:instrText>
      </w:r>
      <w:r w:rsidR="00A14090" w:rsidRPr="00A14090">
        <w:rPr>
          <w:szCs w:val="24"/>
        </w:rPr>
        <w:instrText xml:space="preserve">, </w:instrText>
      </w:r>
      <w:r w:rsidR="00A14090">
        <w:rPr>
          <w:szCs w:val="24"/>
          <w:lang w:val="en-US"/>
        </w:rPr>
        <w:instrText>progression</w:instrText>
      </w:r>
      <w:r w:rsidR="00A14090" w:rsidRPr="00A14090">
        <w:rPr>
          <w:szCs w:val="24"/>
        </w:rPr>
        <w:instrText>-</w:instrText>
      </w:r>
      <w:r w:rsidR="00A14090">
        <w:rPr>
          <w:szCs w:val="24"/>
          <w:lang w:val="en-US"/>
        </w:rPr>
        <w:instrText>free</w:instrText>
      </w:r>
      <w:r w:rsidR="00A14090" w:rsidRPr="00A14090">
        <w:rPr>
          <w:szCs w:val="24"/>
        </w:rPr>
        <w:instrText xml:space="preserve"> </w:instrText>
      </w:r>
      <w:r w:rsidR="00A14090">
        <w:rPr>
          <w:szCs w:val="24"/>
          <w:lang w:val="en-US"/>
        </w:rPr>
        <w:instrText>survival</w:instrText>
      </w:r>
      <w:r w:rsidR="00A14090" w:rsidRPr="00A14090">
        <w:rPr>
          <w:szCs w:val="24"/>
        </w:rPr>
        <w:instrText xml:space="preserve">, </w:instrText>
      </w:r>
      <w:r w:rsidR="00A14090">
        <w:rPr>
          <w:szCs w:val="24"/>
          <w:lang w:val="en-US"/>
        </w:rPr>
        <w:instrText>has</w:instrText>
      </w:r>
      <w:r w:rsidR="00A14090" w:rsidRPr="00A14090">
        <w:rPr>
          <w:szCs w:val="24"/>
        </w:rPr>
        <w:instrText xml:space="preserve"> </w:instrText>
      </w:r>
      <w:r w:rsidR="00A14090">
        <w:rPr>
          <w:szCs w:val="24"/>
          <w:lang w:val="en-US"/>
        </w:rPr>
        <w:instrText>been</w:instrText>
      </w:r>
      <w:r w:rsidR="00A14090" w:rsidRPr="00A14090">
        <w:rPr>
          <w:szCs w:val="24"/>
        </w:rPr>
        <w:instrText xml:space="preserve"> </w:instrText>
      </w:r>
      <w:r w:rsidR="00A14090">
        <w:rPr>
          <w:szCs w:val="24"/>
          <w:lang w:val="en-US"/>
        </w:rPr>
        <w:instrText>previously</w:instrText>
      </w:r>
      <w:r w:rsidR="00A14090" w:rsidRPr="00A14090">
        <w:rPr>
          <w:szCs w:val="24"/>
        </w:rPr>
        <w:instrText xml:space="preserve"> </w:instrText>
      </w:r>
      <w:r w:rsidR="00A14090">
        <w:rPr>
          <w:szCs w:val="24"/>
          <w:lang w:val="en-US"/>
        </w:rPr>
        <w:instrText>reported</w:instrText>
      </w:r>
      <w:r w:rsidR="00A14090" w:rsidRPr="00A14090">
        <w:rPr>
          <w:szCs w:val="24"/>
        </w:rPr>
        <w:instrText xml:space="preserve">. </w:instrText>
      </w:r>
      <w:r w:rsidR="00A14090">
        <w:rPr>
          <w:szCs w:val="24"/>
          <w:lang w:val="en-US"/>
        </w:rPr>
        <w:instrText>A</w:instrText>
      </w:r>
      <w:r w:rsidR="00A14090" w:rsidRPr="00A14090">
        <w:rPr>
          <w:szCs w:val="24"/>
        </w:rPr>
        <w:instrText xml:space="preserve"> </w:instrText>
      </w:r>
      <w:r w:rsidR="00A14090">
        <w:rPr>
          <w:szCs w:val="24"/>
          <w:lang w:val="en-US"/>
        </w:rPr>
        <w:instrText>stratified</w:instrText>
      </w:r>
      <w:r w:rsidR="00A14090" w:rsidRPr="00A14090">
        <w:rPr>
          <w:szCs w:val="24"/>
        </w:rPr>
        <w:instrText xml:space="preserve"> </w:instrText>
      </w:r>
      <w:r w:rsidR="00A14090">
        <w:rPr>
          <w:szCs w:val="24"/>
          <w:lang w:val="en-US"/>
        </w:rPr>
        <w:instrText>log</w:instrText>
      </w:r>
      <w:r w:rsidR="00A14090" w:rsidRPr="00A14090">
        <w:rPr>
          <w:szCs w:val="24"/>
        </w:rPr>
        <w:instrText>-</w:instrText>
      </w:r>
      <w:r w:rsidR="00A14090">
        <w:rPr>
          <w:szCs w:val="24"/>
          <w:lang w:val="en-US"/>
        </w:rPr>
        <w:instrText>rank</w:instrText>
      </w:r>
      <w:r w:rsidR="00A14090" w:rsidRPr="00A14090">
        <w:rPr>
          <w:szCs w:val="24"/>
        </w:rPr>
        <w:instrText xml:space="preserve"> </w:instrText>
      </w:r>
      <w:r w:rsidR="00A14090">
        <w:rPr>
          <w:szCs w:val="24"/>
          <w:lang w:val="en-US"/>
        </w:rPr>
        <w:instrText>test</w:instrText>
      </w:r>
      <w:r w:rsidR="00A14090" w:rsidRPr="00A14090">
        <w:rPr>
          <w:szCs w:val="24"/>
        </w:rPr>
        <w:instrText xml:space="preserve"> </w:instrText>
      </w:r>
      <w:r w:rsidR="00A14090">
        <w:rPr>
          <w:szCs w:val="24"/>
          <w:lang w:val="en-US"/>
        </w:rPr>
        <w:instrText>was</w:instrText>
      </w:r>
      <w:r w:rsidR="00A14090" w:rsidRPr="00A14090">
        <w:rPr>
          <w:szCs w:val="24"/>
        </w:rPr>
        <w:instrText xml:space="preserve"> </w:instrText>
      </w:r>
      <w:r w:rsidR="00A14090">
        <w:rPr>
          <w:szCs w:val="24"/>
          <w:lang w:val="en-US"/>
        </w:rPr>
        <w:instrText>used</w:instrText>
      </w:r>
      <w:r w:rsidR="00A14090" w:rsidRPr="00A14090">
        <w:rPr>
          <w:szCs w:val="24"/>
        </w:rPr>
        <w:instrText xml:space="preserve"> </w:instrText>
      </w:r>
      <w:r w:rsidR="00A14090">
        <w:rPr>
          <w:szCs w:val="24"/>
          <w:lang w:val="en-US"/>
        </w:rPr>
        <w:instrText>to</w:instrText>
      </w:r>
      <w:r w:rsidR="00A14090" w:rsidRPr="00A14090">
        <w:rPr>
          <w:szCs w:val="24"/>
        </w:rPr>
        <w:instrText xml:space="preserve"> </w:instrText>
      </w:r>
      <w:r w:rsidR="00A14090">
        <w:rPr>
          <w:szCs w:val="24"/>
          <w:lang w:val="en-US"/>
        </w:rPr>
        <w:instrText>compare</w:instrText>
      </w:r>
      <w:r w:rsidR="00A14090" w:rsidRPr="00A14090">
        <w:rPr>
          <w:szCs w:val="24"/>
        </w:rPr>
        <w:instrText xml:space="preserve"> </w:instrText>
      </w:r>
      <w:r w:rsidR="00A14090">
        <w:rPr>
          <w:szCs w:val="24"/>
          <w:lang w:val="en-US"/>
        </w:rPr>
        <w:instrText>overall</w:instrText>
      </w:r>
      <w:r w:rsidR="00A14090" w:rsidRPr="00A14090">
        <w:rPr>
          <w:szCs w:val="24"/>
        </w:rPr>
        <w:instrText xml:space="preserve"> </w:instrText>
      </w:r>
      <w:r w:rsidR="00A14090">
        <w:rPr>
          <w:szCs w:val="24"/>
          <w:lang w:val="en-US"/>
        </w:rPr>
        <w:instrText>survival</w:instrText>
      </w:r>
      <w:r w:rsidR="00A14090" w:rsidRPr="00A14090">
        <w:rPr>
          <w:szCs w:val="24"/>
        </w:rPr>
        <w:instrText xml:space="preserve"> </w:instrText>
      </w:r>
      <w:r w:rsidR="00A14090">
        <w:rPr>
          <w:szCs w:val="24"/>
          <w:lang w:val="en-US"/>
        </w:rPr>
        <w:instrText>between</w:instrText>
      </w:r>
      <w:r w:rsidR="00A14090" w:rsidRPr="00A14090">
        <w:rPr>
          <w:szCs w:val="24"/>
        </w:rPr>
        <w:instrText xml:space="preserve"> </w:instrText>
      </w:r>
      <w:r w:rsidR="00A14090">
        <w:rPr>
          <w:szCs w:val="24"/>
          <w:lang w:val="en-US"/>
        </w:rPr>
        <w:instrText>treatment</w:instrText>
      </w:r>
      <w:r w:rsidR="00A14090" w:rsidRPr="00A14090">
        <w:rPr>
          <w:szCs w:val="24"/>
        </w:rPr>
        <w:instrText xml:space="preserve"> </w:instrText>
      </w:r>
      <w:r w:rsidR="00A14090">
        <w:rPr>
          <w:szCs w:val="24"/>
          <w:lang w:val="en-US"/>
        </w:rPr>
        <w:instrText>groups</w:instrText>
      </w:r>
      <w:r w:rsidR="00A14090" w:rsidRPr="00A14090">
        <w:rPr>
          <w:szCs w:val="24"/>
        </w:rPr>
        <w:instrText xml:space="preserve"> </w:instrText>
      </w:r>
      <w:r w:rsidR="00A14090">
        <w:rPr>
          <w:szCs w:val="24"/>
          <w:lang w:val="en-US"/>
        </w:rPr>
        <w:instrText>for</w:instrText>
      </w:r>
      <w:r w:rsidR="00A14090" w:rsidRPr="00A14090">
        <w:rPr>
          <w:szCs w:val="24"/>
        </w:rPr>
        <w:instrText xml:space="preserve"> </w:instrText>
      </w:r>
      <w:r w:rsidR="00A14090">
        <w:rPr>
          <w:szCs w:val="24"/>
          <w:lang w:val="en-US"/>
        </w:rPr>
        <w:instrText>this</w:instrText>
      </w:r>
      <w:r w:rsidR="00A14090" w:rsidRPr="00A14090">
        <w:rPr>
          <w:szCs w:val="24"/>
        </w:rPr>
        <w:instrText xml:space="preserve"> </w:instrText>
      </w:r>
      <w:r w:rsidR="00A14090">
        <w:rPr>
          <w:szCs w:val="24"/>
          <w:lang w:val="en-US"/>
        </w:rPr>
        <w:instrText>prospectively</w:instrText>
      </w:r>
      <w:r w:rsidR="00A14090" w:rsidRPr="00A14090">
        <w:rPr>
          <w:szCs w:val="24"/>
        </w:rPr>
        <w:instrText xml:space="preserve"> </w:instrText>
      </w:r>
      <w:r w:rsidR="00A14090">
        <w:rPr>
          <w:szCs w:val="24"/>
          <w:lang w:val="en-US"/>
        </w:rPr>
        <w:instrText>planned</w:instrText>
      </w:r>
      <w:r w:rsidR="00A14090" w:rsidRPr="00A14090">
        <w:rPr>
          <w:szCs w:val="24"/>
        </w:rPr>
        <w:instrText xml:space="preserve"> </w:instrText>
      </w:r>
      <w:r w:rsidR="00A14090">
        <w:rPr>
          <w:szCs w:val="24"/>
          <w:lang w:val="en-US"/>
        </w:rPr>
        <w:instrText>second</w:instrText>
      </w:r>
      <w:r w:rsidR="00A14090" w:rsidRPr="00A14090">
        <w:rPr>
          <w:szCs w:val="24"/>
        </w:rPr>
        <w:instrText xml:space="preserve"> </w:instrText>
      </w:r>
      <w:r w:rsidR="00A14090">
        <w:rPr>
          <w:szCs w:val="24"/>
          <w:lang w:val="en-US"/>
        </w:rPr>
        <w:instrText>interim</w:instrText>
      </w:r>
      <w:r w:rsidR="00A14090" w:rsidRPr="00A14090">
        <w:rPr>
          <w:szCs w:val="24"/>
        </w:rPr>
        <w:instrText xml:space="preserve"> </w:instrText>
      </w:r>
      <w:r w:rsidR="00A14090">
        <w:rPr>
          <w:szCs w:val="24"/>
          <w:lang w:val="en-US"/>
        </w:rPr>
        <w:instrText>analysis</w:instrText>
      </w:r>
      <w:r w:rsidR="00A14090" w:rsidRPr="00A14090">
        <w:rPr>
          <w:szCs w:val="24"/>
        </w:rPr>
        <w:instrText xml:space="preserve">. </w:instrText>
      </w:r>
      <w:r w:rsidR="00A14090">
        <w:rPr>
          <w:szCs w:val="24"/>
          <w:lang w:val="en-US"/>
        </w:rPr>
        <w:instrText>Efficacy</w:instrText>
      </w:r>
      <w:r w:rsidR="00A14090" w:rsidRPr="00A14090">
        <w:rPr>
          <w:szCs w:val="24"/>
        </w:rPr>
        <w:instrText xml:space="preserve"> </w:instrText>
      </w:r>
      <w:r w:rsidR="00A14090">
        <w:rPr>
          <w:szCs w:val="24"/>
          <w:lang w:val="en-US"/>
        </w:rPr>
        <w:instrText>assessments</w:instrText>
      </w:r>
      <w:r w:rsidR="00A14090" w:rsidRPr="00A14090">
        <w:rPr>
          <w:szCs w:val="24"/>
        </w:rPr>
        <w:instrText xml:space="preserve"> </w:instrText>
      </w:r>
      <w:r w:rsidR="00A14090">
        <w:rPr>
          <w:szCs w:val="24"/>
          <w:lang w:val="en-US"/>
        </w:rPr>
        <w:instrText>were</w:instrText>
      </w:r>
      <w:r w:rsidR="00A14090" w:rsidRPr="00A14090">
        <w:rPr>
          <w:szCs w:val="24"/>
        </w:rPr>
        <w:instrText xml:space="preserve"> </w:instrText>
      </w:r>
      <w:r w:rsidR="00A14090">
        <w:rPr>
          <w:szCs w:val="24"/>
          <w:lang w:val="en-US"/>
        </w:rPr>
        <w:instrText>done</w:instrText>
      </w:r>
      <w:r w:rsidR="00A14090" w:rsidRPr="00A14090">
        <w:rPr>
          <w:szCs w:val="24"/>
        </w:rPr>
        <w:instrText xml:space="preserve"> </w:instrText>
      </w:r>
      <w:r w:rsidR="00A14090">
        <w:rPr>
          <w:szCs w:val="24"/>
          <w:lang w:val="en-US"/>
        </w:rPr>
        <w:instrText>in</w:instrText>
      </w:r>
      <w:r w:rsidR="00A14090" w:rsidRPr="00A14090">
        <w:rPr>
          <w:szCs w:val="24"/>
        </w:rPr>
        <w:instrText xml:space="preserve"> </w:instrText>
      </w:r>
      <w:r w:rsidR="00A14090">
        <w:rPr>
          <w:szCs w:val="24"/>
          <w:lang w:val="en-US"/>
        </w:rPr>
        <w:instrText>all</w:instrText>
      </w:r>
      <w:r w:rsidR="00A14090" w:rsidRPr="00A14090">
        <w:rPr>
          <w:szCs w:val="24"/>
        </w:rPr>
        <w:instrText xml:space="preserve"> </w:instrText>
      </w:r>
      <w:r w:rsidR="00A14090">
        <w:rPr>
          <w:szCs w:val="24"/>
          <w:lang w:val="en-US"/>
        </w:rPr>
        <w:instrText>randomly</w:instrText>
      </w:r>
      <w:r w:rsidR="00A14090" w:rsidRPr="00A14090">
        <w:rPr>
          <w:szCs w:val="24"/>
        </w:rPr>
        <w:instrText xml:space="preserve"> </w:instrText>
      </w:r>
      <w:r w:rsidR="00A14090">
        <w:rPr>
          <w:szCs w:val="24"/>
          <w:lang w:val="en-US"/>
        </w:rPr>
        <w:instrText>assigned</w:instrText>
      </w:r>
      <w:r w:rsidR="00A14090" w:rsidRPr="00A14090">
        <w:rPr>
          <w:szCs w:val="24"/>
        </w:rPr>
        <w:instrText xml:space="preserve"> </w:instrText>
      </w:r>
      <w:r w:rsidR="00A14090">
        <w:rPr>
          <w:szCs w:val="24"/>
          <w:lang w:val="en-US"/>
        </w:rPr>
        <w:instrText>patients</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intention</w:instrText>
      </w:r>
      <w:r w:rsidR="00A14090" w:rsidRPr="00A14090">
        <w:rPr>
          <w:szCs w:val="24"/>
        </w:rPr>
        <w:instrText>-</w:instrText>
      </w:r>
      <w:r w:rsidR="00A14090">
        <w:rPr>
          <w:szCs w:val="24"/>
          <w:lang w:val="en-US"/>
        </w:rPr>
        <w:instrText>to</w:instrText>
      </w:r>
      <w:r w:rsidR="00A14090" w:rsidRPr="00A14090">
        <w:rPr>
          <w:szCs w:val="24"/>
        </w:rPr>
        <w:instrText>-</w:instrText>
      </w:r>
      <w:r w:rsidR="00A14090">
        <w:rPr>
          <w:szCs w:val="24"/>
          <w:lang w:val="en-US"/>
        </w:rPr>
        <w:instrText>treat</w:instrText>
      </w:r>
      <w:r w:rsidR="00A14090" w:rsidRPr="00A14090">
        <w:rPr>
          <w:szCs w:val="24"/>
        </w:rPr>
        <w:instrText xml:space="preserve"> </w:instrText>
      </w:r>
      <w:r w:rsidR="00A14090">
        <w:rPr>
          <w:szCs w:val="24"/>
          <w:lang w:val="en-US"/>
        </w:rPr>
        <w:instrText>population</w:instrText>
      </w:r>
      <w:r w:rsidR="00A14090" w:rsidRPr="00A14090">
        <w:rPr>
          <w:szCs w:val="24"/>
        </w:rPr>
        <w:instrText xml:space="preserve">) </w:instrText>
      </w:r>
      <w:r w:rsidR="00A14090">
        <w:rPr>
          <w:szCs w:val="24"/>
          <w:lang w:val="en-US"/>
        </w:rPr>
        <w:instrText>and</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safety</w:instrText>
      </w:r>
      <w:r w:rsidR="00A14090" w:rsidRPr="00A14090">
        <w:rPr>
          <w:szCs w:val="24"/>
        </w:rPr>
        <w:instrText xml:space="preserve"> </w:instrText>
      </w:r>
      <w:r w:rsidR="00A14090">
        <w:rPr>
          <w:szCs w:val="24"/>
          <w:lang w:val="en-US"/>
        </w:rPr>
        <w:instrText>analysis</w:instrText>
      </w:r>
      <w:r w:rsidR="00A14090" w:rsidRPr="00A14090">
        <w:rPr>
          <w:szCs w:val="24"/>
        </w:rPr>
        <w:instrText xml:space="preserve"> </w:instrText>
      </w:r>
      <w:r w:rsidR="00A14090">
        <w:rPr>
          <w:szCs w:val="24"/>
          <w:lang w:val="en-US"/>
        </w:rPr>
        <w:instrText>included</w:instrText>
      </w:r>
      <w:r w:rsidR="00A14090" w:rsidRPr="00A14090">
        <w:rPr>
          <w:szCs w:val="24"/>
        </w:rPr>
        <w:instrText xml:space="preserve"> </w:instrText>
      </w:r>
      <w:r w:rsidR="00A14090">
        <w:rPr>
          <w:szCs w:val="24"/>
          <w:lang w:val="en-US"/>
        </w:rPr>
        <w:instrText>patients</w:instrText>
      </w:r>
      <w:r w:rsidR="00A14090" w:rsidRPr="00A14090">
        <w:rPr>
          <w:szCs w:val="24"/>
        </w:rPr>
        <w:instrText xml:space="preserve"> </w:instrText>
      </w:r>
      <w:r w:rsidR="00A14090">
        <w:rPr>
          <w:szCs w:val="24"/>
          <w:lang w:val="en-US"/>
        </w:rPr>
        <w:instrText>who</w:instrText>
      </w:r>
      <w:r w:rsidR="00A14090" w:rsidRPr="00A14090">
        <w:rPr>
          <w:szCs w:val="24"/>
        </w:rPr>
        <w:instrText xml:space="preserve"> </w:instrText>
      </w:r>
      <w:r w:rsidR="00A14090">
        <w:rPr>
          <w:szCs w:val="24"/>
          <w:lang w:val="en-US"/>
        </w:rPr>
        <w:instrText>received</w:instrText>
      </w:r>
      <w:r w:rsidR="00A14090" w:rsidRPr="00A14090">
        <w:rPr>
          <w:szCs w:val="24"/>
        </w:rPr>
        <w:instrText xml:space="preserve"> </w:instrText>
      </w:r>
      <w:r w:rsidR="00A14090">
        <w:rPr>
          <w:szCs w:val="24"/>
          <w:lang w:val="en-US"/>
        </w:rPr>
        <w:instrText>at</w:instrText>
      </w:r>
      <w:r w:rsidR="00A14090" w:rsidRPr="00A14090">
        <w:rPr>
          <w:szCs w:val="24"/>
        </w:rPr>
        <w:instrText xml:space="preserve"> </w:instrText>
      </w:r>
      <w:r w:rsidR="00A14090">
        <w:rPr>
          <w:szCs w:val="24"/>
          <w:lang w:val="en-US"/>
        </w:rPr>
        <w:instrText>least</w:instrText>
      </w:r>
      <w:r w:rsidR="00A14090" w:rsidRPr="00A14090">
        <w:rPr>
          <w:szCs w:val="24"/>
        </w:rPr>
        <w:instrText xml:space="preserve"> </w:instrText>
      </w:r>
      <w:r w:rsidR="00A14090">
        <w:rPr>
          <w:szCs w:val="24"/>
          <w:lang w:val="en-US"/>
        </w:rPr>
        <w:instrText>one</w:instrText>
      </w:r>
      <w:r w:rsidR="00A14090" w:rsidRPr="00A14090">
        <w:rPr>
          <w:szCs w:val="24"/>
        </w:rPr>
        <w:instrText xml:space="preserve"> </w:instrText>
      </w:r>
      <w:r w:rsidR="00A14090">
        <w:rPr>
          <w:szCs w:val="24"/>
          <w:lang w:val="en-US"/>
        </w:rPr>
        <w:instrText>dose</w:instrText>
      </w:r>
      <w:r w:rsidR="00A14090" w:rsidRPr="00A14090">
        <w:rPr>
          <w:szCs w:val="24"/>
        </w:rPr>
        <w:instrText xml:space="preserve"> </w:instrText>
      </w:r>
      <w:r w:rsidR="00A14090">
        <w:rPr>
          <w:szCs w:val="24"/>
          <w:lang w:val="en-US"/>
        </w:rPr>
        <w:instrText>of</w:instrText>
      </w:r>
      <w:r w:rsidR="00A14090" w:rsidRPr="00A14090">
        <w:rPr>
          <w:szCs w:val="24"/>
        </w:rPr>
        <w:instrText xml:space="preserve"> </w:instrText>
      </w:r>
      <w:r w:rsidR="00A14090">
        <w:rPr>
          <w:szCs w:val="24"/>
          <w:lang w:val="en-US"/>
        </w:rPr>
        <w:instrText>study</w:instrText>
      </w:r>
      <w:r w:rsidR="00A14090" w:rsidRPr="00A14090">
        <w:rPr>
          <w:szCs w:val="24"/>
        </w:rPr>
        <w:instrText xml:space="preserve"> </w:instrText>
      </w:r>
      <w:r w:rsidR="00A14090">
        <w:rPr>
          <w:szCs w:val="24"/>
          <w:lang w:val="en-US"/>
        </w:rPr>
        <w:instrText>treatment</w:instrText>
      </w:r>
      <w:r w:rsidR="00A14090" w:rsidRPr="00A14090">
        <w:rPr>
          <w:szCs w:val="24"/>
        </w:rPr>
        <w:instrText xml:space="preserve">. </w:instrText>
      </w:r>
      <w:r w:rsidR="00A14090">
        <w:rPr>
          <w:szCs w:val="24"/>
          <w:lang w:val="en-US"/>
        </w:rPr>
        <w:instrText>This</w:instrText>
      </w:r>
      <w:r w:rsidR="00A14090" w:rsidRPr="00A14090">
        <w:rPr>
          <w:szCs w:val="24"/>
        </w:rPr>
        <w:instrText xml:space="preserve"> </w:instrText>
      </w:r>
      <w:r w:rsidR="00A14090">
        <w:rPr>
          <w:szCs w:val="24"/>
          <w:lang w:val="en-US"/>
        </w:rPr>
        <w:instrText>trial</w:instrText>
      </w:r>
      <w:r w:rsidR="00A14090" w:rsidRPr="00A14090">
        <w:rPr>
          <w:szCs w:val="24"/>
        </w:rPr>
        <w:instrText xml:space="preserve"> </w:instrText>
      </w:r>
      <w:r w:rsidR="00A14090">
        <w:rPr>
          <w:szCs w:val="24"/>
          <w:lang w:val="en-US"/>
        </w:rPr>
        <w:instrText>is</w:instrText>
      </w:r>
      <w:r w:rsidR="00A14090" w:rsidRPr="00A14090">
        <w:rPr>
          <w:szCs w:val="24"/>
        </w:rPr>
        <w:instrText xml:space="preserve"> </w:instrText>
      </w:r>
      <w:r w:rsidR="00A14090">
        <w:rPr>
          <w:szCs w:val="24"/>
          <w:lang w:val="en-US"/>
        </w:rPr>
        <w:instrText>registered</w:instrText>
      </w:r>
      <w:r w:rsidR="00A14090" w:rsidRPr="00A14090">
        <w:rPr>
          <w:szCs w:val="24"/>
        </w:rPr>
        <w:instrText xml:space="preserve"> </w:instrText>
      </w:r>
      <w:r w:rsidR="00A14090">
        <w:rPr>
          <w:szCs w:val="24"/>
          <w:lang w:val="en-US"/>
        </w:rPr>
        <w:instrText>with</w:instrText>
      </w:r>
      <w:r w:rsidR="00A14090" w:rsidRPr="00A14090">
        <w:rPr>
          <w:szCs w:val="24"/>
        </w:rPr>
        <w:instrText xml:space="preserve"> </w:instrText>
      </w:r>
      <w:r w:rsidR="00A14090">
        <w:rPr>
          <w:szCs w:val="24"/>
          <w:lang w:val="en-US"/>
        </w:rPr>
        <w:instrText>ClinicalTrials</w:instrText>
      </w:r>
      <w:r w:rsidR="00A14090" w:rsidRPr="00A14090">
        <w:rPr>
          <w:szCs w:val="24"/>
        </w:rPr>
        <w:instrText>.</w:instrText>
      </w:r>
      <w:r w:rsidR="00A14090">
        <w:rPr>
          <w:szCs w:val="24"/>
          <w:lang w:val="en-US"/>
        </w:rPr>
        <w:instrText>gov</w:instrText>
      </w:r>
      <w:r w:rsidR="00A14090" w:rsidRPr="00A14090">
        <w:rPr>
          <w:szCs w:val="24"/>
        </w:rPr>
        <w:instrText xml:space="preserve">, </w:instrText>
      </w:r>
      <w:r w:rsidR="00A14090">
        <w:rPr>
          <w:szCs w:val="24"/>
          <w:lang w:val="en-US"/>
        </w:rPr>
        <w:instrText>number</w:instrText>
      </w:r>
      <w:r w:rsidR="00A14090" w:rsidRPr="00A14090">
        <w:rPr>
          <w:szCs w:val="24"/>
        </w:rPr>
        <w:instrText xml:space="preserve"> </w:instrText>
      </w:r>
      <w:r w:rsidR="00A14090">
        <w:rPr>
          <w:szCs w:val="24"/>
          <w:lang w:val="en-US"/>
        </w:rPr>
        <w:instrText>NCT</w:instrText>
      </w:r>
      <w:r w:rsidR="00A14090" w:rsidRPr="00A14090">
        <w:rPr>
          <w:szCs w:val="24"/>
        </w:rPr>
        <w:instrText xml:space="preserve">01568866, </w:instrText>
      </w:r>
      <w:r w:rsidR="00A14090">
        <w:rPr>
          <w:szCs w:val="24"/>
          <w:lang w:val="en-US"/>
        </w:rPr>
        <w:instrText>and</w:instrText>
      </w:r>
      <w:r w:rsidR="00A14090" w:rsidRPr="00A14090">
        <w:rPr>
          <w:szCs w:val="24"/>
        </w:rPr>
        <w:instrText xml:space="preserve"> </w:instrText>
      </w:r>
      <w:r w:rsidR="00A14090">
        <w:rPr>
          <w:szCs w:val="24"/>
          <w:lang w:val="en-US"/>
        </w:rPr>
        <w:instrText>is</w:instrText>
      </w:r>
      <w:r w:rsidR="00A14090" w:rsidRPr="00A14090">
        <w:rPr>
          <w:szCs w:val="24"/>
        </w:rPr>
        <w:instrText xml:space="preserve"> </w:instrText>
      </w:r>
      <w:r w:rsidR="00A14090">
        <w:rPr>
          <w:szCs w:val="24"/>
          <w:lang w:val="en-US"/>
        </w:rPr>
        <w:instrText>no</w:instrText>
      </w:r>
      <w:r w:rsidR="00A14090" w:rsidRPr="00A14090">
        <w:rPr>
          <w:szCs w:val="24"/>
        </w:rPr>
        <w:instrText xml:space="preserve"> </w:instrText>
      </w:r>
      <w:r w:rsidR="00A14090">
        <w:rPr>
          <w:szCs w:val="24"/>
          <w:lang w:val="en-US"/>
        </w:rPr>
        <w:instrText>longer</w:instrText>
      </w:r>
      <w:r w:rsidR="00A14090" w:rsidRPr="00A14090">
        <w:rPr>
          <w:szCs w:val="24"/>
        </w:rPr>
        <w:instrText xml:space="preserve"> </w:instrText>
      </w:r>
      <w:r w:rsidR="00A14090">
        <w:rPr>
          <w:szCs w:val="24"/>
          <w:lang w:val="en-US"/>
        </w:rPr>
        <w:instrText>enrolling</w:instrText>
      </w:r>
      <w:r w:rsidR="00A14090" w:rsidRPr="00A14090">
        <w:rPr>
          <w:szCs w:val="24"/>
        </w:rPr>
        <w:instrText xml:space="preserve"> </w:instrText>
      </w:r>
      <w:r w:rsidR="00A14090">
        <w:rPr>
          <w:szCs w:val="24"/>
          <w:lang w:val="en-US"/>
        </w:rPr>
        <w:instrText>patients</w:instrText>
      </w:r>
      <w:r w:rsidR="00A14090" w:rsidRPr="00A14090">
        <w:rPr>
          <w:szCs w:val="24"/>
        </w:rPr>
        <w:instrText xml:space="preserve">. </w:instrText>
      </w:r>
      <w:r w:rsidR="00A14090">
        <w:rPr>
          <w:szCs w:val="24"/>
          <w:lang w:val="en-US"/>
        </w:rPr>
        <w:instrText>Findings</w:instrText>
      </w:r>
      <w:r w:rsidR="00A14090" w:rsidRPr="00A14090">
        <w:rPr>
          <w:szCs w:val="24"/>
        </w:rPr>
        <w:instrText xml:space="preserve"> </w:instrText>
      </w:r>
      <w:r w:rsidR="00A14090">
        <w:rPr>
          <w:szCs w:val="24"/>
          <w:lang w:val="en-US"/>
        </w:rPr>
        <w:instrText>Between</w:instrText>
      </w:r>
      <w:r w:rsidR="00A14090" w:rsidRPr="00A14090">
        <w:rPr>
          <w:szCs w:val="24"/>
        </w:rPr>
        <w:instrText xml:space="preserve"> </w:instrText>
      </w:r>
      <w:r w:rsidR="00A14090">
        <w:rPr>
          <w:szCs w:val="24"/>
          <w:lang w:val="en-US"/>
        </w:rPr>
        <w:instrText>June</w:instrText>
      </w:r>
      <w:r w:rsidR="00A14090" w:rsidRPr="00A14090">
        <w:rPr>
          <w:szCs w:val="24"/>
        </w:rPr>
        <w:instrText xml:space="preserve"> 20, 2012, </w:instrText>
      </w:r>
      <w:r w:rsidR="00A14090">
        <w:rPr>
          <w:szCs w:val="24"/>
          <w:lang w:val="en-US"/>
        </w:rPr>
        <w:instrText>and</w:instrText>
      </w:r>
      <w:r w:rsidR="00A14090" w:rsidRPr="00A14090">
        <w:rPr>
          <w:szCs w:val="24"/>
        </w:rPr>
        <w:instrText xml:space="preserve"> </w:instrText>
      </w:r>
      <w:r w:rsidR="00A14090">
        <w:rPr>
          <w:szCs w:val="24"/>
          <w:lang w:val="en-US"/>
        </w:rPr>
        <w:instrText>June</w:instrText>
      </w:r>
      <w:r w:rsidR="00A14090" w:rsidRPr="00A14090">
        <w:rPr>
          <w:szCs w:val="24"/>
        </w:rPr>
        <w:instrText xml:space="preserve"> 30, 2014, 1096 </w:instrText>
      </w:r>
      <w:r w:rsidR="00A14090">
        <w:rPr>
          <w:szCs w:val="24"/>
          <w:lang w:val="en-US"/>
        </w:rPr>
        <w:instrText>patients</w:instrText>
      </w:r>
      <w:r w:rsidR="00A14090" w:rsidRPr="00A14090">
        <w:rPr>
          <w:szCs w:val="24"/>
        </w:rPr>
        <w:instrText xml:space="preserve"> </w:instrText>
      </w:r>
      <w:r w:rsidR="00A14090">
        <w:rPr>
          <w:szCs w:val="24"/>
          <w:lang w:val="en-US"/>
        </w:rPr>
        <w:instrText>were</w:instrText>
      </w:r>
      <w:r w:rsidR="00A14090" w:rsidRPr="00A14090">
        <w:rPr>
          <w:szCs w:val="24"/>
        </w:rPr>
        <w:instrText xml:space="preserve"> </w:instrText>
      </w:r>
      <w:r w:rsidR="00A14090">
        <w:rPr>
          <w:szCs w:val="24"/>
          <w:lang w:val="en-US"/>
        </w:rPr>
        <w:instrText>assessed</w:instrText>
      </w:r>
      <w:r w:rsidR="00A14090" w:rsidRPr="00A14090">
        <w:rPr>
          <w:szCs w:val="24"/>
        </w:rPr>
        <w:instrText xml:space="preserve"> </w:instrText>
      </w:r>
      <w:r w:rsidR="00A14090">
        <w:rPr>
          <w:szCs w:val="24"/>
          <w:lang w:val="en-US"/>
        </w:rPr>
        <w:instrText>for</w:instrText>
      </w:r>
      <w:r w:rsidR="00A14090" w:rsidRPr="00A14090">
        <w:rPr>
          <w:szCs w:val="24"/>
        </w:rPr>
        <w:instrText xml:space="preserve"> </w:instrText>
      </w:r>
      <w:r w:rsidR="00A14090">
        <w:rPr>
          <w:szCs w:val="24"/>
          <w:lang w:val="en-US"/>
        </w:rPr>
        <w:instrText>eligibility</w:instrText>
      </w:r>
      <w:r w:rsidR="00A14090" w:rsidRPr="00A14090">
        <w:rPr>
          <w:szCs w:val="24"/>
        </w:rPr>
        <w:instrText xml:space="preserve">, </w:instrText>
      </w:r>
      <w:r w:rsidR="00A14090">
        <w:rPr>
          <w:szCs w:val="24"/>
          <w:lang w:val="en-US"/>
        </w:rPr>
        <w:instrText>of</w:instrText>
      </w:r>
      <w:r w:rsidR="00A14090" w:rsidRPr="00A14090">
        <w:rPr>
          <w:szCs w:val="24"/>
        </w:rPr>
        <w:instrText xml:space="preserve"> </w:instrText>
      </w:r>
      <w:r w:rsidR="00A14090">
        <w:rPr>
          <w:szCs w:val="24"/>
          <w:lang w:val="en-US"/>
        </w:rPr>
        <w:instrText>whom</w:instrText>
      </w:r>
      <w:r w:rsidR="00A14090" w:rsidRPr="00A14090">
        <w:rPr>
          <w:szCs w:val="24"/>
        </w:rPr>
        <w:instrText xml:space="preserve"> 929 </w:instrText>
      </w:r>
      <w:r w:rsidR="00A14090">
        <w:rPr>
          <w:szCs w:val="24"/>
          <w:lang w:val="en-US"/>
        </w:rPr>
        <w:instrText>were</w:instrText>
      </w:r>
      <w:r w:rsidR="00A14090" w:rsidRPr="00A14090">
        <w:rPr>
          <w:szCs w:val="24"/>
        </w:rPr>
        <w:instrText xml:space="preserve"> </w:instrText>
      </w:r>
      <w:r w:rsidR="00A14090">
        <w:rPr>
          <w:szCs w:val="24"/>
          <w:lang w:val="en-US"/>
        </w:rPr>
        <w:instrText>randomly</w:instrText>
      </w:r>
      <w:r w:rsidR="00A14090" w:rsidRPr="00A14090">
        <w:rPr>
          <w:szCs w:val="24"/>
        </w:rPr>
        <w:instrText xml:space="preserve"> </w:instrText>
      </w:r>
      <w:r w:rsidR="00A14090">
        <w:rPr>
          <w:szCs w:val="24"/>
          <w:lang w:val="en-US"/>
        </w:rPr>
        <w:instrText>assigned</w:instrText>
      </w:r>
      <w:r w:rsidR="00A14090" w:rsidRPr="00A14090">
        <w:rPr>
          <w:szCs w:val="24"/>
        </w:rPr>
        <w:instrText xml:space="preserve"> (464 </w:instrText>
      </w:r>
      <w:r w:rsidR="00A14090">
        <w:rPr>
          <w:szCs w:val="24"/>
          <w:lang w:val="en-US"/>
        </w:rPr>
        <w:instrText>to</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carfilzomib</w:instrText>
      </w:r>
      <w:r w:rsidR="00A14090" w:rsidRPr="00A14090">
        <w:rPr>
          <w:szCs w:val="24"/>
        </w:rPr>
        <w:instrText xml:space="preserve"> </w:instrText>
      </w:r>
      <w:r w:rsidR="00A14090">
        <w:rPr>
          <w:szCs w:val="24"/>
          <w:lang w:val="en-US"/>
        </w:rPr>
        <w:instrText>group</w:instrText>
      </w:r>
      <w:r w:rsidR="00A14090" w:rsidRPr="00A14090">
        <w:rPr>
          <w:szCs w:val="24"/>
        </w:rPr>
        <w:instrText xml:space="preserve"> </w:instrText>
      </w:r>
      <w:r w:rsidR="00A14090">
        <w:rPr>
          <w:szCs w:val="24"/>
          <w:lang w:val="en-US"/>
        </w:rPr>
        <w:instrText>and</w:instrText>
      </w:r>
      <w:r w:rsidR="00A14090" w:rsidRPr="00A14090">
        <w:rPr>
          <w:szCs w:val="24"/>
        </w:rPr>
        <w:instrText xml:space="preserve"> 465 </w:instrText>
      </w:r>
      <w:r w:rsidR="00A14090">
        <w:rPr>
          <w:szCs w:val="24"/>
          <w:lang w:val="en-US"/>
        </w:rPr>
        <w:instrText>to</w:instrText>
      </w:r>
      <w:r w:rsidR="00A14090" w:rsidRPr="00A14090">
        <w:rPr>
          <w:szCs w:val="24"/>
        </w:rPr>
        <w:instrText xml:space="preserve"> </w:instrText>
      </w:r>
      <w:r w:rsidR="00A14090">
        <w:rPr>
          <w:szCs w:val="24"/>
          <w:lang w:val="en-US"/>
        </w:rPr>
        <w:instrText>the</w:instrText>
      </w:r>
      <w:r w:rsidR="00A14090" w:rsidRPr="00A14090">
        <w:rPr>
          <w:szCs w:val="24"/>
        </w:rPr>
        <w:instrText xml:space="preserve"> </w:instrText>
      </w:r>
      <w:r w:rsidR="00A14090">
        <w:rPr>
          <w:szCs w:val="24"/>
          <w:lang w:val="en-US"/>
        </w:rPr>
        <w:instrText>bo</w:instrText>
      </w:r>
      <w:r w:rsidR="00A14090" w:rsidRPr="00A14090">
        <w:rPr>
          <w:szCs w:val="24"/>
        </w:rPr>
        <w:instrText>…","</w:instrText>
      </w:r>
      <w:r w:rsidR="00A14090">
        <w:rPr>
          <w:szCs w:val="24"/>
          <w:lang w:val="en-US"/>
        </w:rPr>
        <w:instrText>author</w:instrText>
      </w:r>
      <w:r w:rsidR="00A14090" w:rsidRPr="00A14090">
        <w:rPr>
          <w:szCs w:val="24"/>
        </w:rPr>
        <w:instrText>"</w:instrText>
      </w:r>
      <w:r w:rsidR="00A14090">
        <w:rPr>
          <w:szCs w:val="24"/>
          <w:lang w:val="en-US"/>
        </w:rPr>
        <w:instrText>:[{"dropping-particle":"","family":"Dimopoulos","given":"Meletios A.","non-dropping-particle":"","parse-names":false,"suffix":""},{"dropping-particle":"","family":"Goldschmidt","given":"Hartmut","non-dropping-particle":"","parse-names":false,"suffix":""},{"dropping-particle":"","family":"Niesvizky","given":"Ruben","non-dropping-particle":"","parse-names":false,"suffix":""},{"dropping-particle":"","family":"Joshua","given":"Douglas","non-dropping-particle":"","parse-names":false,"suffix":""},{"dropping-particle":"","family":"Chng","given":"Wee Joo","non-dropping-particle":"","parse-names":false,"suffix":""},{"dropping-particle":"","family":"Oriol","given":"Albert","non-dropping-particle":"","parse-names":false,"suffix":""},{"dropping-particle":"","family":"Orlowski","given":"Robert Z.","non-dropping-particle":"","parse-names":false,"suffix":""},{"dropping-particle":"","family":"Ludwig","given":"Heinz","non-dropping-particle":"","parse-names":false,"suffix":""},{"dropping-particle":"","family":"Facon","given":"Thierry","non-dropping-particle":"","parse-names":false,"suffix":""},{"dropping-particle":"","family":"Hajek","given":"Roman","non-dropping-particle":"","parse-names":false,"suffix":""},{"dropping-particle":"","family":"Weisel","given":"Katja","non-dropping-particle":"","parse-names":false,"suffix":""},{"dropping-particle":"","family":"Hungria","given":"Vania","non-dropping-particle":"","parse-names":false,"suffix":""},{"dropping-particle":"","family":"Minuk","given":"Leonard","non-dropping-particle":"","parse-names":false,"suffix":""},{"dropping-particle":"","family":"Feng","given":"Shibao","non-dropping-particle":"","parse-names":false,"suffix":""},{"dropping-particle":"","family":"Zahlten-Kumeli","given":"Anita","non-dropping-particle":"","parse-names":false,"suffix":""},{"dropping-particle":"","family":"Kimball","given":"Amy S.","non-dropping-particle":"","parse-names":false,"suffix":""},{"dropping-particle":"","family":"Moreau","given":"Philippe","non-dropping-particle":"","parse-names":false,"suffix":""}],"container-title":"The Lancet Oncology","id":"ITEM-1","issue":"10","issued":{"date-parts":[["2017","10","1"]]},"page":"1327-1337","publisher":"Lancet Publishing Group","title":"Carfilzomib or bortezomib in relapsed or refractory multiple myeloma (ENDEAVOR): an interim overall survival analysis of an open-label, randomised, phase 3 trial","type":"article-journal","volume":"18"},"uris":["http://www.mendeley.com/documents/?uuid=976186ac-156b-337b-a43f-69fd2ae8697c"]},{"id":"ITEM-2","itemData":{"DOI":"10.3324/haematol.2015.129189","ISSN":"15928721","PMID":"27033237","abstract":"The approach to the patient with relapsed or relapsed/refractory multiple myeloma (RRMM) requires a careful evaluation of the results of previous treatments, the toxicities associated with them and an assessment of prognostic factors. Since the majority of patients will have received prior therapy with drug combinations including a proteasome inhibitor and/or an immunomodulatory drug (IMiD), it is the physician’s task to choose the right moment for the start of therapy and define with the patient which goals need to be achieved. The choice of regimen is usually based on prior responsiveness, drugs already received, prior adverse effects, the condition of the patient and expected effectiveness and tolerability. Many double and triple drug combinations are available. In addition, promising new drugs like pomalidomide, carfilzomib and monoclonal antibodies are, or will be, available shortly, while other options can be tried in clinical studies. Finally, supportive care and palliative options need to be considered in some patients. It is becoming increasingly more important to consider the therapeutic options for the whole duration of the disease rather than take a step by step approach, and to develop a systematic approach for each individual patient.","author":[{"dropping-particle":"","family":"Sonneveld","given":"Pieter","non-dropping-particle":"","parse-names":false,"suffix":""},{"dropping-particle":"","family":"Broijl","given":"Annemiek","non-dropping-particle":"","parse-names":false,"suffix":""}],"container-title":"Haematologica","id":"ITEM-2","issue":"4","issued":{"date-parts":[["2016","3"]]},"page":"396-406","publisher":"Ferrata Storti Foundation","title":"Treatment of relapsed and refractory multiple myeloma","type":"article","volume":"101"},"uris":["http://www.mendeley.com/documents/?uuid=c4c5ad9d-38af-438f-96be-721988f131e0"]},{"id":"ITEM-3","itemData":{"DOI":"10.1002/cncr.31680","ISSN":"10970142","PMID":"30204239","abstract":"Background: The randomized phase 3 ELOQUENT-2 study (NCT01239797) evaluated the efficacy and safety of elotuzumab plus lenalidomide and dexamethasone (ELd) versus lenalidomide and dexamethasone (Ld) in relapsed/refractory multiple myeloma (RRMM), and to date, has the longest follow-up of any monoclonal antibody in patients with RRMM. Methods: In this extended 4-year follow-up of the ELOQUENT-2 trial, the coprimary endpoints of progression-free survival (PFS) and overall response rate as well as the secondary endpoint of overall survival were assessed. In the absence of head-to-head trials comparing Ld-based triplet regimens to guide treatment selection, 4 randomized controlled trials—ELOQUENT-2, ASPIRE, TOURMALINE-MM1, and POLLUX—were indirectly compared to provide insight into the relative efficacy of these regimens in RRMM. Results: Data at 4 years were consistent with 2- and 3-year follow-up data: ELd reduced the risk of disease progression/death by 29% versus Ld (hazard ratio, 0.71) while maintaining safety. The greatest PFS benefit among the assessed subgroups was observed in patients at the median time or further from diagnosis (≥3.5 years) with 1 prior line of therapy, who had a 44% reduction in the risk of progression/death, and in patients in the high-risk category, who had a 36% reduction in favor of ELd. This regimen also showed a relative PFS benefit that was maintained beyond 50 months. Conclusions: The sustained PFS benefit and long-term safety of ELd at 4 years, similar to those observed at 2 and 3 years, support ELd as a valuable therapeutic option for the long-term treatment of patients with RRMM.","author":[{"dropping-particle":"","family":"Dimopoulos","given":"Meletios A.","non-dropping-particle":"","parse-names":false,"suffix":""},{"dropping-particle":"","family":"Lonial","given":"Sagar","non-dropping-particle":"","parse-names":false,"suffix":""},{"dropping-particle":"","family":"Betts","given":"Keith A.","non-dropping-particle":"","parse-names":false,"suffix":""},{"dropping-particle":"","family":"Chen","given":"Clara","non-dropping-particle":"","parse-names":false,"suffix":""},{"dropping-particle":"","family":"Zichlin","given":"Miriam L.","non-dropping-particle":"","parse-names":false,"suffix":""},{"dropping-particle":"","family":"Brun","given":"Alexander","non-dropping-particle":"","parse-names":false,"suffix":""},{"dropping-particle":"","family":"Signorovitch","given":"James E.","non-dropping-particle":"","parse-names":false,"suffix":""},{"dropping-particle":"","family":"Makenbaeva","given":"Dinara","non-dropping-particle":"","parse-names":false,"suffix":""},{"dropping-particle":"","family":"Mekan","given":"Sabeen","non-dropping-particle":"","parse-names":false,"suffix":""},{"dropping-particle":"","family":"Sy","given":"Oumar","non-dropping-particle":"","parse-names":false,"suffix":""},{"dropping-particle":"","family":"Weisel","given":"Katja","non-dropping-particle":"","parse-names":false,"suffix":""},{"dropping-particle":"","family":"Richardson","given":"Paul G.","non-dropping-particle":"","parse-names":false,"suffix":""}],"container-title":"Cancer","id":"ITEM-3","issue":"20","issued":{"date-parts":[["2018","10"]]},"page":"4032-4043","publisher":"John Wiley and Sons Inc.","title":"Elotuzumab plus lenalidomide and dexamethasone in relapsed/refractory multiple myeloma: Extended 4-year follow-up and analysis of relative progression-free survival from the randomized ELOQUENT-2 trial","type":"article-journal","volume":"124"},"uris":["http://www.mendeley.com/documents/?uuid=61bd686b-4f84-4095-8ebf-00c4d9aa8225"]},{"id":"ITEM-4","itemData":{"DOI":"10.1016/S0140-6736(19)32556-5","ISSN":"1474547X","PMID":"31735560","abstract":"Background: Isatuximab is a monoclonal antibody that binds a specific epitope on the human CD38 receptor and has antitumour activity via multiple mechanisms of action. In a previous phase 1b study, around 65% of patients with relapsed and refractory multiple myeloma achieved an overall response with a combination of isatuximab with pomalidomide and low-dose dexamethasone. The aim of this study was to determine the progression-free survival benefit of isatuximab plus pomalidomide and dexamethasone compared with pomalidomide and dexamethasone in patients with relapsed and refractory multiple myeloma. Methods: We did a randomised, multicentre, open-label, phase 3 study at 102 hospitals in 24 countries in Europe, North America, and the Asia-Pacific regions. Eligible participants were adult patients with relapsed and refractory multiple myeloma who had received at least two previous lines of treatment, including lenalidomide and a proteasome inhibitor. Patients were excluded if they were refractory to previous treatment with an anti-CD38 monoclonal antibody. We randomly assigned patients (1:1) to either isatuximab 10 mg/kg plus pomalidomide 4 mg plus dexamethasone 40 mg (20 mg for patients aged ≥75 years), or pomalidomide 4 mg plus dexamethasone 40 mg. Randomisation was done using interactive response technology and stratified according to the number of previous lines of treatment (2–3 vs &gt;3) and age (&lt;75 years vs ≥75 years). Treatments were assigned based on a permuted blocked randomisation scheme with a block size of four. The isatuximab–pomalidomide–dexamethasone group received isatuximab intravenously on days 1, 8, 15, and 22 in the first 28-day cycle, then on days 1 and 15 in subsequent cycles. Both groups received oral pomalidomide on days 1 to 21 in each cycle, and oral or intravenous dexamethasone on days 1, 8, 15, and 22 of each cycle. Treatment continued until disease progression, unacceptable toxicity, or consent withdrawal. Dose reductions for adverse reactions were permitted for pomalidomide and dexamethasone, but not for isatuximab. The primary endpoint was progression-free survival, determined by an independent response committee and assessed in the intention-to-treat population. Safety was assessed in all participants who received at least one dose of study drug. This study is registered at ClinicalTrials.gov, number NCT02990338. Findings: Between Jan 10, 2017, and Feb 2, 2018, we randomly assigned 307 patients to treatment: 154 to isatuximab…","author":[{"dropping-particle":"","family":"Attal","given":"Michel","non-dropping-particle":"","parse-names":false,"suffix":""},{"dropping-particle":"","family":"Richardson","given":"Paul G.","non-dropping-particle":"","parse-names":false,"suffix":""},{"dropping-particle":"","family":"Rajkumar","given":"S. Vincent","non-dropping-particle":"","parse-names":false,"suffix":""},{"dropping-particle":"","family":"San-Miguel","given":"Jesus","non-dropping-particle":"","parse-names":false,"suffix":""},{"dropping-particle":"","family":"Beksac","given":"Meral","non-dropping-particle":"","parse-names":false,"suffix":""},{"dropping-particle":"","family":"Spicka","given":"Ivan","non-dropping-particle":"","parse-names":false,"suffix":""},{"dropping-particle":"","family":"Leleu","given":"Xavier","non-dropping-particle":"","parse-names":false,"suffix":""},{"dropping-particle":"","family":"Schjesvold","given":"Fredrik","non-dropping-particle":"","parse-names":false,"suffix":""},{"dropping-particle":"","family":"Moreau","given":"Philippe","non-dropping-particle":"","parse-names":false,"suffix":""},{"dropping-particle":"","family":"Dimopoulos","given":"Meletios A.","non-dropping-particle":"","parse-names":false,"suffix":""},{"dropping-particle":"","family":"Huang","given":"Jeffrey Shang Yi","non-dropping-particle":"","parse-names":false,"suffix":""},{"dropping-particle":"","family":"Minarik","given":"Jiri","non-dropping-particle":"","parse-names":false,"suffix":""},{"dropping-particle":"","family":"Cavo","given":"Michele","non-dropping-particle":"","parse-names":false,"suffix":""},{"dropping-particle":"","family":"Prince","given":"H. Miles","non-dropping-particle":"","parse-names":false,"suffix":""},{"dropping-particle":"","family":"Macé","given":"Sandrine","non-dropping-particle":"","parse-names":false,"suffix":""},{"dropping-particle":"","family":"Corzo","given":"Kathryn P.","non-dropping-particle":"","parse-names":false,"suffix":""},{"dropping-particle":"","family":"Campana","given":"Frank","non-dropping-particle":"","parse-names":false,"suffix":""},{"dropping-particle":"","family":"Le-Guennec","given":"Solenn","non-dropping-particle":"","parse-names":false,"suffix":""},{"dropping-particle":"","family":"Dubin","given":"Franck","non-dropping-particle":"","parse-names":false,"suffix":""},{"dropping-particle":"","family":"Anderson","given":"Kenneth C.","non-dropping-particle":"","parse-names":false,"suffix":""},{"dropping-particle":"","family":"Richardson","given":"Paul G.","non-dropping-particle":"","parse-names":false,"suffix":""},{"dropping-particle":"","family":"Rajkumar","given":"Vincent","non-dropping-particle":"","parse-names":false,"suffix":""},{"dropping-particle":"","family":"Dimopoulos","given":"Meletios A.","non-dropping-particle":"","parse-names":false,"suffix":""},{"dropping-particle":"","family":"Prince","given":"H. Miles","non-dropping-particle":"","parse-names":false,"suffix":""},{"dropping-particle":"","family":"Corzo","given":"Kathryn P.","non-dropping-particle":"","parse-names":false,"suffix":""},{"dropping-particle":"","family":"Anderson","given":"Kenneth C.","non-dropping-particle":"","parse-names":false,"suffix":""},{"dropping-particle":"","family":"Harrison","given":"Simon","non-dropping-particle":"","parse-names":false,"suffix":""},{"dropping-particle":"","family":"Janowski","given":"Wojt","non-dropping-particle":"","parse-names":false,"suffix":""},{"dropping-particle":"","family":"Kerridge","given":"Ian","non-dropping-particle":"","parse-names":false,"suffix":""},{"dropping-particle":"","family":"Spencer","given":"Andrew","non-dropping-particle":"","parse-names":false,"suffix":""},{"dropping-particle":"","family":"Delforge","given":"Michel","non-dropping-particle":"","parse-names":false,"suffix":""},{"dropping-particle":"","family":"Fostier","given":"Karel","non-dropping-particle":"","parse-names":false,"suffix":""},{"dropping-particle":"","family":"Vlummens","given":"Philip","non-dropping-particle":"","parse-names":false,"suffix":""},{"dropping-particle":"","family":"Wu","given":"Ka Lung","non-dropping-particle":"","parse-names":false,"suffix":""},{"dropping-particle":"","family":"Leblanc","given":"Richard","non-dropping-particle":"","parse-names":false,"suffix":""},{"dropping-particle":"","family":"Pavic","given":"Michel","non-dropping-particle":"","parse-names":false,"suffix":""},{"dropping-particle":"","family":"Sebag","given":"Michael","non-dropping-particle":"","parse-names":false,"suffix":""},{"dropping-particle":"","family":"Hajek","given":"Roman","non-dropping-particle":"","parse-names":false,"suffix":""},{"dropping-particle":"","family":"Maisnar","given":"Vladimir","non-dropping-particle":"","parse-names":false,"suffix":""},{"dropping-particle":"","family":"Pour","given":"Ludek","non-dropping-particle":"","parse-names":false,"suffix":""},{"dropping-particle":"","family":"Gregersen","given":"Henrik","non-dropping-particle":"","parse-names":false,"suffix":""},{"dropping-particle":"","family":"Benbouker","given":"Lotfi","non-dropping-particle":"","parse-names":false,"suffix":""},{"dropping-particle":"","family":"Caillot","given":"Denis","non-dropping-particle":"","parse-names":false,"suffix":""},{"dropping-particle":"","family":"Escoffre-Barbe","given":"Martine","non-dropping-particle":"","parse-names":false,"suffix":""},{"dropping-particle":"","family":"Facon","given":"Thierry","non-dropping-particle":"","parse-names":false,"suffix":""},{"dropping-particle":"","family":"Frenzel","given":"Laurent","non-dropping-particle":"","parse-names":false,"suffix":""},{"dropping-particle":"","family":"Hulin","given":"Cyrille","non-dropping-particle":"","parse-names":false,"suffix":""},{"dropping-particle":"","family":"Karlin","given":"Lionel","non-dropping-particle":"","parse-names":false,"suffix":""},{"dropping-particle":"","family":"Kolb","given":"Brigitte","non-dropping-particle":"","parse-names":false,"suffix":""},{"dropping-particle":"","family":"Pegourie","given":"Brigitte","non-dropping-particle":"","parse-names":false,"suffix":""},{"dropping-particle":"","family":"Perrot","given":"Aurore","non-dropping-particle":"","parse-names":false,"suffix":""},{"dropping-particle":"","family":"Tiab","given":"Mourad","non-dropping-particle":"","parse-names":false,"suffix":""},{"dropping-particle":"","family":"Vincent","given":"Laure","non-dropping-particle":"","parse-names":false,"suffix":""},{"dropping-particle":"","family":"Niederwieser","given":"Dietger","non-dropping-particle":"","parse-names":false,"suffix":""},{"dropping-particle":"","family":"Anagnostopoulos","given":"Achilles","non-dropping-particle":"","parse-names":false,"suffix":""},{"dropping-particle":"","family":"Delimpasi","given":"Sosana","non-dropping-particle":"","parse-names":false,"suffix":""},{"dropping-particle":"","family":"Kyrtsonis","given":"Marie Christine","non-dropping-particle":"","parse-names":false,"suffix":""},{"dropping-particle":"","family":"Symeonidis","given":"Anargyros","non-dropping-particle":"","parse-names":false,"suffix":""},{"dropping-particle":"","family":"Illes","given":"Arpad","non-dropping-particle":"","parse-names":false,"suffix":""},{"dropping-particle":"","family":"Mikala","given":"Gabor","non-dropping-particle":"","parse-names":false,"suffix":""},{"dropping-particle":"","family":"Nagy","given":"Zsolt","non-dropping-particle":"","parse-names":false,"suffix":""},{"dropping-particle":"","family":"Bringen","given":"Sara","non-dropping-particle":"","parse-names":false,"suffix":""},{"dropping-particle":"","family":"Corradini","given":"Paolo","non-dropping-particle":"","parse-names":false,"suffix":""},{"dropping-particle":"","family":"Fabio","given":"Ciceri","non-dropping-particle":"","parse-names":false,"suffix":""},{"dropping-particle":"","family":"Lemoli","given":"Roberto","non-dropping-particle":"","parse-names":false,"suffix":""},{"dropping-particle":"","family":"Liberati","given":"Anna","non-dropping-particle":"","parse-names":false,"suffix":""},{"dropping-particle":"","family":"Nozzoli","given":"Chiara","non-dropping-particle":"","parse-names":false,"suffix":""},{"dropping-particle":"","family":"Zambello","given":"Renato","non-dropping-particle":"","parse-names":false,"suffix":""},{"dropping-particle":"","family":"Iida","given":"Shinsuke","non-dropping-particle":"","parse-names":false,"suffix":""},{"dropping-particle":"","family":"Ikeda","given":"Takashi","non-dropping-particle":"","parse-names":false,"suffix":""},{"dropping-particle":"","family":"Iyama","given":"Satoshi","non-dropping-particle":"","parse-names":false,"suffix":""},{"dropping-particle":"","family":"Matsumoto","given":"Morio","non-dropping-particle":"","parse-names":false,"suffix":""},{"dropping-particle":"","family":"Shimazaki","given":"Chihiro","non-dropping-particle":"","parse-names":false,"suffix":""},{"dropping-particle":"","family":"Sunami","given":"Kazutaka","non-dropping-particle":"","parse-names":false,"suffix":""},{"dropping-particle":"","family":"Suzuki","given":"Kenshi","non-dropping-particle":"","parse-names":false,"suffix":""},{"dropping-particle":"","family":"Uchiyama","given":"Michihiro","non-dropping-particle":"","parse-names":false,"suffix":""},{"dropping-particle":"","family":"Koh","given":"Youngil","non-dropping-particle":"","parse-names":false,"suffix":""},{"dropping-particle":"","family":"Kim","given":"Kihyun","non-dropping-particle":"","parse-names":false,"suffix":""},{"dropping-particle":"","family":"Lee","given":"Jae Hoon","non-dropping-particle":"","parse-names":false,"suffix":""},{"dropping-particle":"","family":"Min","given":"Chang Ki","non-dropping-particle":"","parse-names":false,"suffix":""},{"dropping-particle":"","family":"Blacklock","given":"Hillary","non-dropping-particle":"","parse-names":false,"suffix":""},{"dropping-particle":"","family":"Goodman","given":"Hugh","non-dropping-particle":"","parse-names":false,"suffix":""},{"dropping-particle":"","family":"Neylon","given":"Annette","non-dropping-particle":"","parse-names":false,"suffix":""},{"dropping-particle":"","family":"Simpson","given":"David","non-dropping-particle":"","parse-names":false,"suffix":""},{"dropping-particle":"","family":"Grosicki","given":"Sebastian","non-dropping-particle":"","parse-names":false,"suffix":""},{"dropping-particle":"","family":"Jurczyszyn","given":"Artur","non-dropping-particle":"","parse-names":false,"suffix":""},{"dropping-particle":"","family":"Walter-Croneck","given":"Adam","non-dropping-particle":"","parse-names":false,"suffix":""},{"dropping-particle":"","family":"Warzocha","given":"Krzysztof","non-dropping-particle":"","parse-names":false,"suffix":""},{"dropping-particle":"","family":"Araujo","given":"Luis","non-dropping-particle":"","parse-names":false,"suffix":""},{"dropping-particle":"","family":"Moreira","given":"Claudia","non-dropping-particle":"","parse-names":false,"suffix":""},{"dropping-particle":"","family":"Doronin","given":"Vadim","non-dropping-particle":"","parse-names":false,"suffix":""},{"dropping-particle":"","family":"Mendeleeva","given":"Larisa","non-dropping-particle":"","parse-names":false,"suffix":""},{"dropping-particle":"","family":"Vorobyev","given":"Vladimir","non-dropping-particle":"","parse-names":false,"suffix":""},{"dropping-particle":"","family":"Vranovsky","given":"Andrej","non-dropping-particle":"","parse-names":false,"suffix":""},{"dropping-particle":"","family":"Alegre","given":"Adrian","non-dropping-particle":"","parse-names":false,"suffix":""},{"dropping-particle":"","family":"Gironella","given":"Mercedes","non-dropping-particle":"","parse-names":false,"suffix":""},{"dropping-particle":"","family":"Gonzalez Perez","given":"Marta Sonia","non-dropping-particle":"","parse-names":false,"suffix":""},{"dropping-particle":"","family":"Montes","given":"Carmen","non-dropping-particle":"","parse-names":false,"suffix":""},{"dropping-particle":"","family":"Ocio","given":"Enrique","non-dropping-particle":"","parse-names":false,"suffix":""},{"dropping-particle":"","family":"Rodriguez","given":"Paula","non-dropping-particle":"","parse-names":false,"suffix":""},{"dropping-particle":"","family":"Hardling","given":"Mats","non-dropping-particle":"","parse-names":false,"suffix":""},{"dropping-particle":"","family":"Lauri","given":"Birgitta","non-dropping-particle":"","parse-names":false,"suffix":""},{"dropping-particle":"","family":"Wang","given":"Ming Chung","non-dropping-particle":"","parse-names":false,"suffix":""},{"dropping-particle":"","family":"Yeh","given":"Su Peng","non-dropping-particle":"","parse-names":false,"suffix":""},{"dropping-particle":"","family":"Arat","given":"Mutlu","non-dropping-particle":"","parse-names":false,"suffix":""},{"dropping-particle":"","family":"Demirkan","given":"Fatih","non-dropping-particle":"","parse-names":false,"suffix":""},{"dropping-particle":"","family":"Gulbas","given":"Zafer","non-dropping-particle":"","parse-names":false,"suffix":""},{"dropping-particle":"","family":"Besisik","given":"Sevgi Kalayoglu","non-dropping-particle":"","parse-names":false,"suffix":""},{"dropping-particle":"","family":"Karadogan","given":"Ihsan","non-dropping-particle":"","parse-names":false,"suffix":""},{"dropping-particle":"","family":"Tuglular","given":"Tulin","non-dropping-particle":"","parse-names":false,"suffix":""},{"dropping-particle":"","family":"Unal","given":"Ali","non-dropping-particle":"","parse-names":false,"suffix":""},{"dropping-particle":"","family":"Vural","given":"Filiz","non-dropping-particle":"","parse-names":false,"suffix":""},{"dropping-particle":"","family":"Sive","given":"Jonathan","non-dropping-particle":"","parse-names":false,"suffix":""},{"dropping-particle":"","family":"Streetly","given":"Matthew","non-dropping-particle":"","parse-names":false,"suffix":""},{"dropping-particle":"","family":"Yong","given":"Kwee","non-dropping-particle":"","parse-names":false,"suffix":""},{"dropping-particle":"","family":"Tache","given":"Jason","non-dropping-particle":"","parse-names":false,"suffix":""}],"container-title":"The Lancet","id":"ITEM-4","issue":"10214","issued":{"date-parts":[["2019","12"]]},"page":"2096-2107","publisher":"Lancet Publishing Group","title":"Isatuximab plus pomalidomide and low-dose dexamethasone versus pomalidomide and low-dose dexamethasone in patients with relapsed and refractory multiple myeloma (ICARIA-MM): a randomised, multicentre, open-label, phase 3 study","type":"article-journal","volume":"394"},"uris":["http://www.mendeley.com/documents/?uuid=20466213-4d26-438c-91c1-d564970f7f26"]},{"id":"ITEM-5","itemData":{"DOI":"10.1200/jco.2009.27.15_suppl.8536","author":[{"dropping-particle":"","family":"Anderson","given":"K.C.","non-dropping-particle":"","parse-names":false,"suffix":""},{"dropping-particle":"","family":"Jagannath","given":"S.","non-dropping-particle":"","parse-names":false,"suffix":""},{"dropping-particle":"","family":"Jakubowiak","given":"A.","non-dropping-particle":"","parse-names":false,"suffix":""},{"dropping-particle":"","family":"Lonial","given":"S.","non-dropping-particle":"","parse-names":false,"suffix":""},{"dropping-particle":"","family":"Raje","given":"N.","non-dropping-particle":"","parse-names":false,"suffix":""},{"dropping-particle":"","family":"Alsina","given":"M.","non-dropping-particle":"","parse-names":false,"suffix":""},{"dropping-particle":"","family":"Ghobrial","given":"I.","non-dropping-particle":"","parse-names":false,"suffix":""},{"dropping-particle":"","family":"Knight","given":"R.","non-dropping-particle":"","parse-names":false,"suffix":""},{"dropping-particle":"","family":"Esseltine","given":"D.","non-dropping-particle":"","parse-names":false,"suffix":""},{"dropping-particle":"","family":"Richardson","given":"P.","non-dropping-particle":"","parse-names":false,"suffix":""}],"container-title":"Journal of Clinical Oncology","id":"ITEM-5","issue":"15 (Suppl.)","issued":{"date-parts":[["2009"]]},"page":"Abstract 8536","title":"Lenalidomide, bortezomib, and dexamethasone in relapsed/refractory multiple myeloma (MM): Encouraging outcomes and tolerability in a phase II study","type":"article-journal","volume":"27"},"uris":["http://www.mendeley.com/documents/?uuid=e626abc9-b1fb-4470-be82-facc41059486"]},{"id":"ITEM-6","itemData":{"DOI":"10.1016/j.clml.2017.12.011","ISSN":"21522669","abstract":"A systematic review and network meta-analysis were conducted to compare the clinical efficacy of immunomodulatory drug-containing regimens in patients with relapsed or refractory multiple myeloma. Daratumumab plus lenalidomide and dexamethasone had a significant advantage in improving progression-free survival of patients compared with other immunomodulatory drug-containing regimens. Background: Previous network meta-analyses combined studies of immunomodulatory drug (IMiD)–containing and IMiD-free regimens, despite a lack of head-to-head randomized controlled trials to robustly link them. However, patients with relapsed or refractory multiple myeloma (RRMM) treated with IMiD-containing regimens differ from those treated with IMiD-free regimens, especially relating to treatment history, which is an important treatment-effect modifier requiring clinical consideration when evaluating the most appropriate subsequent treatment options. A need exists to separately assess the efficacy of treatment regimens for patients who are suitable candidates for IMiD-containing and IMiD-free regimens. The presented analyses will enable clinicians to assess the best regimens to use in patients suitable for IMiD-containing regimens. Materials and Methods: We used a Bayesian network meta-analysis to compare IMiD-containing regimens in patients with RRMM. Additionally, subgroup analyses were conducted stratified by previous therapy line, previous bortezomib therapy, and previous lenalidomide therapy. Results: The results indicated that triplet combinations are more effective than doublet combinations. Of the triplet combinations, daratumumab, lenalidomide, dexamethasone (DRd) was significantly better in improving progression-free survival in patients with RRMM than were other IMiD-containing regimens (lenalidomide, dexamethasone [Rd]: hazard ratio [HR], 0.37; carfilzomib, Rd: HR, 0.54; elotuzumab, Rd: HR, 0.54; ixazomib, Rd: HR, 0.50). Similar trends were observed for overall survival and overall response. DRd showed the greatest probability of being the best treatment for all clinical efficacy outcomes. The subgroup analyses results were consistent with the base-case results. Conclusion: In patients with RRMM who are suitable for an IMiD-containing regimen, DRd showed clear advantages in survival and response outcomes compared with other IMiD-containing regimens.","author":[{"dropping-particle":"","family":"Dimopoulos","given":"Meletios Athanasios","non-dropping-particle":"","parse-names":false,"suffix":""},{"dropping-particle":"","family":"Kaufman","given":"Jonathan L.","non-dropping-particle":"","parse-names":false,"suffix":""},{"dropping-particle":"","family":"White","given":"Darrell","non-dropping-particle":"","parse-names":false,"suffix":""},{"dropping-particle":"","family":"Cook","given":"Gordon","non-dropping-particle":"","parse-names":false,"suffix":""},{"dropping-particle":"","family":"Rizzo","given":"Maria"</w:instrText>
      </w:r>
      <w:r w:rsidR="00A14090" w:rsidRPr="00A30463">
        <w:rPr>
          <w:szCs w:val="24"/>
        </w:rPr>
        <w:instrText>,"</w:instrText>
      </w:r>
      <w:r w:rsidR="00A14090">
        <w:rPr>
          <w:szCs w:val="24"/>
          <w:lang w:val="en-US"/>
        </w:rPr>
        <w:instrText>non</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parse</w:instrText>
      </w:r>
      <w:r w:rsidR="00A14090" w:rsidRPr="00A30463">
        <w:rPr>
          <w:szCs w:val="24"/>
        </w:rPr>
        <w:instrText>-</w:instrText>
      </w:r>
      <w:r w:rsidR="00A14090">
        <w:rPr>
          <w:szCs w:val="24"/>
          <w:lang w:val="en-US"/>
        </w:rPr>
        <w:instrText>names</w:instrText>
      </w:r>
      <w:r w:rsidR="00A14090" w:rsidRPr="00A30463">
        <w:rPr>
          <w:szCs w:val="24"/>
        </w:rPr>
        <w:instrText>":</w:instrText>
      </w:r>
      <w:r w:rsidR="00A14090">
        <w:rPr>
          <w:szCs w:val="24"/>
          <w:lang w:val="en-US"/>
        </w:rPr>
        <w:instrText>false</w:instrText>
      </w:r>
      <w:r w:rsidR="00A14090" w:rsidRPr="00A30463">
        <w:rPr>
          <w:szCs w:val="24"/>
        </w:rPr>
        <w:instrText>,"</w:instrText>
      </w:r>
      <w:r w:rsidR="00A14090">
        <w:rPr>
          <w:szCs w:val="24"/>
          <w:lang w:val="en-US"/>
        </w:rPr>
        <w:instrText>suffix</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family</w:instrText>
      </w:r>
      <w:r w:rsidR="00A14090" w:rsidRPr="00A30463">
        <w:rPr>
          <w:szCs w:val="24"/>
        </w:rPr>
        <w:instrText>":"</w:instrText>
      </w:r>
      <w:r w:rsidR="00A14090">
        <w:rPr>
          <w:szCs w:val="24"/>
          <w:lang w:val="en-US"/>
        </w:rPr>
        <w:instrText>Xu</w:instrText>
      </w:r>
      <w:r w:rsidR="00A14090" w:rsidRPr="00A30463">
        <w:rPr>
          <w:szCs w:val="24"/>
        </w:rPr>
        <w:instrText>","</w:instrText>
      </w:r>
      <w:r w:rsidR="00A14090">
        <w:rPr>
          <w:szCs w:val="24"/>
          <w:lang w:val="en-US"/>
        </w:rPr>
        <w:instrText>given</w:instrText>
      </w:r>
      <w:r w:rsidR="00A14090" w:rsidRPr="00A30463">
        <w:rPr>
          <w:szCs w:val="24"/>
        </w:rPr>
        <w:instrText>":"</w:instrText>
      </w:r>
      <w:r w:rsidR="00A14090">
        <w:rPr>
          <w:szCs w:val="24"/>
          <w:lang w:val="en-US"/>
        </w:rPr>
        <w:instrText>Yingxin</w:instrText>
      </w:r>
      <w:r w:rsidR="00A14090" w:rsidRPr="00A30463">
        <w:rPr>
          <w:szCs w:val="24"/>
        </w:rPr>
        <w:instrText>","</w:instrText>
      </w:r>
      <w:r w:rsidR="00A14090">
        <w:rPr>
          <w:szCs w:val="24"/>
          <w:lang w:val="en-US"/>
        </w:rPr>
        <w:instrText>non</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parse</w:instrText>
      </w:r>
      <w:r w:rsidR="00A14090" w:rsidRPr="00A30463">
        <w:rPr>
          <w:szCs w:val="24"/>
        </w:rPr>
        <w:instrText>-</w:instrText>
      </w:r>
      <w:r w:rsidR="00A14090">
        <w:rPr>
          <w:szCs w:val="24"/>
          <w:lang w:val="en-US"/>
        </w:rPr>
        <w:instrText>names</w:instrText>
      </w:r>
      <w:r w:rsidR="00A14090" w:rsidRPr="00A30463">
        <w:rPr>
          <w:szCs w:val="24"/>
        </w:rPr>
        <w:instrText>":</w:instrText>
      </w:r>
      <w:r w:rsidR="00A14090">
        <w:rPr>
          <w:szCs w:val="24"/>
          <w:lang w:val="en-US"/>
        </w:rPr>
        <w:instrText>false</w:instrText>
      </w:r>
      <w:r w:rsidR="00A14090" w:rsidRPr="00A30463">
        <w:rPr>
          <w:szCs w:val="24"/>
        </w:rPr>
        <w:instrText>,"</w:instrText>
      </w:r>
      <w:r w:rsidR="00A14090">
        <w:rPr>
          <w:szCs w:val="24"/>
          <w:lang w:val="en-US"/>
        </w:rPr>
        <w:instrText>suffix</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family</w:instrText>
      </w:r>
      <w:r w:rsidR="00A14090" w:rsidRPr="00A30463">
        <w:rPr>
          <w:szCs w:val="24"/>
        </w:rPr>
        <w:instrText>":"</w:instrText>
      </w:r>
      <w:r w:rsidR="00A14090">
        <w:rPr>
          <w:szCs w:val="24"/>
          <w:lang w:val="en-US"/>
        </w:rPr>
        <w:instrText>Fahrbach</w:instrText>
      </w:r>
      <w:r w:rsidR="00A14090" w:rsidRPr="00A30463">
        <w:rPr>
          <w:szCs w:val="24"/>
        </w:rPr>
        <w:instrText>","</w:instrText>
      </w:r>
      <w:r w:rsidR="00A14090">
        <w:rPr>
          <w:szCs w:val="24"/>
          <w:lang w:val="en-US"/>
        </w:rPr>
        <w:instrText>given</w:instrText>
      </w:r>
      <w:r w:rsidR="00A14090" w:rsidRPr="00A30463">
        <w:rPr>
          <w:szCs w:val="24"/>
        </w:rPr>
        <w:instrText>":"</w:instrText>
      </w:r>
      <w:r w:rsidR="00A14090">
        <w:rPr>
          <w:szCs w:val="24"/>
          <w:lang w:val="en-US"/>
        </w:rPr>
        <w:instrText>Kyle</w:instrText>
      </w:r>
      <w:r w:rsidR="00A14090" w:rsidRPr="00A30463">
        <w:rPr>
          <w:szCs w:val="24"/>
        </w:rPr>
        <w:instrText>","</w:instrText>
      </w:r>
      <w:r w:rsidR="00A14090">
        <w:rPr>
          <w:szCs w:val="24"/>
          <w:lang w:val="en-US"/>
        </w:rPr>
        <w:instrText>non</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parse</w:instrText>
      </w:r>
      <w:r w:rsidR="00A14090" w:rsidRPr="00A30463">
        <w:rPr>
          <w:szCs w:val="24"/>
        </w:rPr>
        <w:instrText>-</w:instrText>
      </w:r>
      <w:r w:rsidR="00A14090">
        <w:rPr>
          <w:szCs w:val="24"/>
          <w:lang w:val="en-US"/>
        </w:rPr>
        <w:instrText>names</w:instrText>
      </w:r>
      <w:r w:rsidR="00A14090" w:rsidRPr="00A30463">
        <w:rPr>
          <w:szCs w:val="24"/>
        </w:rPr>
        <w:instrText>":</w:instrText>
      </w:r>
      <w:r w:rsidR="00A14090">
        <w:rPr>
          <w:szCs w:val="24"/>
          <w:lang w:val="en-US"/>
        </w:rPr>
        <w:instrText>false</w:instrText>
      </w:r>
      <w:r w:rsidR="00A14090" w:rsidRPr="00A30463">
        <w:rPr>
          <w:szCs w:val="24"/>
        </w:rPr>
        <w:instrText>,"</w:instrText>
      </w:r>
      <w:r w:rsidR="00A14090">
        <w:rPr>
          <w:szCs w:val="24"/>
          <w:lang w:val="en-US"/>
        </w:rPr>
        <w:instrText>suffix</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family</w:instrText>
      </w:r>
      <w:r w:rsidR="00A14090" w:rsidRPr="00A30463">
        <w:rPr>
          <w:szCs w:val="24"/>
        </w:rPr>
        <w:instrText>":"</w:instrText>
      </w:r>
      <w:r w:rsidR="00A14090">
        <w:rPr>
          <w:szCs w:val="24"/>
          <w:lang w:val="en-US"/>
        </w:rPr>
        <w:instrText>Gaudig</w:instrText>
      </w:r>
      <w:r w:rsidR="00A14090" w:rsidRPr="00A30463">
        <w:rPr>
          <w:szCs w:val="24"/>
        </w:rPr>
        <w:instrText>","</w:instrText>
      </w:r>
      <w:r w:rsidR="00A14090">
        <w:rPr>
          <w:szCs w:val="24"/>
          <w:lang w:val="en-US"/>
        </w:rPr>
        <w:instrText>given</w:instrText>
      </w:r>
      <w:r w:rsidR="00A14090" w:rsidRPr="00A30463">
        <w:rPr>
          <w:szCs w:val="24"/>
        </w:rPr>
        <w:instrText>":"</w:instrText>
      </w:r>
      <w:r w:rsidR="00A14090">
        <w:rPr>
          <w:szCs w:val="24"/>
          <w:lang w:val="en-US"/>
        </w:rPr>
        <w:instrText>Maren</w:instrText>
      </w:r>
      <w:r w:rsidR="00A14090" w:rsidRPr="00A30463">
        <w:rPr>
          <w:szCs w:val="24"/>
        </w:rPr>
        <w:instrText>","</w:instrText>
      </w:r>
      <w:r w:rsidR="00A14090">
        <w:rPr>
          <w:szCs w:val="24"/>
          <w:lang w:val="en-US"/>
        </w:rPr>
        <w:instrText>non</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parse</w:instrText>
      </w:r>
      <w:r w:rsidR="00A14090" w:rsidRPr="00A30463">
        <w:rPr>
          <w:szCs w:val="24"/>
        </w:rPr>
        <w:instrText>-</w:instrText>
      </w:r>
      <w:r w:rsidR="00A14090">
        <w:rPr>
          <w:szCs w:val="24"/>
          <w:lang w:val="en-US"/>
        </w:rPr>
        <w:instrText>names</w:instrText>
      </w:r>
      <w:r w:rsidR="00A14090" w:rsidRPr="00A30463">
        <w:rPr>
          <w:szCs w:val="24"/>
        </w:rPr>
        <w:instrText>":</w:instrText>
      </w:r>
      <w:r w:rsidR="00A14090">
        <w:rPr>
          <w:szCs w:val="24"/>
          <w:lang w:val="en-US"/>
        </w:rPr>
        <w:instrText>false</w:instrText>
      </w:r>
      <w:r w:rsidR="00A14090" w:rsidRPr="00A30463">
        <w:rPr>
          <w:szCs w:val="24"/>
        </w:rPr>
        <w:instrText>,"</w:instrText>
      </w:r>
      <w:r w:rsidR="00A14090">
        <w:rPr>
          <w:szCs w:val="24"/>
          <w:lang w:val="en-US"/>
        </w:rPr>
        <w:instrText>suffix</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family</w:instrText>
      </w:r>
      <w:r w:rsidR="00A14090" w:rsidRPr="00A30463">
        <w:rPr>
          <w:szCs w:val="24"/>
        </w:rPr>
        <w:instrText>":"</w:instrText>
      </w:r>
      <w:r w:rsidR="00A14090">
        <w:rPr>
          <w:szCs w:val="24"/>
          <w:lang w:val="en-US"/>
        </w:rPr>
        <w:instrText>Slavcev</w:instrText>
      </w:r>
      <w:r w:rsidR="00A14090" w:rsidRPr="00A30463">
        <w:rPr>
          <w:szCs w:val="24"/>
        </w:rPr>
        <w:instrText>","</w:instrText>
      </w:r>
      <w:r w:rsidR="00A14090">
        <w:rPr>
          <w:szCs w:val="24"/>
          <w:lang w:val="en-US"/>
        </w:rPr>
        <w:instrText>given</w:instrText>
      </w:r>
      <w:r w:rsidR="00A14090" w:rsidRPr="00A30463">
        <w:rPr>
          <w:szCs w:val="24"/>
        </w:rPr>
        <w:instrText>":"</w:instrText>
      </w:r>
      <w:r w:rsidR="00A14090">
        <w:rPr>
          <w:szCs w:val="24"/>
          <w:lang w:val="en-US"/>
        </w:rPr>
        <w:instrText>Mary</w:instrText>
      </w:r>
      <w:r w:rsidR="00A14090" w:rsidRPr="00A30463">
        <w:rPr>
          <w:szCs w:val="24"/>
        </w:rPr>
        <w:instrText>","</w:instrText>
      </w:r>
      <w:r w:rsidR="00A14090">
        <w:rPr>
          <w:szCs w:val="24"/>
          <w:lang w:val="en-US"/>
        </w:rPr>
        <w:instrText>non</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parse</w:instrText>
      </w:r>
      <w:r w:rsidR="00A14090" w:rsidRPr="00A30463">
        <w:rPr>
          <w:szCs w:val="24"/>
        </w:rPr>
        <w:instrText>-</w:instrText>
      </w:r>
      <w:r w:rsidR="00A14090">
        <w:rPr>
          <w:szCs w:val="24"/>
          <w:lang w:val="en-US"/>
        </w:rPr>
        <w:instrText>names</w:instrText>
      </w:r>
      <w:r w:rsidR="00A14090" w:rsidRPr="00A30463">
        <w:rPr>
          <w:szCs w:val="24"/>
        </w:rPr>
        <w:instrText>":</w:instrText>
      </w:r>
      <w:r w:rsidR="00A14090">
        <w:rPr>
          <w:szCs w:val="24"/>
          <w:lang w:val="en-US"/>
        </w:rPr>
        <w:instrText>false</w:instrText>
      </w:r>
      <w:r w:rsidR="00A14090" w:rsidRPr="00A30463">
        <w:rPr>
          <w:szCs w:val="24"/>
        </w:rPr>
        <w:instrText>,"</w:instrText>
      </w:r>
      <w:r w:rsidR="00A14090">
        <w:rPr>
          <w:szCs w:val="24"/>
          <w:lang w:val="en-US"/>
        </w:rPr>
        <w:instrText>suffix</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family</w:instrText>
      </w:r>
      <w:r w:rsidR="00A14090" w:rsidRPr="00A30463">
        <w:rPr>
          <w:szCs w:val="24"/>
        </w:rPr>
        <w:instrText>":"</w:instrText>
      </w:r>
      <w:r w:rsidR="00A14090">
        <w:rPr>
          <w:szCs w:val="24"/>
          <w:lang w:val="en-US"/>
        </w:rPr>
        <w:instrText>Dearden</w:instrText>
      </w:r>
      <w:r w:rsidR="00A14090" w:rsidRPr="00A30463">
        <w:rPr>
          <w:szCs w:val="24"/>
        </w:rPr>
        <w:instrText>","</w:instrText>
      </w:r>
      <w:r w:rsidR="00A14090">
        <w:rPr>
          <w:szCs w:val="24"/>
          <w:lang w:val="en-US"/>
        </w:rPr>
        <w:instrText>given</w:instrText>
      </w:r>
      <w:r w:rsidR="00A14090" w:rsidRPr="00A30463">
        <w:rPr>
          <w:szCs w:val="24"/>
        </w:rPr>
        <w:instrText>":"</w:instrText>
      </w:r>
      <w:r w:rsidR="00A14090">
        <w:rPr>
          <w:szCs w:val="24"/>
          <w:lang w:val="en-US"/>
        </w:rPr>
        <w:instrText>Lindsay</w:instrText>
      </w:r>
      <w:r w:rsidR="00A14090" w:rsidRPr="00A30463">
        <w:rPr>
          <w:szCs w:val="24"/>
        </w:rPr>
        <w:instrText>","</w:instrText>
      </w:r>
      <w:r w:rsidR="00A14090">
        <w:rPr>
          <w:szCs w:val="24"/>
          <w:lang w:val="en-US"/>
        </w:rPr>
        <w:instrText>non</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parse</w:instrText>
      </w:r>
      <w:r w:rsidR="00A14090" w:rsidRPr="00A30463">
        <w:rPr>
          <w:szCs w:val="24"/>
        </w:rPr>
        <w:instrText>-</w:instrText>
      </w:r>
      <w:r w:rsidR="00A14090">
        <w:rPr>
          <w:szCs w:val="24"/>
          <w:lang w:val="en-US"/>
        </w:rPr>
        <w:instrText>names</w:instrText>
      </w:r>
      <w:r w:rsidR="00A14090" w:rsidRPr="00A30463">
        <w:rPr>
          <w:szCs w:val="24"/>
        </w:rPr>
        <w:instrText>":</w:instrText>
      </w:r>
      <w:r w:rsidR="00A14090">
        <w:rPr>
          <w:szCs w:val="24"/>
          <w:lang w:val="en-US"/>
        </w:rPr>
        <w:instrText>false</w:instrText>
      </w:r>
      <w:r w:rsidR="00A14090" w:rsidRPr="00A30463">
        <w:rPr>
          <w:szCs w:val="24"/>
        </w:rPr>
        <w:instrText>,"</w:instrText>
      </w:r>
      <w:r w:rsidR="00A14090">
        <w:rPr>
          <w:szCs w:val="24"/>
          <w:lang w:val="en-US"/>
        </w:rPr>
        <w:instrText>suffix</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family</w:instrText>
      </w:r>
      <w:r w:rsidR="00A14090" w:rsidRPr="00A30463">
        <w:rPr>
          <w:szCs w:val="24"/>
        </w:rPr>
        <w:instrText>":"</w:instrText>
      </w:r>
      <w:r w:rsidR="00A14090">
        <w:rPr>
          <w:szCs w:val="24"/>
          <w:lang w:val="en-US"/>
        </w:rPr>
        <w:instrText>Lam</w:instrText>
      </w:r>
      <w:r w:rsidR="00A14090" w:rsidRPr="00A30463">
        <w:rPr>
          <w:szCs w:val="24"/>
        </w:rPr>
        <w:instrText>","</w:instrText>
      </w:r>
      <w:r w:rsidR="00A14090">
        <w:rPr>
          <w:szCs w:val="24"/>
          <w:lang w:val="en-US"/>
        </w:rPr>
        <w:instrText>given</w:instrText>
      </w:r>
      <w:r w:rsidR="00A14090" w:rsidRPr="00A30463">
        <w:rPr>
          <w:szCs w:val="24"/>
        </w:rPr>
        <w:instrText>":"</w:instrText>
      </w:r>
      <w:r w:rsidR="00A14090">
        <w:rPr>
          <w:szCs w:val="24"/>
          <w:lang w:val="en-US"/>
        </w:rPr>
        <w:instrText>Annette</w:instrText>
      </w:r>
      <w:r w:rsidR="00A14090" w:rsidRPr="00A30463">
        <w:rPr>
          <w:szCs w:val="24"/>
        </w:rPr>
        <w:instrText>","</w:instrText>
      </w:r>
      <w:r w:rsidR="00A14090">
        <w:rPr>
          <w:szCs w:val="24"/>
          <w:lang w:val="en-US"/>
        </w:rPr>
        <w:instrText>non</w:instrText>
      </w:r>
      <w:r w:rsidR="00A14090" w:rsidRPr="00A30463">
        <w:rPr>
          <w:szCs w:val="24"/>
        </w:rPr>
        <w:instrText>-</w:instrText>
      </w:r>
      <w:r w:rsidR="00A14090">
        <w:rPr>
          <w:szCs w:val="24"/>
          <w:lang w:val="en-US"/>
        </w:rPr>
        <w:instrText>dropping</w:instrText>
      </w:r>
      <w:r w:rsidR="00A14090" w:rsidRPr="00A30463">
        <w:rPr>
          <w:szCs w:val="24"/>
        </w:rPr>
        <w:instrText>-</w:instrText>
      </w:r>
      <w:r w:rsidR="00A14090">
        <w:rPr>
          <w:szCs w:val="24"/>
          <w:lang w:val="en-US"/>
        </w:rPr>
        <w:instrText>particle</w:instrText>
      </w:r>
      <w:r w:rsidR="00A14090" w:rsidRPr="00A30463">
        <w:rPr>
          <w:szCs w:val="24"/>
        </w:rPr>
        <w:instrText>":"","</w:instrText>
      </w:r>
      <w:r w:rsidR="00A14090">
        <w:rPr>
          <w:szCs w:val="24"/>
          <w:lang w:val="en-US"/>
        </w:rPr>
        <w:instrText>parse</w:instrText>
      </w:r>
      <w:r w:rsidR="00A14090" w:rsidRPr="00A30463">
        <w:rPr>
          <w:szCs w:val="24"/>
        </w:rPr>
        <w:instrText>-</w:instrText>
      </w:r>
      <w:r w:rsidR="00A14090">
        <w:rPr>
          <w:szCs w:val="24"/>
          <w:lang w:val="en-US"/>
        </w:rPr>
        <w:instrText>names</w:instrText>
      </w:r>
      <w:r w:rsidR="00A14090" w:rsidRPr="00A30463">
        <w:rPr>
          <w:szCs w:val="24"/>
        </w:rPr>
        <w:instrText>":</w:instrText>
      </w:r>
      <w:r w:rsidR="00A14090">
        <w:rPr>
          <w:szCs w:val="24"/>
          <w:lang w:val="en-US"/>
        </w:rPr>
        <w:instrText>false</w:instrText>
      </w:r>
      <w:r w:rsidR="00A14090" w:rsidRPr="00A30463">
        <w:rPr>
          <w:szCs w:val="24"/>
        </w:rPr>
        <w:instrText>,"</w:instrText>
      </w:r>
      <w:r w:rsidR="00A14090">
        <w:rPr>
          <w:szCs w:val="24"/>
          <w:lang w:val="en-US"/>
        </w:rPr>
        <w:instrText>suffix</w:instrText>
      </w:r>
      <w:r w:rsidR="00A14090" w:rsidRPr="00A30463">
        <w:rPr>
          <w:szCs w:val="24"/>
        </w:rPr>
        <w:instrText>":""}],"</w:instrText>
      </w:r>
      <w:r w:rsidR="00A14090">
        <w:rPr>
          <w:szCs w:val="24"/>
          <w:lang w:val="en-US"/>
        </w:rPr>
        <w:instrText>container</w:instrText>
      </w:r>
      <w:r w:rsidR="00A14090" w:rsidRPr="00A30463">
        <w:rPr>
          <w:szCs w:val="24"/>
        </w:rPr>
        <w:instrText>-</w:instrText>
      </w:r>
      <w:r w:rsidR="00A14090">
        <w:rPr>
          <w:szCs w:val="24"/>
          <w:lang w:val="en-US"/>
        </w:rPr>
        <w:instrText>title</w:instrText>
      </w:r>
      <w:r w:rsidR="00A14090" w:rsidRPr="00A30463">
        <w:rPr>
          <w:szCs w:val="24"/>
        </w:rPr>
        <w:instrText>":"</w:instrText>
      </w:r>
      <w:r w:rsidR="00A14090">
        <w:rPr>
          <w:szCs w:val="24"/>
          <w:lang w:val="en-US"/>
        </w:rPr>
        <w:instrText>Clinical</w:instrText>
      </w:r>
      <w:r w:rsidR="00A14090" w:rsidRPr="00A30463">
        <w:rPr>
          <w:szCs w:val="24"/>
        </w:rPr>
        <w:instrText xml:space="preserve"> </w:instrText>
      </w:r>
      <w:r w:rsidR="00A14090">
        <w:rPr>
          <w:szCs w:val="24"/>
          <w:lang w:val="en-US"/>
        </w:rPr>
        <w:instrText>Lymphoma</w:instrText>
      </w:r>
      <w:r w:rsidR="00A14090" w:rsidRPr="00A30463">
        <w:rPr>
          <w:szCs w:val="24"/>
        </w:rPr>
        <w:instrText xml:space="preserve">, </w:instrText>
      </w:r>
      <w:r w:rsidR="00A14090">
        <w:rPr>
          <w:szCs w:val="24"/>
          <w:lang w:val="en-US"/>
        </w:rPr>
        <w:instrText>Myeloma</w:instrText>
      </w:r>
      <w:r w:rsidR="00A14090" w:rsidRPr="00A30463">
        <w:rPr>
          <w:szCs w:val="24"/>
        </w:rPr>
        <w:instrText xml:space="preserve"> </w:instrText>
      </w:r>
      <w:r w:rsidR="00A14090">
        <w:rPr>
          <w:szCs w:val="24"/>
          <w:lang w:val="en-US"/>
        </w:rPr>
        <w:instrText>and</w:instrText>
      </w:r>
      <w:r w:rsidR="00A14090" w:rsidRPr="00A30463">
        <w:rPr>
          <w:szCs w:val="24"/>
        </w:rPr>
        <w:instrText xml:space="preserve"> </w:instrText>
      </w:r>
      <w:r w:rsidR="00A14090">
        <w:rPr>
          <w:szCs w:val="24"/>
          <w:lang w:val="en-US"/>
        </w:rPr>
        <w:instrText>Leukemia</w:instrText>
      </w:r>
      <w:r w:rsidR="00A14090" w:rsidRPr="00A30463">
        <w:rPr>
          <w:szCs w:val="24"/>
        </w:rPr>
        <w:instrText>","</w:instrText>
      </w:r>
      <w:r w:rsidR="00A14090">
        <w:rPr>
          <w:szCs w:val="24"/>
          <w:lang w:val="en-US"/>
        </w:rPr>
        <w:instrText>id</w:instrText>
      </w:r>
      <w:r w:rsidR="00A14090" w:rsidRPr="00A30463">
        <w:rPr>
          <w:szCs w:val="24"/>
        </w:rPr>
        <w:instrText>":"</w:instrText>
      </w:r>
      <w:r w:rsidR="00A14090">
        <w:rPr>
          <w:szCs w:val="24"/>
          <w:lang w:val="en-US"/>
        </w:rPr>
        <w:instrText>ITEM</w:instrText>
      </w:r>
      <w:r w:rsidR="00A14090" w:rsidRPr="00A30463">
        <w:rPr>
          <w:szCs w:val="24"/>
        </w:rPr>
        <w:instrText>-6","</w:instrText>
      </w:r>
      <w:r w:rsidR="00A14090">
        <w:rPr>
          <w:szCs w:val="24"/>
          <w:lang w:val="en-US"/>
        </w:rPr>
        <w:instrText>issue</w:instrText>
      </w:r>
      <w:r w:rsidR="00A14090" w:rsidRPr="00A30463">
        <w:rPr>
          <w:szCs w:val="24"/>
        </w:rPr>
        <w:instrText>":"3","</w:instrText>
      </w:r>
      <w:r w:rsidR="00A14090">
        <w:rPr>
          <w:szCs w:val="24"/>
          <w:lang w:val="en-US"/>
        </w:rPr>
        <w:instrText>issued</w:instrText>
      </w:r>
      <w:r w:rsidR="00A14090" w:rsidRPr="00A30463">
        <w:rPr>
          <w:szCs w:val="24"/>
        </w:rPr>
        <w:instrText>":{"</w:instrText>
      </w:r>
      <w:r w:rsidR="00A14090">
        <w:rPr>
          <w:szCs w:val="24"/>
          <w:lang w:val="en-US"/>
        </w:rPr>
        <w:instrText>date</w:instrText>
      </w:r>
      <w:r w:rsidR="00A14090" w:rsidRPr="00A30463">
        <w:rPr>
          <w:szCs w:val="24"/>
        </w:rPr>
        <w:instrText>-</w:instrText>
      </w:r>
      <w:r w:rsidR="00A14090">
        <w:rPr>
          <w:szCs w:val="24"/>
          <w:lang w:val="en-US"/>
        </w:rPr>
        <w:instrText>parts</w:instrText>
      </w:r>
      <w:r w:rsidR="00A14090" w:rsidRPr="00A30463">
        <w:rPr>
          <w:szCs w:val="24"/>
        </w:rPr>
        <w:instrText>":[["2018","3","1"]]},"</w:instrText>
      </w:r>
      <w:r w:rsidR="00A14090">
        <w:rPr>
          <w:szCs w:val="24"/>
          <w:lang w:val="en-US"/>
        </w:rPr>
        <w:instrText>page</w:instrText>
      </w:r>
      <w:r w:rsidR="00A14090" w:rsidRPr="00A30463">
        <w:rPr>
          <w:szCs w:val="24"/>
        </w:rPr>
        <w:instrText>":"163-173.</w:instrText>
      </w:r>
      <w:r w:rsidR="00A14090">
        <w:rPr>
          <w:szCs w:val="24"/>
          <w:lang w:val="en-US"/>
        </w:rPr>
        <w:instrText>e</w:instrText>
      </w:r>
      <w:r w:rsidR="00A14090" w:rsidRPr="00A30463">
        <w:rPr>
          <w:szCs w:val="24"/>
        </w:rPr>
        <w:instrText>6","</w:instrText>
      </w:r>
      <w:r w:rsidR="00A14090">
        <w:rPr>
          <w:szCs w:val="24"/>
          <w:lang w:val="en-US"/>
        </w:rPr>
        <w:instrText>publisher</w:instrText>
      </w:r>
      <w:r w:rsidR="00A14090" w:rsidRPr="00A30463">
        <w:rPr>
          <w:szCs w:val="24"/>
        </w:rPr>
        <w:instrText>":"</w:instrText>
      </w:r>
      <w:r w:rsidR="00A14090">
        <w:rPr>
          <w:szCs w:val="24"/>
          <w:lang w:val="en-US"/>
        </w:rPr>
        <w:instrText>Elsevier</w:instrText>
      </w:r>
      <w:r w:rsidR="00A14090" w:rsidRPr="00A30463">
        <w:rPr>
          <w:szCs w:val="24"/>
        </w:rPr>
        <w:instrText xml:space="preserve"> </w:instrText>
      </w:r>
      <w:r w:rsidR="00A14090">
        <w:rPr>
          <w:szCs w:val="24"/>
          <w:lang w:val="en-US"/>
        </w:rPr>
        <w:instrText>Inc</w:instrText>
      </w:r>
      <w:r w:rsidR="00A14090" w:rsidRPr="00A30463">
        <w:rPr>
          <w:szCs w:val="24"/>
        </w:rPr>
        <w:instrText>.","</w:instrText>
      </w:r>
      <w:r w:rsidR="00A14090">
        <w:rPr>
          <w:szCs w:val="24"/>
          <w:lang w:val="en-US"/>
        </w:rPr>
        <w:instrText>title</w:instrText>
      </w:r>
      <w:r w:rsidR="00A14090" w:rsidRPr="00A30463">
        <w:rPr>
          <w:szCs w:val="24"/>
        </w:rPr>
        <w:instrText>":"</w:instrText>
      </w:r>
      <w:r w:rsidR="00A14090">
        <w:rPr>
          <w:szCs w:val="24"/>
          <w:lang w:val="en-US"/>
        </w:rPr>
        <w:instrText>A</w:instrText>
      </w:r>
      <w:r w:rsidR="00A14090" w:rsidRPr="00A30463">
        <w:rPr>
          <w:szCs w:val="24"/>
        </w:rPr>
        <w:instrText xml:space="preserve"> </w:instrText>
      </w:r>
      <w:r w:rsidR="00A14090">
        <w:rPr>
          <w:szCs w:val="24"/>
          <w:lang w:val="en-US"/>
        </w:rPr>
        <w:instrText>Comparison</w:instrText>
      </w:r>
      <w:r w:rsidR="00A14090" w:rsidRPr="00A30463">
        <w:rPr>
          <w:szCs w:val="24"/>
        </w:rPr>
        <w:instrText xml:space="preserve"> </w:instrText>
      </w:r>
      <w:r w:rsidR="00A14090">
        <w:rPr>
          <w:szCs w:val="24"/>
          <w:lang w:val="en-US"/>
        </w:rPr>
        <w:instrText>of</w:instrText>
      </w:r>
      <w:r w:rsidR="00A14090" w:rsidRPr="00A30463">
        <w:rPr>
          <w:szCs w:val="24"/>
        </w:rPr>
        <w:instrText xml:space="preserve"> </w:instrText>
      </w:r>
      <w:r w:rsidR="00A14090">
        <w:rPr>
          <w:szCs w:val="24"/>
          <w:lang w:val="en-US"/>
        </w:rPr>
        <w:instrText>the</w:instrText>
      </w:r>
      <w:r w:rsidR="00A14090" w:rsidRPr="00A30463">
        <w:rPr>
          <w:szCs w:val="24"/>
        </w:rPr>
        <w:instrText xml:space="preserve"> </w:instrText>
      </w:r>
      <w:r w:rsidR="00A14090">
        <w:rPr>
          <w:szCs w:val="24"/>
          <w:lang w:val="en-US"/>
        </w:rPr>
        <w:instrText>Efficacy</w:instrText>
      </w:r>
      <w:r w:rsidR="00A14090" w:rsidRPr="00A30463">
        <w:rPr>
          <w:szCs w:val="24"/>
        </w:rPr>
        <w:instrText xml:space="preserve"> </w:instrText>
      </w:r>
      <w:r w:rsidR="00A14090">
        <w:rPr>
          <w:szCs w:val="24"/>
          <w:lang w:val="en-US"/>
        </w:rPr>
        <w:instrText>of</w:instrText>
      </w:r>
      <w:r w:rsidR="00A14090" w:rsidRPr="00A30463">
        <w:rPr>
          <w:szCs w:val="24"/>
        </w:rPr>
        <w:instrText xml:space="preserve"> </w:instrText>
      </w:r>
      <w:r w:rsidR="00A14090">
        <w:rPr>
          <w:szCs w:val="24"/>
          <w:lang w:val="en-US"/>
        </w:rPr>
        <w:instrText>Immunomodulatory</w:instrText>
      </w:r>
      <w:r w:rsidR="00A14090" w:rsidRPr="00A30463">
        <w:rPr>
          <w:szCs w:val="24"/>
        </w:rPr>
        <w:instrText>-</w:instrText>
      </w:r>
      <w:r w:rsidR="00A14090">
        <w:rPr>
          <w:szCs w:val="24"/>
          <w:lang w:val="en-US"/>
        </w:rPr>
        <w:instrText>containing</w:instrText>
      </w:r>
      <w:r w:rsidR="00A14090" w:rsidRPr="00A30463">
        <w:rPr>
          <w:szCs w:val="24"/>
        </w:rPr>
        <w:instrText xml:space="preserve"> </w:instrText>
      </w:r>
      <w:r w:rsidR="00A14090">
        <w:rPr>
          <w:szCs w:val="24"/>
          <w:lang w:val="en-US"/>
        </w:rPr>
        <w:instrText>Regimens</w:instrText>
      </w:r>
      <w:r w:rsidR="00A14090" w:rsidRPr="00A30463">
        <w:rPr>
          <w:szCs w:val="24"/>
        </w:rPr>
        <w:instrText xml:space="preserve"> </w:instrText>
      </w:r>
      <w:r w:rsidR="00A14090">
        <w:rPr>
          <w:szCs w:val="24"/>
          <w:lang w:val="en-US"/>
        </w:rPr>
        <w:instrText>in</w:instrText>
      </w:r>
      <w:r w:rsidR="00A14090" w:rsidRPr="00A30463">
        <w:rPr>
          <w:szCs w:val="24"/>
        </w:rPr>
        <w:instrText xml:space="preserve"> </w:instrText>
      </w:r>
      <w:r w:rsidR="00A14090">
        <w:rPr>
          <w:szCs w:val="24"/>
          <w:lang w:val="en-US"/>
        </w:rPr>
        <w:instrText>Relapsed</w:instrText>
      </w:r>
      <w:r w:rsidR="00A14090" w:rsidRPr="00A30463">
        <w:rPr>
          <w:szCs w:val="24"/>
        </w:rPr>
        <w:instrText>/</w:instrText>
      </w:r>
      <w:r w:rsidR="00A14090">
        <w:rPr>
          <w:szCs w:val="24"/>
          <w:lang w:val="en-US"/>
        </w:rPr>
        <w:instrText>Refractory</w:instrText>
      </w:r>
      <w:r w:rsidR="00A14090" w:rsidRPr="00A30463">
        <w:rPr>
          <w:szCs w:val="24"/>
        </w:rPr>
        <w:instrText xml:space="preserve"> </w:instrText>
      </w:r>
      <w:r w:rsidR="00A14090">
        <w:rPr>
          <w:szCs w:val="24"/>
          <w:lang w:val="en-US"/>
        </w:rPr>
        <w:instrText>Multiple</w:instrText>
      </w:r>
      <w:r w:rsidR="00A14090" w:rsidRPr="00A30463">
        <w:rPr>
          <w:szCs w:val="24"/>
        </w:rPr>
        <w:instrText xml:space="preserve"> </w:instrText>
      </w:r>
      <w:r w:rsidR="00A14090">
        <w:rPr>
          <w:szCs w:val="24"/>
          <w:lang w:val="en-US"/>
        </w:rPr>
        <w:instrText>Myeloma</w:instrText>
      </w:r>
      <w:r w:rsidR="00A14090" w:rsidRPr="00A30463">
        <w:rPr>
          <w:szCs w:val="24"/>
        </w:rPr>
        <w:instrText xml:space="preserve">: </w:instrText>
      </w:r>
      <w:r w:rsidR="00A14090">
        <w:rPr>
          <w:szCs w:val="24"/>
          <w:lang w:val="en-US"/>
        </w:rPr>
        <w:instrText>A</w:instrText>
      </w:r>
      <w:r w:rsidR="00A14090" w:rsidRPr="00A30463">
        <w:rPr>
          <w:szCs w:val="24"/>
        </w:rPr>
        <w:instrText xml:space="preserve"> </w:instrText>
      </w:r>
      <w:r w:rsidR="00A14090">
        <w:rPr>
          <w:szCs w:val="24"/>
          <w:lang w:val="en-US"/>
        </w:rPr>
        <w:instrText>Network</w:instrText>
      </w:r>
      <w:r w:rsidR="00A14090" w:rsidRPr="00A30463">
        <w:rPr>
          <w:szCs w:val="24"/>
        </w:rPr>
        <w:instrText xml:space="preserve"> </w:instrText>
      </w:r>
      <w:r w:rsidR="00A14090">
        <w:rPr>
          <w:szCs w:val="24"/>
          <w:lang w:val="en-US"/>
        </w:rPr>
        <w:instrText>Meta</w:instrText>
      </w:r>
      <w:r w:rsidR="00A14090" w:rsidRPr="00A30463">
        <w:rPr>
          <w:szCs w:val="24"/>
        </w:rPr>
        <w:instrText>-</w:instrText>
      </w:r>
      <w:r w:rsidR="00A14090">
        <w:rPr>
          <w:szCs w:val="24"/>
          <w:lang w:val="en-US"/>
        </w:rPr>
        <w:instrText>analysis</w:instrText>
      </w:r>
      <w:r w:rsidR="00A14090" w:rsidRPr="00A30463">
        <w:rPr>
          <w:szCs w:val="24"/>
        </w:rPr>
        <w:instrText>","</w:instrText>
      </w:r>
      <w:r w:rsidR="00A14090">
        <w:rPr>
          <w:szCs w:val="24"/>
          <w:lang w:val="en-US"/>
        </w:rPr>
        <w:instrText>type</w:instrText>
      </w:r>
      <w:r w:rsidR="00A14090" w:rsidRPr="00A30463">
        <w:rPr>
          <w:szCs w:val="24"/>
        </w:rPr>
        <w:instrText>":"</w:instrText>
      </w:r>
      <w:r w:rsidR="00A14090">
        <w:rPr>
          <w:szCs w:val="24"/>
          <w:lang w:val="en-US"/>
        </w:rPr>
        <w:instrText>article</w:instrText>
      </w:r>
      <w:r w:rsidR="00A14090" w:rsidRPr="00A30463">
        <w:rPr>
          <w:szCs w:val="24"/>
        </w:rPr>
        <w:instrText>-</w:instrText>
      </w:r>
      <w:r w:rsidR="00A14090">
        <w:rPr>
          <w:szCs w:val="24"/>
          <w:lang w:val="en-US"/>
        </w:rPr>
        <w:instrText>journal</w:instrText>
      </w:r>
      <w:r w:rsidR="00A14090" w:rsidRPr="00A30463">
        <w:rPr>
          <w:szCs w:val="24"/>
        </w:rPr>
        <w:instrText>","</w:instrText>
      </w:r>
      <w:r w:rsidR="00A14090">
        <w:rPr>
          <w:szCs w:val="24"/>
          <w:lang w:val="en-US"/>
        </w:rPr>
        <w:instrText>volume</w:instrText>
      </w:r>
      <w:r w:rsidR="00A14090" w:rsidRPr="00A30463">
        <w:rPr>
          <w:szCs w:val="24"/>
        </w:rPr>
        <w:instrText>":"18"},"</w:instrText>
      </w:r>
      <w:r w:rsidR="00A14090">
        <w:rPr>
          <w:szCs w:val="24"/>
          <w:lang w:val="en-US"/>
        </w:rPr>
        <w:instrText>uris</w:instrText>
      </w:r>
      <w:r w:rsidR="00A14090" w:rsidRPr="00A30463">
        <w:rPr>
          <w:szCs w:val="24"/>
        </w:rPr>
        <w:instrText>":["</w:instrText>
      </w:r>
      <w:r w:rsidR="00A14090">
        <w:rPr>
          <w:szCs w:val="24"/>
          <w:lang w:val="en-US"/>
        </w:rPr>
        <w:instrText>http</w:instrText>
      </w:r>
      <w:r w:rsidR="00A14090" w:rsidRPr="00A30463">
        <w:rPr>
          <w:szCs w:val="24"/>
        </w:rPr>
        <w:instrText>://</w:instrText>
      </w:r>
      <w:r w:rsidR="00A14090">
        <w:rPr>
          <w:szCs w:val="24"/>
          <w:lang w:val="en-US"/>
        </w:rPr>
        <w:instrText>www</w:instrText>
      </w:r>
      <w:r w:rsidR="00A14090" w:rsidRPr="00A30463">
        <w:rPr>
          <w:szCs w:val="24"/>
        </w:rPr>
        <w:instrText>.</w:instrText>
      </w:r>
      <w:r w:rsidR="00A14090">
        <w:rPr>
          <w:szCs w:val="24"/>
          <w:lang w:val="en-US"/>
        </w:rPr>
        <w:instrText>mendeley</w:instrText>
      </w:r>
      <w:r w:rsidR="00A14090" w:rsidRPr="00A30463">
        <w:rPr>
          <w:szCs w:val="24"/>
        </w:rPr>
        <w:instrText>.</w:instrText>
      </w:r>
      <w:r w:rsidR="00A14090">
        <w:rPr>
          <w:szCs w:val="24"/>
          <w:lang w:val="en-US"/>
        </w:rPr>
        <w:instrText>com</w:instrText>
      </w:r>
      <w:r w:rsidR="00A14090" w:rsidRPr="00A30463">
        <w:rPr>
          <w:szCs w:val="24"/>
        </w:rPr>
        <w:instrText>/</w:instrText>
      </w:r>
      <w:r w:rsidR="00A14090">
        <w:rPr>
          <w:szCs w:val="24"/>
          <w:lang w:val="en-US"/>
        </w:rPr>
        <w:instrText>documents</w:instrText>
      </w:r>
      <w:r w:rsidR="00A14090" w:rsidRPr="00A30463">
        <w:rPr>
          <w:szCs w:val="24"/>
        </w:rPr>
        <w:instrText>/?</w:instrText>
      </w:r>
      <w:r w:rsidR="00A14090">
        <w:rPr>
          <w:szCs w:val="24"/>
          <w:lang w:val="en-US"/>
        </w:rPr>
        <w:instrText>uuid</w:instrText>
      </w:r>
      <w:r w:rsidR="00A14090" w:rsidRPr="00A30463">
        <w:rPr>
          <w:szCs w:val="24"/>
        </w:rPr>
        <w:instrText>=4543</w:instrText>
      </w:r>
      <w:r w:rsidR="00A14090">
        <w:rPr>
          <w:szCs w:val="24"/>
          <w:lang w:val="en-US"/>
        </w:rPr>
        <w:instrText>af</w:instrText>
      </w:r>
      <w:r w:rsidR="00A14090" w:rsidRPr="00A30463">
        <w:rPr>
          <w:szCs w:val="24"/>
        </w:rPr>
        <w:instrText>21-4</w:instrText>
      </w:r>
      <w:r w:rsidR="00A14090">
        <w:rPr>
          <w:szCs w:val="24"/>
          <w:lang w:val="en-US"/>
        </w:rPr>
        <w:instrText>b</w:instrText>
      </w:r>
      <w:r w:rsidR="00A14090" w:rsidRPr="00A30463">
        <w:rPr>
          <w:szCs w:val="24"/>
        </w:rPr>
        <w:instrText>82-3645-8</w:instrText>
      </w:r>
      <w:r w:rsidR="00A14090">
        <w:rPr>
          <w:szCs w:val="24"/>
          <w:lang w:val="en-US"/>
        </w:rPr>
        <w:instrText>d</w:instrText>
      </w:r>
      <w:r w:rsidR="00A14090" w:rsidRPr="00A30463">
        <w:rPr>
          <w:szCs w:val="24"/>
        </w:rPr>
        <w:instrText>1</w:instrText>
      </w:r>
      <w:r w:rsidR="00A14090">
        <w:rPr>
          <w:szCs w:val="24"/>
          <w:lang w:val="en-US"/>
        </w:rPr>
        <w:instrText>e</w:instrText>
      </w:r>
      <w:r w:rsidR="00A14090" w:rsidRPr="00A30463">
        <w:rPr>
          <w:szCs w:val="24"/>
        </w:rPr>
        <w:instrText>-52</w:instrText>
      </w:r>
      <w:r w:rsidR="00A14090">
        <w:rPr>
          <w:szCs w:val="24"/>
          <w:lang w:val="en-US"/>
        </w:rPr>
        <w:instrText>cee</w:instrText>
      </w:r>
      <w:r w:rsidR="00A14090" w:rsidRPr="00A30463">
        <w:rPr>
          <w:szCs w:val="24"/>
        </w:rPr>
        <w:instrText>5</w:instrText>
      </w:r>
      <w:r w:rsidR="00A14090">
        <w:rPr>
          <w:szCs w:val="24"/>
          <w:lang w:val="en-US"/>
        </w:rPr>
        <w:instrText>a</w:instrText>
      </w:r>
      <w:r w:rsidR="00A14090" w:rsidRPr="00A30463">
        <w:rPr>
          <w:szCs w:val="24"/>
        </w:rPr>
        <w:instrText>8</w:instrText>
      </w:r>
      <w:r w:rsidR="00A14090">
        <w:rPr>
          <w:szCs w:val="24"/>
          <w:lang w:val="en-US"/>
        </w:rPr>
        <w:instrText>b</w:instrText>
      </w:r>
      <w:r w:rsidR="00A14090" w:rsidRPr="00A30463">
        <w:rPr>
          <w:szCs w:val="24"/>
        </w:rPr>
        <w:instrText>951"]}],"</w:instrText>
      </w:r>
      <w:r w:rsidR="00A14090">
        <w:rPr>
          <w:szCs w:val="24"/>
          <w:lang w:val="en-US"/>
        </w:rPr>
        <w:instrText>mendeley</w:instrText>
      </w:r>
      <w:r w:rsidR="00A14090" w:rsidRPr="00A30463">
        <w:rPr>
          <w:szCs w:val="24"/>
        </w:rPr>
        <w:instrText>":{"</w:instrText>
      </w:r>
      <w:r w:rsidR="00A14090">
        <w:rPr>
          <w:szCs w:val="24"/>
          <w:lang w:val="en-US"/>
        </w:rPr>
        <w:instrText>formattedCitation</w:instrText>
      </w:r>
      <w:r w:rsidR="00A14090" w:rsidRPr="00A30463">
        <w:rPr>
          <w:szCs w:val="24"/>
        </w:rPr>
        <w:instrText>":"[63,64,67,74,77,78]","</w:instrText>
      </w:r>
      <w:r w:rsidR="00A14090">
        <w:rPr>
          <w:szCs w:val="24"/>
          <w:lang w:val="en-US"/>
        </w:rPr>
        <w:instrText>plainTextFormattedCitation</w:instrText>
      </w:r>
      <w:r w:rsidR="00A14090" w:rsidRPr="00A30463">
        <w:rPr>
          <w:szCs w:val="24"/>
        </w:rPr>
        <w:instrText>":"[63,64,67,74,77,78]","</w:instrText>
      </w:r>
      <w:r w:rsidR="00A14090">
        <w:rPr>
          <w:szCs w:val="24"/>
          <w:lang w:val="en-US"/>
        </w:rPr>
        <w:instrText>previouslyFormattedCitation</w:instrText>
      </w:r>
      <w:r w:rsidR="00A14090" w:rsidRPr="00A30463">
        <w:rPr>
          <w:szCs w:val="24"/>
        </w:rPr>
        <w:instrText>":"[63,64,67,74,77,78]"},"</w:instrText>
      </w:r>
      <w:r w:rsidR="00A14090">
        <w:rPr>
          <w:szCs w:val="24"/>
          <w:lang w:val="en-US"/>
        </w:rPr>
        <w:instrText>properties</w:instrText>
      </w:r>
      <w:r w:rsidR="00A14090" w:rsidRPr="00A30463">
        <w:rPr>
          <w:szCs w:val="24"/>
        </w:rPr>
        <w:instrText>":{"</w:instrText>
      </w:r>
      <w:r w:rsidR="00A14090">
        <w:rPr>
          <w:szCs w:val="24"/>
          <w:lang w:val="en-US"/>
        </w:rPr>
        <w:instrText>noteIndex</w:instrText>
      </w:r>
      <w:r w:rsidR="00A14090" w:rsidRPr="00A30463">
        <w:rPr>
          <w:szCs w:val="24"/>
        </w:rPr>
        <w:instrText>":0},"</w:instrText>
      </w:r>
      <w:r w:rsidR="00A14090">
        <w:rPr>
          <w:szCs w:val="24"/>
          <w:lang w:val="en-US"/>
        </w:rPr>
        <w:instrText>schema</w:instrText>
      </w:r>
      <w:r w:rsidR="00A14090" w:rsidRPr="00A30463">
        <w:rPr>
          <w:szCs w:val="24"/>
        </w:rPr>
        <w:instrText>":"</w:instrText>
      </w:r>
      <w:r w:rsidR="00A14090">
        <w:rPr>
          <w:szCs w:val="24"/>
          <w:lang w:val="en-US"/>
        </w:rPr>
        <w:instrText>https</w:instrText>
      </w:r>
      <w:r w:rsidR="00A14090" w:rsidRPr="00A30463">
        <w:rPr>
          <w:szCs w:val="24"/>
        </w:rPr>
        <w:instrText>://</w:instrText>
      </w:r>
      <w:r w:rsidR="00A14090">
        <w:rPr>
          <w:szCs w:val="24"/>
          <w:lang w:val="en-US"/>
        </w:rPr>
        <w:instrText>github</w:instrText>
      </w:r>
      <w:r w:rsidR="00A14090" w:rsidRPr="00A30463">
        <w:rPr>
          <w:szCs w:val="24"/>
        </w:rPr>
        <w:instrText>.</w:instrText>
      </w:r>
      <w:r w:rsidR="00A14090">
        <w:rPr>
          <w:szCs w:val="24"/>
          <w:lang w:val="en-US"/>
        </w:rPr>
        <w:instrText>com</w:instrText>
      </w:r>
      <w:r w:rsidR="00A14090" w:rsidRPr="00A30463">
        <w:rPr>
          <w:szCs w:val="24"/>
        </w:rPr>
        <w:instrText>/</w:instrText>
      </w:r>
      <w:r w:rsidR="00A14090">
        <w:rPr>
          <w:szCs w:val="24"/>
          <w:lang w:val="en-US"/>
        </w:rPr>
        <w:instrText>citation</w:instrText>
      </w:r>
      <w:r w:rsidR="00A14090" w:rsidRPr="00A30463">
        <w:rPr>
          <w:szCs w:val="24"/>
        </w:rPr>
        <w:instrText>-</w:instrText>
      </w:r>
      <w:r w:rsidR="00A14090">
        <w:rPr>
          <w:szCs w:val="24"/>
          <w:lang w:val="en-US"/>
        </w:rPr>
        <w:instrText>style</w:instrText>
      </w:r>
      <w:r w:rsidR="00A14090" w:rsidRPr="00A30463">
        <w:rPr>
          <w:szCs w:val="24"/>
        </w:rPr>
        <w:instrText>-</w:instrText>
      </w:r>
      <w:r w:rsidR="00A14090">
        <w:rPr>
          <w:szCs w:val="24"/>
          <w:lang w:val="en-US"/>
        </w:rPr>
        <w:instrText>language</w:instrText>
      </w:r>
      <w:r w:rsidR="00A14090" w:rsidRPr="00A30463">
        <w:rPr>
          <w:szCs w:val="24"/>
        </w:rPr>
        <w:instrText>/</w:instrText>
      </w:r>
      <w:r w:rsidR="00A14090">
        <w:rPr>
          <w:szCs w:val="24"/>
          <w:lang w:val="en-US"/>
        </w:rPr>
        <w:instrText>schema</w:instrText>
      </w:r>
      <w:r w:rsidR="00A14090" w:rsidRPr="00A30463">
        <w:rPr>
          <w:szCs w:val="24"/>
        </w:rPr>
        <w:instrText>/</w:instrText>
      </w:r>
      <w:r w:rsidR="00A14090">
        <w:rPr>
          <w:szCs w:val="24"/>
          <w:lang w:val="en-US"/>
        </w:rPr>
        <w:instrText>raw</w:instrText>
      </w:r>
      <w:r w:rsidR="00A14090" w:rsidRPr="00A30463">
        <w:rPr>
          <w:szCs w:val="24"/>
        </w:rPr>
        <w:instrText>/</w:instrText>
      </w:r>
      <w:r w:rsidR="00A14090">
        <w:rPr>
          <w:szCs w:val="24"/>
          <w:lang w:val="en-US"/>
        </w:rPr>
        <w:instrText>master</w:instrText>
      </w:r>
      <w:r w:rsidR="00A14090" w:rsidRPr="00A30463">
        <w:rPr>
          <w:szCs w:val="24"/>
        </w:rPr>
        <w:instrText>/</w:instrText>
      </w:r>
      <w:r w:rsidR="00A14090">
        <w:rPr>
          <w:szCs w:val="24"/>
          <w:lang w:val="en-US"/>
        </w:rPr>
        <w:instrText>csl</w:instrText>
      </w:r>
      <w:r w:rsidR="00A14090" w:rsidRPr="00A30463">
        <w:rPr>
          <w:szCs w:val="24"/>
        </w:rPr>
        <w:instrText>-</w:instrText>
      </w:r>
      <w:r w:rsidR="00A14090">
        <w:rPr>
          <w:szCs w:val="24"/>
          <w:lang w:val="en-US"/>
        </w:rPr>
        <w:instrText>citation</w:instrText>
      </w:r>
      <w:r w:rsidR="00A14090" w:rsidRPr="00A30463">
        <w:rPr>
          <w:szCs w:val="24"/>
        </w:rPr>
        <w:instrText>.</w:instrText>
      </w:r>
      <w:r w:rsidR="00A14090">
        <w:rPr>
          <w:szCs w:val="24"/>
          <w:lang w:val="en-US"/>
        </w:rPr>
        <w:instrText>json</w:instrText>
      </w:r>
      <w:r w:rsidR="00A14090" w:rsidRPr="00A30463">
        <w:rPr>
          <w:szCs w:val="24"/>
        </w:rPr>
        <w:instrText>"}</w:instrText>
      </w:r>
      <w:r w:rsidR="002A7543" w:rsidRPr="00805C9F">
        <w:rPr>
          <w:szCs w:val="24"/>
          <w:lang w:val="en-US"/>
        </w:rPr>
        <w:fldChar w:fldCharType="separate"/>
      </w:r>
      <w:r w:rsidR="00500F37" w:rsidRPr="00500F37">
        <w:rPr>
          <w:noProof/>
          <w:szCs w:val="24"/>
        </w:rPr>
        <w:t>[63,64,67,74,77,78]</w:t>
      </w:r>
      <w:r w:rsidR="002A7543" w:rsidRPr="00805C9F">
        <w:rPr>
          <w:szCs w:val="24"/>
          <w:lang w:val="en-US"/>
        </w:rPr>
        <w:fldChar w:fldCharType="end"/>
      </w:r>
    </w:p>
    <w:p w14:paraId="3F9F8A4A" w14:textId="1AF86837" w:rsidR="004B0830" w:rsidRPr="00805C9F" w:rsidRDefault="004B0830" w:rsidP="002A7543">
      <w:pPr>
        <w:pStyle w:val="a6"/>
        <w:spacing w:before="0" w:after="0"/>
        <w:ind w:left="0"/>
        <w:rPr>
          <w:b/>
          <w:szCs w:val="24"/>
        </w:rPr>
      </w:pPr>
      <w:r w:rsidRPr="00805C9F">
        <w:rPr>
          <w:b/>
          <w:szCs w:val="24"/>
        </w:rPr>
        <w:lastRenderedPageBreak/>
        <w:t xml:space="preserve">Уровень убедительности рекомендаций − </w:t>
      </w:r>
      <w:r w:rsidR="0070528E" w:rsidRPr="00805C9F">
        <w:rPr>
          <w:b/>
          <w:szCs w:val="24"/>
        </w:rPr>
        <w:t>В</w:t>
      </w:r>
      <w:r w:rsidRPr="00805C9F">
        <w:rPr>
          <w:b/>
          <w:szCs w:val="24"/>
        </w:rPr>
        <w:t xml:space="preserve"> (уровень достоверности доказательств − </w:t>
      </w:r>
      <w:r w:rsidR="0070528E" w:rsidRPr="00805C9F">
        <w:rPr>
          <w:b/>
          <w:szCs w:val="24"/>
        </w:rPr>
        <w:t>1</w:t>
      </w:r>
      <w:r w:rsidRPr="00805C9F">
        <w:rPr>
          <w:b/>
          <w:szCs w:val="24"/>
        </w:rPr>
        <w:t>)</w:t>
      </w:r>
    </w:p>
    <w:p w14:paraId="375698E7" w14:textId="4DA8AF31" w:rsidR="0084190C" w:rsidRPr="00805C9F" w:rsidRDefault="004B0830" w:rsidP="00092917">
      <w:pPr>
        <w:pStyle w:val="a6"/>
        <w:spacing w:before="0" w:after="0"/>
        <w:ind w:left="0"/>
        <w:rPr>
          <w:i/>
          <w:szCs w:val="24"/>
        </w:rPr>
      </w:pPr>
      <w:r w:rsidRPr="00805C9F">
        <w:rPr>
          <w:i/>
          <w:szCs w:val="24"/>
        </w:rPr>
        <w:t xml:space="preserve">Комментарий: </w:t>
      </w:r>
      <w:r w:rsidR="0084190C" w:rsidRPr="00805C9F">
        <w:rPr>
          <w:i/>
          <w:szCs w:val="24"/>
        </w:rPr>
        <w:t xml:space="preserve">Выбор терапии рецидива зависит от эффективности предшествующей линии терапии, клинических особенностей пациента (наличие полинейропатии, тромбозы в анамнезе и др.), а также от предпочтений и опыта центра и лечащего врача. </w:t>
      </w:r>
      <w:r w:rsidR="002B762F" w:rsidRPr="00805C9F">
        <w:rPr>
          <w:i/>
          <w:szCs w:val="24"/>
        </w:rPr>
        <w:t>М</w:t>
      </w:r>
      <w:r w:rsidR="0084190C" w:rsidRPr="00805C9F">
        <w:rPr>
          <w:i/>
          <w:szCs w:val="24"/>
        </w:rPr>
        <w:t xml:space="preserve">огут применяться следующие варианты лечения (описание режимов – см. приложение А3.1.) </w:t>
      </w:r>
      <w:r w:rsidR="002A7543" w:rsidRPr="00805C9F">
        <w:rPr>
          <w:i/>
          <w:szCs w:val="24"/>
          <w:lang w:val="en-US"/>
        </w:rPr>
        <w:fldChar w:fldCharType="begin" w:fldLock="1"/>
      </w:r>
      <w:r w:rsidR="00A14090">
        <w:rPr>
          <w:i/>
          <w:szCs w:val="24"/>
          <w:lang w:val="en-US"/>
        </w:rPr>
        <w:instrText>ADDIN</w:instrText>
      </w:r>
      <w:r w:rsidR="00A14090" w:rsidRPr="00A14090">
        <w:rPr>
          <w:i/>
          <w:szCs w:val="24"/>
        </w:rPr>
        <w:instrText xml:space="preserve"> </w:instrText>
      </w:r>
      <w:r w:rsidR="00A14090">
        <w:rPr>
          <w:i/>
          <w:szCs w:val="24"/>
          <w:lang w:val="en-US"/>
        </w:rPr>
        <w:instrText>CSL</w:instrText>
      </w:r>
      <w:r w:rsidR="00A14090" w:rsidRPr="00A14090">
        <w:rPr>
          <w:i/>
          <w:szCs w:val="24"/>
        </w:rPr>
        <w:instrText>_</w:instrText>
      </w:r>
      <w:r w:rsidR="00A14090">
        <w:rPr>
          <w:i/>
          <w:szCs w:val="24"/>
          <w:lang w:val="en-US"/>
        </w:rPr>
        <w:instrText>CITATION</w:instrText>
      </w:r>
      <w:r w:rsidR="00A14090" w:rsidRPr="00A14090">
        <w:rPr>
          <w:i/>
          <w:szCs w:val="24"/>
        </w:rPr>
        <w:instrText xml:space="preserve"> {"</w:instrText>
      </w:r>
      <w:r w:rsidR="00A14090">
        <w:rPr>
          <w:i/>
          <w:szCs w:val="24"/>
          <w:lang w:val="en-US"/>
        </w:rPr>
        <w:instrText>citationItems</w:instrText>
      </w:r>
      <w:r w:rsidR="00A14090" w:rsidRPr="00A14090">
        <w:rPr>
          <w:i/>
          <w:szCs w:val="24"/>
        </w:rPr>
        <w:instrText>":[{"</w:instrText>
      </w:r>
      <w:r w:rsidR="00A14090">
        <w:rPr>
          <w:i/>
          <w:szCs w:val="24"/>
          <w:lang w:val="en-US"/>
        </w:rPr>
        <w:instrText>id</w:instrText>
      </w:r>
      <w:r w:rsidR="00A14090" w:rsidRPr="00A14090">
        <w:rPr>
          <w:i/>
          <w:szCs w:val="24"/>
        </w:rPr>
        <w:instrText>":"</w:instrText>
      </w:r>
      <w:r w:rsidR="00A14090">
        <w:rPr>
          <w:i/>
          <w:szCs w:val="24"/>
          <w:lang w:val="en-US"/>
        </w:rPr>
        <w:instrText>ITEM</w:instrText>
      </w:r>
      <w:r w:rsidR="00A14090" w:rsidRPr="00A14090">
        <w:rPr>
          <w:i/>
          <w:szCs w:val="24"/>
        </w:rPr>
        <w:instrText>-1","</w:instrText>
      </w:r>
      <w:r w:rsidR="00A14090">
        <w:rPr>
          <w:i/>
          <w:szCs w:val="24"/>
          <w:lang w:val="en-US"/>
        </w:rPr>
        <w:instrText>itemData</w:instrText>
      </w:r>
      <w:r w:rsidR="00A14090" w:rsidRPr="00A14090">
        <w:rPr>
          <w:i/>
          <w:szCs w:val="24"/>
        </w:rPr>
        <w:instrText>":{"</w:instrText>
      </w:r>
      <w:r w:rsidR="00A14090">
        <w:rPr>
          <w:i/>
          <w:szCs w:val="24"/>
          <w:lang w:val="en-US"/>
        </w:rPr>
        <w:instrText>DOI</w:instrText>
      </w:r>
      <w:r w:rsidR="00A14090" w:rsidRPr="00A14090">
        <w:rPr>
          <w:i/>
          <w:szCs w:val="24"/>
        </w:rPr>
        <w:instrText>":"10.1002/</w:instrText>
      </w:r>
      <w:r w:rsidR="00A14090">
        <w:rPr>
          <w:i/>
          <w:szCs w:val="24"/>
          <w:lang w:val="en-US"/>
        </w:rPr>
        <w:instrText>cncr</w:instrText>
      </w:r>
      <w:r w:rsidR="00A14090" w:rsidRPr="00A14090">
        <w:rPr>
          <w:i/>
          <w:szCs w:val="24"/>
        </w:rPr>
        <w:instrText>.31680","</w:instrText>
      </w:r>
      <w:r w:rsidR="00A14090">
        <w:rPr>
          <w:i/>
          <w:szCs w:val="24"/>
          <w:lang w:val="en-US"/>
        </w:rPr>
        <w:instrText>ISSN</w:instrText>
      </w:r>
      <w:r w:rsidR="00A14090" w:rsidRPr="00A14090">
        <w:rPr>
          <w:i/>
          <w:szCs w:val="24"/>
        </w:rPr>
        <w:instrText>":"10970142","</w:instrText>
      </w:r>
      <w:r w:rsidR="00A14090">
        <w:rPr>
          <w:i/>
          <w:szCs w:val="24"/>
          <w:lang w:val="en-US"/>
        </w:rPr>
        <w:instrText>PMID</w:instrText>
      </w:r>
      <w:r w:rsidR="00A14090" w:rsidRPr="00A14090">
        <w:rPr>
          <w:i/>
          <w:szCs w:val="24"/>
        </w:rPr>
        <w:instrText>":"30204239","</w:instrText>
      </w:r>
      <w:r w:rsidR="00A14090">
        <w:rPr>
          <w:i/>
          <w:szCs w:val="24"/>
          <w:lang w:val="en-US"/>
        </w:rPr>
        <w:instrText>abstract</w:instrText>
      </w:r>
      <w:r w:rsidR="00A14090" w:rsidRPr="00A14090">
        <w:rPr>
          <w:i/>
          <w:szCs w:val="24"/>
        </w:rPr>
        <w:instrText>":"</w:instrText>
      </w:r>
      <w:r w:rsidR="00A14090">
        <w:rPr>
          <w:i/>
          <w:szCs w:val="24"/>
          <w:lang w:val="en-US"/>
        </w:rPr>
        <w:instrText>Background</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randomized</w:instrText>
      </w:r>
      <w:r w:rsidR="00A14090" w:rsidRPr="00A14090">
        <w:rPr>
          <w:i/>
          <w:szCs w:val="24"/>
        </w:rPr>
        <w:instrText xml:space="preserve"> </w:instrText>
      </w:r>
      <w:r w:rsidR="00A14090">
        <w:rPr>
          <w:i/>
          <w:szCs w:val="24"/>
          <w:lang w:val="en-US"/>
        </w:rPr>
        <w:instrText>phase</w:instrText>
      </w:r>
      <w:r w:rsidR="00A14090" w:rsidRPr="00A14090">
        <w:rPr>
          <w:i/>
          <w:szCs w:val="24"/>
        </w:rPr>
        <w:instrText xml:space="preserve"> 3 </w:instrText>
      </w:r>
      <w:r w:rsidR="00A14090">
        <w:rPr>
          <w:i/>
          <w:szCs w:val="24"/>
          <w:lang w:val="en-US"/>
        </w:rPr>
        <w:instrText>ELOQUENT</w:instrText>
      </w:r>
      <w:r w:rsidR="00A14090" w:rsidRPr="00A14090">
        <w:rPr>
          <w:i/>
          <w:szCs w:val="24"/>
        </w:rPr>
        <w:instrText xml:space="preserve">-2 </w:instrText>
      </w:r>
      <w:r w:rsidR="00A14090">
        <w:rPr>
          <w:i/>
          <w:szCs w:val="24"/>
          <w:lang w:val="en-US"/>
        </w:rPr>
        <w:instrText>study</w:instrText>
      </w:r>
      <w:r w:rsidR="00A14090" w:rsidRPr="00A14090">
        <w:rPr>
          <w:i/>
          <w:szCs w:val="24"/>
        </w:rPr>
        <w:instrText xml:space="preserve"> (</w:instrText>
      </w:r>
      <w:r w:rsidR="00A14090">
        <w:rPr>
          <w:i/>
          <w:szCs w:val="24"/>
          <w:lang w:val="en-US"/>
        </w:rPr>
        <w:instrText>NCT</w:instrText>
      </w:r>
      <w:r w:rsidR="00A14090" w:rsidRPr="00A14090">
        <w:rPr>
          <w:i/>
          <w:szCs w:val="24"/>
        </w:rPr>
        <w:instrText xml:space="preserve">01239797) </w:instrText>
      </w:r>
      <w:r w:rsidR="00A14090">
        <w:rPr>
          <w:i/>
          <w:szCs w:val="24"/>
          <w:lang w:val="en-US"/>
        </w:rPr>
        <w:instrText>evaluated</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efficacy</w:instrText>
      </w:r>
      <w:r w:rsidR="00A14090" w:rsidRPr="00A14090">
        <w:rPr>
          <w:i/>
          <w:szCs w:val="24"/>
        </w:rPr>
        <w:instrText xml:space="preserve"> </w:instrText>
      </w:r>
      <w:r w:rsidR="00A14090">
        <w:rPr>
          <w:i/>
          <w:szCs w:val="24"/>
          <w:lang w:val="en-US"/>
        </w:rPr>
        <w:instrText>and</w:instrText>
      </w:r>
      <w:r w:rsidR="00A14090" w:rsidRPr="00A14090">
        <w:rPr>
          <w:i/>
          <w:szCs w:val="24"/>
        </w:rPr>
        <w:instrText xml:space="preserve"> </w:instrText>
      </w:r>
      <w:r w:rsidR="00A14090">
        <w:rPr>
          <w:i/>
          <w:szCs w:val="24"/>
          <w:lang w:val="en-US"/>
        </w:rPr>
        <w:instrText>safety</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elotuzumab</w:instrText>
      </w:r>
      <w:r w:rsidR="00A14090" w:rsidRPr="00A14090">
        <w:rPr>
          <w:i/>
          <w:szCs w:val="24"/>
        </w:rPr>
        <w:instrText xml:space="preserve"> </w:instrText>
      </w:r>
      <w:r w:rsidR="00A14090">
        <w:rPr>
          <w:i/>
          <w:szCs w:val="24"/>
          <w:lang w:val="en-US"/>
        </w:rPr>
        <w:instrText>plus</w:instrText>
      </w:r>
      <w:r w:rsidR="00A14090" w:rsidRPr="00A14090">
        <w:rPr>
          <w:i/>
          <w:szCs w:val="24"/>
        </w:rPr>
        <w:instrText xml:space="preserve"> </w:instrText>
      </w:r>
      <w:r w:rsidR="00A14090">
        <w:rPr>
          <w:i/>
          <w:szCs w:val="24"/>
          <w:lang w:val="en-US"/>
        </w:rPr>
        <w:instrText>lenalidomide</w:instrText>
      </w:r>
      <w:r w:rsidR="00A14090" w:rsidRPr="00A14090">
        <w:rPr>
          <w:i/>
          <w:szCs w:val="24"/>
        </w:rPr>
        <w:instrText xml:space="preserve"> </w:instrText>
      </w:r>
      <w:r w:rsidR="00A14090">
        <w:rPr>
          <w:i/>
          <w:szCs w:val="24"/>
          <w:lang w:val="en-US"/>
        </w:rPr>
        <w:instrText>and</w:instrText>
      </w:r>
      <w:r w:rsidR="00A14090" w:rsidRPr="00A14090">
        <w:rPr>
          <w:i/>
          <w:szCs w:val="24"/>
        </w:rPr>
        <w:instrText xml:space="preserve"> </w:instrText>
      </w:r>
      <w:r w:rsidR="00A14090">
        <w:rPr>
          <w:i/>
          <w:szCs w:val="24"/>
          <w:lang w:val="en-US"/>
        </w:rPr>
        <w:instrText>dexamethasone</w:instrText>
      </w:r>
      <w:r w:rsidR="00A14090" w:rsidRPr="00A14090">
        <w:rPr>
          <w:i/>
          <w:szCs w:val="24"/>
        </w:rPr>
        <w:instrText xml:space="preserve"> (</w:instrText>
      </w:r>
      <w:r w:rsidR="00A14090">
        <w:rPr>
          <w:i/>
          <w:szCs w:val="24"/>
          <w:lang w:val="en-US"/>
        </w:rPr>
        <w:instrText>ELd</w:instrText>
      </w:r>
      <w:r w:rsidR="00A14090" w:rsidRPr="00A14090">
        <w:rPr>
          <w:i/>
          <w:szCs w:val="24"/>
        </w:rPr>
        <w:instrText xml:space="preserve">) </w:instrText>
      </w:r>
      <w:r w:rsidR="00A14090">
        <w:rPr>
          <w:i/>
          <w:szCs w:val="24"/>
          <w:lang w:val="en-US"/>
        </w:rPr>
        <w:instrText>versus</w:instrText>
      </w:r>
      <w:r w:rsidR="00A14090" w:rsidRPr="00A14090">
        <w:rPr>
          <w:i/>
          <w:szCs w:val="24"/>
        </w:rPr>
        <w:instrText xml:space="preserve"> </w:instrText>
      </w:r>
      <w:r w:rsidR="00A14090">
        <w:rPr>
          <w:i/>
          <w:szCs w:val="24"/>
          <w:lang w:val="en-US"/>
        </w:rPr>
        <w:instrText>lenalidomide</w:instrText>
      </w:r>
      <w:r w:rsidR="00A14090" w:rsidRPr="00A14090">
        <w:rPr>
          <w:i/>
          <w:szCs w:val="24"/>
        </w:rPr>
        <w:instrText xml:space="preserve"> </w:instrText>
      </w:r>
      <w:r w:rsidR="00A14090">
        <w:rPr>
          <w:i/>
          <w:szCs w:val="24"/>
          <w:lang w:val="en-US"/>
        </w:rPr>
        <w:instrText>and</w:instrText>
      </w:r>
      <w:r w:rsidR="00A14090" w:rsidRPr="00A14090">
        <w:rPr>
          <w:i/>
          <w:szCs w:val="24"/>
        </w:rPr>
        <w:instrText xml:space="preserve"> </w:instrText>
      </w:r>
      <w:r w:rsidR="00A14090">
        <w:rPr>
          <w:i/>
          <w:szCs w:val="24"/>
          <w:lang w:val="en-US"/>
        </w:rPr>
        <w:instrText>dexamethasone</w:instrText>
      </w:r>
      <w:r w:rsidR="00A14090" w:rsidRPr="00A14090">
        <w:rPr>
          <w:i/>
          <w:szCs w:val="24"/>
        </w:rPr>
        <w:instrText xml:space="preserve"> (</w:instrText>
      </w:r>
      <w:r w:rsidR="00A14090">
        <w:rPr>
          <w:i/>
          <w:szCs w:val="24"/>
          <w:lang w:val="en-US"/>
        </w:rPr>
        <w:instrText>Ld</w:instrText>
      </w:r>
      <w:r w:rsidR="00A14090" w:rsidRPr="00A14090">
        <w:rPr>
          <w:i/>
          <w:szCs w:val="24"/>
        </w:rPr>
        <w:instrText xml:space="preserve">) </w:instrText>
      </w:r>
      <w:r w:rsidR="00A14090">
        <w:rPr>
          <w:i/>
          <w:szCs w:val="24"/>
          <w:lang w:val="en-US"/>
        </w:rPr>
        <w:instrText>in</w:instrText>
      </w:r>
      <w:r w:rsidR="00A14090" w:rsidRPr="00A14090">
        <w:rPr>
          <w:i/>
          <w:szCs w:val="24"/>
        </w:rPr>
        <w:instrText xml:space="preserve"> </w:instrText>
      </w:r>
      <w:r w:rsidR="00A14090">
        <w:rPr>
          <w:i/>
          <w:szCs w:val="24"/>
          <w:lang w:val="en-US"/>
        </w:rPr>
        <w:instrText>relapsed</w:instrText>
      </w:r>
      <w:r w:rsidR="00A14090" w:rsidRPr="00A14090">
        <w:rPr>
          <w:i/>
          <w:szCs w:val="24"/>
        </w:rPr>
        <w:instrText>/</w:instrText>
      </w:r>
      <w:r w:rsidR="00A14090">
        <w:rPr>
          <w:i/>
          <w:szCs w:val="24"/>
          <w:lang w:val="en-US"/>
        </w:rPr>
        <w:instrText>refractory</w:instrText>
      </w:r>
      <w:r w:rsidR="00A14090" w:rsidRPr="00A14090">
        <w:rPr>
          <w:i/>
          <w:szCs w:val="24"/>
        </w:rPr>
        <w:instrText xml:space="preserve"> </w:instrText>
      </w:r>
      <w:r w:rsidR="00A14090">
        <w:rPr>
          <w:i/>
          <w:szCs w:val="24"/>
          <w:lang w:val="en-US"/>
        </w:rPr>
        <w:instrText>multiple</w:instrText>
      </w:r>
      <w:r w:rsidR="00A14090" w:rsidRPr="00A14090">
        <w:rPr>
          <w:i/>
          <w:szCs w:val="24"/>
        </w:rPr>
        <w:instrText xml:space="preserve"> </w:instrText>
      </w:r>
      <w:r w:rsidR="00A14090">
        <w:rPr>
          <w:i/>
          <w:szCs w:val="24"/>
          <w:lang w:val="en-US"/>
        </w:rPr>
        <w:instrText>myeloma</w:instrText>
      </w:r>
      <w:r w:rsidR="00A14090" w:rsidRPr="00A14090">
        <w:rPr>
          <w:i/>
          <w:szCs w:val="24"/>
        </w:rPr>
        <w:instrText xml:space="preserve"> (</w:instrText>
      </w:r>
      <w:r w:rsidR="00A14090">
        <w:rPr>
          <w:i/>
          <w:szCs w:val="24"/>
          <w:lang w:val="en-US"/>
        </w:rPr>
        <w:instrText>RRMM</w:instrText>
      </w:r>
      <w:r w:rsidR="00A14090" w:rsidRPr="00A14090">
        <w:rPr>
          <w:i/>
          <w:szCs w:val="24"/>
        </w:rPr>
        <w:instrText xml:space="preserve">), </w:instrText>
      </w:r>
      <w:r w:rsidR="00A14090">
        <w:rPr>
          <w:i/>
          <w:szCs w:val="24"/>
          <w:lang w:val="en-US"/>
        </w:rPr>
        <w:instrText>and</w:instrText>
      </w:r>
      <w:r w:rsidR="00A14090" w:rsidRPr="00A14090">
        <w:rPr>
          <w:i/>
          <w:szCs w:val="24"/>
        </w:rPr>
        <w:instrText xml:space="preserve"> </w:instrText>
      </w:r>
      <w:r w:rsidR="00A14090">
        <w:rPr>
          <w:i/>
          <w:szCs w:val="24"/>
          <w:lang w:val="en-US"/>
        </w:rPr>
        <w:instrText>to</w:instrText>
      </w:r>
      <w:r w:rsidR="00A14090" w:rsidRPr="00A14090">
        <w:rPr>
          <w:i/>
          <w:szCs w:val="24"/>
        </w:rPr>
        <w:instrText xml:space="preserve"> </w:instrText>
      </w:r>
      <w:r w:rsidR="00A14090">
        <w:rPr>
          <w:i/>
          <w:szCs w:val="24"/>
          <w:lang w:val="en-US"/>
        </w:rPr>
        <w:instrText>date</w:instrText>
      </w:r>
      <w:r w:rsidR="00A14090" w:rsidRPr="00A14090">
        <w:rPr>
          <w:i/>
          <w:szCs w:val="24"/>
        </w:rPr>
        <w:instrText xml:space="preserve">, </w:instrText>
      </w:r>
      <w:r w:rsidR="00A14090">
        <w:rPr>
          <w:i/>
          <w:szCs w:val="24"/>
          <w:lang w:val="en-US"/>
        </w:rPr>
        <w:instrText>has</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longest</w:instrText>
      </w:r>
      <w:r w:rsidR="00A14090" w:rsidRPr="00A14090">
        <w:rPr>
          <w:i/>
          <w:szCs w:val="24"/>
        </w:rPr>
        <w:instrText xml:space="preserve"> </w:instrText>
      </w:r>
      <w:r w:rsidR="00A14090">
        <w:rPr>
          <w:i/>
          <w:szCs w:val="24"/>
          <w:lang w:val="en-US"/>
        </w:rPr>
        <w:instrText>follow</w:instrText>
      </w:r>
      <w:r w:rsidR="00A14090" w:rsidRPr="00A14090">
        <w:rPr>
          <w:i/>
          <w:szCs w:val="24"/>
        </w:rPr>
        <w:instrText>-</w:instrText>
      </w:r>
      <w:r w:rsidR="00A14090">
        <w:rPr>
          <w:i/>
          <w:szCs w:val="24"/>
          <w:lang w:val="en-US"/>
        </w:rPr>
        <w:instrText>up</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any</w:instrText>
      </w:r>
      <w:r w:rsidR="00A14090" w:rsidRPr="00A14090">
        <w:rPr>
          <w:i/>
          <w:szCs w:val="24"/>
        </w:rPr>
        <w:instrText xml:space="preserve"> </w:instrText>
      </w:r>
      <w:r w:rsidR="00A14090">
        <w:rPr>
          <w:i/>
          <w:szCs w:val="24"/>
          <w:lang w:val="en-US"/>
        </w:rPr>
        <w:instrText>monoclonal</w:instrText>
      </w:r>
      <w:r w:rsidR="00A14090" w:rsidRPr="00A14090">
        <w:rPr>
          <w:i/>
          <w:szCs w:val="24"/>
        </w:rPr>
        <w:instrText xml:space="preserve"> </w:instrText>
      </w:r>
      <w:r w:rsidR="00A14090">
        <w:rPr>
          <w:i/>
          <w:szCs w:val="24"/>
          <w:lang w:val="en-US"/>
        </w:rPr>
        <w:instrText>antibody</w:instrText>
      </w:r>
      <w:r w:rsidR="00A14090" w:rsidRPr="00A14090">
        <w:rPr>
          <w:i/>
          <w:szCs w:val="24"/>
        </w:rPr>
        <w:instrText xml:space="preserve"> </w:instrText>
      </w:r>
      <w:r w:rsidR="00A14090">
        <w:rPr>
          <w:i/>
          <w:szCs w:val="24"/>
          <w:lang w:val="en-US"/>
        </w:rPr>
        <w:instrText>in</w:instrText>
      </w:r>
      <w:r w:rsidR="00A14090" w:rsidRPr="00A14090">
        <w:rPr>
          <w:i/>
          <w:szCs w:val="24"/>
        </w:rPr>
        <w:instrText xml:space="preserve"> </w:instrText>
      </w:r>
      <w:r w:rsidR="00A14090">
        <w:rPr>
          <w:i/>
          <w:szCs w:val="24"/>
          <w:lang w:val="en-US"/>
        </w:rPr>
        <w:instrText>patients</w:instrText>
      </w:r>
      <w:r w:rsidR="00A14090" w:rsidRPr="00A14090">
        <w:rPr>
          <w:i/>
          <w:szCs w:val="24"/>
        </w:rPr>
        <w:instrText xml:space="preserve"> </w:instrText>
      </w:r>
      <w:r w:rsidR="00A14090">
        <w:rPr>
          <w:i/>
          <w:szCs w:val="24"/>
          <w:lang w:val="en-US"/>
        </w:rPr>
        <w:instrText>with</w:instrText>
      </w:r>
      <w:r w:rsidR="00A14090" w:rsidRPr="00A14090">
        <w:rPr>
          <w:i/>
          <w:szCs w:val="24"/>
        </w:rPr>
        <w:instrText xml:space="preserve"> </w:instrText>
      </w:r>
      <w:r w:rsidR="00A14090">
        <w:rPr>
          <w:i/>
          <w:szCs w:val="24"/>
          <w:lang w:val="en-US"/>
        </w:rPr>
        <w:instrText>RRMM</w:instrText>
      </w:r>
      <w:r w:rsidR="00A14090" w:rsidRPr="00A14090">
        <w:rPr>
          <w:i/>
          <w:szCs w:val="24"/>
        </w:rPr>
        <w:instrText xml:space="preserve">. </w:instrText>
      </w:r>
      <w:r w:rsidR="00A14090">
        <w:rPr>
          <w:i/>
          <w:szCs w:val="24"/>
          <w:lang w:val="en-US"/>
        </w:rPr>
        <w:instrText>Methods</w:instrText>
      </w:r>
      <w:r w:rsidR="00A14090" w:rsidRPr="00A14090">
        <w:rPr>
          <w:i/>
          <w:szCs w:val="24"/>
        </w:rPr>
        <w:instrText xml:space="preserve">: </w:instrText>
      </w:r>
      <w:r w:rsidR="00A14090">
        <w:rPr>
          <w:i/>
          <w:szCs w:val="24"/>
          <w:lang w:val="en-US"/>
        </w:rPr>
        <w:instrText>In</w:instrText>
      </w:r>
      <w:r w:rsidR="00A14090" w:rsidRPr="00A14090">
        <w:rPr>
          <w:i/>
          <w:szCs w:val="24"/>
        </w:rPr>
        <w:instrText xml:space="preserve"> </w:instrText>
      </w:r>
      <w:r w:rsidR="00A14090">
        <w:rPr>
          <w:i/>
          <w:szCs w:val="24"/>
          <w:lang w:val="en-US"/>
        </w:rPr>
        <w:instrText>this</w:instrText>
      </w:r>
      <w:r w:rsidR="00A14090" w:rsidRPr="00A14090">
        <w:rPr>
          <w:i/>
          <w:szCs w:val="24"/>
        </w:rPr>
        <w:instrText xml:space="preserve"> </w:instrText>
      </w:r>
      <w:r w:rsidR="00A14090">
        <w:rPr>
          <w:i/>
          <w:szCs w:val="24"/>
          <w:lang w:val="en-US"/>
        </w:rPr>
        <w:instrText>extended</w:instrText>
      </w:r>
      <w:r w:rsidR="00A14090" w:rsidRPr="00A14090">
        <w:rPr>
          <w:i/>
          <w:szCs w:val="24"/>
        </w:rPr>
        <w:instrText xml:space="preserve"> 4-</w:instrText>
      </w:r>
      <w:r w:rsidR="00A14090">
        <w:rPr>
          <w:i/>
          <w:szCs w:val="24"/>
          <w:lang w:val="en-US"/>
        </w:rPr>
        <w:instrText>year</w:instrText>
      </w:r>
      <w:r w:rsidR="00A14090" w:rsidRPr="00A14090">
        <w:rPr>
          <w:i/>
          <w:szCs w:val="24"/>
        </w:rPr>
        <w:instrText xml:space="preserve"> </w:instrText>
      </w:r>
      <w:r w:rsidR="00A14090">
        <w:rPr>
          <w:i/>
          <w:szCs w:val="24"/>
          <w:lang w:val="en-US"/>
        </w:rPr>
        <w:instrText>follow</w:instrText>
      </w:r>
      <w:r w:rsidR="00A14090" w:rsidRPr="00A14090">
        <w:rPr>
          <w:i/>
          <w:szCs w:val="24"/>
        </w:rPr>
        <w:instrText>-</w:instrText>
      </w:r>
      <w:r w:rsidR="00A14090">
        <w:rPr>
          <w:i/>
          <w:szCs w:val="24"/>
          <w:lang w:val="en-US"/>
        </w:rPr>
        <w:instrText>up</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ELOQUENT</w:instrText>
      </w:r>
      <w:r w:rsidR="00A14090" w:rsidRPr="00A14090">
        <w:rPr>
          <w:i/>
          <w:szCs w:val="24"/>
        </w:rPr>
        <w:instrText xml:space="preserve">-2 </w:instrText>
      </w:r>
      <w:r w:rsidR="00A14090">
        <w:rPr>
          <w:i/>
          <w:szCs w:val="24"/>
          <w:lang w:val="en-US"/>
        </w:rPr>
        <w:instrText>trial</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coprimary</w:instrText>
      </w:r>
      <w:r w:rsidR="00A14090" w:rsidRPr="00A14090">
        <w:rPr>
          <w:i/>
          <w:szCs w:val="24"/>
        </w:rPr>
        <w:instrText xml:space="preserve"> </w:instrText>
      </w:r>
      <w:r w:rsidR="00A14090">
        <w:rPr>
          <w:i/>
          <w:szCs w:val="24"/>
          <w:lang w:val="en-US"/>
        </w:rPr>
        <w:instrText>endpoints</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progression</w:instrText>
      </w:r>
      <w:r w:rsidR="00A14090" w:rsidRPr="00A14090">
        <w:rPr>
          <w:i/>
          <w:szCs w:val="24"/>
        </w:rPr>
        <w:instrText>-</w:instrText>
      </w:r>
      <w:r w:rsidR="00A14090">
        <w:rPr>
          <w:i/>
          <w:szCs w:val="24"/>
          <w:lang w:val="en-US"/>
        </w:rPr>
        <w:instrText>free</w:instrText>
      </w:r>
      <w:r w:rsidR="00A14090" w:rsidRPr="00A14090">
        <w:rPr>
          <w:i/>
          <w:szCs w:val="24"/>
        </w:rPr>
        <w:instrText xml:space="preserve"> </w:instrText>
      </w:r>
      <w:r w:rsidR="00A14090">
        <w:rPr>
          <w:i/>
          <w:szCs w:val="24"/>
          <w:lang w:val="en-US"/>
        </w:rPr>
        <w:instrText>survival</w:instrText>
      </w:r>
      <w:r w:rsidR="00A14090" w:rsidRPr="00A14090">
        <w:rPr>
          <w:i/>
          <w:szCs w:val="24"/>
        </w:rPr>
        <w:instrText xml:space="preserve"> (</w:instrText>
      </w:r>
      <w:r w:rsidR="00A14090">
        <w:rPr>
          <w:i/>
          <w:szCs w:val="24"/>
          <w:lang w:val="en-US"/>
        </w:rPr>
        <w:instrText>PFS</w:instrText>
      </w:r>
      <w:r w:rsidR="00A14090" w:rsidRPr="00A14090">
        <w:rPr>
          <w:i/>
          <w:szCs w:val="24"/>
        </w:rPr>
        <w:instrText xml:space="preserve">) </w:instrText>
      </w:r>
      <w:r w:rsidR="00A14090">
        <w:rPr>
          <w:i/>
          <w:szCs w:val="24"/>
          <w:lang w:val="en-US"/>
        </w:rPr>
        <w:instrText>and</w:instrText>
      </w:r>
      <w:r w:rsidR="00A14090" w:rsidRPr="00A14090">
        <w:rPr>
          <w:i/>
          <w:szCs w:val="24"/>
        </w:rPr>
        <w:instrText xml:space="preserve"> </w:instrText>
      </w:r>
      <w:r w:rsidR="00A14090">
        <w:rPr>
          <w:i/>
          <w:szCs w:val="24"/>
          <w:lang w:val="en-US"/>
        </w:rPr>
        <w:instrText>overall</w:instrText>
      </w:r>
      <w:r w:rsidR="00A14090" w:rsidRPr="00A14090">
        <w:rPr>
          <w:i/>
          <w:szCs w:val="24"/>
        </w:rPr>
        <w:instrText xml:space="preserve"> </w:instrText>
      </w:r>
      <w:r w:rsidR="00A14090">
        <w:rPr>
          <w:i/>
          <w:szCs w:val="24"/>
          <w:lang w:val="en-US"/>
        </w:rPr>
        <w:instrText>response</w:instrText>
      </w:r>
      <w:r w:rsidR="00A14090" w:rsidRPr="00A14090">
        <w:rPr>
          <w:i/>
          <w:szCs w:val="24"/>
        </w:rPr>
        <w:instrText xml:space="preserve"> </w:instrText>
      </w:r>
      <w:r w:rsidR="00A14090">
        <w:rPr>
          <w:i/>
          <w:szCs w:val="24"/>
          <w:lang w:val="en-US"/>
        </w:rPr>
        <w:instrText>rate</w:instrText>
      </w:r>
      <w:r w:rsidR="00A14090" w:rsidRPr="00A14090">
        <w:rPr>
          <w:i/>
          <w:szCs w:val="24"/>
        </w:rPr>
        <w:instrText xml:space="preserve"> </w:instrText>
      </w:r>
      <w:r w:rsidR="00A14090">
        <w:rPr>
          <w:i/>
          <w:szCs w:val="24"/>
          <w:lang w:val="en-US"/>
        </w:rPr>
        <w:instrText>as</w:instrText>
      </w:r>
      <w:r w:rsidR="00A14090" w:rsidRPr="00A14090">
        <w:rPr>
          <w:i/>
          <w:szCs w:val="24"/>
        </w:rPr>
        <w:instrText xml:space="preserve"> </w:instrText>
      </w:r>
      <w:r w:rsidR="00A14090">
        <w:rPr>
          <w:i/>
          <w:szCs w:val="24"/>
          <w:lang w:val="en-US"/>
        </w:rPr>
        <w:instrText>well</w:instrText>
      </w:r>
      <w:r w:rsidR="00A14090" w:rsidRPr="00A14090">
        <w:rPr>
          <w:i/>
          <w:szCs w:val="24"/>
        </w:rPr>
        <w:instrText xml:space="preserve"> </w:instrText>
      </w:r>
      <w:r w:rsidR="00A14090">
        <w:rPr>
          <w:i/>
          <w:szCs w:val="24"/>
          <w:lang w:val="en-US"/>
        </w:rPr>
        <w:instrText>as</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secondary</w:instrText>
      </w:r>
      <w:r w:rsidR="00A14090" w:rsidRPr="00A14090">
        <w:rPr>
          <w:i/>
          <w:szCs w:val="24"/>
        </w:rPr>
        <w:instrText xml:space="preserve"> </w:instrText>
      </w:r>
      <w:r w:rsidR="00A14090">
        <w:rPr>
          <w:i/>
          <w:szCs w:val="24"/>
          <w:lang w:val="en-US"/>
        </w:rPr>
        <w:instrText>endpoint</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overall</w:instrText>
      </w:r>
      <w:r w:rsidR="00A14090" w:rsidRPr="00A14090">
        <w:rPr>
          <w:i/>
          <w:szCs w:val="24"/>
        </w:rPr>
        <w:instrText xml:space="preserve"> </w:instrText>
      </w:r>
      <w:r w:rsidR="00A14090">
        <w:rPr>
          <w:i/>
          <w:szCs w:val="24"/>
          <w:lang w:val="en-US"/>
        </w:rPr>
        <w:instrText>survival</w:instrText>
      </w:r>
      <w:r w:rsidR="00A14090" w:rsidRPr="00A14090">
        <w:rPr>
          <w:i/>
          <w:szCs w:val="24"/>
        </w:rPr>
        <w:instrText xml:space="preserve"> </w:instrText>
      </w:r>
      <w:r w:rsidR="00A14090">
        <w:rPr>
          <w:i/>
          <w:szCs w:val="24"/>
          <w:lang w:val="en-US"/>
        </w:rPr>
        <w:instrText>were</w:instrText>
      </w:r>
      <w:r w:rsidR="00A14090" w:rsidRPr="00A14090">
        <w:rPr>
          <w:i/>
          <w:szCs w:val="24"/>
        </w:rPr>
        <w:instrText xml:space="preserve"> </w:instrText>
      </w:r>
      <w:r w:rsidR="00A14090">
        <w:rPr>
          <w:i/>
          <w:szCs w:val="24"/>
          <w:lang w:val="en-US"/>
        </w:rPr>
        <w:instrText>assessed</w:instrText>
      </w:r>
      <w:r w:rsidR="00A14090" w:rsidRPr="00A14090">
        <w:rPr>
          <w:i/>
          <w:szCs w:val="24"/>
        </w:rPr>
        <w:instrText xml:space="preserve">. </w:instrText>
      </w:r>
      <w:r w:rsidR="00A14090">
        <w:rPr>
          <w:i/>
          <w:szCs w:val="24"/>
          <w:lang w:val="en-US"/>
        </w:rPr>
        <w:instrText>In</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absence</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head</w:instrText>
      </w:r>
      <w:r w:rsidR="00A14090" w:rsidRPr="00A14090">
        <w:rPr>
          <w:i/>
          <w:szCs w:val="24"/>
        </w:rPr>
        <w:instrText>-</w:instrText>
      </w:r>
      <w:r w:rsidR="00A14090">
        <w:rPr>
          <w:i/>
          <w:szCs w:val="24"/>
          <w:lang w:val="en-US"/>
        </w:rPr>
        <w:instrText>to</w:instrText>
      </w:r>
      <w:r w:rsidR="00A14090" w:rsidRPr="00A14090">
        <w:rPr>
          <w:i/>
          <w:szCs w:val="24"/>
        </w:rPr>
        <w:instrText>-</w:instrText>
      </w:r>
      <w:r w:rsidR="00A14090">
        <w:rPr>
          <w:i/>
          <w:szCs w:val="24"/>
          <w:lang w:val="en-US"/>
        </w:rPr>
        <w:instrText>head</w:instrText>
      </w:r>
      <w:r w:rsidR="00A14090" w:rsidRPr="00A14090">
        <w:rPr>
          <w:i/>
          <w:szCs w:val="24"/>
        </w:rPr>
        <w:instrText xml:space="preserve"> </w:instrText>
      </w:r>
      <w:r w:rsidR="00A14090">
        <w:rPr>
          <w:i/>
          <w:szCs w:val="24"/>
          <w:lang w:val="en-US"/>
        </w:rPr>
        <w:instrText>trials</w:instrText>
      </w:r>
      <w:r w:rsidR="00A14090" w:rsidRPr="00A14090">
        <w:rPr>
          <w:i/>
          <w:szCs w:val="24"/>
        </w:rPr>
        <w:instrText xml:space="preserve"> </w:instrText>
      </w:r>
      <w:r w:rsidR="00A14090">
        <w:rPr>
          <w:i/>
          <w:szCs w:val="24"/>
          <w:lang w:val="en-US"/>
        </w:rPr>
        <w:instrText>comparing</w:instrText>
      </w:r>
      <w:r w:rsidR="00A14090" w:rsidRPr="00A14090">
        <w:rPr>
          <w:i/>
          <w:szCs w:val="24"/>
        </w:rPr>
        <w:instrText xml:space="preserve"> </w:instrText>
      </w:r>
      <w:r w:rsidR="00A14090">
        <w:rPr>
          <w:i/>
          <w:szCs w:val="24"/>
          <w:lang w:val="en-US"/>
        </w:rPr>
        <w:instrText>Ld</w:instrText>
      </w:r>
      <w:r w:rsidR="00A14090" w:rsidRPr="00A14090">
        <w:rPr>
          <w:i/>
          <w:szCs w:val="24"/>
        </w:rPr>
        <w:instrText>-</w:instrText>
      </w:r>
      <w:r w:rsidR="00A14090">
        <w:rPr>
          <w:i/>
          <w:szCs w:val="24"/>
          <w:lang w:val="en-US"/>
        </w:rPr>
        <w:instrText>based</w:instrText>
      </w:r>
      <w:r w:rsidR="00A14090" w:rsidRPr="00A14090">
        <w:rPr>
          <w:i/>
          <w:szCs w:val="24"/>
        </w:rPr>
        <w:instrText xml:space="preserve"> </w:instrText>
      </w:r>
      <w:r w:rsidR="00A14090">
        <w:rPr>
          <w:i/>
          <w:szCs w:val="24"/>
          <w:lang w:val="en-US"/>
        </w:rPr>
        <w:instrText>triplet</w:instrText>
      </w:r>
      <w:r w:rsidR="00A14090" w:rsidRPr="00A14090">
        <w:rPr>
          <w:i/>
          <w:szCs w:val="24"/>
        </w:rPr>
        <w:instrText xml:space="preserve"> </w:instrText>
      </w:r>
      <w:r w:rsidR="00A14090">
        <w:rPr>
          <w:i/>
          <w:szCs w:val="24"/>
          <w:lang w:val="en-US"/>
        </w:rPr>
        <w:instrText>regimens</w:instrText>
      </w:r>
      <w:r w:rsidR="00A14090" w:rsidRPr="00A14090">
        <w:rPr>
          <w:i/>
          <w:szCs w:val="24"/>
        </w:rPr>
        <w:instrText xml:space="preserve"> </w:instrText>
      </w:r>
      <w:r w:rsidR="00A14090">
        <w:rPr>
          <w:i/>
          <w:szCs w:val="24"/>
          <w:lang w:val="en-US"/>
        </w:rPr>
        <w:instrText>to</w:instrText>
      </w:r>
      <w:r w:rsidR="00A14090" w:rsidRPr="00A14090">
        <w:rPr>
          <w:i/>
          <w:szCs w:val="24"/>
        </w:rPr>
        <w:instrText xml:space="preserve"> </w:instrText>
      </w:r>
      <w:r w:rsidR="00A14090">
        <w:rPr>
          <w:i/>
          <w:szCs w:val="24"/>
          <w:lang w:val="en-US"/>
        </w:rPr>
        <w:instrText>guide</w:instrText>
      </w:r>
      <w:r w:rsidR="00A14090" w:rsidRPr="00A14090">
        <w:rPr>
          <w:i/>
          <w:szCs w:val="24"/>
        </w:rPr>
        <w:instrText xml:space="preserve"> </w:instrText>
      </w:r>
      <w:r w:rsidR="00A14090">
        <w:rPr>
          <w:i/>
          <w:szCs w:val="24"/>
          <w:lang w:val="en-US"/>
        </w:rPr>
        <w:instrText>treatment</w:instrText>
      </w:r>
      <w:r w:rsidR="00A14090" w:rsidRPr="00A14090">
        <w:rPr>
          <w:i/>
          <w:szCs w:val="24"/>
        </w:rPr>
        <w:instrText xml:space="preserve"> </w:instrText>
      </w:r>
      <w:r w:rsidR="00A14090">
        <w:rPr>
          <w:i/>
          <w:szCs w:val="24"/>
          <w:lang w:val="en-US"/>
        </w:rPr>
        <w:instrText>selection</w:instrText>
      </w:r>
      <w:r w:rsidR="00A14090" w:rsidRPr="00A14090">
        <w:rPr>
          <w:i/>
          <w:szCs w:val="24"/>
        </w:rPr>
        <w:instrText xml:space="preserve">, 4 </w:instrText>
      </w:r>
      <w:r w:rsidR="00A14090">
        <w:rPr>
          <w:i/>
          <w:szCs w:val="24"/>
          <w:lang w:val="en-US"/>
        </w:rPr>
        <w:instrText>randomized</w:instrText>
      </w:r>
      <w:r w:rsidR="00A14090" w:rsidRPr="00A14090">
        <w:rPr>
          <w:i/>
          <w:szCs w:val="24"/>
        </w:rPr>
        <w:instrText xml:space="preserve"> </w:instrText>
      </w:r>
      <w:r w:rsidR="00A14090">
        <w:rPr>
          <w:i/>
          <w:szCs w:val="24"/>
          <w:lang w:val="en-US"/>
        </w:rPr>
        <w:instrText>controlled</w:instrText>
      </w:r>
      <w:r w:rsidR="00A14090" w:rsidRPr="00A14090">
        <w:rPr>
          <w:i/>
          <w:szCs w:val="24"/>
        </w:rPr>
        <w:instrText xml:space="preserve"> </w:instrText>
      </w:r>
      <w:r w:rsidR="00A14090">
        <w:rPr>
          <w:i/>
          <w:szCs w:val="24"/>
          <w:lang w:val="en-US"/>
        </w:rPr>
        <w:instrText>trials</w:instrText>
      </w:r>
      <w:r w:rsidR="00A14090" w:rsidRPr="00A14090">
        <w:rPr>
          <w:i/>
          <w:szCs w:val="24"/>
        </w:rPr>
        <w:instrText>—</w:instrText>
      </w:r>
      <w:r w:rsidR="00A14090">
        <w:rPr>
          <w:i/>
          <w:szCs w:val="24"/>
          <w:lang w:val="en-US"/>
        </w:rPr>
        <w:instrText>ELOQUENT</w:instrText>
      </w:r>
      <w:r w:rsidR="00A14090" w:rsidRPr="00A14090">
        <w:rPr>
          <w:i/>
          <w:szCs w:val="24"/>
        </w:rPr>
        <w:instrText xml:space="preserve">-2, </w:instrText>
      </w:r>
      <w:r w:rsidR="00A14090">
        <w:rPr>
          <w:i/>
          <w:szCs w:val="24"/>
          <w:lang w:val="en-US"/>
        </w:rPr>
        <w:instrText>ASPIRE</w:instrText>
      </w:r>
      <w:r w:rsidR="00A14090" w:rsidRPr="00A14090">
        <w:rPr>
          <w:i/>
          <w:szCs w:val="24"/>
        </w:rPr>
        <w:instrText xml:space="preserve">, </w:instrText>
      </w:r>
      <w:r w:rsidR="00A14090">
        <w:rPr>
          <w:i/>
          <w:szCs w:val="24"/>
          <w:lang w:val="en-US"/>
        </w:rPr>
        <w:instrText>TOURMALINE</w:instrText>
      </w:r>
      <w:r w:rsidR="00A14090" w:rsidRPr="00A14090">
        <w:rPr>
          <w:i/>
          <w:szCs w:val="24"/>
        </w:rPr>
        <w:instrText>-</w:instrText>
      </w:r>
      <w:r w:rsidR="00A14090">
        <w:rPr>
          <w:i/>
          <w:szCs w:val="24"/>
          <w:lang w:val="en-US"/>
        </w:rPr>
        <w:instrText>MM</w:instrText>
      </w:r>
      <w:r w:rsidR="00A14090" w:rsidRPr="00A14090">
        <w:rPr>
          <w:i/>
          <w:szCs w:val="24"/>
        </w:rPr>
        <w:instrText xml:space="preserve">1, </w:instrText>
      </w:r>
      <w:r w:rsidR="00A14090">
        <w:rPr>
          <w:i/>
          <w:szCs w:val="24"/>
          <w:lang w:val="en-US"/>
        </w:rPr>
        <w:instrText>and</w:instrText>
      </w:r>
      <w:r w:rsidR="00A14090" w:rsidRPr="00A14090">
        <w:rPr>
          <w:i/>
          <w:szCs w:val="24"/>
        </w:rPr>
        <w:instrText xml:space="preserve"> </w:instrText>
      </w:r>
      <w:r w:rsidR="00A14090">
        <w:rPr>
          <w:i/>
          <w:szCs w:val="24"/>
          <w:lang w:val="en-US"/>
        </w:rPr>
        <w:instrText>POLLUX</w:instrText>
      </w:r>
      <w:r w:rsidR="00A14090" w:rsidRPr="00A14090">
        <w:rPr>
          <w:i/>
          <w:szCs w:val="24"/>
        </w:rPr>
        <w:instrText>—</w:instrText>
      </w:r>
      <w:r w:rsidR="00A14090">
        <w:rPr>
          <w:i/>
          <w:szCs w:val="24"/>
          <w:lang w:val="en-US"/>
        </w:rPr>
        <w:instrText>were</w:instrText>
      </w:r>
      <w:r w:rsidR="00A14090" w:rsidRPr="00A14090">
        <w:rPr>
          <w:i/>
          <w:szCs w:val="24"/>
        </w:rPr>
        <w:instrText xml:space="preserve"> </w:instrText>
      </w:r>
      <w:r w:rsidR="00A14090">
        <w:rPr>
          <w:i/>
          <w:szCs w:val="24"/>
          <w:lang w:val="en-US"/>
        </w:rPr>
        <w:instrText>indirectly</w:instrText>
      </w:r>
      <w:r w:rsidR="00A14090" w:rsidRPr="00A14090">
        <w:rPr>
          <w:i/>
          <w:szCs w:val="24"/>
        </w:rPr>
        <w:instrText xml:space="preserve"> </w:instrText>
      </w:r>
      <w:r w:rsidR="00A14090">
        <w:rPr>
          <w:i/>
          <w:szCs w:val="24"/>
          <w:lang w:val="en-US"/>
        </w:rPr>
        <w:instrText>compared</w:instrText>
      </w:r>
      <w:r w:rsidR="00A14090" w:rsidRPr="00A14090">
        <w:rPr>
          <w:i/>
          <w:szCs w:val="24"/>
        </w:rPr>
        <w:instrText xml:space="preserve"> </w:instrText>
      </w:r>
      <w:r w:rsidR="00A14090">
        <w:rPr>
          <w:i/>
          <w:szCs w:val="24"/>
          <w:lang w:val="en-US"/>
        </w:rPr>
        <w:instrText>to</w:instrText>
      </w:r>
      <w:r w:rsidR="00A14090" w:rsidRPr="00A14090">
        <w:rPr>
          <w:i/>
          <w:szCs w:val="24"/>
        </w:rPr>
        <w:instrText xml:space="preserve"> </w:instrText>
      </w:r>
      <w:r w:rsidR="00A14090">
        <w:rPr>
          <w:i/>
          <w:szCs w:val="24"/>
          <w:lang w:val="en-US"/>
        </w:rPr>
        <w:instrText>provide</w:instrText>
      </w:r>
      <w:r w:rsidR="00A14090" w:rsidRPr="00A14090">
        <w:rPr>
          <w:i/>
          <w:szCs w:val="24"/>
        </w:rPr>
        <w:instrText xml:space="preserve"> </w:instrText>
      </w:r>
      <w:r w:rsidR="00A14090">
        <w:rPr>
          <w:i/>
          <w:szCs w:val="24"/>
          <w:lang w:val="en-US"/>
        </w:rPr>
        <w:instrText>insight</w:instrText>
      </w:r>
      <w:r w:rsidR="00A14090" w:rsidRPr="00A14090">
        <w:rPr>
          <w:i/>
          <w:szCs w:val="24"/>
        </w:rPr>
        <w:instrText xml:space="preserve"> </w:instrText>
      </w:r>
      <w:r w:rsidR="00A14090">
        <w:rPr>
          <w:i/>
          <w:szCs w:val="24"/>
          <w:lang w:val="en-US"/>
        </w:rPr>
        <w:instrText>into</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relative</w:instrText>
      </w:r>
      <w:r w:rsidR="00A14090" w:rsidRPr="00A14090">
        <w:rPr>
          <w:i/>
          <w:szCs w:val="24"/>
        </w:rPr>
        <w:instrText xml:space="preserve"> </w:instrText>
      </w:r>
      <w:r w:rsidR="00A14090">
        <w:rPr>
          <w:i/>
          <w:szCs w:val="24"/>
          <w:lang w:val="en-US"/>
        </w:rPr>
        <w:instrText>efficacy</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these</w:instrText>
      </w:r>
      <w:r w:rsidR="00A14090" w:rsidRPr="00A14090">
        <w:rPr>
          <w:i/>
          <w:szCs w:val="24"/>
        </w:rPr>
        <w:instrText xml:space="preserve"> </w:instrText>
      </w:r>
      <w:r w:rsidR="00A14090">
        <w:rPr>
          <w:i/>
          <w:szCs w:val="24"/>
          <w:lang w:val="en-US"/>
        </w:rPr>
        <w:instrText>regimens</w:instrText>
      </w:r>
      <w:r w:rsidR="00A14090" w:rsidRPr="00A14090">
        <w:rPr>
          <w:i/>
          <w:szCs w:val="24"/>
        </w:rPr>
        <w:instrText xml:space="preserve"> </w:instrText>
      </w:r>
      <w:r w:rsidR="00A14090">
        <w:rPr>
          <w:i/>
          <w:szCs w:val="24"/>
          <w:lang w:val="en-US"/>
        </w:rPr>
        <w:instrText>in</w:instrText>
      </w:r>
      <w:r w:rsidR="00A14090" w:rsidRPr="00A14090">
        <w:rPr>
          <w:i/>
          <w:szCs w:val="24"/>
        </w:rPr>
        <w:instrText xml:space="preserve"> </w:instrText>
      </w:r>
      <w:r w:rsidR="00A14090">
        <w:rPr>
          <w:i/>
          <w:szCs w:val="24"/>
          <w:lang w:val="en-US"/>
        </w:rPr>
        <w:instrText>RRMM</w:instrText>
      </w:r>
      <w:r w:rsidR="00A14090" w:rsidRPr="00A14090">
        <w:rPr>
          <w:i/>
          <w:szCs w:val="24"/>
        </w:rPr>
        <w:instrText xml:space="preserve">. </w:instrText>
      </w:r>
      <w:r w:rsidR="00A14090">
        <w:rPr>
          <w:i/>
          <w:szCs w:val="24"/>
          <w:lang w:val="en-US"/>
        </w:rPr>
        <w:instrText>Results</w:instrText>
      </w:r>
      <w:r w:rsidR="00A14090" w:rsidRPr="00A14090">
        <w:rPr>
          <w:i/>
          <w:szCs w:val="24"/>
        </w:rPr>
        <w:instrText xml:space="preserve">: </w:instrText>
      </w:r>
      <w:r w:rsidR="00A14090">
        <w:rPr>
          <w:i/>
          <w:szCs w:val="24"/>
          <w:lang w:val="en-US"/>
        </w:rPr>
        <w:instrText>Data</w:instrText>
      </w:r>
      <w:r w:rsidR="00A14090" w:rsidRPr="00A14090">
        <w:rPr>
          <w:i/>
          <w:szCs w:val="24"/>
        </w:rPr>
        <w:instrText xml:space="preserve"> </w:instrText>
      </w:r>
      <w:r w:rsidR="00A14090">
        <w:rPr>
          <w:i/>
          <w:szCs w:val="24"/>
          <w:lang w:val="en-US"/>
        </w:rPr>
        <w:instrText>at</w:instrText>
      </w:r>
      <w:r w:rsidR="00A14090" w:rsidRPr="00A14090">
        <w:rPr>
          <w:i/>
          <w:szCs w:val="24"/>
        </w:rPr>
        <w:instrText xml:space="preserve"> 4 </w:instrText>
      </w:r>
      <w:r w:rsidR="00A14090">
        <w:rPr>
          <w:i/>
          <w:szCs w:val="24"/>
          <w:lang w:val="en-US"/>
        </w:rPr>
        <w:instrText>years</w:instrText>
      </w:r>
      <w:r w:rsidR="00A14090" w:rsidRPr="00A14090">
        <w:rPr>
          <w:i/>
          <w:szCs w:val="24"/>
        </w:rPr>
        <w:instrText xml:space="preserve"> </w:instrText>
      </w:r>
      <w:r w:rsidR="00A14090">
        <w:rPr>
          <w:i/>
          <w:szCs w:val="24"/>
          <w:lang w:val="en-US"/>
        </w:rPr>
        <w:instrText>were</w:instrText>
      </w:r>
      <w:r w:rsidR="00A14090" w:rsidRPr="00A14090">
        <w:rPr>
          <w:i/>
          <w:szCs w:val="24"/>
        </w:rPr>
        <w:instrText xml:space="preserve"> </w:instrText>
      </w:r>
      <w:r w:rsidR="00A14090">
        <w:rPr>
          <w:i/>
          <w:szCs w:val="24"/>
          <w:lang w:val="en-US"/>
        </w:rPr>
        <w:instrText>consistent</w:instrText>
      </w:r>
      <w:r w:rsidR="00A14090" w:rsidRPr="00A14090">
        <w:rPr>
          <w:i/>
          <w:szCs w:val="24"/>
        </w:rPr>
        <w:instrText xml:space="preserve"> </w:instrText>
      </w:r>
      <w:r w:rsidR="00A14090">
        <w:rPr>
          <w:i/>
          <w:szCs w:val="24"/>
          <w:lang w:val="en-US"/>
        </w:rPr>
        <w:instrText>with</w:instrText>
      </w:r>
      <w:r w:rsidR="00A14090" w:rsidRPr="00A14090">
        <w:rPr>
          <w:i/>
          <w:szCs w:val="24"/>
        </w:rPr>
        <w:instrText xml:space="preserve"> 2- </w:instrText>
      </w:r>
      <w:r w:rsidR="00A14090">
        <w:rPr>
          <w:i/>
          <w:szCs w:val="24"/>
          <w:lang w:val="en-US"/>
        </w:rPr>
        <w:instrText>and</w:instrText>
      </w:r>
      <w:r w:rsidR="00A14090" w:rsidRPr="00A14090">
        <w:rPr>
          <w:i/>
          <w:szCs w:val="24"/>
        </w:rPr>
        <w:instrText xml:space="preserve"> 3-</w:instrText>
      </w:r>
      <w:r w:rsidR="00A14090">
        <w:rPr>
          <w:i/>
          <w:szCs w:val="24"/>
          <w:lang w:val="en-US"/>
        </w:rPr>
        <w:instrText>year</w:instrText>
      </w:r>
      <w:r w:rsidR="00A14090" w:rsidRPr="00A14090">
        <w:rPr>
          <w:i/>
          <w:szCs w:val="24"/>
        </w:rPr>
        <w:instrText xml:space="preserve"> </w:instrText>
      </w:r>
      <w:r w:rsidR="00A14090">
        <w:rPr>
          <w:i/>
          <w:szCs w:val="24"/>
          <w:lang w:val="en-US"/>
        </w:rPr>
        <w:instrText>follow</w:instrText>
      </w:r>
      <w:r w:rsidR="00A14090" w:rsidRPr="00A14090">
        <w:rPr>
          <w:i/>
          <w:szCs w:val="24"/>
        </w:rPr>
        <w:instrText>-</w:instrText>
      </w:r>
      <w:r w:rsidR="00A14090">
        <w:rPr>
          <w:i/>
          <w:szCs w:val="24"/>
          <w:lang w:val="en-US"/>
        </w:rPr>
        <w:instrText>up</w:instrText>
      </w:r>
      <w:r w:rsidR="00A14090" w:rsidRPr="00A14090">
        <w:rPr>
          <w:i/>
          <w:szCs w:val="24"/>
        </w:rPr>
        <w:instrText xml:space="preserve"> </w:instrText>
      </w:r>
      <w:r w:rsidR="00A14090">
        <w:rPr>
          <w:i/>
          <w:szCs w:val="24"/>
          <w:lang w:val="en-US"/>
        </w:rPr>
        <w:instrText>data</w:instrText>
      </w:r>
      <w:r w:rsidR="00A14090" w:rsidRPr="00A14090">
        <w:rPr>
          <w:i/>
          <w:szCs w:val="24"/>
        </w:rPr>
        <w:instrText xml:space="preserve">: </w:instrText>
      </w:r>
      <w:r w:rsidR="00A14090">
        <w:rPr>
          <w:i/>
          <w:szCs w:val="24"/>
          <w:lang w:val="en-US"/>
        </w:rPr>
        <w:instrText>ELd</w:instrText>
      </w:r>
      <w:r w:rsidR="00A14090" w:rsidRPr="00A14090">
        <w:rPr>
          <w:i/>
          <w:szCs w:val="24"/>
        </w:rPr>
        <w:instrText xml:space="preserve"> </w:instrText>
      </w:r>
      <w:r w:rsidR="00A14090">
        <w:rPr>
          <w:i/>
          <w:szCs w:val="24"/>
          <w:lang w:val="en-US"/>
        </w:rPr>
        <w:instrText>reduced</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risk</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disease</w:instrText>
      </w:r>
      <w:r w:rsidR="00A14090" w:rsidRPr="00A14090">
        <w:rPr>
          <w:i/>
          <w:szCs w:val="24"/>
        </w:rPr>
        <w:instrText xml:space="preserve"> </w:instrText>
      </w:r>
      <w:r w:rsidR="00A14090">
        <w:rPr>
          <w:i/>
          <w:szCs w:val="24"/>
          <w:lang w:val="en-US"/>
        </w:rPr>
        <w:instrText>progression</w:instrText>
      </w:r>
      <w:r w:rsidR="00A14090" w:rsidRPr="00A14090">
        <w:rPr>
          <w:i/>
          <w:szCs w:val="24"/>
        </w:rPr>
        <w:instrText>/</w:instrText>
      </w:r>
      <w:r w:rsidR="00A14090">
        <w:rPr>
          <w:i/>
          <w:szCs w:val="24"/>
          <w:lang w:val="en-US"/>
        </w:rPr>
        <w:instrText>death</w:instrText>
      </w:r>
      <w:r w:rsidR="00A14090" w:rsidRPr="00A14090">
        <w:rPr>
          <w:i/>
          <w:szCs w:val="24"/>
        </w:rPr>
        <w:instrText xml:space="preserve"> </w:instrText>
      </w:r>
      <w:r w:rsidR="00A14090">
        <w:rPr>
          <w:i/>
          <w:szCs w:val="24"/>
          <w:lang w:val="en-US"/>
        </w:rPr>
        <w:instrText>by</w:instrText>
      </w:r>
      <w:r w:rsidR="00A14090" w:rsidRPr="00A14090">
        <w:rPr>
          <w:i/>
          <w:szCs w:val="24"/>
        </w:rPr>
        <w:instrText xml:space="preserve"> 29% </w:instrText>
      </w:r>
      <w:r w:rsidR="00A14090">
        <w:rPr>
          <w:i/>
          <w:szCs w:val="24"/>
          <w:lang w:val="en-US"/>
        </w:rPr>
        <w:instrText>versus</w:instrText>
      </w:r>
      <w:r w:rsidR="00A14090" w:rsidRPr="00A14090">
        <w:rPr>
          <w:i/>
          <w:szCs w:val="24"/>
        </w:rPr>
        <w:instrText xml:space="preserve"> </w:instrText>
      </w:r>
      <w:r w:rsidR="00A14090">
        <w:rPr>
          <w:i/>
          <w:szCs w:val="24"/>
          <w:lang w:val="en-US"/>
        </w:rPr>
        <w:instrText>Ld</w:instrText>
      </w:r>
      <w:r w:rsidR="00A14090" w:rsidRPr="00A14090">
        <w:rPr>
          <w:i/>
          <w:szCs w:val="24"/>
        </w:rPr>
        <w:instrText xml:space="preserve"> (</w:instrText>
      </w:r>
      <w:r w:rsidR="00A14090">
        <w:rPr>
          <w:i/>
          <w:szCs w:val="24"/>
          <w:lang w:val="en-US"/>
        </w:rPr>
        <w:instrText>hazard</w:instrText>
      </w:r>
      <w:r w:rsidR="00A14090" w:rsidRPr="00A14090">
        <w:rPr>
          <w:i/>
          <w:szCs w:val="24"/>
        </w:rPr>
        <w:instrText xml:space="preserve"> </w:instrText>
      </w:r>
      <w:r w:rsidR="00A14090">
        <w:rPr>
          <w:i/>
          <w:szCs w:val="24"/>
          <w:lang w:val="en-US"/>
        </w:rPr>
        <w:instrText>ratio</w:instrText>
      </w:r>
      <w:r w:rsidR="00A14090" w:rsidRPr="00A14090">
        <w:rPr>
          <w:i/>
          <w:szCs w:val="24"/>
        </w:rPr>
        <w:instrText xml:space="preserve">, 0.71) </w:instrText>
      </w:r>
      <w:r w:rsidR="00A14090">
        <w:rPr>
          <w:i/>
          <w:szCs w:val="24"/>
          <w:lang w:val="en-US"/>
        </w:rPr>
        <w:instrText>while</w:instrText>
      </w:r>
      <w:r w:rsidR="00A14090" w:rsidRPr="00A14090">
        <w:rPr>
          <w:i/>
          <w:szCs w:val="24"/>
        </w:rPr>
        <w:instrText xml:space="preserve"> </w:instrText>
      </w:r>
      <w:r w:rsidR="00A14090">
        <w:rPr>
          <w:i/>
          <w:szCs w:val="24"/>
          <w:lang w:val="en-US"/>
        </w:rPr>
        <w:instrText>maintaining</w:instrText>
      </w:r>
      <w:r w:rsidR="00A14090" w:rsidRPr="00A14090">
        <w:rPr>
          <w:i/>
          <w:szCs w:val="24"/>
        </w:rPr>
        <w:instrText xml:space="preserve"> </w:instrText>
      </w:r>
      <w:r w:rsidR="00A14090">
        <w:rPr>
          <w:i/>
          <w:szCs w:val="24"/>
          <w:lang w:val="en-US"/>
        </w:rPr>
        <w:instrText>safety</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greatest</w:instrText>
      </w:r>
      <w:r w:rsidR="00A14090" w:rsidRPr="00A14090">
        <w:rPr>
          <w:i/>
          <w:szCs w:val="24"/>
        </w:rPr>
        <w:instrText xml:space="preserve"> </w:instrText>
      </w:r>
      <w:r w:rsidR="00A14090">
        <w:rPr>
          <w:i/>
          <w:szCs w:val="24"/>
          <w:lang w:val="en-US"/>
        </w:rPr>
        <w:instrText>PFS</w:instrText>
      </w:r>
      <w:r w:rsidR="00A14090" w:rsidRPr="00A14090">
        <w:rPr>
          <w:i/>
          <w:szCs w:val="24"/>
        </w:rPr>
        <w:instrText xml:space="preserve"> </w:instrText>
      </w:r>
      <w:r w:rsidR="00A14090">
        <w:rPr>
          <w:i/>
          <w:szCs w:val="24"/>
          <w:lang w:val="en-US"/>
        </w:rPr>
        <w:instrText>benefit</w:instrText>
      </w:r>
      <w:r w:rsidR="00A14090" w:rsidRPr="00A14090">
        <w:rPr>
          <w:i/>
          <w:szCs w:val="24"/>
        </w:rPr>
        <w:instrText xml:space="preserve"> </w:instrText>
      </w:r>
      <w:r w:rsidR="00A14090">
        <w:rPr>
          <w:i/>
          <w:szCs w:val="24"/>
          <w:lang w:val="en-US"/>
        </w:rPr>
        <w:instrText>among</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assessed</w:instrText>
      </w:r>
      <w:r w:rsidR="00A14090" w:rsidRPr="00A14090">
        <w:rPr>
          <w:i/>
          <w:szCs w:val="24"/>
        </w:rPr>
        <w:instrText xml:space="preserve"> </w:instrText>
      </w:r>
      <w:r w:rsidR="00A14090">
        <w:rPr>
          <w:i/>
          <w:szCs w:val="24"/>
          <w:lang w:val="en-US"/>
        </w:rPr>
        <w:instrText>subgroups</w:instrText>
      </w:r>
      <w:r w:rsidR="00A14090" w:rsidRPr="00A14090">
        <w:rPr>
          <w:i/>
          <w:szCs w:val="24"/>
        </w:rPr>
        <w:instrText xml:space="preserve"> </w:instrText>
      </w:r>
      <w:r w:rsidR="00A14090">
        <w:rPr>
          <w:i/>
          <w:szCs w:val="24"/>
          <w:lang w:val="en-US"/>
        </w:rPr>
        <w:instrText>was</w:instrText>
      </w:r>
      <w:r w:rsidR="00A14090" w:rsidRPr="00A14090">
        <w:rPr>
          <w:i/>
          <w:szCs w:val="24"/>
        </w:rPr>
        <w:instrText xml:space="preserve"> </w:instrText>
      </w:r>
      <w:r w:rsidR="00A14090">
        <w:rPr>
          <w:i/>
          <w:szCs w:val="24"/>
          <w:lang w:val="en-US"/>
        </w:rPr>
        <w:instrText>observed</w:instrText>
      </w:r>
      <w:r w:rsidR="00A14090" w:rsidRPr="00A14090">
        <w:rPr>
          <w:i/>
          <w:szCs w:val="24"/>
        </w:rPr>
        <w:instrText xml:space="preserve"> </w:instrText>
      </w:r>
      <w:r w:rsidR="00A14090">
        <w:rPr>
          <w:i/>
          <w:szCs w:val="24"/>
          <w:lang w:val="en-US"/>
        </w:rPr>
        <w:instrText>in</w:instrText>
      </w:r>
      <w:r w:rsidR="00A14090" w:rsidRPr="00A14090">
        <w:rPr>
          <w:i/>
          <w:szCs w:val="24"/>
        </w:rPr>
        <w:instrText xml:space="preserve"> </w:instrText>
      </w:r>
      <w:r w:rsidR="00A14090">
        <w:rPr>
          <w:i/>
          <w:szCs w:val="24"/>
          <w:lang w:val="en-US"/>
        </w:rPr>
        <w:instrText>patients</w:instrText>
      </w:r>
      <w:r w:rsidR="00A14090" w:rsidRPr="00A14090">
        <w:rPr>
          <w:i/>
          <w:szCs w:val="24"/>
        </w:rPr>
        <w:instrText xml:space="preserve"> </w:instrText>
      </w:r>
      <w:r w:rsidR="00A14090">
        <w:rPr>
          <w:i/>
          <w:szCs w:val="24"/>
          <w:lang w:val="en-US"/>
        </w:rPr>
        <w:instrText>at</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median</w:instrText>
      </w:r>
      <w:r w:rsidR="00A14090" w:rsidRPr="00A14090">
        <w:rPr>
          <w:i/>
          <w:szCs w:val="24"/>
        </w:rPr>
        <w:instrText xml:space="preserve"> </w:instrText>
      </w:r>
      <w:r w:rsidR="00A14090">
        <w:rPr>
          <w:i/>
          <w:szCs w:val="24"/>
          <w:lang w:val="en-US"/>
        </w:rPr>
        <w:instrText>time</w:instrText>
      </w:r>
      <w:r w:rsidR="00A14090" w:rsidRPr="00A14090">
        <w:rPr>
          <w:i/>
          <w:szCs w:val="24"/>
        </w:rPr>
        <w:instrText xml:space="preserve"> </w:instrText>
      </w:r>
      <w:r w:rsidR="00A14090">
        <w:rPr>
          <w:i/>
          <w:szCs w:val="24"/>
          <w:lang w:val="en-US"/>
        </w:rPr>
        <w:instrText>or</w:instrText>
      </w:r>
      <w:r w:rsidR="00A14090" w:rsidRPr="00A14090">
        <w:rPr>
          <w:i/>
          <w:szCs w:val="24"/>
        </w:rPr>
        <w:instrText xml:space="preserve"> </w:instrText>
      </w:r>
      <w:r w:rsidR="00A14090">
        <w:rPr>
          <w:i/>
          <w:szCs w:val="24"/>
          <w:lang w:val="en-US"/>
        </w:rPr>
        <w:instrText>further</w:instrText>
      </w:r>
      <w:r w:rsidR="00A14090" w:rsidRPr="00A14090">
        <w:rPr>
          <w:i/>
          <w:szCs w:val="24"/>
        </w:rPr>
        <w:instrText xml:space="preserve"> </w:instrText>
      </w:r>
      <w:r w:rsidR="00A14090">
        <w:rPr>
          <w:i/>
          <w:szCs w:val="24"/>
          <w:lang w:val="en-US"/>
        </w:rPr>
        <w:instrText>from</w:instrText>
      </w:r>
      <w:r w:rsidR="00A14090" w:rsidRPr="00A14090">
        <w:rPr>
          <w:i/>
          <w:szCs w:val="24"/>
        </w:rPr>
        <w:instrText xml:space="preserve"> </w:instrText>
      </w:r>
      <w:r w:rsidR="00A14090">
        <w:rPr>
          <w:i/>
          <w:szCs w:val="24"/>
          <w:lang w:val="en-US"/>
        </w:rPr>
        <w:instrText>diagnosis</w:instrText>
      </w:r>
      <w:r w:rsidR="00A14090" w:rsidRPr="00A14090">
        <w:rPr>
          <w:i/>
          <w:szCs w:val="24"/>
        </w:rPr>
        <w:instrText xml:space="preserve"> (≥3.5 </w:instrText>
      </w:r>
      <w:r w:rsidR="00A14090">
        <w:rPr>
          <w:i/>
          <w:szCs w:val="24"/>
          <w:lang w:val="en-US"/>
        </w:rPr>
        <w:instrText>years</w:instrText>
      </w:r>
      <w:r w:rsidR="00A14090" w:rsidRPr="00A14090">
        <w:rPr>
          <w:i/>
          <w:szCs w:val="24"/>
        </w:rPr>
        <w:instrText xml:space="preserve">) </w:instrText>
      </w:r>
      <w:r w:rsidR="00A14090">
        <w:rPr>
          <w:i/>
          <w:szCs w:val="24"/>
          <w:lang w:val="en-US"/>
        </w:rPr>
        <w:instrText>with</w:instrText>
      </w:r>
      <w:r w:rsidR="00A14090" w:rsidRPr="00A14090">
        <w:rPr>
          <w:i/>
          <w:szCs w:val="24"/>
        </w:rPr>
        <w:instrText xml:space="preserve"> 1 </w:instrText>
      </w:r>
      <w:r w:rsidR="00A14090">
        <w:rPr>
          <w:i/>
          <w:szCs w:val="24"/>
          <w:lang w:val="en-US"/>
        </w:rPr>
        <w:instrText>prior</w:instrText>
      </w:r>
      <w:r w:rsidR="00A14090" w:rsidRPr="00A14090">
        <w:rPr>
          <w:i/>
          <w:szCs w:val="24"/>
        </w:rPr>
        <w:instrText xml:space="preserve"> </w:instrText>
      </w:r>
      <w:r w:rsidR="00A14090">
        <w:rPr>
          <w:i/>
          <w:szCs w:val="24"/>
          <w:lang w:val="en-US"/>
        </w:rPr>
        <w:instrText>line</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therapy</w:instrText>
      </w:r>
      <w:r w:rsidR="00A14090" w:rsidRPr="00A14090">
        <w:rPr>
          <w:i/>
          <w:szCs w:val="24"/>
        </w:rPr>
        <w:instrText xml:space="preserve">, </w:instrText>
      </w:r>
      <w:r w:rsidR="00A14090">
        <w:rPr>
          <w:i/>
          <w:szCs w:val="24"/>
          <w:lang w:val="en-US"/>
        </w:rPr>
        <w:instrText>who</w:instrText>
      </w:r>
      <w:r w:rsidR="00A14090" w:rsidRPr="00A14090">
        <w:rPr>
          <w:i/>
          <w:szCs w:val="24"/>
        </w:rPr>
        <w:instrText xml:space="preserve"> </w:instrText>
      </w:r>
      <w:r w:rsidR="00A14090">
        <w:rPr>
          <w:i/>
          <w:szCs w:val="24"/>
          <w:lang w:val="en-US"/>
        </w:rPr>
        <w:instrText>had</w:instrText>
      </w:r>
      <w:r w:rsidR="00A14090" w:rsidRPr="00A14090">
        <w:rPr>
          <w:i/>
          <w:szCs w:val="24"/>
        </w:rPr>
        <w:instrText xml:space="preserve"> </w:instrText>
      </w:r>
      <w:r w:rsidR="00A14090">
        <w:rPr>
          <w:i/>
          <w:szCs w:val="24"/>
          <w:lang w:val="en-US"/>
        </w:rPr>
        <w:instrText>a</w:instrText>
      </w:r>
      <w:r w:rsidR="00A14090" w:rsidRPr="00A14090">
        <w:rPr>
          <w:i/>
          <w:szCs w:val="24"/>
        </w:rPr>
        <w:instrText xml:space="preserve"> 44% </w:instrText>
      </w:r>
      <w:r w:rsidR="00A14090">
        <w:rPr>
          <w:i/>
          <w:szCs w:val="24"/>
          <w:lang w:val="en-US"/>
        </w:rPr>
        <w:instrText>reduction</w:instrText>
      </w:r>
      <w:r w:rsidR="00A14090" w:rsidRPr="00A14090">
        <w:rPr>
          <w:i/>
          <w:szCs w:val="24"/>
        </w:rPr>
        <w:instrText xml:space="preserve"> </w:instrText>
      </w:r>
      <w:r w:rsidR="00A14090">
        <w:rPr>
          <w:i/>
          <w:szCs w:val="24"/>
          <w:lang w:val="en-US"/>
        </w:rPr>
        <w:instrText>in</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risk</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progression</w:instrText>
      </w:r>
      <w:r w:rsidR="00A14090" w:rsidRPr="00A14090">
        <w:rPr>
          <w:i/>
          <w:szCs w:val="24"/>
        </w:rPr>
        <w:instrText>/</w:instrText>
      </w:r>
      <w:r w:rsidR="00A14090">
        <w:rPr>
          <w:i/>
          <w:szCs w:val="24"/>
          <w:lang w:val="en-US"/>
        </w:rPr>
        <w:instrText>death</w:instrText>
      </w:r>
      <w:r w:rsidR="00A14090" w:rsidRPr="00A14090">
        <w:rPr>
          <w:i/>
          <w:szCs w:val="24"/>
        </w:rPr>
        <w:instrText xml:space="preserve">, </w:instrText>
      </w:r>
      <w:r w:rsidR="00A14090">
        <w:rPr>
          <w:i/>
          <w:szCs w:val="24"/>
          <w:lang w:val="en-US"/>
        </w:rPr>
        <w:instrText>and</w:instrText>
      </w:r>
      <w:r w:rsidR="00A14090" w:rsidRPr="00A14090">
        <w:rPr>
          <w:i/>
          <w:szCs w:val="24"/>
        </w:rPr>
        <w:instrText xml:space="preserve"> </w:instrText>
      </w:r>
      <w:r w:rsidR="00A14090">
        <w:rPr>
          <w:i/>
          <w:szCs w:val="24"/>
          <w:lang w:val="en-US"/>
        </w:rPr>
        <w:instrText>in</w:instrText>
      </w:r>
      <w:r w:rsidR="00A14090" w:rsidRPr="00A14090">
        <w:rPr>
          <w:i/>
          <w:szCs w:val="24"/>
        </w:rPr>
        <w:instrText xml:space="preserve"> </w:instrText>
      </w:r>
      <w:r w:rsidR="00A14090">
        <w:rPr>
          <w:i/>
          <w:szCs w:val="24"/>
          <w:lang w:val="en-US"/>
        </w:rPr>
        <w:instrText>patients</w:instrText>
      </w:r>
      <w:r w:rsidR="00A14090" w:rsidRPr="00A14090">
        <w:rPr>
          <w:i/>
          <w:szCs w:val="24"/>
        </w:rPr>
        <w:instrText xml:space="preserve"> </w:instrText>
      </w:r>
      <w:r w:rsidR="00A14090">
        <w:rPr>
          <w:i/>
          <w:szCs w:val="24"/>
          <w:lang w:val="en-US"/>
        </w:rPr>
        <w:instrText>in</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high</w:instrText>
      </w:r>
      <w:r w:rsidR="00A14090" w:rsidRPr="00A14090">
        <w:rPr>
          <w:i/>
          <w:szCs w:val="24"/>
        </w:rPr>
        <w:instrText>-</w:instrText>
      </w:r>
      <w:r w:rsidR="00A14090">
        <w:rPr>
          <w:i/>
          <w:szCs w:val="24"/>
          <w:lang w:val="en-US"/>
        </w:rPr>
        <w:instrText>risk</w:instrText>
      </w:r>
      <w:r w:rsidR="00A14090" w:rsidRPr="00A14090">
        <w:rPr>
          <w:i/>
          <w:szCs w:val="24"/>
        </w:rPr>
        <w:instrText xml:space="preserve"> </w:instrText>
      </w:r>
      <w:r w:rsidR="00A14090">
        <w:rPr>
          <w:i/>
          <w:szCs w:val="24"/>
          <w:lang w:val="en-US"/>
        </w:rPr>
        <w:instrText>category</w:instrText>
      </w:r>
      <w:r w:rsidR="00A14090" w:rsidRPr="00A14090">
        <w:rPr>
          <w:i/>
          <w:szCs w:val="24"/>
        </w:rPr>
        <w:instrText xml:space="preserve">, </w:instrText>
      </w:r>
      <w:r w:rsidR="00A14090">
        <w:rPr>
          <w:i/>
          <w:szCs w:val="24"/>
          <w:lang w:val="en-US"/>
        </w:rPr>
        <w:instrText>who</w:instrText>
      </w:r>
      <w:r w:rsidR="00A14090" w:rsidRPr="00A14090">
        <w:rPr>
          <w:i/>
          <w:szCs w:val="24"/>
        </w:rPr>
        <w:instrText xml:space="preserve"> </w:instrText>
      </w:r>
      <w:r w:rsidR="00A14090">
        <w:rPr>
          <w:i/>
          <w:szCs w:val="24"/>
          <w:lang w:val="en-US"/>
        </w:rPr>
        <w:instrText>had</w:instrText>
      </w:r>
      <w:r w:rsidR="00A14090" w:rsidRPr="00A14090">
        <w:rPr>
          <w:i/>
          <w:szCs w:val="24"/>
        </w:rPr>
        <w:instrText xml:space="preserve"> </w:instrText>
      </w:r>
      <w:r w:rsidR="00A14090">
        <w:rPr>
          <w:i/>
          <w:szCs w:val="24"/>
          <w:lang w:val="en-US"/>
        </w:rPr>
        <w:instrText>a</w:instrText>
      </w:r>
      <w:r w:rsidR="00A14090" w:rsidRPr="00A14090">
        <w:rPr>
          <w:i/>
          <w:szCs w:val="24"/>
        </w:rPr>
        <w:instrText xml:space="preserve"> 36% </w:instrText>
      </w:r>
      <w:r w:rsidR="00A14090">
        <w:rPr>
          <w:i/>
          <w:szCs w:val="24"/>
          <w:lang w:val="en-US"/>
        </w:rPr>
        <w:instrText>reduction</w:instrText>
      </w:r>
      <w:r w:rsidR="00A14090" w:rsidRPr="00A14090">
        <w:rPr>
          <w:i/>
          <w:szCs w:val="24"/>
        </w:rPr>
        <w:instrText xml:space="preserve"> </w:instrText>
      </w:r>
      <w:r w:rsidR="00A14090">
        <w:rPr>
          <w:i/>
          <w:szCs w:val="24"/>
          <w:lang w:val="en-US"/>
        </w:rPr>
        <w:instrText>in</w:instrText>
      </w:r>
      <w:r w:rsidR="00A14090" w:rsidRPr="00A14090">
        <w:rPr>
          <w:i/>
          <w:szCs w:val="24"/>
        </w:rPr>
        <w:instrText xml:space="preserve"> </w:instrText>
      </w:r>
      <w:r w:rsidR="00A14090">
        <w:rPr>
          <w:i/>
          <w:szCs w:val="24"/>
          <w:lang w:val="en-US"/>
        </w:rPr>
        <w:instrText>favor</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ELd</w:instrText>
      </w:r>
      <w:r w:rsidR="00A14090" w:rsidRPr="00A14090">
        <w:rPr>
          <w:i/>
          <w:szCs w:val="24"/>
        </w:rPr>
        <w:instrText xml:space="preserve">. </w:instrText>
      </w:r>
      <w:r w:rsidR="00A14090">
        <w:rPr>
          <w:i/>
          <w:szCs w:val="24"/>
          <w:lang w:val="en-US"/>
        </w:rPr>
        <w:instrText>This</w:instrText>
      </w:r>
      <w:r w:rsidR="00A14090" w:rsidRPr="00A14090">
        <w:rPr>
          <w:i/>
          <w:szCs w:val="24"/>
        </w:rPr>
        <w:instrText xml:space="preserve"> </w:instrText>
      </w:r>
      <w:r w:rsidR="00A14090">
        <w:rPr>
          <w:i/>
          <w:szCs w:val="24"/>
          <w:lang w:val="en-US"/>
        </w:rPr>
        <w:instrText>regimen</w:instrText>
      </w:r>
      <w:r w:rsidR="00A14090" w:rsidRPr="00A14090">
        <w:rPr>
          <w:i/>
          <w:szCs w:val="24"/>
        </w:rPr>
        <w:instrText xml:space="preserve"> </w:instrText>
      </w:r>
      <w:r w:rsidR="00A14090">
        <w:rPr>
          <w:i/>
          <w:szCs w:val="24"/>
          <w:lang w:val="en-US"/>
        </w:rPr>
        <w:instrText>also</w:instrText>
      </w:r>
      <w:r w:rsidR="00A14090" w:rsidRPr="00A14090">
        <w:rPr>
          <w:i/>
          <w:szCs w:val="24"/>
        </w:rPr>
        <w:instrText xml:space="preserve"> </w:instrText>
      </w:r>
      <w:r w:rsidR="00A14090">
        <w:rPr>
          <w:i/>
          <w:szCs w:val="24"/>
          <w:lang w:val="en-US"/>
        </w:rPr>
        <w:instrText>showed</w:instrText>
      </w:r>
      <w:r w:rsidR="00A14090" w:rsidRPr="00A14090">
        <w:rPr>
          <w:i/>
          <w:szCs w:val="24"/>
        </w:rPr>
        <w:instrText xml:space="preserve"> </w:instrText>
      </w:r>
      <w:r w:rsidR="00A14090">
        <w:rPr>
          <w:i/>
          <w:szCs w:val="24"/>
          <w:lang w:val="en-US"/>
        </w:rPr>
        <w:instrText>a</w:instrText>
      </w:r>
      <w:r w:rsidR="00A14090" w:rsidRPr="00A14090">
        <w:rPr>
          <w:i/>
          <w:szCs w:val="24"/>
        </w:rPr>
        <w:instrText xml:space="preserve"> </w:instrText>
      </w:r>
      <w:r w:rsidR="00A14090">
        <w:rPr>
          <w:i/>
          <w:szCs w:val="24"/>
          <w:lang w:val="en-US"/>
        </w:rPr>
        <w:instrText>relative</w:instrText>
      </w:r>
      <w:r w:rsidR="00A14090" w:rsidRPr="00A14090">
        <w:rPr>
          <w:i/>
          <w:szCs w:val="24"/>
        </w:rPr>
        <w:instrText xml:space="preserve"> </w:instrText>
      </w:r>
      <w:r w:rsidR="00A14090">
        <w:rPr>
          <w:i/>
          <w:szCs w:val="24"/>
          <w:lang w:val="en-US"/>
        </w:rPr>
        <w:instrText>PFS</w:instrText>
      </w:r>
      <w:r w:rsidR="00A14090" w:rsidRPr="00A14090">
        <w:rPr>
          <w:i/>
          <w:szCs w:val="24"/>
        </w:rPr>
        <w:instrText xml:space="preserve"> </w:instrText>
      </w:r>
      <w:r w:rsidR="00A14090">
        <w:rPr>
          <w:i/>
          <w:szCs w:val="24"/>
          <w:lang w:val="en-US"/>
        </w:rPr>
        <w:instrText>benefit</w:instrText>
      </w:r>
      <w:r w:rsidR="00A14090" w:rsidRPr="00A14090">
        <w:rPr>
          <w:i/>
          <w:szCs w:val="24"/>
        </w:rPr>
        <w:instrText xml:space="preserve"> </w:instrText>
      </w:r>
      <w:r w:rsidR="00A14090">
        <w:rPr>
          <w:i/>
          <w:szCs w:val="24"/>
          <w:lang w:val="en-US"/>
        </w:rPr>
        <w:instrText>that</w:instrText>
      </w:r>
      <w:r w:rsidR="00A14090" w:rsidRPr="00A14090">
        <w:rPr>
          <w:i/>
          <w:szCs w:val="24"/>
        </w:rPr>
        <w:instrText xml:space="preserve"> </w:instrText>
      </w:r>
      <w:r w:rsidR="00A14090">
        <w:rPr>
          <w:i/>
          <w:szCs w:val="24"/>
          <w:lang w:val="en-US"/>
        </w:rPr>
        <w:instrText>was</w:instrText>
      </w:r>
      <w:r w:rsidR="00A14090" w:rsidRPr="00A14090">
        <w:rPr>
          <w:i/>
          <w:szCs w:val="24"/>
        </w:rPr>
        <w:instrText xml:space="preserve"> </w:instrText>
      </w:r>
      <w:r w:rsidR="00A14090">
        <w:rPr>
          <w:i/>
          <w:szCs w:val="24"/>
          <w:lang w:val="en-US"/>
        </w:rPr>
        <w:instrText>maintained</w:instrText>
      </w:r>
      <w:r w:rsidR="00A14090" w:rsidRPr="00A14090">
        <w:rPr>
          <w:i/>
          <w:szCs w:val="24"/>
        </w:rPr>
        <w:instrText xml:space="preserve"> </w:instrText>
      </w:r>
      <w:r w:rsidR="00A14090">
        <w:rPr>
          <w:i/>
          <w:szCs w:val="24"/>
          <w:lang w:val="en-US"/>
        </w:rPr>
        <w:instrText>beyond</w:instrText>
      </w:r>
      <w:r w:rsidR="00A14090" w:rsidRPr="00A14090">
        <w:rPr>
          <w:i/>
          <w:szCs w:val="24"/>
        </w:rPr>
        <w:instrText xml:space="preserve"> 50 </w:instrText>
      </w:r>
      <w:r w:rsidR="00A14090">
        <w:rPr>
          <w:i/>
          <w:szCs w:val="24"/>
          <w:lang w:val="en-US"/>
        </w:rPr>
        <w:instrText>months</w:instrText>
      </w:r>
      <w:r w:rsidR="00A14090" w:rsidRPr="00A14090">
        <w:rPr>
          <w:i/>
          <w:szCs w:val="24"/>
        </w:rPr>
        <w:instrText xml:space="preserve">. </w:instrText>
      </w:r>
      <w:r w:rsidR="00A14090">
        <w:rPr>
          <w:i/>
          <w:szCs w:val="24"/>
          <w:lang w:val="en-US"/>
        </w:rPr>
        <w:instrText>Conclusions</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sustained</w:instrText>
      </w:r>
      <w:r w:rsidR="00A14090" w:rsidRPr="00A14090">
        <w:rPr>
          <w:i/>
          <w:szCs w:val="24"/>
        </w:rPr>
        <w:instrText xml:space="preserve"> </w:instrText>
      </w:r>
      <w:r w:rsidR="00A14090">
        <w:rPr>
          <w:i/>
          <w:szCs w:val="24"/>
          <w:lang w:val="en-US"/>
        </w:rPr>
        <w:instrText>PFS</w:instrText>
      </w:r>
      <w:r w:rsidR="00A14090" w:rsidRPr="00A14090">
        <w:rPr>
          <w:i/>
          <w:szCs w:val="24"/>
        </w:rPr>
        <w:instrText xml:space="preserve"> </w:instrText>
      </w:r>
      <w:r w:rsidR="00A14090">
        <w:rPr>
          <w:i/>
          <w:szCs w:val="24"/>
          <w:lang w:val="en-US"/>
        </w:rPr>
        <w:instrText>benefit</w:instrText>
      </w:r>
      <w:r w:rsidR="00A14090" w:rsidRPr="00A14090">
        <w:rPr>
          <w:i/>
          <w:szCs w:val="24"/>
        </w:rPr>
        <w:instrText xml:space="preserve"> </w:instrText>
      </w:r>
      <w:r w:rsidR="00A14090">
        <w:rPr>
          <w:i/>
          <w:szCs w:val="24"/>
          <w:lang w:val="en-US"/>
        </w:rPr>
        <w:instrText>and</w:instrText>
      </w:r>
      <w:r w:rsidR="00A14090" w:rsidRPr="00A14090">
        <w:rPr>
          <w:i/>
          <w:szCs w:val="24"/>
        </w:rPr>
        <w:instrText xml:space="preserve"> </w:instrText>
      </w:r>
      <w:r w:rsidR="00A14090">
        <w:rPr>
          <w:i/>
          <w:szCs w:val="24"/>
          <w:lang w:val="en-US"/>
        </w:rPr>
        <w:instrText>long</w:instrText>
      </w:r>
      <w:r w:rsidR="00A14090" w:rsidRPr="00A14090">
        <w:rPr>
          <w:i/>
          <w:szCs w:val="24"/>
        </w:rPr>
        <w:instrText>-</w:instrText>
      </w:r>
      <w:r w:rsidR="00A14090">
        <w:rPr>
          <w:i/>
          <w:szCs w:val="24"/>
          <w:lang w:val="en-US"/>
        </w:rPr>
        <w:instrText>term</w:instrText>
      </w:r>
      <w:r w:rsidR="00A14090" w:rsidRPr="00A14090">
        <w:rPr>
          <w:i/>
          <w:szCs w:val="24"/>
        </w:rPr>
        <w:instrText xml:space="preserve"> </w:instrText>
      </w:r>
      <w:r w:rsidR="00A14090">
        <w:rPr>
          <w:i/>
          <w:szCs w:val="24"/>
          <w:lang w:val="en-US"/>
        </w:rPr>
        <w:instrText>safety</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ELd</w:instrText>
      </w:r>
      <w:r w:rsidR="00A14090" w:rsidRPr="00A14090">
        <w:rPr>
          <w:i/>
          <w:szCs w:val="24"/>
        </w:rPr>
        <w:instrText xml:space="preserve"> </w:instrText>
      </w:r>
      <w:r w:rsidR="00A14090">
        <w:rPr>
          <w:i/>
          <w:szCs w:val="24"/>
          <w:lang w:val="en-US"/>
        </w:rPr>
        <w:instrText>at</w:instrText>
      </w:r>
      <w:r w:rsidR="00A14090" w:rsidRPr="00A14090">
        <w:rPr>
          <w:i/>
          <w:szCs w:val="24"/>
        </w:rPr>
        <w:instrText xml:space="preserve"> 4 </w:instrText>
      </w:r>
      <w:r w:rsidR="00A14090">
        <w:rPr>
          <w:i/>
          <w:szCs w:val="24"/>
          <w:lang w:val="en-US"/>
        </w:rPr>
        <w:instrText>years</w:instrText>
      </w:r>
      <w:r w:rsidR="00A14090" w:rsidRPr="00A14090">
        <w:rPr>
          <w:i/>
          <w:szCs w:val="24"/>
        </w:rPr>
        <w:instrText xml:space="preserve">, </w:instrText>
      </w:r>
      <w:r w:rsidR="00A14090">
        <w:rPr>
          <w:i/>
          <w:szCs w:val="24"/>
          <w:lang w:val="en-US"/>
        </w:rPr>
        <w:instrText>similar</w:instrText>
      </w:r>
      <w:r w:rsidR="00A14090" w:rsidRPr="00A14090">
        <w:rPr>
          <w:i/>
          <w:szCs w:val="24"/>
        </w:rPr>
        <w:instrText xml:space="preserve"> </w:instrText>
      </w:r>
      <w:r w:rsidR="00A14090">
        <w:rPr>
          <w:i/>
          <w:szCs w:val="24"/>
          <w:lang w:val="en-US"/>
        </w:rPr>
        <w:instrText>to</w:instrText>
      </w:r>
      <w:r w:rsidR="00A14090" w:rsidRPr="00A14090">
        <w:rPr>
          <w:i/>
          <w:szCs w:val="24"/>
        </w:rPr>
        <w:instrText xml:space="preserve"> </w:instrText>
      </w:r>
      <w:r w:rsidR="00A14090">
        <w:rPr>
          <w:i/>
          <w:szCs w:val="24"/>
          <w:lang w:val="en-US"/>
        </w:rPr>
        <w:instrText>those</w:instrText>
      </w:r>
      <w:r w:rsidR="00A14090" w:rsidRPr="00A14090">
        <w:rPr>
          <w:i/>
          <w:szCs w:val="24"/>
        </w:rPr>
        <w:instrText xml:space="preserve"> </w:instrText>
      </w:r>
      <w:r w:rsidR="00A14090">
        <w:rPr>
          <w:i/>
          <w:szCs w:val="24"/>
          <w:lang w:val="en-US"/>
        </w:rPr>
        <w:instrText>observed</w:instrText>
      </w:r>
      <w:r w:rsidR="00A14090" w:rsidRPr="00A14090">
        <w:rPr>
          <w:i/>
          <w:szCs w:val="24"/>
        </w:rPr>
        <w:instrText xml:space="preserve"> </w:instrText>
      </w:r>
      <w:r w:rsidR="00A14090">
        <w:rPr>
          <w:i/>
          <w:szCs w:val="24"/>
          <w:lang w:val="en-US"/>
        </w:rPr>
        <w:instrText>at</w:instrText>
      </w:r>
      <w:r w:rsidR="00A14090" w:rsidRPr="00A14090">
        <w:rPr>
          <w:i/>
          <w:szCs w:val="24"/>
        </w:rPr>
        <w:instrText xml:space="preserve"> 2 </w:instrText>
      </w:r>
      <w:r w:rsidR="00A14090">
        <w:rPr>
          <w:i/>
          <w:szCs w:val="24"/>
          <w:lang w:val="en-US"/>
        </w:rPr>
        <w:instrText>and</w:instrText>
      </w:r>
      <w:r w:rsidR="00A14090" w:rsidRPr="00A14090">
        <w:rPr>
          <w:i/>
          <w:szCs w:val="24"/>
        </w:rPr>
        <w:instrText xml:space="preserve"> 3 </w:instrText>
      </w:r>
      <w:r w:rsidR="00A14090">
        <w:rPr>
          <w:i/>
          <w:szCs w:val="24"/>
          <w:lang w:val="en-US"/>
        </w:rPr>
        <w:instrText>years</w:instrText>
      </w:r>
      <w:r w:rsidR="00A14090" w:rsidRPr="00A14090">
        <w:rPr>
          <w:i/>
          <w:szCs w:val="24"/>
        </w:rPr>
        <w:instrText xml:space="preserve">, </w:instrText>
      </w:r>
      <w:r w:rsidR="00A14090">
        <w:rPr>
          <w:i/>
          <w:szCs w:val="24"/>
          <w:lang w:val="en-US"/>
        </w:rPr>
        <w:instrText>support</w:instrText>
      </w:r>
      <w:r w:rsidR="00A14090" w:rsidRPr="00A14090">
        <w:rPr>
          <w:i/>
          <w:szCs w:val="24"/>
        </w:rPr>
        <w:instrText xml:space="preserve"> </w:instrText>
      </w:r>
      <w:r w:rsidR="00A14090">
        <w:rPr>
          <w:i/>
          <w:szCs w:val="24"/>
          <w:lang w:val="en-US"/>
        </w:rPr>
        <w:instrText>ELd</w:instrText>
      </w:r>
      <w:r w:rsidR="00A14090" w:rsidRPr="00A14090">
        <w:rPr>
          <w:i/>
          <w:szCs w:val="24"/>
        </w:rPr>
        <w:instrText xml:space="preserve"> </w:instrText>
      </w:r>
      <w:r w:rsidR="00A14090">
        <w:rPr>
          <w:i/>
          <w:szCs w:val="24"/>
          <w:lang w:val="en-US"/>
        </w:rPr>
        <w:instrText>as</w:instrText>
      </w:r>
      <w:r w:rsidR="00A14090" w:rsidRPr="00A14090">
        <w:rPr>
          <w:i/>
          <w:szCs w:val="24"/>
        </w:rPr>
        <w:instrText xml:space="preserve"> </w:instrText>
      </w:r>
      <w:r w:rsidR="00A14090">
        <w:rPr>
          <w:i/>
          <w:szCs w:val="24"/>
          <w:lang w:val="en-US"/>
        </w:rPr>
        <w:instrText>a</w:instrText>
      </w:r>
      <w:r w:rsidR="00A14090" w:rsidRPr="00A14090">
        <w:rPr>
          <w:i/>
          <w:szCs w:val="24"/>
        </w:rPr>
        <w:instrText xml:space="preserve"> </w:instrText>
      </w:r>
      <w:r w:rsidR="00A14090">
        <w:rPr>
          <w:i/>
          <w:szCs w:val="24"/>
          <w:lang w:val="en-US"/>
        </w:rPr>
        <w:instrText>valuable</w:instrText>
      </w:r>
      <w:r w:rsidR="00A14090" w:rsidRPr="00A14090">
        <w:rPr>
          <w:i/>
          <w:szCs w:val="24"/>
        </w:rPr>
        <w:instrText xml:space="preserve"> </w:instrText>
      </w:r>
      <w:r w:rsidR="00A14090">
        <w:rPr>
          <w:i/>
          <w:szCs w:val="24"/>
          <w:lang w:val="en-US"/>
        </w:rPr>
        <w:instrText>therapeutic</w:instrText>
      </w:r>
      <w:r w:rsidR="00A14090" w:rsidRPr="00A14090">
        <w:rPr>
          <w:i/>
          <w:szCs w:val="24"/>
        </w:rPr>
        <w:instrText xml:space="preserve"> </w:instrText>
      </w:r>
      <w:r w:rsidR="00A14090">
        <w:rPr>
          <w:i/>
          <w:szCs w:val="24"/>
          <w:lang w:val="en-US"/>
        </w:rPr>
        <w:instrText>option</w:instrText>
      </w:r>
      <w:r w:rsidR="00A14090" w:rsidRPr="00A14090">
        <w:rPr>
          <w:i/>
          <w:szCs w:val="24"/>
        </w:rPr>
        <w:instrText xml:space="preserve"> </w:instrText>
      </w:r>
      <w:r w:rsidR="00A14090">
        <w:rPr>
          <w:i/>
          <w:szCs w:val="24"/>
          <w:lang w:val="en-US"/>
        </w:rPr>
        <w:instrText>for</w:instrText>
      </w:r>
      <w:r w:rsidR="00A14090" w:rsidRPr="00A14090">
        <w:rPr>
          <w:i/>
          <w:szCs w:val="24"/>
        </w:rPr>
        <w:instrText xml:space="preserve"> </w:instrText>
      </w:r>
      <w:r w:rsidR="00A14090">
        <w:rPr>
          <w:i/>
          <w:szCs w:val="24"/>
          <w:lang w:val="en-US"/>
        </w:rPr>
        <w:instrText>the</w:instrText>
      </w:r>
      <w:r w:rsidR="00A14090" w:rsidRPr="00A14090">
        <w:rPr>
          <w:i/>
          <w:szCs w:val="24"/>
        </w:rPr>
        <w:instrText xml:space="preserve"> </w:instrText>
      </w:r>
      <w:r w:rsidR="00A14090">
        <w:rPr>
          <w:i/>
          <w:szCs w:val="24"/>
          <w:lang w:val="en-US"/>
        </w:rPr>
        <w:instrText>long</w:instrText>
      </w:r>
      <w:r w:rsidR="00A14090" w:rsidRPr="00A14090">
        <w:rPr>
          <w:i/>
          <w:szCs w:val="24"/>
        </w:rPr>
        <w:instrText>-</w:instrText>
      </w:r>
      <w:r w:rsidR="00A14090">
        <w:rPr>
          <w:i/>
          <w:szCs w:val="24"/>
          <w:lang w:val="en-US"/>
        </w:rPr>
        <w:instrText>term</w:instrText>
      </w:r>
      <w:r w:rsidR="00A14090" w:rsidRPr="00A14090">
        <w:rPr>
          <w:i/>
          <w:szCs w:val="24"/>
        </w:rPr>
        <w:instrText xml:space="preserve"> </w:instrText>
      </w:r>
      <w:r w:rsidR="00A14090">
        <w:rPr>
          <w:i/>
          <w:szCs w:val="24"/>
          <w:lang w:val="en-US"/>
        </w:rPr>
        <w:instrText>treatment</w:instrText>
      </w:r>
      <w:r w:rsidR="00A14090" w:rsidRPr="00A14090">
        <w:rPr>
          <w:i/>
          <w:szCs w:val="24"/>
        </w:rPr>
        <w:instrText xml:space="preserve"> </w:instrText>
      </w:r>
      <w:r w:rsidR="00A14090">
        <w:rPr>
          <w:i/>
          <w:szCs w:val="24"/>
          <w:lang w:val="en-US"/>
        </w:rPr>
        <w:instrText>of</w:instrText>
      </w:r>
      <w:r w:rsidR="00A14090" w:rsidRPr="00A14090">
        <w:rPr>
          <w:i/>
          <w:szCs w:val="24"/>
        </w:rPr>
        <w:instrText xml:space="preserve"> </w:instrText>
      </w:r>
      <w:r w:rsidR="00A14090">
        <w:rPr>
          <w:i/>
          <w:szCs w:val="24"/>
          <w:lang w:val="en-US"/>
        </w:rPr>
        <w:instrText>patients</w:instrText>
      </w:r>
      <w:r w:rsidR="00A14090" w:rsidRPr="00A14090">
        <w:rPr>
          <w:i/>
          <w:szCs w:val="24"/>
        </w:rPr>
        <w:instrText xml:space="preserve"> </w:instrText>
      </w:r>
      <w:r w:rsidR="00A14090">
        <w:rPr>
          <w:i/>
          <w:szCs w:val="24"/>
          <w:lang w:val="en-US"/>
        </w:rPr>
        <w:instrText>with</w:instrText>
      </w:r>
      <w:r w:rsidR="00A14090" w:rsidRPr="00A14090">
        <w:rPr>
          <w:i/>
          <w:szCs w:val="24"/>
        </w:rPr>
        <w:instrText xml:space="preserve"> </w:instrText>
      </w:r>
      <w:r w:rsidR="00A14090">
        <w:rPr>
          <w:i/>
          <w:szCs w:val="24"/>
          <w:lang w:val="en-US"/>
        </w:rPr>
        <w:instrText>RRMM</w:instrText>
      </w:r>
      <w:r w:rsidR="00A14090" w:rsidRPr="00A14090">
        <w:rPr>
          <w:i/>
          <w:szCs w:val="24"/>
        </w:rPr>
        <w:instrText>.","</w:instrText>
      </w:r>
      <w:r w:rsidR="00A14090">
        <w:rPr>
          <w:i/>
          <w:szCs w:val="24"/>
          <w:lang w:val="en-US"/>
        </w:rPr>
        <w:instrText>author</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family</w:instrText>
      </w:r>
      <w:r w:rsidR="00A14090" w:rsidRPr="00A14090">
        <w:rPr>
          <w:i/>
          <w:szCs w:val="24"/>
        </w:rPr>
        <w:instrText>":"</w:instrText>
      </w:r>
      <w:r w:rsidR="00A14090">
        <w:rPr>
          <w:i/>
          <w:szCs w:val="24"/>
          <w:lang w:val="en-US"/>
        </w:rPr>
        <w:instrText>Dimopoulos</w:instrText>
      </w:r>
      <w:r w:rsidR="00A14090" w:rsidRPr="00A14090">
        <w:rPr>
          <w:i/>
          <w:szCs w:val="24"/>
        </w:rPr>
        <w:instrText>","</w:instrText>
      </w:r>
      <w:r w:rsidR="00A14090">
        <w:rPr>
          <w:i/>
          <w:szCs w:val="24"/>
          <w:lang w:val="en-US"/>
        </w:rPr>
        <w:instrText>given</w:instrText>
      </w:r>
      <w:r w:rsidR="00A14090" w:rsidRPr="00A14090">
        <w:rPr>
          <w:i/>
          <w:szCs w:val="24"/>
        </w:rPr>
        <w:instrText>":"</w:instrText>
      </w:r>
      <w:r w:rsidR="00A14090">
        <w:rPr>
          <w:i/>
          <w:szCs w:val="24"/>
          <w:lang w:val="en-US"/>
        </w:rPr>
        <w:instrText>Meletios</w:instrText>
      </w:r>
      <w:r w:rsidR="00A14090" w:rsidRPr="00A14090">
        <w:rPr>
          <w:i/>
          <w:szCs w:val="24"/>
        </w:rPr>
        <w:instrText xml:space="preserve"> </w:instrText>
      </w:r>
      <w:r w:rsidR="00A14090">
        <w:rPr>
          <w:i/>
          <w:szCs w:val="24"/>
          <w:lang w:val="en-US"/>
        </w:rPr>
        <w:instrText>A</w:instrText>
      </w:r>
      <w:r w:rsidR="00A14090" w:rsidRPr="00A14090">
        <w:rPr>
          <w:i/>
          <w:szCs w:val="24"/>
        </w:rPr>
        <w:instrText>.","</w:instrText>
      </w:r>
      <w:r w:rsidR="00A14090">
        <w:rPr>
          <w:i/>
          <w:szCs w:val="24"/>
          <w:lang w:val="en-US"/>
        </w:rPr>
        <w:instrText>non</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parse</w:instrText>
      </w:r>
      <w:r w:rsidR="00A14090" w:rsidRPr="00A14090">
        <w:rPr>
          <w:i/>
          <w:szCs w:val="24"/>
        </w:rPr>
        <w:instrText>-</w:instrText>
      </w:r>
      <w:r w:rsidR="00A14090">
        <w:rPr>
          <w:i/>
          <w:szCs w:val="24"/>
          <w:lang w:val="en-US"/>
        </w:rPr>
        <w:instrText>names</w:instrText>
      </w:r>
      <w:r w:rsidR="00A14090" w:rsidRPr="00A14090">
        <w:rPr>
          <w:i/>
          <w:szCs w:val="24"/>
        </w:rPr>
        <w:instrText>":</w:instrText>
      </w:r>
      <w:r w:rsidR="00A14090">
        <w:rPr>
          <w:i/>
          <w:szCs w:val="24"/>
          <w:lang w:val="en-US"/>
        </w:rPr>
        <w:instrText>false</w:instrText>
      </w:r>
      <w:r w:rsidR="00A14090" w:rsidRPr="00A14090">
        <w:rPr>
          <w:i/>
          <w:szCs w:val="24"/>
        </w:rPr>
        <w:instrText>,"</w:instrText>
      </w:r>
      <w:r w:rsidR="00A14090">
        <w:rPr>
          <w:i/>
          <w:szCs w:val="24"/>
          <w:lang w:val="en-US"/>
        </w:rPr>
        <w:instrText>suffix</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family</w:instrText>
      </w:r>
      <w:r w:rsidR="00A14090" w:rsidRPr="00A14090">
        <w:rPr>
          <w:i/>
          <w:szCs w:val="24"/>
        </w:rPr>
        <w:instrText>":"</w:instrText>
      </w:r>
      <w:r w:rsidR="00A14090">
        <w:rPr>
          <w:i/>
          <w:szCs w:val="24"/>
          <w:lang w:val="en-US"/>
        </w:rPr>
        <w:instrText>Lonial</w:instrText>
      </w:r>
      <w:r w:rsidR="00A14090" w:rsidRPr="00A14090">
        <w:rPr>
          <w:i/>
          <w:szCs w:val="24"/>
        </w:rPr>
        <w:instrText>","</w:instrText>
      </w:r>
      <w:r w:rsidR="00A14090">
        <w:rPr>
          <w:i/>
          <w:szCs w:val="24"/>
          <w:lang w:val="en-US"/>
        </w:rPr>
        <w:instrText>given</w:instrText>
      </w:r>
      <w:r w:rsidR="00A14090" w:rsidRPr="00A14090">
        <w:rPr>
          <w:i/>
          <w:szCs w:val="24"/>
        </w:rPr>
        <w:instrText>":"</w:instrText>
      </w:r>
      <w:r w:rsidR="00A14090">
        <w:rPr>
          <w:i/>
          <w:szCs w:val="24"/>
          <w:lang w:val="en-US"/>
        </w:rPr>
        <w:instrText>Sagar</w:instrText>
      </w:r>
      <w:r w:rsidR="00A14090" w:rsidRPr="00A14090">
        <w:rPr>
          <w:i/>
          <w:szCs w:val="24"/>
        </w:rPr>
        <w:instrText>","</w:instrText>
      </w:r>
      <w:r w:rsidR="00A14090">
        <w:rPr>
          <w:i/>
          <w:szCs w:val="24"/>
          <w:lang w:val="en-US"/>
        </w:rPr>
        <w:instrText>non</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parse</w:instrText>
      </w:r>
      <w:r w:rsidR="00A14090" w:rsidRPr="00A14090">
        <w:rPr>
          <w:i/>
          <w:szCs w:val="24"/>
        </w:rPr>
        <w:instrText>-</w:instrText>
      </w:r>
      <w:r w:rsidR="00A14090">
        <w:rPr>
          <w:i/>
          <w:szCs w:val="24"/>
          <w:lang w:val="en-US"/>
        </w:rPr>
        <w:instrText>names</w:instrText>
      </w:r>
      <w:r w:rsidR="00A14090" w:rsidRPr="00A14090">
        <w:rPr>
          <w:i/>
          <w:szCs w:val="24"/>
        </w:rPr>
        <w:instrText>":</w:instrText>
      </w:r>
      <w:r w:rsidR="00A14090">
        <w:rPr>
          <w:i/>
          <w:szCs w:val="24"/>
          <w:lang w:val="en-US"/>
        </w:rPr>
        <w:instrText>false</w:instrText>
      </w:r>
      <w:r w:rsidR="00A14090" w:rsidRPr="00A14090">
        <w:rPr>
          <w:i/>
          <w:szCs w:val="24"/>
        </w:rPr>
        <w:instrText>,"</w:instrText>
      </w:r>
      <w:r w:rsidR="00A14090">
        <w:rPr>
          <w:i/>
          <w:szCs w:val="24"/>
          <w:lang w:val="en-US"/>
        </w:rPr>
        <w:instrText>suffix</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family</w:instrText>
      </w:r>
      <w:r w:rsidR="00A14090" w:rsidRPr="00A14090">
        <w:rPr>
          <w:i/>
          <w:szCs w:val="24"/>
        </w:rPr>
        <w:instrText>":"</w:instrText>
      </w:r>
      <w:r w:rsidR="00A14090">
        <w:rPr>
          <w:i/>
          <w:szCs w:val="24"/>
          <w:lang w:val="en-US"/>
        </w:rPr>
        <w:instrText>Betts</w:instrText>
      </w:r>
      <w:r w:rsidR="00A14090" w:rsidRPr="00A14090">
        <w:rPr>
          <w:i/>
          <w:szCs w:val="24"/>
        </w:rPr>
        <w:instrText>","</w:instrText>
      </w:r>
      <w:r w:rsidR="00A14090">
        <w:rPr>
          <w:i/>
          <w:szCs w:val="24"/>
          <w:lang w:val="en-US"/>
        </w:rPr>
        <w:instrText>given</w:instrText>
      </w:r>
      <w:r w:rsidR="00A14090" w:rsidRPr="00A14090">
        <w:rPr>
          <w:i/>
          <w:szCs w:val="24"/>
        </w:rPr>
        <w:instrText>":"</w:instrText>
      </w:r>
      <w:r w:rsidR="00A14090">
        <w:rPr>
          <w:i/>
          <w:szCs w:val="24"/>
          <w:lang w:val="en-US"/>
        </w:rPr>
        <w:instrText>Keith</w:instrText>
      </w:r>
      <w:r w:rsidR="00A14090" w:rsidRPr="00A14090">
        <w:rPr>
          <w:i/>
          <w:szCs w:val="24"/>
        </w:rPr>
        <w:instrText xml:space="preserve"> </w:instrText>
      </w:r>
      <w:r w:rsidR="00A14090">
        <w:rPr>
          <w:i/>
          <w:szCs w:val="24"/>
          <w:lang w:val="en-US"/>
        </w:rPr>
        <w:instrText>A</w:instrText>
      </w:r>
      <w:r w:rsidR="00A14090" w:rsidRPr="00A14090">
        <w:rPr>
          <w:i/>
          <w:szCs w:val="24"/>
        </w:rPr>
        <w:instrText>.","</w:instrText>
      </w:r>
      <w:r w:rsidR="00A14090">
        <w:rPr>
          <w:i/>
          <w:szCs w:val="24"/>
          <w:lang w:val="en-US"/>
        </w:rPr>
        <w:instrText>non</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parse</w:instrText>
      </w:r>
      <w:r w:rsidR="00A14090" w:rsidRPr="00A14090">
        <w:rPr>
          <w:i/>
          <w:szCs w:val="24"/>
        </w:rPr>
        <w:instrText>-</w:instrText>
      </w:r>
      <w:r w:rsidR="00A14090">
        <w:rPr>
          <w:i/>
          <w:szCs w:val="24"/>
          <w:lang w:val="en-US"/>
        </w:rPr>
        <w:instrText>names</w:instrText>
      </w:r>
      <w:r w:rsidR="00A14090" w:rsidRPr="00A14090">
        <w:rPr>
          <w:i/>
          <w:szCs w:val="24"/>
        </w:rPr>
        <w:instrText>":</w:instrText>
      </w:r>
      <w:r w:rsidR="00A14090">
        <w:rPr>
          <w:i/>
          <w:szCs w:val="24"/>
          <w:lang w:val="en-US"/>
        </w:rPr>
        <w:instrText>false</w:instrText>
      </w:r>
      <w:r w:rsidR="00A14090" w:rsidRPr="00A14090">
        <w:rPr>
          <w:i/>
          <w:szCs w:val="24"/>
        </w:rPr>
        <w:instrText>,"</w:instrText>
      </w:r>
      <w:r w:rsidR="00A14090">
        <w:rPr>
          <w:i/>
          <w:szCs w:val="24"/>
          <w:lang w:val="en-US"/>
        </w:rPr>
        <w:instrText>suffix</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family</w:instrText>
      </w:r>
      <w:r w:rsidR="00A14090" w:rsidRPr="00A14090">
        <w:rPr>
          <w:i/>
          <w:szCs w:val="24"/>
        </w:rPr>
        <w:instrText>":"</w:instrText>
      </w:r>
      <w:r w:rsidR="00A14090">
        <w:rPr>
          <w:i/>
          <w:szCs w:val="24"/>
          <w:lang w:val="en-US"/>
        </w:rPr>
        <w:instrText>Chen</w:instrText>
      </w:r>
      <w:r w:rsidR="00A14090" w:rsidRPr="00A14090">
        <w:rPr>
          <w:i/>
          <w:szCs w:val="24"/>
        </w:rPr>
        <w:instrText>","</w:instrText>
      </w:r>
      <w:r w:rsidR="00A14090">
        <w:rPr>
          <w:i/>
          <w:szCs w:val="24"/>
          <w:lang w:val="en-US"/>
        </w:rPr>
        <w:instrText>given</w:instrText>
      </w:r>
      <w:r w:rsidR="00A14090" w:rsidRPr="00A14090">
        <w:rPr>
          <w:i/>
          <w:szCs w:val="24"/>
        </w:rPr>
        <w:instrText>":"</w:instrText>
      </w:r>
      <w:r w:rsidR="00A14090">
        <w:rPr>
          <w:i/>
          <w:szCs w:val="24"/>
          <w:lang w:val="en-US"/>
        </w:rPr>
        <w:instrText>Clara</w:instrText>
      </w:r>
      <w:r w:rsidR="00A14090" w:rsidRPr="00A14090">
        <w:rPr>
          <w:i/>
          <w:szCs w:val="24"/>
        </w:rPr>
        <w:instrText>","</w:instrText>
      </w:r>
      <w:r w:rsidR="00A14090">
        <w:rPr>
          <w:i/>
          <w:szCs w:val="24"/>
          <w:lang w:val="en-US"/>
        </w:rPr>
        <w:instrText>non</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parse</w:instrText>
      </w:r>
      <w:r w:rsidR="00A14090" w:rsidRPr="00A14090">
        <w:rPr>
          <w:i/>
          <w:szCs w:val="24"/>
        </w:rPr>
        <w:instrText>-</w:instrText>
      </w:r>
      <w:r w:rsidR="00A14090">
        <w:rPr>
          <w:i/>
          <w:szCs w:val="24"/>
          <w:lang w:val="en-US"/>
        </w:rPr>
        <w:instrText>names</w:instrText>
      </w:r>
      <w:r w:rsidR="00A14090" w:rsidRPr="00A14090">
        <w:rPr>
          <w:i/>
          <w:szCs w:val="24"/>
        </w:rPr>
        <w:instrText>":</w:instrText>
      </w:r>
      <w:r w:rsidR="00A14090">
        <w:rPr>
          <w:i/>
          <w:szCs w:val="24"/>
          <w:lang w:val="en-US"/>
        </w:rPr>
        <w:instrText>false</w:instrText>
      </w:r>
      <w:r w:rsidR="00A14090" w:rsidRPr="00A14090">
        <w:rPr>
          <w:i/>
          <w:szCs w:val="24"/>
        </w:rPr>
        <w:instrText>,"</w:instrText>
      </w:r>
      <w:r w:rsidR="00A14090">
        <w:rPr>
          <w:i/>
          <w:szCs w:val="24"/>
          <w:lang w:val="en-US"/>
        </w:rPr>
        <w:instrText>suffix</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family</w:instrText>
      </w:r>
      <w:r w:rsidR="00A14090" w:rsidRPr="00A14090">
        <w:rPr>
          <w:i/>
          <w:szCs w:val="24"/>
        </w:rPr>
        <w:instrText>":"</w:instrText>
      </w:r>
      <w:r w:rsidR="00A14090">
        <w:rPr>
          <w:i/>
          <w:szCs w:val="24"/>
          <w:lang w:val="en-US"/>
        </w:rPr>
        <w:instrText>Zichlin</w:instrText>
      </w:r>
      <w:r w:rsidR="00A14090" w:rsidRPr="00A14090">
        <w:rPr>
          <w:i/>
          <w:szCs w:val="24"/>
        </w:rPr>
        <w:instrText>","</w:instrText>
      </w:r>
      <w:r w:rsidR="00A14090">
        <w:rPr>
          <w:i/>
          <w:szCs w:val="24"/>
          <w:lang w:val="en-US"/>
        </w:rPr>
        <w:instrText>given</w:instrText>
      </w:r>
      <w:r w:rsidR="00A14090" w:rsidRPr="00A14090">
        <w:rPr>
          <w:i/>
          <w:szCs w:val="24"/>
        </w:rPr>
        <w:instrText>":"</w:instrText>
      </w:r>
      <w:r w:rsidR="00A14090">
        <w:rPr>
          <w:i/>
          <w:szCs w:val="24"/>
          <w:lang w:val="en-US"/>
        </w:rPr>
        <w:instrText>Miriam</w:instrText>
      </w:r>
      <w:r w:rsidR="00A14090" w:rsidRPr="00A14090">
        <w:rPr>
          <w:i/>
          <w:szCs w:val="24"/>
        </w:rPr>
        <w:instrText xml:space="preserve"> </w:instrText>
      </w:r>
      <w:r w:rsidR="00A14090">
        <w:rPr>
          <w:i/>
          <w:szCs w:val="24"/>
          <w:lang w:val="en-US"/>
        </w:rPr>
        <w:instrText>L</w:instrText>
      </w:r>
      <w:r w:rsidR="00A14090" w:rsidRPr="00A14090">
        <w:rPr>
          <w:i/>
          <w:szCs w:val="24"/>
        </w:rPr>
        <w:instrText>.","</w:instrText>
      </w:r>
      <w:r w:rsidR="00A14090">
        <w:rPr>
          <w:i/>
          <w:szCs w:val="24"/>
          <w:lang w:val="en-US"/>
        </w:rPr>
        <w:instrText>non</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parse</w:instrText>
      </w:r>
      <w:r w:rsidR="00A14090" w:rsidRPr="00A14090">
        <w:rPr>
          <w:i/>
          <w:szCs w:val="24"/>
        </w:rPr>
        <w:instrText>-</w:instrText>
      </w:r>
      <w:r w:rsidR="00A14090">
        <w:rPr>
          <w:i/>
          <w:szCs w:val="24"/>
          <w:lang w:val="en-US"/>
        </w:rPr>
        <w:instrText>names</w:instrText>
      </w:r>
      <w:r w:rsidR="00A14090" w:rsidRPr="00A14090">
        <w:rPr>
          <w:i/>
          <w:szCs w:val="24"/>
        </w:rPr>
        <w:instrText>":</w:instrText>
      </w:r>
      <w:r w:rsidR="00A14090">
        <w:rPr>
          <w:i/>
          <w:szCs w:val="24"/>
          <w:lang w:val="en-US"/>
        </w:rPr>
        <w:instrText>false</w:instrText>
      </w:r>
      <w:r w:rsidR="00A14090" w:rsidRPr="00A14090">
        <w:rPr>
          <w:i/>
          <w:szCs w:val="24"/>
        </w:rPr>
        <w:instrText>,"</w:instrText>
      </w:r>
      <w:r w:rsidR="00A14090">
        <w:rPr>
          <w:i/>
          <w:szCs w:val="24"/>
          <w:lang w:val="en-US"/>
        </w:rPr>
        <w:instrText>suffix</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family</w:instrText>
      </w:r>
      <w:r w:rsidR="00A14090" w:rsidRPr="00A14090">
        <w:rPr>
          <w:i/>
          <w:szCs w:val="24"/>
        </w:rPr>
        <w:instrText>":"</w:instrText>
      </w:r>
      <w:r w:rsidR="00A14090">
        <w:rPr>
          <w:i/>
          <w:szCs w:val="24"/>
          <w:lang w:val="en-US"/>
        </w:rPr>
        <w:instrText>Brun</w:instrText>
      </w:r>
      <w:r w:rsidR="00A14090" w:rsidRPr="00A14090">
        <w:rPr>
          <w:i/>
          <w:szCs w:val="24"/>
        </w:rPr>
        <w:instrText>","</w:instrText>
      </w:r>
      <w:r w:rsidR="00A14090">
        <w:rPr>
          <w:i/>
          <w:szCs w:val="24"/>
          <w:lang w:val="en-US"/>
        </w:rPr>
        <w:instrText>given</w:instrText>
      </w:r>
      <w:r w:rsidR="00A14090" w:rsidRPr="00A14090">
        <w:rPr>
          <w:i/>
          <w:szCs w:val="24"/>
        </w:rPr>
        <w:instrText>":"</w:instrText>
      </w:r>
      <w:r w:rsidR="00A14090">
        <w:rPr>
          <w:i/>
          <w:szCs w:val="24"/>
          <w:lang w:val="en-US"/>
        </w:rPr>
        <w:instrText>Alexander</w:instrText>
      </w:r>
      <w:r w:rsidR="00A14090" w:rsidRPr="00A14090">
        <w:rPr>
          <w:i/>
          <w:szCs w:val="24"/>
        </w:rPr>
        <w:instrText>","</w:instrText>
      </w:r>
      <w:r w:rsidR="00A14090">
        <w:rPr>
          <w:i/>
          <w:szCs w:val="24"/>
          <w:lang w:val="en-US"/>
        </w:rPr>
        <w:instrText>non</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parse</w:instrText>
      </w:r>
      <w:r w:rsidR="00A14090" w:rsidRPr="00A14090">
        <w:rPr>
          <w:i/>
          <w:szCs w:val="24"/>
        </w:rPr>
        <w:instrText>-</w:instrText>
      </w:r>
      <w:r w:rsidR="00A14090">
        <w:rPr>
          <w:i/>
          <w:szCs w:val="24"/>
          <w:lang w:val="en-US"/>
        </w:rPr>
        <w:instrText>names</w:instrText>
      </w:r>
      <w:r w:rsidR="00A14090" w:rsidRPr="00A14090">
        <w:rPr>
          <w:i/>
          <w:szCs w:val="24"/>
        </w:rPr>
        <w:instrText>":</w:instrText>
      </w:r>
      <w:r w:rsidR="00A14090">
        <w:rPr>
          <w:i/>
          <w:szCs w:val="24"/>
          <w:lang w:val="en-US"/>
        </w:rPr>
        <w:instrText>false</w:instrText>
      </w:r>
      <w:r w:rsidR="00A14090" w:rsidRPr="00A14090">
        <w:rPr>
          <w:i/>
          <w:szCs w:val="24"/>
        </w:rPr>
        <w:instrText>,"</w:instrText>
      </w:r>
      <w:r w:rsidR="00A14090">
        <w:rPr>
          <w:i/>
          <w:szCs w:val="24"/>
          <w:lang w:val="en-US"/>
        </w:rPr>
        <w:instrText>suffix</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family</w:instrText>
      </w:r>
      <w:r w:rsidR="00A14090" w:rsidRPr="00A14090">
        <w:rPr>
          <w:i/>
          <w:szCs w:val="24"/>
        </w:rPr>
        <w:instrText>":"</w:instrText>
      </w:r>
      <w:r w:rsidR="00A14090">
        <w:rPr>
          <w:i/>
          <w:szCs w:val="24"/>
          <w:lang w:val="en-US"/>
        </w:rPr>
        <w:instrText>Signorovitch</w:instrText>
      </w:r>
      <w:r w:rsidR="00A14090" w:rsidRPr="00A14090">
        <w:rPr>
          <w:i/>
          <w:szCs w:val="24"/>
        </w:rPr>
        <w:instrText>","</w:instrText>
      </w:r>
      <w:r w:rsidR="00A14090">
        <w:rPr>
          <w:i/>
          <w:szCs w:val="24"/>
          <w:lang w:val="en-US"/>
        </w:rPr>
        <w:instrText>given</w:instrText>
      </w:r>
      <w:r w:rsidR="00A14090" w:rsidRPr="00A14090">
        <w:rPr>
          <w:i/>
          <w:szCs w:val="24"/>
        </w:rPr>
        <w:instrText>":"</w:instrText>
      </w:r>
      <w:r w:rsidR="00A14090">
        <w:rPr>
          <w:i/>
          <w:szCs w:val="24"/>
          <w:lang w:val="en-US"/>
        </w:rPr>
        <w:instrText>James</w:instrText>
      </w:r>
      <w:r w:rsidR="00A14090" w:rsidRPr="00A14090">
        <w:rPr>
          <w:i/>
          <w:szCs w:val="24"/>
        </w:rPr>
        <w:instrText xml:space="preserve"> </w:instrText>
      </w:r>
      <w:r w:rsidR="00A14090">
        <w:rPr>
          <w:i/>
          <w:szCs w:val="24"/>
          <w:lang w:val="en-US"/>
        </w:rPr>
        <w:instrText>E</w:instrText>
      </w:r>
      <w:r w:rsidR="00A14090" w:rsidRPr="00A14090">
        <w:rPr>
          <w:i/>
          <w:szCs w:val="24"/>
        </w:rPr>
        <w:instrText>.","</w:instrText>
      </w:r>
      <w:r w:rsidR="00A14090">
        <w:rPr>
          <w:i/>
          <w:szCs w:val="24"/>
          <w:lang w:val="en-US"/>
        </w:rPr>
        <w:instrText>non</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parse</w:instrText>
      </w:r>
      <w:r w:rsidR="00A14090" w:rsidRPr="00A14090">
        <w:rPr>
          <w:i/>
          <w:szCs w:val="24"/>
        </w:rPr>
        <w:instrText>-</w:instrText>
      </w:r>
      <w:r w:rsidR="00A14090">
        <w:rPr>
          <w:i/>
          <w:szCs w:val="24"/>
          <w:lang w:val="en-US"/>
        </w:rPr>
        <w:instrText>names</w:instrText>
      </w:r>
      <w:r w:rsidR="00A14090" w:rsidRPr="00A14090">
        <w:rPr>
          <w:i/>
          <w:szCs w:val="24"/>
        </w:rPr>
        <w:instrText>":</w:instrText>
      </w:r>
      <w:r w:rsidR="00A14090">
        <w:rPr>
          <w:i/>
          <w:szCs w:val="24"/>
          <w:lang w:val="en-US"/>
        </w:rPr>
        <w:instrText>false</w:instrText>
      </w:r>
      <w:r w:rsidR="00A14090" w:rsidRPr="00A14090">
        <w:rPr>
          <w:i/>
          <w:szCs w:val="24"/>
        </w:rPr>
        <w:instrText>,"</w:instrText>
      </w:r>
      <w:r w:rsidR="00A14090">
        <w:rPr>
          <w:i/>
          <w:szCs w:val="24"/>
          <w:lang w:val="en-US"/>
        </w:rPr>
        <w:instrText>suffix</w:instrText>
      </w:r>
      <w:r w:rsidR="00A14090" w:rsidRPr="00A14090">
        <w:rPr>
          <w:i/>
          <w:szCs w:val="24"/>
        </w:rPr>
        <w:instrText>":""},{"</w:instrText>
      </w:r>
      <w:r w:rsidR="00A14090">
        <w:rPr>
          <w:i/>
          <w:szCs w:val="24"/>
          <w:lang w:val="en-US"/>
        </w:rPr>
        <w:instrText>dropping</w:instrText>
      </w:r>
      <w:r w:rsidR="00A14090" w:rsidRPr="00A14090">
        <w:rPr>
          <w:i/>
          <w:szCs w:val="24"/>
        </w:rPr>
        <w:instrText>-</w:instrText>
      </w:r>
      <w:r w:rsidR="00A14090">
        <w:rPr>
          <w:i/>
          <w:szCs w:val="24"/>
          <w:lang w:val="en-US"/>
        </w:rPr>
        <w:instrText>particle</w:instrText>
      </w:r>
      <w:r w:rsidR="00A14090" w:rsidRPr="00A14090">
        <w:rPr>
          <w:i/>
          <w:szCs w:val="24"/>
        </w:rPr>
        <w:instrText>":"","</w:instrText>
      </w:r>
      <w:r w:rsidR="00A14090">
        <w:rPr>
          <w:i/>
          <w:szCs w:val="24"/>
          <w:lang w:val="en-US"/>
        </w:rPr>
        <w:instrText>family</w:instrText>
      </w:r>
      <w:r w:rsidR="00A14090" w:rsidRPr="00A14090">
        <w:rPr>
          <w:i/>
          <w:szCs w:val="24"/>
        </w:rPr>
        <w:instrText>":</w:instrText>
      </w:r>
      <w:r w:rsidR="00A14090">
        <w:rPr>
          <w:i/>
          <w:szCs w:val="24"/>
          <w:lang w:val="en-US"/>
        </w:rPr>
        <w:instrText>"Makenbaeva","given":"Dinara","non-dropping-particle":"","parse-names":false,"suffix":""},{"dropping-particle":"","family":"Mekan","given":"Sabeen","non-dropping-particle":"","parse-names":false,"suffix":""},{"dropping-particle":"","family":"Sy","given":"Oumar","non-dropping-particle":"","parse-names":false,"suffix":""},{"dropping-particle":"","family":"Weisel","given":"Katja","non-dropping-particle":"","parse-names":false,"suffix":""},{"dropping-particle":"","family":"Richardson","given":"Paul G.","non-dropping-particle":"","parse-names":false,"suffix":""}],"container-title":"Cancer","id":"ITEM-1","issue":"20","issued":{"date-parts":[["2018","10"]]},"page":"4032-4043","publisher":"John Wiley and Sons Inc.","title":"Elotuzumab plus lenalidomide and dexamethasone in relapsed/refractory multiple myeloma: Extended 4-year follow-up and analysis of relative progression-free survival from the randomized ELOQUENT-2 trial","type":"article-journal","volume":"124"},"uris":["http://www.mendeley.com/documents/?uuid=61bd686b-4f84-4095-8ebf-00c4d9aa8225"]},{"id":"ITEM-2","itemData":{"DOI":"10.1016/S0140-6736(19)32556-5","ISSN":"1474547X","PMID":"31735560","abstract":"Background: Isatuximab is a monoclonal antibody that binds a specific epitope on the human CD38 receptor and has antitumour activity via multiple mechanisms of action. In a previous phase 1b study, around 65% of patients with relapsed and refractory multiple myeloma achieved an overall response with a combination of isatuximab with pomalidomide and low-dose dexamethasone. The aim of this study was to determine the progression-free survival benefit of isatuximab plus pomalidomide and dexamethasone compared with pomalidomide and dexamethasone in patients with relapsed and refractory multiple myeloma. Methods: We did a randomised, multicentre, open-label, phase 3 study at 102 hospitals in 24 countries in Europe, North America, and the Asia-Pacific regions. Eligible participants were adult patients with relapsed and refractory multiple myeloma who had received at least two previous lines of treatment, including lenalidomide and a proteasome inhibitor. Patients were excluded if they were refractory to previous treatment with an anti-CD38 monoclonal antibody. We randomly assigned patients (1:1) to either isatuximab 10 mg/kg plus pomalidomide 4 mg plus dexamethasone 40 mg (20 mg for patients aged ≥75 years), or pomalidomide 4 mg plus dexamethasone 40 mg. Randomisation was done using interactive response technology and stratified according to the number of previous lines of treatment (2–3 vs &gt;3) and age (&lt;75 years vs ≥75 years). Treatments were assigned based on a permuted blocked randomisation scheme with a block size of four. The isatuximab–pomalidomide–dexamethasone group received isatuximab intravenously on days 1, 8, 15, and 22 in the first 28-day cycle, then on days 1 and 15 in subsequent cycles. Both groups received oral pomalidomide on days 1 to 21 in each cycle, and oral or intravenous dexamethasone on days 1, 8, 15, and 22 of each cycle. Treatment continued until disease progression, unacceptable toxicity, or consent withdrawal. Dose reductions for adverse reactions were permitted for pomalidomide and dexamethasone, but not for isatuximab. The primary endpoint was progression-free survival, determined by an independent response committee and assessed in the intention-to-treat population. Safety was assessed in all participants who received at least one dose of study drug. This study is registered at ClinicalTrials.gov, number NCT02990338. Findings: Between Jan 10, 2017, and Feb 2, 2018, we randomly assigned 307 patients to treatment: 154 to isatuximab…","author":[{"dropping-particle":"","family":"Attal","given":"Michel","non-dropping-particle":"","parse-names":false,"suffix":""},{"dropping-particle":"","family":"Richardson","given":"Paul G.","non-dropping-particle":"","parse-names":false,"suffix":""},{"dropping-particle":"","family":"Rajkumar","given":"S. Vincent","non-dropping-particle":"","parse-names":false,"suffix":""},{"dropping-particle":"","family":"San-Miguel","given":"Jesus","non-dropping-particle":"","parse-names":false,"suffix":""},{"dropping-particle":"","family":"Beksac","given":"Meral","non-dropping-particle":"","parse-names":false,"suffix":""},{"dropping-particle":"","family":"Spicka","given":"Ivan","non-dropping-particle":"","parse-names":false,"suffix":""},{"dropping-particle":"","family":"Leleu","given":"Xavier","non-dropping-particle":"","parse-names":false,"suffix":""},{"dropping-particle":"","family":"Schjesvold","given":"Fredrik","non-dropping-particle":"","parse-names":false,"suffix":""},{"dropping-particle":"","family":"Moreau","given":"Philippe","non-dropping-particle":"","parse-names":false,"suffix":""},{"dropping-particle":"","family":"Dimopoulos","given":"Meletios A.","non-dropping-particle":"","parse-names":false,"suffix":""},{"dropping-particle":"","family":"Huang","given":"Jeffrey Shang Yi","non-dropping-particle":"","parse-names":false,"suffix":""},{"dropping-particle":"","family":"Minarik","given":"Jiri","non-dropping-particle":"","parse-names":false,"suffix":""},{"dropping-particle":"","family":"Cavo","given":"Michele","non-dropping-particle":"","parse-names":false,"suffix":""},{"dropping-particle":"","family":"Prince","given":"H. Miles","non-dropping-particle":"","parse-names":false,"suffix":""},{"dropping-particle":"","family":"Macé","given":"Sandrine","non-dropping-particle":"","parse-names":false,"suffix":""},{"dropping-particle":"","family":"Corzo","given":"Kathryn P.","non-dropping-particle":"","parse-names":false,"suffix":""},{"dropping-particle":"","family":"Campana","given":"Frank","non-dropping-particle":"","parse-names":false,"suffix":""},{"dropping-particle":"","family":"Le-Guennec","given":"Solenn","non-dropping-particle":"","parse-names":false,"suffix":""},{"dropping-particle":"","family":"Dubin","given":"Franck","non-dropping-particle":"","parse-names":false,"suffix":""},{"dropping-particle":"","family":"Anderson","given":"Kenneth C.","non-dropping-particle":"","parse-names":false,"suffix":""},{"dropping-particle":"","family":"Richardson","given":"Paul G.","non-dropping-particle":"","parse-names":false,"suffix":""},{"dropping-particle":"","family":"Rajkumar","given":"Vincent","non-dropping-particle":"","parse-names":false,"suffix":""},{"dropping-particle":"","family":"Dimopoulos","given":"Meletios A.","non-dropping-particle":"","parse-names":false,"suffix":""},{"dropping-particle":"","family":"Prince","given":"H. Miles","non-dropping-particle":"","parse-names":false,"suffix":""},{"dropping-particle":"","family":"Corzo","given":"Kathryn P.","non-dropping-particle":"","parse-names":false,"suffix":""},{"dropping-particle":"","family":"Anderson","given":"Kenneth C.","non-dropping-particle":"","parse-names":false,"suffix":""},{"dropping-particle":"","family":"Harrison","given":"Simon","non-dropping-particle":"","parse-names":false,"suffix":""},{"dropping-particle":"","family":"Janowski","given":"Wojt","non-dropping-particle":"","parse-names":false,"suffix":""},{"dropping-particle":"","family":"Kerridge","given":"Ian","non-dropping-particle":"","parse-names":false,"suffix":""},{"dropping-particle":"","family":"Spencer","given":"Andrew","non-dropping-particle":"","parse-names":false,"suffix":""},{"dropping-particle":"","family":"Delforge","given":"Michel","non-dropping-particle":"","parse-names":false,"suffix":""},{"dropping-particle":"","family":"Fostier","given":"Karel","non-dropping-particle":"","parse-names":false,"suffix":""},{"dropping-particle":"","family":"Vlummens","given":"Philip","non-dropping-particle":"","parse-names":false,"suffix":""},{"dropping-particle":"","family":"Wu","given":"Ka Lung","non-dropping-particle":"","parse-names":false,"suffix":""},{"dropping-particle":"","family":"Leblanc","given":"Richard","non-dropping-particle":"","parse-names":false,"suffix":""},{"dropping-particle":"","family":"Pavic","given":"Michel","non-dropping-particle":"","parse-names":false,"suffix":""},{"dropping-particle":"","family":"Sebag","given":"Michael","non-dropping-particle":"","parse-names":false,"suffix":""},{"dropping-particle":"","family":"Hajek","given":"Roman","non-dropping-particle":"","parse-names":false,"suffix":""},{"dropping-particle":"","family":"Maisnar","given":"Vladimir","non-dropping-particle":"","parse-names":false,"suffix":""},{"dropping-particle":"","family":"Pour","given":"Ludek","non-dropping-particle":"","parse-names":false,"suffix":""},{"dropping-particle":"","family":"Gregersen","given":"Henrik","non-dropping-particle":"","parse-names":false,"suffix":""},{"dropping-particle":"","family":"Benbouker","given":"Lotfi","non-dropping-particle":"","parse-names":false,"suffix":""},{"dropping-particle":"","family":"Caillot","given":"Denis","non-dropping-particle":"","parse-names":false,"suffix":""},{"dropping-particle":"","family":"Escoffre-Barbe","given":"Martine","non-dropping-particle":"","parse-names":false,"suffix":""},{"dropping-particle":"","family":"Facon","given":"Thierry","non-dropping-particle":"","parse-names":false,"suffix":""},{"dropping-particle":"","family":"Frenzel","given":"Laurent","non-dropping-particle":"","parse-names":false,"suffix":""},{"dropping-particle":"","family":"Hulin","given":"Cyrille","non-dropping-particle":"","parse-names":false,"suffix":""},{"dropping-particle":"","family":"Karlin","given":"Lionel","non-dropping-particle":"","parse-names":false,"suffix":""},{"dropping-particle":"","family":"Kolb","given":"Brigitte","non-dropping-particle":"","parse-names":false,"suffix":""},{"dropping-particle":"","family":"Pegourie","given":"Brigitte","non-dropping-particle":"","parse-names":false,"suffix":""},{"dropping-particle":"","family":"Perrot","given":"Aurore","non-dropping-particle":"","parse-names":false,"suffix":""},{"dropping-particle":"","family":"Tiab","given":"Mourad","non-dropping-particle":"","parse-names":false,"suffix":""},{"dropping-particle":"","family":"Vincent","given":"Laure","non-dropping-particle":"","parse-names":false,"suffix":""},{"dropping-particle":"","family":"Niederwieser","given":"Dietger","non-dropping-particle":"","parse-names":false,"suffix":""},{"dropping-particle":"","family":"Anagnostopoulos","given":"Achilles","non-dropping-particle":"","parse-names":false,"suffix":""},{"dropping-particle":"","family":"Delimpasi","given":"Sosana","non-dropping-particle":"","parse-names":false,"suffix":""},{"dropping-particle":"","family":"Kyrtsonis","given":"Marie Christine","non-dropping-particle":"","parse-names":false,"suffix":""},{"dropping-particle":"","family":"Symeonidis","given":"Anargyros","non-dropping-particle":"","parse-names":false,"suffix":""},{"dropping-particle":"","family":"Illes","given":"Arpad","non-dropping-particle":"","parse-names":false,"suffix":""},{"dropping-particle":"","family":"Mikala","given":"Gabor","non-dropping-particle":"","parse-names":false,"suffix":""},{"dropping-particle":"","family":"Nagy","given":"Zsolt","non-dropping-particle":"","parse-names":false,"suffix":""},{"dropping-particle":"","family":"Bringen","given":"Sara","non-dropping-particle":"","parse-names":false,"suffix":""},{"dropping-particle":"","family":"Corradini","given":"Paolo","non-dropping-particle":"","parse-names":false,"suffix":""},{"dropping-particle":"","family":"Fabio","given":"Ciceri","non-dropping-particle":"","parse-names":false,"suffix":""},{"dropping-particle":"","family":"Lemoli","given":"Roberto","non-dropping-particle":"","parse-names":false,"suffix":""},{"dropping-particle":"","family":"Liberati","given":"Anna","non-dropping-particle":"","parse-names":false,"suffix":""},{"dropping-particle":"","family":"Nozzoli","given":"Chiara","non-dropping-particle":"","parse-names":false,"suffix":""},{"dropping-particle":"","family":"Zambello","given":"Renato","non-dropping-particle":"","parse-names":false,"suffix":""},{"dropping-particle":"","family":"Iida","given":"Shinsuke","non-dropping-particle":"","parse-names":false,"suffix":""},{"dropping-particle":"","family":"Ikeda","given":"Takashi","non-dropping-particle":"","parse-names":false,"suffix":""},{"dropping-particle":"","family":"Iyama","given":"Satoshi","non-dropping-particle":"","parse-names":false,"suffix":""},{"dropping-particle":"","family":"Matsumoto","given":"Morio","non-dropping-particle":"","parse-names":false,"suffix":""},{"dropping-particle":"","family":"Shimazaki","given":"Chihiro","non-dropping-particle":"","parse-names":false,"suffix":""},{"dropping-particle":"","family":"Sunami","given":"Kazutaka","non-dropping-particle":"","parse-names":false,"suffix":""},{"dropping-particle":"","family":"Suzuki","given":"Kenshi","non-dropping-particle":"","parse-names":false,"suffix":""},{"dropping-particle":"","family":"Uchiyama","given":"Michihiro","non-dropping-particle":"","parse-names":false,"suffix":""},{"dropping-particle":"","family":"Koh","given":"Youngil","non-dropping-particle":"","parse-names":false,"suffix":""},{"dropping-particle":"","family":"Kim","given":"Kihyun","non-dropping-particle":"","parse-names":false,"suffix":""},{"dropping-particle":"","family":"Lee","given":"Jae Hoon","non-dropping-particle":"","parse-names":false,"suffix":""},{"dropping-particle":"","family":"Min","given":"Chang Ki","non-dropping-particle":"","parse-names":false,"suffix":""},{"dropping-particle":"","family":"Blacklock","given":"Hillary","non-dropping-particle":"","parse-names":false,"suffix":""},{"dropping-particle":"","family":"Goodman","given":"Hugh","non-dropping-particle":"","parse-names":false,"suffix":""},{"dropping-particle":"","family":"Neylon","given":"Annette","non-dropping-particle":"","parse-names":false,"suffix":""},{"dropping-particle":"","family":"Simpson","given":"David","non-dropping-particle":"","parse-names":false,"suffix":""},{"dropping-particle":"","family":"Grosicki","given":"Sebastian","non-dropping-particle":"","parse-names":false,"suffix":""},{"dropping-particle":"","family":"Jurczyszyn","given":"Artur","non-dropping-particle":"","parse-names":false,"suffix":""},{"dropping-particle":"","family":"Walter-Croneck","given":"Adam","non-dropping-particle":"","parse-names":false,"suffix":""},{"dropping-particle":"","family":"Warzocha","given":"Krzysztof","non-dropping-particle":"","parse-names":false,"suffix":""},{"dropping-particle":"","family":"Araujo","given":"Luis","non-dropping-particle":"","parse-names":false,"suffix":""},{"dropping-particle":"","family":"Moreira","given":"Claudia","non-dropping-particle":"","parse-names":false,"suffix":""},{"dropping-particle":"","family":"Doronin","given":"Vadim","non-dropping-particle":"","parse-names":false,"suffix":""},{"dropping-particle":"","family":"Mendeleeva","given":"Larisa","non-dropping-particle":"","parse-names":false,"suffix":""},{"dropping-particle":"","family":"Vorobyev","given":"Vladimir","non-dropping-particle":"","parse-names":false,"suffix":""},{"dropping-particle":"","family":"Vranovsky","given":"Andrej","non-dropping-particle":"","parse-names":false,"suffix":""},{"dropping-particle":"","family":"Alegre","given":"Adrian","non-dropping-particle":"","parse-names":false,"suffix":""},{"dropping-particle":"","family":"Gironella","given":"Mercedes","non-dropping-particle":"","parse-names":false,"suffix":""},{"dropping-particle":"","family":"Gonzalez Perez","given":"Marta Sonia","non-dropping-particle":"","parse-names":false,"suffix":""},{"dropping-particle":"","family":"Montes","given":"Carmen","non-dropping-particle":"","parse-names":false,"suffix":""},{"dropping-particle":"","family":"Ocio","given":"Enrique","non-dropping-particle":"","parse-names":false,"suffix":""},{"dropping-particle":"","family":"Rodriguez","given":"Paula","non-dropping-particle":"","parse-names":false,"suffix":""},{"dropping-particle":"","family":"Hardling","given":"Mats","non-dropping-particle":"","parse-names":false,"suffix":""},{"dropping-particle":"","family":"Lauri","given":"Birgitta","non-dropping-particle":"","parse-names":false,"suffix":""},{"dropping-particle":"","family":"Wang","given":"Ming Chung","non-dropping-particle":"","parse-names":false,"suffix":""},{"dropping-particle":"","family":"Yeh","given":"Su Peng","non-dropping-particle":"","parse-names":false,"suffix":""},{"dropping-particle":"","family":"Arat","given":"Mutlu","non-dropping-particle":"","parse-names":false,"suffix":""},{"dropping-particle":"","family":"Demirkan","given":"Fatih","non-dropping-particle":"","parse-names":false,"suffix":""},{"dropping-particle":"","family":"Gulbas","given":"Zafer","non-dropping-particle":"","parse-names":false,"suffix":""},{"dropping-particle":"","family":"Besisik","given":"Sevgi Kalayoglu","non-dropping-particle":"","parse-names":false,"suffix":""},{"dropping-particle":"","family":"Karadogan","given":"Ihsan","non-dropping-particle":"","parse-names":false,"suffix":""},{"dropping-particle":"","family":"Tuglular","given":"Tulin","non-dropping-particle":"","parse-names":false,"suffix":""},{"dropping-particle":"","family":"Unal","given":"Ali","non-dropping-particle":"","parse-names":false,"suffix":""},{"dropping-particle":"","family":"Vural","given":"Filiz","non-dropping-particle":"","parse-names":false,"suffix":""},{"dropping-particle":"","family":"Sive","given":"Jonathan","non-dropping-particle":"","parse-names":false,"suffix":""},{"dropping-particle":"","family":"Streetly","given":"Matthew","non-dropping-particle":"","parse-names":false,"suffix":""},{"dropping-particle":"","family":"Yong","given":"Kwee","non-dropping-particle":"","parse-names":false,"suffix":""},{"dropping-particle":"","family":"Tache","given":"Jason","non-dropping-particle":"","parse-names":false,"suffix":""}],"container-title":"The Lancet","id":"ITEM-2","issue":"10214","issued":{"date-parts":[["2019","12"]]},"page":"2096-2107","publisher":"Lancet Publishing Group","title":"Isatuximab plus pomalidomide and low-dose dexamethasone versus pomalidomide and low-dose dexamethasone in patients with relapsed and refractory multiple myeloma (ICARIA-MM): a randomised, multicentre, open-label, phase 3 study","type":"article-journal","volume":"394"},"uris":["http://www.mendeley.com/documents/?uuid=20466213-4d26-438c-91c1-d564970f7f26"]},{"id":"ITEM-3","itemData":{"DOI":"10.1200/jco.2009.27.15_suppl.8536","author":[{"dropping-particle":"","family":"Anderson","given":"K.C.","non-dropping-particle":"","parse-names":false,"suffix":""},{"dropping-particle":"","family":"Jagannath","given":"S.","non-dropping-particle":"","parse-names":false,"suffix":""},{"dropping-particle":"","family":"Jakubowiak","given":"A.","non-dropping-particle":"","parse-names":false,"suffix":""},{"dropping-particle":"","family":"Lonial","given":"S.","non-dropping-particle":"","parse-names":false,"suffix":""},{"dropping-particle":"","family":"Raje","given":"N.","non-dropping-particle":"","parse-names":false,"suffix":""},{"dropping-particle":"","family":"Alsina","given":"M.","non-dropping-particle":"","parse-names":false,"suffix":""},{"dropping-particle":"","family":"Ghobrial","given":"I.","non-dropping-particle":"","parse-names":false,"suffix":""},{"dropping-particle":"","family":"Knight","given":"R.","non-dropping-particle":"","parse-names":false,"suffix":""},{"dropping-particle":"","family":"Esseltine","given":"D.","non-dropping-particle":"","parse-names":false,"suffix":""},{"dropping-particle":"","family":"Richardson","given":"P.","non-dropping-particle":"","parse-names":false,"suffix":""}],"container-title":"Journal of Clinical Oncology","id":"ITEM-3","issue":"15 (Suppl.)","issued":{"date-parts":[["2009"]]},"page":"Abstract 8536","title":"Lenalidomide, bortezomib, and dexamethasone in relapsed/refractory multiple myeloma (MM): Encouraging outcomes and tolerability in a phase II study","type":"article-journal","volume":"27"},"uris":["http://www.mendeley.com/documents/?uuid=e626abc9-b1fb-4470-be82-facc41059486"]},{"id":"ITEM-4","itemData":{"DOI":"10.1016/j.clml.2017.12.011","ISSN":"21522669","abstract":"A systematic review and network meta-analysis were conducted to compare the clinical efficacy of immunomodulatory drug-containing regimens in patients with relapsed or refractory multiple myeloma. Daratumumab plus lenalidomide and dexamethasone had a significant advantage in improving progression-free survival of patients compared with other immunomodulatory drug-containing regimens. Background: Previous network meta-analyses combined studies of immunomodulatory drug (IMiD)–containing and IMiD-free regimens, despite a lack of head-to-head randomized controlled trials to robustly link them. However, patients with relapsed or refractory multiple myeloma (RRMM) treated with IMiD-containing regimens differ from those treated with IMiD-free regimens, especially relating to treatment history, which is an important treatment-effect modifier requiring clinical consideration when evaluating the most appropriate subsequent treatment options. A need exists to separately assess the efficacy of treatment regimens for patients who are suitable candidates for IMiD-containing and IMiD-free regimens. The presented analyses will enable clinicians to assess the best regimens to use in patients suitable for IMiD-containing regimens. Materials and Methods: We used a Bayesian network meta-analysis to compare IMiD-containing regimens in patients with RRMM. Additionally, subgroup analyses were conducted stratified by previous therapy line, previous bortezomib therapy, and previous lenalidomide therapy. Results: The results indicated that triplet combinations are more effective than doublet combinations. Of the triplet combinations, daratumumab, lenalidomide, dexamethasone (DRd) was significantly better in improving progression-free survival in patients with RRMM than were other IMiD-containing regimens (lenalidomide, dexamethasone [Rd]: hazard ratio [HR], 0.37; carfilzomib, Rd: HR, 0.54; elotuzumab, Rd: HR, 0.54; ixazomib, Rd: HR, 0.50). Similar trends were observed for overall survival and overall response. DRd showed the greatest probability of being the best treatment for all clinical efficacy outcomes. The subgroup analyses results were consistent with the base-case results. Conclusion: In patients with RRMM who are suitable for an IMiD-containing regimen, DRd showed clear advantages in survival and response outcomes compared with other IMiD-containing regimens.","author":[{"dropping-particle":"","family":"Dimopoulos","given":"Meletios Athanasios","non-dropping-particle":"","parse-names":false,"suffix":""},{"dropping-particle":"","family":"Kaufman","given":"Jonathan L.","non-dropping-particle":"","parse-names":false,"suffix":""},{"dropping-particle":"","family":"White","given":"Darrell","non-dropping-particle":"","parse-names":false,"suffix":""},{"dropping-particle":"","family":"Cook","given":"Gordon","non-dropping-particle":"","parse-names":false,"suffix":""},{"dropping-particle":"","family":"Rizzo</w:instrText>
      </w:r>
      <w:r w:rsidR="00A14090" w:rsidRPr="00A30463">
        <w:rPr>
          <w:i/>
          <w:szCs w:val="24"/>
        </w:rPr>
        <w:instrText>","</w:instrText>
      </w:r>
      <w:r w:rsidR="00A14090">
        <w:rPr>
          <w:i/>
          <w:szCs w:val="24"/>
          <w:lang w:val="en-US"/>
        </w:rPr>
        <w:instrText>given</w:instrText>
      </w:r>
      <w:r w:rsidR="00A14090" w:rsidRPr="00A30463">
        <w:rPr>
          <w:i/>
          <w:szCs w:val="24"/>
        </w:rPr>
        <w:instrText>":"</w:instrText>
      </w:r>
      <w:r w:rsidR="00A14090">
        <w:rPr>
          <w:i/>
          <w:szCs w:val="24"/>
          <w:lang w:val="en-US"/>
        </w:rPr>
        <w:instrText>Maria</w:instrText>
      </w:r>
      <w:r w:rsidR="00A14090" w:rsidRPr="00A30463">
        <w:rPr>
          <w:i/>
          <w:szCs w:val="24"/>
        </w:rPr>
        <w:instrText>","</w:instrText>
      </w:r>
      <w:r w:rsidR="00A14090">
        <w:rPr>
          <w:i/>
          <w:szCs w:val="24"/>
          <w:lang w:val="en-US"/>
        </w:rPr>
        <w:instrText>non</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parse</w:instrText>
      </w:r>
      <w:r w:rsidR="00A14090" w:rsidRPr="00A30463">
        <w:rPr>
          <w:i/>
          <w:szCs w:val="24"/>
        </w:rPr>
        <w:instrText>-</w:instrText>
      </w:r>
      <w:r w:rsidR="00A14090">
        <w:rPr>
          <w:i/>
          <w:szCs w:val="24"/>
          <w:lang w:val="en-US"/>
        </w:rPr>
        <w:instrText>names</w:instrText>
      </w:r>
      <w:r w:rsidR="00A14090" w:rsidRPr="00A30463">
        <w:rPr>
          <w:i/>
          <w:szCs w:val="24"/>
        </w:rPr>
        <w:instrText>":</w:instrText>
      </w:r>
      <w:r w:rsidR="00A14090">
        <w:rPr>
          <w:i/>
          <w:szCs w:val="24"/>
          <w:lang w:val="en-US"/>
        </w:rPr>
        <w:instrText>false</w:instrText>
      </w:r>
      <w:r w:rsidR="00A14090" w:rsidRPr="00A30463">
        <w:rPr>
          <w:i/>
          <w:szCs w:val="24"/>
        </w:rPr>
        <w:instrText>,"</w:instrText>
      </w:r>
      <w:r w:rsidR="00A14090">
        <w:rPr>
          <w:i/>
          <w:szCs w:val="24"/>
          <w:lang w:val="en-US"/>
        </w:rPr>
        <w:instrText>suffix</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family</w:instrText>
      </w:r>
      <w:r w:rsidR="00A14090" w:rsidRPr="00A30463">
        <w:rPr>
          <w:i/>
          <w:szCs w:val="24"/>
        </w:rPr>
        <w:instrText>":"</w:instrText>
      </w:r>
      <w:r w:rsidR="00A14090">
        <w:rPr>
          <w:i/>
          <w:szCs w:val="24"/>
          <w:lang w:val="en-US"/>
        </w:rPr>
        <w:instrText>Xu</w:instrText>
      </w:r>
      <w:r w:rsidR="00A14090" w:rsidRPr="00A30463">
        <w:rPr>
          <w:i/>
          <w:szCs w:val="24"/>
        </w:rPr>
        <w:instrText>","</w:instrText>
      </w:r>
      <w:r w:rsidR="00A14090">
        <w:rPr>
          <w:i/>
          <w:szCs w:val="24"/>
          <w:lang w:val="en-US"/>
        </w:rPr>
        <w:instrText>given</w:instrText>
      </w:r>
      <w:r w:rsidR="00A14090" w:rsidRPr="00A30463">
        <w:rPr>
          <w:i/>
          <w:szCs w:val="24"/>
        </w:rPr>
        <w:instrText>":"</w:instrText>
      </w:r>
      <w:r w:rsidR="00A14090">
        <w:rPr>
          <w:i/>
          <w:szCs w:val="24"/>
          <w:lang w:val="en-US"/>
        </w:rPr>
        <w:instrText>Yingxin</w:instrText>
      </w:r>
      <w:r w:rsidR="00A14090" w:rsidRPr="00A30463">
        <w:rPr>
          <w:i/>
          <w:szCs w:val="24"/>
        </w:rPr>
        <w:instrText>","</w:instrText>
      </w:r>
      <w:r w:rsidR="00A14090">
        <w:rPr>
          <w:i/>
          <w:szCs w:val="24"/>
          <w:lang w:val="en-US"/>
        </w:rPr>
        <w:instrText>non</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parse</w:instrText>
      </w:r>
      <w:r w:rsidR="00A14090" w:rsidRPr="00A30463">
        <w:rPr>
          <w:i/>
          <w:szCs w:val="24"/>
        </w:rPr>
        <w:instrText>-</w:instrText>
      </w:r>
      <w:r w:rsidR="00A14090">
        <w:rPr>
          <w:i/>
          <w:szCs w:val="24"/>
          <w:lang w:val="en-US"/>
        </w:rPr>
        <w:instrText>names</w:instrText>
      </w:r>
      <w:r w:rsidR="00A14090" w:rsidRPr="00A30463">
        <w:rPr>
          <w:i/>
          <w:szCs w:val="24"/>
        </w:rPr>
        <w:instrText>":</w:instrText>
      </w:r>
      <w:r w:rsidR="00A14090">
        <w:rPr>
          <w:i/>
          <w:szCs w:val="24"/>
          <w:lang w:val="en-US"/>
        </w:rPr>
        <w:instrText>false</w:instrText>
      </w:r>
      <w:r w:rsidR="00A14090" w:rsidRPr="00A30463">
        <w:rPr>
          <w:i/>
          <w:szCs w:val="24"/>
        </w:rPr>
        <w:instrText>,"</w:instrText>
      </w:r>
      <w:r w:rsidR="00A14090">
        <w:rPr>
          <w:i/>
          <w:szCs w:val="24"/>
          <w:lang w:val="en-US"/>
        </w:rPr>
        <w:instrText>suffix</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family</w:instrText>
      </w:r>
      <w:r w:rsidR="00A14090" w:rsidRPr="00A30463">
        <w:rPr>
          <w:i/>
          <w:szCs w:val="24"/>
        </w:rPr>
        <w:instrText>":"</w:instrText>
      </w:r>
      <w:r w:rsidR="00A14090">
        <w:rPr>
          <w:i/>
          <w:szCs w:val="24"/>
          <w:lang w:val="en-US"/>
        </w:rPr>
        <w:instrText>Fahrbach</w:instrText>
      </w:r>
      <w:r w:rsidR="00A14090" w:rsidRPr="00A30463">
        <w:rPr>
          <w:i/>
          <w:szCs w:val="24"/>
        </w:rPr>
        <w:instrText>","</w:instrText>
      </w:r>
      <w:r w:rsidR="00A14090">
        <w:rPr>
          <w:i/>
          <w:szCs w:val="24"/>
          <w:lang w:val="en-US"/>
        </w:rPr>
        <w:instrText>given</w:instrText>
      </w:r>
      <w:r w:rsidR="00A14090" w:rsidRPr="00A30463">
        <w:rPr>
          <w:i/>
          <w:szCs w:val="24"/>
        </w:rPr>
        <w:instrText>":"</w:instrText>
      </w:r>
      <w:r w:rsidR="00A14090">
        <w:rPr>
          <w:i/>
          <w:szCs w:val="24"/>
          <w:lang w:val="en-US"/>
        </w:rPr>
        <w:instrText>Kyle</w:instrText>
      </w:r>
      <w:r w:rsidR="00A14090" w:rsidRPr="00A30463">
        <w:rPr>
          <w:i/>
          <w:szCs w:val="24"/>
        </w:rPr>
        <w:instrText>","</w:instrText>
      </w:r>
      <w:r w:rsidR="00A14090">
        <w:rPr>
          <w:i/>
          <w:szCs w:val="24"/>
          <w:lang w:val="en-US"/>
        </w:rPr>
        <w:instrText>non</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parse</w:instrText>
      </w:r>
      <w:r w:rsidR="00A14090" w:rsidRPr="00A30463">
        <w:rPr>
          <w:i/>
          <w:szCs w:val="24"/>
        </w:rPr>
        <w:instrText>-</w:instrText>
      </w:r>
      <w:r w:rsidR="00A14090">
        <w:rPr>
          <w:i/>
          <w:szCs w:val="24"/>
          <w:lang w:val="en-US"/>
        </w:rPr>
        <w:instrText>names</w:instrText>
      </w:r>
      <w:r w:rsidR="00A14090" w:rsidRPr="00A30463">
        <w:rPr>
          <w:i/>
          <w:szCs w:val="24"/>
        </w:rPr>
        <w:instrText>":</w:instrText>
      </w:r>
      <w:r w:rsidR="00A14090">
        <w:rPr>
          <w:i/>
          <w:szCs w:val="24"/>
          <w:lang w:val="en-US"/>
        </w:rPr>
        <w:instrText>false</w:instrText>
      </w:r>
      <w:r w:rsidR="00A14090" w:rsidRPr="00A30463">
        <w:rPr>
          <w:i/>
          <w:szCs w:val="24"/>
        </w:rPr>
        <w:instrText>,"</w:instrText>
      </w:r>
      <w:r w:rsidR="00A14090">
        <w:rPr>
          <w:i/>
          <w:szCs w:val="24"/>
          <w:lang w:val="en-US"/>
        </w:rPr>
        <w:instrText>suffix</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family</w:instrText>
      </w:r>
      <w:r w:rsidR="00A14090" w:rsidRPr="00A30463">
        <w:rPr>
          <w:i/>
          <w:szCs w:val="24"/>
        </w:rPr>
        <w:instrText>":"</w:instrText>
      </w:r>
      <w:r w:rsidR="00A14090">
        <w:rPr>
          <w:i/>
          <w:szCs w:val="24"/>
          <w:lang w:val="en-US"/>
        </w:rPr>
        <w:instrText>Gaudig</w:instrText>
      </w:r>
      <w:r w:rsidR="00A14090" w:rsidRPr="00A30463">
        <w:rPr>
          <w:i/>
          <w:szCs w:val="24"/>
        </w:rPr>
        <w:instrText>","</w:instrText>
      </w:r>
      <w:r w:rsidR="00A14090">
        <w:rPr>
          <w:i/>
          <w:szCs w:val="24"/>
          <w:lang w:val="en-US"/>
        </w:rPr>
        <w:instrText>given</w:instrText>
      </w:r>
      <w:r w:rsidR="00A14090" w:rsidRPr="00A30463">
        <w:rPr>
          <w:i/>
          <w:szCs w:val="24"/>
        </w:rPr>
        <w:instrText>":"</w:instrText>
      </w:r>
      <w:r w:rsidR="00A14090">
        <w:rPr>
          <w:i/>
          <w:szCs w:val="24"/>
          <w:lang w:val="en-US"/>
        </w:rPr>
        <w:instrText>Maren</w:instrText>
      </w:r>
      <w:r w:rsidR="00A14090" w:rsidRPr="00A30463">
        <w:rPr>
          <w:i/>
          <w:szCs w:val="24"/>
        </w:rPr>
        <w:instrText>","</w:instrText>
      </w:r>
      <w:r w:rsidR="00A14090">
        <w:rPr>
          <w:i/>
          <w:szCs w:val="24"/>
          <w:lang w:val="en-US"/>
        </w:rPr>
        <w:instrText>non</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parse</w:instrText>
      </w:r>
      <w:r w:rsidR="00A14090" w:rsidRPr="00A30463">
        <w:rPr>
          <w:i/>
          <w:szCs w:val="24"/>
        </w:rPr>
        <w:instrText>-</w:instrText>
      </w:r>
      <w:r w:rsidR="00A14090">
        <w:rPr>
          <w:i/>
          <w:szCs w:val="24"/>
          <w:lang w:val="en-US"/>
        </w:rPr>
        <w:instrText>names</w:instrText>
      </w:r>
      <w:r w:rsidR="00A14090" w:rsidRPr="00A30463">
        <w:rPr>
          <w:i/>
          <w:szCs w:val="24"/>
        </w:rPr>
        <w:instrText>":</w:instrText>
      </w:r>
      <w:r w:rsidR="00A14090">
        <w:rPr>
          <w:i/>
          <w:szCs w:val="24"/>
          <w:lang w:val="en-US"/>
        </w:rPr>
        <w:instrText>false</w:instrText>
      </w:r>
      <w:r w:rsidR="00A14090" w:rsidRPr="00A30463">
        <w:rPr>
          <w:i/>
          <w:szCs w:val="24"/>
        </w:rPr>
        <w:instrText>,"</w:instrText>
      </w:r>
      <w:r w:rsidR="00A14090">
        <w:rPr>
          <w:i/>
          <w:szCs w:val="24"/>
          <w:lang w:val="en-US"/>
        </w:rPr>
        <w:instrText>suffix</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family</w:instrText>
      </w:r>
      <w:r w:rsidR="00A14090" w:rsidRPr="00A30463">
        <w:rPr>
          <w:i/>
          <w:szCs w:val="24"/>
        </w:rPr>
        <w:instrText>":"</w:instrText>
      </w:r>
      <w:r w:rsidR="00A14090">
        <w:rPr>
          <w:i/>
          <w:szCs w:val="24"/>
          <w:lang w:val="en-US"/>
        </w:rPr>
        <w:instrText>Slavcev</w:instrText>
      </w:r>
      <w:r w:rsidR="00A14090" w:rsidRPr="00A30463">
        <w:rPr>
          <w:i/>
          <w:szCs w:val="24"/>
        </w:rPr>
        <w:instrText>","</w:instrText>
      </w:r>
      <w:r w:rsidR="00A14090">
        <w:rPr>
          <w:i/>
          <w:szCs w:val="24"/>
          <w:lang w:val="en-US"/>
        </w:rPr>
        <w:instrText>given</w:instrText>
      </w:r>
      <w:r w:rsidR="00A14090" w:rsidRPr="00A30463">
        <w:rPr>
          <w:i/>
          <w:szCs w:val="24"/>
        </w:rPr>
        <w:instrText>":"</w:instrText>
      </w:r>
      <w:r w:rsidR="00A14090">
        <w:rPr>
          <w:i/>
          <w:szCs w:val="24"/>
          <w:lang w:val="en-US"/>
        </w:rPr>
        <w:instrText>Mary</w:instrText>
      </w:r>
      <w:r w:rsidR="00A14090" w:rsidRPr="00A30463">
        <w:rPr>
          <w:i/>
          <w:szCs w:val="24"/>
        </w:rPr>
        <w:instrText>","</w:instrText>
      </w:r>
      <w:r w:rsidR="00A14090">
        <w:rPr>
          <w:i/>
          <w:szCs w:val="24"/>
          <w:lang w:val="en-US"/>
        </w:rPr>
        <w:instrText>non</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parse</w:instrText>
      </w:r>
      <w:r w:rsidR="00A14090" w:rsidRPr="00A30463">
        <w:rPr>
          <w:i/>
          <w:szCs w:val="24"/>
        </w:rPr>
        <w:instrText>-</w:instrText>
      </w:r>
      <w:r w:rsidR="00A14090">
        <w:rPr>
          <w:i/>
          <w:szCs w:val="24"/>
          <w:lang w:val="en-US"/>
        </w:rPr>
        <w:instrText>names</w:instrText>
      </w:r>
      <w:r w:rsidR="00A14090" w:rsidRPr="00A30463">
        <w:rPr>
          <w:i/>
          <w:szCs w:val="24"/>
        </w:rPr>
        <w:instrText>":</w:instrText>
      </w:r>
      <w:r w:rsidR="00A14090">
        <w:rPr>
          <w:i/>
          <w:szCs w:val="24"/>
          <w:lang w:val="en-US"/>
        </w:rPr>
        <w:instrText>false</w:instrText>
      </w:r>
      <w:r w:rsidR="00A14090" w:rsidRPr="00A30463">
        <w:rPr>
          <w:i/>
          <w:szCs w:val="24"/>
        </w:rPr>
        <w:instrText>,"</w:instrText>
      </w:r>
      <w:r w:rsidR="00A14090">
        <w:rPr>
          <w:i/>
          <w:szCs w:val="24"/>
          <w:lang w:val="en-US"/>
        </w:rPr>
        <w:instrText>suffix</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family</w:instrText>
      </w:r>
      <w:r w:rsidR="00A14090" w:rsidRPr="00A30463">
        <w:rPr>
          <w:i/>
          <w:szCs w:val="24"/>
        </w:rPr>
        <w:instrText>":"</w:instrText>
      </w:r>
      <w:r w:rsidR="00A14090">
        <w:rPr>
          <w:i/>
          <w:szCs w:val="24"/>
          <w:lang w:val="en-US"/>
        </w:rPr>
        <w:instrText>Dearden</w:instrText>
      </w:r>
      <w:r w:rsidR="00A14090" w:rsidRPr="00A30463">
        <w:rPr>
          <w:i/>
          <w:szCs w:val="24"/>
        </w:rPr>
        <w:instrText>","</w:instrText>
      </w:r>
      <w:r w:rsidR="00A14090">
        <w:rPr>
          <w:i/>
          <w:szCs w:val="24"/>
          <w:lang w:val="en-US"/>
        </w:rPr>
        <w:instrText>given</w:instrText>
      </w:r>
      <w:r w:rsidR="00A14090" w:rsidRPr="00A30463">
        <w:rPr>
          <w:i/>
          <w:szCs w:val="24"/>
        </w:rPr>
        <w:instrText>":"</w:instrText>
      </w:r>
      <w:r w:rsidR="00A14090">
        <w:rPr>
          <w:i/>
          <w:szCs w:val="24"/>
          <w:lang w:val="en-US"/>
        </w:rPr>
        <w:instrText>Lindsay</w:instrText>
      </w:r>
      <w:r w:rsidR="00A14090" w:rsidRPr="00A30463">
        <w:rPr>
          <w:i/>
          <w:szCs w:val="24"/>
        </w:rPr>
        <w:instrText>","</w:instrText>
      </w:r>
      <w:r w:rsidR="00A14090">
        <w:rPr>
          <w:i/>
          <w:szCs w:val="24"/>
          <w:lang w:val="en-US"/>
        </w:rPr>
        <w:instrText>non</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parse</w:instrText>
      </w:r>
      <w:r w:rsidR="00A14090" w:rsidRPr="00A30463">
        <w:rPr>
          <w:i/>
          <w:szCs w:val="24"/>
        </w:rPr>
        <w:instrText>-</w:instrText>
      </w:r>
      <w:r w:rsidR="00A14090">
        <w:rPr>
          <w:i/>
          <w:szCs w:val="24"/>
          <w:lang w:val="en-US"/>
        </w:rPr>
        <w:instrText>names</w:instrText>
      </w:r>
      <w:r w:rsidR="00A14090" w:rsidRPr="00A30463">
        <w:rPr>
          <w:i/>
          <w:szCs w:val="24"/>
        </w:rPr>
        <w:instrText>":</w:instrText>
      </w:r>
      <w:r w:rsidR="00A14090">
        <w:rPr>
          <w:i/>
          <w:szCs w:val="24"/>
          <w:lang w:val="en-US"/>
        </w:rPr>
        <w:instrText>false</w:instrText>
      </w:r>
      <w:r w:rsidR="00A14090" w:rsidRPr="00A30463">
        <w:rPr>
          <w:i/>
          <w:szCs w:val="24"/>
        </w:rPr>
        <w:instrText>,"</w:instrText>
      </w:r>
      <w:r w:rsidR="00A14090">
        <w:rPr>
          <w:i/>
          <w:szCs w:val="24"/>
          <w:lang w:val="en-US"/>
        </w:rPr>
        <w:instrText>suffix</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family</w:instrText>
      </w:r>
      <w:r w:rsidR="00A14090" w:rsidRPr="00A30463">
        <w:rPr>
          <w:i/>
          <w:szCs w:val="24"/>
        </w:rPr>
        <w:instrText>":"</w:instrText>
      </w:r>
      <w:r w:rsidR="00A14090">
        <w:rPr>
          <w:i/>
          <w:szCs w:val="24"/>
          <w:lang w:val="en-US"/>
        </w:rPr>
        <w:instrText>Lam</w:instrText>
      </w:r>
      <w:r w:rsidR="00A14090" w:rsidRPr="00A30463">
        <w:rPr>
          <w:i/>
          <w:szCs w:val="24"/>
        </w:rPr>
        <w:instrText>","</w:instrText>
      </w:r>
      <w:r w:rsidR="00A14090">
        <w:rPr>
          <w:i/>
          <w:szCs w:val="24"/>
          <w:lang w:val="en-US"/>
        </w:rPr>
        <w:instrText>given</w:instrText>
      </w:r>
      <w:r w:rsidR="00A14090" w:rsidRPr="00A30463">
        <w:rPr>
          <w:i/>
          <w:szCs w:val="24"/>
        </w:rPr>
        <w:instrText>":"</w:instrText>
      </w:r>
      <w:r w:rsidR="00A14090">
        <w:rPr>
          <w:i/>
          <w:szCs w:val="24"/>
          <w:lang w:val="en-US"/>
        </w:rPr>
        <w:instrText>Annette</w:instrText>
      </w:r>
      <w:r w:rsidR="00A14090" w:rsidRPr="00A30463">
        <w:rPr>
          <w:i/>
          <w:szCs w:val="24"/>
        </w:rPr>
        <w:instrText>","</w:instrText>
      </w:r>
      <w:r w:rsidR="00A14090">
        <w:rPr>
          <w:i/>
          <w:szCs w:val="24"/>
          <w:lang w:val="en-US"/>
        </w:rPr>
        <w:instrText>non</w:instrText>
      </w:r>
      <w:r w:rsidR="00A14090" w:rsidRPr="00A30463">
        <w:rPr>
          <w:i/>
          <w:szCs w:val="24"/>
        </w:rPr>
        <w:instrText>-</w:instrText>
      </w:r>
      <w:r w:rsidR="00A14090">
        <w:rPr>
          <w:i/>
          <w:szCs w:val="24"/>
          <w:lang w:val="en-US"/>
        </w:rPr>
        <w:instrText>dropping</w:instrText>
      </w:r>
      <w:r w:rsidR="00A14090" w:rsidRPr="00A30463">
        <w:rPr>
          <w:i/>
          <w:szCs w:val="24"/>
        </w:rPr>
        <w:instrText>-</w:instrText>
      </w:r>
      <w:r w:rsidR="00A14090">
        <w:rPr>
          <w:i/>
          <w:szCs w:val="24"/>
          <w:lang w:val="en-US"/>
        </w:rPr>
        <w:instrText>particle</w:instrText>
      </w:r>
      <w:r w:rsidR="00A14090" w:rsidRPr="00A30463">
        <w:rPr>
          <w:i/>
          <w:szCs w:val="24"/>
        </w:rPr>
        <w:instrText>":"","</w:instrText>
      </w:r>
      <w:r w:rsidR="00A14090">
        <w:rPr>
          <w:i/>
          <w:szCs w:val="24"/>
          <w:lang w:val="en-US"/>
        </w:rPr>
        <w:instrText>parse</w:instrText>
      </w:r>
      <w:r w:rsidR="00A14090" w:rsidRPr="00A30463">
        <w:rPr>
          <w:i/>
          <w:szCs w:val="24"/>
        </w:rPr>
        <w:instrText>-</w:instrText>
      </w:r>
      <w:r w:rsidR="00A14090">
        <w:rPr>
          <w:i/>
          <w:szCs w:val="24"/>
          <w:lang w:val="en-US"/>
        </w:rPr>
        <w:instrText>names</w:instrText>
      </w:r>
      <w:r w:rsidR="00A14090" w:rsidRPr="00A30463">
        <w:rPr>
          <w:i/>
          <w:szCs w:val="24"/>
        </w:rPr>
        <w:instrText>":</w:instrText>
      </w:r>
      <w:r w:rsidR="00A14090">
        <w:rPr>
          <w:i/>
          <w:szCs w:val="24"/>
          <w:lang w:val="en-US"/>
        </w:rPr>
        <w:instrText>false</w:instrText>
      </w:r>
      <w:r w:rsidR="00A14090" w:rsidRPr="00A30463">
        <w:rPr>
          <w:i/>
          <w:szCs w:val="24"/>
        </w:rPr>
        <w:instrText>,"</w:instrText>
      </w:r>
      <w:r w:rsidR="00A14090">
        <w:rPr>
          <w:i/>
          <w:szCs w:val="24"/>
          <w:lang w:val="en-US"/>
        </w:rPr>
        <w:instrText>suffix</w:instrText>
      </w:r>
      <w:r w:rsidR="00A14090" w:rsidRPr="00A30463">
        <w:rPr>
          <w:i/>
          <w:szCs w:val="24"/>
        </w:rPr>
        <w:instrText>":""}],"</w:instrText>
      </w:r>
      <w:r w:rsidR="00A14090">
        <w:rPr>
          <w:i/>
          <w:szCs w:val="24"/>
          <w:lang w:val="en-US"/>
        </w:rPr>
        <w:instrText>container</w:instrText>
      </w:r>
      <w:r w:rsidR="00A14090" w:rsidRPr="00A30463">
        <w:rPr>
          <w:i/>
          <w:szCs w:val="24"/>
        </w:rPr>
        <w:instrText>-</w:instrText>
      </w:r>
      <w:r w:rsidR="00A14090">
        <w:rPr>
          <w:i/>
          <w:szCs w:val="24"/>
          <w:lang w:val="en-US"/>
        </w:rPr>
        <w:instrText>title</w:instrText>
      </w:r>
      <w:r w:rsidR="00A14090" w:rsidRPr="00A30463">
        <w:rPr>
          <w:i/>
          <w:szCs w:val="24"/>
        </w:rPr>
        <w:instrText>":"</w:instrText>
      </w:r>
      <w:r w:rsidR="00A14090">
        <w:rPr>
          <w:i/>
          <w:szCs w:val="24"/>
          <w:lang w:val="en-US"/>
        </w:rPr>
        <w:instrText>Clinical</w:instrText>
      </w:r>
      <w:r w:rsidR="00A14090" w:rsidRPr="00A30463">
        <w:rPr>
          <w:i/>
          <w:szCs w:val="24"/>
        </w:rPr>
        <w:instrText xml:space="preserve"> </w:instrText>
      </w:r>
      <w:r w:rsidR="00A14090">
        <w:rPr>
          <w:i/>
          <w:szCs w:val="24"/>
          <w:lang w:val="en-US"/>
        </w:rPr>
        <w:instrText>Lymphoma</w:instrText>
      </w:r>
      <w:r w:rsidR="00A14090" w:rsidRPr="00A30463">
        <w:rPr>
          <w:i/>
          <w:szCs w:val="24"/>
        </w:rPr>
        <w:instrText xml:space="preserve">, </w:instrText>
      </w:r>
      <w:r w:rsidR="00A14090">
        <w:rPr>
          <w:i/>
          <w:szCs w:val="24"/>
          <w:lang w:val="en-US"/>
        </w:rPr>
        <w:instrText>Myeloma</w:instrText>
      </w:r>
      <w:r w:rsidR="00A14090" w:rsidRPr="00A30463">
        <w:rPr>
          <w:i/>
          <w:szCs w:val="24"/>
        </w:rPr>
        <w:instrText xml:space="preserve"> </w:instrText>
      </w:r>
      <w:r w:rsidR="00A14090">
        <w:rPr>
          <w:i/>
          <w:szCs w:val="24"/>
          <w:lang w:val="en-US"/>
        </w:rPr>
        <w:instrText>and</w:instrText>
      </w:r>
      <w:r w:rsidR="00A14090" w:rsidRPr="00A30463">
        <w:rPr>
          <w:i/>
          <w:szCs w:val="24"/>
        </w:rPr>
        <w:instrText xml:space="preserve"> </w:instrText>
      </w:r>
      <w:r w:rsidR="00A14090">
        <w:rPr>
          <w:i/>
          <w:szCs w:val="24"/>
          <w:lang w:val="en-US"/>
        </w:rPr>
        <w:instrText>Leukemia</w:instrText>
      </w:r>
      <w:r w:rsidR="00A14090" w:rsidRPr="00A30463">
        <w:rPr>
          <w:i/>
          <w:szCs w:val="24"/>
        </w:rPr>
        <w:instrText>","</w:instrText>
      </w:r>
      <w:r w:rsidR="00A14090">
        <w:rPr>
          <w:i/>
          <w:szCs w:val="24"/>
          <w:lang w:val="en-US"/>
        </w:rPr>
        <w:instrText>id</w:instrText>
      </w:r>
      <w:r w:rsidR="00A14090" w:rsidRPr="00A30463">
        <w:rPr>
          <w:i/>
          <w:szCs w:val="24"/>
        </w:rPr>
        <w:instrText>":"</w:instrText>
      </w:r>
      <w:r w:rsidR="00A14090">
        <w:rPr>
          <w:i/>
          <w:szCs w:val="24"/>
          <w:lang w:val="en-US"/>
        </w:rPr>
        <w:instrText>ITEM</w:instrText>
      </w:r>
      <w:r w:rsidR="00A14090" w:rsidRPr="00A30463">
        <w:rPr>
          <w:i/>
          <w:szCs w:val="24"/>
        </w:rPr>
        <w:instrText>-4","</w:instrText>
      </w:r>
      <w:r w:rsidR="00A14090">
        <w:rPr>
          <w:i/>
          <w:szCs w:val="24"/>
          <w:lang w:val="en-US"/>
        </w:rPr>
        <w:instrText>issue</w:instrText>
      </w:r>
      <w:r w:rsidR="00A14090" w:rsidRPr="00A30463">
        <w:rPr>
          <w:i/>
          <w:szCs w:val="24"/>
        </w:rPr>
        <w:instrText>":"3","</w:instrText>
      </w:r>
      <w:r w:rsidR="00A14090">
        <w:rPr>
          <w:i/>
          <w:szCs w:val="24"/>
          <w:lang w:val="en-US"/>
        </w:rPr>
        <w:instrText>issued</w:instrText>
      </w:r>
      <w:r w:rsidR="00A14090" w:rsidRPr="00A30463">
        <w:rPr>
          <w:i/>
          <w:szCs w:val="24"/>
        </w:rPr>
        <w:instrText>":{"</w:instrText>
      </w:r>
      <w:r w:rsidR="00A14090">
        <w:rPr>
          <w:i/>
          <w:szCs w:val="24"/>
          <w:lang w:val="en-US"/>
        </w:rPr>
        <w:instrText>date</w:instrText>
      </w:r>
      <w:r w:rsidR="00A14090" w:rsidRPr="00A30463">
        <w:rPr>
          <w:i/>
          <w:szCs w:val="24"/>
        </w:rPr>
        <w:instrText>-</w:instrText>
      </w:r>
      <w:r w:rsidR="00A14090">
        <w:rPr>
          <w:i/>
          <w:szCs w:val="24"/>
          <w:lang w:val="en-US"/>
        </w:rPr>
        <w:instrText>parts</w:instrText>
      </w:r>
      <w:r w:rsidR="00A14090" w:rsidRPr="00A30463">
        <w:rPr>
          <w:i/>
          <w:szCs w:val="24"/>
        </w:rPr>
        <w:instrText>":[["2018","3","1"]]},"</w:instrText>
      </w:r>
      <w:r w:rsidR="00A14090">
        <w:rPr>
          <w:i/>
          <w:szCs w:val="24"/>
          <w:lang w:val="en-US"/>
        </w:rPr>
        <w:instrText>page</w:instrText>
      </w:r>
      <w:r w:rsidR="00A14090" w:rsidRPr="00A30463">
        <w:rPr>
          <w:i/>
          <w:szCs w:val="24"/>
        </w:rPr>
        <w:instrText>":"163-173.</w:instrText>
      </w:r>
      <w:r w:rsidR="00A14090">
        <w:rPr>
          <w:i/>
          <w:szCs w:val="24"/>
          <w:lang w:val="en-US"/>
        </w:rPr>
        <w:instrText>e</w:instrText>
      </w:r>
      <w:r w:rsidR="00A14090" w:rsidRPr="00A30463">
        <w:rPr>
          <w:i/>
          <w:szCs w:val="24"/>
        </w:rPr>
        <w:instrText>6","</w:instrText>
      </w:r>
      <w:r w:rsidR="00A14090">
        <w:rPr>
          <w:i/>
          <w:szCs w:val="24"/>
          <w:lang w:val="en-US"/>
        </w:rPr>
        <w:instrText>publisher</w:instrText>
      </w:r>
      <w:r w:rsidR="00A14090" w:rsidRPr="00A30463">
        <w:rPr>
          <w:i/>
          <w:szCs w:val="24"/>
        </w:rPr>
        <w:instrText>":"</w:instrText>
      </w:r>
      <w:r w:rsidR="00A14090">
        <w:rPr>
          <w:i/>
          <w:szCs w:val="24"/>
          <w:lang w:val="en-US"/>
        </w:rPr>
        <w:instrText>Elsevier</w:instrText>
      </w:r>
      <w:r w:rsidR="00A14090" w:rsidRPr="00A30463">
        <w:rPr>
          <w:i/>
          <w:szCs w:val="24"/>
        </w:rPr>
        <w:instrText xml:space="preserve"> </w:instrText>
      </w:r>
      <w:r w:rsidR="00A14090">
        <w:rPr>
          <w:i/>
          <w:szCs w:val="24"/>
          <w:lang w:val="en-US"/>
        </w:rPr>
        <w:instrText>Inc</w:instrText>
      </w:r>
      <w:r w:rsidR="00A14090" w:rsidRPr="00A30463">
        <w:rPr>
          <w:i/>
          <w:szCs w:val="24"/>
        </w:rPr>
        <w:instrText>.","</w:instrText>
      </w:r>
      <w:r w:rsidR="00A14090">
        <w:rPr>
          <w:i/>
          <w:szCs w:val="24"/>
          <w:lang w:val="en-US"/>
        </w:rPr>
        <w:instrText>title</w:instrText>
      </w:r>
      <w:r w:rsidR="00A14090" w:rsidRPr="00A30463">
        <w:rPr>
          <w:i/>
          <w:szCs w:val="24"/>
        </w:rPr>
        <w:instrText>":"</w:instrText>
      </w:r>
      <w:r w:rsidR="00A14090">
        <w:rPr>
          <w:i/>
          <w:szCs w:val="24"/>
          <w:lang w:val="en-US"/>
        </w:rPr>
        <w:instrText>A</w:instrText>
      </w:r>
      <w:r w:rsidR="00A14090" w:rsidRPr="00A30463">
        <w:rPr>
          <w:i/>
          <w:szCs w:val="24"/>
        </w:rPr>
        <w:instrText xml:space="preserve"> </w:instrText>
      </w:r>
      <w:r w:rsidR="00A14090">
        <w:rPr>
          <w:i/>
          <w:szCs w:val="24"/>
          <w:lang w:val="en-US"/>
        </w:rPr>
        <w:instrText>Comparison</w:instrText>
      </w:r>
      <w:r w:rsidR="00A14090" w:rsidRPr="00A30463">
        <w:rPr>
          <w:i/>
          <w:szCs w:val="24"/>
        </w:rPr>
        <w:instrText xml:space="preserve"> </w:instrText>
      </w:r>
      <w:r w:rsidR="00A14090">
        <w:rPr>
          <w:i/>
          <w:szCs w:val="24"/>
          <w:lang w:val="en-US"/>
        </w:rPr>
        <w:instrText>of</w:instrText>
      </w:r>
      <w:r w:rsidR="00A14090" w:rsidRPr="00A30463">
        <w:rPr>
          <w:i/>
          <w:szCs w:val="24"/>
        </w:rPr>
        <w:instrText xml:space="preserve"> </w:instrText>
      </w:r>
      <w:r w:rsidR="00A14090">
        <w:rPr>
          <w:i/>
          <w:szCs w:val="24"/>
          <w:lang w:val="en-US"/>
        </w:rPr>
        <w:instrText>the</w:instrText>
      </w:r>
      <w:r w:rsidR="00A14090" w:rsidRPr="00A30463">
        <w:rPr>
          <w:i/>
          <w:szCs w:val="24"/>
        </w:rPr>
        <w:instrText xml:space="preserve"> </w:instrText>
      </w:r>
      <w:r w:rsidR="00A14090">
        <w:rPr>
          <w:i/>
          <w:szCs w:val="24"/>
          <w:lang w:val="en-US"/>
        </w:rPr>
        <w:instrText>Efficacy</w:instrText>
      </w:r>
      <w:r w:rsidR="00A14090" w:rsidRPr="00A30463">
        <w:rPr>
          <w:i/>
          <w:szCs w:val="24"/>
        </w:rPr>
        <w:instrText xml:space="preserve"> </w:instrText>
      </w:r>
      <w:r w:rsidR="00A14090">
        <w:rPr>
          <w:i/>
          <w:szCs w:val="24"/>
          <w:lang w:val="en-US"/>
        </w:rPr>
        <w:instrText>of</w:instrText>
      </w:r>
      <w:r w:rsidR="00A14090" w:rsidRPr="00A30463">
        <w:rPr>
          <w:i/>
          <w:szCs w:val="24"/>
        </w:rPr>
        <w:instrText xml:space="preserve"> </w:instrText>
      </w:r>
      <w:r w:rsidR="00A14090">
        <w:rPr>
          <w:i/>
          <w:szCs w:val="24"/>
          <w:lang w:val="en-US"/>
        </w:rPr>
        <w:instrText>Immunomodulatory</w:instrText>
      </w:r>
      <w:r w:rsidR="00A14090" w:rsidRPr="00A30463">
        <w:rPr>
          <w:i/>
          <w:szCs w:val="24"/>
        </w:rPr>
        <w:instrText>-</w:instrText>
      </w:r>
      <w:r w:rsidR="00A14090">
        <w:rPr>
          <w:i/>
          <w:szCs w:val="24"/>
          <w:lang w:val="en-US"/>
        </w:rPr>
        <w:instrText>containing</w:instrText>
      </w:r>
      <w:r w:rsidR="00A14090" w:rsidRPr="00A30463">
        <w:rPr>
          <w:i/>
          <w:szCs w:val="24"/>
        </w:rPr>
        <w:instrText xml:space="preserve"> </w:instrText>
      </w:r>
      <w:r w:rsidR="00A14090">
        <w:rPr>
          <w:i/>
          <w:szCs w:val="24"/>
          <w:lang w:val="en-US"/>
        </w:rPr>
        <w:instrText>Regimens</w:instrText>
      </w:r>
      <w:r w:rsidR="00A14090" w:rsidRPr="00A30463">
        <w:rPr>
          <w:i/>
          <w:szCs w:val="24"/>
        </w:rPr>
        <w:instrText xml:space="preserve"> </w:instrText>
      </w:r>
      <w:r w:rsidR="00A14090">
        <w:rPr>
          <w:i/>
          <w:szCs w:val="24"/>
          <w:lang w:val="en-US"/>
        </w:rPr>
        <w:instrText>in</w:instrText>
      </w:r>
      <w:r w:rsidR="00A14090" w:rsidRPr="00A30463">
        <w:rPr>
          <w:i/>
          <w:szCs w:val="24"/>
        </w:rPr>
        <w:instrText xml:space="preserve"> </w:instrText>
      </w:r>
      <w:r w:rsidR="00A14090">
        <w:rPr>
          <w:i/>
          <w:szCs w:val="24"/>
          <w:lang w:val="en-US"/>
        </w:rPr>
        <w:instrText>Relapsed</w:instrText>
      </w:r>
      <w:r w:rsidR="00A14090" w:rsidRPr="00A30463">
        <w:rPr>
          <w:i/>
          <w:szCs w:val="24"/>
        </w:rPr>
        <w:instrText>/</w:instrText>
      </w:r>
      <w:r w:rsidR="00A14090">
        <w:rPr>
          <w:i/>
          <w:szCs w:val="24"/>
          <w:lang w:val="en-US"/>
        </w:rPr>
        <w:instrText>Refractory</w:instrText>
      </w:r>
      <w:r w:rsidR="00A14090" w:rsidRPr="00A30463">
        <w:rPr>
          <w:i/>
          <w:szCs w:val="24"/>
        </w:rPr>
        <w:instrText xml:space="preserve"> </w:instrText>
      </w:r>
      <w:r w:rsidR="00A14090">
        <w:rPr>
          <w:i/>
          <w:szCs w:val="24"/>
          <w:lang w:val="en-US"/>
        </w:rPr>
        <w:instrText>Multiple</w:instrText>
      </w:r>
      <w:r w:rsidR="00A14090" w:rsidRPr="00A30463">
        <w:rPr>
          <w:i/>
          <w:szCs w:val="24"/>
        </w:rPr>
        <w:instrText xml:space="preserve"> </w:instrText>
      </w:r>
      <w:r w:rsidR="00A14090">
        <w:rPr>
          <w:i/>
          <w:szCs w:val="24"/>
          <w:lang w:val="en-US"/>
        </w:rPr>
        <w:instrText>Myeloma</w:instrText>
      </w:r>
      <w:r w:rsidR="00A14090" w:rsidRPr="00A30463">
        <w:rPr>
          <w:i/>
          <w:szCs w:val="24"/>
        </w:rPr>
        <w:instrText xml:space="preserve">: </w:instrText>
      </w:r>
      <w:r w:rsidR="00A14090">
        <w:rPr>
          <w:i/>
          <w:szCs w:val="24"/>
          <w:lang w:val="en-US"/>
        </w:rPr>
        <w:instrText>A</w:instrText>
      </w:r>
      <w:r w:rsidR="00A14090" w:rsidRPr="00A30463">
        <w:rPr>
          <w:i/>
          <w:szCs w:val="24"/>
        </w:rPr>
        <w:instrText xml:space="preserve"> </w:instrText>
      </w:r>
      <w:r w:rsidR="00A14090">
        <w:rPr>
          <w:i/>
          <w:szCs w:val="24"/>
          <w:lang w:val="en-US"/>
        </w:rPr>
        <w:instrText>Network</w:instrText>
      </w:r>
      <w:r w:rsidR="00A14090" w:rsidRPr="00A30463">
        <w:rPr>
          <w:i/>
          <w:szCs w:val="24"/>
        </w:rPr>
        <w:instrText xml:space="preserve"> </w:instrText>
      </w:r>
      <w:r w:rsidR="00A14090">
        <w:rPr>
          <w:i/>
          <w:szCs w:val="24"/>
          <w:lang w:val="en-US"/>
        </w:rPr>
        <w:instrText>Meta</w:instrText>
      </w:r>
      <w:r w:rsidR="00A14090" w:rsidRPr="00A30463">
        <w:rPr>
          <w:i/>
          <w:szCs w:val="24"/>
        </w:rPr>
        <w:instrText>-</w:instrText>
      </w:r>
      <w:r w:rsidR="00A14090">
        <w:rPr>
          <w:i/>
          <w:szCs w:val="24"/>
          <w:lang w:val="en-US"/>
        </w:rPr>
        <w:instrText>analysis</w:instrText>
      </w:r>
      <w:r w:rsidR="00A14090" w:rsidRPr="00A30463">
        <w:rPr>
          <w:i/>
          <w:szCs w:val="24"/>
        </w:rPr>
        <w:instrText>","</w:instrText>
      </w:r>
      <w:r w:rsidR="00A14090">
        <w:rPr>
          <w:i/>
          <w:szCs w:val="24"/>
          <w:lang w:val="en-US"/>
        </w:rPr>
        <w:instrText>type</w:instrText>
      </w:r>
      <w:r w:rsidR="00A14090" w:rsidRPr="00A30463">
        <w:rPr>
          <w:i/>
          <w:szCs w:val="24"/>
        </w:rPr>
        <w:instrText>":"</w:instrText>
      </w:r>
      <w:r w:rsidR="00A14090">
        <w:rPr>
          <w:i/>
          <w:szCs w:val="24"/>
          <w:lang w:val="en-US"/>
        </w:rPr>
        <w:instrText>article</w:instrText>
      </w:r>
      <w:r w:rsidR="00A14090" w:rsidRPr="00A30463">
        <w:rPr>
          <w:i/>
          <w:szCs w:val="24"/>
        </w:rPr>
        <w:instrText>-</w:instrText>
      </w:r>
      <w:r w:rsidR="00A14090">
        <w:rPr>
          <w:i/>
          <w:szCs w:val="24"/>
          <w:lang w:val="en-US"/>
        </w:rPr>
        <w:instrText>journal</w:instrText>
      </w:r>
      <w:r w:rsidR="00A14090" w:rsidRPr="00A30463">
        <w:rPr>
          <w:i/>
          <w:szCs w:val="24"/>
        </w:rPr>
        <w:instrText>","</w:instrText>
      </w:r>
      <w:r w:rsidR="00A14090">
        <w:rPr>
          <w:i/>
          <w:szCs w:val="24"/>
          <w:lang w:val="en-US"/>
        </w:rPr>
        <w:instrText>volume</w:instrText>
      </w:r>
      <w:r w:rsidR="00A14090" w:rsidRPr="00A30463">
        <w:rPr>
          <w:i/>
          <w:szCs w:val="24"/>
        </w:rPr>
        <w:instrText>":"18"},"</w:instrText>
      </w:r>
      <w:r w:rsidR="00A14090">
        <w:rPr>
          <w:i/>
          <w:szCs w:val="24"/>
          <w:lang w:val="en-US"/>
        </w:rPr>
        <w:instrText>uris</w:instrText>
      </w:r>
      <w:r w:rsidR="00A14090" w:rsidRPr="00A30463">
        <w:rPr>
          <w:i/>
          <w:szCs w:val="24"/>
        </w:rPr>
        <w:instrText>":["</w:instrText>
      </w:r>
      <w:r w:rsidR="00A14090">
        <w:rPr>
          <w:i/>
          <w:szCs w:val="24"/>
          <w:lang w:val="en-US"/>
        </w:rPr>
        <w:instrText>http</w:instrText>
      </w:r>
      <w:r w:rsidR="00A14090" w:rsidRPr="00A30463">
        <w:rPr>
          <w:i/>
          <w:szCs w:val="24"/>
        </w:rPr>
        <w:instrText>://</w:instrText>
      </w:r>
      <w:r w:rsidR="00A14090">
        <w:rPr>
          <w:i/>
          <w:szCs w:val="24"/>
          <w:lang w:val="en-US"/>
        </w:rPr>
        <w:instrText>www</w:instrText>
      </w:r>
      <w:r w:rsidR="00A14090" w:rsidRPr="00A30463">
        <w:rPr>
          <w:i/>
          <w:szCs w:val="24"/>
        </w:rPr>
        <w:instrText>.</w:instrText>
      </w:r>
      <w:r w:rsidR="00A14090">
        <w:rPr>
          <w:i/>
          <w:szCs w:val="24"/>
          <w:lang w:val="en-US"/>
        </w:rPr>
        <w:instrText>mendeley</w:instrText>
      </w:r>
      <w:r w:rsidR="00A14090" w:rsidRPr="00A30463">
        <w:rPr>
          <w:i/>
          <w:szCs w:val="24"/>
        </w:rPr>
        <w:instrText>.</w:instrText>
      </w:r>
      <w:r w:rsidR="00A14090">
        <w:rPr>
          <w:i/>
          <w:szCs w:val="24"/>
          <w:lang w:val="en-US"/>
        </w:rPr>
        <w:instrText>com</w:instrText>
      </w:r>
      <w:r w:rsidR="00A14090" w:rsidRPr="00A30463">
        <w:rPr>
          <w:i/>
          <w:szCs w:val="24"/>
        </w:rPr>
        <w:instrText>/</w:instrText>
      </w:r>
      <w:r w:rsidR="00A14090">
        <w:rPr>
          <w:i/>
          <w:szCs w:val="24"/>
          <w:lang w:val="en-US"/>
        </w:rPr>
        <w:instrText>documents</w:instrText>
      </w:r>
      <w:r w:rsidR="00A14090" w:rsidRPr="00A30463">
        <w:rPr>
          <w:i/>
          <w:szCs w:val="24"/>
        </w:rPr>
        <w:instrText>/?</w:instrText>
      </w:r>
      <w:r w:rsidR="00A14090">
        <w:rPr>
          <w:i/>
          <w:szCs w:val="24"/>
          <w:lang w:val="en-US"/>
        </w:rPr>
        <w:instrText>uuid</w:instrText>
      </w:r>
      <w:r w:rsidR="00A14090" w:rsidRPr="00A30463">
        <w:rPr>
          <w:i/>
          <w:szCs w:val="24"/>
        </w:rPr>
        <w:instrText>=4543</w:instrText>
      </w:r>
      <w:r w:rsidR="00A14090">
        <w:rPr>
          <w:i/>
          <w:szCs w:val="24"/>
          <w:lang w:val="en-US"/>
        </w:rPr>
        <w:instrText>af</w:instrText>
      </w:r>
      <w:r w:rsidR="00A14090" w:rsidRPr="00A30463">
        <w:rPr>
          <w:i/>
          <w:szCs w:val="24"/>
        </w:rPr>
        <w:instrText>21-4</w:instrText>
      </w:r>
      <w:r w:rsidR="00A14090">
        <w:rPr>
          <w:i/>
          <w:szCs w:val="24"/>
          <w:lang w:val="en-US"/>
        </w:rPr>
        <w:instrText>b</w:instrText>
      </w:r>
      <w:r w:rsidR="00A14090" w:rsidRPr="00A30463">
        <w:rPr>
          <w:i/>
          <w:szCs w:val="24"/>
        </w:rPr>
        <w:instrText>82-3645-8</w:instrText>
      </w:r>
      <w:r w:rsidR="00A14090">
        <w:rPr>
          <w:i/>
          <w:szCs w:val="24"/>
          <w:lang w:val="en-US"/>
        </w:rPr>
        <w:instrText>d</w:instrText>
      </w:r>
      <w:r w:rsidR="00A14090" w:rsidRPr="00A30463">
        <w:rPr>
          <w:i/>
          <w:szCs w:val="24"/>
        </w:rPr>
        <w:instrText>1</w:instrText>
      </w:r>
      <w:r w:rsidR="00A14090">
        <w:rPr>
          <w:i/>
          <w:szCs w:val="24"/>
          <w:lang w:val="en-US"/>
        </w:rPr>
        <w:instrText>e</w:instrText>
      </w:r>
      <w:r w:rsidR="00A14090" w:rsidRPr="00A30463">
        <w:rPr>
          <w:i/>
          <w:szCs w:val="24"/>
        </w:rPr>
        <w:instrText>-52</w:instrText>
      </w:r>
      <w:r w:rsidR="00A14090">
        <w:rPr>
          <w:i/>
          <w:szCs w:val="24"/>
          <w:lang w:val="en-US"/>
        </w:rPr>
        <w:instrText>cee</w:instrText>
      </w:r>
      <w:r w:rsidR="00A14090" w:rsidRPr="00A30463">
        <w:rPr>
          <w:i/>
          <w:szCs w:val="24"/>
        </w:rPr>
        <w:instrText>5</w:instrText>
      </w:r>
      <w:r w:rsidR="00A14090">
        <w:rPr>
          <w:i/>
          <w:szCs w:val="24"/>
          <w:lang w:val="en-US"/>
        </w:rPr>
        <w:instrText>a</w:instrText>
      </w:r>
      <w:r w:rsidR="00A14090" w:rsidRPr="00A30463">
        <w:rPr>
          <w:i/>
          <w:szCs w:val="24"/>
        </w:rPr>
        <w:instrText>8</w:instrText>
      </w:r>
      <w:r w:rsidR="00A14090">
        <w:rPr>
          <w:i/>
          <w:szCs w:val="24"/>
          <w:lang w:val="en-US"/>
        </w:rPr>
        <w:instrText>b</w:instrText>
      </w:r>
      <w:r w:rsidR="00A14090" w:rsidRPr="00A30463">
        <w:rPr>
          <w:i/>
          <w:szCs w:val="24"/>
        </w:rPr>
        <w:instrText>951"]}],"</w:instrText>
      </w:r>
      <w:r w:rsidR="00A14090">
        <w:rPr>
          <w:i/>
          <w:szCs w:val="24"/>
          <w:lang w:val="en-US"/>
        </w:rPr>
        <w:instrText>mendeley</w:instrText>
      </w:r>
      <w:r w:rsidR="00A14090" w:rsidRPr="00A30463">
        <w:rPr>
          <w:i/>
          <w:szCs w:val="24"/>
        </w:rPr>
        <w:instrText>":{"</w:instrText>
      </w:r>
      <w:r w:rsidR="00A14090">
        <w:rPr>
          <w:i/>
          <w:szCs w:val="24"/>
          <w:lang w:val="en-US"/>
        </w:rPr>
        <w:instrText>formattedCitation</w:instrText>
      </w:r>
      <w:r w:rsidR="00A14090" w:rsidRPr="00A30463">
        <w:rPr>
          <w:i/>
          <w:szCs w:val="24"/>
        </w:rPr>
        <w:instrText>":"[63,64,67,74]","</w:instrText>
      </w:r>
      <w:r w:rsidR="00A14090">
        <w:rPr>
          <w:i/>
          <w:szCs w:val="24"/>
          <w:lang w:val="en-US"/>
        </w:rPr>
        <w:instrText>plainTextFormattedCitation</w:instrText>
      </w:r>
      <w:r w:rsidR="00A14090" w:rsidRPr="00A30463">
        <w:rPr>
          <w:i/>
          <w:szCs w:val="24"/>
        </w:rPr>
        <w:instrText>":"[63,64,67,74]","</w:instrText>
      </w:r>
      <w:r w:rsidR="00A14090">
        <w:rPr>
          <w:i/>
          <w:szCs w:val="24"/>
          <w:lang w:val="en-US"/>
        </w:rPr>
        <w:instrText>previouslyFormattedCitation</w:instrText>
      </w:r>
      <w:r w:rsidR="00A14090" w:rsidRPr="00A30463">
        <w:rPr>
          <w:i/>
          <w:szCs w:val="24"/>
        </w:rPr>
        <w:instrText>":"[63,64,67,74]"},"</w:instrText>
      </w:r>
      <w:r w:rsidR="00A14090">
        <w:rPr>
          <w:i/>
          <w:szCs w:val="24"/>
          <w:lang w:val="en-US"/>
        </w:rPr>
        <w:instrText>properties</w:instrText>
      </w:r>
      <w:r w:rsidR="00A14090" w:rsidRPr="00A30463">
        <w:rPr>
          <w:i/>
          <w:szCs w:val="24"/>
        </w:rPr>
        <w:instrText>":{"</w:instrText>
      </w:r>
      <w:r w:rsidR="00A14090">
        <w:rPr>
          <w:i/>
          <w:szCs w:val="24"/>
          <w:lang w:val="en-US"/>
        </w:rPr>
        <w:instrText>noteIndex</w:instrText>
      </w:r>
      <w:r w:rsidR="00A14090" w:rsidRPr="00A30463">
        <w:rPr>
          <w:i/>
          <w:szCs w:val="24"/>
        </w:rPr>
        <w:instrText>":0},"</w:instrText>
      </w:r>
      <w:r w:rsidR="00A14090">
        <w:rPr>
          <w:i/>
          <w:szCs w:val="24"/>
          <w:lang w:val="en-US"/>
        </w:rPr>
        <w:instrText>schema</w:instrText>
      </w:r>
      <w:r w:rsidR="00A14090" w:rsidRPr="00A30463">
        <w:rPr>
          <w:i/>
          <w:szCs w:val="24"/>
        </w:rPr>
        <w:instrText>":"</w:instrText>
      </w:r>
      <w:r w:rsidR="00A14090">
        <w:rPr>
          <w:i/>
          <w:szCs w:val="24"/>
          <w:lang w:val="en-US"/>
        </w:rPr>
        <w:instrText>https</w:instrText>
      </w:r>
      <w:r w:rsidR="00A14090" w:rsidRPr="00A30463">
        <w:rPr>
          <w:i/>
          <w:szCs w:val="24"/>
        </w:rPr>
        <w:instrText>://</w:instrText>
      </w:r>
      <w:r w:rsidR="00A14090">
        <w:rPr>
          <w:i/>
          <w:szCs w:val="24"/>
          <w:lang w:val="en-US"/>
        </w:rPr>
        <w:instrText>github</w:instrText>
      </w:r>
      <w:r w:rsidR="00A14090" w:rsidRPr="00A30463">
        <w:rPr>
          <w:i/>
          <w:szCs w:val="24"/>
        </w:rPr>
        <w:instrText>.</w:instrText>
      </w:r>
      <w:r w:rsidR="00A14090">
        <w:rPr>
          <w:i/>
          <w:szCs w:val="24"/>
          <w:lang w:val="en-US"/>
        </w:rPr>
        <w:instrText>com</w:instrText>
      </w:r>
      <w:r w:rsidR="00A14090" w:rsidRPr="00A30463">
        <w:rPr>
          <w:i/>
          <w:szCs w:val="24"/>
        </w:rPr>
        <w:instrText>/</w:instrText>
      </w:r>
      <w:r w:rsidR="00A14090">
        <w:rPr>
          <w:i/>
          <w:szCs w:val="24"/>
          <w:lang w:val="en-US"/>
        </w:rPr>
        <w:instrText>citation</w:instrText>
      </w:r>
      <w:r w:rsidR="00A14090" w:rsidRPr="00A30463">
        <w:rPr>
          <w:i/>
          <w:szCs w:val="24"/>
        </w:rPr>
        <w:instrText>-</w:instrText>
      </w:r>
      <w:r w:rsidR="00A14090">
        <w:rPr>
          <w:i/>
          <w:szCs w:val="24"/>
          <w:lang w:val="en-US"/>
        </w:rPr>
        <w:instrText>style</w:instrText>
      </w:r>
      <w:r w:rsidR="00A14090" w:rsidRPr="00A30463">
        <w:rPr>
          <w:i/>
          <w:szCs w:val="24"/>
        </w:rPr>
        <w:instrText>-</w:instrText>
      </w:r>
      <w:r w:rsidR="00A14090">
        <w:rPr>
          <w:i/>
          <w:szCs w:val="24"/>
          <w:lang w:val="en-US"/>
        </w:rPr>
        <w:instrText>language</w:instrText>
      </w:r>
      <w:r w:rsidR="00A14090" w:rsidRPr="00A30463">
        <w:rPr>
          <w:i/>
          <w:szCs w:val="24"/>
        </w:rPr>
        <w:instrText>/</w:instrText>
      </w:r>
      <w:r w:rsidR="00A14090">
        <w:rPr>
          <w:i/>
          <w:szCs w:val="24"/>
          <w:lang w:val="en-US"/>
        </w:rPr>
        <w:instrText>schema</w:instrText>
      </w:r>
      <w:r w:rsidR="00A14090" w:rsidRPr="00A30463">
        <w:rPr>
          <w:i/>
          <w:szCs w:val="24"/>
        </w:rPr>
        <w:instrText>/</w:instrText>
      </w:r>
      <w:r w:rsidR="00A14090">
        <w:rPr>
          <w:i/>
          <w:szCs w:val="24"/>
          <w:lang w:val="en-US"/>
        </w:rPr>
        <w:instrText>raw</w:instrText>
      </w:r>
      <w:r w:rsidR="00A14090" w:rsidRPr="00A30463">
        <w:rPr>
          <w:i/>
          <w:szCs w:val="24"/>
        </w:rPr>
        <w:instrText>/</w:instrText>
      </w:r>
      <w:r w:rsidR="00A14090">
        <w:rPr>
          <w:i/>
          <w:szCs w:val="24"/>
          <w:lang w:val="en-US"/>
        </w:rPr>
        <w:instrText>master</w:instrText>
      </w:r>
      <w:r w:rsidR="00A14090" w:rsidRPr="00A30463">
        <w:rPr>
          <w:i/>
          <w:szCs w:val="24"/>
        </w:rPr>
        <w:instrText>/</w:instrText>
      </w:r>
      <w:r w:rsidR="00A14090">
        <w:rPr>
          <w:i/>
          <w:szCs w:val="24"/>
          <w:lang w:val="en-US"/>
        </w:rPr>
        <w:instrText>csl</w:instrText>
      </w:r>
      <w:r w:rsidR="00A14090" w:rsidRPr="00A30463">
        <w:rPr>
          <w:i/>
          <w:szCs w:val="24"/>
        </w:rPr>
        <w:instrText>-</w:instrText>
      </w:r>
      <w:r w:rsidR="00A14090">
        <w:rPr>
          <w:i/>
          <w:szCs w:val="24"/>
          <w:lang w:val="en-US"/>
        </w:rPr>
        <w:instrText>citation</w:instrText>
      </w:r>
      <w:r w:rsidR="00A14090" w:rsidRPr="00A30463">
        <w:rPr>
          <w:i/>
          <w:szCs w:val="24"/>
        </w:rPr>
        <w:instrText>.</w:instrText>
      </w:r>
      <w:r w:rsidR="00A14090">
        <w:rPr>
          <w:i/>
          <w:szCs w:val="24"/>
          <w:lang w:val="en-US"/>
        </w:rPr>
        <w:instrText>json</w:instrText>
      </w:r>
      <w:r w:rsidR="00A14090" w:rsidRPr="00A30463">
        <w:rPr>
          <w:i/>
          <w:szCs w:val="24"/>
        </w:rPr>
        <w:instrText>"}</w:instrText>
      </w:r>
      <w:r w:rsidR="002A7543" w:rsidRPr="00805C9F">
        <w:rPr>
          <w:i/>
          <w:szCs w:val="24"/>
          <w:lang w:val="en-US"/>
        </w:rPr>
        <w:fldChar w:fldCharType="separate"/>
      </w:r>
      <w:r w:rsidR="00500F37" w:rsidRPr="00500F37">
        <w:rPr>
          <w:noProof/>
          <w:szCs w:val="24"/>
        </w:rPr>
        <w:t>[63,64,67,74]</w:t>
      </w:r>
      <w:r w:rsidR="002A7543" w:rsidRPr="00805C9F">
        <w:rPr>
          <w:i/>
          <w:szCs w:val="24"/>
          <w:lang w:val="en-US"/>
        </w:rPr>
        <w:fldChar w:fldCharType="end"/>
      </w:r>
      <w:r w:rsidR="002A7543" w:rsidRPr="00805C9F">
        <w:rPr>
          <w:i/>
          <w:szCs w:val="24"/>
        </w:rPr>
        <w:t>:</w:t>
      </w:r>
    </w:p>
    <w:p w14:paraId="1034B30F" w14:textId="77777777" w:rsidR="0084190C" w:rsidRPr="00805C9F" w:rsidRDefault="0084190C" w:rsidP="00092917">
      <w:pPr>
        <w:pStyle w:val="a6"/>
        <w:spacing w:before="0" w:after="0"/>
        <w:ind w:left="0"/>
        <w:rPr>
          <w:i/>
          <w:szCs w:val="24"/>
        </w:rPr>
      </w:pPr>
      <w:r w:rsidRPr="00805C9F">
        <w:rPr>
          <w:i/>
          <w:szCs w:val="24"/>
        </w:rPr>
        <w:t>•</w:t>
      </w:r>
      <w:r w:rsidRPr="00805C9F">
        <w:rPr>
          <w:i/>
          <w:szCs w:val="24"/>
        </w:rPr>
        <w:tab/>
        <w:t>Бортезомибсодержащие** режимы</w:t>
      </w:r>
    </w:p>
    <w:p w14:paraId="50C5F175" w14:textId="77777777" w:rsidR="0084190C" w:rsidRPr="00805C9F" w:rsidRDefault="0084190C" w:rsidP="00092917">
      <w:pPr>
        <w:pStyle w:val="a6"/>
        <w:spacing w:before="0" w:after="0"/>
        <w:ind w:left="0"/>
        <w:rPr>
          <w:i/>
          <w:szCs w:val="24"/>
        </w:rPr>
      </w:pPr>
      <w:r w:rsidRPr="00805C9F">
        <w:rPr>
          <w:i/>
          <w:szCs w:val="24"/>
        </w:rPr>
        <w:t>•</w:t>
      </w:r>
      <w:r w:rsidRPr="00805C9F">
        <w:rPr>
          <w:i/>
          <w:szCs w:val="24"/>
        </w:rPr>
        <w:tab/>
        <w:t>Леналидомидсодержащие** режимы</w:t>
      </w:r>
    </w:p>
    <w:p w14:paraId="54CCF962" w14:textId="77777777" w:rsidR="0084190C" w:rsidRPr="00805C9F" w:rsidRDefault="0084190C" w:rsidP="00092917">
      <w:pPr>
        <w:pStyle w:val="a6"/>
        <w:spacing w:before="0" w:after="0"/>
        <w:ind w:left="0"/>
        <w:rPr>
          <w:i/>
          <w:szCs w:val="24"/>
        </w:rPr>
      </w:pPr>
      <w:r w:rsidRPr="00805C9F">
        <w:rPr>
          <w:i/>
          <w:szCs w:val="24"/>
        </w:rPr>
        <w:t>•</w:t>
      </w:r>
      <w:r w:rsidRPr="00805C9F">
        <w:rPr>
          <w:i/>
          <w:szCs w:val="24"/>
        </w:rPr>
        <w:tab/>
        <w:t>Комбинация бортезомиба**, леналидомида** и дексаметазона**</w:t>
      </w:r>
    </w:p>
    <w:p w14:paraId="5688034F" w14:textId="77777777" w:rsidR="0084190C" w:rsidRPr="00805C9F" w:rsidRDefault="0084190C" w:rsidP="00092917">
      <w:pPr>
        <w:pStyle w:val="a6"/>
        <w:spacing w:before="0" w:after="0"/>
        <w:ind w:left="0"/>
        <w:rPr>
          <w:i/>
          <w:szCs w:val="24"/>
        </w:rPr>
      </w:pPr>
      <w:r w:rsidRPr="00805C9F">
        <w:rPr>
          <w:i/>
          <w:szCs w:val="24"/>
        </w:rPr>
        <w:t>•</w:t>
      </w:r>
      <w:r w:rsidRPr="00805C9F">
        <w:rPr>
          <w:i/>
          <w:szCs w:val="24"/>
        </w:rPr>
        <w:tab/>
        <w:t>Комбинация карфилзомиба**, леналидомида** и дексаметазона**</w:t>
      </w:r>
    </w:p>
    <w:p w14:paraId="3AF3DE51" w14:textId="77777777" w:rsidR="0084190C" w:rsidRPr="00805C9F" w:rsidRDefault="0084190C" w:rsidP="00092917">
      <w:pPr>
        <w:pStyle w:val="a6"/>
        <w:spacing w:before="0" w:after="0"/>
        <w:ind w:left="0"/>
        <w:rPr>
          <w:i/>
          <w:szCs w:val="24"/>
        </w:rPr>
      </w:pPr>
      <w:r w:rsidRPr="00805C9F">
        <w:rPr>
          <w:i/>
          <w:szCs w:val="24"/>
        </w:rPr>
        <w:t>•</w:t>
      </w:r>
      <w:r w:rsidRPr="00805C9F">
        <w:rPr>
          <w:i/>
          <w:szCs w:val="24"/>
        </w:rPr>
        <w:tab/>
        <w:t>Комбинация иксазомиба**, леналидомида** и дексаметазона**</w:t>
      </w:r>
    </w:p>
    <w:p w14:paraId="38A4A37E" w14:textId="77777777" w:rsidR="0084190C" w:rsidRPr="00805C9F" w:rsidRDefault="0084190C" w:rsidP="00092917">
      <w:pPr>
        <w:pStyle w:val="a6"/>
        <w:spacing w:before="0" w:after="0"/>
        <w:ind w:left="0"/>
        <w:rPr>
          <w:i/>
          <w:szCs w:val="24"/>
        </w:rPr>
      </w:pPr>
      <w:r w:rsidRPr="00805C9F">
        <w:rPr>
          <w:i/>
          <w:szCs w:val="24"/>
        </w:rPr>
        <w:t>•</w:t>
      </w:r>
      <w:r w:rsidRPr="00805C9F">
        <w:rPr>
          <w:i/>
          <w:szCs w:val="24"/>
        </w:rPr>
        <w:tab/>
        <w:t>Комбинация даратумумаба**, леналидомида** и дексаметазона**</w:t>
      </w:r>
    </w:p>
    <w:p w14:paraId="1F20D8FD" w14:textId="77777777" w:rsidR="0084190C" w:rsidRPr="00805C9F" w:rsidRDefault="0084190C" w:rsidP="00092917">
      <w:pPr>
        <w:pStyle w:val="a6"/>
        <w:spacing w:before="0" w:after="0"/>
        <w:ind w:left="0"/>
        <w:rPr>
          <w:i/>
          <w:szCs w:val="24"/>
        </w:rPr>
      </w:pPr>
      <w:r w:rsidRPr="00805C9F">
        <w:rPr>
          <w:i/>
          <w:szCs w:val="24"/>
        </w:rPr>
        <w:t>•</w:t>
      </w:r>
      <w:r w:rsidRPr="00805C9F">
        <w:rPr>
          <w:i/>
          <w:szCs w:val="24"/>
        </w:rPr>
        <w:tab/>
        <w:t>Комбинация даратумумаба**, бортезомиба** и дексаметазона**</w:t>
      </w:r>
    </w:p>
    <w:p w14:paraId="1742A052" w14:textId="77777777" w:rsidR="002B762F" w:rsidRPr="00805C9F" w:rsidRDefault="0084190C" w:rsidP="002B762F">
      <w:pPr>
        <w:pStyle w:val="a6"/>
        <w:spacing w:before="0" w:after="0"/>
        <w:ind w:left="0"/>
        <w:rPr>
          <w:i/>
          <w:szCs w:val="24"/>
        </w:rPr>
      </w:pPr>
      <w:r w:rsidRPr="00805C9F">
        <w:rPr>
          <w:i/>
          <w:szCs w:val="24"/>
        </w:rPr>
        <w:t>•</w:t>
      </w:r>
      <w:r w:rsidRPr="00805C9F">
        <w:rPr>
          <w:i/>
          <w:szCs w:val="24"/>
        </w:rPr>
        <w:tab/>
        <w:t>Комбинация элотузумаба**, леналидомида** и дексаметазона**</w:t>
      </w:r>
    </w:p>
    <w:p w14:paraId="5F73E8AF" w14:textId="25577FF6" w:rsidR="002B762F" w:rsidRPr="00805C9F" w:rsidRDefault="002B762F" w:rsidP="002B762F">
      <w:pPr>
        <w:pStyle w:val="a6"/>
        <w:spacing w:before="0" w:after="0"/>
        <w:ind w:left="0"/>
        <w:rPr>
          <w:i/>
          <w:szCs w:val="24"/>
        </w:rPr>
      </w:pPr>
      <w:r w:rsidRPr="00805C9F">
        <w:rPr>
          <w:i/>
          <w:szCs w:val="24"/>
        </w:rPr>
        <w:t>•</w:t>
      </w:r>
      <w:r w:rsidRPr="00805C9F">
        <w:rPr>
          <w:i/>
          <w:szCs w:val="24"/>
        </w:rPr>
        <w:tab/>
        <w:t xml:space="preserve">Комбинация </w:t>
      </w:r>
      <w:r w:rsidR="0047254E" w:rsidRPr="00805C9F">
        <w:rPr>
          <w:i/>
          <w:szCs w:val="24"/>
        </w:rPr>
        <w:t>по</w:t>
      </w:r>
      <w:r w:rsidRPr="00805C9F">
        <w:rPr>
          <w:i/>
          <w:szCs w:val="24"/>
        </w:rPr>
        <w:t>малидомида</w:t>
      </w:r>
      <w:r w:rsidR="006C0012" w:rsidRPr="00805C9F">
        <w:rPr>
          <w:szCs w:val="24"/>
        </w:rPr>
        <w:t>**</w:t>
      </w:r>
      <w:r w:rsidRPr="00805C9F">
        <w:rPr>
          <w:i/>
          <w:szCs w:val="24"/>
        </w:rPr>
        <w:t xml:space="preserve"> и дексаметазона**</w:t>
      </w:r>
    </w:p>
    <w:p w14:paraId="1BE13675" w14:textId="797A5626" w:rsidR="002B762F" w:rsidRPr="00805C9F" w:rsidRDefault="002B762F" w:rsidP="002B762F">
      <w:pPr>
        <w:pStyle w:val="a6"/>
        <w:spacing w:before="0" w:after="0"/>
        <w:ind w:left="0"/>
        <w:rPr>
          <w:i/>
          <w:szCs w:val="24"/>
        </w:rPr>
      </w:pPr>
      <w:r w:rsidRPr="00805C9F">
        <w:rPr>
          <w:i/>
          <w:szCs w:val="24"/>
        </w:rPr>
        <w:t>•</w:t>
      </w:r>
      <w:r w:rsidRPr="00805C9F">
        <w:rPr>
          <w:i/>
          <w:szCs w:val="24"/>
        </w:rPr>
        <w:tab/>
        <w:t xml:space="preserve">Комбинация элотузумаба**, </w:t>
      </w:r>
      <w:r w:rsidR="0047254E" w:rsidRPr="00805C9F">
        <w:rPr>
          <w:i/>
          <w:szCs w:val="24"/>
        </w:rPr>
        <w:t>по</w:t>
      </w:r>
      <w:r w:rsidRPr="00805C9F">
        <w:rPr>
          <w:i/>
          <w:szCs w:val="24"/>
        </w:rPr>
        <w:t>малидомида</w:t>
      </w:r>
      <w:r w:rsidR="006C0012" w:rsidRPr="00805C9F">
        <w:rPr>
          <w:szCs w:val="24"/>
        </w:rPr>
        <w:t>**</w:t>
      </w:r>
      <w:r w:rsidRPr="00805C9F">
        <w:rPr>
          <w:i/>
          <w:szCs w:val="24"/>
        </w:rPr>
        <w:t xml:space="preserve"> и дексаметазона**</w:t>
      </w:r>
    </w:p>
    <w:p w14:paraId="3F9E1967" w14:textId="46DBCDFE" w:rsidR="002B762F" w:rsidRPr="00805C9F" w:rsidRDefault="002B762F" w:rsidP="002B762F">
      <w:pPr>
        <w:pStyle w:val="a6"/>
        <w:spacing w:before="0" w:after="0"/>
        <w:ind w:left="0"/>
        <w:rPr>
          <w:i/>
          <w:szCs w:val="24"/>
        </w:rPr>
      </w:pPr>
      <w:r w:rsidRPr="00805C9F">
        <w:rPr>
          <w:i/>
          <w:szCs w:val="24"/>
        </w:rPr>
        <w:t>•</w:t>
      </w:r>
      <w:r w:rsidRPr="00805C9F">
        <w:rPr>
          <w:i/>
          <w:szCs w:val="24"/>
        </w:rPr>
        <w:tab/>
        <w:t>Комбинация изатуксимаба</w:t>
      </w:r>
      <w:r w:rsidR="006C0012" w:rsidRPr="00805C9F">
        <w:rPr>
          <w:szCs w:val="24"/>
        </w:rPr>
        <w:t>**</w:t>
      </w:r>
      <w:r w:rsidRPr="00805C9F">
        <w:rPr>
          <w:i/>
          <w:szCs w:val="24"/>
        </w:rPr>
        <w:t xml:space="preserve">, </w:t>
      </w:r>
      <w:r w:rsidR="0047254E" w:rsidRPr="00805C9F">
        <w:rPr>
          <w:i/>
          <w:szCs w:val="24"/>
        </w:rPr>
        <w:t>по</w:t>
      </w:r>
      <w:r w:rsidRPr="00805C9F">
        <w:rPr>
          <w:i/>
          <w:szCs w:val="24"/>
        </w:rPr>
        <w:t>малидомида</w:t>
      </w:r>
      <w:r w:rsidR="006C0012" w:rsidRPr="00805C9F">
        <w:rPr>
          <w:szCs w:val="24"/>
        </w:rPr>
        <w:t>**</w:t>
      </w:r>
      <w:r w:rsidRPr="00805C9F">
        <w:rPr>
          <w:i/>
          <w:szCs w:val="24"/>
        </w:rPr>
        <w:t xml:space="preserve"> и дексаметазона**</w:t>
      </w:r>
    </w:p>
    <w:p w14:paraId="7C54ECB5" w14:textId="2D7BDE82" w:rsidR="00B424E0" w:rsidRPr="00805C9F" w:rsidRDefault="0084190C" w:rsidP="00092917">
      <w:pPr>
        <w:pStyle w:val="a6"/>
        <w:spacing w:before="0" w:after="0"/>
        <w:ind w:left="0"/>
        <w:rPr>
          <w:i/>
          <w:szCs w:val="24"/>
        </w:rPr>
      </w:pPr>
      <w:r w:rsidRPr="00805C9F">
        <w:rPr>
          <w:i/>
          <w:szCs w:val="24"/>
        </w:rPr>
        <w:t>К</w:t>
      </w:r>
      <w:r w:rsidR="00B424E0" w:rsidRPr="00805C9F">
        <w:rPr>
          <w:i/>
          <w:szCs w:val="24"/>
        </w:rPr>
        <w:t>арфилзомиб</w:t>
      </w:r>
      <w:r w:rsidR="00744144" w:rsidRPr="00805C9F">
        <w:rPr>
          <w:i/>
          <w:szCs w:val="24"/>
        </w:rPr>
        <w:t>**</w:t>
      </w:r>
      <w:r w:rsidR="00B424E0" w:rsidRPr="00805C9F">
        <w:rPr>
          <w:i/>
          <w:szCs w:val="24"/>
        </w:rPr>
        <w:t xml:space="preserve"> не требует модификации дозы и показывает похожие результаты у пациентов с почечной недостаточностью: уровень доказательности А - у пациентов с клиренсом креатинина ≥ 15 мл/мин и В - у пациентов с клиренсом креатинина &lt;15 мл/мин. Иксазомиб</w:t>
      </w:r>
      <w:r w:rsidR="00744144" w:rsidRPr="00805C9F">
        <w:rPr>
          <w:i/>
          <w:szCs w:val="24"/>
        </w:rPr>
        <w:t>**</w:t>
      </w:r>
      <w:r w:rsidR="00B424E0" w:rsidRPr="00805C9F">
        <w:rPr>
          <w:i/>
          <w:szCs w:val="24"/>
        </w:rPr>
        <w:t xml:space="preserve"> назначают в дозе 4 мг 1 раз в неделю при СКФ &gt;30 мл/мин. Препарат может быть использован и при СКФ &lt;3</w:t>
      </w:r>
      <w:r w:rsidR="008F69F6" w:rsidRPr="00805C9F">
        <w:rPr>
          <w:i/>
          <w:szCs w:val="24"/>
        </w:rPr>
        <w:t xml:space="preserve">0 мл/мин в стартовой дозе 3 мг. </w:t>
      </w:r>
    </w:p>
    <w:p w14:paraId="6109E685" w14:textId="5E39636B" w:rsidR="00B424E0" w:rsidRPr="00805C9F" w:rsidRDefault="0084190C" w:rsidP="00092917">
      <w:pPr>
        <w:pStyle w:val="a6"/>
        <w:numPr>
          <w:ilvl w:val="0"/>
          <w:numId w:val="10"/>
        </w:numPr>
        <w:spacing w:before="0" w:after="0"/>
        <w:ind w:left="0" w:firstLine="0"/>
        <w:rPr>
          <w:szCs w:val="24"/>
        </w:rPr>
      </w:pPr>
      <w:r w:rsidRPr="00805C9F">
        <w:rPr>
          <w:szCs w:val="24"/>
        </w:rPr>
        <w:t xml:space="preserve">Пациентам с ММ, осложненной миеломной нефропатией, </w:t>
      </w:r>
      <w:r w:rsidRPr="00805C9F">
        <w:rPr>
          <w:b/>
          <w:szCs w:val="24"/>
        </w:rPr>
        <w:t xml:space="preserve">рекомендуется </w:t>
      </w:r>
      <w:r w:rsidRPr="00805C9F">
        <w:rPr>
          <w:szCs w:val="24"/>
        </w:rPr>
        <w:t>проводить д</w:t>
      </w:r>
      <w:r w:rsidR="00B424E0" w:rsidRPr="00805C9F">
        <w:rPr>
          <w:szCs w:val="24"/>
        </w:rPr>
        <w:t>ополнительные методы обследования</w:t>
      </w:r>
      <w:r w:rsidR="00452478" w:rsidRPr="00805C9F">
        <w:rPr>
          <w:szCs w:val="24"/>
        </w:rPr>
        <w:t xml:space="preserve"> </w:t>
      </w:r>
      <w:r w:rsidR="00452478" w:rsidRPr="00805C9F">
        <w:rPr>
          <w:szCs w:val="24"/>
        </w:rPr>
        <w:fldChar w:fldCharType="begin" w:fldLock="1"/>
      </w:r>
      <w:r w:rsidR="00500F37">
        <w:rPr>
          <w:szCs w:val="24"/>
          <w:lang w:val="en-US"/>
        </w:rPr>
        <w:instrText>ADDIN</w:instrText>
      </w:r>
      <w:r w:rsidR="00500F37" w:rsidRPr="00500F37">
        <w:rPr>
          <w:szCs w:val="24"/>
        </w:rPr>
        <w:instrText xml:space="preserve"> </w:instrText>
      </w:r>
      <w:r w:rsidR="00500F37">
        <w:rPr>
          <w:szCs w:val="24"/>
          <w:lang w:val="en-US"/>
        </w:rPr>
        <w:instrText>CSL</w:instrText>
      </w:r>
      <w:r w:rsidR="00500F37" w:rsidRPr="00500F37">
        <w:rPr>
          <w:szCs w:val="24"/>
        </w:rPr>
        <w:instrText>_</w:instrText>
      </w:r>
      <w:r w:rsidR="00500F37">
        <w:rPr>
          <w:szCs w:val="24"/>
          <w:lang w:val="en-US"/>
        </w:rPr>
        <w:instrText>CITATION</w:instrText>
      </w:r>
      <w:r w:rsidR="00500F37" w:rsidRPr="00500F37">
        <w:rPr>
          <w:szCs w:val="24"/>
        </w:rPr>
        <w:instrText xml:space="preserve"> {"</w:instrText>
      </w:r>
      <w:r w:rsidR="00500F37">
        <w:rPr>
          <w:szCs w:val="24"/>
          <w:lang w:val="en-US"/>
        </w:rPr>
        <w:instrText>citationItems</w:instrText>
      </w:r>
      <w:r w:rsidR="00500F37" w:rsidRPr="00500F37">
        <w:rPr>
          <w:szCs w:val="24"/>
        </w:rPr>
        <w:instrText>":[{"</w:instrText>
      </w:r>
      <w:r w:rsidR="00500F37">
        <w:rPr>
          <w:szCs w:val="24"/>
          <w:lang w:val="en-US"/>
        </w:rPr>
        <w:instrText>id</w:instrText>
      </w:r>
      <w:r w:rsidR="00500F37" w:rsidRPr="00500F37">
        <w:rPr>
          <w:szCs w:val="24"/>
        </w:rPr>
        <w:instrText>":"</w:instrText>
      </w:r>
      <w:r w:rsidR="00500F37">
        <w:rPr>
          <w:szCs w:val="24"/>
          <w:lang w:val="en-US"/>
        </w:rPr>
        <w:instrText>ITEM</w:instrText>
      </w:r>
      <w:r w:rsidR="00500F37" w:rsidRPr="00500F37">
        <w:rPr>
          <w:szCs w:val="24"/>
        </w:rPr>
        <w:instrText>-1","</w:instrText>
      </w:r>
      <w:r w:rsidR="00500F37">
        <w:rPr>
          <w:szCs w:val="24"/>
          <w:lang w:val="en-US"/>
        </w:rPr>
        <w:instrText>itemData</w:instrText>
      </w:r>
      <w:r w:rsidR="00500F37" w:rsidRPr="00500F37">
        <w:rPr>
          <w:szCs w:val="24"/>
        </w:rPr>
        <w:instrText>":{"</w:instrText>
      </w:r>
      <w:r w:rsidR="00500F37">
        <w:rPr>
          <w:szCs w:val="24"/>
          <w:lang w:val="en-US"/>
        </w:rPr>
        <w:instrText>DOI</w:instrText>
      </w:r>
      <w:r w:rsidR="00500F37" w:rsidRPr="00500F37">
        <w:rPr>
          <w:szCs w:val="24"/>
        </w:rPr>
        <w:instrText>":"10.1200/</w:instrText>
      </w:r>
      <w:r w:rsidR="00500F37">
        <w:rPr>
          <w:szCs w:val="24"/>
          <w:lang w:val="en-US"/>
        </w:rPr>
        <w:instrText>JCO</w:instrText>
      </w:r>
      <w:r w:rsidR="00500F37" w:rsidRPr="00500F37">
        <w:rPr>
          <w:szCs w:val="24"/>
        </w:rPr>
        <w:instrText>.2010.30.8791","</w:instrText>
      </w:r>
      <w:r w:rsidR="00500F37">
        <w:rPr>
          <w:szCs w:val="24"/>
          <w:lang w:val="en-US"/>
        </w:rPr>
        <w:instrText>ISSN</w:instrText>
      </w:r>
      <w:r w:rsidR="00500F37" w:rsidRPr="00500F37">
        <w:rPr>
          <w:szCs w:val="24"/>
        </w:rPr>
        <w:instrText>":"0732183</w:instrText>
      </w:r>
      <w:r w:rsidR="00500F37">
        <w:rPr>
          <w:szCs w:val="24"/>
          <w:lang w:val="en-US"/>
        </w:rPr>
        <w:instrText>X</w:instrText>
      </w:r>
      <w:r w:rsidR="00500F37" w:rsidRPr="00500F37">
        <w:rPr>
          <w:szCs w:val="24"/>
        </w:rPr>
        <w:instrText>","</w:instrText>
      </w:r>
      <w:r w:rsidR="00500F37">
        <w:rPr>
          <w:szCs w:val="24"/>
          <w:lang w:val="en-US"/>
        </w:rPr>
        <w:instrText>PMID</w:instrText>
      </w:r>
      <w:r w:rsidR="00500F37" w:rsidRPr="00500F37">
        <w:rPr>
          <w:szCs w:val="24"/>
        </w:rPr>
        <w:instrText>":"20956629","</w:instrText>
      </w:r>
      <w:r w:rsidR="00500F37">
        <w:rPr>
          <w:szCs w:val="24"/>
          <w:lang w:val="en-US"/>
        </w:rPr>
        <w:instrText>abstract</w:instrText>
      </w:r>
      <w:r w:rsidR="00500F37" w:rsidRPr="00500F37">
        <w:rPr>
          <w:szCs w:val="24"/>
        </w:rPr>
        <w:instrText>":"</w:instrText>
      </w:r>
      <w:r w:rsidR="00500F37">
        <w:rPr>
          <w:szCs w:val="24"/>
          <w:lang w:val="en-US"/>
        </w:rPr>
        <w:instrText>Renal</w:instrText>
      </w:r>
      <w:r w:rsidR="00500F37" w:rsidRPr="00500F37">
        <w:rPr>
          <w:szCs w:val="24"/>
        </w:rPr>
        <w:instrText xml:space="preserve"> </w:instrText>
      </w:r>
      <w:r w:rsidR="00500F37">
        <w:rPr>
          <w:szCs w:val="24"/>
          <w:lang w:val="en-US"/>
        </w:rPr>
        <w:instrText>impairment</w:instrText>
      </w:r>
      <w:r w:rsidR="00500F37" w:rsidRPr="00500F37">
        <w:rPr>
          <w:szCs w:val="24"/>
        </w:rPr>
        <w:instrText xml:space="preserve"> </w:instrText>
      </w:r>
      <w:r w:rsidR="00500F37">
        <w:rPr>
          <w:szCs w:val="24"/>
          <w:lang w:val="en-US"/>
        </w:rPr>
        <w:instrText>is</w:instrText>
      </w:r>
      <w:r w:rsidR="00500F37" w:rsidRPr="00500F37">
        <w:rPr>
          <w:szCs w:val="24"/>
        </w:rPr>
        <w:instrText xml:space="preserve"> </w:instrText>
      </w:r>
      <w:r w:rsidR="00500F37">
        <w:rPr>
          <w:szCs w:val="24"/>
          <w:lang w:val="en-US"/>
        </w:rPr>
        <w:instrText>a</w:instrText>
      </w:r>
      <w:r w:rsidR="00500F37" w:rsidRPr="00500F37">
        <w:rPr>
          <w:szCs w:val="24"/>
        </w:rPr>
        <w:instrText xml:space="preserve"> </w:instrText>
      </w:r>
      <w:r w:rsidR="00500F37">
        <w:rPr>
          <w:szCs w:val="24"/>
          <w:lang w:val="en-US"/>
        </w:rPr>
        <w:instrText>common</w:instrText>
      </w:r>
      <w:r w:rsidR="00500F37" w:rsidRPr="00500F37">
        <w:rPr>
          <w:szCs w:val="24"/>
        </w:rPr>
        <w:instrText xml:space="preserve"> </w:instrText>
      </w:r>
      <w:r w:rsidR="00500F37">
        <w:rPr>
          <w:szCs w:val="24"/>
          <w:lang w:val="en-US"/>
        </w:rPr>
        <w:instrText>complication</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multiple</w:instrText>
      </w:r>
      <w:r w:rsidR="00500F37" w:rsidRPr="00500F37">
        <w:rPr>
          <w:szCs w:val="24"/>
        </w:rPr>
        <w:instrText xml:space="preserve"> </w:instrText>
      </w:r>
      <w:r w:rsidR="00500F37">
        <w:rPr>
          <w:szCs w:val="24"/>
          <w:lang w:val="en-US"/>
        </w:rPr>
        <w:instrText>myeloma</w:instrText>
      </w:r>
      <w:r w:rsidR="00500F37" w:rsidRPr="00500F37">
        <w:rPr>
          <w:szCs w:val="24"/>
        </w:rPr>
        <w:instrText xml:space="preserve"> (</w:instrText>
      </w:r>
      <w:r w:rsidR="00500F37">
        <w:rPr>
          <w:szCs w:val="24"/>
          <w:lang w:val="en-US"/>
        </w:rPr>
        <w:instrText>MM</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estimated</w:instrText>
      </w:r>
      <w:r w:rsidR="00500F37" w:rsidRPr="00500F37">
        <w:rPr>
          <w:szCs w:val="24"/>
        </w:rPr>
        <w:instrText xml:space="preserve"> </w:instrText>
      </w:r>
      <w:r w:rsidR="00500F37">
        <w:rPr>
          <w:szCs w:val="24"/>
          <w:lang w:val="en-US"/>
        </w:rPr>
        <w:instrText>glomerular</w:instrText>
      </w:r>
      <w:r w:rsidR="00500F37" w:rsidRPr="00500F37">
        <w:rPr>
          <w:szCs w:val="24"/>
        </w:rPr>
        <w:instrText xml:space="preserve"> </w:instrText>
      </w:r>
      <w:r w:rsidR="00500F37">
        <w:rPr>
          <w:szCs w:val="24"/>
          <w:lang w:val="en-US"/>
        </w:rPr>
        <w:instrText>filtration</w:instrText>
      </w:r>
      <w:r w:rsidR="00500F37" w:rsidRPr="00500F37">
        <w:rPr>
          <w:szCs w:val="24"/>
        </w:rPr>
        <w:instrText xml:space="preserve"> </w:instrText>
      </w:r>
      <w:r w:rsidR="00500F37">
        <w:rPr>
          <w:szCs w:val="24"/>
          <w:lang w:val="en-US"/>
        </w:rPr>
        <w:instrText>rate</w:instrText>
      </w:r>
      <w:r w:rsidR="00500F37" w:rsidRPr="00500F37">
        <w:rPr>
          <w:szCs w:val="24"/>
        </w:rPr>
        <w:instrText xml:space="preserve"> (</w:instrText>
      </w:r>
      <w:r w:rsidR="00500F37">
        <w:rPr>
          <w:szCs w:val="24"/>
          <w:lang w:val="en-US"/>
        </w:rPr>
        <w:instrText>eGFR</w:instrText>
      </w:r>
      <w:r w:rsidR="00500F37" w:rsidRPr="00500F37">
        <w:rPr>
          <w:szCs w:val="24"/>
        </w:rPr>
        <w:instrText xml:space="preserve">) </w:instrText>
      </w:r>
      <w:r w:rsidR="00500F37">
        <w:rPr>
          <w:szCs w:val="24"/>
          <w:lang w:val="en-US"/>
        </w:rPr>
        <w:instrText>using</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Modification</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Diet</w:instrText>
      </w:r>
      <w:r w:rsidR="00500F37" w:rsidRPr="00500F37">
        <w:rPr>
          <w:szCs w:val="24"/>
        </w:rPr>
        <w:instrText xml:space="preserve"> </w:instrText>
      </w:r>
      <w:r w:rsidR="00500F37">
        <w:rPr>
          <w:szCs w:val="24"/>
          <w:lang w:val="en-US"/>
        </w:rPr>
        <w:instrText>in</w:instrText>
      </w:r>
      <w:r w:rsidR="00500F37" w:rsidRPr="00500F37">
        <w:rPr>
          <w:szCs w:val="24"/>
        </w:rPr>
        <w:instrText xml:space="preserve"> </w:instrText>
      </w:r>
      <w:r w:rsidR="00500F37">
        <w:rPr>
          <w:szCs w:val="24"/>
          <w:lang w:val="en-US"/>
        </w:rPr>
        <w:instrText>Renal</w:instrText>
      </w:r>
      <w:r w:rsidR="00500F37" w:rsidRPr="00500F37">
        <w:rPr>
          <w:szCs w:val="24"/>
        </w:rPr>
        <w:instrText xml:space="preserve"> </w:instrText>
      </w:r>
      <w:r w:rsidR="00500F37">
        <w:rPr>
          <w:szCs w:val="24"/>
          <w:lang w:val="en-US"/>
        </w:rPr>
        <w:instrText>Disease</w:instrText>
      </w:r>
      <w:r w:rsidR="00500F37" w:rsidRPr="00500F37">
        <w:rPr>
          <w:szCs w:val="24"/>
        </w:rPr>
        <w:instrText xml:space="preserve"> </w:instrText>
      </w:r>
      <w:r w:rsidR="00500F37">
        <w:rPr>
          <w:szCs w:val="24"/>
          <w:lang w:val="en-US"/>
        </w:rPr>
        <w:instrText>formula</w:instrText>
      </w:r>
      <w:r w:rsidR="00500F37" w:rsidRPr="00500F37">
        <w:rPr>
          <w:szCs w:val="24"/>
        </w:rPr>
        <w:instrText xml:space="preserve"> </w:instrText>
      </w:r>
      <w:r w:rsidR="00500F37">
        <w:rPr>
          <w:szCs w:val="24"/>
          <w:lang w:val="en-US"/>
        </w:rPr>
        <w:instrText>is</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recommended</w:instrText>
      </w:r>
      <w:r w:rsidR="00500F37" w:rsidRPr="00500F37">
        <w:rPr>
          <w:szCs w:val="24"/>
        </w:rPr>
        <w:instrText xml:space="preserve"> </w:instrText>
      </w:r>
      <w:r w:rsidR="00500F37">
        <w:rPr>
          <w:szCs w:val="24"/>
          <w:lang w:val="en-US"/>
        </w:rPr>
        <w:instrText>method</w:instrText>
      </w:r>
      <w:r w:rsidR="00500F37" w:rsidRPr="00500F37">
        <w:rPr>
          <w:szCs w:val="24"/>
        </w:rPr>
        <w:instrText xml:space="preserve"> </w:instrText>
      </w:r>
      <w:r w:rsidR="00500F37">
        <w:rPr>
          <w:szCs w:val="24"/>
          <w:lang w:val="en-US"/>
        </w:rPr>
        <w:instrText>for</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assessment</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renal</w:instrText>
      </w:r>
      <w:r w:rsidR="00500F37" w:rsidRPr="00500F37">
        <w:rPr>
          <w:szCs w:val="24"/>
        </w:rPr>
        <w:instrText xml:space="preserve"> </w:instrText>
      </w:r>
      <w:r w:rsidR="00500F37">
        <w:rPr>
          <w:szCs w:val="24"/>
          <w:lang w:val="en-US"/>
        </w:rPr>
        <w:instrText>function</w:instrText>
      </w:r>
      <w:r w:rsidR="00500F37" w:rsidRPr="00500F37">
        <w:rPr>
          <w:szCs w:val="24"/>
        </w:rPr>
        <w:instrText xml:space="preserve"> </w:instrText>
      </w:r>
      <w:r w:rsidR="00500F37">
        <w:rPr>
          <w:szCs w:val="24"/>
          <w:lang w:val="en-US"/>
        </w:rPr>
        <w:instrText>in</w:instrText>
      </w:r>
      <w:r w:rsidR="00500F37" w:rsidRPr="00500F37">
        <w:rPr>
          <w:szCs w:val="24"/>
        </w:rPr>
        <w:instrText xml:space="preserve"> </w:instrText>
      </w:r>
      <w:r w:rsidR="00500F37">
        <w:rPr>
          <w:szCs w:val="24"/>
          <w:lang w:val="en-US"/>
        </w:rPr>
        <w:instrText>patients</w:instrText>
      </w:r>
      <w:r w:rsidR="00500F37" w:rsidRPr="000C68DB">
        <w:rPr>
          <w:szCs w:val="24"/>
        </w:rPr>
        <w:instrText xml:space="preserve"> </w:instrText>
      </w:r>
      <w:r w:rsidR="00500F37">
        <w:rPr>
          <w:szCs w:val="24"/>
          <w:lang w:val="en-US"/>
        </w:rPr>
        <w:instrText>with</w:instrText>
      </w:r>
      <w:r w:rsidR="00500F37" w:rsidRPr="000C68DB">
        <w:rPr>
          <w:szCs w:val="24"/>
        </w:rPr>
        <w:instrText xml:space="preserve"> </w:instrText>
      </w:r>
      <w:r w:rsidR="00500F37">
        <w:rPr>
          <w:szCs w:val="24"/>
          <w:lang w:val="en-US"/>
        </w:rPr>
        <w:instrText>MM</w:instrText>
      </w:r>
      <w:r w:rsidR="00500F37" w:rsidRPr="000C68DB">
        <w:rPr>
          <w:szCs w:val="24"/>
        </w:rPr>
        <w:instrText xml:space="preserve"> </w:instrText>
      </w:r>
      <w:r w:rsidR="00500F37">
        <w:rPr>
          <w:szCs w:val="24"/>
          <w:lang w:val="en-US"/>
        </w:rPr>
        <w:instrText>with</w:instrText>
      </w:r>
      <w:r w:rsidR="00500F37" w:rsidRPr="000C68DB">
        <w:rPr>
          <w:szCs w:val="24"/>
        </w:rPr>
        <w:instrText xml:space="preserve"> </w:instrText>
      </w:r>
      <w:r w:rsidR="00500F37">
        <w:rPr>
          <w:szCs w:val="24"/>
          <w:lang w:val="en-US"/>
        </w:rPr>
        <w:instrText>stabilized</w:instrText>
      </w:r>
      <w:r w:rsidR="00500F37" w:rsidRPr="000C68DB">
        <w:rPr>
          <w:szCs w:val="24"/>
        </w:rPr>
        <w:instrText xml:space="preserve"> </w:instrText>
      </w:r>
      <w:r w:rsidR="00500F37">
        <w:rPr>
          <w:szCs w:val="24"/>
          <w:lang w:val="en-US"/>
        </w:rPr>
        <w:instrText>serum</w:instrText>
      </w:r>
      <w:r w:rsidR="00500F37" w:rsidRPr="000C68DB">
        <w:rPr>
          <w:szCs w:val="24"/>
        </w:rPr>
        <w:instrText xml:space="preserve"> </w:instrText>
      </w:r>
      <w:r w:rsidR="00500F37">
        <w:rPr>
          <w:szCs w:val="24"/>
          <w:lang w:val="en-US"/>
        </w:rPr>
        <w:instrText>creatinine</w:instrText>
      </w:r>
      <w:r w:rsidR="00500F37" w:rsidRPr="000C68DB">
        <w:rPr>
          <w:szCs w:val="24"/>
        </w:rPr>
        <w:instrText xml:space="preserve">. </w:instrText>
      </w:r>
      <w:r w:rsidR="00500F37">
        <w:rPr>
          <w:szCs w:val="24"/>
          <w:lang w:val="en-US"/>
        </w:rPr>
        <w:instrText>In</w:instrText>
      </w:r>
      <w:r w:rsidR="00500F37" w:rsidRPr="000C68DB">
        <w:rPr>
          <w:szCs w:val="24"/>
        </w:rPr>
        <w:instrText xml:space="preserve"> </w:instrText>
      </w:r>
      <w:r w:rsidR="00500F37">
        <w:rPr>
          <w:szCs w:val="24"/>
          <w:lang w:val="en-US"/>
        </w:rPr>
        <w:instrText>acute</w:instrText>
      </w:r>
      <w:r w:rsidR="00500F37" w:rsidRPr="000C68DB">
        <w:rPr>
          <w:szCs w:val="24"/>
        </w:rPr>
        <w:instrText xml:space="preserve"> </w:instrText>
      </w:r>
      <w:r w:rsidR="00500F37">
        <w:rPr>
          <w:szCs w:val="24"/>
          <w:lang w:val="en-US"/>
        </w:rPr>
        <w:instrText>renal</w:instrText>
      </w:r>
      <w:r w:rsidR="00500F37" w:rsidRPr="000C68DB">
        <w:rPr>
          <w:szCs w:val="24"/>
        </w:rPr>
        <w:instrText xml:space="preserve"> </w:instrText>
      </w:r>
      <w:r w:rsidR="00500F37">
        <w:rPr>
          <w:szCs w:val="24"/>
          <w:lang w:val="en-US"/>
        </w:rPr>
        <w:instrText>injury</w:instrText>
      </w:r>
      <w:r w:rsidR="00500F37" w:rsidRPr="000C68DB">
        <w:rPr>
          <w:szCs w:val="24"/>
        </w:rPr>
        <w:instrText xml:space="preserve">, </w:instrText>
      </w:r>
      <w:r w:rsidR="00500F37">
        <w:rPr>
          <w:szCs w:val="24"/>
          <w:lang w:val="en-US"/>
        </w:rPr>
        <w:instrText>the</w:instrText>
      </w:r>
      <w:r w:rsidR="00500F37" w:rsidRPr="000C68DB">
        <w:rPr>
          <w:szCs w:val="24"/>
        </w:rPr>
        <w:instrText xml:space="preserve"> </w:instrText>
      </w:r>
      <w:r w:rsidR="00500F37">
        <w:rPr>
          <w:szCs w:val="24"/>
          <w:lang w:val="en-US"/>
        </w:rPr>
        <w:instrText>RIFLE</w:instrText>
      </w:r>
      <w:r w:rsidR="00500F37" w:rsidRPr="000C68DB">
        <w:rPr>
          <w:szCs w:val="24"/>
        </w:rPr>
        <w:instrText xml:space="preserve"> (</w:instrText>
      </w:r>
      <w:r w:rsidR="00500F37">
        <w:rPr>
          <w:szCs w:val="24"/>
          <w:lang w:val="en-US"/>
        </w:rPr>
        <w:instrText>risk</w:instrText>
      </w:r>
      <w:r w:rsidR="00500F37" w:rsidRPr="000C68DB">
        <w:rPr>
          <w:szCs w:val="24"/>
        </w:rPr>
        <w:instrText xml:space="preserve">, </w:instrText>
      </w:r>
      <w:r w:rsidR="00500F37">
        <w:rPr>
          <w:szCs w:val="24"/>
          <w:lang w:val="en-US"/>
        </w:rPr>
        <w:instrText>injury</w:instrText>
      </w:r>
      <w:r w:rsidR="00500F37" w:rsidRPr="000C68DB">
        <w:rPr>
          <w:szCs w:val="24"/>
        </w:rPr>
        <w:instrText xml:space="preserve">, </w:instrText>
      </w:r>
      <w:r w:rsidR="00500F37">
        <w:rPr>
          <w:szCs w:val="24"/>
          <w:lang w:val="en-US"/>
        </w:rPr>
        <w:instrText>failure</w:instrText>
      </w:r>
      <w:r w:rsidR="00500F37" w:rsidRPr="000C68DB">
        <w:rPr>
          <w:szCs w:val="24"/>
        </w:rPr>
        <w:instrText xml:space="preserve">, </w:instrText>
      </w:r>
      <w:r w:rsidR="00500F37">
        <w:rPr>
          <w:szCs w:val="24"/>
          <w:lang w:val="en-US"/>
        </w:rPr>
        <w:instrText>loss</w:instrText>
      </w:r>
      <w:r w:rsidR="00500F37" w:rsidRPr="000C68DB">
        <w:rPr>
          <w:szCs w:val="24"/>
        </w:rPr>
        <w:instrText xml:space="preserve"> </w:instrText>
      </w:r>
      <w:r w:rsidR="00500F37">
        <w:rPr>
          <w:szCs w:val="24"/>
          <w:lang w:val="en-US"/>
        </w:rPr>
        <w:instrText>and</w:instrText>
      </w:r>
      <w:r w:rsidR="00500F37" w:rsidRPr="000C68DB">
        <w:rPr>
          <w:szCs w:val="24"/>
        </w:rPr>
        <w:instrText xml:space="preserve"> </w:instrText>
      </w:r>
      <w:r w:rsidR="00500F37">
        <w:rPr>
          <w:szCs w:val="24"/>
          <w:lang w:val="en-US"/>
        </w:rPr>
        <w:instrText>end</w:instrText>
      </w:r>
      <w:r w:rsidR="00500F37" w:rsidRPr="000C68DB">
        <w:rPr>
          <w:szCs w:val="24"/>
        </w:rPr>
        <w:instrText>-</w:instrText>
      </w:r>
      <w:r w:rsidR="00500F37">
        <w:rPr>
          <w:szCs w:val="24"/>
          <w:lang w:val="en-US"/>
        </w:rPr>
        <w:instrText>stage</w:instrText>
      </w:r>
      <w:r w:rsidR="00500F37" w:rsidRPr="000C68DB">
        <w:rPr>
          <w:szCs w:val="24"/>
        </w:rPr>
        <w:instrText xml:space="preserve"> </w:instrText>
      </w:r>
      <w:r w:rsidR="00500F37">
        <w:rPr>
          <w:szCs w:val="24"/>
          <w:lang w:val="en-US"/>
        </w:rPr>
        <w:instrText>kidney</w:instrText>
      </w:r>
      <w:r w:rsidR="00500F37" w:rsidRPr="000C68DB">
        <w:rPr>
          <w:szCs w:val="24"/>
        </w:rPr>
        <w:instrText xml:space="preserve"> </w:instrText>
      </w:r>
      <w:r w:rsidR="00500F37">
        <w:rPr>
          <w:szCs w:val="24"/>
          <w:lang w:val="en-US"/>
        </w:rPr>
        <w:instrText>disease</w:instrText>
      </w:r>
      <w:r w:rsidR="00500F37" w:rsidRPr="000C68DB">
        <w:rPr>
          <w:szCs w:val="24"/>
        </w:rPr>
        <w:instrText xml:space="preserve">) </w:instrText>
      </w:r>
      <w:r w:rsidR="00500F37">
        <w:rPr>
          <w:szCs w:val="24"/>
          <w:lang w:val="en-US"/>
        </w:rPr>
        <w:instrText>and</w:instrText>
      </w:r>
      <w:r w:rsidR="00500F37" w:rsidRPr="000C68DB">
        <w:rPr>
          <w:szCs w:val="24"/>
        </w:rPr>
        <w:instrText xml:space="preserve"> </w:instrText>
      </w:r>
      <w:r w:rsidR="00500F37">
        <w:rPr>
          <w:szCs w:val="24"/>
          <w:lang w:val="en-US"/>
        </w:rPr>
        <w:instrText>Acute</w:instrText>
      </w:r>
      <w:r w:rsidR="00500F37" w:rsidRPr="000C68DB">
        <w:rPr>
          <w:szCs w:val="24"/>
        </w:rPr>
        <w:instrText xml:space="preserve"> </w:instrText>
      </w:r>
      <w:r w:rsidR="00500F37">
        <w:rPr>
          <w:szCs w:val="24"/>
          <w:lang w:val="en-US"/>
        </w:rPr>
        <w:instrText>Renal</w:instrText>
      </w:r>
      <w:r w:rsidR="00500F37" w:rsidRPr="000C68DB">
        <w:rPr>
          <w:szCs w:val="24"/>
        </w:rPr>
        <w:instrText xml:space="preserve"> </w:instrText>
      </w:r>
      <w:r w:rsidR="00500F37">
        <w:rPr>
          <w:szCs w:val="24"/>
          <w:lang w:val="en-US"/>
        </w:rPr>
        <w:instrText>Injury</w:instrText>
      </w:r>
      <w:r w:rsidR="00500F37" w:rsidRPr="000C68DB">
        <w:rPr>
          <w:szCs w:val="24"/>
        </w:rPr>
        <w:instrText xml:space="preserve"> </w:instrText>
      </w:r>
      <w:r w:rsidR="00500F37">
        <w:rPr>
          <w:szCs w:val="24"/>
          <w:lang w:val="en-US"/>
        </w:rPr>
        <w:instrText>Network</w:instrText>
      </w:r>
      <w:r w:rsidR="00500F37" w:rsidRPr="000C68DB">
        <w:rPr>
          <w:szCs w:val="24"/>
        </w:rPr>
        <w:instrText xml:space="preserve"> </w:instrText>
      </w:r>
      <w:r w:rsidR="00500F37">
        <w:rPr>
          <w:szCs w:val="24"/>
          <w:lang w:val="en-US"/>
        </w:rPr>
        <w:instrText>criteria</w:instrText>
      </w:r>
      <w:r w:rsidR="00500F37" w:rsidRPr="000C68DB">
        <w:rPr>
          <w:szCs w:val="24"/>
        </w:rPr>
        <w:instrText xml:space="preserve"> </w:instrText>
      </w:r>
      <w:r w:rsidR="00500F37">
        <w:rPr>
          <w:szCs w:val="24"/>
          <w:lang w:val="en-US"/>
        </w:rPr>
        <w:instrText>seem</w:instrText>
      </w:r>
      <w:r w:rsidR="00500F37" w:rsidRPr="000C68DB">
        <w:rPr>
          <w:szCs w:val="24"/>
        </w:rPr>
        <w:instrText xml:space="preserve"> </w:instrText>
      </w:r>
      <w:r w:rsidR="00500F37">
        <w:rPr>
          <w:szCs w:val="24"/>
          <w:lang w:val="en-US"/>
        </w:rPr>
        <w:instrText>to</w:instrText>
      </w:r>
      <w:r w:rsidR="00500F37" w:rsidRPr="000C68DB">
        <w:rPr>
          <w:szCs w:val="24"/>
        </w:rPr>
        <w:instrText xml:space="preserve"> </w:instrText>
      </w:r>
      <w:r w:rsidR="00500F37">
        <w:rPr>
          <w:szCs w:val="24"/>
          <w:lang w:val="en-US"/>
        </w:rPr>
        <w:instrText>be</w:instrText>
      </w:r>
      <w:r w:rsidR="00500F37" w:rsidRPr="000C68DB">
        <w:rPr>
          <w:szCs w:val="24"/>
        </w:rPr>
        <w:instrText xml:space="preserve"> </w:instrText>
      </w:r>
      <w:r w:rsidR="00500F37">
        <w:rPr>
          <w:szCs w:val="24"/>
          <w:lang w:val="en-US"/>
        </w:rPr>
        <w:instrText>appropriate</w:instrText>
      </w:r>
      <w:r w:rsidR="00500F37" w:rsidRPr="000C68DB">
        <w:rPr>
          <w:szCs w:val="24"/>
        </w:rPr>
        <w:instrText xml:space="preserve"> </w:instrText>
      </w:r>
      <w:r w:rsidR="00500F37">
        <w:rPr>
          <w:szCs w:val="24"/>
          <w:lang w:val="en-US"/>
        </w:rPr>
        <w:instrText>to</w:instrText>
      </w:r>
      <w:r w:rsidR="00500F37" w:rsidRPr="000C68DB">
        <w:rPr>
          <w:szCs w:val="24"/>
        </w:rPr>
        <w:instrText xml:space="preserve"> </w:instrText>
      </w:r>
      <w:r w:rsidR="00500F37">
        <w:rPr>
          <w:szCs w:val="24"/>
          <w:lang w:val="en-US"/>
        </w:rPr>
        <w:instrText>define</w:instrText>
      </w:r>
      <w:r w:rsidR="00500F37" w:rsidRPr="000C68DB">
        <w:rPr>
          <w:szCs w:val="24"/>
        </w:rPr>
        <w:instrText xml:space="preserve"> </w:instrText>
      </w:r>
      <w:r w:rsidR="00500F37">
        <w:rPr>
          <w:szCs w:val="24"/>
          <w:lang w:val="en-US"/>
        </w:rPr>
        <w:instrText>the</w:instrText>
      </w:r>
      <w:r w:rsidR="00500F37" w:rsidRPr="000C68DB">
        <w:rPr>
          <w:szCs w:val="24"/>
        </w:rPr>
        <w:instrText xml:space="preserve"> </w:instrText>
      </w:r>
      <w:r w:rsidR="00500F37">
        <w:rPr>
          <w:szCs w:val="24"/>
          <w:lang w:val="en-US"/>
        </w:rPr>
        <w:instrText>severity</w:instrText>
      </w:r>
      <w:r w:rsidR="00500F37" w:rsidRPr="000C68DB">
        <w:rPr>
          <w:szCs w:val="24"/>
        </w:rPr>
        <w:instrText xml:space="preserve"> </w:instrText>
      </w:r>
      <w:r w:rsidR="00500F37">
        <w:rPr>
          <w:szCs w:val="24"/>
          <w:lang w:val="en-US"/>
        </w:rPr>
        <w:instrText>of</w:instrText>
      </w:r>
      <w:r w:rsidR="00500F37" w:rsidRPr="000C68DB">
        <w:rPr>
          <w:szCs w:val="24"/>
        </w:rPr>
        <w:instrText xml:space="preserve"> </w:instrText>
      </w:r>
      <w:r w:rsidR="00500F37">
        <w:rPr>
          <w:szCs w:val="24"/>
          <w:lang w:val="en-US"/>
        </w:rPr>
        <w:instrText>renal</w:instrText>
      </w:r>
      <w:r w:rsidR="00500F37" w:rsidRPr="000C68DB">
        <w:rPr>
          <w:szCs w:val="24"/>
        </w:rPr>
        <w:instrText xml:space="preserve"> </w:instrText>
      </w:r>
      <w:r w:rsidR="00500F37">
        <w:rPr>
          <w:szCs w:val="24"/>
          <w:lang w:val="en-US"/>
        </w:rPr>
        <w:instrText>impairment</w:instrText>
      </w:r>
      <w:r w:rsidR="00500F37" w:rsidRPr="000C68DB">
        <w:rPr>
          <w:szCs w:val="24"/>
        </w:rPr>
        <w:instrText xml:space="preserve">. </w:instrText>
      </w:r>
      <w:r w:rsidR="00500F37">
        <w:rPr>
          <w:szCs w:val="24"/>
          <w:lang w:val="en-US"/>
        </w:rPr>
        <w:instrText>Novel</w:instrText>
      </w:r>
      <w:r w:rsidR="00500F37" w:rsidRPr="000C68DB">
        <w:rPr>
          <w:szCs w:val="24"/>
        </w:rPr>
        <w:instrText xml:space="preserve"> </w:instrText>
      </w:r>
      <w:r w:rsidR="00500F37">
        <w:rPr>
          <w:szCs w:val="24"/>
          <w:lang w:val="en-US"/>
        </w:rPr>
        <w:instrText>criteria</w:instrText>
      </w:r>
      <w:r w:rsidR="00500F37" w:rsidRPr="000C68DB">
        <w:rPr>
          <w:szCs w:val="24"/>
        </w:rPr>
        <w:instrText xml:space="preserve"> </w:instrText>
      </w:r>
      <w:r w:rsidR="00500F37">
        <w:rPr>
          <w:szCs w:val="24"/>
          <w:lang w:val="en-US"/>
        </w:rPr>
        <w:instrText>based</w:instrText>
      </w:r>
      <w:r w:rsidR="00500F37" w:rsidRPr="000C68DB">
        <w:rPr>
          <w:szCs w:val="24"/>
        </w:rPr>
        <w:instrText xml:space="preserve"> </w:instrText>
      </w:r>
      <w:r w:rsidR="00500F37">
        <w:rPr>
          <w:szCs w:val="24"/>
          <w:lang w:val="en-US"/>
        </w:rPr>
        <w:instrText>on</w:instrText>
      </w:r>
      <w:r w:rsidR="00500F37" w:rsidRPr="000C68DB">
        <w:rPr>
          <w:szCs w:val="24"/>
        </w:rPr>
        <w:instrText xml:space="preserve"> </w:instrText>
      </w:r>
      <w:r w:rsidR="00500F37">
        <w:rPr>
          <w:szCs w:val="24"/>
          <w:lang w:val="en-US"/>
        </w:rPr>
        <w:instrText>eGFR</w:instrText>
      </w:r>
      <w:r w:rsidR="00500F37" w:rsidRPr="000C68DB">
        <w:rPr>
          <w:szCs w:val="24"/>
        </w:rPr>
        <w:instrText xml:space="preserve"> </w:instrText>
      </w:r>
      <w:r w:rsidR="00500F37">
        <w:rPr>
          <w:szCs w:val="24"/>
          <w:lang w:val="en-US"/>
        </w:rPr>
        <w:instrText>measurements</w:instrText>
      </w:r>
      <w:r w:rsidR="00500F37" w:rsidRPr="000C68DB">
        <w:rPr>
          <w:szCs w:val="24"/>
        </w:rPr>
        <w:instrText xml:space="preserve"> </w:instrText>
      </w:r>
      <w:r w:rsidR="00500F37">
        <w:rPr>
          <w:szCs w:val="24"/>
          <w:lang w:val="en-US"/>
        </w:rPr>
        <w:instrText>are</w:instrText>
      </w:r>
      <w:r w:rsidR="00500F37" w:rsidRPr="000C68DB">
        <w:rPr>
          <w:szCs w:val="24"/>
        </w:rPr>
        <w:instrText xml:space="preserve"> </w:instrText>
      </w:r>
      <w:r w:rsidR="00500F37">
        <w:rPr>
          <w:szCs w:val="24"/>
          <w:lang w:val="en-US"/>
        </w:rPr>
        <w:instrText>recommended</w:instrText>
      </w:r>
      <w:r w:rsidR="00500F37" w:rsidRPr="000C68DB">
        <w:rPr>
          <w:szCs w:val="24"/>
        </w:rPr>
        <w:instrText xml:space="preserve"> </w:instrText>
      </w:r>
      <w:r w:rsidR="00500F37">
        <w:rPr>
          <w:szCs w:val="24"/>
          <w:lang w:val="en-US"/>
        </w:rPr>
        <w:instrText>for</w:instrText>
      </w:r>
      <w:r w:rsidR="00500F37" w:rsidRPr="000C68DB">
        <w:rPr>
          <w:szCs w:val="24"/>
        </w:rPr>
        <w:instrText xml:space="preserve"> </w:instrText>
      </w:r>
      <w:r w:rsidR="00500F37">
        <w:rPr>
          <w:szCs w:val="24"/>
          <w:lang w:val="en-US"/>
        </w:rPr>
        <w:instrText>the</w:instrText>
      </w:r>
      <w:r w:rsidR="00500F37" w:rsidRPr="000C68DB">
        <w:rPr>
          <w:szCs w:val="24"/>
        </w:rPr>
        <w:instrText xml:space="preserve"> </w:instrText>
      </w:r>
      <w:r w:rsidR="00500F37">
        <w:rPr>
          <w:szCs w:val="24"/>
          <w:lang w:val="en-US"/>
        </w:rPr>
        <w:instrText>definition</w:instrText>
      </w:r>
      <w:r w:rsidR="00500F37" w:rsidRPr="000C68DB">
        <w:rPr>
          <w:szCs w:val="24"/>
        </w:rPr>
        <w:instrText xml:space="preserve"> </w:instrText>
      </w:r>
      <w:r w:rsidR="00500F37">
        <w:rPr>
          <w:szCs w:val="24"/>
          <w:lang w:val="en-US"/>
        </w:rPr>
        <w:instrText>of</w:instrText>
      </w:r>
      <w:r w:rsidR="00500F37" w:rsidRPr="000C68DB">
        <w:rPr>
          <w:szCs w:val="24"/>
        </w:rPr>
        <w:instrText xml:space="preserve"> </w:instrText>
      </w:r>
      <w:r w:rsidR="00500F37">
        <w:rPr>
          <w:szCs w:val="24"/>
          <w:lang w:val="en-US"/>
        </w:rPr>
        <w:instrText>the</w:instrText>
      </w:r>
      <w:r w:rsidR="00500F37" w:rsidRPr="000C68DB">
        <w:rPr>
          <w:szCs w:val="24"/>
        </w:rPr>
        <w:instrText xml:space="preserve"> </w:instrText>
      </w:r>
      <w:r w:rsidR="00500F37">
        <w:rPr>
          <w:szCs w:val="24"/>
          <w:lang w:val="en-US"/>
        </w:rPr>
        <w:instrText>reversibility</w:instrText>
      </w:r>
      <w:r w:rsidR="00500F37" w:rsidRPr="000C68DB">
        <w:rPr>
          <w:szCs w:val="24"/>
        </w:rPr>
        <w:instrText xml:space="preserve"> </w:instrText>
      </w:r>
      <w:r w:rsidR="00500F37">
        <w:rPr>
          <w:szCs w:val="24"/>
          <w:lang w:val="en-US"/>
        </w:rPr>
        <w:instrText>of</w:instrText>
      </w:r>
      <w:r w:rsidR="00500F37" w:rsidRPr="000C68DB">
        <w:rPr>
          <w:szCs w:val="24"/>
        </w:rPr>
        <w:instrText xml:space="preserve"> </w:instrText>
      </w:r>
      <w:r w:rsidR="00500F37">
        <w:rPr>
          <w:szCs w:val="24"/>
          <w:lang w:val="en-US"/>
        </w:rPr>
        <w:instrText>renal</w:instrText>
      </w:r>
      <w:r w:rsidR="00500F37" w:rsidRPr="000C68DB">
        <w:rPr>
          <w:szCs w:val="24"/>
        </w:rPr>
        <w:instrText xml:space="preserve"> </w:instrText>
      </w:r>
      <w:r w:rsidR="00500F37">
        <w:rPr>
          <w:szCs w:val="24"/>
          <w:lang w:val="en-US"/>
        </w:rPr>
        <w:instrText>impairment</w:instrText>
      </w:r>
      <w:r w:rsidR="00500F37" w:rsidRPr="000C68DB">
        <w:rPr>
          <w:szCs w:val="24"/>
        </w:rPr>
        <w:instrText xml:space="preserve">. </w:instrText>
      </w:r>
      <w:r w:rsidR="00500F37">
        <w:rPr>
          <w:szCs w:val="24"/>
          <w:lang w:val="en-US"/>
        </w:rPr>
        <w:instrText>Rapid</w:instrText>
      </w:r>
      <w:r w:rsidR="00500F37" w:rsidRPr="000C68DB">
        <w:rPr>
          <w:szCs w:val="24"/>
        </w:rPr>
        <w:instrText xml:space="preserve"> </w:instrText>
      </w:r>
      <w:r w:rsidR="00500F37">
        <w:rPr>
          <w:szCs w:val="24"/>
          <w:lang w:val="en-US"/>
        </w:rPr>
        <w:instrText>intervention</w:instrText>
      </w:r>
      <w:r w:rsidR="00500F37" w:rsidRPr="000C68DB">
        <w:rPr>
          <w:szCs w:val="24"/>
        </w:rPr>
        <w:instrText xml:space="preserve"> </w:instrText>
      </w:r>
      <w:r w:rsidR="00500F37">
        <w:rPr>
          <w:szCs w:val="24"/>
          <w:lang w:val="en-US"/>
        </w:rPr>
        <w:instrText>to</w:instrText>
      </w:r>
      <w:r w:rsidR="00500F37" w:rsidRPr="000C68DB">
        <w:rPr>
          <w:szCs w:val="24"/>
        </w:rPr>
        <w:instrText xml:space="preserve"> </w:instrText>
      </w:r>
      <w:r w:rsidR="00500F37">
        <w:rPr>
          <w:szCs w:val="24"/>
          <w:lang w:val="en-US"/>
        </w:rPr>
        <w:instrText>reverse</w:instrText>
      </w:r>
      <w:r w:rsidR="00500F37" w:rsidRPr="000C68DB">
        <w:rPr>
          <w:szCs w:val="24"/>
        </w:rPr>
        <w:instrText xml:space="preserve"> </w:instrText>
      </w:r>
      <w:r w:rsidR="00500F37">
        <w:rPr>
          <w:szCs w:val="24"/>
          <w:lang w:val="en-US"/>
        </w:rPr>
        <w:instrText>renal</w:instrText>
      </w:r>
      <w:r w:rsidR="00500F37" w:rsidRPr="000C68DB">
        <w:rPr>
          <w:szCs w:val="24"/>
        </w:rPr>
        <w:instrText xml:space="preserve"> </w:instrText>
      </w:r>
      <w:r w:rsidR="00500F37">
        <w:rPr>
          <w:szCs w:val="24"/>
          <w:lang w:val="en-US"/>
        </w:rPr>
        <w:instrText>dysfunction</w:instrText>
      </w:r>
      <w:r w:rsidR="00500F37" w:rsidRPr="000C68DB">
        <w:rPr>
          <w:szCs w:val="24"/>
        </w:rPr>
        <w:instrText xml:space="preserve"> </w:instrText>
      </w:r>
      <w:r w:rsidR="00500F37">
        <w:rPr>
          <w:szCs w:val="24"/>
          <w:lang w:val="en-US"/>
        </w:rPr>
        <w:instrText>is</w:instrText>
      </w:r>
      <w:r w:rsidR="00500F37" w:rsidRPr="000C68DB">
        <w:rPr>
          <w:szCs w:val="24"/>
        </w:rPr>
        <w:instrText xml:space="preserve"> </w:instrText>
      </w:r>
      <w:r w:rsidR="00500F37">
        <w:rPr>
          <w:szCs w:val="24"/>
          <w:lang w:val="en-US"/>
        </w:rPr>
        <w:instrText>critical</w:instrText>
      </w:r>
      <w:r w:rsidR="00500F37" w:rsidRPr="000C68DB">
        <w:rPr>
          <w:szCs w:val="24"/>
        </w:rPr>
        <w:instrText xml:space="preserve"> </w:instrText>
      </w:r>
      <w:r w:rsidR="00500F37">
        <w:rPr>
          <w:szCs w:val="24"/>
          <w:lang w:val="en-US"/>
        </w:rPr>
        <w:instrText>for</w:instrText>
      </w:r>
      <w:r w:rsidR="00500F37" w:rsidRPr="000C68DB">
        <w:rPr>
          <w:szCs w:val="24"/>
        </w:rPr>
        <w:instrText xml:space="preserve"> </w:instrText>
      </w:r>
      <w:r w:rsidR="00500F37">
        <w:rPr>
          <w:szCs w:val="24"/>
          <w:lang w:val="en-US"/>
        </w:rPr>
        <w:instrText>the</w:instrText>
      </w:r>
      <w:r w:rsidR="00500F37" w:rsidRPr="000C68DB">
        <w:rPr>
          <w:szCs w:val="24"/>
        </w:rPr>
        <w:instrText xml:space="preserve"> </w:instrText>
      </w:r>
      <w:r w:rsidR="00500F37">
        <w:rPr>
          <w:szCs w:val="24"/>
          <w:lang w:val="en-US"/>
        </w:rPr>
        <w:instrText>management</w:instrText>
      </w:r>
      <w:r w:rsidR="00500F37" w:rsidRPr="000C68DB">
        <w:rPr>
          <w:szCs w:val="24"/>
        </w:rPr>
        <w:instrText xml:space="preserve"> </w:instrText>
      </w:r>
      <w:r w:rsidR="00500F37">
        <w:rPr>
          <w:szCs w:val="24"/>
          <w:lang w:val="en-US"/>
        </w:rPr>
        <w:instrText>of</w:instrText>
      </w:r>
      <w:r w:rsidR="00500F37" w:rsidRPr="000C68DB">
        <w:rPr>
          <w:szCs w:val="24"/>
        </w:rPr>
        <w:instrText xml:space="preserve"> </w:instrText>
      </w:r>
      <w:r w:rsidR="00500F37">
        <w:rPr>
          <w:szCs w:val="24"/>
          <w:lang w:val="en-US"/>
        </w:rPr>
        <w:instrText>these</w:instrText>
      </w:r>
      <w:r w:rsidR="00500F37" w:rsidRPr="000C68DB">
        <w:rPr>
          <w:szCs w:val="24"/>
        </w:rPr>
        <w:instrText xml:space="preserve"> </w:instrText>
      </w:r>
      <w:r w:rsidR="00500F37">
        <w:rPr>
          <w:szCs w:val="24"/>
          <w:lang w:val="en-US"/>
        </w:rPr>
        <w:instrText>patients</w:instrText>
      </w:r>
      <w:r w:rsidR="00500F37" w:rsidRPr="000C68DB">
        <w:rPr>
          <w:szCs w:val="24"/>
        </w:rPr>
        <w:instrText xml:space="preserve">, </w:instrText>
      </w:r>
      <w:r w:rsidR="00500F37">
        <w:rPr>
          <w:szCs w:val="24"/>
          <w:lang w:val="en-US"/>
        </w:rPr>
        <w:instrText>especially</w:instrText>
      </w:r>
      <w:r w:rsidR="00500F37" w:rsidRPr="000C68DB">
        <w:rPr>
          <w:szCs w:val="24"/>
        </w:rPr>
        <w:instrText xml:space="preserve"> </w:instrText>
      </w:r>
      <w:r w:rsidR="00500F37">
        <w:rPr>
          <w:szCs w:val="24"/>
          <w:lang w:val="en-US"/>
        </w:rPr>
        <w:instrText>for</w:instrText>
      </w:r>
      <w:r w:rsidR="00500F37" w:rsidRPr="000C68DB">
        <w:rPr>
          <w:szCs w:val="24"/>
        </w:rPr>
        <w:instrText xml:space="preserve"> </w:instrText>
      </w:r>
      <w:r w:rsidR="00500F37">
        <w:rPr>
          <w:szCs w:val="24"/>
          <w:lang w:val="en-US"/>
        </w:rPr>
        <w:instrText>those</w:instrText>
      </w:r>
      <w:r w:rsidR="00500F37" w:rsidRPr="000C68DB">
        <w:rPr>
          <w:szCs w:val="24"/>
        </w:rPr>
        <w:instrText xml:space="preserve"> </w:instrText>
      </w:r>
      <w:r w:rsidR="00500F37">
        <w:rPr>
          <w:szCs w:val="24"/>
          <w:lang w:val="en-US"/>
        </w:rPr>
        <w:instrText>with</w:instrText>
      </w:r>
      <w:r w:rsidR="00500F37" w:rsidRPr="000C68DB">
        <w:rPr>
          <w:szCs w:val="24"/>
        </w:rPr>
        <w:instrText xml:space="preserve"> </w:instrText>
      </w:r>
      <w:r w:rsidR="00500F37">
        <w:rPr>
          <w:szCs w:val="24"/>
          <w:lang w:val="en-US"/>
        </w:rPr>
        <w:instrText>light</w:instrText>
      </w:r>
      <w:r w:rsidR="00500F37" w:rsidRPr="000C68DB">
        <w:rPr>
          <w:szCs w:val="24"/>
        </w:rPr>
        <w:instrText xml:space="preserve"> </w:instrText>
      </w:r>
      <w:r w:rsidR="00500F37">
        <w:rPr>
          <w:szCs w:val="24"/>
          <w:lang w:val="en-US"/>
        </w:rPr>
        <w:instrText>chain</w:instrText>
      </w:r>
      <w:r w:rsidR="00500F37" w:rsidRPr="000C68DB">
        <w:rPr>
          <w:szCs w:val="24"/>
        </w:rPr>
        <w:instrText xml:space="preserve"> </w:instrText>
      </w:r>
      <w:r w:rsidR="00500F37">
        <w:rPr>
          <w:szCs w:val="24"/>
          <w:lang w:val="en-US"/>
        </w:rPr>
        <w:instrText>cast</w:instrText>
      </w:r>
      <w:r w:rsidR="00500F37" w:rsidRPr="000C68DB">
        <w:rPr>
          <w:szCs w:val="24"/>
        </w:rPr>
        <w:instrText xml:space="preserve"> </w:instrText>
      </w:r>
      <w:r w:rsidR="00500F37">
        <w:rPr>
          <w:szCs w:val="24"/>
          <w:lang w:val="en-US"/>
        </w:rPr>
        <w:instrText>nephropathy</w:instrText>
      </w:r>
      <w:r w:rsidR="00500F37" w:rsidRPr="000C68DB">
        <w:rPr>
          <w:szCs w:val="24"/>
        </w:rPr>
        <w:instrText xml:space="preserve">. </w:instrText>
      </w:r>
      <w:r w:rsidR="00500F37">
        <w:rPr>
          <w:szCs w:val="24"/>
          <w:lang w:val="en-US"/>
        </w:rPr>
        <w:instrText>Bortezomib</w:instrText>
      </w:r>
      <w:r w:rsidR="00500F37" w:rsidRPr="000C68DB">
        <w:rPr>
          <w:szCs w:val="24"/>
        </w:rPr>
        <w:instrText xml:space="preserve"> </w:instrText>
      </w:r>
      <w:r w:rsidR="00500F37">
        <w:rPr>
          <w:szCs w:val="24"/>
          <w:lang w:val="en-US"/>
        </w:rPr>
        <w:instrText>with</w:instrText>
      </w:r>
      <w:r w:rsidR="00500F37" w:rsidRPr="000C68DB">
        <w:rPr>
          <w:szCs w:val="24"/>
        </w:rPr>
        <w:instrText xml:space="preserve"> </w:instrText>
      </w:r>
      <w:r w:rsidR="00500F37">
        <w:rPr>
          <w:szCs w:val="24"/>
          <w:lang w:val="en-US"/>
        </w:rPr>
        <w:instrText>high</w:instrText>
      </w:r>
      <w:r w:rsidR="00500F37" w:rsidRPr="000C68DB">
        <w:rPr>
          <w:szCs w:val="24"/>
        </w:rPr>
        <w:instrText>-</w:instrText>
      </w:r>
      <w:r w:rsidR="00500F37">
        <w:rPr>
          <w:szCs w:val="24"/>
          <w:lang w:val="en-US"/>
        </w:rPr>
        <w:instrText>dose</w:instrText>
      </w:r>
      <w:r w:rsidR="00500F37" w:rsidRPr="000C68DB">
        <w:rPr>
          <w:szCs w:val="24"/>
        </w:rPr>
        <w:instrText xml:space="preserve"> </w:instrText>
      </w:r>
      <w:r w:rsidR="00500F37">
        <w:rPr>
          <w:szCs w:val="24"/>
          <w:lang w:val="en-US"/>
        </w:rPr>
        <w:instrText>dexamethasone</w:instrText>
      </w:r>
      <w:r w:rsidR="00500F37" w:rsidRPr="000C68DB">
        <w:rPr>
          <w:szCs w:val="24"/>
        </w:rPr>
        <w:instrText xml:space="preserve"> </w:instrText>
      </w:r>
      <w:r w:rsidR="00500F37">
        <w:rPr>
          <w:szCs w:val="24"/>
          <w:lang w:val="en-US"/>
        </w:rPr>
        <w:instrText>is</w:instrText>
      </w:r>
      <w:r w:rsidR="00500F37" w:rsidRPr="000C68DB">
        <w:rPr>
          <w:szCs w:val="24"/>
        </w:rPr>
        <w:instrText xml:space="preserve"> </w:instrText>
      </w:r>
      <w:r w:rsidR="00500F37">
        <w:rPr>
          <w:szCs w:val="24"/>
          <w:lang w:val="en-US"/>
        </w:rPr>
        <w:instrText>considered</w:instrText>
      </w:r>
      <w:r w:rsidR="00500F37" w:rsidRPr="000C68DB">
        <w:rPr>
          <w:szCs w:val="24"/>
        </w:rPr>
        <w:instrText xml:space="preserve"> </w:instrText>
      </w:r>
      <w:r w:rsidR="00500F37">
        <w:rPr>
          <w:szCs w:val="24"/>
          <w:lang w:val="en-US"/>
        </w:rPr>
        <w:instrText>as</w:instrText>
      </w:r>
      <w:r w:rsidR="00500F37" w:rsidRPr="000C68DB">
        <w:rPr>
          <w:szCs w:val="24"/>
        </w:rPr>
        <w:instrText xml:space="preserve"> </w:instrText>
      </w:r>
      <w:r w:rsidR="00500F37">
        <w:rPr>
          <w:szCs w:val="24"/>
          <w:lang w:val="en-US"/>
        </w:rPr>
        <w:instrText>the</w:instrText>
      </w:r>
      <w:r w:rsidR="00500F37" w:rsidRPr="000C68DB">
        <w:rPr>
          <w:szCs w:val="24"/>
        </w:rPr>
        <w:instrText xml:space="preserve"> </w:instrText>
      </w:r>
      <w:r w:rsidR="00500F37">
        <w:rPr>
          <w:szCs w:val="24"/>
          <w:lang w:val="en-US"/>
        </w:rPr>
        <w:instrText>treatment</w:instrText>
      </w:r>
      <w:r w:rsidR="00500F37" w:rsidRPr="000C68DB">
        <w:rPr>
          <w:szCs w:val="24"/>
        </w:rPr>
        <w:instrText xml:space="preserve"> </w:instrText>
      </w:r>
      <w:r w:rsidR="00500F37">
        <w:rPr>
          <w:szCs w:val="24"/>
          <w:lang w:val="en-US"/>
        </w:rPr>
        <w:instrText>of</w:instrText>
      </w:r>
      <w:r w:rsidR="00500F37" w:rsidRPr="000C68DB">
        <w:rPr>
          <w:szCs w:val="24"/>
        </w:rPr>
        <w:instrText xml:space="preserve"> </w:instrText>
      </w:r>
      <w:r w:rsidR="00500F37">
        <w:rPr>
          <w:szCs w:val="24"/>
          <w:lang w:val="en-US"/>
        </w:rPr>
        <w:instrText>choice</w:instrText>
      </w:r>
      <w:r w:rsidR="00500F37" w:rsidRPr="000C68DB">
        <w:rPr>
          <w:szCs w:val="24"/>
        </w:rPr>
        <w:instrText xml:space="preserve"> </w:instrText>
      </w:r>
      <w:r w:rsidR="00500F37">
        <w:rPr>
          <w:szCs w:val="24"/>
          <w:lang w:val="en-US"/>
        </w:rPr>
        <w:instrText>for</w:instrText>
      </w:r>
      <w:r w:rsidR="00500F37" w:rsidRPr="000C68DB">
        <w:rPr>
          <w:szCs w:val="24"/>
        </w:rPr>
        <w:instrText xml:space="preserve"> </w:instrText>
      </w:r>
      <w:r w:rsidR="00500F37">
        <w:rPr>
          <w:szCs w:val="24"/>
          <w:lang w:val="en-US"/>
        </w:rPr>
        <w:instrText>such</w:instrText>
      </w:r>
      <w:r w:rsidR="00500F37" w:rsidRPr="000C68DB">
        <w:rPr>
          <w:szCs w:val="24"/>
        </w:rPr>
        <w:instrText xml:space="preserve"> </w:instrText>
      </w:r>
      <w:r w:rsidR="00500F37">
        <w:rPr>
          <w:szCs w:val="24"/>
          <w:lang w:val="en-US"/>
        </w:rPr>
        <w:instrText>patients</w:instrText>
      </w:r>
      <w:r w:rsidR="00500F37" w:rsidRPr="000C68DB">
        <w:rPr>
          <w:szCs w:val="24"/>
        </w:rPr>
        <w:instrText xml:space="preserve">. </w:instrText>
      </w:r>
      <w:r w:rsidR="00500F37">
        <w:rPr>
          <w:szCs w:val="24"/>
          <w:lang w:val="en-US"/>
        </w:rPr>
        <w:instrText>There</w:instrText>
      </w:r>
      <w:r w:rsidR="00500F37" w:rsidRPr="000C68DB">
        <w:rPr>
          <w:szCs w:val="24"/>
        </w:rPr>
        <w:instrText xml:space="preserve"> </w:instrText>
      </w:r>
      <w:r w:rsidR="00500F37">
        <w:rPr>
          <w:szCs w:val="24"/>
          <w:lang w:val="en-US"/>
        </w:rPr>
        <w:instrText>is</w:instrText>
      </w:r>
      <w:r w:rsidR="00500F37" w:rsidRPr="000C68DB">
        <w:rPr>
          <w:szCs w:val="24"/>
        </w:rPr>
        <w:instrText xml:space="preserve"> </w:instrText>
      </w:r>
      <w:r w:rsidR="00500F37">
        <w:rPr>
          <w:szCs w:val="24"/>
          <w:lang w:val="en-US"/>
        </w:rPr>
        <w:instrText>limited</w:instrText>
      </w:r>
      <w:r w:rsidR="00500F37" w:rsidRPr="000C68DB">
        <w:rPr>
          <w:szCs w:val="24"/>
        </w:rPr>
        <w:instrText xml:space="preserve"> </w:instrText>
      </w:r>
      <w:r w:rsidR="00500F37">
        <w:rPr>
          <w:szCs w:val="24"/>
          <w:lang w:val="en-US"/>
        </w:rPr>
        <w:instrText>experience</w:instrText>
      </w:r>
      <w:r w:rsidR="00500F37" w:rsidRPr="000C68DB">
        <w:rPr>
          <w:szCs w:val="24"/>
        </w:rPr>
        <w:instrText xml:space="preserve"> </w:instrText>
      </w:r>
      <w:r w:rsidR="00500F37">
        <w:rPr>
          <w:szCs w:val="24"/>
          <w:lang w:val="en-US"/>
        </w:rPr>
        <w:instrText>with</w:instrText>
      </w:r>
      <w:r w:rsidR="00500F37" w:rsidRPr="000C68DB">
        <w:rPr>
          <w:szCs w:val="24"/>
        </w:rPr>
        <w:instrText xml:space="preserve"> </w:instrText>
      </w:r>
      <w:r w:rsidR="00500F37">
        <w:rPr>
          <w:szCs w:val="24"/>
          <w:lang w:val="en-US"/>
        </w:rPr>
        <w:instrText>thalidomide</w:instrText>
      </w:r>
      <w:r w:rsidR="00500F37" w:rsidRPr="000C68DB">
        <w:rPr>
          <w:szCs w:val="24"/>
        </w:rPr>
        <w:instrText xml:space="preserve"> </w:instrText>
      </w:r>
      <w:r w:rsidR="00500F37">
        <w:rPr>
          <w:szCs w:val="24"/>
          <w:lang w:val="en-US"/>
        </w:rPr>
        <w:instrText>in</w:instrText>
      </w:r>
      <w:r w:rsidR="00500F37" w:rsidRPr="000C68DB">
        <w:rPr>
          <w:szCs w:val="24"/>
        </w:rPr>
        <w:instrText xml:space="preserve"> </w:instrText>
      </w:r>
      <w:r w:rsidR="00500F37">
        <w:rPr>
          <w:szCs w:val="24"/>
          <w:lang w:val="en-US"/>
        </w:rPr>
        <w:instrText>patients</w:instrText>
      </w:r>
      <w:r w:rsidR="00500F37" w:rsidRPr="000C68DB">
        <w:rPr>
          <w:szCs w:val="24"/>
        </w:rPr>
        <w:instrText xml:space="preserve"> </w:instrText>
      </w:r>
      <w:r w:rsidR="00500F37">
        <w:rPr>
          <w:szCs w:val="24"/>
          <w:lang w:val="en-US"/>
        </w:rPr>
        <w:instrText>with</w:instrText>
      </w:r>
      <w:r w:rsidR="00500F37" w:rsidRPr="000C68DB">
        <w:rPr>
          <w:szCs w:val="24"/>
        </w:rPr>
        <w:instrText xml:space="preserve"> </w:instrText>
      </w:r>
      <w:r w:rsidR="00500F37">
        <w:rPr>
          <w:szCs w:val="24"/>
          <w:lang w:val="en-US"/>
        </w:rPr>
        <w:instrText>myeloma</w:instrText>
      </w:r>
      <w:r w:rsidR="00500F37" w:rsidRPr="000C68DB">
        <w:rPr>
          <w:szCs w:val="24"/>
        </w:rPr>
        <w:instrText xml:space="preserve"> </w:instrText>
      </w:r>
      <w:r w:rsidR="00500F37">
        <w:rPr>
          <w:szCs w:val="24"/>
          <w:lang w:val="en-US"/>
        </w:rPr>
        <w:instrText>with</w:instrText>
      </w:r>
      <w:r w:rsidR="00500F37" w:rsidRPr="000C68DB">
        <w:rPr>
          <w:szCs w:val="24"/>
        </w:rPr>
        <w:instrText xml:space="preserve"> </w:instrText>
      </w:r>
      <w:r w:rsidR="00500F37">
        <w:rPr>
          <w:szCs w:val="24"/>
          <w:lang w:val="en-US"/>
        </w:rPr>
        <w:instrText>renal</w:instrText>
      </w:r>
      <w:r w:rsidR="00500F37" w:rsidRPr="000C68DB">
        <w:rPr>
          <w:szCs w:val="24"/>
        </w:rPr>
        <w:instrText xml:space="preserve"> </w:instrText>
      </w:r>
      <w:r w:rsidR="00500F37">
        <w:rPr>
          <w:szCs w:val="24"/>
          <w:lang w:val="en-US"/>
        </w:rPr>
        <w:instrText>impairment</w:instrText>
      </w:r>
      <w:r w:rsidR="00500F37" w:rsidRPr="000C68DB">
        <w:rPr>
          <w:szCs w:val="24"/>
        </w:rPr>
        <w:instrText xml:space="preserve">. </w:instrText>
      </w:r>
      <w:r w:rsidR="00500F37">
        <w:rPr>
          <w:szCs w:val="24"/>
          <w:lang w:val="en-US"/>
        </w:rPr>
        <w:instrText>Thus</w:instrText>
      </w:r>
      <w:r w:rsidR="00500F37" w:rsidRPr="000C68DB">
        <w:rPr>
          <w:szCs w:val="24"/>
        </w:rPr>
        <w:instrText xml:space="preserve">, </w:instrText>
      </w:r>
      <w:r w:rsidR="00500F37">
        <w:rPr>
          <w:szCs w:val="24"/>
          <w:lang w:val="en-US"/>
        </w:rPr>
        <w:instrText>thalidomide</w:instrText>
      </w:r>
      <w:r w:rsidR="00500F37" w:rsidRPr="000C68DB">
        <w:rPr>
          <w:szCs w:val="24"/>
        </w:rPr>
        <w:instrText xml:space="preserve"> </w:instrText>
      </w:r>
      <w:r w:rsidR="00500F37">
        <w:rPr>
          <w:szCs w:val="24"/>
          <w:lang w:val="en-US"/>
        </w:rPr>
        <w:instrText>can</w:instrText>
      </w:r>
      <w:r w:rsidR="00500F37" w:rsidRPr="000C68DB">
        <w:rPr>
          <w:szCs w:val="24"/>
        </w:rPr>
        <w:instrText xml:space="preserve"> </w:instrText>
      </w:r>
      <w:r w:rsidR="00500F37">
        <w:rPr>
          <w:szCs w:val="24"/>
          <w:lang w:val="en-US"/>
        </w:rPr>
        <w:instrText>be</w:instrText>
      </w:r>
      <w:r w:rsidR="00500F37" w:rsidRPr="000C68DB">
        <w:rPr>
          <w:szCs w:val="24"/>
        </w:rPr>
        <w:instrText xml:space="preserve"> </w:instrText>
      </w:r>
      <w:r w:rsidR="00500F37">
        <w:rPr>
          <w:szCs w:val="24"/>
          <w:lang w:val="en-US"/>
        </w:rPr>
        <w:instrText>carefully</w:instrText>
      </w:r>
      <w:r w:rsidR="00500F37" w:rsidRPr="000C68DB">
        <w:rPr>
          <w:szCs w:val="24"/>
        </w:rPr>
        <w:instrText xml:space="preserve"> </w:instrText>
      </w:r>
      <w:r w:rsidR="00500F37">
        <w:rPr>
          <w:szCs w:val="24"/>
          <w:lang w:val="en-US"/>
        </w:rPr>
        <w:instrText>administered</w:instrText>
      </w:r>
      <w:r w:rsidR="00500F37" w:rsidRPr="000C68DB">
        <w:rPr>
          <w:szCs w:val="24"/>
        </w:rPr>
        <w:instrText xml:space="preserve">, </w:instrText>
      </w:r>
      <w:r w:rsidR="00500F37">
        <w:rPr>
          <w:szCs w:val="24"/>
          <w:lang w:val="en-US"/>
        </w:rPr>
        <w:instrText>mainly</w:instrText>
      </w:r>
      <w:r w:rsidR="00500F37" w:rsidRPr="000C68DB">
        <w:rPr>
          <w:szCs w:val="24"/>
        </w:rPr>
        <w:instrText xml:space="preserve"> </w:instrText>
      </w:r>
      <w:r w:rsidR="00500F37">
        <w:rPr>
          <w:szCs w:val="24"/>
          <w:lang w:val="en-US"/>
        </w:rPr>
        <w:instrText>in</w:instrText>
      </w:r>
      <w:r w:rsidR="00500F37" w:rsidRPr="000C68DB">
        <w:rPr>
          <w:szCs w:val="24"/>
        </w:rPr>
        <w:instrText xml:space="preserve"> </w:instrText>
      </w:r>
      <w:r w:rsidR="00500F37">
        <w:rPr>
          <w:szCs w:val="24"/>
          <w:lang w:val="en-US"/>
        </w:rPr>
        <w:instrText>the</w:instrText>
      </w:r>
      <w:r w:rsidR="00500F37" w:rsidRPr="000C68DB">
        <w:rPr>
          <w:szCs w:val="24"/>
        </w:rPr>
        <w:instrText xml:space="preserve"> </w:instrText>
      </w:r>
      <w:r w:rsidR="00500F37">
        <w:rPr>
          <w:szCs w:val="24"/>
          <w:lang w:val="en-US"/>
        </w:rPr>
        <w:instrText>context</w:instrText>
      </w:r>
      <w:r w:rsidR="00500F37" w:rsidRPr="000C68DB">
        <w:rPr>
          <w:szCs w:val="24"/>
        </w:rPr>
        <w:instrText xml:space="preserve"> </w:instrText>
      </w:r>
      <w:r w:rsidR="00500F37">
        <w:rPr>
          <w:szCs w:val="24"/>
          <w:lang w:val="en-US"/>
        </w:rPr>
        <w:instrText>of</w:instrText>
      </w:r>
      <w:r w:rsidR="00500F37" w:rsidRPr="000C68DB">
        <w:rPr>
          <w:szCs w:val="24"/>
        </w:rPr>
        <w:instrText xml:space="preserve"> </w:instrText>
      </w:r>
      <w:r w:rsidR="00500F37">
        <w:rPr>
          <w:szCs w:val="24"/>
          <w:lang w:val="en-US"/>
        </w:rPr>
        <w:instrText>well</w:instrText>
      </w:r>
      <w:r w:rsidR="00500F37" w:rsidRPr="000C68DB">
        <w:rPr>
          <w:szCs w:val="24"/>
        </w:rPr>
        <w:instrText>-</w:instrText>
      </w:r>
      <w:r w:rsidR="00500F37">
        <w:rPr>
          <w:szCs w:val="24"/>
          <w:lang w:val="en-US"/>
        </w:rPr>
        <w:instrText>designed</w:instrText>
      </w:r>
      <w:r w:rsidR="00500F37" w:rsidRPr="000C68DB">
        <w:rPr>
          <w:szCs w:val="24"/>
        </w:rPr>
        <w:instrText xml:space="preserve"> </w:instrText>
      </w:r>
      <w:r w:rsidR="00500F37">
        <w:rPr>
          <w:szCs w:val="24"/>
          <w:lang w:val="en-US"/>
        </w:rPr>
        <w:instrText>clinical</w:instrText>
      </w:r>
      <w:r w:rsidR="00500F37" w:rsidRPr="000C68DB">
        <w:rPr>
          <w:szCs w:val="24"/>
        </w:rPr>
        <w:instrText xml:space="preserve"> </w:instrText>
      </w:r>
      <w:r w:rsidR="00500F37">
        <w:rPr>
          <w:szCs w:val="24"/>
          <w:lang w:val="en-US"/>
        </w:rPr>
        <w:instrText>trials</w:instrText>
      </w:r>
      <w:r w:rsidR="00500F37" w:rsidRPr="000C68DB">
        <w:rPr>
          <w:szCs w:val="24"/>
        </w:rPr>
        <w:instrText xml:space="preserve">, </w:instrText>
      </w:r>
      <w:r w:rsidR="00500F37">
        <w:rPr>
          <w:szCs w:val="24"/>
          <w:lang w:val="en-US"/>
        </w:rPr>
        <w:instrText>to</w:instrText>
      </w:r>
      <w:r w:rsidR="00500F37" w:rsidRPr="000C68DB">
        <w:rPr>
          <w:szCs w:val="24"/>
        </w:rPr>
        <w:instrText xml:space="preserve"> </w:instrText>
      </w:r>
      <w:r w:rsidR="00500F37">
        <w:rPr>
          <w:szCs w:val="24"/>
          <w:lang w:val="en-US"/>
        </w:rPr>
        <w:instrText>evaluate</w:instrText>
      </w:r>
      <w:r w:rsidR="00500F37" w:rsidRPr="000C68DB">
        <w:rPr>
          <w:szCs w:val="24"/>
        </w:rPr>
        <w:instrText xml:space="preserve"> </w:instrText>
      </w:r>
      <w:r w:rsidR="00500F37">
        <w:rPr>
          <w:szCs w:val="24"/>
          <w:lang w:val="en-US"/>
        </w:rPr>
        <w:instrText>if</w:instrText>
      </w:r>
      <w:r w:rsidR="00500F37" w:rsidRPr="000C68DB">
        <w:rPr>
          <w:szCs w:val="24"/>
        </w:rPr>
        <w:instrText xml:space="preserve"> </w:instrText>
      </w:r>
      <w:r w:rsidR="00500F37">
        <w:rPr>
          <w:szCs w:val="24"/>
          <w:lang w:val="en-US"/>
        </w:rPr>
        <w:instrText>it</w:instrText>
      </w:r>
      <w:r w:rsidR="00500F37" w:rsidRPr="000C68DB">
        <w:rPr>
          <w:szCs w:val="24"/>
        </w:rPr>
        <w:instrText xml:space="preserve"> </w:instrText>
      </w:r>
      <w:r w:rsidR="00500F37">
        <w:rPr>
          <w:szCs w:val="24"/>
          <w:lang w:val="en-US"/>
        </w:rPr>
        <w:instrText>can</w:instrText>
      </w:r>
      <w:r w:rsidR="00500F37" w:rsidRPr="000C68DB">
        <w:rPr>
          <w:szCs w:val="24"/>
        </w:rPr>
        <w:instrText xml:space="preserve"> </w:instrText>
      </w:r>
      <w:r w:rsidR="00500F37">
        <w:rPr>
          <w:szCs w:val="24"/>
          <w:lang w:val="en-US"/>
        </w:rPr>
        <w:instrText>improve</w:instrText>
      </w:r>
      <w:r w:rsidR="00500F37" w:rsidRPr="000C68DB">
        <w:rPr>
          <w:szCs w:val="24"/>
        </w:rPr>
        <w:instrText xml:space="preserve"> </w:instrText>
      </w:r>
      <w:r w:rsidR="00500F37">
        <w:rPr>
          <w:szCs w:val="24"/>
          <w:lang w:val="en-US"/>
        </w:rPr>
        <w:instrText>the</w:instrText>
      </w:r>
      <w:r w:rsidR="00500F37" w:rsidRPr="000C68DB">
        <w:rPr>
          <w:szCs w:val="24"/>
        </w:rPr>
        <w:instrText xml:space="preserve"> </w:instrText>
      </w:r>
      <w:r w:rsidR="00500F37">
        <w:rPr>
          <w:szCs w:val="24"/>
          <w:lang w:val="en-US"/>
        </w:rPr>
        <w:instrText>rapidity</w:instrText>
      </w:r>
      <w:r w:rsidR="00500F37" w:rsidRPr="000C68DB">
        <w:rPr>
          <w:szCs w:val="24"/>
        </w:rPr>
        <w:instrText xml:space="preserve"> </w:instrText>
      </w:r>
      <w:r w:rsidR="00500F37">
        <w:rPr>
          <w:szCs w:val="24"/>
          <w:lang w:val="en-US"/>
        </w:rPr>
        <w:instrText>and</w:instrText>
      </w:r>
      <w:r w:rsidR="00500F37" w:rsidRPr="000C68DB">
        <w:rPr>
          <w:szCs w:val="24"/>
        </w:rPr>
        <w:instrText xml:space="preserve"> </w:instrText>
      </w:r>
      <w:r w:rsidR="00500F37">
        <w:rPr>
          <w:szCs w:val="24"/>
          <w:lang w:val="en-US"/>
        </w:rPr>
        <w:instrText>probability</w:instrText>
      </w:r>
      <w:r w:rsidR="00500F37" w:rsidRPr="000C68DB">
        <w:rPr>
          <w:szCs w:val="24"/>
        </w:rPr>
        <w:instrText xml:space="preserve"> </w:instrText>
      </w:r>
      <w:r w:rsidR="00500F37">
        <w:rPr>
          <w:szCs w:val="24"/>
          <w:lang w:val="en-US"/>
        </w:rPr>
        <w:instrText>of</w:instrText>
      </w:r>
      <w:r w:rsidR="00500F37" w:rsidRPr="000C68DB">
        <w:rPr>
          <w:szCs w:val="24"/>
        </w:rPr>
        <w:instrText xml:space="preserve"> </w:instrText>
      </w:r>
      <w:r w:rsidR="00500F37">
        <w:rPr>
          <w:szCs w:val="24"/>
          <w:lang w:val="en-US"/>
        </w:rPr>
        <w:instrText>response</w:instrText>
      </w:r>
      <w:r w:rsidR="00500F37" w:rsidRPr="000C68DB">
        <w:rPr>
          <w:szCs w:val="24"/>
        </w:rPr>
        <w:instrText xml:space="preserve"> </w:instrText>
      </w:r>
      <w:r w:rsidR="00500F37">
        <w:rPr>
          <w:szCs w:val="24"/>
          <w:lang w:val="en-US"/>
        </w:rPr>
        <w:instrText>that</w:instrText>
      </w:r>
      <w:r w:rsidR="00500F37" w:rsidRPr="000C68DB">
        <w:rPr>
          <w:szCs w:val="24"/>
        </w:rPr>
        <w:instrText xml:space="preserve"> </w:instrText>
      </w:r>
      <w:r w:rsidR="00500F37">
        <w:rPr>
          <w:szCs w:val="24"/>
          <w:lang w:val="en-US"/>
        </w:rPr>
        <w:instrText>is</w:instrText>
      </w:r>
      <w:r w:rsidR="00500F37" w:rsidRPr="000C68DB">
        <w:rPr>
          <w:szCs w:val="24"/>
        </w:rPr>
        <w:instrText xml:space="preserve"> </w:instrText>
      </w:r>
      <w:r w:rsidR="00500F37">
        <w:rPr>
          <w:szCs w:val="24"/>
          <w:lang w:val="en-US"/>
        </w:rPr>
        <w:instrText>produced</w:instrText>
      </w:r>
      <w:r w:rsidR="00500F37" w:rsidRPr="000C68DB">
        <w:rPr>
          <w:szCs w:val="24"/>
        </w:rPr>
        <w:instrText xml:space="preserve"> </w:instrText>
      </w:r>
      <w:r w:rsidR="00500F37">
        <w:rPr>
          <w:szCs w:val="24"/>
          <w:lang w:val="en-US"/>
        </w:rPr>
        <w:instrText>by</w:instrText>
      </w:r>
      <w:r w:rsidR="00500F37" w:rsidRPr="000C68DB">
        <w:rPr>
          <w:szCs w:val="24"/>
        </w:rPr>
        <w:instrText xml:space="preserve"> </w:instrText>
      </w:r>
      <w:r w:rsidR="00500F37">
        <w:rPr>
          <w:szCs w:val="24"/>
          <w:lang w:val="en-US"/>
        </w:rPr>
        <w:instrText>the</w:instrText>
      </w:r>
      <w:r w:rsidR="00500F37" w:rsidRPr="000C68DB">
        <w:rPr>
          <w:szCs w:val="24"/>
        </w:rPr>
        <w:instrText xml:space="preserve"> </w:instrText>
      </w:r>
      <w:r w:rsidR="00500F37">
        <w:rPr>
          <w:szCs w:val="24"/>
          <w:lang w:val="en-US"/>
        </w:rPr>
        <w:instrText>combination</w:instrText>
      </w:r>
      <w:r w:rsidR="00500F37" w:rsidRPr="000C68DB">
        <w:rPr>
          <w:szCs w:val="24"/>
        </w:rPr>
        <w:instrText xml:space="preserve"> </w:instrText>
      </w:r>
      <w:r w:rsidR="00500F37">
        <w:rPr>
          <w:szCs w:val="24"/>
          <w:lang w:val="en-US"/>
        </w:rPr>
        <w:instrText>with</w:instrText>
      </w:r>
      <w:r w:rsidR="00500F37" w:rsidRPr="000C68DB">
        <w:rPr>
          <w:szCs w:val="24"/>
        </w:rPr>
        <w:instrText xml:space="preserve"> </w:instrText>
      </w:r>
      <w:r w:rsidR="00500F37">
        <w:rPr>
          <w:szCs w:val="24"/>
          <w:lang w:val="en-US"/>
        </w:rPr>
        <w:instrText>bortezomib</w:instrText>
      </w:r>
      <w:r w:rsidR="00500F37" w:rsidRPr="000C68DB">
        <w:rPr>
          <w:szCs w:val="24"/>
        </w:rPr>
        <w:instrText xml:space="preserve"> </w:instrText>
      </w:r>
      <w:r w:rsidR="00500F37">
        <w:rPr>
          <w:szCs w:val="24"/>
          <w:lang w:val="en-US"/>
        </w:rPr>
        <w:instrText>and</w:instrText>
      </w:r>
      <w:r w:rsidR="00500F37" w:rsidRPr="000C68DB">
        <w:rPr>
          <w:szCs w:val="24"/>
        </w:rPr>
        <w:instrText xml:space="preserve"> </w:instrText>
      </w:r>
      <w:r w:rsidR="00500F37">
        <w:rPr>
          <w:szCs w:val="24"/>
          <w:lang w:val="en-US"/>
        </w:rPr>
        <w:instrText>high</w:instrText>
      </w:r>
      <w:r w:rsidR="00500F37" w:rsidRPr="000C68DB">
        <w:rPr>
          <w:szCs w:val="24"/>
        </w:rPr>
        <w:instrText>-</w:instrText>
      </w:r>
      <w:r w:rsidR="00500F37">
        <w:rPr>
          <w:szCs w:val="24"/>
          <w:lang w:val="en-US"/>
        </w:rPr>
        <w:instrText>dose</w:instrText>
      </w:r>
      <w:r w:rsidR="00500F37" w:rsidRPr="000C68DB">
        <w:rPr>
          <w:szCs w:val="24"/>
        </w:rPr>
        <w:instrText xml:space="preserve"> </w:instrText>
      </w:r>
      <w:r w:rsidR="00500F37">
        <w:rPr>
          <w:szCs w:val="24"/>
          <w:lang w:val="en-US"/>
        </w:rPr>
        <w:instrText>dexamethasone</w:instrText>
      </w:r>
      <w:r w:rsidR="00500F37" w:rsidRPr="000C68DB">
        <w:rPr>
          <w:szCs w:val="24"/>
        </w:rPr>
        <w:instrText xml:space="preserve">. </w:instrText>
      </w:r>
      <w:r w:rsidR="00500F37">
        <w:rPr>
          <w:szCs w:val="24"/>
          <w:lang w:val="en-US"/>
        </w:rPr>
        <w:instrText>Lenalidomide</w:instrText>
      </w:r>
      <w:r w:rsidR="00500F37" w:rsidRPr="000C68DB">
        <w:rPr>
          <w:szCs w:val="24"/>
        </w:rPr>
        <w:instrText xml:space="preserve"> </w:instrText>
      </w:r>
      <w:r w:rsidR="00500F37">
        <w:rPr>
          <w:szCs w:val="24"/>
          <w:lang w:val="en-US"/>
        </w:rPr>
        <w:instrText>is</w:instrText>
      </w:r>
      <w:r w:rsidR="00500F37" w:rsidRPr="000C68DB">
        <w:rPr>
          <w:szCs w:val="24"/>
        </w:rPr>
        <w:instrText xml:space="preserve"> </w:instrText>
      </w:r>
      <w:r w:rsidR="00500F37">
        <w:rPr>
          <w:szCs w:val="24"/>
          <w:lang w:val="en-US"/>
        </w:rPr>
        <w:instrText>effective</w:instrText>
      </w:r>
      <w:r w:rsidR="00500F37" w:rsidRPr="000C68DB">
        <w:rPr>
          <w:szCs w:val="24"/>
        </w:rPr>
        <w:instrText xml:space="preserve"> </w:instrText>
      </w:r>
      <w:r w:rsidR="00500F37">
        <w:rPr>
          <w:szCs w:val="24"/>
          <w:lang w:val="en-US"/>
        </w:rPr>
        <w:instrText>in</w:instrText>
      </w:r>
      <w:r w:rsidR="00500F37" w:rsidRPr="000C68DB">
        <w:rPr>
          <w:szCs w:val="24"/>
        </w:rPr>
        <w:instrText xml:space="preserve"> </w:instrText>
      </w:r>
      <w:r w:rsidR="00500F37">
        <w:rPr>
          <w:szCs w:val="24"/>
          <w:lang w:val="en-US"/>
        </w:rPr>
        <w:instrText>this</w:instrText>
      </w:r>
      <w:r w:rsidR="00500F37" w:rsidRPr="000C68DB">
        <w:rPr>
          <w:szCs w:val="24"/>
        </w:rPr>
        <w:instrText xml:space="preserve"> </w:instrText>
      </w:r>
      <w:r w:rsidR="00500F37">
        <w:rPr>
          <w:szCs w:val="24"/>
          <w:lang w:val="en-US"/>
        </w:rPr>
        <w:instrText>setting</w:instrText>
      </w:r>
      <w:r w:rsidR="00500F37" w:rsidRPr="000C68DB">
        <w:rPr>
          <w:szCs w:val="24"/>
        </w:rPr>
        <w:instrText xml:space="preserve"> </w:instrText>
      </w:r>
      <w:r w:rsidR="00500F37">
        <w:rPr>
          <w:szCs w:val="24"/>
          <w:lang w:val="en-US"/>
        </w:rPr>
        <w:instrText>and</w:instrText>
      </w:r>
      <w:r w:rsidR="00500F37" w:rsidRPr="000C68DB">
        <w:rPr>
          <w:szCs w:val="24"/>
        </w:rPr>
        <w:instrText xml:space="preserve"> </w:instrText>
      </w:r>
      <w:r w:rsidR="00500F37">
        <w:rPr>
          <w:szCs w:val="24"/>
          <w:lang w:val="en-US"/>
        </w:rPr>
        <w:instrText>can</w:instrText>
      </w:r>
      <w:r w:rsidR="00500F37" w:rsidRPr="000C68DB">
        <w:rPr>
          <w:szCs w:val="24"/>
        </w:rPr>
        <w:instrText xml:space="preserve"> </w:instrText>
      </w:r>
      <w:r w:rsidR="00500F37">
        <w:rPr>
          <w:szCs w:val="24"/>
          <w:lang w:val="en-US"/>
        </w:rPr>
        <w:instrText>reverse</w:instrText>
      </w:r>
      <w:r w:rsidR="00500F37" w:rsidRPr="000C68DB">
        <w:rPr>
          <w:szCs w:val="24"/>
        </w:rPr>
        <w:instrText xml:space="preserve"> </w:instrText>
      </w:r>
      <w:r w:rsidR="00500F37">
        <w:rPr>
          <w:szCs w:val="24"/>
          <w:lang w:val="en-US"/>
        </w:rPr>
        <w:instrText>renal</w:instrText>
      </w:r>
      <w:r w:rsidR="00500F37" w:rsidRPr="000C68DB">
        <w:rPr>
          <w:szCs w:val="24"/>
        </w:rPr>
        <w:instrText xml:space="preserve"> </w:instrText>
      </w:r>
      <w:r w:rsidR="00500F37">
        <w:rPr>
          <w:szCs w:val="24"/>
          <w:lang w:val="en-US"/>
        </w:rPr>
        <w:instrText>insufficiency</w:instrText>
      </w:r>
      <w:r w:rsidR="00500F37" w:rsidRPr="000C68DB">
        <w:rPr>
          <w:szCs w:val="24"/>
        </w:rPr>
        <w:instrText xml:space="preserve"> </w:instrText>
      </w:r>
      <w:r w:rsidR="00500F37">
        <w:rPr>
          <w:szCs w:val="24"/>
          <w:lang w:val="en-US"/>
        </w:rPr>
        <w:instrText>in</w:instrText>
      </w:r>
      <w:r w:rsidR="00500F37" w:rsidRPr="000C68DB">
        <w:rPr>
          <w:szCs w:val="24"/>
        </w:rPr>
        <w:instrText xml:space="preserve"> </w:instrText>
      </w:r>
      <w:r w:rsidR="00500F37">
        <w:rPr>
          <w:szCs w:val="24"/>
          <w:lang w:val="en-US"/>
        </w:rPr>
        <w:instrText>a</w:instrText>
      </w:r>
      <w:r w:rsidR="00500F37" w:rsidRPr="000C68DB">
        <w:rPr>
          <w:szCs w:val="24"/>
        </w:rPr>
        <w:instrText xml:space="preserve"> </w:instrText>
      </w:r>
      <w:r w:rsidR="00500F37">
        <w:rPr>
          <w:szCs w:val="24"/>
          <w:lang w:val="en-US"/>
        </w:rPr>
        <w:instrText>significant</w:instrText>
      </w:r>
      <w:r w:rsidR="00500F37" w:rsidRPr="000C68DB">
        <w:rPr>
          <w:szCs w:val="24"/>
        </w:rPr>
        <w:instrText xml:space="preserve"> </w:instrText>
      </w:r>
      <w:r w:rsidR="00500F37">
        <w:rPr>
          <w:szCs w:val="24"/>
          <w:lang w:val="en-US"/>
        </w:rPr>
        <w:instrText>subset</w:instrText>
      </w:r>
      <w:r w:rsidR="00500F37" w:rsidRPr="000C68DB">
        <w:rPr>
          <w:szCs w:val="24"/>
        </w:rPr>
        <w:instrText xml:space="preserve"> </w:instrText>
      </w:r>
      <w:r w:rsidR="00500F37">
        <w:rPr>
          <w:szCs w:val="24"/>
          <w:lang w:val="en-US"/>
        </w:rPr>
        <w:instrText>of</w:instrText>
      </w:r>
      <w:r w:rsidR="00500F37" w:rsidRPr="000C68DB">
        <w:rPr>
          <w:szCs w:val="24"/>
        </w:rPr>
        <w:instrText xml:space="preserve"> </w:instrText>
      </w:r>
      <w:r w:rsidR="00500F37">
        <w:rPr>
          <w:szCs w:val="24"/>
          <w:lang w:val="en-US"/>
        </w:rPr>
        <w:instrText>patients</w:instrText>
      </w:r>
      <w:r w:rsidR="00500F37" w:rsidRPr="000C68DB">
        <w:rPr>
          <w:szCs w:val="24"/>
        </w:rPr>
        <w:instrText xml:space="preserve">, </w:instrText>
      </w:r>
      <w:r w:rsidR="00500F37">
        <w:rPr>
          <w:szCs w:val="24"/>
          <w:lang w:val="en-US"/>
        </w:rPr>
        <w:instrText>when</w:instrText>
      </w:r>
      <w:r w:rsidR="00500F37" w:rsidRPr="000C68DB">
        <w:rPr>
          <w:szCs w:val="24"/>
        </w:rPr>
        <w:instrText xml:space="preserve"> </w:instrText>
      </w:r>
      <w:r w:rsidR="00500F37">
        <w:rPr>
          <w:szCs w:val="24"/>
          <w:lang w:val="en-US"/>
        </w:rPr>
        <w:instrText>it</w:instrText>
      </w:r>
      <w:r w:rsidR="00500F37" w:rsidRPr="000C68DB">
        <w:rPr>
          <w:szCs w:val="24"/>
        </w:rPr>
        <w:instrText xml:space="preserve"> </w:instrText>
      </w:r>
      <w:r w:rsidR="00500F37">
        <w:rPr>
          <w:szCs w:val="24"/>
          <w:lang w:val="en-US"/>
        </w:rPr>
        <w:instrText>is</w:instrText>
      </w:r>
      <w:r w:rsidR="00500F37" w:rsidRPr="000C68DB">
        <w:rPr>
          <w:szCs w:val="24"/>
        </w:rPr>
        <w:instrText xml:space="preserve"> </w:instrText>
      </w:r>
      <w:r w:rsidR="00500F37">
        <w:rPr>
          <w:szCs w:val="24"/>
          <w:lang w:val="en-US"/>
        </w:rPr>
        <w:instrText>given</w:instrText>
      </w:r>
      <w:r w:rsidR="00500F37" w:rsidRPr="000C68DB">
        <w:rPr>
          <w:szCs w:val="24"/>
        </w:rPr>
        <w:instrText xml:space="preserve"> </w:instrText>
      </w:r>
      <w:r w:rsidR="00500F37">
        <w:rPr>
          <w:szCs w:val="24"/>
          <w:lang w:val="en-US"/>
        </w:rPr>
        <w:instrText>at</w:instrText>
      </w:r>
      <w:r w:rsidR="00500F37" w:rsidRPr="000C68DB">
        <w:rPr>
          <w:szCs w:val="24"/>
        </w:rPr>
        <w:instrText xml:space="preserve"> </w:instrText>
      </w:r>
      <w:r w:rsidR="00500F37">
        <w:rPr>
          <w:szCs w:val="24"/>
          <w:lang w:val="en-US"/>
        </w:rPr>
        <w:instrText>reduced</w:instrText>
      </w:r>
      <w:r w:rsidR="00500F37" w:rsidRPr="000C68DB">
        <w:rPr>
          <w:szCs w:val="24"/>
        </w:rPr>
        <w:instrText xml:space="preserve"> </w:instrText>
      </w:r>
      <w:r w:rsidR="00500F37">
        <w:rPr>
          <w:szCs w:val="24"/>
          <w:lang w:val="en-US"/>
        </w:rPr>
        <w:instrText>doses</w:instrText>
      </w:r>
      <w:r w:rsidR="00500F37" w:rsidRPr="000C68DB">
        <w:rPr>
          <w:szCs w:val="24"/>
        </w:rPr>
        <w:instrText xml:space="preserve">, </w:instrText>
      </w:r>
      <w:r w:rsidR="00500F37">
        <w:rPr>
          <w:szCs w:val="24"/>
          <w:lang w:val="en-US"/>
        </w:rPr>
        <w:instrText>according</w:instrText>
      </w:r>
      <w:r w:rsidR="00500F37" w:rsidRPr="000C68DB">
        <w:rPr>
          <w:szCs w:val="24"/>
        </w:rPr>
        <w:instrText xml:space="preserve"> </w:instrText>
      </w:r>
      <w:r w:rsidR="00500F37">
        <w:rPr>
          <w:szCs w:val="24"/>
          <w:lang w:val="en-US"/>
        </w:rPr>
        <w:instrText>to</w:instrText>
      </w:r>
      <w:r w:rsidR="00500F37" w:rsidRPr="000C68DB">
        <w:rPr>
          <w:szCs w:val="24"/>
        </w:rPr>
        <w:instrText xml:space="preserve"> </w:instrText>
      </w:r>
      <w:r w:rsidR="00500F37">
        <w:rPr>
          <w:szCs w:val="24"/>
          <w:lang w:val="en-US"/>
        </w:rPr>
        <w:instrText>renal</w:instrText>
      </w:r>
      <w:r w:rsidR="00500F37" w:rsidRPr="000C68DB">
        <w:rPr>
          <w:szCs w:val="24"/>
        </w:rPr>
        <w:instrText xml:space="preserve"> </w:instrText>
      </w:r>
      <w:r w:rsidR="00500F37">
        <w:rPr>
          <w:szCs w:val="24"/>
          <w:lang w:val="en-US"/>
        </w:rPr>
        <w:instrText>function</w:instrText>
      </w:r>
      <w:r w:rsidR="00500F37" w:rsidRPr="000C68DB">
        <w:rPr>
          <w:szCs w:val="24"/>
        </w:rPr>
        <w:instrText xml:space="preserve">. </w:instrText>
      </w:r>
      <w:r w:rsidR="00500F37">
        <w:rPr>
          <w:szCs w:val="24"/>
          <w:lang w:val="en-US"/>
        </w:rPr>
        <w:instrText>The</w:instrText>
      </w:r>
      <w:r w:rsidR="00500F37" w:rsidRPr="000C68DB">
        <w:rPr>
          <w:szCs w:val="24"/>
        </w:rPr>
        <w:instrText xml:space="preserve"> </w:instrText>
      </w:r>
      <w:r w:rsidR="00500F37">
        <w:rPr>
          <w:szCs w:val="24"/>
          <w:lang w:val="en-US"/>
        </w:rPr>
        <w:instrText>role</w:instrText>
      </w:r>
      <w:r w:rsidR="00500F37" w:rsidRPr="000C68DB">
        <w:rPr>
          <w:szCs w:val="24"/>
        </w:rPr>
        <w:instrText xml:space="preserve"> </w:instrText>
      </w:r>
      <w:r w:rsidR="00500F37">
        <w:rPr>
          <w:szCs w:val="24"/>
          <w:lang w:val="en-US"/>
        </w:rPr>
        <w:instrText>of</w:instrText>
      </w:r>
      <w:r w:rsidR="00500F37" w:rsidRPr="000C68DB">
        <w:rPr>
          <w:szCs w:val="24"/>
        </w:rPr>
        <w:instrText xml:space="preserve"> </w:instrText>
      </w:r>
      <w:r w:rsidR="00500F37">
        <w:rPr>
          <w:szCs w:val="24"/>
          <w:lang w:val="en-US"/>
        </w:rPr>
        <w:instrText>plasma</w:instrText>
      </w:r>
      <w:r w:rsidR="00500F37" w:rsidRPr="000C68DB">
        <w:rPr>
          <w:szCs w:val="24"/>
        </w:rPr>
        <w:instrText xml:space="preserve"> </w:instrText>
      </w:r>
      <w:r w:rsidR="00500F37">
        <w:rPr>
          <w:szCs w:val="24"/>
          <w:lang w:val="en-US"/>
        </w:rPr>
        <w:instrText>exchange</w:instrText>
      </w:r>
      <w:r w:rsidR="00500F37" w:rsidRPr="000C68DB">
        <w:rPr>
          <w:szCs w:val="24"/>
        </w:rPr>
        <w:instrText xml:space="preserve"> </w:instrText>
      </w:r>
      <w:r w:rsidR="00500F37">
        <w:rPr>
          <w:szCs w:val="24"/>
          <w:lang w:val="en-US"/>
        </w:rPr>
        <w:instrText>in</w:instrText>
      </w:r>
      <w:r w:rsidR="00500F37" w:rsidRPr="000C68DB">
        <w:rPr>
          <w:szCs w:val="24"/>
        </w:rPr>
        <w:instrText xml:space="preserve"> </w:instrText>
      </w:r>
      <w:r w:rsidR="00500F37">
        <w:rPr>
          <w:szCs w:val="24"/>
          <w:lang w:val="en-US"/>
        </w:rPr>
        <w:instrText>patients</w:instrText>
      </w:r>
      <w:r w:rsidR="00500F37" w:rsidRPr="000C68DB">
        <w:rPr>
          <w:szCs w:val="24"/>
        </w:rPr>
        <w:instrText xml:space="preserve"> </w:instrText>
      </w:r>
      <w:r w:rsidR="00500F37">
        <w:rPr>
          <w:szCs w:val="24"/>
          <w:lang w:val="en-US"/>
        </w:rPr>
        <w:instrText>with</w:instrText>
      </w:r>
      <w:r w:rsidR="00500F37" w:rsidRPr="000C68DB">
        <w:rPr>
          <w:szCs w:val="24"/>
        </w:rPr>
        <w:instrText xml:space="preserve"> </w:instrText>
      </w:r>
      <w:r w:rsidR="00500F37">
        <w:rPr>
          <w:szCs w:val="24"/>
          <w:lang w:val="en-US"/>
        </w:rPr>
        <w:instrText>suspected</w:instrText>
      </w:r>
      <w:r w:rsidR="00500F37" w:rsidRPr="000C68DB">
        <w:rPr>
          <w:szCs w:val="24"/>
        </w:rPr>
        <w:instrText xml:space="preserve"> </w:instrText>
      </w:r>
      <w:r w:rsidR="00500F37">
        <w:rPr>
          <w:szCs w:val="24"/>
          <w:lang w:val="en-US"/>
        </w:rPr>
        <w:instrText>light</w:instrText>
      </w:r>
      <w:r w:rsidR="00500F37" w:rsidRPr="000C68DB">
        <w:rPr>
          <w:szCs w:val="24"/>
        </w:rPr>
        <w:instrText xml:space="preserve"> </w:instrText>
      </w:r>
      <w:r w:rsidR="00500F37">
        <w:rPr>
          <w:szCs w:val="24"/>
          <w:lang w:val="en-US"/>
        </w:rPr>
        <w:instrText>chain</w:instrText>
      </w:r>
      <w:r w:rsidR="00500F37" w:rsidRPr="000C68DB">
        <w:rPr>
          <w:szCs w:val="24"/>
        </w:rPr>
        <w:instrText xml:space="preserve"> </w:instrText>
      </w:r>
      <w:r w:rsidR="00500F37">
        <w:rPr>
          <w:szCs w:val="24"/>
          <w:lang w:val="en-US"/>
        </w:rPr>
        <w:instrText>cast</w:instrText>
      </w:r>
      <w:r w:rsidR="00500F37" w:rsidRPr="000C68DB">
        <w:rPr>
          <w:szCs w:val="24"/>
        </w:rPr>
        <w:instrText xml:space="preserve"> </w:instrText>
      </w:r>
      <w:r w:rsidR="00500F37">
        <w:rPr>
          <w:szCs w:val="24"/>
          <w:lang w:val="en-US"/>
        </w:rPr>
        <w:instrText>nephropathy</w:instrText>
      </w:r>
      <w:r w:rsidR="00500F37" w:rsidRPr="000C68DB">
        <w:rPr>
          <w:szCs w:val="24"/>
        </w:rPr>
        <w:instrText xml:space="preserve"> </w:instrText>
      </w:r>
      <w:r w:rsidR="00500F37">
        <w:rPr>
          <w:szCs w:val="24"/>
          <w:lang w:val="en-US"/>
        </w:rPr>
        <w:instrText>and</w:instrText>
      </w:r>
      <w:r w:rsidR="00500F37" w:rsidRPr="000C68DB">
        <w:rPr>
          <w:szCs w:val="24"/>
        </w:rPr>
        <w:instrText xml:space="preserve"> </w:instrText>
      </w:r>
      <w:r w:rsidR="00500F37">
        <w:rPr>
          <w:szCs w:val="24"/>
          <w:lang w:val="en-US"/>
        </w:rPr>
        <w:instrText>renal</w:instrText>
      </w:r>
      <w:r w:rsidR="00500F37" w:rsidRPr="000C68DB">
        <w:rPr>
          <w:szCs w:val="24"/>
        </w:rPr>
        <w:instrText xml:space="preserve"> </w:instrText>
      </w:r>
      <w:r w:rsidR="00500F37">
        <w:rPr>
          <w:szCs w:val="24"/>
          <w:lang w:val="en-US"/>
        </w:rPr>
        <w:instrText>impairment</w:instrText>
      </w:r>
      <w:r w:rsidR="00500F37" w:rsidRPr="000C68DB">
        <w:rPr>
          <w:szCs w:val="24"/>
        </w:rPr>
        <w:instrText xml:space="preserve"> </w:instrText>
      </w:r>
      <w:r w:rsidR="00500F37">
        <w:rPr>
          <w:szCs w:val="24"/>
          <w:lang w:val="en-US"/>
        </w:rPr>
        <w:instrText>is</w:instrText>
      </w:r>
      <w:r w:rsidR="00500F37" w:rsidRPr="000C68DB">
        <w:rPr>
          <w:szCs w:val="24"/>
        </w:rPr>
        <w:instrText xml:space="preserve"> </w:instrText>
      </w:r>
      <w:r w:rsidR="00500F37">
        <w:rPr>
          <w:szCs w:val="24"/>
          <w:lang w:val="en-US"/>
        </w:rPr>
        <w:instrText>controversial</w:instrText>
      </w:r>
      <w:r w:rsidR="00500F37" w:rsidRPr="000C68DB">
        <w:rPr>
          <w:szCs w:val="24"/>
        </w:rPr>
        <w:instrText xml:space="preserve">. </w:instrText>
      </w:r>
      <w:r w:rsidR="00500F37">
        <w:rPr>
          <w:szCs w:val="24"/>
          <w:lang w:val="en-US"/>
        </w:rPr>
        <w:instrText>High</w:instrText>
      </w:r>
      <w:r w:rsidR="00500F37" w:rsidRPr="000C68DB">
        <w:rPr>
          <w:szCs w:val="24"/>
        </w:rPr>
        <w:instrText>-</w:instrText>
      </w:r>
      <w:r w:rsidR="00500F37">
        <w:rPr>
          <w:szCs w:val="24"/>
          <w:lang w:val="en-US"/>
        </w:rPr>
        <w:instrText>dose</w:instrText>
      </w:r>
      <w:r w:rsidR="00500F37" w:rsidRPr="000C68DB">
        <w:rPr>
          <w:szCs w:val="24"/>
        </w:rPr>
        <w:instrText xml:space="preserve"> </w:instrText>
      </w:r>
      <w:r w:rsidR="00500F37">
        <w:rPr>
          <w:szCs w:val="24"/>
          <w:lang w:val="en-US"/>
        </w:rPr>
        <w:instrText>melphalan</w:instrText>
      </w:r>
      <w:r w:rsidR="00500F37" w:rsidRPr="000C68DB">
        <w:rPr>
          <w:szCs w:val="24"/>
        </w:rPr>
        <w:instrText xml:space="preserve"> (140 </w:instrText>
      </w:r>
      <w:r w:rsidR="00500F37">
        <w:rPr>
          <w:szCs w:val="24"/>
          <w:lang w:val="en-US"/>
        </w:rPr>
        <w:instrText>mg</w:instrText>
      </w:r>
      <w:r w:rsidR="00500F37" w:rsidRPr="000C68DB">
        <w:rPr>
          <w:szCs w:val="24"/>
        </w:rPr>
        <w:instrText>/</w:instrText>
      </w:r>
      <w:r w:rsidR="00500F37">
        <w:rPr>
          <w:szCs w:val="24"/>
          <w:lang w:val="en-US"/>
        </w:rPr>
        <w:instrText>m</w:instrText>
      </w:r>
      <w:r w:rsidR="00500F37" w:rsidRPr="000C68DB">
        <w:rPr>
          <w:szCs w:val="24"/>
        </w:rPr>
        <w:instrText xml:space="preserve">2) </w:instrText>
      </w:r>
      <w:r w:rsidR="00500F37">
        <w:rPr>
          <w:szCs w:val="24"/>
          <w:lang w:val="en-US"/>
        </w:rPr>
        <w:instrText>and</w:instrText>
      </w:r>
      <w:r w:rsidR="00500F37" w:rsidRPr="000C68DB">
        <w:rPr>
          <w:szCs w:val="24"/>
        </w:rPr>
        <w:instrText xml:space="preserve"> </w:instrText>
      </w:r>
      <w:r w:rsidR="00500F37">
        <w:rPr>
          <w:szCs w:val="24"/>
          <w:lang w:val="en-US"/>
        </w:rPr>
        <w:instrText>autologous</w:instrText>
      </w:r>
      <w:r w:rsidR="00500F37" w:rsidRPr="000C68DB">
        <w:rPr>
          <w:szCs w:val="24"/>
        </w:rPr>
        <w:instrText xml:space="preserve"> </w:instrText>
      </w:r>
      <w:r w:rsidR="00500F37">
        <w:rPr>
          <w:szCs w:val="24"/>
          <w:lang w:val="en-US"/>
        </w:rPr>
        <w:instrText>stem</w:instrText>
      </w:r>
      <w:r w:rsidR="00500F37" w:rsidRPr="000C68DB">
        <w:rPr>
          <w:szCs w:val="24"/>
        </w:rPr>
        <w:instrText>-</w:instrText>
      </w:r>
      <w:r w:rsidR="00500F37">
        <w:rPr>
          <w:szCs w:val="24"/>
          <w:lang w:val="en-US"/>
        </w:rPr>
        <w:instrText>cell</w:instrText>
      </w:r>
      <w:r w:rsidR="00500F37" w:rsidRPr="000C68DB">
        <w:rPr>
          <w:szCs w:val="24"/>
        </w:rPr>
        <w:instrText xml:space="preserve"> </w:instrText>
      </w:r>
      <w:r w:rsidR="00500F37">
        <w:rPr>
          <w:szCs w:val="24"/>
          <w:lang w:val="en-US"/>
        </w:rPr>
        <w:instrText>transplantation</w:instrText>
      </w:r>
      <w:r w:rsidR="00500F37" w:rsidRPr="000C68DB">
        <w:rPr>
          <w:szCs w:val="24"/>
        </w:rPr>
        <w:instrText xml:space="preserve"> </w:instrText>
      </w:r>
      <w:r w:rsidR="00500F37">
        <w:rPr>
          <w:szCs w:val="24"/>
          <w:lang w:val="en-US"/>
        </w:rPr>
        <w:instrText>should</w:instrText>
      </w:r>
      <w:r w:rsidR="00500F37" w:rsidRPr="000C68DB">
        <w:rPr>
          <w:szCs w:val="24"/>
        </w:rPr>
        <w:instrText xml:space="preserve"> </w:instrText>
      </w:r>
      <w:r w:rsidR="00500F37">
        <w:rPr>
          <w:szCs w:val="24"/>
          <w:lang w:val="en-US"/>
        </w:rPr>
        <w:instrText>be</w:instrText>
      </w:r>
      <w:r w:rsidR="00500F37" w:rsidRPr="000C68DB">
        <w:rPr>
          <w:szCs w:val="24"/>
        </w:rPr>
        <w:instrText xml:space="preserve"> </w:instrText>
      </w:r>
      <w:r w:rsidR="00500F37">
        <w:rPr>
          <w:szCs w:val="24"/>
          <w:lang w:val="en-US"/>
        </w:rPr>
        <w:instrText>limited</w:instrText>
      </w:r>
      <w:r w:rsidR="00500F37" w:rsidRPr="000C68DB">
        <w:rPr>
          <w:szCs w:val="24"/>
        </w:rPr>
        <w:instrText xml:space="preserve"> </w:instrText>
      </w:r>
      <w:r w:rsidR="00500F37">
        <w:rPr>
          <w:szCs w:val="24"/>
          <w:lang w:val="en-US"/>
        </w:rPr>
        <w:instrText>to</w:instrText>
      </w:r>
      <w:r w:rsidR="00500F37" w:rsidRPr="000C68DB">
        <w:rPr>
          <w:szCs w:val="24"/>
        </w:rPr>
        <w:instrText xml:space="preserve"> </w:instrText>
      </w:r>
      <w:r w:rsidR="00500F37">
        <w:rPr>
          <w:szCs w:val="24"/>
          <w:lang w:val="en-US"/>
        </w:rPr>
        <w:instrText>younger</w:instrText>
      </w:r>
      <w:r w:rsidR="00500F37" w:rsidRPr="000C68DB">
        <w:rPr>
          <w:szCs w:val="24"/>
        </w:rPr>
        <w:instrText xml:space="preserve"> </w:instrText>
      </w:r>
      <w:r w:rsidR="00500F37">
        <w:rPr>
          <w:szCs w:val="24"/>
          <w:lang w:val="en-US"/>
        </w:rPr>
        <w:instrText>patients</w:instrText>
      </w:r>
      <w:r w:rsidR="00500F37" w:rsidRPr="000C68DB">
        <w:rPr>
          <w:szCs w:val="24"/>
        </w:rPr>
        <w:instrText xml:space="preserve"> </w:instrText>
      </w:r>
      <w:r w:rsidR="00500F37">
        <w:rPr>
          <w:szCs w:val="24"/>
          <w:lang w:val="en-US"/>
        </w:rPr>
        <w:instrText>with</w:instrText>
      </w:r>
      <w:r w:rsidR="00500F37" w:rsidRPr="000C68DB">
        <w:rPr>
          <w:szCs w:val="24"/>
        </w:rPr>
        <w:instrText xml:space="preserve"> </w:instrText>
      </w:r>
      <w:r w:rsidR="00500F37">
        <w:rPr>
          <w:szCs w:val="24"/>
          <w:lang w:val="en-US"/>
        </w:rPr>
        <w:instrText>chemosensitive</w:instrText>
      </w:r>
      <w:r w:rsidR="00500F37" w:rsidRPr="000C68DB">
        <w:rPr>
          <w:szCs w:val="24"/>
        </w:rPr>
        <w:instrText xml:space="preserve"> </w:instrText>
      </w:r>
      <w:r w:rsidR="00500F37">
        <w:rPr>
          <w:szCs w:val="24"/>
          <w:lang w:val="en-US"/>
        </w:rPr>
        <w:instrText>disease</w:instrText>
      </w:r>
      <w:r w:rsidR="00500F37" w:rsidRPr="000C68DB">
        <w:rPr>
          <w:szCs w:val="24"/>
        </w:rPr>
        <w:instrText xml:space="preserve">. © 2010 </w:instrText>
      </w:r>
      <w:r w:rsidR="00500F37">
        <w:rPr>
          <w:szCs w:val="24"/>
          <w:lang w:val="en-US"/>
        </w:rPr>
        <w:instrText>by</w:instrText>
      </w:r>
      <w:r w:rsidR="00500F37" w:rsidRPr="000C68DB">
        <w:rPr>
          <w:szCs w:val="24"/>
        </w:rPr>
        <w:instrText xml:space="preserve"> </w:instrText>
      </w:r>
      <w:r w:rsidR="00500F37">
        <w:rPr>
          <w:szCs w:val="24"/>
          <w:lang w:val="en-US"/>
        </w:rPr>
        <w:instrText>American</w:instrText>
      </w:r>
      <w:r w:rsidR="00500F37" w:rsidRPr="000C68DB">
        <w:rPr>
          <w:szCs w:val="24"/>
        </w:rPr>
        <w:instrText xml:space="preserve"> </w:instrText>
      </w:r>
      <w:r w:rsidR="00500F37">
        <w:rPr>
          <w:szCs w:val="24"/>
          <w:lang w:val="en-US"/>
        </w:rPr>
        <w:instrText>Society</w:instrText>
      </w:r>
      <w:r w:rsidR="00500F37" w:rsidRPr="000C68DB">
        <w:rPr>
          <w:szCs w:val="24"/>
        </w:rPr>
        <w:instrText xml:space="preserve"> </w:instrText>
      </w:r>
      <w:r w:rsidR="00500F37">
        <w:rPr>
          <w:szCs w:val="24"/>
          <w:lang w:val="en-US"/>
        </w:rPr>
        <w:instrText>of</w:instrText>
      </w:r>
      <w:r w:rsidR="00500F37" w:rsidRPr="000C68DB">
        <w:rPr>
          <w:szCs w:val="24"/>
        </w:rPr>
        <w:instrText xml:space="preserve"> </w:instrText>
      </w:r>
      <w:r w:rsidR="00500F37">
        <w:rPr>
          <w:szCs w:val="24"/>
          <w:lang w:val="en-US"/>
        </w:rPr>
        <w:instrText>Clinical</w:instrText>
      </w:r>
      <w:r w:rsidR="00500F37" w:rsidRPr="000C68DB">
        <w:rPr>
          <w:szCs w:val="24"/>
        </w:rPr>
        <w:instrText xml:space="preserve"> </w:instrText>
      </w:r>
      <w:r w:rsidR="00500F37">
        <w:rPr>
          <w:szCs w:val="24"/>
          <w:lang w:val="en-US"/>
        </w:rPr>
        <w:instrText>Oncology</w:instrText>
      </w:r>
      <w:r w:rsidR="00500F37" w:rsidRPr="000C68DB">
        <w:rPr>
          <w:szCs w:val="24"/>
        </w:rPr>
        <w:instrText>.","</w:instrText>
      </w:r>
      <w:r w:rsidR="00500F37">
        <w:rPr>
          <w:szCs w:val="24"/>
          <w:lang w:val="en-US"/>
        </w:rPr>
        <w:instrText>author</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family</w:instrText>
      </w:r>
      <w:r w:rsidR="00500F37" w:rsidRPr="000C68DB">
        <w:rPr>
          <w:szCs w:val="24"/>
        </w:rPr>
        <w:instrText>":"</w:instrText>
      </w:r>
      <w:r w:rsidR="00500F37">
        <w:rPr>
          <w:szCs w:val="24"/>
          <w:lang w:val="en-US"/>
        </w:rPr>
        <w:instrText>Dimopoulos</w:instrText>
      </w:r>
      <w:r w:rsidR="00500F37" w:rsidRPr="000C68DB">
        <w:rPr>
          <w:szCs w:val="24"/>
        </w:rPr>
        <w:instrText>","</w:instrText>
      </w:r>
      <w:r w:rsidR="00500F37">
        <w:rPr>
          <w:szCs w:val="24"/>
          <w:lang w:val="en-US"/>
        </w:rPr>
        <w:instrText>given</w:instrText>
      </w:r>
      <w:r w:rsidR="00500F37" w:rsidRPr="000C68DB">
        <w:rPr>
          <w:szCs w:val="24"/>
        </w:rPr>
        <w:instrText>":"</w:instrText>
      </w:r>
      <w:r w:rsidR="00500F37">
        <w:rPr>
          <w:szCs w:val="24"/>
          <w:lang w:val="en-US"/>
        </w:rPr>
        <w:instrText>Meletios</w:instrText>
      </w:r>
      <w:r w:rsidR="00500F37" w:rsidRPr="000C68DB">
        <w:rPr>
          <w:szCs w:val="24"/>
        </w:rPr>
        <w:instrText xml:space="preserve"> </w:instrText>
      </w:r>
      <w:r w:rsidR="00500F37">
        <w:rPr>
          <w:szCs w:val="24"/>
          <w:lang w:val="en-US"/>
        </w:rPr>
        <w:instrText>A</w:instrText>
      </w:r>
      <w:r w:rsidR="00500F37" w:rsidRPr="000C68DB">
        <w:rPr>
          <w:szCs w:val="24"/>
        </w:rPr>
        <w:instrText>.","</w:instrText>
      </w:r>
      <w:r w:rsidR="00500F37">
        <w:rPr>
          <w:szCs w:val="24"/>
          <w:lang w:val="en-US"/>
        </w:rPr>
        <w:instrText>non</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parse</w:instrText>
      </w:r>
      <w:r w:rsidR="00500F37" w:rsidRPr="000C68DB">
        <w:rPr>
          <w:szCs w:val="24"/>
        </w:rPr>
        <w:instrText>-</w:instrText>
      </w:r>
      <w:r w:rsidR="00500F37">
        <w:rPr>
          <w:szCs w:val="24"/>
          <w:lang w:val="en-US"/>
        </w:rPr>
        <w:instrText>names</w:instrText>
      </w:r>
      <w:r w:rsidR="00500F37" w:rsidRPr="000C68DB">
        <w:rPr>
          <w:szCs w:val="24"/>
        </w:rPr>
        <w:instrText>":</w:instrText>
      </w:r>
      <w:r w:rsidR="00500F37">
        <w:rPr>
          <w:szCs w:val="24"/>
          <w:lang w:val="en-US"/>
        </w:rPr>
        <w:instrText>false</w:instrText>
      </w:r>
      <w:r w:rsidR="00500F37" w:rsidRPr="000C68DB">
        <w:rPr>
          <w:szCs w:val="24"/>
        </w:rPr>
        <w:instrText>,"</w:instrText>
      </w:r>
      <w:r w:rsidR="00500F37">
        <w:rPr>
          <w:szCs w:val="24"/>
          <w:lang w:val="en-US"/>
        </w:rPr>
        <w:instrText>suffix</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family</w:instrText>
      </w:r>
      <w:r w:rsidR="00500F37" w:rsidRPr="000C68DB">
        <w:rPr>
          <w:szCs w:val="24"/>
        </w:rPr>
        <w:instrText>":"</w:instrText>
      </w:r>
      <w:r w:rsidR="00500F37">
        <w:rPr>
          <w:szCs w:val="24"/>
          <w:lang w:val="en-US"/>
        </w:rPr>
        <w:instrText>Terpos</w:instrText>
      </w:r>
      <w:r w:rsidR="00500F37" w:rsidRPr="000C68DB">
        <w:rPr>
          <w:szCs w:val="24"/>
        </w:rPr>
        <w:instrText>","</w:instrText>
      </w:r>
      <w:r w:rsidR="00500F37">
        <w:rPr>
          <w:szCs w:val="24"/>
          <w:lang w:val="en-US"/>
        </w:rPr>
        <w:instrText>given</w:instrText>
      </w:r>
      <w:r w:rsidR="00500F37" w:rsidRPr="000C68DB">
        <w:rPr>
          <w:szCs w:val="24"/>
        </w:rPr>
        <w:instrText>":"</w:instrText>
      </w:r>
      <w:r w:rsidR="00500F37">
        <w:rPr>
          <w:szCs w:val="24"/>
          <w:lang w:val="en-US"/>
        </w:rPr>
        <w:instrText>Evangelos</w:instrText>
      </w:r>
      <w:r w:rsidR="00500F37" w:rsidRPr="000C68DB">
        <w:rPr>
          <w:szCs w:val="24"/>
        </w:rPr>
        <w:instrText>","</w:instrText>
      </w:r>
      <w:r w:rsidR="00500F37">
        <w:rPr>
          <w:szCs w:val="24"/>
          <w:lang w:val="en-US"/>
        </w:rPr>
        <w:instrText>non</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parse</w:instrText>
      </w:r>
      <w:r w:rsidR="00500F37" w:rsidRPr="000C68DB">
        <w:rPr>
          <w:szCs w:val="24"/>
        </w:rPr>
        <w:instrText>-</w:instrText>
      </w:r>
      <w:r w:rsidR="00500F37">
        <w:rPr>
          <w:szCs w:val="24"/>
          <w:lang w:val="en-US"/>
        </w:rPr>
        <w:instrText>names</w:instrText>
      </w:r>
      <w:r w:rsidR="00500F37" w:rsidRPr="000C68DB">
        <w:rPr>
          <w:szCs w:val="24"/>
        </w:rPr>
        <w:instrText>":</w:instrText>
      </w:r>
      <w:r w:rsidR="00500F37">
        <w:rPr>
          <w:szCs w:val="24"/>
          <w:lang w:val="en-US"/>
        </w:rPr>
        <w:instrText>false</w:instrText>
      </w:r>
      <w:r w:rsidR="00500F37" w:rsidRPr="000C68DB">
        <w:rPr>
          <w:szCs w:val="24"/>
        </w:rPr>
        <w:instrText>,"</w:instrText>
      </w:r>
      <w:r w:rsidR="00500F37">
        <w:rPr>
          <w:szCs w:val="24"/>
          <w:lang w:val="en-US"/>
        </w:rPr>
        <w:instrText>suffix</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family</w:instrText>
      </w:r>
      <w:r w:rsidR="00500F37" w:rsidRPr="000C68DB">
        <w:rPr>
          <w:szCs w:val="24"/>
        </w:rPr>
        <w:instrText>":"</w:instrText>
      </w:r>
      <w:r w:rsidR="00500F37">
        <w:rPr>
          <w:szCs w:val="24"/>
          <w:lang w:val="en-US"/>
        </w:rPr>
        <w:instrText>Chanan</w:instrText>
      </w:r>
      <w:r w:rsidR="00500F37" w:rsidRPr="000C68DB">
        <w:rPr>
          <w:szCs w:val="24"/>
        </w:rPr>
        <w:instrText>-</w:instrText>
      </w:r>
      <w:r w:rsidR="00500F37">
        <w:rPr>
          <w:szCs w:val="24"/>
          <w:lang w:val="en-US"/>
        </w:rPr>
        <w:instrText>Khan</w:instrText>
      </w:r>
      <w:r w:rsidR="00500F37" w:rsidRPr="000C68DB">
        <w:rPr>
          <w:szCs w:val="24"/>
        </w:rPr>
        <w:instrText>","</w:instrText>
      </w:r>
      <w:r w:rsidR="00500F37">
        <w:rPr>
          <w:szCs w:val="24"/>
          <w:lang w:val="en-US"/>
        </w:rPr>
        <w:instrText>given</w:instrText>
      </w:r>
      <w:r w:rsidR="00500F37" w:rsidRPr="000C68DB">
        <w:rPr>
          <w:szCs w:val="24"/>
        </w:rPr>
        <w:instrText>":"</w:instrText>
      </w:r>
      <w:r w:rsidR="00500F37">
        <w:rPr>
          <w:szCs w:val="24"/>
          <w:lang w:val="en-US"/>
        </w:rPr>
        <w:instrText>Asher</w:instrText>
      </w:r>
      <w:r w:rsidR="00500F37" w:rsidRPr="000C68DB">
        <w:rPr>
          <w:szCs w:val="24"/>
        </w:rPr>
        <w:instrText>","</w:instrText>
      </w:r>
      <w:r w:rsidR="00500F37">
        <w:rPr>
          <w:szCs w:val="24"/>
          <w:lang w:val="en-US"/>
        </w:rPr>
        <w:instrText>non</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parse</w:instrText>
      </w:r>
      <w:r w:rsidR="00500F37" w:rsidRPr="000C68DB">
        <w:rPr>
          <w:szCs w:val="24"/>
        </w:rPr>
        <w:instrText>-</w:instrText>
      </w:r>
      <w:r w:rsidR="00500F37">
        <w:rPr>
          <w:szCs w:val="24"/>
          <w:lang w:val="en-US"/>
        </w:rPr>
        <w:instrText>names</w:instrText>
      </w:r>
      <w:r w:rsidR="00500F37" w:rsidRPr="000C68DB">
        <w:rPr>
          <w:szCs w:val="24"/>
        </w:rPr>
        <w:instrText>":</w:instrText>
      </w:r>
      <w:r w:rsidR="00500F37">
        <w:rPr>
          <w:szCs w:val="24"/>
          <w:lang w:val="en-US"/>
        </w:rPr>
        <w:instrText>false</w:instrText>
      </w:r>
      <w:r w:rsidR="00500F37" w:rsidRPr="000C68DB">
        <w:rPr>
          <w:szCs w:val="24"/>
        </w:rPr>
        <w:instrText>,"</w:instrText>
      </w:r>
      <w:r w:rsidR="00500F37">
        <w:rPr>
          <w:szCs w:val="24"/>
          <w:lang w:val="en-US"/>
        </w:rPr>
        <w:instrText>suffix</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family</w:instrText>
      </w:r>
      <w:r w:rsidR="00500F37" w:rsidRPr="000C68DB">
        <w:rPr>
          <w:szCs w:val="24"/>
        </w:rPr>
        <w:instrText>":"</w:instrText>
      </w:r>
      <w:r w:rsidR="00500F37">
        <w:rPr>
          <w:szCs w:val="24"/>
          <w:lang w:val="en-US"/>
        </w:rPr>
        <w:instrText>Leung</w:instrText>
      </w:r>
      <w:r w:rsidR="00500F37" w:rsidRPr="000C68DB">
        <w:rPr>
          <w:szCs w:val="24"/>
        </w:rPr>
        <w:instrText>","</w:instrText>
      </w:r>
      <w:r w:rsidR="00500F37">
        <w:rPr>
          <w:szCs w:val="24"/>
          <w:lang w:val="en-US"/>
        </w:rPr>
        <w:instrText>given</w:instrText>
      </w:r>
      <w:r w:rsidR="00500F37" w:rsidRPr="000C68DB">
        <w:rPr>
          <w:szCs w:val="24"/>
        </w:rPr>
        <w:instrText>":"</w:instrText>
      </w:r>
      <w:r w:rsidR="00500F37">
        <w:rPr>
          <w:szCs w:val="24"/>
          <w:lang w:val="en-US"/>
        </w:rPr>
        <w:instrText>Nelson</w:instrText>
      </w:r>
      <w:r w:rsidR="00500F37" w:rsidRPr="000C68DB">
        <w:rPr>
          <w:szCs w:val="24"/>
        </w:rPr>
        <w:instrText>","</w:instrText>
      </w:r>
      <w:r w:rsidR="00500F37">
        <w:rPr>
          <w:szCs w:val="24"/>
          <w:lang w:val="en-US"/>
        </w:rPr>
        <w:instrText>non</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parse</w:instrText>
      </w:r>
      <w:r w:rsidR="00500F37" w:rsidRPr="000C68DB">
        <w:rPr>
          <w:szCs w:val="24"/>
        </w:rPr>
        <w:instrText>-</w:instrText>
      </w:r>
      <w:r w:rsidR="00500F37">
        <w:rPr>
          <w:szCs w:val="24"/>
          <w:lang w:val="en-US"/>
        </w:rPr>
        <w:instrText>names</w:instrText>
      </w:r>
      <w:r w:rsidR="00500F37" w:rsidRPr="000C68DB">
        <w:rPr>
          <w:szCs w:val="24"/>
        </w:rPr>
        <w:instrText>":</w:instrText>
      </w:r>
      <w:r w:rsidR="00500F37">
        <w:rPr>
          <w:szCs w:val="24"/>
          <w:lang w:val="en-US"/>
        </w:rPr>
        <w:instrText>false</w:instrText>
      </w:r>
      <w:r w:rsidR="00500F37" w:rsidRPr="000C68DB">
        <w:rPr>
          <w:szCs w:val="24"/>
        </w:rPr>
        <w:instrText>,"</w:instrText>
      </w:r>
      <w:r w:rsidR="00500F37">
        <w:rPr>
          <w:szCs w:val="24"/>
          <w:lang w:val="en-US"/>
        </w:rPr>
        <w:instrText>suffix</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family</w:instrText>
      </w:r>
      <w:r w:rsidR="00500F37" w:rsidRPr="000C68DB">
        <w:rPr>
          <w:szCs w:val="24"/>
        </w:rPr>
        <w:instrText>":"</w:instrText>
      </w:r>
      <w:r w:rsidR="00500F37">
        <w:rPr>
          <w:szCs w:val="24"/>
          <w:lang w:val="en-US"/>
        </w:rPr>
        <w:instrText>Ludwig</w:instrText>
      </w:r>
      <w:r w:rsidR="00500F37" w:rsidRPr="000C68DB">
        <w:rPr>
          <w:szCs w:val="24"/>
        </w:rPr>
        <w:instrText>","</w:instrText>
      </w:r>
      <w:r w:rsidR="00500F37">
        <w:rPr>
          <w:szCs w:val="24"/>
          <w:lang w:val="en-US"/>
        </w:rPr>
        <w:instrText>given</w:instrText>
      </w:r>
      <w:r w:rsidR="00500F37" w:rsidRPr="000C68DB">
        <w:rPr>
          <w:szCs w:val="24"/>
        </w:rPr>
        <w:instrText>":"</w:instrText>
      </w:r>
      <w:r w:rsidR="00500F37">
        <w:rPr>
          <w:szCs w:val="24"/>
          <w:lang w:val="en-US"/>
        </w:rPr>
        <w:instrText>Heinz</w:instrText>
      </w:r>
      <w:r w:rsidR="00500F37" w:rsidRPr="000C68DB">
        <w:rPr>
          <w:szCs w:val="24"/>
        </w:rPr>
        <w:instrText>","</w:instrText>
      </w:r>
      <w:r w:rsidR="00500F37">
        <w:rPr>
          <w:szCs w:val="24"/>
          <w:lang w:val="en-US"/>
        </w:rPr>
        <w:instrText>non</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parse</w:instrText>
      </w:r>
      <w:r w:rsidR="00500F37" w:rsidRPr="000C68DB">
        <w:rPr>
          <w:szCs w:val="24"/>
        </w:rPr>
        <w:instrText>-</w:instrText>
      </w:r>
      <w:r w:rsidR="00500F37">
        <w:rPr>
          <w:szCs w:val="24"/>
          <w:lang w:val="en-US"/>
        </w:rPr>
        <w:instrText>names</w:instrText>
      </w:r>
      <w:r w:rsidR="00500F37" w:rsidRPr="000C68DB">
        <w:rPr>
          <w:szCs w:val="24"/>
        </w:rPr>
        <w:instrText>":</w:instrText>
      </w:r>
      <w:r w:rsidR="00500F37">
        <w:rPr>
          <w:szCs w:val="24"/>
          <w:lang w:val="en-US"/>
        </w:rPr>
        <w:instrText>false</w:instrText>
      </w:r>
      <w:r w:rsidR="00500F37" w:rsidRPr="000C68DB">
        <w:rPr>
          <w:szCs w:val="24"/>
        </w:rPr>
        <w:instrText>,"</w:instrText>
      </w:r>
      <w:r w:rsidR="00500F37">
        <w:rPr>
          <w:szCs w:val="24"/>
          <w:lang w:val="en-US"/>
        </w:rPr>
        <w:instrText>suffix</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family</w:instrText>
      </w:r>
      <w:r w:rsidR="00500F37" w:rsidRPr="000C68DB">
        <w:rPr>
          <w:szCs w:val="24"/>
        </w:rPr>
        <w:instrText>":"</w:instrText>
      </w:r>
      <w:r w:rsidR="00500F37">
        <w:rPr>
          <w:szCs w:val="24"/>
          <w:lang w:val="en-US"/>
        </w:rPr>
        <w:instrText>Jagannath</w:instrText>
      </w:r>
      <w:r w:rsidR="00500F37" w:rsidRPr="000C68DB">
        <w:rPr>
          <w:szCs w:val="24"/>
        </w:rPr>
        <w:instrText>","</w:instrText>
      </w:r>
      <w:r w:rsidR="00500F37">
        <w:rPr>
          <w:szCs w:val="24"/>
          <w:lang w:val="en-US"/>
        </w:rPr>
        <w:instrText>given</w:instrText>
      </w:r>
      <w:r w:rsidR="00500F37" w:rsidRPr="000C68DB">
        <w:rPr>
          <w:szCs w:val="24"/>
        </w:rPr>
        <w:instrText>":"</w:instrText>
      </w:r>
      <w:r w:rsidR="00500F37">
        <w:rPr>
          <w:szCs w:val="24"/>
          <w:lang w:val="en-US"/>
        </w:rPr>
        <w:instrText>Sundar</w:instrText>
      </w:r>
      <w:r w:rsidR="00500F37" w:rsidRPr="000C68DB">
        <w:rPr>
          <w:szCs w:val="24"/>
        </w:rPr>
        <w:instrText>","</w:instrText>
      </w:r>
      <w:r w:rsidR="00500F37">
        <w:rPr>
          <w:szCs w:val="24"/>
          <w:lang w:val="en-US"/>
        </w:rPr>
        <w:instrText>non</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parse</w:instrText>
      </w:r>
      <w:r w:rsidR="00500F37" w:rsidRPr="000C68DB">
        <w:rPr>
          <w:szCs w:val="24"/>
        </w:rPr>
        <w:instrText>-</w:instrText>
      </w:r>
      <w:r w:rsidR="00500F37">
        <w:rPr>
          <w:szCs w:val="24"/>
          <w:lang w:val="en-US"/>
        </w:rPr>
        <w:instrText>names</w:instrText>
      </w:r>
      <w:r w:rsidR="00500F37" w:rsidRPr="000C68DB">
        <w:rPr>
          <w:szCs w:val="24"/>
        </w:rPr>
        <w:instrText>":</w:instrText>
      </w:r>
      <w:r w:rsidR="00500F37">
        <w:rPr>
          <w:szCs w:val="24"/>
          <w:lang w:val="en-US"/>
        </w:rPr>
        <w:instrText>false</w:instrText>
      </w:r>
      <w:r w:rsidR="00500F37" w:rsidRPr="000C68DB">
        <w:rPr>
          <w:szCs w:val="24"/>
        </w:rPr>
        <w:instrText>,"</w:instrText>
      </w:r>
      <w:r w:rsidR="00500F37">
        <w:rPr>
          <w:szCs w:val="24"/>
          <w:lang w:val="en-US"/>
        </w:rPr>
        <w:instrText>suffix</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family</w:instrText>
      </w:r>
      <w:r w:rsidR="00500F37" w:rsidRPr="000C68DB">
        <w:rPr>
          <w:szCs w:val="24"/>
        </w:rPr>
        <w:instrText>":"</w:instrText>
      </w:r>
      <w:r w:rsidR="00500F37">
        <w:rPr>
          <w:szCs w:val="24"/>
          <w:lang w:val="en-US"/>
        </w:rPr>
        <w:instrText>Niesvizky</w:instrText>
      </w:r>
      <w:r w:rsidR="00500F37" w:rsidRPr="000C68DB">
        <w:rPr>
          <w:szCs w:val="24"/>
        </w:rPr>
        <w:instrText>","</w:instrText>
      </w:r>
      <w:r w:rsidR="00500F37">
        <w:rPr>
          <w:szCs w:val="24"/>
          <w:lang w:val="en-US"/>
        </w:rPr>
        <w:instrText>given</w:instrText>
      </w:r>
      <w:r w:rsidR="00500F37" w:rsidRPr="000C68DB">
        <w:rPr>
          <w:szCs w:val="24"/>
        </w:rPr>
        <w:instrText>":"</w:instrText>
      </w:r>
      <w:r w:rsidR="00500F37">
        <w:rPr>
          <w:szCs w:val="24"/>
          <w:lang w:val="en-US"/>
        </w:rPr>
        <w:instrText>Ruben</w:instrText>
      </w:r>
      <w:r w:rsidR="00500F37" w:rsidRPr="000C68DB">
        <w:rPr>
          <w:szCs w:val="24"/>
        </w:rPr>
        <w:instrText>","</w:instrText>
      </w:r>
      <w:r w:rsidR="00500F37">
        <w:rPr>
          <w:szCs w:val="24"/>
          <w:lang w:val="en-US"/>
        </w:rPr>
        <w:instrText>non</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parse</w:instrText>
      </w:r>
      <w:r w:rsidR="00500F37" w:rsidRPr="000C68DB">
        <w:rPr>
          <w:szCs w:val="24"/>
        </w:rPr>
        <w:instrText>-</w:instrText>
      </w:r>
      <w:r w:rsidR="00500F37">
        <w:rPr>
          <w:szCs w:val="24"/>
          <w:lang w:val="en-US"/>
        </w:rPr>
        <w:instrText>names</w:instrText>
      </w:r>
      <w:r w:rsidR="00500F37" w:rsidRPr="000C68DB">
        <w:rPr>
          <w:szCs w:val="24"/>
        </w:rPr>
        <w:instrText>":</w:instrText>
      </w:r>
      <w:r w:rsidR="00500F37">
        <w:rPr>
          <w:szCs w:val="24"/>
          <w:lang w:val="en-US"/>
        </w:rPr>
        <w:instrText>false</w:instrText>
      </w:r>
      <w:r w:rsidR="00500F37" w:rsidRPr="000C68DB">
        <w:rPr>
          <w:szCs w:val="24"/>
        </w:rPr>
        <w:instrText>,"</w:instrText>
      </w:r>
      <w:r w:rsidR="00500F37">
        <w:rPr>
          <w:szCs w:val="24"/>
          <w:lang w:val="en-US"/>
        </w:rPr>
        <w:instrText>suffix</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family</w:instrText>
      </w:r>
      <w:r w:rsidR="00500F37" w:rsidRPr="000C68DB">
        <w:rPr>
          <w:szCs w:val="24"/>
        </w:rPr>
        <w:instrText>":"</w:instrText>
      </w:r>
      <w:r w:rsidR="00500F37">
        <w:rPr>
          <w:szCs w:val="24"/>
          <w:lang w:val="en-US"/>
        </w:rPr>
        <w:instrText>Giralt</w:instrText>
      </w:r>
      <w:r w:rsidR="00500F37" w:rsidRPr="000C68DB">
        <w:rPr>
          <w:szCs w:val="24"/>
        </w:rPr>
        <w:instrText>","</w:instrText>
      </w:r>
      <w:r w:rsidR="00500F37">
        <w:rPr>
          <w:szCs w:val="24"/>
          <w:lang w:val="en-US"/>
        </w:rPr>
        <w:instrText>given</w:instrText>
      </w:r>
      <w:r w:rsidR="00500F37" w:rsidRPr="000C68DB">
        <w:rPr>
          <w:szCs w:val="24"/>
        </w:rPr>
        <w:instrText>":"</w:instrText>
      </w:r>
      <w:r w:rsidR="00500F37">
        <w:rPr>
          <w:szCs w:val="24"/>
          <w:lang w:val="en-US"/>
        </w:rPr>
        <w:instrText>Sergio</w:instrText>
      </w:r>
      <w:r w:rsidR="00500F37" w:rsidRPr="000C68DB">
        <w:rPr>
          <w:szCs w:val="24"/>
        </w:rPr>
        <w:instrText>","</w:instrText>
      </w:r>
      <w:r w:rsidR="00500F37">
        <w:rPr>
          <w:szCs w:val="24"/>
          <w:lang w:val="en-US"/>
        </w:rPr>
        <w:instrText>non</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parse</w:instrText>
      </w:r>
      <w:r w:rsidR="00500F37" w:rsidRPr="000C68DB">
        <w:rPr>
          <w:szCs w:val="24"/>
        </w:rPr>
        <w:instrText>-</w:instrText>
      </w:r>
      <w:r w:rsidR="00500F37">
        <w:rPr>
          <w:szCs w:val="24"/>
          <w:lang w:val="en-US"/>
        </w:rPr>
        <w:instrText>names</w:instrText>
      </w:r>
      <w:r w:rsidR="00500F37" w:rsidRPr="000C68DB">
        <w:rPr>
          <w:szCs w:val="24"/>
        </w:rPr>
        <w:instrText>":</w:instrText>
      </w:r>
      <w:r w:rsidR="00500F37">
        <w:rPr>
          <w:szCs w:val="24"/>
          <w:lang w:val="en-US"/>
        </w:rPr>
        <w:instrText>false</w:instrText>
      </w:r>
      <w:r w:rsidR="00500F37" w:rsidRPr="000C68DB">
        <w:rPr>
          <w:szCs w:val="24"/>
        </w:rPr>
        <w:instrText>,"</w:instrText>
      </w:r>
      <w:r w:rsidR="00500F37">
        <w:rPr>
          <w:szCs w:val="24"/>
          <w:lang w:val="en-US"/>
        </w:rPr>
        <w:instrText>suffix</w:instrText>
      </w:r>
      <w:r w:rsidR="00500F37" w:rsidRPr="000C68DB">
        <w:rPr>
          <w:szCs w:val="24"/>
        </w:rPr>
        <w:instrText>":""},{"</w:instrText>
      </w:r>
      <w:r w:rsidR="00500F37">
        <w:rPr>
          <w:szCs w:val="24"/>
          <w:lang w:val="en-US"/>
        </w:rPr>
        <w:instrText>dropping</w:instrText>
      </w:r>
      <w:r w:rsidR="00500F37" w:rsidRPr="000C68DB">
        <w:rPr>
          <w:szCs w:val="24"/>
        </w:rPr>
        <w:instrText>-</w:instrText>
      </w:r>
      <w:r w:rsidR="00500F37">
        <w:rPr>
          <w:szCs w:val="24"/>
          <w:lang w:val="en-US"/>
        </w:rPr>
        <w:instrText>particle</w:instrText>
      </w:r>
      <w:r w:rsidR="00500F37" w:rsidRPr="000C68DB">
        <w:rPr>
          <w:szCs w:val="24"/>
        </w:rPr>
        <w:instrText>":"","</w:instrText>
      </w:r>
      <w:r w:rsidR="00500F37">
        <w:rPr>
          <w:szCs w:val="24"/>
          <w:lang w:val="en-US"/>
        </w:rPr>
        <w:instrText>family</w:instrText>
      </w:r>
      <w:r w:rsidR="00500F37" w:rsidRPr="000C68DB">
        <w:rPr>
          <w:szCs w:val="24"/>
        </w:rPr>
        <w:instrText>":"</w:instrText>
      </w:r>
      <w:r w:rsidR="00500F37">
        <w:rPr>
          <w:szCs w:val="24"/>
          <w:lang w:val="en-US"/>
        </w:rPr>
        <w:instrText>Fermand</w:instrText>
      </w:r>
      <w:r w:rsidR="00500F37" w:rsidRPr="000C68DB">
        <w:rPr>
          <w:szCs w:val="24"/>
        </w:rPr>
        <w:instrText>","</w:instrText>
      </w:r>
      <w:r w:rsidR="00500F37">
        <w:rPr>
          <w:szCs w:val="24"/>
          <w:lang w:val="en-US"/>
        </w:rPr>
        <w:instrText>given</w:instrText>
      </w:r>
      <w:r w:rsidR="00500F37" w:rsidRPr="000C68DB">
        <w:rPr>
          <w:szCs w:val="24"/>
        </w:rPr>
        <w:instrText>":"</w:instrText>
      </w:r>
      <w:r w:rsidR="00500F37">
        <w:rPr>
          <w:szCs w:val="24"/>
          <w:lang w:val="en-US"/>
        </w:rPr>
        <w:instrText>Jean</w:instrText>
      </w:r>
      <w:r w:rsidR="00500F37" w:rsidRPr="000C68DB">
        <w:rPr>
          <w:szCs w:val="24"/>
        </w:rPr>
        <w:instrText xml:space="preserve"> </w:instrText>
      </w:r>
      <w:r w:rsidR="00500F37">
        <w:rPr>
          <w:szCs w:val="24"/>
          <w:lang w:val="en-US"/>
        </w:rPr>
        <w:instrText>Paul","non-dropping-particle":"","parse-names":false,"suffix":""},{"dropping-particle":"","family":"Bladé","given":"Joan","non-dropping-particle":"","parse-names":false,"suffix":""},{"dropping-particle":"","family":"Comenzo","given":"Raymond L.","non-dropping-particle":"","parse-names":false,"suffix":""},{"dropping-particle":"","family":"Sezer","given":"Orhan","non-dropping-particle":"","parse-names":false,"suffix":""},{"dropping-particle":"","family":"Palumbo","given":"Antonio","non-dropping-particle":"","parse-names":false,"suffix":""},{"dropping-particle":"","family":"Harousseau","given":"Jean Luc","non-dropping-particle":"","parse-names":false,"suffix":""},{"dropping-particle":"","family":"Richardson","given":"Paul G.","non-dropping-particle":"","parse-names":false,"suffix":""},{"dropping-particle":"","family":"Barlogie","given":"Bart","non-dropping-particle":"","parse-names":false,"suffix":""},{"dropping-particle":"","family":"Anderson</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Kenneth</w:instrText>
      </w:r>
      <w:r w:rsidR="00500F37" w:rsidRPr="00500F37">
        <w:rPr>
          <w:szCs w:val="24"/>
        </w:rPr>
        <w:instrText xml:space="preserve"> </w:instrText>
      </w:r>
      <w:r w:rsidR="00500F37">
        <w:rPr>
          <w:szCs w:val="24"/>
          <w:lang w:val="en-US"/>
        </w:rPr>
        <w:instrText>C</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Sonneveld</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Pieter</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Tosi</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Patrizia</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Cavo</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Michele</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Rajkumar</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S</w:instrText>
      </w:r>
      <w:r w:rsidR="00500F37" w:rsidRPr="00500F37">
        <w:rPr>
          <w:szCs w:val="24"/>
        </w:rPr>
        <w:instrText xml:space="preserve">. </w:instrText>
      </w:r>
      <w:r w:rsidR="00500F37">
        <w:rPr>
          <w:szCs w:val="24"/>
          <w:lang w:val="en-US"/>
        </w:rPr>
        <w:instrText>Vincent</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Durie</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Brian</w:instrText>
      </w:r>
      <w:r w:rsidR="00500F37" w:rsidRPr="00500F37">
        <w:rPr>
          <w:szCs w:val="24"/>
        </w:rPr>
        <w:instrText xml:space="preserve"> </w:instrText>
      </w:r>
      <w:r w:rsidR="00500F37">
        <w:rPr>
          <w:szCs w:val="24"/>
          <w:lang w:val="en-US"/>
        </w:rPr>
        <w:instrText>G</w:instrText>
      </w:r>
      <w:r w:rsidR="00500F37" w:rsidRPr="00500F37">
        <w:rPr>
          <w:szCs w:val="24"/>
        </w:rPr>
        <w:instrText>.</w:instrText>
      </w:r>
      <w:r w:rsidR="00500F37">
        <w:rPr>
          <w:szCs w:val="24"/>
          <w:lang w:val="en-US"/>
        </w:rPr>
        <w:instrText>M</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San</w:instrText>
      </w:r>
      <w:r w:rsidR="00500F37" w:rsidRPr="00500F37">
        <w:rPr>
          <w:szCs w:val="24"/>
        </w:rPr>
        <w:instrText xml:space="preserve"> </w:instrText>
      </w:r>
      <w:r w:rsidR="00500F37">
        <w:rPr>
          <w:szCs w:val="24"/>
          <w:lang w:val="en-US"/>
        </w:rPr>
        <w:instrText>Miguel</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J</w:instrText>
      </w:r>
      <w:r w:rsidR="00500F37" w:rsidRPr="00500F37">
        <w:rPr>
          <w:szCs w:val="24"/>
        </w:rPr>
        <w:instrText>é</w:instrText>
      </w:r>
      <w:r w:rsidR="00500F37">
        <w:rPr>
          <w:szCs w:val="24"/>
          <w:lang w:val="en-US"/>
        </w:rPr>
        <w:instrText>sus</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container</w:instrText>
      </w:r>
      <w:r w:rsidR="00500F37" w:rsidRPr="00500F37">
        <w:rPr>
          <w:szCs w:val="24"/>
        </w:rPr>
        <w:instrText>-</w:instrText>
      </w:r>
      <w:r w:rsidR="00500F37">
        <w:rPr>
          <w:szCs w:val="24"/>
          <w:lang w:val="en-US"/>
        </w:rPr>
        <w:instrText>title</w:instrText>
      </w:r>
      <w:r w:rsidR="00500F37" w:rsidRPr="00500F37">
        <w:rPr>
          <w:szCs w:val="24"/>
        </w:rPr>
        <w:instrText>":"</w:instrText>
      </w:r>
      <w:r w:rsidR="00500F37">
        <w:rPr>
          <w:szCs w:val="24"/>
          <w:lang w:val="en-US"/>
        </w:rPr>
        <w:instrText>Journal</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Clinical</w:instrText>
      </w:r>
      <w:r w:rsidR="00500F37" w:rsidRPr="00500F37">
        <w:rPr>
          <w:szCs w:val="24"/>
        </w:rPr>
        <w:instrText xml:space="preserve"> </w:instrText>
      </w:r>
      <w:r w:rsidR="00500F37">
        <w:rPr>
          <w:szCs w:val="24"/>
          <w:lang w:val="en-US"/>
        </w:rPr>
        <w:instrText>Oncology</w:instrText>
      </w:r>
      <w:r w:rsidR="00500F37" w:rsidRPr="00500F37">
        <w:rPr>
          <w:szCs w:val="24"/>
        </w:rPr>
        <w:instrText>","</w:instrText>
      </w:r>
      <w:r w:rsidR="00500F37">
        <w:rPr>
          <w:szCs w:val="24"/>
          <w:lang w:val="en-US"/>
        </w:rPr>
        <w:instrText>id</w:instrText>
      </w:r>
      <w:r w:rsidR="00500F37" w:rsidRPr="00500F37">
        <w:rPr>
          <w:szCs w:val="24"/>
        </w:rPr>
        <w:instrText>":"</w:instrText>
      </w:r>
      <w:r w:rsidR="00500F37">
        <w:rPr>
          <w:szCs w:val="24"/>
          <w:lang w:val="en-US"/>
        </w:rPr>
        <w:instrText>ITEM</w:instrText>
      </w:r>
      <w:r w:rsidR="00500F37" w:rsidRPr="00500F37">
        <w:rPr>
          <w:szCs w:val="24"/>
        </w:rPr>
        <w:instrText>-1","</w:instrText>
      </w:r>
      <w:r w:rsidR="00500F37">
        <w:rPr>
          <w:szCs w:val="24"/>
          <w:lang w:val="en-US"/>
        </w:rPr>
        <w:instrText>issue</w:instrText>
      </w:r>
      <w:r w:rsidR="00500F37" w:rsidRPr="00500F37">
        <w:rPr>
          <w:szCs w:val="24"/>
        </w:rPr>
        <w:instrText>":"33","</w:instrText>
      </w:r>
      <w:r w:rsidR="00500F37">
        <w:rPr>
          <w:szCs w:val="24"/>
          <w:lang w:val="en-US"/>
        </w:rPr>
        <w:instrText>issued</w:instrText>
      </w:r>
      <w:r w:rsidR="00500F37" w:rsidRPr="00500F37">
        <w:rPr>
          <w:szCs w:val="24"/>
        </w:rPr>
        <w:instrText>":{"</w:instrText>
      </w:r>
      <w:r w:rsidR="00500F37">
        <w:rPr>
          <w:szCs w:val="24"/>
          <w:lang w:val="en-US"/>
        </w:rPr>
        <w:instrText>date</w:instrText>
      </w:r>
      <w:r w:rsidR="00500F37" w:rsidRPr="00500F37">
        <w:rPr>
          <w:szCs w:val="24"/>
        </w:rPr>
        <w:instrText>-</w:instrText>
      </w:r>
      <w:r w:rsidR="00500F37">
        <w:rPr>
          <w:szCs w:val="24"/>
          <w:lang w:val="en-US"/>
        </w:rPr>
        <w:instrText>parts</w:instrText>
      </w:r>
      <w:r w:rsidR="00500F37" w:rsidRPr="00500F37">
        <w:rPr>
          <w:szCs w:val="24"/>
        </w:rPr>
        <w:instrText>":[["2010","11"]]},"</w:instrText>
      </w:r>
      <w:r w:rsidR="00500F37">
        <w:rPr>
          <w:szCs w:val="24"/>
          <w:lang w:val="en-US"/>
        </w:rPr>
        <w:instrText>page</w:instrText>
      </w:r>
      <w:r w:rsidR="00500F37" w:rsidRPr="00500F37">
        <w:rPr>
          <w:szCs w:val="24"/>
        </w:rPr>
        <w:instrText>":"4976-4984","</w:instrText>
      </w:r>
      <w:r w:rsidR="00500F37">
        <w:rPr>
          <w:szCs w:val="24"/>
          <w:lang w:val="en-US"/>
        </w:rPr>
        <w:instrText>publisher</w:instrText>
      </w:r>
      <w:r w:rsidR="00500F37" w:rsidRPr="00500F37">
        <w:rPr>
          <w:szCs w:val="24"/>
        </w:rPr>
        <w:instrText xml:space="preserve">":" </w:instrText>
      </w:r>
      <w:r w:rsidR="00500F37">
        <w:rPr>
          <w:szCs w:val="24"/>
          <w:lang w:val="en-US"/>
        </w:rPr>
        <w:instrText>American</w:instrText>
      </w:r>
      <w:r w:rsidR="00500F37" w:rsidRPr="00500F37">
        <w:rPr>
          <w:szCs w:val="24"/>
        </w:rPr>
        <w:instrText xml:space="preserve"> </w:instrText>
      </w:r>
      <w:r w:rsidR="00500F37">
        <w:rPr>
          <w:szCs w:val="24"/>
          <w:lang w:val="en-US"/>
        </w:rPr>
        <w:instrText>Society</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Clinical</w:instrText>
      </w:r>
      <w:r w:rsidR="00500F37" w:rsidRPr="00500F37">
        <w:rPr>
          <w:szCs w:val="24"/>
        </w:rPr>
        <w:instrText xml:space="preserve"> </w:instrText>
      </w:r>
      <w:r w:rsidR="00500F37">
        <w:rPr>
          <w:szCs w:val="24"/>
          <w:lang w:val="en-US"/>
        </w:rPr>
        <w:instrText>Oncology</w:instrText>
      </w:r>
      <w:r w:rsidR="00500F37" w:rsidRPr="00500F37">
        <w:rPr>
          <w:szCs w:val="24"/>
        </w:rPr>
        <w:instrText xml:space="preserve"> ","</w:instrText>
      </w:r>
      <w:r w:rsidR="00500F37">
        <w:rPr>
          <w:szCs w:val="24"/>
          <w:lang w:val="en-US"/>
        </w:rPr>
        <w:instrText>title</w:instrText>
      </w:r>
      <w:r w:rsidR="00500F37" w:rsidRPr="00500F37">
        <w:rPr>
          <w:szCs w:val="24"/>
        </w:rPr>
        <w:instrText>":"</w:instrText>
      </w:r>
      <w:r w:rsidR="00500F37">
        <w:rPr>
          <w:szCs w:val="24"/>
          <w:lang w:val="en-US"/>
        </w:rPr>
        <w:instrText>Renal</w:instrText>
      </w:r>
      <w:r w:rsidR="00500F37" w:rsidRPr="00500F37">
        <w:rPr>
          <w:szCs w:val="24"/>
        </w:rPr>
        <w:instrText xml:space="preserve"> </w:instrText>
      </w:r>
      <w:r w:rsidR="00500F37">
        <w:rPr>
          <w:szCs w:val="24"/>
          <w:lang w:val="en-US"/>
        </w:rPr>
        <w:instrText>impairment</w:instrText>
      </w:r>
      <w:r w:rsidR="00500F37" w:rsidRPr="00500F37">
        <w:rPr>
          <w:szCs w:val="24"/>
        </w:rPr>
        <w:instrText xml:space="preserve"> </w:instrText>
      </w:r>
      <w:r w:rsidR="00500F37">
        <w:rPr>
          <w:szCs w:val="24"/>
          <w:lang w:val="en-US"/>
        </w:rPr>
        <w:instrText>in</w:instrText>
      </w:r>
      <w:r w:rsidR="00500F37" w:rsidRPr="00500F37">
        <w:rPr>
          <w:szCs w:val="24"/>
        </w:rPr>
        <w:instrText xml:space="preserve"> </w:instrText>
      </w:r>
      <w:r w:rsidR="00500F37">
        <w:rPr>
          <w:szCs w:val="24"/>
          <w:lang w:val="en-US"/>
        </w:rPr>
        <w:instrText>patients</w:instrText>
      </w:r>
      <w:r w:rsidR="00500F37" w:rsidRPr="00500F37">
        <w:rPr>
          <w:szCs w:val="24"/>
        </w:rPr>
        <w:instrText xml:space="preserve"> </w:instrText>
      </w:r>
      <w:r w:rsidR="00500F37">
        <w:rPr>
          <w:szCs w:val="24"/>
          <w:lang w:val="en-US"/>
        </w:rPr>
        <w:instrText>with</w:instrText>
      </w:r>
      <w:r w:rsidR="00500F37" w:rsidRPr="00500F37">
        <w:rPr>
          <w:szCs w:val="24"/>
        </w:rPr>
        <w:instrText xml:space="preserve"> </w:instrText>
      </w:r>
      <w:r w:rsidR="00500F37">
        <w:rPr>
          <w:szCs w:val="24"/>
          <w:lang w:val="en-US"/>
        </w:rPr>
        <w:instrText>multiple</w:instrText>
      </w:r>
      <w:r w:rsidR="00500F37" w:rsidRPr="00500F37">
        <w:rPr>
          <w:szCs w:val="24"/>
        </w:rPr>
        <w:instrText xml:space="preserve"> </w:instrText>
      </w:r>
      <w:r w:rsidR="00500F37">
        <w:rPr>
          <w:szCs w:val="24"/>
          <w:lang w:val="en-US"/>
        </w:rPr>
        <w:instrText>myeloma</w:instrText>
      </w:r>
      <w:r w:rsidR="00500F37" w:rsidRPr="00500F37">
        <w:rPr>
          <w:szCs w:val="24"/>
        </w:rPr>
        <w:instrText xml:space="preserve">: </w:instrText>
      </w:r>
      <w:r w:rsidR="00500F37">
        <w:rPr>
          <w:szCs w:val="24"/>
          <w:lang w:val="en-US"/>
        </w:rPr>
        <w:instrText>A</w:instrText>
      </w:r>
      <w:r w:rsidR="00500F37" w:rsidRPr="00500F37">
        <w:rPr>
          <w:szCs w:val="24"/>
        </w:rPr>
        <w:instrText xml:space="preserve"> </w:instrText>
      </w:r>
      <w:r w:rsidR="00500F37">
        <w:rPr>
          <w:szCs w:val="24"/>
          <w:lang w:val="en-US"/>
        </w:rPr>
        <w:instrText>consensus</w:instrText>
      </w:r>
      <w:r w:rsidR="00500F37" w:rsidRPr="00500F37">
        <w:rPr>
          <w:szCs w:val="24"/>
        </w:rPr>
        <w:instrText xml:space="preserve"> </w:instrText>
      </w:r>
      <w:r w:rsidR="00500F37">
        <w:rPr>
          <w:szCs w:val="24"/>
          <w:lang w:val="en-US"/>
        </w:rPr>
        <w:instrText>statement</w:instrText>
      </w:r>
      <w:r w:rsidR="00500F37" w:rsidRPr="00500F37">
        <w:rPr>
          <w:szCs w:val="24"/>
        </w:rPr>
        <w:instrText xml:space="preserve"> </w:instrText>
      </w:r>
      <w:r w:rsidR="00500F37">
        <w:rPr>
          <w:szCs w:val="24"/>
          <w:lang w:val="en-US"/>
        </w:rPr>
        <w:instrText>on</w:instrText>
      </w:r>
      <w:r w:rsidR="00500F37" w:rsidRPr="00500F37">
        <w:rPr>
          <w:szCs w:val="24"/>
        </w:rPr>
        <w:instrText xml:space="preserve"> </w:instrText>
      </w:r>
      <w:r w:rsidR="00500F37">
        <w:rPr>
          <w:szCs w:val="24"/>
          <w:lang w:val="en-US"/>
        </w:rPr>
        <w:instrText>behalf</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International</w:instrText>
      </w:r>
      <w:r w:rsidR="00500F37" w:rsidRPr="00500F37">
        <w:rPr>
          <w:szCs w:val="24"/>
        </w:rPr>
        <w:instrText xml:space="preserve"> </w:instrText>
      </w:r>
      <w:r w:rsidR="00500F37">
        <w:rPr>
          <w:szCs w:val="24"/>
          <w:lang w:val="en-US"/>
        </w:rPr>
        <w:instrText>Myeloma</w:instrText>
      </w:r>
      <w:r w:rsidR="00500F37" w:rsidRPr="00500F37">
        <w:rPr>
          <w:szCs w:val="24"/>
        </w:rPr>
        <w:instrText xml:space="preserve"> </w:instrText>
      </w:r>
      <w:r w:rsidR="00500F37">
        <w:rPr>
          <w:szCs w:val="24"/>
          <w:lang w:val="en-US"/>
        </w:rPr>
        <w:instrText>Working</w:instrText>
      </w:r>
      <w:r w:rsidR="00500F37" w:rsidRPr="00500F37">
        <w:rPr>
          <w:szCs w:val="24"/>
        </w:rPr>
        <w:instrText xml:space="preserve"> </w:instrText>
      </w:r>
      <w:r w:rsidR="00500F37">
        <w:rPr>
          <w:szCs w:val="24"/>
          <w:lang w:val="en-US"/>
        </w:rPr>
        <w:instrText>Group</w:instrText>
      </w:r>
      <w:r w:rsidR="00500F37" w:rsidRPr="00500F37">
        <w:rPr>
          <w:szCs w:val="24"/>
        </w:rPr>
        <w:instrText>","</w:instrText>
      </w:r>
      <w:r w:rsidR="00500F37">
        <w:rPr>
          <w:szCs w:val="24"/>
          <w:lang w:val="en-US"/>
        </w:rPr>
        <w:instrText>type</w:instrText>
      </w:r>
      <w:r w:rsidR="00500F37" w:rsidRPr="00500F37">
        <w:rPr>
          <w:szCs w:val="24"/>
        </w:rPr>
        <w:instrText>":"</w:instrText>
      </w:r>
      <w:r w:rsidR="00500F37">
        <w:rPr>
          <w:szCs w:val="24"/>
          <w:lang w:val="en-US"/>
        </w:rPr>
        <w:instrText>article</w:instrText>
      </w:r>
      <w:r w:rsidR="00500F37" w:rsidRPr="00500F37">
        <w:rPr>
          <w:szCs w:val="24"/>
        </w:rPr>
        <w:instrText>","</w:instrText>
      </w:r>
      <w:r w:rsidR="00500F37">
        <w:rPr>
          <w:szCs w:val="24"/>
          <w:lang w:val="en-US"/>
        </w:rPr>
        <w:instrText>volume</w:instrText>
      </w:r>
      <w:r w:rsidR="00500F37" w:rsidRPr="00500F37">
        <w:rPr>
          <w:szCs w:val="24"/>
        </w:rPr>
        <w:instrText>":"28"},"</w:instrText>
      </w:r>
      <w:r w:rsidR="00500F37">
        <w:rPr>
          <w:szCs w:val="24"/>
          <w:lang w:val="en-US"/>
        </w:rPr>
        <w:instrText>uris</w:instrText>
      </w:r>
      <w:r w:rsidR="00500F37" w:rsidRPr="00500F37">
        <w:rPr>
          <w:szCs w:val="24"/>
        </w:rPr>
        <w:instrText>":["</w:instrText>
      </w:r>
      <w:r w:rsidR="00500F37">
        <w:rPr>
          <w:szCs w:val="24"/>
          <w:lang w:val="en-US"/>
        </w:rPr>
        <w:instrText>http</w:instrText>
      </w:r>
      <w:r w:rsidR="00500F37" w:rsidRPr="00500F37">
        <w:rPr>
          <w:szCs w:val="24"/>
        </w:rPr>
        <w:instrText>://</w:instrText>
      </w:r>
      <w:r w:rsidR="00500F37">
        <w:rPr>
          <w:szCs w:val="24"/>
          <w:lang w:val="en-US"/>
        </w:rPr>
        <w:instrText>www</w:instrText>
      </w:r>
      <w:r w:rsidR="00500F37" w:rsidRPr="00500F37">
        <w:rPr>
          <w:szCs w:val="24"/>
        </w:rPr>
        <w:instrText>.</w:instrText>
      </w:r>
      <w:r w:rsidR="00500F37">
        <w:rPr>
          <w:szCs w:val="24"/>
          <w:lang w:val="en-US"/>
        </w:rPr>
        <w:instrText>mendeley</w:instrText>
      </w:r>
      <w:r w:rsidR="00500F37" w:rsidRPr="00500F37">
        <w:rPr>
          <w:szCs w:val="24"/>
        </w:rPr>
        <w:instrText>.</w:instrText>
      </w:r>
      <w:r w:rsidR="00500F37">
        <w:rPr>
          <w:szCs w:val="24"/>
          <w:lang w:val="en-US"/>
        </w:rPr>
        <w:instrText>com</w:instrText>
      </w:r>
      <w:r w:rsidR="00500F37" w:rsidRPr="00500F37">
        <w:rPr>
          <w:szCs w:val="24"/>
        </w:rPr>
        <w:instrText>/</w:instrText>
      </w:r>
      <w:r w:rsidR="00500F37">
        <w:rPr>
          <w:szCs w:val="24"/>
          <w:lang w:val="en-US"/>
        </w:rPr>
        <w:instrText>documents</w:instrText>
      </w:r>
      <w:r w:rsidR="00500F37" w:rsidRPr="00500F37">
        <w:rPr>
          <w:szCs w:val="24"/>
        </w:rPr>
        <w:instrText>/?</w:instrText>
      </w:r>
      <w:r w:rsidR="00500F37">
        <w:rPr>
          <w:szCs w:val="24"/>
          <w:lang w:val="en-US"/>
        </w:rPr>
        <w:instrText>uuid</w:instrText>
      </w:r>
      <w:r w:rsidR="00500F37" w:rsidRPr="00500F37">
        <w:rPr>
          <w:szCs w:val="24"/>
        </w:rPr>
        <w:instrText>=31</w:instrText>
      </w:r>
      <w:r w:rsidR="00500F37">
        <w:rPr>
          <w:szCs w:val="24"/>
          <w:lang w:val="en-US"/>
        </w:rPr>
        <w:instrText>ccd</w:instrText>
      </w:r>
      <w:r w:rsidR="00500F37" w:rsidRPr="00500F37">
        <w:rPr>
          <w:szCs w:val="24"/>
        </w:rPr>
        <w:instrText>26</w:instrText>
      </w:r>
      <w:r w:rsidR="00500F37">
        <w:rPr>
          <w:szCs w:val="24"/>
          <w:lang w:val="en-US"/>
        </w:rPr>
        <w:instrText>d</w:instrText>
      </w:r>
      <w:r w:rsidR="00500F37" w:rsidRPr="00500F37">
        <w:rPr>
          <w:szCs w:val="24"/>
        </w:rPr>
        <w:instrText>-0</w:instrText>
      </w:r>
      <w:r w:rsidR="00500F37">
        <w:rPr>
          <w:szCs w:val="24"/>
          <w:lang w:val="en-US"/>
        </w:rPr>
        <w:instrText>b</w:instrText>
      </w:r>
      <w:r w:rsidR="00500F37" w:rsidRPr="00500F37">
        <w:rPr>
          <w:szCs w:val="24"/>
        </w:rPr>
        <w:instrText>3</w:instrText>
      </w:r>
      <w:r w:rsidR="00500F37">
        <w:rPr>
          <w:szCs w:val="24"/>
          <w:lang w:val="en-US"/>
        </w:rPr>
        <w:instrText>e</w:instrText>
      </w:r>
      <w:r w:rsidR="00500F37" w:rsidRPr="00500F37">
        <w:rPr>
          <w:szCs w:val="24"/>
        </w:rPr>
        <w:instrText>-4278-8</w:instrText>
      </w:r>
      <w:r w:rsidR="00500F37">
        <w:rPr>
          <w:szCs w:val="24"/>
          <w:lang w:val="en-US"/>
        </w:rPr>
        <w:instrText>ba</w:instrText>
      </w:r>
      <w:r w:rsidR="00500F37" w:rsidRPr="00500F37">
        <w:rPr>
          <w:szCs w:val="24"/>
        </w:rPr>
        <w:instrText>2-12</w:instrText>
      </w:r>
      <w:r w:rsidR="00500F37">
        <w:rPr>
          <w:szCs w:val="24"/>
          <w:lang w:val="en-US"/>
        </w:rPr>
        <w:instrText>dfa</w:instrText>
      </w:r>
      <w:r w:rsidR="00500F37" w:rsidRPr="00500F37">
        <w:rPr>
          <w:szCs w:val="24"/>
        </w:rPr>
        <w:instrText>37001</w:instrText>
      </w:r>
      <w:r w:rsidR="00500F37">
        <w:rPr>
          <w:szCs w:val="24"/>
          <w:lang w:val="en-US"/>
        </w:rPr>
        <w:instrText>c</w:instrText>
      </w:r>
      <w:r w:rsidR="00500F37" w:rsidRPr="00500F37">
        <w:rPr>
          <w:szCs w:val="24"/>
        </w:rPr>
        <w:instrText>3"]}],"</w:instrText>
      </w:r>
      <w:r w:rsidR="00500F37">
        <w:rPr>
          <w:szCs w:val="24"/>
          <w:lang w:val="en-US"/>
        </w:rPr>
        <w:instrText>mendeley</w:instrText>
      </w:r>
      <w:r w:rsidR="00500F37" w:rsidRPr="00500F37">
        <w:rPr>
          <w:szCs w:val="24"/>
        </w:rPr>
        <w:instrText>":{"</w:instrText>
      </w:r>
      <w:r w:rsidR="00500F37">
        <w:rPr>
          <w:szCs w:val="24"/>
          <w:lang w:val="en-US"/>
        </w:rPr>
        <w:instrText>formattedCitation</w:instrText>
      </w:r>
      <w:r w:rsidR="00500F37" w:rsidRPr="00500F37">
        <w:rPr>
          <w:szCs w:val="24"/>
        </w:rPr>
        <w:instrText>":"[79]","</w:instrText>
      </w:r>
      <w:r w:rsidR="00500F37">
        <w:rPr>
          <w:szCs w:val="24"/>
          <w:lang w:val="en-US"/>
        </w:rPr>
        <w:instrText>plainTextFormattedCitation</w:instrText>
      </w:r>
      <w:r w:rsidR="00500F37" w:rsidRPr="00500F37">
        <w:rPr>
          <w:szCs w:val="24"/>
        </w:rPr>
        <w:instrText>":"[79]","</w:instrText>
      </w:r>
      <w:r w:rsidR="00500F37">
        <w:rPr>
          <w:szCs w:val="24"/>
          <w:lang w:val="en-US"/>
        </w:rPr>
        <w:instrText>previouslyFormattedCitation</w:instrText>
      </w:r>
      <w:r w:rsidR="00500F37" w:rsidRPr="00500F37">
        <w:rPr>
          <w:szCs w:val="24"/>
        </w:rPr>
        <w:instrText>":"[79]"},"</w:instrText>
      </w:r>
      <w:r w:rsidR="00500F37">
        <w:rPr>
          <w:szCs w:val="24"/>
          <w:lang w:val="en-US"/>
        </w:rPr>
        <w:instrText>properties</w:instrText>
      </w:r>
      <w:r w:rsidR="00500F37" w:rsidRPr="00500F37">
        <w:rPr>
          <w:szCs w:val="24"/>
        </w:rPr>
        <w:instrText>":{"</w:instrText>
      </w:r>
      <w:r w:rsidR="00500F37">
        <w:rPr>
          <w:szCs w:val="24"/>
          <w:lang w:val="en-US"/>
        </w:rPr>
        <w:instrText>noteIndex</w:instrText>
      </w:r>
      <w:r w:rsidR="00500F37" w:rsidRPr="00500F37">
        <w:rPr>
          <w:szCs w:val="24"/>
        </w:rPr>
        <w:instrText>":0},"</w:instrText>
      </w:r>
      <w:r w:rsidR="00500F37">
        <w:rPr>
          <w:szCs w:val="24"/>
          <w:lang w:val="en-US"/>
        </w:rPr>
        <w:instrText>schema</w:instrText>
      </w:r>
      <w:r w:rsidR="00500F37" w:rsidRPr="00500F37">
        <w:rPr>
          <w:szCs w:val="24"/>
        </w:rPr>
        <w:instrText>":"</w:instrText>
      </w:r>
      <w:r w:rsidR="00500F37">
        <w:rPr>
          <w:szCs w:val="24"/>
          <w:lang w:val="en-US"/>
        </w:rPr>
        <w:instrText>https</w:instrText>
      </w:r>
      <w:r w:rsidR="00500F37" w:rsidRPr="00500F37">
        <w:rPr>
          <w:szCs w:val="24"/>
        </w:rPr>
        <w:instrText>://</w:instrText>
      </w:r>
      <w:r w:rsidR="00500F37">
        <w:rPr>
          <w:szCs w:val="24"/>
          <w:lang w:val="en-US"/>
        </w:rPr>
        <w:instrText>github</w:instrText>
      </w:r>
      <w:r w:rsidR="00500F37" w:rsidRPr="00500F37">
        <w:rPr>
          <w:szCs w:val="24"/>
        </w:rPr>
        <w:instrText>.</w:instrText>
      </w:r>
      <w:r w:rsidR="00500F37">
        <w:rPr>
          <w:szCs w:val="24"/>
          <w:lang w:val="en-US"/>
        </w:rPr>
        <w:instrText>com</w:instrText>
      </w:r>
      <w:r w:rsidR="00500F37" w:rsidRPr="00500F37">
        <w:rPr>
          <w:szCs w:val="24"/>
        </w:rPr>
        <w:instrText>/</w:instrText>
      </w:r>
      <w:r w:rsidR="00500F37">
        <w:rPr>
          <w:szCs w:val="24"/>
          <w:lang w:val="en-US"/>
        </w:rPr>
        <w:instrText>citation</w:instrText>
      </w:r>
      <w:r w:rsidR="00500F37" w:rsidRPr="00500F37">
        <w:rPr>
          <w:szCs w:val="24"/>
        </w:rPr>
        <w:instrText>-</w:instrText>
      </w:r>
      <w:r w:rsidR="00500F37">
        <w:rPr>
          <w:szCs w:val="24"/>
          <w:lang w:val="en-US"/>
        </w:rPr>
        <w:instrText>style</w:instrText>
      </w:r>
      <w:r w:rsidR="00500F37" w:rsidRPr="00500F37">
        <w:rPr>
          <w:szCs w:val="24"/>
        </w:rPr>
        <w:instrText>-</w:instrText>
      </w:r>
      <w:r w:rsidR="00500F37">
        <w:rPr>
          <w:szCs w:val="24"/>
          <w:lang w:val="en-US"/>
        </w:rPr>
        <w:instrText>language</w:instrText>
      </w:r>
      <w:r w:rsidR="00500F37" w:rsidRPr="00500F37">
        <w:rPr>
          <w:szCs w:val="24"/>
        </w:rPr>
        <w:instrText>/</w:instrText>
      </w:r>
      <w:r w:rsidR="00500F37">
        <w:rPr>
          <w:szCs w:val="24"/>
          <w:lang w:val="en-US"/>
        </w:rPr>
        <w:instrText>schema</w:instrText>
      </w:r>
      <w:r w:rsidR="00500F37" w:rsidRPr="00500F37">
        <w:rPr>
          <w:szCs w:val="24"/>
        </w:rPr>
        <w:instrText>/</w:instrText>
      </w:r>
      <w:r w:rsidR="00500F37">
        <w:rPr>
          <w:szCs w:val="24"/>
          <w:lang w:val="en-US"/>
        </w:rPr>
        <w:instrText>raw</w:instrText>
      </w:r>
      <w:r w:rsidR="00500F37" w:rsidRPr="00500F37">
        <w:rPr>
          <w:szCs w:val="24"/>
        </w:rPr>
        <w:instrText>/</w:instrText>
      </w:r>
      <w:r w:rsidR="00500F37">
        <w:rPr>
          <w:szCs w:val="24"/>
          <w:lang w:val="en-US"/>
        </w:rPr>
        <w:instrText>master</w:instrText>
      </w:r>
      <w:r w:rsidR="00500F37" w:rsidRPr="00500F37">
        <w:rPr>
          <w:szCs w:val="24"/>
        </w:rPr>
        <w:instrText>/</w:instrText>
      </w:r>
      <w:r w:rsidR="00500F37">
        <w:rPr>
          <w:szCs w:val="24"/>
          <w:lang w:val="en-US"/>
        </w:rPr>
        <w:instrText>csl</w:instrText>
      </w:r>
      <w:r w:rsidR="00500F37" w:rsidRPr="00500F37">
        <w:rPr>
          <w:szCs w:val="24"/>
        </w:rPr>
        <w:instrText>-</w:instrText>
      </w:r>
      <w:r w:rsidR="00500F37">
        <w:rPr>
          <w:szCs w:val="24"/>
          <w:lang w:val="en-US"/>
        </w:rPr>
        <w:instrText>citation</w:instrText>
      </w:r>
      <w:r w:rsidR="00500F37" w:rsidRPr="00500F37">
        <w:rPr>
          <w:szCs w:val="24"/>
        </w:rPr>
        <w:instrText>.</w:instrText>
      </w:r>
      <w:r w:rsidR="00500F37">
        <w:rPr>
          <w:szCs w:val="24"/>
          <w:lang w:val="en-US"/>
        </w:rPr>
        <w:instrText>json</w:instrText>
      </w:r>
      <w:r w:rsidR="00500F37" w:rsidRPr="00500F37">
        <w:rPr>
          <w:szCs w:val="24"/>
        </w:rPr>
        <w:instrText>"}</w:instrText>
      </w:r>
      <w:r w:rsidR="00452478" w:rsidRPr="00805C9F">
        <w:rPr>
          <w:szCs w:val="24"/>
        </w:rPr>
        <w:fldChar w:fldCharType="separate"/>
      </w:r>
      <w:r w:rsidR="00C15DA7" w:rsidRPr="00805C9F">
        <w:rPr>
          <w:noProof/>
          <w:szCs w:val="24"/>
        </w:rPr>
        <w:t>[79]</w:t>
      </w:r>
      <w:r w:rsidR="00452478" w:rsidRPr="00805C9F">
        <w:rPr>
          <w:szCs w:val="24"/>
        </w:rPr>
        <w:fldChar w:fldCharType="end"/>
      </w:r>
      <w:r w:rsidR="00B424E0" w:rsidRPr="00805C9F">
        <w:rPr>
          <w:szCs w:val="24"/>
        </w:rPr>
        <w:t xml:space="preserve">: </w:t>
      </w:r>
    </w:p>
    <w:p w14:paraId="53DD6571" w14:textId="77777777" w:rsidR="00B424E0" w:rsidRPr="00805C9F" w:rsidRDefault="00B424E0" w:rsidP="00092917">
      <w:pPr>
        <w:spacing w:before="0" w:after="0"/>
        <w:rPr>
          <w:szCs w:val="24"/>
        </w:rPr>
      </w:pPr>
      <w:r w:rsidRPr="00805C9F">
        <w:rPr>
          <w:szCs w:val="24"/>
        </w:rPr>
        <w:t xml:space="preserve">• определение кислотно-щелочного состояния (наличие и степень выраженности метаболического ацидоза); </w:t>
      </w:r>
    </w:p>
    <w:p w14:paraId="6F8973D1" w14:textId="77777777" w:rsidR="00B424E0" w:rsidRPr="00805C9F" w:rsidRDefault="00B424E0" w:rsidP="00092917">
      <w:pPr>
        <w:spacing w:before="0" w:after="0"/>
        <w:rPr>
          <w:szCs w:val="24"/>
        </w:rPr>
      </w:pPr>
      <w:r w:rsidRPr="00805C9F">
        <w:rPr>
          <w:szCs w:val="24"/>
        </w:rPr>
        <w:t xml:space="preserve">• исследование характера протеинурии (для миеломной нефропатии характерен канальцевый тип протеинурии; при клубочковой и смешанной протеинурии необходимо исключить наличие амилоидоза почек или болезнь депозитов легких цепей). </w:t>
      </w:r>
    </w:p>
    <w:p w14:paraId="072D1BFB" w14:textId="0102E90C" w:rsidR="00B424E0" w:rsidRPr="00805C9F" w:rsidRDefault="0084190C" w:rsidP="00092917">
      <w:pPr>
        <w:spacing w:before="0" w:after="0"/>
        <w:rPr>
          <w:i/>
          <w:szCs w:val="24"/>
        </w:rPr>
      </w:pPr>
      <w:r w:rsidRPr="00805C9F">
        <w:rPr>
          <w:i/>
          <w:szCs w:val="24"/>
        </w:rPr>
        <w:t xml:space="preserve">Комментарий: к общим рекомендациям </w:t>
      </w:r>
      <w:r w:rsidR="00B424E0" w:rsidRPr="00805C9F">
        <w:rPr>
          <w:i/>
          <w:szCs w:val="24"/>
        </w:rPr>
        <w:t xml:space="preserve">по лечению </w:t>
      </w:r>
      <w:r w:rsidRPr="00805C9F">
        <w:rPr>
          <w:i/>
          <w:szCs w:val="24"/>
        </w:rPr>
        <w:t>ММ с почечной недостаточностью отностяся:</w:t>
      </w:r>
    </w:p>
    <w:p w14:paraId="689713D2" w14:textId="77777777" w:rsidR="00B424E0" w:rsidRPr="00805C9F" w:rsidRDefault="00B424E0" w:rsidP="00092917">
      <w:pPr>
        <w:spacing w:before="0" w:after="0"/>
        <w:rPr>
          <w:i/>
          <w:szCs w:val="24"/>
        </w:rPr>
      </w:pPr>
      <w:r w:rsidRPr="00805C9F">
        <w:rPr>
          <w:i/>
          <w:szCs w:val="24"/>
        </w:rPr>
        <w:t xml:space="preserve">• коррекция дегидратации, исключение диуретиков; </w:t>
      </w:r>
    </w:p>
    <w:p w14:paraId="06E03C81" w14:textId="77777777" w:rsidR="00B424E0" w:rsidRPr="00805C9F" w:rsidRDefault="00B424E0" w:rsidP="00092917">
      <w:pPr>
        <w:spacing w:before="0" w:after="0"/>
        <w:rPr>
          <w:i/>
          <w:szCs w:val="24"/>
        </w:rPr>
      </w:pPr>
      <w:r w:rsidRPr="00805C9F">
        <w:rPr>
          <w:i/>
          <w:szCs w:val="24"/>
        </w:rPr>
        <w:t xml:space="preserve">• исключение нефротоксичных препаратов; </w:t>
      </w:r>
    </w:p>
    <w:p w14:paraId="637DD2D7" w14:textId="1EFEF845" w:rsidR="00B424E0" w:rsidRPr="00805C9F" w:rsidRDefault="00B424E0" w:rsidP="00092917">
      <w:pPr>
        <w:spacing w:before="0" w:after="0"/>
        <w:rPr>
          <w:i/>
          <w:szCs w:val="24"/>
        </w:rPr>
      </w:pPr>
      <w:r w:rsidRPr="00805C9F">
        <w:rPr>
          <w:i/>
          <w:szCs w:val="24"/>
        </w:rPr>
        <w:lastRenderedPageBreak/>
        <w:t>• коррекция электролитных нарушений и кислотно-щел</w:t>
      </w:r>
      <w:r w:rsidR="00FA6648" w:rsidRPr="00805C9F">
        <w:rPr>
          <w:i/>
          <w:szCs w:val="24"/>
        </w:rPr>
        <w:t>очного состояния.</w:t>
      </w:r>
    </w:p>
    <w:p w14:paraId="61A63C72" w14:textId="2D8CBE82" w:rsidR="00FA6648" w:rsidRPr="00805C9F" w:rsidRDefault="00FA6648" w:rsidP="00092917">
      <w:pPr>
        <w:spacing w:before="0" w:after="0"/>
        <w:rPr>
          <w:b/>
          <w:szCs w:val="24"/>
        </w:rPr>
      </w:pPr>
      <w:r w:rsidRPr="00805C9F">
        <w:rPr>
          <w:b/>
          <w:szCs w:val="24"/>
        </w:rPr>
        <w:t xml:space="preserve">Уровень убедительности рекомендаций − </w:t>
      </w:r>
      <w:r w:rsidR="008F69F6" w:rsidRPr="00805C9F">
        <w:rPr>
          <w:b/>
          <w:szCs w:val="24"/>
          <w:lang w:val="en-US"/>
        </w:rPr>
        <w:t>C</w:t>
      </w:r>
      <w:r w:rsidRPr="00805C9F">
        <w:rPr>
          <w:b/>
          <w:szCs w:val="24"/>
        </w:rPr>
        <w:t xml:space="preserve"> (уровень достоверности доказательств − </w:t>
      </w:r>
      <w:r w:rsidR="008F69F6" w:rsidRPr="00805C9F">
        <w:rPr>
          <w:b/>
          <w:szCs w:val="24"/>
        </w:rPr>
        <w:t>5</w:t>
      </w:r>
      <w:r w:rsidRPr="00805C9F">
        <w:rPr>
          <w:b/>
          <w:szCs w:val="24"/>
        </w:rPr>
        <w:t>)</w:t>
      </w:r>
    </w:p>
    <w:p w14:paraId="6D0E61DD" w14:textId="3AA5747E" w:rsidR="00B424E0" w:rsidRPr="00805C9F" w:rsidRDefault="0084190C" w:rsidP="00092917">
      <w:pPr>
        <w:pStyle w:val="a6"/>
        <w:numPr>
          <w:ilvl w:val="0"/>
          <w:numId w:val="10"/>
        </w:numPr>
        <w:spacing w:before="0" w:after="0"/>
        <w:ind w:left="0" w:firstLine="0"/>
        <w:rPr>
          <w:szCs w:val="24"/>
        </w:rPr>
      </w:pPr>
      <w:r w:rsidRPr="00805C9F">
        <w:rPr>
          <w:szCs w:val="24"/>
        </w:rPr>
        <w:t xml:space="preserve">Пациентам с ММ, осложненной миеломной нефропатией, </w:t>
      </w:r>
      <w:r w:rsidRPr="00805C9F">
        <w:rPr>
          <w:b/>
          <w:szCs w:val="24"/>
        </w:rPr>
        <w:t xml:space="preserve">рекомендуется </w:t>
      </w:r>
      <w:r w:rsidR="00B424E0" w:rsidRPr="00805C9F">
        <w:rPr>
          <w:szCs w:val="24"/>
        </w:rPr>
        <w:t>оцен</w:t>
      </w:r>
      <w:r w:rsidRPr="00805C9F">
        <w:rPr>
          <w:szCs w:val="24"/>
        </w:rPr>
        <w:t xml:space="preserve">ивать </w:t>
      </w:r>
      <w:r w:rsidR="00B424E0" w:rsidRPr="00805C9F">
        <w:rPr>
          <w:szCs w:val="24"/>
        </w:rPr>
        <w:t>эффективност</w:t>
      </w:r>
      <w:r w:rsidR="000C36E0" w:rsidRPr="00805C9F">
        <w:rPr>
          <w:szCs w:val="24"/>
        </w:rPr>
        <w:t>ь</w:t>
      </w:r>
      <w:r w:rsidR="00B424E0" w:rsidRPr="00805C9F">
        <w:rPr>
          <w:szCs w:val="24"/>
        </w:rPr>
        <w:t xml:space="preserve"> терапии </w:t>
      </w:r>
      <w:r w:rsidRPr="00805C9F">
        <w:rPr>
          <w:szCs w:val="24"/>
        </w:rPr>
        <w:t>с учетом критериев</w:t>
      </w:r>
      <w:r w:rsidR="00B424E0" w:rsidRPr="00805C9F">
        <w:rPr>
          <w:szCs w:val="24"/>
        </w:rPr>
        <w:t xml:space="preserve"> почечного ответа (табл. 7).</w:t>
      </w:r>
    </w:p>
    <w:p w14:paraId="6B451551" w14:textId="1566C6C4" w:rsidR="00B424E0" w:rsidRPr="00805C9F" w:rsidRDefault="00B424E0" w:rsidP="00092917">
      <w:pPr>
        <w:spacing w:before="0" w:after="0"/>
        <w:rPr>
          <w:szCs w:val="24"/>
        </w:rPr>
      </w:pPr>
      <w:r w:rsidRPr="00805C9F">
        <w:rPr>
          <w:b/>
          <w:szCs w:val="24"/>
        </w:rPr>
        <w:t>Таблица 7</w:t>
      </w:r>
      <w:r w:rsidRPr="00805C9F">
        <w:rPr>
          <w:szCs w:val="24"/>
        </w:rPr>
        <w:t>.</w:t>
      </w:r>
      <w:r w:rsidR="00360887" w:rsidRPr="00805C9F">
        <w:rPr>
          <w:szCs w:val="24"/>
        </w:rPr>
        <w:t xml:space="preserve"> </w:t>
      </w:r>
      <w:r w:rsidRPr="00805C9F">
        <w:rPr>
          <w:szCs w:val="24"/>
        </w:rPr>
        <w:t>Критерии почечного ответа на противомиеломную терапию (</w:t>
      </w:r>
      <w:r w:rsidRPr="00805C9F">
        <w:rPr>
          <w:szCs w:val="24"/>
          <w:lang w:val="en-US"/>
        </w:rPr>
        <w:t>IMWG</w:t>
      </w:r>
      <w:r w:rsidRPr="00805C9F">
        <w:rPr>
          <w:szCs w:val="24"/>
        </w:rPr>
        <w:t>)</w:t>
      </w:r>
      <w:r w:rsidR="00452478" w:rsidRPr="00805C9F">
        <w:rPr>
          <w:szCs w:val="24"/>
        </w:rPr>
        <w:t xml:space="preserve"> </w:t>
      </w:r>
      <w:r w:rsidR="00452478" w:rsidRPr="00805C9F">
        <w:rPr>
          <w:szCs w:val="24"/>
        </w:rPr>
        <w:fldChar w:fldCharType="begin" w:fldLock="1"/>
      </w:r>
      <w:r w:rsidR="00500F37">
        <w:rPr>
          <w:szCs w:val="24"/>
          <w:lang w:val="en-US"/>
        </w:rPr>
        <w:instrText>ADDIN</w:instrText>
      </w:r>
      <w:r w:rsidR="00500F37" w:rsidRPr="00500F37">
        <w:rPr>
          <w:szCs w:val="24"/>
        </w:rPr>
        <w:instrText xml:space="preserve"> </w:instrText>
      </w:r>
      <w:r w:rsidR="00500F37">
        <w:rPr>
          <w:szCs w:val="24"/>
          <w:lang w:val="en-US"/>
        </w:rPr>
        <w:instrText>CSL</w:instrText>
      </w:r>
      <w:r w:rsidR="00500F37" w:rsidRPr="00500F37">
        <w:rPr>
          <w:szCs w:val="24"/>
        </w:rPr>
        <w:instrText>_</w:instrText>
      </w:r>
      <w:r w:rsidR="00500F37">
        <w:rPr>
          <w:szCs w:val="24"/>
          <w:lang w:val="en-US"/>
        </w:rPr>
        <w:instrText>CITATION</w:instrText>
      </w:r>
      <w:r w:rsidR="00500F37" w:rsidRPr="00500F37">
        <w:rPr>
          <w:szCs w:val="24"/>
        </w:rPr>
        <w:instrText xml:space="preserve"> {"</w:instrText>
      </w:r>
      <w:r w:rsidR="00500F37">
        <w:rPr>
          <w:szCs w:val="24"/>
          <w:lang w:val="en-US"/>
        </w:rPr>
        <w:instrText>citationItems</w:instrText>
      </w:r>
      <w:r w:rsidR="00500F37" w:rsidRPr="00500F37">
        <w:rPr>
          <w:szCs w:val="24"/>
        </w:rPr>
        <w:instrText>":[{"</w:instrText>
      </w:r>
      <w:r w:rsidR="00500F37">
        <w:rPr>
          <w:szCs w:val="24"/>
          <w:lang w:val="en-US"/>
        </w:rPr>
        <w:instrText>id</w:instrText>
      </w:r>
      <w:r w:rsidR="00500F37" w:rsidRPr="00500F37">
        <w:rPr>
          <w:szCs w:val="24"/>
        </w:rPr>
        <w:instrText>":"</w:instrText>
      </w:r>
      <w:r w:rsidR="00500F37">
        <w:rPr>
          <w:szCs w:val="24"/>
          <w:lang w:val="en-US"/>
        </w:rPr>
        <w:instrText>ITEM</w:instrText>
      </w:r>
      <w:r w:rsidR="00500F37" w:rsidRPr="00500F37">
        <w:rPr>
          <w:szCs w:val="24"/>
        </w:rPr>
        <w:instrText>-1","</w:instrText>
      </w:r>
      <w:r w:rsidR="00500F37">
        <w:rPr>
          <w:szCs w:val="24"/>
          <w:lang w:val="en-US"/>
        </w:rPr>
        <w:instrText>itemData</w:instrText>
      </w:r>
      <w:r w:rsidR="00500F37" w:rsidRPr="00500F37">
        <w:rPr>
          <w:szCs w:val="24"/>
        </w:rPr>
        <w:instrText>":{"</w:instrText>
      </w:r>
      <w:r w:rsidR="00500F37">
        <w:rPr>
          <w:szCs w:val="24"/>
          <w:lang w:val="en-US"/>
        </w:rPr>
        <w:instrText>DOI</w:instrText>
      </w:r>
      <w:r w:rsidR="00500F37" w:rsidRPr="00500F37">
        <w:rPr>
          <w:szCs w:val="24"/>
        </w:rPr>
        <w:instrText>":"10.1200/</w:instrText>
      </w:r>
      <w:r w:rsidR="00500F37">
        <w:rPr>
          <w:szCs w:val="24"/>
          <w:lang w:val="en-US"/>
        </w:rPr>
        <w:instrText>JCO</w:instrText>
      </w:r>
      <w:r w:rsidR="00500F37" w:rsidRPr="00500F37">
        <w:rPr>
          <w:szCs w:val="24"/>
        </w:rPr>
        <w:instrText>.2010.30.8791","</w:instrText>
      </w:r>
      <w:r w:rsidR="00500F37">
        <w:rPr>
          <w:szCs w:val="24"/>
          <w:lang w:val="en-US"/>
        </w:rPr>
        <w:instrText>ISSN</w:instrText>
      </w:r>
      <w:r w:rsidR="00500F37" w:rsidRPr="00500F37">
        <w:rPr>
          <w:szCs w:val="24"/>
        </w:rPr>
        <w:instrText>":"0732183</w:instrText>
      </w:r>
      <w:r w:rsidR="00500F37">
        <w:rPr>
          <w:szCs w:val="24"/>
          <w:lang w:val="en-US"/>
        </w:rPr>
        <w:instrText>X</w:instrText>
      </w:r>
      <w:r w:rsidR="00500F37" w:rsidRPr="00500F37">
        <w:rPr>
          <w:szCs w:val="24"/>
        </w:rPr>
        <w:instrText>","</w:instrText>
      </w:r>
      <w:r w:rsidR="00500F37">
        <w:rPr>
          <w:szCs w:val="24"/>
          <w:lang w:val="en-US"/>
        </w:rPr>
        <w:instrText>PMID</w:instrText>
      </w:r>
      <w:r w:rsidR="00500F37" w:rsidRPr="00500F37">
        <w:rPr>
          <w:szCs w:val="24"/>
        </w:rPr>
        <w:instrText>":"20956629","</w:instrText>
      </w:r>
      <w:r w:rsidR="00500F37">
        <w:rPr>
          <w:szCs w:val="24"/>
          <w:lang w:val="en-US"/>
        </w:rPr>
        <w:instrText>abstract</w:instrText>
      </w:r>
      <w:r w:rsidR="00500F37" w:rsidRPr="00500F37">
        <w:rPr>
          <w:szCs w:val="24"/>
        </w:rPr>
        <w:instrText>":"</w:instrText>
      </w:r>
      <w:r w:rsidR="00500F37">
        <w:rPr>
          <w:szCs w:val="24"/>
          <w:lang w:val="en-US"/>
        </w:rPr>
        <w:instrText>Renal</w:instrText>
      </w:r>
      <w:r w:rsidR="00500F37" w:rsidRPr="00500F37">
        <w:rPr>
          <w:szCs w:val="24"/>
        </w:rPr>
        <w:instrText xml:space="preserve"> </w:instrText>
      </w:r>
      <w:r w:rsidR="00500F37">
        <w:rPr>
          <w:szCs w:val="24"/>
          <w:lang w:val="en-US"/>
        </w:rPr>
        <w:instrText>impairment</w:instrText>
      </w:r>
      <w:r w:rsidR="00500F37" w:rsidRPr="00500F37">
        <w:rPr>
          <w:szCs w:val="24"/>
        </w:rPr>
        <w:instrText xml:space="preserve"> </w:instrText>
      </w:r>
      <w:r w:rsidR="00500F37">
        <w:rPr>
          <w:szCs w:val="24"/>
          <w:lang w:val="en-US"/>
        </w:rPr>
        <w:instrText>is</w:instrText>
      </w:r>
      <w:r w:rsidR="00500F37" w:rsidRPr="00500F37">
        <w:rPr>
          <w:szCs w:val="24"/>
        </w:rPr>
        <w:instrText xml:space="preserve"> </w:instrText>
      </w:r>
      <w:r w:rsidR="00500F37">
        <w:rPr>
          <w:szCs w:val="24"/>
          <w:lang w:val="en-US"/>
        </w:rPr>
        <w:instrText>a</w:instrText>
      </w:r>
      <w:r w:rsidR="00500F37" w:rsidRPr="00500F37">
        <w:rPr>
          <w:szCs w:val="24"/>
        </w:rPr>
        <w:instrText xml:space="preserve"> </w:instrText>
      </w:r>
      <w:r w:rsidR="00500F37">
        <w:rPr>
          <w:szCs w:val="24"/>
          <w:lang w:val="en-US"/>
        </w:rPr>
        <w:instrText>common</w:instrText>
      </w:r>
      <w:r w:rsidR="00500F37" w:rsidRPr="00500F37">
        <w:rPr>
          <w:szCs w:val="24"/>
        </w:rPr>
        <w:instrText xml:space="preserve"> </w:instrText>
      </w:r>
      <w:r w:rsidR="00500F37">
        <w:rPr>
          <w:szCs w:val="24"/>
          <w:lang w:val="en-US"/>
        </w:rPr>
        <w:instrText>complication</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multiple</w:instrText>
      </w:r>
      <w:r w:rsidR="00500F37" w:rsidRPr="00500F37">
        <w:rPr>
          <w:szCs w:val="24"/>
        </w:rPr>
        <w:instrText xml:space="preserve"> </w:instrText>
      </w:r>
      <w:r w:rsidR="00500F37">
        <w:rPr>
          <w:szCs w:val="24"/>
          <w:lang w:val="en-US"/>
        </w:rPr>
        <w:instrText>myeloma</w:instrText>
      </w:r>
      <w:r w:rsidR="00500F37" w:rsidRPr="00500F37">
        <w:rPr>
          <w:szCs w:val="24"/>
        </w:rPr>
        <w:instrText xml:space="preserve"> (</w:instrText>
      </w:r>
      <w:r w:rsidR="00500F37">
        <w:rPr>
          <w:szCs w:val="24"/>
          <w:lang w:val="en-US"/>
        </w:rPr>
        <w:instrText>MM</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estimated</w:instrText>
      </w:r>
      <w:r w:rsidR="00500F37" w:rsidRPr="00500F37">
        <w:rPr>
          <w:szCs w:val="24"/>
        </w:rPr>
        <w:instrText xml:space="preserve"> </w:instrText>
      </w:r>
      <w:r w:rsidR="00500F37">
        <w:rPr>
          <w:szCs w:val="24"/>
          <w:lang w:val="en-US"/>
        </w:rPr>
        <w:instrText>glomerular</w:instrText>
      </w:r>
      <w:r w:rsidR="00500F37" w:rsidRPr="00500F37">
        <w:rPr>
          <w:szCs w:val="24"/>
        </w:rPr>
        <w:instrText xml:space="preserve"> </w:instrText>
      </w:r>
      <w:r w:rsidR="00500F37">
        <w:rPr>
          <w:szCs w:val="24"/>
          <w:lang w:val="en-US"/>
        </w:rPr>
        <w:instrText>filtration</w:instrText>
      </w:r>
      <w:r w:rsidR="00500F37" w:rsidRPr="00500F37">
        <w:rPr>
          <w:szCs w:val="24"/>
        </w:rPr>
        <w:instrText xml:space="preserve"> </w:instrText>
      </w:r>
      <w:r w:rsidR="00500F37">
        <w:rPr>
          <w:szCs w:val="24"/>
          <w:lang w:val="en-US"/>
        </w:rPr>
        <w:instrText>rate</w:instrText>
      </w:r>
      <w:r w:rsidR="00500F37" w:rsidRPr="00500F37">
        <w:rPr>
          <w:szCs w:val="24"/>
        </w:rPr>
        <w:instrText xml:space="preserve"> (</w:instrText>
      </w:r>
      <w:r w:rsidR="00500F37">
        <w:rPr>
          <w:szCs w:val="24"/>
          <w:lang w:val="en-US"/>
        </w:rPr>
        <w:instrText>eGFR</w:instrText>
      </w:r>
      <w:r w:rsidR="00500F37" w:rsidRPr="00500F37">
        <w:rPr>
          <w:szCs w:val="24"/>
        </w:rPr>
        <w:instrText xml:space="preserve">) </w:instrText>
      </w:r>
      <w:r w:rsidR="00500F37">
        <w:rPr>
          <w:szCs w:val="24"/>
          <w:lang w:val="en-US"/>
        </w:rPr>
        <w:instrText>using</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Modification</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Diet</w:instrText>
      </w:r>
      <w:r w:rsidR="00500F37" w:rsidRPr="00500F37">
        <w:rPr>
          <w:szCs w:val="24"/>
        </w:rPr>
        <w:instrText xml:space="preserve"> </w:instrText>
      </w:r>
      <w:r w:rsidR="00500F37">
        <w:rPr>
          <w:szCs w:val="24"/>
          <w:lang w:val="en-US"/>
        </w:rPr>
        <w:instrText>in</w:instrText>
      </w:r>
      <w:r w:rsidR="00500F37" w:rsidRPr="00500F37">
        <w:rPr>
          <w:szCs w:val="24"/>
        </w:rPr>
        <w:instrText xml:space="preserve"> </w:instrText>
      </w:r>
      <w:r w:rsidR="00500F37">
        <w:rPr>
          <w:szCs w:val="24"/>
          <w:lang w:val="en-US"/>
        </w:rPr>
        <w:instrText>Renal</w:instrText>
      </w:r>
      <w:r w:rsidR="00500F37" w:rsidRPr="00500F37">
        <w:rPr>
          <w:szCs w:val="24"/>
        </w:rPr>
        <w:instrText xml:space="preserve"> </w:instrText>
      </w:r>
      <w:r w:rsidR="00500F37">
        <w:rPr>
          <w:szCs w:val="24"/>
          <w:lang w:val="en-US"/>
        </w:rPr>
        <w:instrText>Disease</w:instrText>
      </w:r>
      <w:r w:rsidR="00500F37" w:rsidRPr="00500F37">
        <w:rPr>
          <w:szCs w:val="24"/>
        </w:rPr>
        <w:instrText xml:space="preserve"> </w:instrText>
      </w:r>
      <w:r w:rsidR="00500F37">
        <w:rPr>
          <w:szCs w:val="24"/>
          <w:lang w:val="en-US"/>
        </w:rPr>
        <w:instrText>formula</w:instrText>
      </w:r>
      <w:r w:rsidR="00500F37" w:rsidRPr="00500F37">
        <w:rPr>
          <w:szCs w:val="24"/>
        </w:rPr>
        <w:instrText xml:space="preserve"> </w:instrText>
      </w:r>
      <w:r w:rsidR="00500F37">
        <w:rPr>
          <w:szCs w:val="24"/>
          <w:lang w:val="en-US"/>
        </w:rPr>
        <w:instrText>is</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recommended</w:instrText>
      </w:r>
      <w:r w:rsidR="00500F37" w:rsidRPr="00500F37">
        <w:rPr>
          <w:szCs w:val="24"/>
        </w:rPr>
        <w:instrText xml:space="preserve"> </w:instrText>
      </w:r>
      <w:r w:rsidR="00500F37">
        <w:rPr>
          <w:szCs w:val="24"/>
          <w:lang w:val="en-US"/>
        </w:rPr>
        <w:instrText>method</w:instrText>
      </w:r>
      <w:r w:rsidR="00500F37" w:rsidRPr="00500F37">
        <w:rPr>
          <w:szCs w:val="24"/>
        </w:rPr>
        <w:instrText xml:space="preserve"> </w:instrText>
      </w:r>
      <w:r w:rsidR="00500F37">
        <w:rPr>
          <w:szCs w:val="24"/>
          <w:lang w:val="en-US"/>
        </w:rPr>
        <w:instrText>for</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assessment</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renal</w:instrText>
      </w:r>
      <w:r w:rsidR="00500F37" w:rsidRPr="00500F37">
        <w:rPr>
          <w:szCs w:val="24"/>
        </w:rPr>
        <w:instrText xml:space="preserve"> </w:instrText>
      </w:r>
      <w:r w:rsidR="00500F37">
        <w:rPr>
          <w:szCs w:val="24"/>
          <w:lang w:val="en-US"/>
        </w:rPr>
        <w:instrText>function</w:instrText>
      </w:r>
      <w:r w:rsidR="00500F37" w:rsidRPr="00500F37">
        <w:rPr>
          <w:szCs w:val="24"/>
        </w:rPr>
        <w:instrText xml:space="preserve"> </w:instrText>
      </w:r>
      <w:r w:rsidR="00500F37">
        <w:rPr>
          <w:szCs w:val="24"/>
          <w:lang w:val="en-US"/>
        </w:rPr>
        <w:instrText>in</w:instrText>
      </w:r>
      <w:r w:rsidR="00500F37" w:rsidRPr="00500F37">
        <w:rPr>
          <w:szCs w:val="24"/>
        </w:rPr>
        <w:instrText xml:space="preserve"> </w:instrText>
      </w:r>
      <w:r w:rsidR="00500F37">
        <w:rPr>
          <w:szCs w:val="24"/>
          <w:lang w:val="en-US"/>
        </w:rPr>
        <w:instrText>patients</w:instrText>
      </w:r>
      <w:r w:rsidR="00500F37" w:rsidRPr="00500F37">
        <w:rPr>
          <w:szCs w:val="24"/>
        </w:rPr>
        <w:instrText xml:space="preserve"> </w:instrText>
      </w:r>
      <w:r w:rsidR="00500F37">
        <w:rPr>
          <w:szCs w:val="24"/>
          <w:lang w:val="en-US"/>
        </w:rPr>
        <w:instrText>with</w:instrText>
      </w:r>
      <w:r w:rsidR="00500F37" w:rsidRPr="00500F37">
        <w:rPr>
          <w:szCs w:val="24"/>
        </w:rPr>
        <w:instrText xml:space="preserve"> </w:instrText>
      </w:r>
      <w:r w:rsidR="00500F37">
        <w:rPr>
          <w:szCs w:val="24"/>
          <w:lang w:val="en-US"/>
        </w:rPr>
        <w:instrText>MM</w:instrText>
      </w:r>
      <w:r w:rsidR="00500F37" w:rsidRPr="00500F37">
        <w:rPr>
          <w:szCs w:val="24"/>
        </w:rPr>
        <w:instrText xml:space="preserve"> </w:instrText>
      </w:r>
      <w:r w:rsidR="00500F37">
        <w:rPr>
          <w:szCs w:val="24"/>
          <w:lang w:val="en-US"/>
        </w:rPr>
        <w:instrText>with</w:instrText>
      </w:r>
      <w:r w:rsidR="00500F37" w:rsidRPr="00500F37">
        <w:rPr>
          <w:szCs w:val="24"/>
        </w:rPr>
        <w:instrText xml:space="preserve"> </w:instrText>
      </w:r>
      <w:r w:rsidR="00500F37">
        <w:rPr>
          <w:szCs w:val="24"/>
          <w:lang w:val="en-US"/>
        </w:rPr>
        <w:instrText>stabilized</w:instrText>
      </w:r>
      <w:r w:rsidR="00500F37" w:rsidRPr="00500F37">
        <w:rPr>
          <w:szCs w:val="24"/>
        </w:rPr>
        <w:instrText xml:space="preserve"> </w:instrText>
      </w:r>
      <w:r w:rsidR="00500F37">
        <w:rPr>
          <w:szCs w:val="24"/>
          <w:lang w:val="en-US"/>
        </w:rPr>
        <w:instrText>serum</w:instrText>
      </w:r>
      <w:r w:rsidR="00500F37" w:rsidRPr="00500F37">
        <w:rPr>
          <w:szCs w:val="24"/>
        </w:rPr>
        <w:instrText xml:space="preserve"> </w:instrText>
      </w:r>
      <w:r w:rsidR="00500F37">
        <w:rPr>
          <w:szCs w:val="24"/>
          <w:lang w:val="en-US"/>
        </w:rPr>
        <w:instrText>creatinine</w:instrText>
      </w:r>
      <w:r w:rsidR="00500F37" w:rsidRPr="00500F37">
        <w:rPr>
          <w:szCs w:val="24"/>
        </w:rPr>
        <w:instrText xml:space="preserve">. </w:instrText>
      </w:r>
      <w:r w:rsidR="00500F37">
        <w:rPr>
          <w:szCs w:val="24"/>
          <w:lang w:val="en-US"/>
        </w:rPr>
        <w:instrText>In</w:instrText>
      </w:r>
      <w:r w:rsidR="00500F37" w:rsidRPr="00500F37">
        <w:rPr>
          <w:szCs w:val="24"/>
        </w:rPr>
        <w:instrText xml:space="preserve"> </w:instrText>
      </w:r>
      <w:r w:rsidR="00500F37">
        <w:rPr>
          <w:szCs w:val="24"/>
          <w:lang w:val="en-US"/>
        </w:rPr>
        <w:instrText>acute</w:instrText>
      </w:r>
      <w:r w:rsidR="00500F37" w:rsidRPr="00500F37">
        <w:rPr>
          <w:szCs w:val="24"/>
        </w:rPr>
        <w:instrText xml:space="preserve"> </w:instrText>
      </w:r>
      <w:r w:rsidR="00500F37">
        <w:rPr>
          <w:szCs w:val="24"/>
          <w:lang w:val="en-US"/>
        </w:rPr>
        <w:instrText>renal</w:instrText>
      </w:r>
      <w:r w:rsidR="00500F37" w:rsidRPr="00500F37">
        <w:rPr>
          <w:szCs w:val="24"/>
        </w:rPr>
        <w:instrText xml:space="preserve"> </w:instrText>
      </w:r>
      <w:r w:rsidR="00500F37">
        <w:rPr>
          <w:szCs w:val="24"/>
          <w:lang w:val="en-US"/>
        </w:rPr>
        <w:instrText>injury</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RIFLE</w:instrText>
      </w:r>
      <w:r w:rsidR="00500F37" w:rsidRPr="00500F37">
        <w:rPr>
          <w:szCs w:val="24"/>
        </w:rPr>
        <w:instrText xml:space="preserve"> (</w:instrText>
      </w:r>
      <w:r w:rsidR="00500F37">
        <w:rPr>
          <w:szCs w:val="24"/>
          <w:lang w:val="en-US"/>
        </w:rPr>
        <w:instrText>risk</w:instrText>
      </w:r>
      <w:r w:rsidR="00500F37" w:rsidRPr="00500F37">
        <w:rPr>
          <w:szCs w:val="24"/>
        </w:rPr>
        <w:instrText xml:space="preserve">, </w:instrText>
      </w:r>
      <w:r w:rsidR="00500F37">
        <w:rPr>
          <w:szCs w:val="24"/>
          <w:lang w:val="en-US"/>
        </w:rPr>
        <w:instrText>injury</w:instrText>
      </w:r>
      <w:r w:rsidR="00500F37" w:rsidRPr="00500F37">
        <w:rPr>
          <w:szCs w:val="24"/>
        </w:rPr>
        <w:instrText xml:space="preserve">, </w:instrText>
      </w:r>
      <w:r w:rsidR="00500F37">
        <w:rPr>
          <w:szCs w:val="24"/>
          <w:lang w:val="en-US"/>
        </w:rPr>
        <w:instrText>failure</w:instrText>
      </w:r>
      <w:r w:rsidR="00500F37" w:rsidRPr="00500F37">
        <w:rPr>
          <w:szCs w:val="24"/>
        </w:rPr>
        <w:instrText xml:space="preserve">, </w:instrText>
      </w:r>
      <w:r w:rsidR="00500F37">
        <w:rPr>
          <w:szCs w:val="24"/>
          <w:lang w:val="en-US"/>
        </w:rPr>
        <w:instrText>loss</w:instrText>
      </w:r>
      <w:r w:rsidR="00500F37" w:rsidRPr="00500F37">
        <w:rPr>
          <w:szCs w:val="24"/>
        </w:rPr>
        <w:instrText xml:space="preserve"> </w:instrText>
      </w:r>
      <w:r w:rsidR="00500F37">
        <w:rPr>
          <w:szCs w:val="24"/>
          <w:lang w:val="en-US"/>
        </w:rPr>
        <w:instrText>and</w:instrText>
      </w:r>
      <w:r w:rsidR="00500F37" w:rsidRPr="00500F37">
        <w:rPr>
          <w:szCs w:val="24"/>
        </w:rPr>
        <w:instrText xml:space="preserve"> </w:instrText>
      </w:r>
      <w:r w:rsidR="00500F37">
        <w:rPr>
          <w:szCs w:val="24"/>
          <w:lang w:val="en-US"/>
        </w:rPr>
        <w:instrText>end</w:instrText>
      </w:r>
      <w:r w:rsidR="00500F37" w:rsidRPr="00500F37">
        <w:rPr>
          <w:szCs w:val="24"/>
        </w:rPr>
        <w:instrText>-</w:instrText>
      </w:r>
      <w:r w:rsidR="00500F37">
        <w:rPr>
          <w:szCs w:val="24"/>
          <w:lang w:val="en-US"/>
        </w:rPr>
        <w:instrText>stage</w:instrText>
      </w:r>
      <w:r w:rsidR="00500F37" w:rsidRPr="00500F37">
        <w:rPr>
          <w:szCs w:val="24"/>
        </w:rPr>
        <w:instrText xml:space="preserve"> </w:instrText>
      </w:r>
      <w:r w:rsidR="00500F37">
        <w:rPr>
          <w:szCs w:val="24"/>
          <w:lang w:val="en-US"/>
        </w:rPr>
        <w:instrText>kidney</w:instrText>
      </w:r>
      <w:r w:rsidR="00500F37" w:rsidRPr="00500F37">
        <w:rPr>
          <w:szCs w:val="24"/>
        </w:rPr>
        <w:instrText xml:space="preserve"> </w:instrText>
      </w:r>
      <w:r w:rsidR="00500F37">
        <w:rPr>
          <w:szCs w:val="24"/>
          <w:lang w:val="en-US"/>
        </w:rPr>
        <w:instrText>disease</w:instrText>
      </w:r>
      <w:r w:rsidR="00500F37" w:rsidRPr="00500F37">
        <w:rPr>
          <w:szCs w:val="24"/>
        </w:rPr>
        <w:instrText xml:space="preserve">) </w:instrText>
      </w:r>
      <w:r w:rsidR="00500F37">
        <w:rPr>
          <w:szCs w:val="24"/>
          <w:lang w:val="en-US"/>
        </w:rPr>
        <w:instrText>and</w:instrText>
      </w:r>
      <w:r w:rsidR="00500F37" w:rsidRPr="00500F37">
        <w:rPr>
          <w:szCs w:val="24"/>
        </w:rPr>
        <w:instrText xml:space="preserve"> </w:instrText>
      </w:r>
      <w:r w:rsidR="00500F37">
        <w:rPr>
          <w:szCs w:val="24"/>
          <w:lang w:val="en-US"/>
        </w:rPr>
        <w:instrText>Acute</w:instrText>
      </w:r>
      <w:r w:rsidR="00500F37" w:rsidRPr="00500F37">
        <w:rPr>
          <w:szCs w:val="24"/>
        </w:rPr>
        <w:instrText xml:space="preserve"> </w:instrText>
      </w:r>
      <w:r w:rsidR="00500F37">
        <w:rPr>
          <w:szCs w:val="24"/>
          <w:lang w:val="en-US"/>
        </w:rPr>
        <w:instrText>Renal</w:instrText>
      </w:r>
      <w:r w:rsidR="00500F37" w:rsidRPr="00500F37">
        <w:rPr>
          <w:szCs w:val="24"/>
        </w:rPr>
        <w:instrText xml:space="preserve"> </w:instrText>
      </w:r>
      <w:r w:rsidR="00500F37">
        <w:rPr>
          <w:szCs w:val="24"/>
          <w:lang w:val="en-US"/>
        </w:rPr>
        <w:instrText>Injury</w:instrText>
      </w:r>
      <w:r w:rsidR="00500F37" w:rsidRPr="00500F37">
        <w:rPr>
          <w:szCs w:val="24"/>
        </w:rPr>
        <w:instrText xml:space="preserve"> </w:instrText>
      </w:r>
      <w:r w:rsidR="00500F37">
        <w:rPr>
          <w:szCs w:val="24"/>
          <w:lang w:val="en-US"/>
        </w:rPr>
        <w:instrText>Network</w:instrText>
      </w:r>
      <w:r w:rsidR="00500F37" w:rsidRPr="00500F37">
        <w:rPr>
          <w:szCs w:val="24"/>
        </w:rPr>
        <w:instrText xml:space="preserve"> </w:instrText>
      </w:r>
      <w:r w:rsidR="00500F37">
        <w:rPr>
          <w:szCs w:val="24"/>
          <w:lang w:val="en-US"/>
        </w:rPr>
        <w:instrText>criteria</w:instrText>
      </w:r>
      <w:r w:rsidR="00500F37" w:rsidRPr="00500F37">
        <w:rPr>
          <w:szCs w:val="24"/>
        </w:rPr>
        <w:instrText xml:space="preserve"> </w:instrText>
      </w:r>
      <w:r w:rsidR="00500F37">
        <w:rPr>
          <w:szCs w:val="24"/>
          <w:lang w:val="en-US"/>
        </w:rPr>
        <w:instrText>seem</w:instrText>
      </w:r>
      <w:r w:rsidR="00500F37" w:rsidRPr="00500F37">
        <w:rPr>
          <w:szCs w:val="24"/>
        </w:rPr>
        <w:instrText xml:space="preserve"> </w:instrText>
      </w:r>
      <w:r w:rsidR="00500F37">
        <w:rPr>
          <w:szCs w:val="24"/>
          <w:lang w:val="en-US"/>
        </w:rPr>
        <w:instrText>to</w:instrText>
      </w:r>
      <w:r w:rsidR="00500F37" w:rsidRPr="00500F37">
        <w:rPr>
          <w:szCs w:val="24"/>
        </w:rPr>
        <w:instrText xml:space="preserve"> </w:instrText>
      </w:r>
      <w:r w:rsidR="00500F37">
        <w:rPr>
          <w:szCs w:val="24"/>
          <w:lang w:val="en-US"/>
        </w:rPr>
        <w:instrText>be</w:instrText>
      </w:r>
      <w:r w:rsidR="00500F37" w:rsidRPr="00500F37">
        <w:rPr>
          <w:szCs w:val="24"/>
        </w:rPr>
        <w:instrText xml:space="preserve"> </w:instrText>
      </w:r>
      <w:r w:rsidR="00500F37">
        <w:rPr>
          <w:szCs w:val="24"/>
          <w:lang w:val="en-US"/>
        </w:rPr>
        <w:instrText>appropriate</w:instrText>
      </w:r>
      <w:r w:rsidR="00500F37" w:rsidRPr="00500F37">
        <w:rPr>
          <w:szCs w:val="24"/>
        </w:rPr>
        <w:instrText xml:space="preserve"> </w:instrText>
      </w:r>
      <w:r w:rsidR="00500F37">
        <w:rPr>
          <w:szCs w:val="24"/>
          <w:lang w:val="en-US"/>
        </w:rPr>
        <w:instrText>to</w:instrText>
      </w:r>
      <w:r w:rsidR="00500F37" w:rsidRPr="00500F37">
        <w:rPr>
          <w:szCs w:val="24"/>
        </w:rPr>
        <w:instrText xml:space="preserve"> </w:instrText>
      </w:r>
      <w:r w:rsidR="00500F37">
        <w:rPr>
          <w:szCs w:val="24"/>
          <w:lang w:val="en-US"/>
        </w:rPr>
        <w:instrText>define</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severity</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renal impairment. Novel criteria based on eGFR measurements are recommended for the definition of the reversibility of renal impairment. Rapid intervention to reverse renal dysfunction is critical for the management of these patients, especially for those with light chain cast nephropathy. Bortezomib with high-dose dexamethasone is considered as the treatment of choice for such patients. There is limited experience with thalidomide in patients with myeloma with renal impairment. Thus, thalidomide can be carefully administered, mainly in the context of well-designed clinical trials, to evaluate if it can improve the rapidity and probability of response that is produced by the combination with bortezomib and high-dose dexamethasone. Lenalidomide is effective in this setting and can reverse renal insufficiency in a significant subset of patients, when it is given at reduced doses, according to renal function. The role of plasma exchange in patients with suspected light chain cast nephropathy and renal impairment is controversial. High-dose melphalan (140 mg/m2) and autologous stem-cell transplantation should be limited to younger patients with chemosensitive disease. © 2010 by American Society of Clinical Oncology.","author":[{"dropping-particle":"","family":"Dimopoulos","given":"Meletios A.","non-dropping-particle":"","parse-names":false,"suffix":""},{"dropping-particle":"","family":"Terpos","given":"Evangelos","non-dropping-particle":"","parse-names":false,"suffix":""},{"dropping-particle":"","family":"Chanan-Khan","given":"Asher","non-dropping-particle":"","parse-names":false,"suffix":""},{"dropping-particle":"","family":"Leung","given":"Nelson","non-dropping-particle":"","parse-names":false,"suffix":""},{"dropping-particle":"","family":"Ludwig","given":"Heinz","non-dropping-particle":"","parse-names":false,"suffix":""},{"dropping-particle":"","family":"Jagannath","given":"Sundar","non-dropping-particle":"","parse-names":false,"suffix":""},{"dropping-particle":"","family":"Niesvizky","given":"Ruben","non-dropping-particle":"","parse-names":false,"suffix":""},{"dropping-particle":"","family":"Giralt","given":"Sergio","non-dropping-particle":"","parse-names":false,"suffix":""},{"dropping-particle":"","family":"Fermand","given":"Jean Paul","non-dropping-particle":"","parse-names":false,"suffix":""},{"dropping-particle":"","family":"Bladé","given":"Joan","non-dropping-particle":"","parse-names":false,"suffix":""},{"dropping-particle":"","family":"Comenzo","given":"Raymond L.","non-dropping-particle":"","parse-names":false,"suffix":""},{"dropping-particle":"","family":"Sezer","given":"Orhan","non-dropping-particle":"","parse-names":false,"suffix":""},{"dropping-particle":"","family":"Palumbo","given":"Antonio","non-dropping-particle":"","parse-names":false,"suffix":""},{"dropping-particle":"","family":"Harousseau","given":"Jean Luc","non-dropping-particle":"","parse-names":false,"suffix":""},{"dropping-particle":"","family":"Richardson","given":"Paul G.","non-dropping-particle":"","parse-names":false,"suffix":""},{"dropping-particle":"","family":"Barlogie","given":"Bart","non-dropping-particle":"","parse-names":false,"suffix":""},{"dropping-particle":"","family":"Anderson</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Kenneth</w:instrText>
      </w:r>
      <w:r w:rsidR="00500F37" w:rsidRPr="00500F37">
        <w:rPr>
          <w:szCs w:val="24"/>
        </w:rPr>
        <w:instrText xml:space="preserve"> </w:instrText>
      </w:r>
      <w:r w:rsidR="00500F37">
        <w:rPr>
          <w:szCs w:val="24"/>
          <w:lang w:val="en-US"/>
        </w:rPr>
        <w:instrText>C</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Sonneveld</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Pieter</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Tosi</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Patrizia</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Cavo</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Michele</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Rajkumar</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S</w:instrText>
      </w:r>
      <w:r w:rsidR="00500F37" w:rsidRPr="00500F37">
        <w:rPr>
          <w:szCs w:val="24"/>
        </w:rPr>
        <w:instrText xml:space="preserve">. </w:instrText>
      </w:r>
      <w:r w:rsidR="00500F37">
        <w:rPr>
          <w:szCs w:val="24"/>
          <w:lang w:val="en-US"/>
        </w:rPr>
        <w:instrText>Vincent</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Durie</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Brian</w:instrText>
      </w:r>
      <w:r w:rsidR="00500F37" w:rsidRPr="00500F37">
        <w:rPr>
          <w:szCs w:val="24"/>
        </w:rPr>
        <w:instrText xml:space="preserve"> </w:instrText>
      </w:r>
      <w:r w:rsidR="00500F37">
        <w:rPr>
          <w:szCs w:val="24"/>
          <w:lang w:val="en-US"/>
        </w:rPr>
        <w:instrText>G</w:instrText>
      </w:r>
      <w:r w:rsidR="00500F37" w:rsidRPr="00500F37">
        <w:rPr>
          <w:szCs w:val="24"/>
        </w:rPr>
        <w:instrText>.</w:instrText>
      </w:r>
      <w:r w:rsidR="00500F37">
        <w:rPr>
          <w:szCs w:val="24"/>
          <w:lang w:val="en-US"/>
        </w:rPr>
        <w:instrText>M</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family</w:instrText>
      </w:r>
      <w:r w:rsidR="00500F37" w:rsidRPr="00500F37">
        <w:rPr>
          <w:szCs w:val="24"/>
        </w:rPr>
        <w:instrText>":"</w:instrText>
      </w:r>
      <w:r w:rsidR="00500F37">
        <w:rPr>
          <w:szCs w:val="24"/>
          <w:lang w:val="en-US"/>
        </w:rPr>
        <w:instrText>San</w:instrText>
      </w:r>
      <w:r w:rsidR="00500F37" w:rsidRPr="00500F37">
        <w:rPr>
          <w:szCs w:val="24"/>
        </w:rPr>
        <w:instrText xml:space="preserve"> </w:instrText>
      </w:r>
      <w:r w:rsidR="00500F37">
        <w:rPr>
          <w:szCs w:val="24"/>
          <w:lang w:val="en-US"/>
        </w:rPr>
        <w:instrText>Miguel</w:instrText>
      </w:r>
      <w:r w:rsidR="00500F37" w:rsidRPr="00500F37">
        <w:rPr>
          <w:szCs w:val="24"/>
        </w:rPr>
        <w:instrText>","</w:instrText>
      </w:r>
      <w:r w:rsidR="00500F37">
        <w:rPr>
          <w:szCs w:val="24"/>
          <w:lang w:val="en-US"/>
        </w:rPr>
        <w:instrText>given</w:instrText>
      </w:r>
      <w:r w:rsidR="00500F37" w:rsidRPr="00500F37">
        <w:rPr>
          <w:szCs w:val="24"/>
        </w:rPr>
        <w:instrText>":"</w:instrText>
      </w:r>
      <w:r w:rsidR="00500F37">
        <w:rPr>
          <w:szCs w:val="24"/>
          <w:lang w:val="en-US"/>
        </w:rPr>
        <w:instrText>J</w:instrText>
      </w:r>
      <w:r w:rsidR="00500F37" w:rsidRPr="00500F37">
        <w:rPr>
          <w:szCs w:val="24"/>
        </w:rPr>
        <w:instrText>é</w:instrText>
      </w:r>
      <w:r w:rsidR="00500F37">
        <w:rPr>
          <w:szCs w:val="24"/>
          <w:lang w:val="en-US"/>
        </w:rPr>
        <w:instrText>sus</w:instrText>
      </w:r>
      <w:r w:rsidR="00500F37" w:rsidRPr="00500F37">
        <w:rPr>
          <w:szCs w:val="24"/>
        </w:rPr>
        <w:instrText>","</w:instrText>
      </w:r>
      <w:r w:rsidR="00500F37">
        <w:rPr>
          <w:szCs w:val="24"/>
          <w:lang w:val="en-US"/>
        </w:rPr>
        <w:instrText>non</w:instrText>
      </w:r>
      <w:r w:rsidR="00500F37" w:rsidRPr="00500F37">
        <w:rPr>
          <w:szCs w:val="24"/>
        </w:rPr>
        <w:instrText>-</w:instrText>
      </w:r>
      <w:r w:rsidR="00500F37">
        <w:rPr>
          <w:szCs w:val="24"/>
          <w:lang w:val="en-US"/>
        </w:rPr>
        <w:instrText>dropping</w:instrText>
      </w:r>
      <w:r w:rsidR="00500F37" w:rsidRPr="00500F37">
        <w:rPr>
          <w:szCs w:val="24"/>
        </w:rPr>
        <w:instrText>-</w:instrText>
      </w:r>
      <w:r w:rsidR="00500F37">
        <w:rPr>
          <w:szCs w:val="24"/>
          <w:lang w:val="en-US"/>
        </w:rPr>
        <w:instrText>particle</w:instrText>
      </w:r>
      <w:r w:rsidR="00500F37" w:rsidRPr="00500F37">
        <w:rPr>
          <w:szCs w:val="24"/>
        </w:rPr>
        <w:instrText>":"","</w:instrText>
      </w:r>
      <w:r w:rsidR="00500F37">
        <w:rPr>
          <w:szCs w:val="24"/>
          <w:lang w:val="en-US"/>
        </w:rPr>
        <w:instrText>parse</w:instrText>
      </w:r>
      <w:r w:rsidR="00500F37" w:rsidRPr="00500F37">
        <w:rPr>
          <w:szCs w:val="24"/>
        </w:rPr>
        <w:instrText>-</w:instrText>
      </w:r>
      <w:r w:rsidR="00500F37">
        <w:rPr>
          <w:szCs w:val="24"/>
          <w:lang w:val="en-US"/>
        </w:rPr>
        <w:instrText>names</w:instrText>
      </w:r>
      <w:r w:rsidR="00500F37" w:rsidRPr="00500F37">
        <w:rPr>
          <w:szCs w:val="24"/>
        </w:rPr>
        <w:instrText>":</w:instrText>
      </w:r>
      <w:r w:rsidR="00500F37">
        <w:rPr>
          <w:szCs w:val="24"/>
          <w:lang w:val="en-US"/>
        </w:rPr>
        <w:instrText>false</w:instrText>
      </w:r>
      <w:r w:rsidR="00500F37" w:rsidRPr="00500F37">
        <w:rPr>
          <w:szCs w:val="24"/>
        </w:rPr>
        <w:instrText>,"</w:instrText>
      </w:r>
      <w:r w:rsidR="00500F37">
        <w:rPr>
          <w:szCs w:val="24"/>
          <w:lang w:val="en-US"/>
        </w:rPr>
        <w:instrText>suffix</w:instrText>
      </w:r>
      <w:r w:rsidR="00500F37" w:rsidRPr="00500F37">
        <w:rPr>
          <w:szCs w:val="24"/>
        </w:rPr>
        <w:instrText>":""}],"</w:instrText>
      </w:r>
      <w:r w:rsidR="00500F37">
        <w:rPr>
          <w:szCs w:val="24"/>
          <w:lang w:val="en-US"/>
        </w:rPr>
        <w:instrText>container</w:instrText>
      </w:r>
      <w:r w:rsidR="00500F37" w:rsidRPr="00500F37">
        <w:rPr>
          <w:szCs w:val="24"/>
        </w:rPr>
        <w:instrText>-</w:instrText>
      </w:r>
      <w:r w:rsidR="00500F37">
        <w:rPr>
          <w:szCs w:val="24"/>
          <w:lang w:val="en-US"/>
        </w:rPr>
        <w:instrText>title</w:instrText>
      </w:r>
      <w:r w:rsidR="00500F37" w:rsidRPr="00500F37">
        <w:rPr>
          <w:szCs w:val="24"/>
        </w:rPr>
        <w:instrText>":"</w:instrText>
      </w:r>
      <w:r w:rsidR="00500F37">
        <w:rPr>
          <w:szCs w:val="24"/>
          <w:lang w:val="en-US"/>
        </w:rPr>
        <w:instrText>Journal</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Clinical</w:instrText>
      </w:r>
      <w:r w:rsidR="00500F37" w:rsidRPr="00500F37">
        <w:rPr>
          <w:szCs w:val="24"/>
        </w:rPr>
        <w:instrText xml:space="preserve"> </w:instrText>
      </w:r>
      <w:r w:rsidR="00500F37">
        <w:rPr>
          <w:szCs w:val="24"/>
          <w:lang w:val="en-US"/>
        </w:rPr>
        <w:instrText>Oncology</w:instrText>
      </w:r>
      <w:r w:rsidR="00500F37" w:rsidRPr="00500F37">
        <w:rPr>
          <w:szCs w:val="24"/>
        </w:rPr>
        <w:instrText>","</w:instrText>
      </w:r>
      <w:r w:rsidR="00500F37">
        <w:rPr>
          <w:szCs w:val="24"/>
          <w:lang w:val="en-US"/>
        </w:rPr>
        <w:instrText>id</w:instrText>
      </w:r>
      <w:r w:rsidR="00500F37" w:rsidRPr="00500F37">
        <w:rPr>
          <w:szCs w:val="24"/>
        </w:rPr>
        <w:instrText>":"</w:instrText>
      </w:r>
      <w:r w:rsidR="00500F37">
        <w:rPr>
          <w:szCs w:val="24"/>
          <w:lang w:val="en-US"/>
        </w:rPr>
        <w:instrText>ITEM</w:instrText>
      </w:r>
      <w:r w:rsidR="00500F37" w:rsidRPr="00500F37">
        <w:rPr>
          <w:szCs w:val="24"/>
        </w:rPr>
        <w:instrText>-1","</w:instrText>
      </w:r>
      <w:r w:rsidR="00500F37">
        <w:rPr>
          <w:szCs w:val="24"/>
          <w:lang w:val="en-US"/>
        </w:rPr>
        <w:instrText>issue</w:instrText>
      </w:r>
      <w:r w:rsidR="00500F37" w:rsidRPr="00500F37">
        <w:rPr>
          <w:szCs w:val="24"/>
        </w:rPr>
        <w:instrText>":"33","</w:instrText>
      </w:r>
      <w:r w:rsidR="00500F37">
        <w:rPr>
          <w:szCs w:val="24"/>
          <w:lang w:val="en-US"/>
        </w:rPr>
        <w:instrText>issued</w:instrText>
      </w:r>
      <w:r w:rsidR="00500F37" w:rsidRPr="00500F37">
        <w:rPr>
          <w:szCs w:val="24"/>
        </w:rPr>
        <w:instrText>":{"</w:instrText>
      </w:r>
      <w:r w:rsidR="00500F37">
        <w:rPr>
          <w:szCs w:val="24"/>
          <w:lang w:val="en-US"/>
        </w:rPr>
        <w:instrText>date</w:instrText>
      </w:r>
      <w:r w:rsidR="00500F37" w:rsidRPr="00500F37">
        <w:rPr>
          <w:szCs w:val="24"/>
        </w:rPr>
        <w:instrText>-</w:instrText>
      </w:r>
      <w:r w:rsidR="00500F37">
        <w:rPr>
          <w:szCs w:val="24"/>
          <w:lang w:val="en-US"/>
        </w:rPr>
        <w:instrText>parts</w:instrText>
      </w:r>
      <w:r w:rsidR="00500F37" w:rsidRPr="00500F37">
        <w:rPr>
          <w:szCs w:val="24"/>
        </w:rPr>
        <w:instrText>":[["2010","11"]]},"</w:instrText>
      </w:r>
      <w:r w:rsidR="00500F37">
        <w:rPr>
          <w:szCs w:val="24"/>
          <w:lang w:val="en-US"/>
        </w:rPr>
        <w:instrText>page</w:instrText>
      </w:r>
      <w:r w:rsidR="00500F37" w:rsidRPr="00500F37">
        <w:rPr>
          <w:szCs w:val="24"/>
        </w:rPr>
        <w:instrText>":"4976-4984","</w:instrText>
      </w:r>
      <w:r w:rsidR="00500F37">
        <w:rPr>
          <w:szCs w:val="24"/>
          <w:lang w:val="en-US"/>
        </w:rPr>
        <w:instrText>publisher</w:instrText>
      </w:r>
      <w:r w:rsidR="00500F37" w:rsidRPr="00500F37">
        <w:rPr>
          <w:szCs w:val="24"/>
        </w:rPr>
        <w:instrText xml:space="preserve">":" </w:instrText>
      </w:r>
      <w:r w:rsidR="00500F37">
        <w:rPr>
          <w:szCs w:val="24"/>
          <w:lang w:val="en-US"/>
        </w:rPr>
        <w:instrText>American</w:instrText>
      </w:r>
      <w:r w:rsidR="00500F37" w:rsidRPr="00500F37">
        <w:rPr>
          <w:szCs w:val="24"/>
        </w:rPr>
        <w:instrText xml:space="preserve"> </w:instrText>
      </w:r>
      <w:r w:rsidR="00500F37">
        <w:rPr>
          <w:szCs w:val="24"/>
          <w:lang w:val="en-US"/>
        </w:rPr>
        <w:instrText>Society</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Clinical</w:instrText>
      </w:r>
      <w:r w:rsidR="00500F37" w:rsidRPr="00500F37">
        <w:rPr>
          <w:szCs w:val="24"/>
        </w:rPr>
        <w:instrText xml:space="preserve"> </w:instrText>
      </w:r>
      <w:r w:rsidR="00500F37">
        <w:rPr>
          <w:szCs w:val="24"/>
          <w:lang w:val="en-US"/>
        </w:rPr>
        <w:instrText>Oncology</w:instrText>
      </w:r>
      <w:r w:rsidR="00500F37" w:rsidRPr="00500F37">
        <w:rPr>
          <w:szCs w:val="24"/>
        </w:rPr>
        <w:instrText xml:space="preserve"> ","</w:instrText>
      </w:r>
      <w:r w:rsidR="00500F37">
        <w:rPr>
          <w:szCs w:val="24"/>
          <w:lang w:val="en-US"/>
        </w:rPr>
        <w:instrText>title</w:instrText>
      </w:r>
      <w:r w:rsidR="00500F37" w:rsidRPr="00500F37">
        <w:rPr>
          <w:szCs w:val="24"/>
        </w:rPr>
        <w:instrText>":"</w:instrText>
      </w:r>
      <w:r w:rsidR="00500F37">
        <w:rPr>
          <w:szCs w:val="24"/>
          <w:lang w:val="en-US"/>
        </w:rPr>
        <w:instrText>Renal</w:instrText>
      </w:r>
      <w:r w:rsidR="00500F37" w:rsidRPr="00500F37">
        <w:rPr>
          <w:szCs w:val="24"/>
        </w:rPr>
        <w:instrText xml:space="preserve"> </w:instrText>
      </w:r>
      <w:r w:rsidR="00500F37">
        <w:rPr>
          <w:szCs w:val="24"/>
          <w:lang w:val="en-US"/>
        </w:rPr>
        <w:instrText>impairment</w:instrText>
      </w:r>
      <w:r w:rsidR="00500F37" w:rsidRPr="00500F37">
        <w:rPr>
          <w:szCs w:val="24"/>
        </w:rPr>
        <w:instrText xml:space="preserve"> </w:instrText>
      </w:r>
      <w:r w:rsidR="00500F37">
        <w:rPr>
          <w:szCs w:val="24"/>
          <w:lang w:val="en-US"/>
        </w:rPr>
        <w:instrText>in</w:instrText>
      </w:r>
      <w:r w:rsidR="00500F37" w:rsidRPr="00500F37">
        <w:rPr>
          <w:szCs w:val="24"/>
        </w:rPr>
        <w:instrText xml:space="preserve"> </w:instrText>
      </w:r>
      <w:r w:rsidR="00500F37">
        <w:rPr>
          <w:szCs w:val="24"/>
          <w:lang w:val="en-US"/>
        </w:rPr>
        <w:instrText>patients</w:instrText>
      </w:r>
      <w:r w:rsidR="00500F37" w:rsidRPr="00500F37">
        <w:rPr>
          <w:szCs w:val="24"/>
        </w:rPr>
        <w:instrText xml:space="preserve"> </w:instrText>
      </w:r>
      <w:r w:rsidR="00500F37">
        <w:rPr>
          <w:szCs w:val="24"/>
          <w:lang w:val="en-US"/>
        </w:rPr>
        <w:instrText>with</w:instrText>
      </w:r>
      <w:r w:rsidR="00500F37" w:rsidRPr="00500F37">
        <w:rPr>
          <w:szCs w:val="24"/>
        </w:rPr>
        <w:instrText xml:space="preserve"> </w:instrText>
      </w:r>
      <w:r w:rsidR="00500F37">
        <w:rPr>
          <w:szCs w:val="24"/>
          <w:lang w:val="en-US"/>
        </w:rPr>
        <w:instrText>multiple</w:instrText>
      </w:r>
      <w:r w:rsidR="00500F37" w:rsidRPr="00500F37">
        <w:rPr>
          <w:szCs w:val="24"/>
        </w:rPr>
        <w:instrText xml:space="preserve"> </w:instrText>
      </w:r>
      <w:r w:rsidR="00500F37">
        <w:rPr>
          <w:szCs w:val="24"/>
          <w:lang w:val="en-US"/>
        </w:rPr>
        <w:instrText>myeloma</w:instrText>
      </w:r>
      <w:r w:rsidR="00500F37" w:rsidRPr="00500F37">
        <w:rPr>
          <w:szCs w:val="24"/>
        </w:rPr>
        <w:instrText xml:space="preserve">: </w:instrText>
      </w:r>
      <w:r w:rsidR="00500F37">
        <w:rPr>
          <w:szCs w:val="24"/>
          <w:lang w:val="en-US"/>
        </w:rPr>
        <w:instrText>A</w:instrText>
      </w:r>
      <w:r w:rsidR="00500F37" w:rsidRPr="00500F37">
        <w:rPr>
          <w:szCs w:val="24"/>
        </w:rPr>
        <w:instrText xml:space="preserve"> </w:instrText>
      </w:r>
      <w:r w:rsidR="00500F37">
        <w:rPr>
          <w:szCs w:val="24"/>
          <w:lang w:val="en-US"/>
        </w:rPr>
        <w:instrText>consensus</w:instrText>
      </w:r>
      <w:r w:rsidR="00500F37" w:rsidRPr="00500F37">
        <w:rPr>
          <w:szCs w:val="24"/>
        </w:rPr>
        <w:instrText xml:space="preserve"> </w:instrText>
      </w:r>
      <w:r w:rsidR="00500F37">
        <w:rPr>
          <w:szCs w:val="24"/>
          <w:lang w:val="en-US"/>
        </w:rPr>
        <w:instrText>statement</w:instrText>
      </w:r>
      <w:r w:rsidR="00500F37" w:rsidRPr="00500F37">
        <w:rPr>
          <w:szCs w:val="24"/>
        </w:rPr>
        <w:instrText xml:space="preserve"> </w:instrText>
      </w:r>
      <w:r w:rsidR="00500F37">
        <w:rPr>
          <w:szCs w:val="24"/>
          <w:lang w:val="en-US"/>
        </w:rPr>
        <w:instrText>on</w:instrText>
      </w:r>
      <w:r w:rsidR="00500F37" w:rsidRPr="00500F37">
        <w:rPr>
          <w:szCs w:val="24"/>
        </w:rPr>
        <w:instrText xml:space="preserve"> </w:instrText>
      </w:r>
      <w:r w:rsidR="00500F37">
        <w:rPr>
          <w:szCs w:val="24"/>
          <w:lang w:val="en-US"/>
        </w:rPr>
        <w:instrText>behalf</w:instrText>
      </w:r>
      <w:r w:rsidR="00500F37" w:rsidRPr="00500F37">
        <w:rPr>
          <w:szCs w:val="24"/>
        </w:rPr>
        <w:instrText xml:space="preserve"> </w:instrText>
      </w:r>
      <w:r w:rsidR="00500F37">
        <w:rPr>
          <w:szCs w:val="24"/>
          <w:lang w:val="en-US"/>
        </w:rPr>
        <w:instrText>of</w:instrText>
      </w:r>
      <w:r w:rsidR="00500F37" w:rsidRPr="00500F37">
        <w:rPr>
          <w:szCs w:val="24"/>
        </w:rPr>
        <w:instrText xml:space="preserve"> </w:instrText>
      </w:r>
      <w:r w:rsidR="00500F37">
        <w:rPr>
          <w:szCs w:val="24"/>
          <w:lang w:val="en-US"/>
        </w:rPr>
        <w:instrText>the</w:instrText>
      </w:r>
      <w:r w:rsidR="00500F37" w:rsidRPr="00500F37">
        <w:rPr>
          <w:szCs w:val="24"/>
        </w:rPr>
        <w:instrText xml:space="preserve"> </w:instrText>
      </w:r>
      <w:r w:rsidR="00500F37">
        <w:rPr>
          <w:szCs w:val="24"/>
          <w:lang w:val="en-US"/>
        </w:rPr>
        <w:instrText>International</w:instrText>
      </w:r>
      <w:r w:rsidR="00500F37" w:rsidRPr="00500F37">
        <w:rPr>
          <w:szCs w:val="24"/>
        </w:rPr>
        <w:instrText xml:space="preserve"> </w:instrText>
      </w:r>
      <w:r w:rsidR="00500F37">
        <w:rPr>
          <w:szCs w:val="24"/>
          <w:lang w:val="en-US"/>
        </w:rPr>
        <w:instrText>Myeloma</w:instrText>
      </w:r>
      <w:r w:rsidR="00500F37" w:rsidRPr="00500F37">
        <w:rPr>
          <w:szCs w:val="24"/>
        </w:rPr>
        <w:instrText xml:space="preserve"> </w:instrText>
      </w:r>
      <w:r w:rsidR="00500F37">
        <w:rPr>
          <w:szCs w:val="24"/>
          <w:lang w:val="en-US"/>
        </w:rPr>
        <w:instrText>Working</w:instrText>
      </w:r>
      <w:r w:rsidR="00500F37" w:rsidRPr="00500F37">
        <w:rPr>
          <w:szCs w:val="24"/>
        </w:rPr>
        <w:instrText xml:space="preserve"> </w:instrText>
      </w:r>
      <w:r w:rsidR="00500F37">
        <w:rPr>
          <w:szCs w:val="24"/>
          <w:lang w:val="en-US"/>
        </w:rPr>
        <w:instrText>Group</w:instrText>
      </w:r>
      <w:r w:rsidR="00500F37" w:rsidRPr="00500F37">
        <w:rPr>
          <w:szCs w:val="24"/>
        </w:rPr>
        <w:instrText>","</w:instrText>
      </w:r>
      <w:r w:rsidR="00500F37">
        <w:rPr>
          <w:szCs w:val="24"/>
          <w:lang w:val="en-US"/>
        </w:rPr>
        <w:instrText>type</w:instrText>
      </w:r>
      <w:r w:rsidR="00500F37" w:rsidRPr="00500F37">
        <w:rPr>
          <w:szCs w:val="24"/>
        </w:rPr>
        <w:instrText>":"</w:instrText>
      </w:r>
      <w:r w:rsidR="00500F37">
        <w:rPr>
          <w:szCs w:val="24"/>
          <w:lang w:val="en-US"/>
        </w:rPr>
        <w:instrText>article</w:instrText>
      </w:r>
      <w:r w:rsidR="00500F37" w:rsidRPr="00500F37">
        <w:rPr>
          <w:szCs w:val="24"/>
        </w:rPr>
        <w:instrText>","</w:instrText>
      </w:r>
      <w:r w:rsidR="00500F37">
        <w:rPr>
          <w:szCs w:val="24"/>
          <w:lang w:val="en-US"/>
        </w:rPr>
        <w:instrText>volume</w:instrText>
      </w:r>
      <w:r w:rsidR="00500F37" w:rsidRPr="00500F37">
        <w:rPr>
          <w:szCs w:val="24"/>
        </w:rPr>
        <w:instrText>":"28"},"</w:instrText>
      </w:r>
      <w:r w:rsidR="00500F37">
        <w:rPr>
          <w:szCs w:val="24"/>
          <w:lang w:val="en-US"/>
        </w:rPr>
        <w:instrText>uris</w:instrText>
      </w:r>
      <w:r w:rsidR="00500F37" w:rsidRPr="00500F37">
        <w:rPr>
          <w:szCs w:val="24"/>
        </w:rPr>
        <w:instrText>":["</w:instrText>
      </w:r>
      <w:r w:rsidR="00500F37">
        <w:rPr>
          <w:szCs w:val="24"/>
          <w:lang w:val="en-US"/>
        </w:rPr>
        <w:instrText>http</w:instrText>
      </w:r>
      <w:r w:rsidR="00500F37" w:rsidRPr="00500F37">
        <w:rPr>
          <w:szCs w:val="24"/>
        </w:rPr>
        <w:instrText>://</w:instrText>
      </w:r>
      <w:r w:rsidR="00500F37">
        <w:rPr>
          <w:szCs w:val="24"/>
          <w:lang w:val="en-US"/>
        </w:rPr>
        <w:instrText>www</w:instrText>
      </w:r>
      <w:r w:rsidR="00500F37" w:rsidRPr="00500F37">
        <w:rPr>
          <w:szCs w:val="24"/>
        </w:rPr>
        <w:instrText>.</w:instrText>
      </w:r>
      <w:r w:rsidR="00500F37">
        <w:rPr>
          <w:szCs w:val="24"/>
          <w:lang w:val="en-US"/>
        </w:rPr>
        <w:instrText>mendeley</w:instrText>
      </w:r>
      <w:r w:rsidR="00500F37" w:rsidRPr="00500F37">
        <w:rPr>
          <w:szCs w:val="24"/>
        </w:rPr>
        <w:instrText>.</w:instrText>
      </w:r>
      <w:r w:rsidR="00500F37">
        <w:rPr>
          <w:szCs w:val="24"/>
          <w:lang w:val="en-US"/>
        </w:rPr>
        <w:instrText>com</w:instrText>
      </w:r>
      <w:r w:rsidR="00500F37" w:rsidRPr="00500F37">
        <w:rPr>
          <w:szCs w:val="24"/>
        </w:rPr>
        <w:instrText>/</w:instrText>
      </w:r>
      <w:r w:rsidR="00500F37">
        <w:rPr>
          <w:szCs w:val="24"/>
          <w:lang w:val="en-US"/>
        </w:rPr>
        <w:instrText>documents</w:instrText>
      </w:r>
      <w:r w:rsidR="00500F37" w:rsidRPr="00500F37">
        <w:rPr>
          <w:szCs w:val="24"/>
        </w:rPr>
        <w:instrText>/?</w:instrText>
      </w:r>
      <w:r w:rsidR="00500F37">
        <w:rPr>
          <w:szCs w:val="24"/>
          <w:lang w:val="en-US"/>
        </w:rPr>
        <w:instrText>uuid</w:instrText>
      </w:r>
      <w:r w:rsidR="00500F37" w:rsidRPr="00500F37">
        <w:rPr>
          <w:szCs w:val="24"/>
        </w:rPr>
        <w:instrText>=31</w:instrText>
      </w:r>
      <w:r w:rsidR="00500F37">
        <w:rPr>
          <w:szCs w:val="24"/>
          <w:lang w:val="en-US"/>
        </w:rPr>
        <w:instrText>ccd</w:instrText>
      </w:r>
      <w:r w:rsidR="00500F37" w:rsidRPr="00500F37">
        <w:rPr>
          <w:szCs w:val="24"/>
        </w:rPr>
        <w:instrText>26</w:instrText>
      </w:r>
      <w:r w:rsidR="00500F37">
        <w:rPr>
          <w:szCs w:val="24"/>
          <w:lang w:val="en-US"/>
        </w:rPr>
        <w:instrText>d</w:instrText>
      </w:r>
      <w:r w:rsidR="00500F37" w:rsidRPr="00500F37">
        <w:rPr>
          <w:szCs w:val="24"/>
        </w:rPr>
        <w:instrText>-0</w:instrText>
      </w:r>
      <w:r w:rsidR="00500F37">
        <w:rPr>
          <w:szCs w:val="24"/>
          <w:lang w:val="en-US"/>
        </w:rPr>
        <w:instrText>b</w:instrText>
      </w:r>
      <w:r w:rsidR="00500F37" w:rsidRPr="00500F37">
        <w:rPr>
          <w:szCs w:val="24"/>
        </w:rPr>
        <w:instrText>3</w:instrText>
      </w:r>
      <w:r w:rsidR="00500F37">
        <w:rPr>
          <w:szCs w:val="24"/>
          <w:lang w:val="en-US"/>
        </w:rPr>
        <w:instrText>e</w:instrText>
      </w:r>
      <w:r w:rsidR="00500F37" w:rsidRPr="00500F37">
        <w:rPr>
          <w:szCs w:val="24"/>
        </w:rPr>
        <w:instrText>-4278-8</w:instrText>
      </w:r>
      <w:r w:rsidR="00500F37">
        <w:rPr>
          <w:szCs w:val="24"/>
          <w:lang w:val="en-US"/>
        </w:rPr>
        <w:instrText>ba</w:instrText>
      </w:r>
      <w:r w:rsidR="00500F37" w:rsidRPr="00500F37">
        <w:rPr>
          <w:szCs w:val="24"/>
        </w:rPr>
        <w:instrText>2-12</w:instrText>
      </w:r>
      <w:r w:rsidR="00500F37">
        <w:rPr>
          <w:szCs w:val="24"/>
          <w:lang w:val="en-US"/>
        </w:rPr>
        <w:instrText>dfa</w:instrText>
      </w:r>
      <w:r w:rsidR="00500F37" w:rsidRPr="00500F37">
        <w:rPr>
          <w:szCs w:val="24"/>
        </w:rPr>
        <w:instrText>37001</w:instrText>
      </w:r>
      <w:r w:rsidR="00500F37">
        <w:rPr>
          <w:szCs w:val="24"/>
          <w:lang w:val="en-US"/>
        </w:rPr>
        <w:instrText>c</w:instrText>
      </w:r>
      <w:r w:rsidR="00500F37" w:rsidRPr="00500F37">
        <w:rPr>
          <w:szCs w:val="24"/>
        </w:rPr>
        <w:instrText>3"]}],"</w:instrText>
      </w:r>
      <w:r w:rsidR="00500F37">
        <w:rPr>
          <w:szCs w:val="24"/>
          <w:lang w:val="en-US"/>
        </w:rPr>
        <w:instrText>mendeley</w:instrText>
      </w:r>
      <w:r w:rsidR="00500F37" w:rsidRPr="00500F37">
        <w:rPr>
          <w:szCs w:val="24"/>
        </w:rPr>
        <w:instrText>":{"</w:instrText>
      </w:r>
      <w:r w:rsidR="00500F37">
        <w:rPr>
          <w:szCs w:val="24"/>
          <w:lang w:val="en-US"/>
        </w:rPr>
        <w:instrText>formattedCitation</w:instrText>
      </w:r>
      <w:r w:rsidR="00500F37" w:rsidRPr="00500F37">
        <w:rPr>
          <w:szCs w:val="24"/>
        </w:rPr>
        <w:instrText>":"[79]","</w:instrText>
      </w:r>
      <w:r w:rsidR="00500F37">
        <w:rPr>
          <w:szCs w:val="24"/>
          <w:lang w:val="en-US"/>
        </w:rPr>
        <w:instrText>plainTextFormattedCitation</w:instrText>
      </w:r>
      <w:r w:rsidR="00500F37" w:rsidRPr="00500F37">
        <w:rPr>
          <w:szCs w:val="24"/>
        </w:rPr>
        <w:instrText>":"[79]","</w:instrText>
      </w:r>
      <w:r w:rsidR="00500F37">
        <w:rPr>
          <w:szCs w:val="24"/>
          <w:lang w:val="en-US"/>
        </w:rPr>
        <w:instrText>previouslyFormattedCitation</w:instrText>
      </w:r>
      <w:r w:rsidR="00500F37" w:rsidRPr="00500F37">
        <w:rPr>
          <w:szCs w:val="24"/>
        </w:rPr>
        <w:instrText>":"[79]"},"</w:instrText>
      </w:r>
      <w:r w:rsidR="00500F37">
        <w:rPr>
          <w:szCs w:val="24"/>
          <w:lang w:val="en-US"/>
        </w:rPr>
        <w:instrText>properties</w:instrText>
      </w:r>
      <w:r w:rsidR="00500F37" w:rsidRPr="00500F37">
        <w:rPr>
          <w:szCs w:val="24"/>
        </w:rPr>
        <w:instrText>":{"</w:instrText>
      </w:r>
      <w:r w:rsidR="00500F37">
        <w:rPr>
          <w:szCs w:val="24"/>
          <w:lang w:val="en-US"/>
        </w:rPr>
        <w:instrText>noteIndex</w:instrText>
      </w:r>
      <w:r w:rsidR="00500F37" w:rsidRPr="00500F37">
        <w:rPr>
          <w:szCs w:val="24"/>
        </w:rPr>
        <w:instrText>":0},"</w:instrText>
      </w:r>
      <w:r w:rsidR="00500F37">
        <w:rPr>
          <w:szCs w:val="24"/>
          <w:lang w:val="en-US"/>
        </w:rPr>
        <w:instrText>schema</w:instrText>
      </w:r>
      <w:r w:rsidR="00500F37" w:rsidRPr="00500F37">
        <w:rPr>
          <w:szCs w:val="24"/>
        </w:rPr>
        <w:instrText>":"</w:instrText>
      </w:r>
      <w:r w:rsidR="00500F37">
        <w:rPr>
          <w:szCs w:val="24"/>
          <w:lang w:val="en-US"/>
        </w:rPr>
        <w:instrText>https</w:instrText>
      </w:r>
      <w:r w:rsidR="00500F37" w:rsidRPr="00500F37">
        <w:rPr>
          <w:szCs w:val="24"/>
        </w:rPr>
        <w:instrText>://</w:instrText>
      </w:r>
      <w:r w:rsidR="00500F37">
        <w:rPr>
          <w:szCs w:val="24"/>
          <w:lang w:val="en-US"/>
        </w:rPr>
        <w:instrText>github</w:instrText>
      </w:r>
      <w:r w:rsidR="00500F37" w:rsidRPr="00500F37">
        <w:rPr>
          <w:szCs w:val="24"/>
        </w:rPr>
        <w:instrText>.</w:instrText>
      </w:r>
      <w:r w:rsidR="00500F37">
        <w:rPr>
          <w:szCs w:val="24"/>
          <w:lang w:val="en-US"/>
        </w:rPr>
        <w:instrText>com</w:instrText>
      </w:r>
      <w:r w:rsidR="00500F37" w:rsidRPr="00500F37">
        <w:rPr>
          <w:szCs w:val="24"/>
        </w:rPr>
        <w:instrText>/</w:instrText>
      </w:r>
      <w:r w:rsidR="00500F37">
        <w:rPr>
          <w:szCs w:val="24"/>
          <w:lang w:val="en-US"/>
        </w:rPr>
        <w:instrText>citation</w:instrText>
      </w:r>
      <w:r w:rsidR="00500F37" w:rsidRPr="00500F37">
        <w:rPr>
          <w:szCs w:val="24"/>
        </w:rPr>
        <w:instrText>-</w:instrText>
      </w:r>
      <w:r w:rsidR="00500F37">
        <w:rPr>
          <w:szCs w:val="24"/>
          <w:lang w:val="en-US"/>
        </w:rPr>
        <w:instrText>style</w:instrText>
      </w:r>
      <w:r w:rsidR="00500F37" w:rsidRPr="00500F37">
        <w:rPr>
          <w:szCs w:val="24"/>
        </w:rPr>
        <w:instrText>-</w:instrText>
      </w:r>
      <w:r w:rsidR="00500F37">
        <w:rPr>
          <w:szCs w:val="24"/>
          <w:lang w:val="en-US"/>
        </w:rPr>
        <w:instrText>language</w:instrText>
      </w:r>
      <w:r w:rsidR="00500F37" w:rsidRPr="00500F37">
        <w:rPr>
          <w:szCs w:val="24"/>
        </w:rPr>
        <w:instrText>/</w:instrText>
      </w:r>
      <w:r w:rsidR="00500F37">
        <w:rPr>
          <w:szCs w:val="24"/>
          <w:lang w:val="en-US"/>
        </w:rPr>
        <w:instrText>schema</w:instrText>
      </w:r>
      <w:r w:rsidR="00500F37" w:rsidRPr="00500F37">
        <w:rPr>
          <w:szCs w:val="24"/>
        </w:rPr>
        <w:instrText>/</w:instrText>
      </w:r>
      <w:r w:rsidR="00500F37">
        <w:rPr>
          <w:szCs w:val="24"/>
          <w:lang w:val="en-US"/>
        </w:rPr>
        <w:instrText>raw</w:instrText>
      </w:r>
      <w:r w:rsidR="00500F37" w:rsidRPr="00500F37">
        <w:rPr>
          <w:szCs w:val="24"/>
        </w:rPr>
        <w:instrText>/</w:instrText>
      </w:r>
      <w:r w:rsidR="00500F37">
        <w:rPr>
          <w:szCs w:val="24"/>
          <w:lang w:val="en-US"/>
        </w:rPr>
        <w:instrText>master</w:instrText>
      </w:r>
      <w:r w:rsidR="00500F37" w:rsidRPr="00500F37">
        <w:rPr>
          <w:szCs w:val="24"/>
        </w:rPr>
        <w:instrText>/</w:instrText>
      </w:r>
      <w:r w:rsidR="00500F37">
        <w:rPr>
          <w:szCs w:val="24"/>
          <w:lang w:val="en-US"/>
        </w:rPr>
        <w:instrText>csl</w:instrText>
      </w:r>
      <w:r w:rsidR="00500F37" w:rsidRPr="00500F37">
        <w:rPr>
          <w:szCs w:val="24"/>
        </w:rPr>
        <w:instrText>-</w:instrText>
      </w:r>
      <w:r w:rsidR="00500F37">
        <w:rPr>
          <w:szCs w:val="24"/>
          <w:lang w:val="en-US"/>
        </w:rPr>
        <w:instrText>citation</w:instrText>
      </w:r>
      <w:r w:rsidR="00500F37" w:rsidRPr="00500F37">
        <w:rPr>
          <w:szCs w:val="24"/>
        </w:rPr>
        <w:instrText>.</w:instrText>
      </w:r>
      <w:r w:rsidR="00500F37">
        <w:rPr>
          <w:szCs w:val="24"/>
          <w:lang w:val="en-US"/>
        </w:rPr>
        <w:instrText>json</w:instrText>
      </w:r>
      <w:r w:rsidR="00500F37" w:rsidRPr="00500F37">
        <w:rPr>
          <w:szCs w:val="24"/>
        </w:rPr>
        <w:instrText>"}</w:instrText>
      </w:r>
      <w:r w:rsidR="00452478" w:rsidRPr="00805C9F">
        <w:rPr>
          <w:szCs w:val="24"/>
        </w:rPr>
        <w:fldChar w:fldCharType="separate"/>
      </w:r>
      <w:r w:rsidR="00C15DA7" w:rsidRPr="00805C9F">
        <w:rPr>
          <w:noProof/>
          <w:szCs w:val="24"/>
        </w:rPr>
        <w:t>[79]</w:t>
      </w:r>
      <w:r w:rsidR="00452478" w:rsidRPr="00805C9F">
        <w:rPr>
          <w:szCs w:val="24"/>
        </w:rPr>
        <w:fldChar w:fldCharType="end"/>
      </w:r>
      <w:r w:rsidR="008F69F6" w:rsidRPr="00805C9F">
        <w:rPr>
          <w:szCs w:val="24"/>
        </w:rPr>
        <w:t xml:space="preserve"> </w:t>
      </w:r>
    </w:p>
    <w:tbl>
      <w:tblPr>
        <w:tblStyle w:val="22"/>
        <w:tblW w:w="0" w:type="auto"/>
        <w:tblLook w:val="04A0" w:firstRow="1" w:lastRow="0" w:firstColumn="1" w:lastColumn="0" w:noHBand="0" w:noVBand="1"/>
      </w:tblPr>
      <w:tblGrid>
        <w:gridCol w:w="2376"/>
        <w:gridCol w:w="3573"/>
        <w:gridCol w:w="3396"/>
      </w:tblGrid>
      <w:tr w:rsidR="00B424E0" w:rsidRPr="00B424E0" w14:paraId="1B82B053" w14:textId="77777777" w:rsidTr="001471FD">
        <w:trPr>
          <w:tblHeader/>
        </w:trPr>
        <w:tc>
          <w:tcPr>
            <w:tcW w:w="2376" w:type="dxa"/>
          </w:tcPr>
          <w:p w14:paraId="544FB737" w14:textId="77777777" w:rsidR="00B424E0" w:rsidRPr="00B424E0" w:rsidRDefault="00B424E0" w:rsidP="00092917">
            <w:pPr>
              <w:spacing w:before="0" w:after="0"/>
            </w:pPr>
            <w:r w:rsidRPr="00B424E0">
              <w:t xml:space="preserve">Почечный ответ </w:t>
            </w:r>
          </w:p>
          <w:p w14:paraId="11349D50" w14:textId="77777777" w:rsidR="00B424E0" w:rsidRPr="00B424E0" w:rsidRDefault="00B424E0" w:rsidP="00092917">
            <w:pPr>
              <w:spacing w:before="0" w:after="0"/>
            </w:pPr>
          </w:p>
        </w:tc>
        <w:tc>
          <w:tcPr>
            <w:tcW w:w="3573" w:type="dxa"/>
          </w:tcPr>
          <w:p w14:paraId="2A83C1DB" w14:textId="77777777" w:rsidR="00B424E0" w:rsidRPr="00B424E0" w:rsidRDefault="00B424E0" w:rsidP="00092917">
            <w:pPr>
              <w:spacing w:before="0" w:after="0"/>
            </w:pPr>
            <w:r w:rsidRPr="00B424E0">
              <w:t xml:space="preserve">Исходная СКФ (мл/мин/1,73 м2) </w:t>
            </w:r>
          </w:p>
          <w:p w14:paraId="1BB0C674" w14:textId="77777777" w:rsidR="00B424E0" w:rsidRPr="00B424E0" w:rsidRDefault="00B424E0" w:rsidP="00092917">
            <w:pPr>
              <w:spacing w:before="0" w:after="0"/>
            </w:pPr>
          </w:p>
        </w:tc>
        <w:tc>
          <w:tcPr>
            <w:tcW w:w="3396" w:type="dxa"/>
          </w:tcPr>
          <w:p w14:paraId="67BA0616" w14:textId="77777777" w:rsidR="00B424E0" w:rsidRPr="00B424E0" w:rsidRDefault="00B424E0" w:rsidP="00092917">
            <w:pPr>
              <w:spacing w:before="0" w:after="0"/>
            </w:pPr>
            <w:r w:rsidRPr="00B424E0">
              <w:t xml:space="preserve">СКФ после терапии (мл/мин/1,73 м2) </w:t>
            </w:r>
          </w:p>
          <w:p w14:paraId="668871CD" w14:textId="77777777" w:rsidR="00B424E0" w:rsidRPr="00B424E0" w:rsidRDefault="00B424E0" w:rsidP="00092917">
            <w:pPr>
              <w:spacing w:before="0" w:after="0"/>
            </w:pPr>
          </w:p>
        </w:tc>
      </w:tr>
      <w:tr w:rsidR="00B424E0" w:rsidRPr="00B424E0" w14:paraId="0D5585D5" w14:textId="77777777" w:rsidTr="00B424E0">
        <w:tc>
          <w:tcPr>
            <w:tcW w:w="2376" w:type="dxa"/>
          </w:tcPr>
          <w:p w14:paraId="142197DF" w14:textId="3C8E0C28" w:rsidR="00B424E0" w:rsidRPr="00B424E0" w:rsidRDefault="00B424E0" w:rsidP="00092917">
            <w:pPr>
              <w:spacing w:before="0" w:after="0"/>
            </w:pPr>
            <w:r w:rsidRPr="00B424E0">
              <w:t xml:space="preserve">Полный ответ </w:t>
            </w:r>
          </w:p>
        </w:tc>
        <w:tc>
          <w:tcPr>
            <w:tcW w:w="3573" w:type="dxa"/>
          </w:tcPr>
          <w:p w14:paraId="67CBF630" w14:textId="77777777" w:rsidR="00B424E0" w:rsidRPr="00B424E0" w:rsidRDefault="00B424E0" w:rsidP="00092917">
            <w:pPr>
              <w:spacing w:before="0" w:after="0"/>
            </w:pPr>
            <w:r w:rsidRPr="00B424E0">
              <w:t>&lt;50</w:t>
            </w:r>
          </w:p>
        </w:tc>
        <w:tc>
          <w:tcPr>
            <w:tcW w:w="3396" w:type="dxa"/>
          </w:tcPr>
          <w:p w14:paraId="16B087C6" w14:textId="77777777" w:rsidR="00B424E0" w:rsidRPr="00B424E0" w:rsidRDefault="00B424E0" w:rsidP="00092917">
            <w:pPr>
              <w:spacing w:before="0" w:after="0"/>
            </w:pPr>
            <w:r w:rsidRPr="00B424E0">
              <w:t>≥60</w:t>
            </w:r>
          </w:p>
        </w:tc>
      </w:tr>
      <w:tr w:rsidR="00B424E0" w:rsidRPr="00B424E0" w14:paraId="2C777F0B" w14:textId="77777777" w:rsidTr="00B424E0">
        <w:tc>
          <w:tcPr>
            <w:tcW w:w="2376" w:type="dxa"/>
          </w:tcPr>
          <w:p w14:paraId="71B74483" w14:textId="307529A8" w:rsidR="00B424E0" w:rsidRPr="00B424E0" w:rsidRDefault="00B424E0" w:rsidP="00092917">
            <w:pPr>
              <w:spacing w:before="0" w:after="0"/>
            </w:pPr>
            <w:r w:rsidRPr="00B424E0">
              <w:t xml:space="preserve">Частичный ответ </w:t>
            </w:r>
          </w:p>
        </w:tc>
        <w:tc>
          <w:tcPr>
            <w:tcW w:w="3573" w:type="dxa"/>
          </w:tcPr>
          <w:p w14:paraId="1ECC39D9" w14:textId="77777777" w:rsidR="00B424E0" w:rsidRPr="00B424E0" w:rsidRDefault="00B424E0" w:rsidP="00092917">
            <w:pPr>
              <w:spacing w:before="0" w:after="0"/>
            </w:pPr>
            <w:r w:rsidRPr="00B424E0">
              <w:t>&lt;15</w:t>
            </w:r>
          </w:p>
        </w:tc>
        <w:tc>
          <w:tcPr>
            <w:tcW w:w="3396" w:type="dxa"/>
          </w:tcPr>
          <w:p w14:paraId="1BD3EEA9" w14:textId="77777777" w:rsidR="00B424E0" w:rsidRPr="00B424E0" w:rsidRDefault="00B424E0" w:rsidP="00092917">
            <w:pPr>
              <w:spacing w:before="0" w:after="0"/>
            </w:pPr>
            <w:r w:rsidRPr="00B424E0">
              <w:t>30-59</w:t>
            </w:r>
          </w:p>
        </w:tc>
      </w:tr>
      <w:tr w:rsidR="00B424E0" w:rsidRPr="00B424E0" w14:paraId="79D8C79C" w14:textId="77777777" w:rsidTr="00B424E0">
        <w:tc>
          <w:tcPr>
            <w:tcW w:w="2376" w:type="dxa"/>
          </w:tcPr>
          <w:p w14:paraId="7A3139CA" w14:textId="19CBE4AE" w:rsidR="00B424E0" w:rsidRPr="00B424E0" w:rsidRDefault="00B424E0" w:rsidP="00092917">
            <w:pPr>
              <w:spacing w:before="0" w:after="0"/>
            </w:pPr>
            <w:r w:rsidRPr="00B424E0">
              <w:t xml:space="preserve">Минимальный ответ </w:t>
            </w:r>
          </w:p>
        </w:tc>
        <w:tc>
          <w:tcPr>
            <w:tcW w:w="3573" w:type="dxa"/>
          </w:tcPr>
          <w:p w14:paraId="4D82F9D6" w14:textId="77777777" w:rsidR="00B424E0" w:rsidRPr="00B424E0" w:rsidRDefault="00B424E0" w:rsidP="00092917">
            <w:pPr>
              <w:spacing w:before="0" w:after="0"/>
            </w:pPr>
            <w:r w:rsidRPr="00B424E0">
              <w:t>&lt;15</w:t>
            </w:r>
          </w:p>
        </w:tc>
        <w:tc>
          <w:tcPr>
            <w:tcW w:w="3396" w:type="dxa"/>
          </w:tcPr>
          <w:p w14:paraId="34B75F89" w14:textId="77777777" w:rsidR="00B424E0" w:rsidRPr="00B424E0" w:rsidRDefault="00B424E0" w:rsidP="00092917">
            <w:pPr>
              <w:spacing w:before="0" w:after="0"/>
            </w:pPr>
            <w:r w:rsidRPr="00B424E0">
              <w:t>15-29</w:t>
            </w:r>
          </w:p>
        </w:tc>
      </w:tr>
    </w:tbl>
    <w:p w14:paraId="1458FFDA" w14:textId="3D1A97C6" w:rsidR="0084190C" w:rsidRPr="00805C9F" w:rsidRDefault="0084190C" w:rsidP="00092917">
      <w:pPr>
        <w:spacing w:before="0" w:after="0"/>
        <w:rPr>
          <w:rStyle w:val="ac"/>
          <w:bCs w:val="0"/>
          <w:iCs/>
          <w:szCs w:val="24"/>
        </w:rPr>
      </w:pPr>
      <w:r w:rsidRPr="00805C9F">
        <w:rPr>
          <w:b/>
          <w:iCs/>
          <w:szCs w:val="24"/>
        </w:rPr>
        <w:t xml:space="preserve">Уровень убедительности рекомендаций − </w:t>
      </w:r>
      <w:r w:rsidR="00452478" w:rsidRPr="00805C9F">
        <w:rPr>
          <w:b/>
          <w:iCs/>
          <w:szCs w:val="24"/>
        </w:rPr>
        <w:t>А</w:t>
      </w:r>
      <w:r w:rsidRPr="00805C9F">
        <w:rPr>
          <w:b/>
          <w:iCs/>
          <w:szCs w:val="24"/>
        </w:rPr>
        <w:t xml:space="preserve"> (уровень достоверности доказательств − 2)</w:t>
      </w:r>
    </w:p>
    <w:p w14:paraId="14AD9469" w14:textId="4317E2F5" w:rsidR="009D0748" w:rsidRPr="00805C9F" w:rsidRDefault="009D0748" w:rsidP="00092917">
      <w:pPr>
        <w:pStyle w:val="2"/>
        <w:spacing w:before="0" w:after="0"/>
        <w:rPr>
          <w:rStyle w:val="ac"/>
          <w:rFonts w:eastAsia="Calibri"/>
          <w:b/>
          <w:bCs w:val="0"/>
          <w:szCs w:val="24"/>
          <w:u w:val="none"/>
        </w:rPr>
      </w:pPr>
      <w:bookmarkStart w:id="37" w:name="_Toc97734635"/>
      <w:r w:rsidRPr="00805C9F">
        <w:rPr>
          <w:rStyle w:val="ac"/>
          <w:b/>
          <w:bCs w:val="0"/>
          <w:szCs w:val="24"/>
        </w:rPr>
        <w:t>3.</w:t>
      </w:r>
      <w:r w:rsidR="00B424E0" w:rsidRPr="00805C9F">
        <w:rPr>
          <w:rStyle w:val="ac"/>
          <w:b/>
          <w:bCs w:val="0"/>
          <w:szCs w:val="24"/>
        </w:rPr>
        <w:t>6</w:t>
      </w:r>
      <w:r w:rsidRPr="00805C9F">
        <w:rPr>
          <w:rStyle w:val="ac"/>
          <w:b/>
          <w:bCs w:val="0"/>
          <w:szCs w:val="24"/>
        </w:rPr>
        <w:t xml:space="preserve"> Сопроводительная терапия</w:t>
      </w:r>
      <w:bookmarkEnd w:id="37"/>
    </w:p>
    <w:p w14:paraId="622333EB" w14:textId="3F7A935B" w:rsidR="009D0748" w:rsidRPr="00805C9F" w:rsidRDefault="009D0748" w:rsidP="00893452">
      <w:pPr>
        <w:pStyle w:val="a4"/>
        <w:numPr>
          <w:ilvl w:val="0"/>
          <w:numId w:val="55"/>
        </w:numPr>
        <w:spacing w:before="0" w:beforeAutospacing="0" w:after="0" w:afterAutospacing="0" w:line="360" w:lineRule="auto"/>
        <w:ind w:left="0" w:firstLine="0"/>
        <w:contextualSpacing/>
        <w:jc w:val="both"/>
      </w:pPr>
      <w:r w:rsidRPr="00805C9F">
        <w:rPr>
          <w:rStyle w:val="ac"/>
          <w:b w:val="0"/>
        </w:rPr>
        <w:t xml:space="preserve">Пациентам с ММ, получающим эметогенную терапию, </w:t>
      </w:r>
      <w:r w:rsidRPr="00805C9F">
        <w:rPr>
          <w:rStyle w:val="ac"/>
        </w:rPr>
        <w:t xml:space="preserve">рекомендуется </w:t>
      </w:r>
      <w:r w:rsidRPr="00805C9F">
        <w:t xml:space="preserve">профилактика тошноты и рвоты в соответствии с существующими профильными рекомендациями </w:t>
      </w:r>
      <w:r w:rsidR="00A96FB6" w:rsidRPr="00805C9F">
        <w:fldChar w:fldCharType="begin" w:fldLock="1"/>
      </w:r>
      <w:r w:rsidR="00500F37">
        <w:instrText>ADDIN CSL_CITATION {"citationItems":[{"id":"ITEM-1","itemData":{"DOI":"10.18027/2224-5057-2016-4s2-378-389","author":[{"dropping-particle":"","family":"Снеговой А. В., Абрамов М. Е., Бяхов М. Ю., Владимирова Л. Ю., Возный Э. К., Гладков О. А., Когония Л. М., Кононенко И. Б., Копп М. В., Королева И. А., Ларионова В. Б., Личиницер М. Р., Поддубная И. В.","given":"Птушкин В. В.","non-dropping-particle":"","parse-names":false,"suffix":""}],"container-title":"Практические рекомендации","id":"ITEM-1","issued":{"date-parts":[["2016"]]},"title":"Практические рекомендации по профилактике и лечению тошноты и рвоты у онкологических больных.","type":"article-journal"},"uris":["http://www.mendeley.com/documents/?uuid=024ffa3e-933b-4189-91a9-70a174746f6a"]}],"mendeley":{"formattedCitation":"[80]","plainTextFormattedCitation":"[80]","previouslyFormattedCitation":"[80]"},"properties":{"noteIndex":0},"schema":"https://github.com/citation-style-language/schema/raw/master/csl-citation.json"}</w:instrText>
      </w:r>
      <w:r w:rsidR="00A96FB6" w:rsidRPr="00805C9F">
        <w:fldChar w:fldCharType="separate"/>
      </w:r>
      <w:r w:rsidR="00C15DA7" w:rsidRPr="00805C9F">
        <w:rPr>
          <w:noProof/>
        </w:rPr>
        <w:t>[80]</w:t>
      </w:r>
      <w:r w:rsidR="00A96FB6" w:rsidRPr="00805C9F">
        <w:fldChar w:fldCharType="end"/>
      </w:r>
      <w:r w:rsidRPr="00805C9F">
        <w:t xml:space="preserve"> .</w:t>
      </w:r>
    </w:p>
    <w:p w14:paraId="7B8BABEA" w14:textId="77777777" w:rsidR="009D0748" w:rsidRPr="00805C9F" w:rsidRDefault="009D0748" w:rsidP="00092917">
      <w:pPr>
        <w:pStyle w:val="a4"/>
        <w:spacing w:before="0" w:beforeAutospacing="0" w:after="0" w:afterAutospacing="0" w:line="360" w:lineRule="auto"/>
        <w:contextualSpacing/>
        <w:jc w:val="both"/>
        <w:rPr>
          <w:rStyle w:val="ac"/>
        </w:rPr>
      </w:pPr>
      <w:r w:rsidRPr="00805C9F">
        <w:rPr>
          <w:rStyle w:val="ac"/>
        </w:rPr>
        <w:t xml:space="preserve">Уровень убедительности рекомендаций </w:t>
      </w:r>
      <w:r w:rsidR="007279FD" w:rsidRPr="00805C9F">
        <w:rPr>
          <w:rStyle w:val="ac"/>
        </w:rPr>
        <w:t xml:space="preserve">− </w:t>
      </w:r>
      <w:r w:rsidR="0081352B" w:rsidRPr="00805C9F">
        <w:rPr>
          <w:rStyle w:val="ac"/>
        </w:rPr>
        <w:t>С</w:t>
      </w:r>
      <w:r w:rsidRPr="00805C9F">
        <w:rPr>
          <w:rStyle w:val="ac"/>
        </w:rPr>
        <w:t xml:space="preserve"> (уровень достоверности доказательств – </w:t>
      </w:r>
      <w:r w:rsidR="0081352B" w:rsidRPr="00805C9F">
        <w:rPr>
          <w:rStyle w:val="ac"/>
        </w:rPr>
        <w:t>5</w:t>
      </w:r>
      <w:r w:rsidRPr="00805C9F">
        <w:rPr>
          <w:rStyle w:val="ac"/>
        </w:rPr>
        <w:t>)</w:t>
      </w:r>
    </w:p>
    <w:p w14:paraId="384F1F47" w14:textId="2847A835" w:rsidR="00FF1FD9" w:rsidRPr="00805C9F" w:rsidRDefault="00FF1FD9" w:rsidP="00893452">
      <w:pPr>
        <w:pStyle w:val="a6"/>
        <w:numPr>
          <w:ilvl w:val="0"/>
          <w:numId w:val="56"/>
        </w:numPr>
        <w:spacing w:before="0" w:after="0"/>
        <w:ind w:left="0" w:firstLine="0"/>
        <w:rPr>
          <w:szCs w:val="24"/>
        </w:rPr>
      </w:pPr>
      <w:r w:rsidRPr="00805C9F">
        <w:rPr>
          <w:szCs w:val="24"/>
        </w:rPr>
        <w:t xml:space="preserve">Пациентам </w:t>
      </w:r>
      <w:r w:rsidRPr="00805C9F">
        <w:rPr>
          <w:szCs w:val="24"/>
          <w:lang w:val="en-US"/>
        </w:rPr>
        <w:t>c</w:t>
      </w:r>
      <w:r w:rsidRPr="00805C9F">
        <w:rPr>
          <w:szCs w:val="24"/>
        </w:rPr>
        <w:t xml:space="preserve"> ММ, у которых выявляется уровень иммуноглобулина G </w:t>
      </w:r>
      <w:r w:rsidR="007279FD" w:rsidRPr="00805C9F">
        <w:rPr>
          <w:szCs w:val="24"/>
        </w:rPr>
        <w:t>&lt;</w:t>
      </w:r>
      <w:r w:rsidRPr="00805C9F">
        <w:rPr>
          <w:szCs w:val="24"/>
        </w:rPr>
        <w:t xml:space="preserve">5 г/л и отмечаются рецидивирующие бактериальные инфекции, </w:t>
      </w:r>
      <w:r w:rsidRPr="00805C9F">
        <w:rPr>
          <w:b/>
          <w:szCs w:val="24"/>
        </w:rPr>
        <w:t>рекомендовано</w:t>
      </w:r>
      <w:r w:rsidRPr="00805C9F">
        <w:rPr>
          <w:szCs w:val="24"/>
        </w:rPr>
        <w:t xml:space="preserve"> при наличии возможности проведение постоянной заместительной терапии внутривенным иммуноглобулином для снижения риска инфекционных осложнений</w:t>
      </w:r>
      <w:r w:rsidR="00E51C95" w:rsidRPr="00805C9F">
        <w:rPr>
          <w:szCs w:val="24"/>
        </w:rPr>
        <w:t xml:space="preserve"> </w:t>
      </w:r>
      <w:r w:rsidR="00E51C95" w:rsidRPr="00805C9F">
        <w:rPr>
          <w:szCs w:val="24"/>
        </w:rPr>
        <w:fldChar w:fldCharType="begin" w:fldLock="1"/>
      </w:r>
      <w:r w:rsidR="00A14090">
        <w:rPr>
          <w:szCs w:val="24"/>
        </w:rPr>
        <w:instrText>ADDIN CSL_CITATION {"citationItems":[{"id":"ITEM-1","itemData":{"DOI":"10.3389/fimmu.2014.00626","ISSN":"16643224","abstract":"Immunoglobulin (Ig) replacement therapy dramatically changed the clinical course of primary hypogammaglobulinemias, significantly reducing the incidence of infectious events. Over the last two decades its use has been extended to secondary antibody deficiencies, particularly those related to hematological disorders as lymphoproliferative diseases (LPDs) and multiple myeloma. In these malignancies, hypogammaglobulinemia can be an intrinsic aspect of the disease or follow chemo-immunotherapy regimens, including anti-CD20 treatment. Other than in LPDs the broadening use of immunotherapy (e.g., rituximab) and immune-suppressive therapy (steroids, sulfasalazine, and mycophenolate mofetil) has extended the occurrence of iatrogenic hypogammaglobulinemia. In particular, in both autoimmune diseases and solid organ transplantation Ig replacement therapy has been shown to reduce the rate of infectious events. Here, we review the existing literature about Ig replacement therapy in secondary hypogammaglobulinemia, with special regard for subcutaneous administration route, a safe, effective, and well-tolerated treatment approach, currently well established in primary immunodeficiencies and secondary hypogammaglobulinemias.","author":[{"dropping-particle":"","family":"Compagno","given":"Nicolò","non-dropping-particle":"","parse-names":false,"suffix":""},{"dropping-particle":"","family":"Malipiero","given":"Giacomo","non-dropping-particle":"","parse-names":false,"suffix":""},{"dropping-particle":"","family":"Cinetto","given":"Francesco","non-dropping-particle":"","parse-names":false,"suffix":""},{"dropping-particle":"","family":"Agostini","given":"Carlo","non-dropping-particle":"","parse-names":false,"suffix":""}],"container-title":"Frontiers in Immunology","id":"ITEM-1","issue":"DEC","issued":{"date-parts":[["2014"]]},"publisher":"Frontiers Media S.A.","title":"Immunoglobulin replacement therapy in secondary hypogammaglobulinemia","type":"article","volume":"5"},"uris":["http://www.mendeley.com/documents/?uuid=8b24ca24-7105-34a2-a377-64592ae36126"]},{"id":"ITEM-2","itemData":{"author":[{"dropping-particle":"","family":"Константинова","given":"Т.С.","non-dropping-particle":"","parse-names":false,"suffix":""},{"dropping-particle":"","family":"Клясова","given":"Г.А.","non-dropping-particle":"","parse-names":false,"suffix":""},{"dropping-particle":"","family":"Капланов","given":"К.Д.","non-dropping-particle":"","parse-names":false,"suffix":""}],"editor":[{"dropping-particle":"","family":"Поддубная","given":"И.В.","non-dropping-particle":"","parse-names":false,"suffix":""},{"dropping-particle":"","family":"Савченко","given":"В.Г.","non-dropping-particle":"","parse-names":false,"suffix":""}],"id":"ITEM-2","issued":{"date-parts":[["2018"]]},"number-of-pages":"289-311","publisher-place":"Москва","title":"Лечение и профилактика инфекционных осложнений у пациентов с лимфопролиферативными заболеваниями. Российские клинические рекомендации по диагностике и лечению злокачественных лимфопролиферативных заболеваний.","type":"book"},"uris":["http://www.mendeley.com/documents/?uuid=3b7cadb9-0688-40f3-82e7-87aa1a72bca1"]}],"mendeley":{"formattedCitation":"[81,82]","plainTextFormattedCitation":"[81,82]","previouslyFormattedCitation":"[81,82]"},"properties":{"noteIndex":0},"schema":"https://github.com/citation-style-language/schema/raw/master/csl-citation.json"}</w:instrText>
      </w:r>
      <w:r w:rsidR="00E51C95" w:rsidRPr="00805C9F">
        <w:rPr>
          <w:szCs w:val="24"/>
        </w:rPr>
        <w:fldChar w:fldCharType="separate"/>
      </w:r>
      <w:r w:rsidR="00500F37" w:rsidRPr="00500F37">
        <w:rPr>
          <w:noProof/>
          <w:szCs w:val="24"/>
        </w:rPr>
        <w:t>[81,82]</w:t>
      </w:r>
      <w:r w:rsidR="00E51C95" w:rsidRPr="00805C9F">
        <w:rPr>
          <w:szCs w:val="24"/>
        </w:rPr>
        <w:fldChar w:fldCharType="end"/>
      </w:r>
      <w:r w:rsidRPr="00805C9F">
        <w:rPr>
          <w:szCs w:val="24"/>
        </w:rPr>
        <w:t xml:space="preserve">. </w:t>
      </w:r>
    </w:p>
    <w:p w14:paraId="4E6FB697" w14:textId="7CAAF8CA" w:rsidR="00177503" w:rsidRDefault="00FF1FD9" w:rsidP="00092917">
      <w:pPr>
        <w:spacing w:before="0" w:after="0"/>
        <w:rPr>
          <w:b/>
          <w:szCs w:val="24"/>
        </w:rPr>
      </w:pPr>
      <w:r w:rsidRPr="00805C9F">
        <w:rPr>
          <w:b/>
          <w:szCs w:val="24"/>
        </w:rPr>
        <w:t xml:space="preserve">Уровень убедительности рекомендаций </w:t>
      </w:r>
      <w:r w:rsidR="007279FD" w:rsidRPr="00805C9F">
        <w:rPr>
          <w:b/>
          <w:szCs w:val="24"/>
        </w:rPr>
        <w:t xml:space="preserve">− </w:t>
      </w:r>
      <w:r w:rsidR="00E51C95" w:rsidRPr="00805C9F">
        <w:rPr>
          <w:b/>
          <w:szCs w:val="24"/>
        </w:rPr>
        <w:t xml:space="preserve">С </w:t>
      </w:r>
      <w:r w:rsidRPr="00805C9F">
        <w:rPr>
          <w:b/>
          <w:szCs w:val="24"/>
        </w:rPr>
        <w:t xml:space="preserve">(уровень достоверности доказательств </w:t>
      </w:r>
      <w:r w:rsidR="007279FD" w:rsidRPr="00805C9F">
        <w:rPr>
          <w:b/>
          <w:szCs w:val="24"/>
        </w:rPr>
        <w:t xml:space="preserve">− </w:t>
      </w:r>
      <w:r w:rsidR="00E51C95" w:rsidRPr="00805C9F">
        <w:rPr>
          <w:b/>
          <w:szCs w:val="24"/>
        </w:rPr>
        <w:t>5</w:t>
      </w:r>
      <w:r w:rsidRPr="00805C9F">
        <w:rPr>
          <w:b/>
          <w:szCs w:val="24"/>
        </w:rPr>
        <w:t>)</w:t>
      </w:r>
    </w:p>
    <w:p w14:paraId="0A261881" w14:textId="3E53485A" w:rsidR="000C68DB" w:rsidRPr="00805C9F" w:rsidRDefault="000C68DB" w:rsidP="000C68DB">
      <w:pPr>
        <w:pStyle w:val="a4"/>
        <w:numPr>
          <w:ilvl w:val="0"/>
          <w:numId w:val="55"/>
        </w:numPr>
        <w:spacing w:before="0" w:beforeAutospacing="0" w:after="0" w:afterAutospacing="0" w:line="360" w:lineRule="auto"/>
        <w:ind w:left="0" w:firstLine="0"/>
        <w:contextualSpacing/>
        <w:jc w:val="both"/>
      </w:pPr>
      <w:r w:rsidRPr="000C68DB">
        <w:rPr>
          <w:rStyle w:val="ac"/>
          <w:b w:val="0"/>
        </w:rPr>
        <w:t xml:space="preserve">Пациентам с </w:t>
      </w:r>
      <w:r>
        <w:rPr>
          <w:rStyle w:val="ac"/>
          <w:b w:val="0"/>
        </w:rPr>
        <w:t>ММ</w:t>
      </w:r>
      <w:r w:rsidRPr="000C68DB">
        <w:rPr>
          <w:rStyle w:val="ac"/>
          <w:b w:val="0"/>
        </w:rPr>
        <w:t xml:space="preserve"> при проведении курсов химиоиммунотерапии (DCEP) с высоким риском фебрильной нейтропении (ФН), превышающем 20%, или с промежуточным риском ФН 10-20% с наличием факторов риска (возраст ˃ 65 лет; тяжелые сопутствующие заболевания; почечная, печеночная недостаточность; гемоглобин менее 12 г/дл; недостаточное питание; длительная нейтропения или ФН в анамнезе; отсутствие антимикробной профилактики; ECOG ≥2; открытые раны или раневая инфекция; недавние обширные хирургические вмешательства; женский пол; химиолучевая терапия; цитопения вследствие опухолевого поражения костного мозга; ВИЧ инфекция), </w:t>
      </w:r>
      <w:r w:rsidRPr="000C68DB">
        <w:rPr>
          <w:rStyle w:val="ac"/>
          <w:bCs w:val="0"/>
        </w:rPr>
        <w:t>рекомендована</w:t>
      </w:r>
      <w:r w:rsidRPr="000C68DB">
        <w:rPr>
          <w:rStyle w:val="ac"/>
          <w:b w:val="0"/>
        </w:rPr>
        <w:t xml:space="preserve"> </w:t>
      </w:r>
      <w:r w:rsidRPr="000C68DB">
        <w:rPr>
          <w:rStyle w:val="ac"/>
          <w:b w:val="0"/>
        </w:rPr>
        <w:lastRenderedPageBreak/>
        <w:t>первичная профилактика фебрильной нейтропении колониестимулирующими факторами (Г-КСФ, L03AA по ATX классификации)</w:t>
      </w:r>
      <w:r w:rsidR="00E430FD">
        <w:rPr>
          <w:rStyle w:val="ac"/>
          <w:b w:val="0"/>
        </w:rPr>
        <w:t xml:space="preserve"> </w:t>
      </w:r>
      <w:r w:rsidR="00E430FD" w:rsidRPr="000322E4">
        <w:fldChar w:fldCharType="begin" w:fldLock="1"/>
      </w:r>
      <w:r w:rsidR="00E430FD">
        <w:instrText>ADDIN CSL_CITATION {"citationItems":[{"id":"ITEM-1","itemData":{"author":[{"dropping-particle":"","family":"Roy","given":"Vivek","non-dropping-particle":"","parse-names":false,"suffix":""},{"dropping-particle":"","family":"Chair","given":"Vice","non-dropping-particle":"","parse-names":false,"suffix":""},{"dropping-particle":"","family":"Alwan","given":"Laura","non-dropping-particle":"","parse-names":false,"suffix":""},{"dropping-particle":"","family":"Bachiashvili","given":"Kimo","non-dropping-particle":"","parse-names":false,"suffix":""},{"dropping-particle":"","family":"Baird","given":"John","non-dropping-particle":"","parse-names":false,"suffix":""},{"dropping-particle":"","family":"Cool","given":"Rita","non-dropping-particle":"","parse-names":false,"suffix":""},{"dropping-particle":"","family":"Dinner","given":"Shira","non-dropping-particle":"","parse-names":false,"suffix":""},{"dropping-particle":"","family":"Lurie","given":"Robert H","non-dropping-particle":"","parse-names":false,"suffix":""},{"dropping-particle":"","family":"Geyer","given":"Mark","non-dropping-particle":"","parse-names":false,"suffix":""},{"dropping-particle":"","family":"Glaspy","given":"John","non-dropping-particle":"","parse-names":false,"suffix":""},{"dropping-particle":"","family":"Gojo","given":"Ivana","non-dropping-particle":"","parse-names":false,"suffix":""},{"dropping-particle":"","family":"Hicks","given":"Ashley","non-dropping-particle":"","parse-names":false,"suffix":""},{"dropping-particle":"","family":"Kallam","given":"Avyakta","non-dropping-particle":"","parse-names":false,"suffix":""},{"dropping-particle":"","family":"Fred","given":"Þ","non-dropping-particle":"","parse-names":false,"suffix":""},{"dropping-particle":"","family":"Buffett Cancer Center Wajih Zaheer Kidwai","given":"Pamela","non-dropping-particle":"","parse-names":false,"suffix":""},{"dropping-particle":"","family":"Kloth","given":"Dwight D","non-dropping-particle":"","parse-names":false,"suffix":""},{"dropping-particle":"","family":"Kraut","given":"Eric H","non-dropping-particle":"","parse-names":false,"suffix":""},{"dropping-particle":"","family":"Landsburg","given":"Daniel","non-dropping-particle":"","parse-names":false,"suffix":""},{"dropping-particle":"","family":"Lyman","given":"Gary H","non-dropping-particle":"","parse-names":false,"suffix":""},{"dropping-particle":"","family":"Mahajan","given":"Anjlee","non-dropping-particle":"","parse-names":false,"suffix":""},{"dropping-particle":"","family":"Miller","given":"Ryan","non-dropping-particle":"","parse-names":false,"suffix":""},{"dropping-particle":"","family":"Nachar","given":"Victoria","non-dropping-particle":"","parse-names":false,"suffix":""},{"dropping-particle":"","family":"Patel","given":"Seema","non-dropping-particle":"","parse-names":false,"suffix":""},{"dropping-particle":"","family":"Patel","given":"Shiven","non-dropping-particle":"","parse-names":false,"suffix":""},{"dropping-particle":"","family":"Perez","given":"Lia E","non-dropping-particle":"","parse-names":false,"suffix":""},{"dropping-particle":"","family":"Poust","given":"Adam","non-dropping-particle":"","parse-names":false,"suffix":""},{"dropping-particle":"","family":"Riaz","given":"Fauzia","non-dropping-particle":"","parse-names":false,"suffix":""},{"dropping-particle":"","family":"Rosovsky","given":"Rachel","non-dropping-particle":"","parse-names":false,"suffix":""},{"dropping-particle":"","family":"Rugo","given":"Hope S","non-dropping-particle":"","parse-names":false,"suffix":""},{"dropping-particle":"","family":"Simon","given":"Shayna","non-dropping-particle":"","parse-names":false,"suffix":""},{"dropping-particle":"","family":"Vasu","given":"Sumithira","non-dropping-particle":"","parse-names":false,"suffix":""},{"dropping-particle":"","family":"Wadleigh","given":"Martha","non-dropping-particle":"","parse-names":false,"suffix":""},{"dropping-particle":"","family":"Westbrook","given":"Kelly","non-dropping-particle":"","parse-names":false,"suffix":""},{"dropping-particle":"","family":"Westervelt","given":"Peter","non-dropping-particle":"","parse-names":false,"suffix":""},{"dropping-particle":"","family":"Ryan Berardi","given":"NCCN","non-dropping-particle":"","parse-names":false,"suffix":""},{"dropping-particle":"","family":"Pluchino","given":"Lenora","non-dropping-particle":"","parse-names":false,"suffix":""}],"id":"ITEM-1","issued":{"date-parts":[["2022"]]},"title":"Hematopoietic Growth Factors. NCCN Guidelines. Ver 1.2022","type":"article-journal"},"uris":["http://www.mendeley.com/documents/?uuid=903dad7a-7a53-3672-82e0-4ac0336a89c4"]}],"mendeley":{"formattedCitation":"[83]","plainTextFormattedCitation":"[83]","previouslyFormattedCitation":"[83]"},"properties":{"noteIndex":0},"schema":"https://github.com/citation-style-language/schema/raw/master/csl-citation.json"}</w:instrText>
      </w:r>
      <w:r w:rsidR="00E430FD" w:rsidRPr="000322E4">
        <w:fldChar w:fldCharType="separate"/>
      </w:r>
      <w:r w:rsidR="00E430FD" w:rsidRPr="00E430FD">
        <w:rPr>
          <w:noProof/>
        </w:rPr>
        <w:t>[83]</w:t>
      </w:r>
      <w:r w:rsidR="00E430FD" w:rsidRPr="000322E4">
        <w:fldChar w:fldCharType="end"/>
      </w:r>
      <w:r w:rsidRPr="00805C9F">
        <w:t>.</w:t>
      </w:r>
    </w:p>
    <w:p w14:paraId="7286CA9A" w14:textId="7C202810" w:rsidR="000C68DB" w:rsidRDefault="000C68DB" w:rsidP="000C68DB">
      <w:pPr>
        <w:pStyle w:val="a4"/>
        <w:spacing w:before="0" w:beforeAutospacing="0" w:after="0" w:afterAutospacing="0" w:line="360" w:lineRule="auto"/>
        <w:contextualSpacing/>
        <w:jc w:val="both"/>
        <w:rPr>
          <w:rStyle w:val="ac"/>
        </w:rPr>
      </w:pPr>
      <w:r w:rsidRPr="00805C9F">
        <w:rPr>
          <w:rStyle w:val="ac"/>
        </w:rPr>
        <w:t>Уровень убедительности рекомендаций − С (уровень достоверности доказательств –</w:t>
      </w:r>
      <w:r w:rsidR="00E430FD">
        <w:rPr>
          <w:rStyle w:val="ac"/>
        </w:rPr>
        <w:t xml:space="preserve"> </w:t>
      </w:r>
      <w:r w:rsidRPr="00805C9F">
        <w:rPr>
          <w:rStyle w:val="ac"/>
        </w:rPr>
        <w:t>5)</w:t>
      </w:r>
    </w:p>
    <w:p w14:paraId="4112004C" w14:textId="68F2F1B1" w:rsidR="004250E9" w:rsidRDefault="004250E9" w:rsidP="004250E9">
      <w:pPr>
        <w:rPr>
          <w:bCs/>
          <w:i/>
          <w:iCs/>
        </w:rPr>
      </w:pPr>
      <w:r w:rsidRPr="00796E59">
        <w:rPr>
          <w:b/>
        </w:rPr>
        <w:t xml:space="preserve">Комментарии: </w:t>
      </w:r>
      <w:r w:rsidRPr="00796E59">
        <w:rPr>
          <w:bCs/>
          <w:i/>
          <w:iCs/>
        </w:rPr>
        <w:t>профилактическое назначение Г-КСФ: филграстим 5 мкг/кг подкожно (п/к) через 24-72 часа после окончания введения химиопрепаратов и до восстановления нормального числа нейтрофилов после надира или пэгфилграстим в дозе 6 мг или эмпэгфилграстим в дозе 7,5 мг подкожно, однократно, не менее чем через 24 часа после окончания введения химиопрепаратов в соответствии с инструкцией по медицинскому применению с целью предупреждения развития и лечения нейтропении, вызванной цитотоксической химиотерапией опухолей</w:t>
      </w:r>
    </w:p>
    <w:p w14:paraId="647436EB" w14:textId="48AE90C8" w:rsidR="00E430FD" w:rsidRPr="000322E4" w:rsidRDefault="00E430FD" w:rsidP="00E430FD">
      <w:pPr>
        <w:pStyle w:val="a"/>
        <w:tabs>
          <w:tab w:val="clear" w:pos="1134"/>
          <w:tab w:val="left" w:pos="567"/>
        </w:tabs>
        <w:spacing w:before="0"/>
        <w:ind w:left="0" w:firstLine="0"/>
      </w:pPr>
      <w:r>
        <w:t>П</w:t>
      </w:r>
      <w:r w:rsidRPr="000322E4">
        <w:t xml:space="preserve">ациентам </w:t>
      </w:r>
      <w:r w:rsidRPr="009513DB">
        <w:rPr>
          <w:lang w:val="en-US"/>
        </w:rPr>
        <w:t>c</w:t>
      </w:r>
      <w:r w:rsidRPr="000322E4">
        <w:t xml:space="preserve"> </w:t>
      </w:r>
      <w:r>
        <w:t>ММ</w:t>
      </w:r>
      <w:r w:rsidRPr="000322E4">
        <w:t xml:space="preserve"> </w:t>
      </w:r>
      <w:r w:rsidRPr="00D714AB">
        <w:t xml:space="preserve">после зафиксированного ранее эпизода ФН, дозолимитирующей афебрильной нейтропении (после единственного эпизода удлинения интервалов между курсами и/или редукции дозы) </w:t>
      </w:r>
      <w:r w:rsidRPr="00D714AB">
        <w:rPr>
          <w:b/>
          <w:bCs/>
        </w:rPr>
        <w:t>рекомендована</w:t>
      </w:r>
      <w:r w:rsidRPr="00D714AB">
        <w:t xml:space="preserve"> вторичная профилактика фебрильной нейтропении препаратами Г-КСФ группы L03AA по ATX классификации</w:t>
      </w:r>
      <w:r w:rsidRPr="000322E4">
        <w:t xml:space="preserve"> </w:t>
      </w:r>
      <w:r w:rsidRPr="000322E4">
        <w:fldChar w:fldCharType="begin" w:fldLock="1"/>
      </w:r>
      <w:r>
        <w:instrText>ADDIN CSL_CITATION {"citationItems":[{"id":"ITEM-1","itemData":{"author":[{"dropping-particle":"","family":"Roy","given":"Vivek","non-dropping-particle":"","parse-names":false,"suffix":""},{"dropping-particle":"","family":"Chair","given":"Vice","non-dropping-particle":"","parse-names":false,"suffix":""},{"dropping-particle":"","family":"Alwan","given":"Laura","non-dropping-particle":"","parse-names":false,"suffix":""},{"dropping-particle":"","family":"Bachiashvili","given":"Kimo","non-dropping-particle":"","parse-names":false,"suffix":""},{"dropping-particle":"","family":"Baird","given":"John","non-dropping-particle":"","parse-names":false,"suffix":""},{"dropping-particle":"","family":"Cool","given":"Rita","non-dropping-particle":"","parse-names":false,"suffix":""},{"dropping-particle":"","family":"Dinner","given":"Shira","non-dropping-particle":"","parse-names":false,"suffix":""},{"dropping-particle":"","family":"Lurie","given":"Robert H","non-dropping-particle":"","parse-names":false,"suffix":""},{"dropping-particle":"","family":"Geyer","given":"Mark","non-dropping-particle":"","parse-names":false,"suffix":""},{"dropping-particle":"","family":"Glaspy","given":"John","non-dropping-particle":"","parse-names":false,"suffix":""},{"dropping-particle":"","family":"Gojo","given":"Ivana","non-dropping-particle":"","parse-names":false,"suffix":""},{"dropping-particle":"","family":"Hicks","given":"Ashley","non-dropping-particle":"","parse-names":false,"suffix":""},{"dropping-particle":"","family":"Kallam","given":"Avyakta","non-dropping-particle":"","parse-names":false,"suffix":""},{"dropping-particle":"","family":"Fred","given":"Þ","non-dropping-particle":"","parse-names":false,"suffix":""},{"dropping-particle":"","family":"Buffett Cancer Center Wajih Zaheer Kidwai","given":"Pamela","non-dropping-particle":"","parse-names":false,"suffix":""},{"dropping-particle":"","family":"Kloth","given":"Dwight D","non-dropping-particle":"","parse-names":false,"suffix":""},{"dropping-particle":"","family":"Kraut","given":"Eric H","non-dropping-particle":"","parse-names":false,"suffix":""},{"dropping-particle":"","family":"Landsburg","given":"Daniel","non-dropping-particle":"","parse-names":false,"suffix":""},{"dropping-particle":"","family":"Lyman","given":"Gary H","non-dropping-particle":"","parse-names":false,"suffix":""},{"dropping-particle":"","family":"Mahajan","given":"Anjlee","non-dropping-particle":"","parse-names":false,"suffix":""},{"dropping-particle":"","family":"Miller","given":"Ryan","non-dropping-particle":"","parse-names":false,"suffix":""},{"dropping-particle":"","family":"Nachar","given":"Victoria","non-dropping-particle":"","parse-names":false,"suffix":""},{"dropping-particle":"","family":"Patel","given":"Seema","non-dropping-particle":"","parse-names":false,"suffix":""},{"dropping-particle":"","family":"Patel","given":"Shiven","non-dropping-particle":"","parse-names":false,"suffix":""},{"dropping-particle":"","family":"Perez","given":"Lia E","non-dropping-particle":"","parse-names":false,"suffix":""},{"dropping-particle":"","family":"Poust","given":"Adam","non-dropping-particle":"","parse-names":false,"suffix":""},{"dropping-particle":"","family":"Riaz","given":"Fauzia","non-dropping-particle":"","parse-names":false,"suffix":""},{"dropping-particle":"","family":"Rosovsky","given":"Rachel","non-dropping-particle":"","parse-names":false,"suffix":""},{"dropping-particle":"","family":"Rugo","given":"Hope S","non-dropping-particle":"","parse-names":false,"suffix":""},{"dropping-particle":"","family":"Simon","given":"Shayna","non-dropping-particle":"","parse-names":false,"suffix":""},{"dropping-particle":"","family":"Vasu","given":"Sumithira","non-dropping-particle":"","parse-names":false,"suffix":""},{"dropping-particle":"","family":"Wadleigh","given":"Martha","non-dropping-particle":"","parse-names":false,"suffix":""},{"dropping-particle":"","family":"Westbrook","given":"Kelly","non-dropping-particle":"","parse-names":false,"suffix":""},{"dropping-particle":"","family":"Westervelt","given":"Peter","non-dropping-particle":"","parse-names":false,"suffix":""},{"dropping-particle":"","family":"Ryan Berardi","given":"NCCN","non-dropping-particle":"","parse-names":false,"suffix":""},{"dropping-particle":"","family":"Pluchino","given":"Lenora","non-dropping-particle":"","parse-names":false,"suffix":""}],"id":"ITEM-1","issued":{"date-parts":[["2022"]]},"title":"Hematopoietic Growth Factors. NCCN Guidelines. Ver 1.2022","type":"article-journal"},"uris":["http://www.mendeley.com/documents/?uuid=903dad7a-7a53-3672-82e0-4ac0336a89c4"]}],"mendeley":{"formattedCitation":"[83]","plainTextFormattedCitation":"[83]","previouslyFormattedCitation":"[138]"},"properties":{"noteIndex":0},"schema":"https://github.com/citation-style-language/schema/raw/master/csl-citation.json"}</w:instrText>
      </w:r>
      <w:r w:rsidRPr="000322E4">
        <w:fldChar w:fldCharType="separate"/>
      </w:r>
      <w:r w:rsidRPr="00E430FD">
        <w:rPr>
          <w:noProof/>
        </w:rPr>
        <w:t>[83]</w:t>
      </w:r>
      <w:r w:rsidRPr="000322E4">
        <w:fldChar w:fldCharType="end"/>
      </w:r>
    </w:p>
    <w:p w14:paraId="596BBD25" w14:textId="507E6226" w:rsidR="00E430FD" w:rsidRDefault="00E430FD" w:rsidP="00E430FD">
      <w:pPr>
        <w:spacing w:before="0" w:after="0"/>
        <w:contextualSpacing/>
        <w:rPr>
          <w:b/>
        </w:rPr>
      </w:pPr>
      <w:r w:rsidRPr="000322E4">
        <w:rPr>
          <w:b/>
        </w:rPr>
        <w:t xml:space="preserve">Уровень убедительности рекомендаций </w:t>
      </w:r>
      <w:r>
        <w:rPr>
          <w:b/>
        </w:rPr>
        <w:t xml:space="preserve">– </w:t>
      </w:r>
      <w:r w:rsidRPr="000322E4">
        <w:rPr>
          <w:b/>
        </w:rPr>
        <w:t>С (уровень достоверности доказательств</w:t>
      </w:r>
      <w:r>
        <w:rPr>
          <w:b/>
        </w:rPr>
        <w:t xml:space="preserve"> –</w:t>
      </w:r>
      <w:r w:rsidRPr="000322E4">
        <w:rPr>
          <w:b/>
        </w:rPr>
        <w:t xml:space="preserve"> 5).</w:t>
      </w:r>
    </w:p>
    <w:p w14:paraId="1544243D" w14:textId="77777777" w:rsidR="00E430FD" w:rsidRPr="00C2696C" w:rsidRDefault="00E430FD" w:rsidP="00E430FD">
      <w:pPr>
        <w:spacing w:before="0" w:after="0"/>
        <w:contextualSpacing/>
        <w:rPr>
          <w:b/>
        </w:rPr>
      </w:pPr>
      <w:r w:rsidRPr="000322E4">
        <w:rPr>
          <w:b/>
        </w:rPr>
        <w:t>Комментарии:</w:t>
      </w:r>
      <w:r>
        <w:t xml:space="preserve"> </w:t>
      </w:r>
      <w:r w:rsidRPr="00D714AB">
        <w:rPr>
          <w:i/>
          <w:iCs/>
        </w:rPr>
        <w:t>профилактическое назначение гранулоцитарного колониестимулирующего фактора (Г-КСФ): филграстим 5 мкг/кг подкожно (п/к) через 24-72 часа после окончания введенияхимиопрепаратов и до восстановления нормального числанейтрофилов после надира или пэгфилграстим в дозе 6 мг или эмпэгфилграстим в дозе 7,5 мг подкожно, однократно, неменее чем через 24 часа после окончания введения химиопрепаратов в соответствии с инструкцией по медицинскому применению с целью предупреждения развития и лечения нейтропении, вызванной цитотоксической химиотерапией опухолей</w:t>
      </w:r>
    </w:p>
    <w:p w14:paraId="2EBCA9DB" w14:textId="77777777" w:rsidR="00FF1FD9" w:rsidRPr="00805C9F" w:rsidRDefault="00177503" w:rsidP="00092917">
      <w:pPr>
        <w:spacing w:before="0" w:after="0"/>
        <w:rPr>
          <w:b/>
          <w:szCs w:val="24"/>
          <w:u w:val="single"/>
        </w:rPr>
      </w:pPr>
      <w:r w:rsidRPr="00805C9F">
        <w:rPr>
          <w:b/>
          <w:szCs w:val="24"/>
          <w:u w:val="single"/>
        </w:rPr>
        <w:t>Обезболивание</w:t>
      </w:r>
    </w:p>
    <w:p w14:paraId="16CCF8B9" w14:textId="536AE5B3" w:rsidR="00202DE5" w:rsidRPr="00805C9F" w:rsidRDefault="00202DE5" w:rsidP="00893452">
      <w:pPr>
        <w:pStyle w:val="a4"/>
        <w:numPr>
          <w:ilvl w:val="0"/>
          <w:numId w:val="55"/>
        </w:numPr>
        <w:spacing w:before="0" w:beforeAutospacing="0" w:after="0" w:afterAutospacing="0" w:line="360" w:lineRule="auto"/>
        <w:ind w:left="0" w:firstLine="0"/>
        <w:contextualSpacing/>
        <w:jc w:val="both"/>
      </w:pPr>
      <w:bookmarkStart w:id="38" w:name="_Hlk18315511"/>
      <w:r w:rsidRPr="00805C9F">
        <w:rPr>
          <w:rStyle w:val="ac"/>
          <w:b w:val="0"/>
          <w:bCs w:val="0"/>
        </w:rPr>
        <w:t xml:space="preserve">Пациентам с ММ при возникновении острого или хронического болевого синдрома </w:t>
      </w:r>
      <w:r w:rsidRPr="00805C9F">
        <w:rPr>
          <w:rStyle w:val="ac"/>
        </w:rPr>
        <w:t xml:space="preserve">рекомендуется </w:t>
      </w:r>
      <w:r w:rsidRPr="00805C9F">
        <w:rPr>
          <w:rStyle w:val="ac"/>
          <w:b w:val="0"/>
          <w:bCs w:val="0"/>
        </w:rPr>
        <w:t>уточнение этиологии боли; при выявлении очага воспаления – проведение необходимых мероприятий по лечению очага воспаления согласно соответствующим клиническим рекомендациям (включая при необходимости хирургическое лечение); при исключении инфекционно-воспалительной природы болевого синдрома рекомендуется проведение обезболивающ</w:t>
      </w:r>
      <w:r w:rsidR="00341C10" w:rsidRPr="00805C9F">
        <w:rPr>
          <w:rStyle w:val="ac"/>
          <w:b w:val="0"/>
          <w:bCs w:val="0"/>
        </w:rPr>
        <w:t>ей</w:t>
      </w:r>
      <w:r w:rsidRPr="00805C9F">
        <w:rPr>
          <w:rStyle w:val="ac"/>
          <w:b w:val="0"/>
          <w:bCs w:val="0"/>
        </w:rPr>
        <w:t xml:space="preserve"> терапи</w:t>
      </w:r>
      <w:r w:rsidR="00341C10" w:rsidRPr="00805C9F">
        <w:rPr>
          <w:rStyle w:val="ac"/>
          <w:b w:val="0"/>
          <w:bCs w:val="0"/>
        </w:rPr>
        <w:t>и</w:t>
      </w:r>
      <w:r w:rsidRPr="00805C9F">
        <w:rPr>
          <w:rStyle w:val="ac"/>
          <w:b w:val="0"/>
          <w:bCs w:val="0"/>
        </w:rPr>
        <w:t xml:space="preserve"> согласно существующим протоколам обезболивания (см. соответствующие  клинические рекомендации по хронической боли, клинические рекомендации по анестезиологии), в том числе по показаниям </w:t>
      </w:r>
      <w:r w:rsidR="00341C10" w:rsidRPr="00805C9F">
        <w:rPr>
          <w:rStyle w:val="ac"/>
          <w:b w:val="0"/>
          <w:bCs w:val="0"/>
        </w:rPr>
        <w:t>−</w:t>
      </w:r>
      <w:r w:rsidRPr="00805C9F">
        <w:rPr>
          <w:rStyle w:val="ac"/>
          <w:b w:val="0"/>
          <w:bCs w:val="0"/>
        </w:rPr>
        <w:t xml:space="preserve"> с применением </w:t>
      </w:r>
      <w:r w:rsidRPr="00805C9F">
        <w:rPr>
          <w:rStyle w:val="ac"/>
          <w:b w:val="0"/>
          <w:bCs w:val="0"/>
        </w:rPr>
        <w:lastRenderedPageBreak/>
        <w:t>наркотических и психотропных лекарственных препаратов с учетом возможных противопоказаний, связанных с цитопенией, иными клиническими ситуациями</w:t>
      </w:r>
      <w:r w:rsidR="00376F9A" w:rsidRPr="00805C9F">
        <w:rPr>
          <w:rStyle w:val="ac"/>
          <w:b w:val="0"/>
        </w:rPr>
        <w:t xml:space="preserve"> </w:t>
      </w:r>
      <w:r w:rsidR="00376F9A" w:rsidRPr="00805C9F">
        <w:rPr>
          <w:rStyle w:val="ac"/>
          <w:b w:val="0"/>
        </w:rPr>
        <w:fldChar w:fldCharType="begin" w:fldLock="1"/>
      </w:r>
      <w:r w:rsidR="00E430FD">
        <w:rPr>
          <w:rStyle w:val="ac"/>
          <w:b w:val="0"/>
        </w:rPr>
        <w:instrText>ADDIN CSL_CITATION {"citationItems":[{"id":"ITEM-1","itemData":{"author":[{"dropping-particle":"","family":"Абузарова","given":"Г.Р.","non-dropping-particle":"","parse-names":false,"suffix":""},{"dropping-particle":"","family":"Невзорова","given":"Д.В.","non-dropping-particle":"","parse-names":false,"suffix":""},{"dropping-particle":"","family":"Кумирова","given":"Э.В.","non-dropping-particle":"","parse-names":false,"suffix":""},{"dropping-particle":"","family":"Савва","given":"Н.Н.","non-dropping-particle":"","parse-names":false,"suffix":""},{"dropping-particle":"","family":"Арутюнов","given":"Г.П.","non-dropping-particle":"","parse-names":false,"suffix":""},{"dropping-particle":"","family":"Багненко","given":"С.Ф.","non-dropping-particle":"","parse-names":false,"suffix":""},{"dropping-particle":"","family":"Данилов","given":"А.Б.","non-dropping-particle":"","parse-names":false,"suffix":""},{"dropping-particle":"","family":"Данилов","given":"А.Б.","non-dropping-particle":"","parse-names":false,"suffix":""},{"dropping-particle":"","family":"Куняева","given":"Т.А.","non-dropping-particle":"","parse-names":false,"suffix":""},{"dropping-particle":"","family":"Николаева","given":"Н.М.","non-dropping-particle":"","parse-names":false,"suffix":""},{"dropping-particle":"","family":"Молчанов","given":"И.В.","non-dropping-particle":"","parse-names":false,"suffix":""},{"dropping-particle":"","family":"Падалкин","given":"В.П.","non-dropping-particle":"","parse-names":false,"suffix":""},{"dropping-particle":"","family":"Поляков","given":"В.Г.","non-dropping-particle":"","parse-names":false,"suffix":""},{"dropping-particle":"","family":"Пчелинцев","given":"М.В.","non-dropping-particle":"","parse-names":false,"suffix":""},{"dropping-particle":"","family":"Степаненко","given":"С.М.","non-dropping-particle":"","parse-names":false,"suffix":""}],"id":"ITEM-1","issued":{"date-parts":[["2016"]]},"number-of-pages":"94","publisher":"ФГБОУ ВО РНИМУ им. Н.И. Пирогова Минздрава России.","title":"Обезболивание взрослых и детей при оказании медицинской помощи. Методические рекомендации.","type":"book"},"uris":["http://www.mendeley.com/documents/?uuid=b9ffed91-f776-4e2f-87c8-ff7901014151"]}],"mendeley":{"formattedCitation":"[84]","plainTextFormattedCitation":"[84]","previouslyFormattedCitation":"[84]"},"properties":{"noteIndex":0},"schema":"https://github.com/citation-style-language/schema/raw/master/csl-citation.json"}</w:instrText>
      </w:r>
      <w:r w:rsidR="00376F9A" w:rsidRPr="00805C9F">
        <w:rPr>
          <w:rStyle w:val="ac"/>
          <w:b w:val="0"/>
        </w:rPr>
        <w:fldChar w:fldCharType="separate"/>
      </w:r>
      <w:r w:rsidR="00E430FD" w:rsidRPr="00E430FD">
        <w:rPr>
          <w:rStyle w:val="ac"/>
          <w:b w:val="0"/>
          <w:noProof/>
        </w:rPr>
        <w:t>[84]</w:t>
      </w:r>
      <w:r w:rsidR="00376F9A" w:rsidRPr="00805C9F">
        <w:rPr>
          <w:rStyle w:val="ac"/>
          <w:b w:val="0"/>
        </w:rPr>
        <w:fldChar w:fldCharType="end"/>
      </w:r>
      <w:r w:rsidRPr="00805C9F">
        <w:rPr>
          <w:bCs/>
        </w:rPr>
        <w:t>.</w:t>
      </w:r>
    </w:p>
    <w:p w14:paraId="506E9398" w14:textId="77777777" w:rsidR="00202DE5" w:rsidRPr="00805C9F" w:rsidRDefault="00202DE5" w:rsidP="00092917">
      <w:pPr>
        <w:pStyle w:val="a4"/>
        <w:spacing w:before="0" w:beforeAutospacing="0" w:after="0" w:afterAutospacing="0" w:line="360" w:lineRule="auto"/>
        <w:contextualSpacing/>
        <w:jc w:val="both"/>
        <w:rPr>
          <w:rStyle w:val="ac"/>
        </w:rPr>
      </w:pPr>
      <w:r w:rsidRPr="00805C9F">
        <w:rPr>
          <w:rStyle w:val="ac"/>
        </w:rPr>
        <w:t xml:space="preserve">Уровень убедительности рекомендаций </w:t>
      </w:r>
      <w:r w:rsidR="00341C10" w:rsidRPr="00805C9F">
        <w:rPr>
          <w:rStyle w:val="ac"/>
        </w:rPr>
        <w:t xml:space="preserve">− </w:t>
      </w:r>
      <w:r w:rsidRPr="00805C9F">
        <w:rPr>
          <w:rStyle w:val="ac"/>
          <w:lang w:val="en-US"/>
        </w:rPr>
        <w:t>C</w:t>
      </w:r>
      <w:r w:rsidRPr="00805C9F">
        <w:rPr>
          <w:rStyle w:val="ac"/>
        </w:rPr>
        <w:t xml:space="preserve"> (уровень достоверности доказательств – 5)</w:t>
      </w:r>
    </w:p>
    <w:p w14:paraId="3D210583" w14:textId="77777777" w:rsidR="00AE4F4E" w:rsidRPr="00805C9F" w:rsidRDefault="00AE4F4E" w:rsidP="00092917">
      <w:pPr>
        <w:pStyle w:val="a4"/>
        <w:spacing w:before="0" w:beforeAutospacing="0" w:after="0" w:afterAutospacing="0" w:line="360" w:lineRule="auto"/>
        <w:contextualSpacing/>
        <w:jc w:val="both"/>
        <w:rPr>
          <w:rStyle w:val="ac"/>
          <w:u w:val="single"/>
        </w:rPr>
      </w:pPr>
      <w:r w:rsidRPr="00805C9F">
        <w:rPr>
          <w:rStyle w:val="ac"/>
          <w:u w:val="single"/>
        </w:rPr>
        <w:t>Диетотерапия</w:t>
      </w:r>
    </w:p>
    <w:p w14:paraId="36DD3D85" w14:textId="77777777" w:rsidR="00AE4F4E" w:rsidRPr="00805C9F" w:rsidRDefault="00AE4F4E" w:rsidP="00092917">
      <w:pPr>
        <w:pStyle w:val="a4"/>
        <w:spacing w:before="0" w:beforeAutospacing="0" w:after="0" w:afterAutospacing="0" w:line="360" w:lineRule="auto"/>
        <w:contextualSpacing/>
        <w:jc w:val="both"/>
        <w:rPr>
          <w:rStyle w:val="ac"/>
          <w:b w:val="0"/>
          <w:bCs w:val="0"/>
          <w:i/>
          <w:iCs/>
        </w:rPr>
      </w:pPr>
      <w:r w:rsidRPr="00805C9F">
        <w:rPr>
          <w:rStyle w:val="ac"/>
          <w:b w:val="0"/>
          <w:bCs w:val="0"/>
          <w:i/>
          <w:iCs/>
        </w:rPr>
        <w:t>Не применяется</w:t>
      </w:r>
    </w:p>
    <w:p w14:paraId="608DE35E" w14:textId="018B1E46" w:rsidR="00F63E06" w:rsidRPr="00805C9F" w:rsidRDefault="00A75A01" w:rsidP="00092917">
      <w:pPr>
        <w:pStyle w:val="2"/>
        <w:spacing w:before="0" w:after="0"/>
        <w:rPr>
          <w:rStyle w:val="ac"/>
          <w:b/>
          <w:bCs w:val="0"/>
          <w:szCs w:val="24"/>
          <w:u w:val="none"/>
          <w:lang w:eastAsia="ru-RU"/>
        </w:rPr>
      </w:pPr>
      <w:bookmarkStart w:id="39" w:name="_Toc97734636"/>
      <w:bookmarkEnd w:id="38"/>
      <w:r w:rsidRPr="00805C9F">
        <w:rPr>
          <w:rStyle w:val="ac"/>
          <w:b/>
          <w:bCs w:val="0"/>
          <w:szCs w:val="24"/>
        </w:rPr>
        <w:t>3.</w:t>
      </w:r>
      <w:bookmarkStart w:id="40" w:name="_Hlk6482783"/>
      <w:r w:rsidR="00B424E0" w:rsidRPr="00805C9F">
        <w:rPr>
          <w:rStyle w:val="ac"/>
          <w:b/>
          <w:bCs w:val="0"/>
          <w:szCs w:val="24"/>
        </w:rPr>
        <w:t>7</w:t>
      </w:r>
      <w:r w:rsidR="00077BDE" w:rsidRPr="00805C9F">
        <w:rPr>
          <w:rStyle w:val="ac"/>
          <w:b/>
          <w:bCs w:val="0"/>
          <w:szCs w:val="24"/>
        </w:rPr>
        <w:t xml:space="preserve"> </w:t>
      </w:r>
      <w:r w:rsidR="00857B1A" w:rsidRPr="00805C9F">
        <w:rPr>
          <w:rStyle w:val="ac"/>
          <w:b/>
          <w:bCs w:val="0"/>
          <w:szCs w:val="24"/>
        </w:rPr>
        <w:t>Определение эффективности лечения</w:t>
      </w:r>
      <w:bookmarkEnd w:id="39"/>
      <w:bookmarkEnd w:id="40"/>
    </w:p>
    <w:p w14:paraId="3E587500" w14:textId="54EB25CA" w:rsidR="00A05B4C" w:rsidRPr="00805C9F" w:rsidRDefault="00F2308C" w:rsidP="00092917">
      <w:pPr>
        <w:pStyle w:val="a6"/>
        <w:numPr>
          <w:ilvl w:val="0"/>
          <w:numId w:val="8"/>
        </w:numPr>
        <w:tabs>
          <w:tab w:val="clear" w:pos="348"/>
          <w:tab w:val="num" w:pos="709"/>
        </w:tabs>
        <w:spacing w:before="0" w:after="0"/>
        <w:ind w:left="0" w:firstLine="0"/>
        <w:rPr>
          <w:szCs w:val="24"/>
        </w:rPr>
      </w:pPr>
      <w:r w:rsidRPr="00805C9F">
        <w:rPr>
          <w:szCs w:val="24"/>
        </w:rPr>
        <w:t>Пациентам, завершившим запла</w:t>
      </w:r>
      <w:r w:rsidR="00403D5F" w:rsidRPr="00805C9F">
        <w:rPr>
          <w:szCs w:val="24"/>
        </w:rPr>
        <w:t>нированное лечение по поводу ММ</w:t>
      </w:r>
      <w:r w:rsidRPr="00805C9F">
        <w:rPr>
          <w:szCs w:val="24"/>
        </w:rPr>
        <w:t xml:space="preserve">, </w:t>
      </w:r>
      <w:r w:rsidR="00277FD3" w:rsidRPr="00805C9F">
        <w:rPr>
          <w:b/>
          <w:szCs w:val="24"/>
        </w:rPr>
        <w:t>рекомендуется</w:t>
      </w:r>
      <w:r w:rsidRPr="00805C9F">
        <w:rPr>
          <w:szCs w:val="24"/>
        </w:rPr>
        <w:t xml:space="preserve"> оценка эффекта лечения согласно</w:t>
      </w:r>
      <w:r w:rsidR="000A156C" w:rsidRPr="00805C9F">
        <w:rPr>
          <w:szCs w:val="24"/>
        </w:rPr>
        <w:t xml:space="preserve"> </w:t>
      </w:r>
      <w:r w:rsidR="00A05B4C" w:rsidRPr="00805C9F">
        <w:rPr>
          <w:szCs w:val="24"/>
        </w:rPr>
        <w:t>международным критериям, предложенным в 2006</w:t>
      </w:r>
      <w:r w:rsidR="00403D5F" w:rsidRPr="00805C9F">
        <w:rPr>
          <w:szCs w:val="24"/>
        </w:rPr>
        <w:t xml:space="preserve"> г. и модифицированным в 2011</w:t>
      </w:r>
      <w:r w:rsidR="004E145E" w:rsidRPr="00805C9F">
        <w:rPr>
          <w:szCs w:val="24"/>
        </w:rPr>
        <w:t xml:space="preserve"> и 2016</w:t>
      </w:r>
      <w:r w:rsidR="00403D5F" w:rsidRPr="00805C9F">
        <w:rPr>
          <w:szCs w:val="24"/>
        </w:rPr>
        <w:t xml:space="preserve"> </w:t>
      </w:r>
      <w:r w:rsidR="004E145E" w:rsidRPr="00805C9F">
        <w:rPr>
          <w:szCs w:val="24"/>
        </w:rPr>
        <w:t>г</w:t>
      </w:r>
      <w:r w:rsidR="00403D5F" w:rsidRPr="00805C9F">
        <w:rPr>
          <w:szCs w:val="24"/>
        </w:rPr>
        <w:t>г</w:t>
      </w:r>
      <w:r w:rsidR="00277FD3" w:rsidRPr="00805C9F">
        <w:rPr>
          <w:szCs w:val="24"/>
        </w:rPr>
        <w:t>. (</w:t>
      </w:r>
      <w:r w:rsidR="00253BC3" w:rsidRPr="00805C9F">
        <w:rPr>
          <w:szCs w:val="24"/>
        </w:rPr>
        <w:t>см.</w:t>
      </w:r>
      <w:r w:rsidR="00E778E9" w:rsidRPr="00805C9F">
        <w:rPr>
          <w:szCs w:val="24"/>
        </w:rPr>
        <w:t xml:space="preserve"> раздел 7 данных рекомендаций</w:t>
      </w:r>
      <w:r w:rsidR="00277FD3" w:rsidRPr="00805C9F">
        <w:rPr>
          <w:szCs w:val="24"/>
        </w:rPr>
        <w:t>)</w:t>
      </w:r>
      <w:r w:rsidR="009E0A45" w:rsidRPr="00805C9F">
        <w:rPr>
          <w:szCs w:val="24"/>
        </w:rPr>
        <w:t xml:space="preserve"> </w:t>
      </w:r>
      <w:r w:rsidR="00A96FB6" w:rsidRPr="00805C9F">
        <w:rPr>
          <w:szCs w:val="24"/>
        </w:rPr>
        <w:fldChar w:fldCharType="begin" w:fldLock="1"/>
      </w:r>
      <w:r w:rsidR="00E430FD">
        <w:rPr>
          <w:szCs w:val="24"/>
        </w:rPr>
        <w:instrText>ADDIN CSL_CITATION {"citationItems":[{"id":"ITEM-1","itemData":{"DOI":"10.1038/sj.leu.2404284","ISSN":"14765551","abstract":"New uniform response criteria are required to adequately assess clinical outcomes in myeloma. The European Group for Blood and Bone Marrow Transplant/International Bone Marrow Transplant Registry criteria have been expanded, clarified and updated to provide a new comprehensive evaluation system. Categories for stringent complete response and very good partial response are added. The serum free light-chain assay is included to allow evaluation of patients with oligo-secretory disease. Inconsistencies in prior criteria are clarified making confirmation of response and disease progression easier to perform. Emphasis is placed upon time to event and duration of response as critical end points. The requirements necessary to use overall survival duration as the ultimate end point are discussed. It is anticipated that the International Response Criteria for multiple myeloma will be widely used in future clinical trials of myeloma.","author":[{"dropping-particle":"","family":"Durie","given":"B. G.M.","non-dropping-particle":"","parse-names":false,"suffix":""},{"dropping-particle":"","family":"Harousseau","given":"J. L.","non-dropping-particle":"","parse-names":false,"suffix":""},{"dropping-particle":"","family":"Miguel","given":"J. S.","non-dropping-particle":"","parse-names":false,"suffix":""},{"dropping-particle":"","family":"Bladé","given":"J.","non-dropping-particle":"","parse-names":false,"suffix":""},{"dropping-particle":"","family":"Barlogie","given":"B.","non-dropping-particle":"","parse-names":false,"suffix":""},{"dropping-particle":"","family":"Anderson","given":"K.","non-dropping-particle":"","parse-names":false,"suffix":""},{"dropping-particle":"","family":"Gertz","given":"M.","non-dropping-particle":"","parse-names":false,"suffix":""},{"dropping-particle":"","family":"Dimopoulos","given":"M.","non-dropping-particle":"","parse-names":false,"suffix":""},{"dropping-particle":"","family":"Westin","given":"J.","non-dropping-particle":"","parse-names":false,"suffix":""},{"dropping-particle":"","family":"Sonneveld","given":"P.","non-dropping-particle":"","parse-names":false,"suffix":""},{"dropping-particle":"","family":"Ludwig","given":"H.","non-dropping-particle":"","parse-names":false,"suffix":""},{"dropping-particle":"","family":"Gahrton","given":"G.","non-dropping-particle":"","parse-names":false,"suffix":""},{"dropping-particle":"","family":"Beksac","given":"M.","non-dropping-particle":"","parse-names":false,"suffix":""},{"dropping-particle":"","family":"Crowley","given":"J.","non-dropping-particle":"","parse-names":false,"suffix":""},{"dropping-particle":"","family":"Belch","given":"A.","non-dropping-particle":"","parse-names":false,"suffix":""},{"dropping-particle":"","family":"Boccadaro","given":"M.","non-dropping-particle":"","parse-names":false,"suffix":""},{"dropping-particle":"","family":"Cavo","given":"M.","non-dropping-particle":"","parse-names":false,"suffix":""},{"dropping-particle":"","family":"Turesson","given":"I.","non-dropping-particle":"","parse-names":false,"suffix":""},{"dropping-particle":"","family":"Joshua","given":"D.","non-dropping-particle":"","parse-names":false,"suffix":""},{"dropping-particle":"","family":"Vesole","given":"D.","non-dropping-particle":"","parse-names":false,"suffix":""},{"dropping-particle":"","family":"Kyle","given":"R.","non-dropping-particle":"","parse-names":false,"suffix":""},{"dropping-particle":"","family":"Tricot","given":"G.","non-dropping-particle":"","parse-names":false,"suffix":""},{"dropping-particle":"","family":"Alexanian","given":"R.","non-dropping-particle":"","parse-names":false,"suffix":""},{"dropping-particle":"","family":"Attal","given":"M.","non-dropping-particle":"","parse-names":false,"suffix":""},{"dropping-particle":"","family":"Merlini","given":"G.","non-dropping-particle":"","parse-names":false,"suffix":""},{"dropping-particle":"","family":"Powles","given":"R.","non-dropping-particle":"","parse-names":false,"suffix":""},{"dropping-particle":"","family":"Richardson","given":"P.","non-dropping-particle":"","parse-names":false,"suffix":""},{"dropping-particle":"","family":"Shimizu","given":"K.","non-dropping-particle":"","parse-names":false,"suffix":""},{"dropping-particle":"","family":"Tosi","given":"P.","non-dropping-particle":"","parse-names":false,"suffix":""},{"dropping-particle":"V.","family":"Rajkumar","given":"S.","non-dropping-particle":"","parse-names":false,"suffix":""},{"dropping-particle":"","family":"Morgan","given":"G.","non-dropping-particle":"","parse-names":false,"suffix":""}],"container-title":"Leukemia","id":"ITEM-1","issue":"9","issued":{"date-parts":[["2006","9","1"]]},"page":"1467-1473","publisher":"Nature Publishing Group","title":"International uniform response criteria for multiple myeloma","type":"article-journal","volume":"20"},"uris":["http://www.mendeley.com/documents/?uuid=aebf3721-d8f9-331d-a8a6-ba12b64a133b"]},{"id":"ITEM-2","itemData":{"DOI":"10.1182/blood-2010-10-299487","ISSN":"00064971","abstract":"It is essential that there be consistency in the conduct, analysis, and reporting of clinical trial results in myeloma. The goal of the International Myeloma Workshop Consensus Panel 1 was to develop a set of guidelines for the uniform reporting of clinical trial results in myeloma. This paper provides a summary of the current response criteria in myeloma, detailed definitions for patient populations, lines of therapy, and specific endpoints. We propose that future clinical trials in myeloma follow the guidelines for reporting results proposed in this manuscript.","author":[{"dropping-particle":"","family":"Rajkumar","given":"S. Vincent","non-dropping-particle":"","parse-names":false,"suffix":""},{"dropping-particle":"","family":"Harousseau","given":"Jean Luc","non-dropping-particle":"","parse-names":false,"suffix":""},{"dropping-particle":"","family":"Durie","given":"Brian","non-dropping-particle":"","parse-names":false,"suffix":""},{"dropping-particle":"","family":"Anderson","given":"Kenneth C.","non-dropping-particle":"","parse-names":false,"suffix":""},{"dropping-particle":"","family":"Dimopoulos","given":"Meletios","non-dropping-particle":"","parse-names":false,"suffix":""},{"dropping-particle":"","family":"Kyle","given":"Robert","non-dropping-particle":"","parse-names":false,"suffix":""},{"dropping-particle":"","family":"Blade","given":"Joan","non-dropping-particle":"","parse-names":false,"suffix":""},{"dropping-particle":"","family":"Richardson","given":"Paul","non-dropping-particle":"","parse-names":false,"suffix":""},{"dropping-particle":"","family":"Orlowski","given":"Robert","non-dropping-particle":"","parse-names":false,"suffix":""},{"dropping-particle":"","family":"Siegel","given":"David","non-dropping-particle":"","parse-names":false,"suffix":""},{"dropping-particle":"","family":"Jagannath","given":"Sundar","non-dropping-particle":"","parse-names":false,"suffix":""},{"dropping-particle":"","family":"Facon","given":"Thierry","non-dropping-particle":"","parse-names":false,"suffix":""},{"dropping-particle":"","family":"Avet-Loiseau","given":"Hervé","non-dropping-particle":"","parse-names":false,"suffix":""},{"dropping-particle":"","family":"Lonial","given":"Sagar","non-dropping-particle":"","parse-names":false,"suffix":""},{"dropping-particle":"","family":"Palumbo","given":"Antonio","non-dropping-particle":"","parse-names":false,"suffix":""},{"dropping-particle":"","family":"Zonder","given":"Jeffrey","non-dropping-particle":"","parse-names":false,"suffix":""},{"dropping-particle":"","family":"Ludwig","given":"Heinz","non-dropping-particle":"","parse-names":false,"suffix":""},{"dropping-particle":"","family":"Vesole","given":"David","non-dropping-particle":"","parse-names":false,"suffix":""},{"dropping-particle":"","family":"Sezer","given":"Orhan","non-dropping-particle":"","parse-names":false,"suffix":""},{"dropping-particle":"","family":"Munshi","given":"Nikhil C.","non-dropping-particle":"","parse-names":false,"suffix":""},{"dropping-particle":"","family":"San Miguel","given":"Jesus","non-dropping-particle":"","parse-names":false,"suffix":""}],"container-title":"Blood","id":"ITEM-2","issue":"18","issued":{"date-parts":[["2011","5","5"]]},"page":"4691-4695","title":"Consensus recommendations for the uniform reporting of clinical trials: Report of the International Myeloma Workshop Consensus Panel 1","type":"paper-conference","volume":"117"},"uris":["http://www.mendeley.com/documents/?uuid=0db91df9-fa07-385d-b4a7-0a85a73875a2"]},{"id":"ITEM-3","itemData":{"DOI":"10.1016/S1470-2045(16)30206-6","ISSN":"14745488","abstract":"Treatment of multiple myeloma has substantially changed over the past decade with the introduction of several classes of new effective drugs that have greatly improved the rates and depth of response. Response criteria in multiple myeloma were developed to use serum and urine assessment of monoclonal proteins and bone marrow assessment (which is relatively insensitive). Given the high rates of complete response seen in patients with multiple myeloma with new treatment approaches, new response categories need to be defined that can identify responses that are deeper than those conventionally defined as complete response. Recent attempts have focused on the identification of residual tumour cells in the bone marrow using flow cytometry or gene sequencing. Furthermore, sensitive imaging techniques can be used to detect the presence of residual disease outside of the bone marrow. Combining these new methods, the International Myeloma Working Group has defined new response categories of minimal residual disease negativity, with or without imaging-based absence of extramedullary disease, to allow uniform reporting within and outside clinical trials. In this Review, we clarify several aspects of disease response assessment, along with endpoints for clinical trials, and highlight future directions for disease response assessments.","author":[{"dropping-particle":"","family":"Kumar","given":"Shaji","non-dropping-particle":"","parse-names":false,"suffix":""},{"dropping-particle":"","family":"Paiva","given":"Bruno","non-dropping-particle":"","parse-names":false,"suffix":""},{"dropping-particle":"","family":"Anderson","given":"Kenneth C.","non-dropping-particle":"","parse-names":false,"suffix":""},{"dropping-particle":"","family":"Durie","given":"Brian","non-dropping-particle":"","parse-names":false,"suffix":""},{"dropping-particle":"","family":"Landgren","given":"Ola","non-dropping-particle":"","parse-names":false,"suffix":""},{"dropping-particle":"","family":"Moreau","given":"Philippe","non-dropping-particle":"","parse-names":false,"suffix":""},{"dropping-particle":"","family":"Munshi","given":"Nikhil","non-dropping-particle":"","parse-names":false,"suffix":""},{"dropping-particle":"","family":"Lonial","given":"Sagar","non-dropping-particle":"","parse-names":false,"suffix":""},{"dropping-particle":"","family":"Bladé","given":"Joan","non-dropping-particle":"","parse-names":false,"suffix":""},{"dropping-particle":"","family":"Mateos","given":"Maria Victoria","non-dropping-particle":"","parse-names":false,"suffix":""},{"dropping-particle":"","family":"Dimopoulos","given":"Meletios","non-dropping-particle":"","parse-names":false,"suffix":""},{"dropping-particle":"","family":"Kastritis","given":"Efstathios","non-dropping-particle":"","parse-names":false,"suffix":""},{"dropping-particle":"","family":"Boccadoro","given":"Mario","non-dropping-particle":"","parse-names":false,"suffix":""},{"dropping-particle":"","family":"Orlowski","given":"Robert","non-dropping-particle":"","parse-names":false,"suffix":""},{"dropping-particle":"","family":"Goldschmidt","given":"Hartmut","non-dropping-particle":"","parse-names":false,"suffix":""},{"dropping-particle":"","family":"Spencer","given":"Andrew","non-dropping-particle":"","parse-names":false,"suffix":""},{"dropping-particle":"","family":"Hou","given":"Jian","non-dropping-particle":"","parse-names":false,"suffix":""},{"dropping-particle":"","family":"Chng","given":"Wee Joo","non-dropping-particle":"","parse-names":false,"suffix":""},{"dropping-particle":"","family":"Usmani","given":"Saad Z.","non-dropping-particle":"","parse-names":false,"suffix":""},{"dropping-particle":"","family":"Zamagni","given":"Elena","non-dropping-particle":"","parse-names":false,"suffix":""},{"dropping-particle":"","family":"Shimizu","given":"Kazuyuki","non-dropping-particle":"","parse-names":false,"suffix":""},{"dropping-particle":"","family":"Jagannath","given":"Sundar","non-dropping-particle":"","parse-names":false,"suffix":""},{"dropping-particle":"","family":"Johnsen","given":"Hans E.","non-dropping-particle":"","parse-names":false,"suffix":""},{"dropping-particle":"","family":"Terpos","given":"Evangelos","non-dropping-particle":"","parse-names":false,"suffix":""},{"dropping-particle":"","family":"Reiman","given":"Anthony","non-dropping-particle":"","parse-names":false,"suffix":""},{"dropping-particle":"","family":"Kyle","given":"Robert A.","non-dropping-particle":"","parse-names":false,"suffix":""},{"dropping-particle":"","family":"Sonneveld","given":"Pieter","non-dropping-particle":"","parse-names":false,"suffix":""},{"dropping-particle":"","family":"Richardson","given":"Paul G.","non-dropping-particle":"","parse-names":false,"suffix":""},{"dropping-particle":"","family":"McCarthy","given":"Philip","non-dropping-particle":"","parse-names":false,"suffix":""},{"dropping-particle":"","family":"Ludwig","given":"Heinz","non-dropping-particle":"","parse-names":false,"suffix":""},{"dropping-particle":"","family":"Chen","given":"Wenming","non-dropping-particle":"","parse-names":false,"suffix":""},{"dropping-particle":"","family":"Cavo","given":"Michele","non-dropping-particle":"","parse-names":false,"suffix":""},{"dropping-particle":"","family":"Harousseau","given":"Jean Luc","non-dropping-particle":"","parse-names":false,"suffix":""},{"dropping-particle":"","family":"Lentzsch","given":"Suzanne","non-dropping-particle":"","parse-names":false,"suffix":""},{"dropping-particle":"","family":"Hillengass","given":"Jens","non-dropping-particle":"","parse-names":false,"suffix":""},{"dropping-particle":"","family":"Palumbo","given":"Antonio","non-dropping-particle":"","parse-names":false,"suffix":""},{"dropping-particle":"","family":"Orfao","given":"Alberto","non-dropping-particle":"","parse-names":false,"suffix":""},{"dropping-particle":"","family":"Rajkumar","given":"S. Vincent","non-dropping-particle":"","parse-names":false,"suffix":""},{"dropping-particle":"","family":"Miguel","given":"Jesus San","non-dropping-particle":"","parse-names":false,"suffix":""},{"dropping-particle":"","family":"Avet-Loiseau","given":"Herve","non-dropping-particle":"","parse-names":false,"suffix":""}],"container-title":"The Lancet Oncology","id":"ITEM-3","issue":"8","issued":{"date-parts":[["2016","8","1"]]},"page":"e328-e346","publisher":"Lancet Publishing Group","title":"International Myeloma Working Group consensus criteria for response and minimal residual disease assessment in multiple myeloma","type":"article","volume":"17"},"uris":["http://www.mendeley.com/documents/?uuid=530a8544-f504-385c-8004-3a945290d1b0"]}],"mendeley":{"formattedCitation":"[85–87]","plainTextFormattedCitation":"[85–87]","previouslyFormattedCitation":"[85–87]"},"properties":{"noteIndex":0},"schema":"https://github.com/citation-style-language/schema/raw/master/csl-citation.json"}</w:instrText>
      </w:r>
      <w:r w:rsidR="00A96FB6" w:rsidRPr="00805C9F">
        <w:rPr>
          <w:szCs w:val="24"/>
        </w:rPr>
        <w:fldChar w:fldCharType="separate"/>
      </w:r>
      <w:r w:rsidR="00E430FD" w:rsidRPr="00E430FD">
        <w:rPr>
          <w:noProof/>
          <w:szCs w:val="24"/>
        </w:rPr>
        <w:t>[85–87]</w:t>
      </w:r>
      <w:r w:rsidR="00A96FB6" w:rsidRPr="00805C9F">
        <w:rPr>
          <w:szCs w:val="24"/>
        </w:rPr>
        <w:fldChar w:fldCharType="end"/>
      </w:r>
      <w:r w:rsidR="00253BC3" w:rsidRPr="00805C9F">
        <w:rPr>
          <w:szCs w:val="24"/>
        </w:rPr>
        <w:t>.</w:t>
      </w:r>
    </w:p>
    <w:p w14:paraId="628D5165" w14:textId="77777777" w:rsidR="000B44DE" w:rsidRPr="00805C9F" w:rsidRDefault="00F2308C" w:rsidP="00092917">
      <w:pPr>
        <w:pStyle w:val="a6"/>
        <w:spacing w:before="0" w:after="0"/>
        <w:ind w:left="0"/>
        <w:rPr>
          <w:b/>
          <w:szCs w:val="24"/>
        </w:rPr>
      </w:pPr>
      <w:r w:rsidRPr="00805C9F">
        <w:rPr>
          <w:b/>
          <w:szCs w:val="24"/>
        </w:rPr>
        <w:t xml:space="preserve">Уровень убедительности рекомендаций </w:t>
      </w:r>
      <w:r w:rsidR="003119DD" w:rsidRPr="00805C9F">
        <w:rPr>
          <w:b/>
          <w:szCs w:val="24"/>
        </w:rPr>
        <w:t xml:space="preserve">− </w:t>
      </w:r>
      <w:r w:rsidR="00BD6788" w:rsidRPr="00805C9F">
        <w:rPr>
          <w:b/>
          <w:szCs w:val="24"/>
          <w:lang w:val="en-US"/>
        </w:rPr>
        <w:t>C</w:t>
      </w:r>
      <w:r w:rsidR="00B33A5C" w:rsidRPr="00805C9F">
        <w:rPr>
          <w:b/>
          <w:szCs w:val="24"/>
        </w:rPr>
        <w:t xml:space="preserve"> </w:t>
      </w:r>
      <w:r w:rsidRPr="00805C9F">
        <w:rPr>
          <w:b/>
          <w:szCs w:val="24"/>
        </w:rPr>
        <w:t>(уровень достоверности доказательств</w:t>
      </w:r>
      <w:r w:rsidR="003119DD" w:rsidRPr="00805C9F">
        <w:rPr>
          <w:b/>
          <w:szCs w:val="24"/>
        </w:rPr>
        <w:t xml:space="preserve"> − </w:t>
      </w:r>
      <w:r w:rsidR="00BD6788" w:rsidRPr="00805C9F">
        <w:rPr>
          <w:b/>
          <w:szCs w:val="24"/>
        </w:rPr>
        <w:t>5</w:t>
      </w:r>
      <w:r w:rsidRPr="00805C9F">
        <w:rPr>
          <w:b/>
          <w:szCs w:val="24"/>
        </w:rPr>
        <w:t>)</w:t>
      </w:r>
      <w:bookmarkStart w:id="41" w:name="_Toc520213128"/>
    </w:p>
    <w:p w14:paraId="62788C12" w14:textId="0A3A180E" w:rsidR="00092917" w:rsidRDefault="00092917">
      <w:pPr>
        <w:spacing w:before="0" w:after="0" w:line="240" w:lineRule="auto"/>
        <w:jc w:val="left"/>
        <w:rPr>
          <w:b/>
        </w:rPr>
      </w:pPr>
      <w:r>
        <w:rPr>
          <w:b/>
        </w:rPr>
        <w:br w:type="page"/>
      </w:r>
    </w:p>
    <w:p w14:paraId="45A27C75" w14:textId="77777777" w:rsidR="003C363B" w:rsidRPr="00F242DD" w:rsidRDefault="002469E3" w:rsidP="00092917">
      <w:pPr>
        <w:pStyle w:val="1"/>
        <w:spacing w:line="276" w:lineRule="auto"/>
        <w:rPr>
          <w:rFonts w:eastAsia="Calibri"/>
        </w:rPr>
      </w:pPr>
      <w:bookmarkStart w:id="42" w:name="_Toc97734637"/>
      <w:r w:rsidRPr="00F242DD">
        <w:rPr>
          <w:rFonts w:eastAsia="Calibri"/>
        </w:rPr>
        <w:lastRenderedPageBreak/>
        <w:t xml:space="preserve">4. </w:t>
      </w:r>
      <w:r w:rsidR="00B33A5C" w:rsidRPr="00F242DD">
        <w:rPr>
          <w:rFonts w:eastAsia="Calibri"/>
        </w:rPr>
        <w:t xml:space="preserve">Медицинская реабилитация, медицинские показания </w:t>
      </w:r>
      <w:r w:rsidR="009A649F" w:rsidRPr="00F242DD">
        <w:rPr>
          <w:rFonts w:eastAsia="Calibri"/>
        </w:rPr>
        <w:br/>
      </w:r>
      <w:r w:rsidR="00B33A5C" w:rsidRPr="00F242DD">
        <w:rPr>
          <w:rFonts w:eastAsia="Calibri"/>
        </w:rPr>
        <w:t>и противопоказания к применению методов реабилитации</w:t>
      </w:r>
      <w:bookmarkEnd w:id="42"/>
    </w:p>
    <w:p w14:paraId="058D8041" w14:textId="13824B81" w:rsidR="003C363B" w:rsidRPr="00805C9F" w:rsidRDefault="003C363B" w:rsidP="002431B5">
      <w:pPr>
        <w:pStyle w:val="a6"/>
        <w:numPr>
          <w:ilvl w:val="0"/>
          <w:numId w:val="5"/>
        </w:numPr>
        <w:spacing w:before="0" w:after="0"/>
        <w:ind w:left="0" w:firstLine="0"/>
        <w:rPr>
          <w:szCs w:val="24"/>
        </w:rPr>
      </w:pPr>
      <w:r w:rsidRPr="00805C9F">
        <w:rPr>
          <w:szCs w:val="24"/>
        </w:rPr>
        <w:t>Всем пациентам с ММ</w:t>
      </w:r>
      <w:r w:rsidR="000A156C" w:rsidRPr="00805C9F">
        <w:rPr>
          <w:szCs w:val="24"/>
        </w:rPr>
        <w:t xml:space="preserve"> </w:t>
      </w:r>
      <w:r w:rsidRPr="00805C9F">
        <w:rPr>
          <w:szCs w:val="24"/>
        </w:rPr>
        <w:t xml:space="preserve">на всех этапах терапии заболевания, а также после завершения лекарственного лечения </w:t>
      </w:r>
      <w:r w:rsidRPr="00805C9F">
        <w:rPr>
          <w:b/>
          <w:szCs w:val="24"/>
        </w:rPr>
        <w:t>рекомендуется</w:t>
      </w:r>
      <w:r w:rsidRPr="00805C9F">
        <w:rPr>
          <w:szCs w:val="24"/>
        </w:rPr>
        <w:t xml:space="preserve"> комплексная реабилитация</w:t>
      </w:r>
      <w:r w:rsidR="004E145E" w:rsidRPr="00805C9F">
        <w:rPr>
          <w:szCs w:val="24"/>
        </w:rPr>
        <w:t xml:space="preserve"> </w:t>
      </w:r>
      <w:r w:rsidR="00A96FB6" w:rsidRPr="00805C9F">
        <w:rPr>
          <w:szCs w:val="24"/>
        </w:rPr>
        <w:fldChar w:fldCharType="begin" w:fldLock="1"/>
      </w:r>
      <w:r w:rsidR="00E430FD">
        <w:rPr>
          <w:szCs w:val="24"/>
        </w:rPr>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[88]","plainTextFormattedCitation":"[88]","previouslyFormattedCitation":"[88]"},"properties":{"noteIndex":0},"schema":"https://github.com/citation-style-language/schema/raw/master/csl-citation.json"}</w:instrText>
      </w:r>
      <w:r w:rsidR="00A96FB6" w:rsidRPr="00805C9F">
        <w:rPr>
          <w:szCs w:val="24"/>
        </w:rPr>
        <w:fldChar w:fldCharType="separate"/>
      </w:r>
      <w:r w:rsidR="00E430FD" w:rsidRPr="00E430FD">
        <w:rPr>
          <w:noProof/>
          <w:szCs w:val="24"/>
        </w:rPr>
        <w:t>[88]</w:t>
      </w:r>
      <w:r w:rsidR="00A96FB6" w:rsidRPr="00805C9F">
        <w:rPr>
          <w:szCs w:val="24"/>
        </w:rPr>
        <w:fldChar w:fldCharType="end"/>
      </w:r>
      <w:r w:rsidRPr="00805C9F">
        <w:rPr>
          <w:szCs w:val="24"/>
        </w:rPr>
        <w:t xml:space="preserve">. </w:t>
      </w:r>
    </w:p>
    <w:p w14:paraId="207DF8BC" w14:textId="77777777" w:rsidR="003C363B" w:rsidRPr="00805C9F" w:rsidRDefault="003C363B" w:rsidP="002431B5">
      <w:pPr>
        <w:spacing w:before="0" w:after="0"/>
        <w:contextualSpacing/>
        <w:rPr>
          <w:b/>
          <w:szCs w:val="24"/>
        </w:rPr>
      </w:pPr>
      <w:r w:rsidRPr="00805C9F">
        <w:rPr>
          <w:b/>
          <w:szCs w:val="24"/>
        </w:rPr>
        <w:t xml:space="preserve">Уровень убедительности рекомендаций </w:t>
      </w:r>
      <w:r w:rsidR="003119DD" w:rsidRPr="00805C9F">
        <w:rPr>
          <w:b/>
          <w:szCs w:val="24"/>
        </w:rPr>
        <w:t xml:space="preserve">− </w:t>
      </w:r>
      <w:r w:rsidR="004F07FA" w:rsidRPr="00805C9F">
        <w:rPr>
          <w:b/>
          <w:szCs w:val="24"/>
          <w:lang w:val="en-US"/>
        </w:rPr>
        <w:t>C</w:t>
      </w:r>
      <w:r w:rsidR="004E145E" w:rsidRPr="00805C9F">
        <w:rPr>
          <w:b/>
          <w:szCs w:val="24"/>
        </w:rPr>
        <w:t xml:space="preserve"> </w:t>
      </w:r>
      <w:r w:rsidRPr="00805C9F">
        <w:rPr>
          <w:b/>
          <w:szCs w:val="24"/>
        </w:rPr>
        <w:t>(уровень достоверности доказательств</w:t>
      </w:r>
      <w:r w:rsidR="004F07FA" w:rsidRPr="00805C9F">
        <w:rPr>
          <w:b/>
          <w:szCs w:val="24"/>
        </w:rPr>
        <w:t xml:space="preserve"> </w:t>
      </w:r>
      <w:r w:rsidR="003119DD" w:rsidRPr="00805C9F">
        <w:rPr>
          <w:b/>
          <w:szCs w:val="24"/>
        </w:rPr>
        <w:t xml:space="preserve">− </w:t>
      </w:r>
      <w:r w:rsidR="004F07FA" w:rsidRPr="00805C9F">
        <w:rPr>
          <w:b/>
          <w:szCs w:val="24"/>
        </w:rPr>
        <w:t>5</w:t>
      </w:r>
      <w:r w:rsidRPr="00805C9F">
        <w:rPr>
          <w:b/>
          <w:szCs w:val="24"/>
        </w:rPr>
        <w:t>)</w:t>
      </w:r>
    </w:p>
    <w:p w14:paraId="1BBC03D7" w14:textId="77777777" w:rsidR="003C363B" w:rsidRPr="00805C9F" w:rsidRDefault="003C363B" w:rsidP="002431B5">
      <w:pPr>
        <w:spacing w:before="0" w:after="0"/>
        <w:contextualSpacing/>
        <w:rPr>
          <w:i/>
          <w:szCs w:val="24"/>
        </w:rPr>
      </w:pPr>
      <w:r w:rsidRPr="00805C9F">
        <w:rPr>
          <w:b/>
          <w:szCs w:val="24"/>
        </w:rPr>
        <w:t>Комментарий:</w:t>
      </w:r>
      <w:r w:rsidR="00BA7503" w:rsidRPr="00805C9F">
        <w:rPr>
          <w:b/>
          <w:szCs w:val="24"/>
        </w:rPr>
        <w:t xml:space="preserve"> </w:t>
      </w:r>
      <w:r w:rsidR="003119DD" w:rsidRPr="00805C9F">
        <w:rPr>
          <w:i/>
          <w:szCs w:val="24"/>
        </w:rPr>
        <w:t>с</w:t>
      </w:r>
      <w:r w:rsidRPr="00805C9F">
        <w:rPr>
          <w:i/>
          <w:szCs w:val="24"/>
        </w:rPr>
        <w:t>пециальных методов реабилитации при ММ не существует. Реабилитация пациентов с ММ должна носить комплексный характер, охватывая медицинские</w:t>
      </w:r>
      <w:r w:rsidR="00BA7503" w:rsidRPr="00805C9F">
        <w:rPr>
          <w:i/>
          <w:szCs w:val="24"/>
        </w:rPr>
        <w:t xml:space="preserve"> </w:t>
      </w:r>
      <w:r w:rsidR="00E25B92" w:rsidRPr="00805C9F">
        <w:rPr>
          <w:i/>
          <w:szCs w:val="24"/>
        </w:rPr>
        <w:t>и с</w:t>
      </w:r>
      <w:r w:rsidRPr="00805C9F">
        <w:rPr>
          <w:i/>
          <w:szCs w:val="24"/>
        </w:rPr>
        <w:t xml:space="preserve">оциально-психологические аспекты адаптации пациента к нормальной жизни. </w:t>
      </w:r>
      <w:r w:rsidR="00496C13" w:rsidRPr="00805C9F">
        <w:rPr>
          <w:i/>
          <w:szCs w:val="24"/>
        </w:rPr>
        <w:t xml:space="preserve">Объем медицинской реабилитации </w:t>
      </w:r>
      <w:r w:rsidR="00DB62D2" w:rsidRPr="00805C9F">
        <w:rPr>
          <w:i/>
          <w:szCs w:val="24"/>
        </w:rPr>
        <w:t>разрабатывается индивидуально для каждого пациента</w:t>
      </w:r>
      <w:r w:rsidR="00496C13" w:rsidRPr="00805C9F">
        <w:rPr>
          <w:i/>
          <w:szCs w:val="24"/>
        </w:rPr>
        <w:t xml:space="preserve"> врачом</w:t>
      </w:r>
      <w:r w:rsidR="003119DD" w:rsidRPr="00805C9F">
        <w:rPr>
          <w:i/>
          <w:szCs w:val="24"/>
        </w:rPr>
        <w:t>-</w:t>
      </w:r>
      <w:r w:rsidR="00496C13" w:rsidRPr="00805C9F">
        <w:rPr>
          <w:i/>
          <w:szCs w:val="24"/>
        </w:rPr>
        <w:t>реабилитологом при участии врача</w:t>
      </w:r>
      <w:r w:rsidR="003119DD" w:rsidRPr="00805C9F">
        <w:rPr>
          <w:i/>
          <w:szCs w:val="24"/>
        </w:rPr>
        <w:t>-</w:t>
      </w:r>
      <w:r w:rsidR="00496C13" w:rsidRPr="00805C9F">
        <w:rPr>
          <w:i/>
          <w:szCs w:val="24"/>
        </w:rPr>
        <w:t xml:space="preserve">гематолога и зависит от течения и проявлений заболевания (нарушения мобильности в связи с патологическими переломами, </w:t>
      </w:r>
      <w:r w:rsidR="00DB62D2" w:rsidRPr="00805C9F">
        <w:rPr>
          <w:i/>
          <w:szCs w:val="24"/>
        </w:rPr>
        <w:t>анемический синдром, болевой синдром, нарушения питания и др.)</w:t>
      </w:r>
      <w:r w:rsidR="00496C13" w:rsidRPr="00805C9F">
        <w:rPr>
          <w:i/>
          <w:szCs w:val="24"/>
        </w:rPr>
        <w:t xml:space="preserve"> и проведенных вмешательств</w:t>
      </w:r>
      <w:r w:rsidR="00DB62D2" w:rsidRPr="00805C9F">
        <w:rPr>
          <w:i/>
          <w:szCs w:val="24"/>
        </w:rPr>
        <w:t xml:space="preserve"> (ТГСК, гемодиализ). Кроме того, программа реабилитации должна учитывать социальные и психологические проблемы пациента и </w:t>
      </w:r>
      <w:r w:rsidRPr="00805C9F">
        <w:rPr>
          <w:i/>
          <w:szCs w:val="24"/>
        </w:rPr>
        <w:t xml:space="preserve">требует кроме медицинской помощи обязательного участия социальных работников и психологов. Реабилитация при возникновении осложнений в течение заболевания и лечения проводится в рамках соответствующих нозологий. </w:t>
      </w:r>
    </w:p>
    <w:p w14:paraId="16EC03C8" w14:textId="77777777" w:rsidR="003C363B" w:rsidRPr="00F242DD" w:rsidRDefault="00B33A5C" w:rsidP="002431B5">
      <w:pPr>
        <w:pStyle w:val="1"/>
      </w:pPr>
      <w:bookmarkStart w:id="43" w:name="_Toc520213127"/>
      <w:bookmarkStart w:id="44" w:name="_Toc436919"/>
      <w:bookmarkStart w:id="45" w:name="_Toc97734638"/>
      <w:r w:rsidRPr="00F242DD">
        <w:lastRenderedPageBreak/>
        <w:t xml:space="preserve">5. </w:t>
      </w:r>
      <w:r w:rsidR="003C363B" w:rsidRPr="00F242DD">
        <w:t>Профилактика</w:t>
      </w:r>
      <w:bookmarkEnd w:id="43"/>
      <w:r w:rsidR="003C363B" w:rsidRPr="00F242DD">
        <w:t xml:space="preserve"> и диспансерное </w:t>
      </w:r>
      <w:bookmarkEnd w:id="44"/>
      <w:r w:rsidRPr="00F242DD">
        <w:t>наблюдение, медицинские показания и противопоказания к применению методов профилактики</w:t>
      </w:r>
      <w:bookmarkEnd w:id="45"/>
    </w:p>
    <w:p w14:paraId="7759DDBA" w14:textId="22EEA23F" w:rsidR="004F07FA" w:rsidRPr="00805C9F" w:rsidRDefault="004F07FA" w:rsidP="002431B5">
      <w:pPr>
        <w:spacing w:before="0" w:after="0"/>
        <w:contextualSpacing/>
        <w:rPr>
          <w:i/>
          <w:szCs w:val="24"/>
        </w:rPr>
      </w:pPr>
      <w:r w:rsidRPr="00805C9F">
        <w:rPr>
          <w:i/>
          <w:szCs w:val="24"/>
        </w:rPr>
        <w:t>Методов профилактики ММ в настоящее время не существует, поскольку неизвестен этиологический</w:t>
      </w:r>
      <w:r w:rsidR="00891F1E" w:rsidRPr="00805C9F">
        <w:rPr>
          <w:i/>
          <w:szCs w:val="24"/>
        </w:rPr>
        <w:t>(е)</w:t>
      </w:r>
      <w:r w:rsidRPr="00805C9F">
        <w:rPr>
          <w:i/>
          <w:szCs w:val="24"/>
        </w:rPr>
        <w:t xml:space="preserve"> фактор(ы), ведущи</w:t>
      </w:r>
      <w:r w:rsidR="00891F1E" w:rsidRPr="00805C9F">
        <w:rPr>
          <w:i/>
          <w:szCs w:val="24"/>
        </w:rPr>
        <w:t>й(е)</w:t>
      </w:r>
      <w:r w:rsidRPr="00805C9F">
        <w:rPr>
          <w:i/>
          <w:szCs w:val="24"/>
        </w:rPr>
        <w:t xml:space="preserve"> к развитию заболевания. </w:t>
      </w:r>
    </w:p>
    <w:p w14:paraId="4D9C331D" w14:textId="66583407" w:rsidR="004F07FA" w:rsidRPr="00805C9F" w:rsidRDefault="003C363B" w:rsidP="002431B5">
      <w:pPr>
        <w:pStyle w:val="a6"/>
        <w:numPr>
          <w:ilvl w:val="0"/>
          <w:numId w:val="5"/>
        </w:numPr>
        <w:spacing w:before="0" w:after="0"/>
        <w:ind w:left="0" w:firstLine="0"/>
        <w:rPr>
          <w:b/>
          <w:szCs w:val="24"/>
        </w:rPr>
      </w:pPr>
      <w:r w:rsidRPr="00805C9F">
        <w:rPr>
          <w:szCs w:val="24"/>
        </w:rPr>
        <w:t>Всем пациентам с ММ</w:t>
      </w:r>
      <w:r w:rsidR="00BA7503" w:rsidRPr="00805C9F">
        <w:rPr>
          <w:szCs w:val="24"/>
        </w:rPr>
        <w:t xml:space="preserve"> </w:t>
      </w:r>
      <w:r w:rsidRPr="00805C9F">
        <w:rPr>
          <w:szCs w:val="24"/>
        </w:rPr>
        <w:t>на</w:t>
      </w:r>
      <w:r w:rsidR="00BA7503" w:rsidRPr="00805C9F">
        <w:rPr>
          <w:szCs w:val="24"/>
        </w:rPr>
        <w:t xml:space="preserve"> </w:t>
      </w:r>
      <w:r w:rsidR="006E7B15" w:rsidRPr="00805C9F">
        <w:rPr>
          <w:szCs w:val="24"/>
        </w:rPr>
        <w:t>протяжении всей жизни</w:t>
      </w:r>
      <w:r w:rsidR="00891F1E" w:rsidRPr="00805C9F">
        <w:rPr>
          <w:szCs w:val="24"/>
        </w:rPr>
        <w:t>,</w:t>
      </w:r>
      <w:r w:rsidRPr="00805C9F">
        <w:rPr>
          <w:szCs w:val="24"/>
        </w:rPr>
        <w:t xml:space="preserve"> как в период лечения, так и вне лечения </w:t>
      </w:r>
      <w:r w:rsidR="00FD2995" w:rsidRPr="00805C9F">
        <w:rPr>
          <w:szCs w:val="24"/>
        </w:rPr>
        <w:t>ММ</w:t>
      </w:r>
      <w:r w:rsidRPr="00805C9F">
        <w:rPr>
          <w:szCs w:val="24"/>
        </w:rPr>
        <w:t xml:space="preserve">, </w:t>
      </w:r>
      <w:r w:rsidRPr="00805C9F">
        <w:rPr>
          <w:b/>
          <w:szCs w:val="24"/>
        </w:rPr>
        <w:t>рекомендуется</w:t>
      </w:r>
      <w:r w:rsidRPr="00805C9F">
        <w:rPr>
          <w:szCs w:val="24"/>
        </w:rPr>
        <w:t xml:space="preserve"> диспансерное наблюдение у гематолога </w:t>
      </w:r>
      <w:r w:rsidR="00A96FB6" w:rsidRPr="00805C9F">
        <w:rPr>
          <w:szCs w:val="24"/>
        </w:rPr>
        <w:fldChar w:fldCharType="begin" w:fldLock="1"/>
      </w:r>
      <w:r w:rsidR="00500F37">
        <w:rPr>
          <w:szCs w:val="24"/>
        </w:rP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e78fcf94-0c0e-4ddb-8024-8cef84c7c5c2"]}],"mendeley":{"formattedCitation":"[1]","plainTextFormattedCitation":"[1]","previouslyFormattedCitation":"[1]"},"properties":{"noteIndex":0},"schema":"https://github.com/citation-style-language/schema/raw/master/csl-citation.json"}</w:instrText>
      </w:r>
      <w:r w:rsidR="00A96FB6" w:rsidRPr="00805C9F">
        <w:rPr>
          <w:szCs w:val="24"/>
        </w:rPr>
        <w:fldChar w:fldCharType="separate"/>
      </w:r>
      <w:r w:rsidR="00E03159" w:rsidRPr="00805C9F">
        <w:rPr>
          <w:noProof/>
          <w:szCs w:val="24"/>
        </w:rPr>
        <w:t>[1]</w:t>
      </w:r>
      <w:r w:rsidR="00A96FB6" w:rsidRPr="00805C9F">
        <w:rPr>
          <w:szCs w:val="24"/>
        </w:rPr>
        <w:fldChar w:fldCharType="end"/>
      </w:r>
      <w:r w:rsidRPr="00805C9F">
        <w:rPr>
          <w:szCs w:val="24"/>
        </w:rPr>
        <w:t xml:space="preserve">. </w:t>
      </w:r>
    </w:p>
    <w:p w14:paraId="7C61B3D3" w14:textId="77777777" w:rsidR="003C363B" w:rsidRPr="00805C9F" w:rsidRDefault="003C363B" w:rsidP="002431B5">
      <w:pPr>
        <w:spacing w:before="0" w:after="0"/>
        <w:contextualSpacing/>
        <w:rPr>
          <w:b/>
          <w:szCs w:val="24"/>
        </w:rPr>
      </w:pPr>
      <w:r w:rsidRPr="00805C9F">
        <w:rPr>
          <w:b/>
          <w:szCs w:val="24"/>
        </w:rPr>
        <w:t xml:space="preserve">Уровень убедительности рекомендаций </w:t>
      </w:r>
      <w:r w:rsidR="00F64CC1" w:rsidRPr="00805C9F">
        <w:rPr>
          <w:b/>
          <w:szCs w:val="24"/>
        </w:rPr>
        <w:t xml:space="preserve">− </w:t>
      </w:r>
      <w:r w:rsidR="004F07FA" w:rsidRPr="00805C9F">
        <w:rPr>
          <w:b/>
          <w:szCs w:val="24"/>
          <w:lang w:val="en-US"/>
        </w:rPr>
        <w:t>C</w:t>
      </w:r>
      <w:r w:rsidR="00BA7503" w:rsidRPr="00805C9F">
        <w:rPr>
          <w:b/>
          <w:szCs w:val="24"/>
        </w:rPr>
        <w:t xml:space="preserve"> </w:t>
      </w:r>
      <w:r w:rsidRPr="00805C9F">
        <w:rPr>
          <w:b/>
          <w:szCs w:val="24"/>
        </w:rPr>
        <w:t>(уровень достоверности доказательств</w:t>
      </w:r>
      <w:r w:rsidR="004F07FA" w:rsidRPr="00805C9F">
        <w:rPr>
          <w:b/>
          <w:szCs w:val="24"/>
        </w:rPr>
        <w:t xml:space="preserve"> </w:t>
      </w:r>
      <w:r w:rsidR="00F64CC1" w:rsidRPr="00805C9F">
        <w:rPr>
          <w:b/>
          <w:szCs w:val="24"/>
        </w:rPr>
        <w:t xml:space="preserve">− </w:t>
      </w:r>
      <w:r w:rsidR="004F07FA" w:rsidRPr="00805C9F">
        <w:rPr>
          <w:b/>
          <w:szCs w:val="24"/>
        </w:rPr>
        <w:t>5</w:t>
      </w:r>
      <w:r w:rsidRPr="00805C9F">
        <w:rPr>
          <w:b/>
          <w:szCs w:val="24"/>
        </w:rPr>
        <w:t>)</w:t>
      </w:r>
    </w:p>
    <w:p w14:paraId="4B3CB31E" w14:textId="42B57396" w:rsidR="003C363B" w:rsidRPr="00805C9F" w:rsidRDefault="004317D6" w:rsidP="002431B5">
      <w:pPr>
        <w:spacing w:before="0" w:after="0"/>
        <w:rPr>
          <w:i/>
          <w:szCs w:val="24"/>
        </w:rPr>
      </w:pPr>
      <w:r w:rsidRPr="00805C9F">
        <w:rPr>
          <w:b/>
          <w:szCs w:val="24"/>
        </w:rPr>
        <w:t>Комментарий:</w:t>
      </w:r>
      <w:r w:rsidR="00BA7503" w:rsidRPr="00805C9F">
        <w:rPr>
          <w:b/>
          <w:szCs w:val="24"/>
        </w:rPr>
        <w:t xml:space="preserve"> </w:t>
      </w:r>
      <w:r w:rsidR="00F64CC1" w:rsidRPr="00805C9F">
        <w:rPr>
          <w:i/>
          <w:szCs w:val="24"/>
        </w:rPr>
        <w:t>к</w:t>
      </w:r>
      <w:r w:rsidR="002E47DA" w:rsidRPr="00805C9F">
        <w:rPr>
          <w:i/>
          <w:szCs w:val="24"/>
        </w:rPr>
        <w:t xml:space="preserve">онтроль за течением заболевания и эффективностью терапии должен выполняться регулярно </w:t>
      </w:r>
      <w:r w:rsidR="005A0507" w:rsidRPr="00805C9F">
        <w:rPr>
          <w:i/>
          <w:szCs w:val="24"/>
        </w:rPr>
        <w:t>врачом-</w:t>
      </w:r>
      <w:r w:rsidR="002E47DA" w:rsidRPr="00805C9F">
        <w:rPr>
          <w:i/>
          <w:szCs w:val="24"/>
        </w:rPr>
        <w:t xml:space="preserve">гематологом или </w:t>
      </w:r>
      <w:r w:rsidR="005A0507" w:rsidRPr="00805C9F">
        <w:rPr>
          <w:i/>
          <w:szCs w:val="24"/>
        </w:rPr>
        <w:t>врачом-</w:t>
      </w:r>
      <w:r w:rsidR="002E47DA" w:rsidRPr="00805C9F">
        <w:rPr>
          <w:i/>
          <w:szCs w:val="24"/>
        </w:rPr>
        <w:t>онкологом</w:t>
      </w:r>
      <w:r w:rsidR="006E7B15" w:rsidRPr="00805C9F">
        <w:rPr>
          <w:i/>
          <w:szCs w:val="24"/>
        </w:rPr>
        <w:t xml:space="preserve"> по месту жительства пациента.</w:t>
      </w:r>
      <w:r w:rsidR="00BA7503" w:rsidRPr="00805C9F">
        <w:rPr>
          <w:i/>
          <w:szCs w:val="24"/>
        </w:rPr>
        <w:t xml:space="preserve"> </w:t>
      </w:r>
      <w:r w:rsidR="002E47DA" w:rsidRPr="00805C9F">
        <w:rPr>
          <w:i/>
          <w:szCs w:val="24"/>
        </w:rPr>
        <w:t>В п</w:t>
      </w:r>
      <w:r w:rsidRPr="00805C9F">
        <w:rPr>
          <w:i/>
          <w:szCs w:val="24"/>
        </w:rPr>
        <w:t>роцессе проводимой терапии иммунохимическое исследование белков сыворотки крови и мочи следует выполнять каждые 2</w:t>
      </w:r>
      <w:r w:rsidR="00EE6579" w:rsidRPr="00805C9F">
        <w:rPr>
          <w:i/>
          <w:szCs w:val="24"/>
        </w:rPr>
        <w:t>−</w:t>
      </w:r>
      <w:r w:rsidRPr="00805C9F">
        <w:rPr>
          <w:i/>
          <w:szCs w:val="24"/>
        </w:rPr>
        <w:t xml:space="preserve">3 мес. У </w:t>
      </w:r>
      <w:r w:rsidR="00FB03BB" w:rsidRPr="00805C9F">
        <w:rPr>
          <w:i/>
          <w:szCs w:val="24"/>
        </w:rPr>
        <w:t>пациентов</w:t>
      </w:r>
      <w:r w:rsidRPr="00805C9F">
        <w:rPr>
          <w:i/>
          <w:szCs w:val="24"/>
        </w:rPr>
        <w:t xml:space="preserve"> олиго- или несекретирующей ММ следует проводить исследование свободных легких цепей</w:t>
      </w:r>
      <w:r w:rsidR="002B762F" w:rsidRPr="00805C9F">
        <w:rPr>
          <w:i/>
          <w:szCs w:val="24"/>
        </w:rPr>
        <w:t xml:space="preserve"> иммуноглобулинов</w:t>
      </w:r>
      <w:r w:rsidRPr="00805C9F">
        <w:rPr>
          <w:i/>
          <w:szCs w:val="24"/>
        </w:rPr>
        <w:t xml:space="preserve">. После окончания лечения иммунохимические исследования крови и мочи выполняют каждые 3 мес. Исследование костного мозга рекомендуется только для подтверждения </w:t>
      </w:r>
      <w:r w:rsidR="00815B1A" w:rsidRPr="00805C9F">
        <w:rPr>
          <w:i/>
          <w:szCs w:val="24"/>
        </w:rPr>
        <w:t>ПР</w:t>
      </w:r>
      <w:r w:rsidRPr="00805C9F">
        <w:rPr>
          <w:i/>
          <w:szCs w:val="24"/>
        </w:rPr>
        <w:t xml:space="preserve"> и оценки эффективности лечения при несекретирующей ММ при невозможности исследовать СЛЦ</w:t>
      </w:r>
      <w:r w:rsidR="002B762F" w:rsidRPr="00805C9F">
        <w:rPr>
          <w:i/>
          <w:szCs w:val="24"/>
        </w:rPr>
        <w:t xml:space="preserve"> иммуноглобулинов</w:t>
      </w:r>
      <w:r w:rsidRPr="00805C9F">
        <w:rPr>
          <w:i/>
          <w:szCs w:val="24"/>
        </w:rPr>
        <w:t>. Рентгенография костей выполняется по клиническим показаниям.</w:t>
      </w:r>
    </w:p>
    <w:p w14:paraId="72B05D56" w14:textId="43B508D6" w:rsidR="00202DE5" w:rsidRPr="00805C9F" w:rsidRDefault="00202DE5" w:rsidP="002431B5">
      <w:pPr>
        <w:pStyle w:val="a6"/>
        <w:numPr>
          <w:ilvl w:val="0"/>
          <w:numId w:val="5"/>
        </w:numPr>
        <w:spacing w:before="0" w:after="0"/>
        <w:ind w:left="0" w:firstLine="0"/>
        <w:rPr>
          <w:b/>
          <w:szCs w:val="24"/>
        </w:rPr>
      </w:pPr>
      <w:r w:rsidRPr="00805C9F">
        <w:rPr>
          <w:szCs w:val="24"/>
        </w:rPr>
        <w:t>Пациент</w:t>
      </w:r>
      <w:r w:rsidR="004E145E" w:rsidRPr="00805C9F">
        <w:rPr>
          <w:szCs w:val="24"/>
        </w:rPr>
        <w:t>ам</w:t>
      </w:r>
      <w:r w:rsidRPr="00805C9F">
        <w:rPr>
          <w:szCs w:val="24"/>
        </w:rPr>
        <w:t>, которым проводилось</w:t>
      </w:r>
      <w:r w:rsidR="004E145E" w:rsidRPr="00805C9F">
        <w:rPr>
          <w:szCs w:val="24"/>
        </w:rPr>
        <w:t>/</w:t>
      </w:r>
      <w:r w:rsidRPr="00805C9F">
        <w:rPr>
          <w:szCs w:val="24"/>
        </w:rPr>
        <w:t xml:space="preserve">проводится лечение с включением препарата леналидомид, </w:t>
      </w:r>
      <w:r w:rsidR="004E145E" w:rsidRPr="00805C9F">
        <w:rPr>
          <w:b/>
          <w:bCs/>
          <w:szCs w:val="24"/>
        </w:rPr>
        <w:t>рекомендуется</w:t>
      </w:r>
      <w:r w:rsidR="004E145E" w:rsidRPr="00805C9F">
        <w:rPr>
          <w:szCs w:val="24"/>
        </w:rPr>
        <w:t xml:space="preserve"> </w:t>
      </w:r>
      <w:r w:rsidRPr="00805C9F">
        <w:rPr>
          <w:szCs w:val="24"/>
        </w:rPr>
        <w:t>проведени</w:t>
      </w:r>
      <w:r w:rsidR="00815B1A" w:rsidRPr="00805C9F">
        <w:rPr>
          <w:szCs w:val="24"/>
        </w:rPr>
        <w:t>е</w:t>
      </w:r>
      <w:r w:rsidRPr="00805C9F">
        <w:rPr>
          <w:szCs w:val="24"/>
        </w:rPr>
        <w:t xml:space="preserve"> плановых скрининговых обследований из-за повышенного риска развития вторых опухолей</w:t>
      </w:r>
      <w:r w:rsidR="004E145E" w:rsidRPr="00805C9F">
        <w:rPr>
          <w:szCs w:val="24"/>
        </w:rPr>
        <w:t xml:space="preserve"> </w:t>
      </w:r>
      <w:r w:rsidR="00A96FB6" w:rsidRPr="00805C9F">
        <w:rPr>
          <w:szCs w:val="24"/>
        </w:rPr>
        <w:fldChar w:fldCharType="begin" w:fldLock="1"/>
      </w:r>
      <w:r w:rsidR="00E430FD">
        <w:rPr>
          <w:szCs w:val="24"/>
        </w:rPr>
        <w:instrText>ADDIN CSL_CITATION {"citationItems":[{"id":"ITEM-1","itemData":{"DOI":"10.1038/bcj.2016.114","ISSN":"20445385","abstract":"We have carried out the largest randomised trial to date of newly diagnosed myeloma patients, in which lenalidomide has been used as an induction and maintenance treatment option and here report its impact on second primary malignancy (SPM) incidence and pathology. After review, 104 SPMs were confirmed in 96 of 2732 trial patients. The cumulative incidence of SPM was 0.7% (95% confidence interval (CI) 0.4-1.0%), 2.3% (95% CI 1.6-2.7%) and 3.8% (95% CI 2.9-4.6%) at 1, 2 and 3 years, respectively. Patients receiving maintenance lenalidomide had a significantly higher SPM incidence overall (P=0.011). Age is a risk factor with the highest SPM incidence observed in transplant non-eligible patients aged &gt;74 years receiving lenalidomide maintenance. The 3-year cumulative incidence in this group was 17.3% (95% CI 8.2-26.4%), compared with 6.5% (95% CI 0.2-12.9%) in observation only patients (P=0.049). There was a low overall incidence of haematological SPM (0.5%). The higher SPM incidence in patients receiving lenalidomide maintenance therapy, especially in advanced age, warrants ongoing monitoring although the benefit on survival is likely to outweigh risk.","author":[{"dropping-particle":"","family":"Jones","given":"J. R.","non-dropping-particle":"","parse-names":false,"suffix":""},{"dropping-particle":"","family":"Cairns","given":"D. A.","non-dropping-particle":"","parse-names":false,"suffix":""},{"dropping-particle":"","family":"Gregory","given":"W. M.","non-dropping-particle":"","parse-names":false,"suffix":""},{"dropping-particle":"","family":"Collett","given":"C.","non-dropping-particle":"","parse-names":false,"suffix":""},{"dropping-particle":"","family":"Pawlyn","given":"C.","non-dropping-particle":"","parse-names":false,"suffix":""},{"dropping-particle":"","family":"Sigsworth","given":"R.","non-dropping-particle":"","parse-names":false,"suffix":""},{"dropping-particle":"","family":"Striha","given":"A.","non-dropping-particle":"","parse-names":false,"suffix":""},{"dropping-particle":"","family":"Henderson","given":"R.","non-dropping-particle":"","parse-names":false,"suffix":""},{"dropping-particle":"","family":"Kaiser","given":"M. F.","non-dropping-particle":"","parse-names":false,"suffix":""},{"dropping-particle":"","family":"Jenner","given":"M.","non-dropping-particle":"","parse-names":false,"suffix":""},{"dropping-particle":"","family":"Cook","given":"G.","non-dropping-particle":"","parse-names":false,"suffix":""},{"dropping-particle":"","family":"Russell","given":"N. H.","non-dropping-particle":"","parse-names":false,"suffix":""},{"dropping-particle":"","family":"Williams","given":"C.","non-dropping-particle":"","parse-names":false,"suffix":""},{"dropping-particle":"","family":"Pratt","given":"G.","non-dropping-particle":"","parse-names":false,"suffix":""},{"dropping-particle":"","family":"Kishore","given":"B.","non-dropping-particle":"","parse-names":false,"suffix":""},{"dropping-particle":"","family":"Lindsay","given":"J.","non-dropping-particle":"","parse-names":false,"suffix":""},{"dropping-particle":"","family":"Drayson","given":"M. T.","non-dropping-particle":"","parse-names":false,"suffix":""},{"dropping-particle":"","family":"Davies","given":"F. E.","non-dropping-particle":"","parse-names":false,"suffix":""},{"dropping-particle":"","family":"Boyd","given":"K. D.","non-dropping-particle":"","parse-names":false,"suffix":""},{"dropping-particle":"","family":"Owen","given":"R. G.","non-dropping-particle":"","parse-names":false,"suffix":""},{"dropping-particle":"","family":"Jackson","given":"G. H.","non-dropping-particle":"","parse-names":false,"suffix":""},{"dropping-particle":"","family":"Morgan","given":"G. J.","non-dropping-particle":"","parse-names":false,"suffix":""}],"container-title":"Blood cancer journal","id":"ITEM-1","issue":"12","issued":{"date-parts":[["2016","12","9"]]},"page":"e506","title":"Second malignancies in the context of lenalidomide treatment: an analysis of 2732 myeloma patients enrolled to the Myeloma XI trial","type":"article-journal","volume":"6"},"uris":["http://www.mendeley.com/documents/?uuid=c9e0a495-5d96-3578-9ccf-860499393a73"]}],"mendeley":{"formattedCitation":"[89]","plainTextFormattedCitation":"[89]","previouslyFormattedCitation":"[89]"},"properties":{"noteIndex":0},"schema":"https://github.com/citation-style-language/schema/raw/master/csl-citation.json"}</w:instrText>
      </w:r>
      <w:r w:rsidR="00A96FB6" w:rsidRPr="00805C9F">
        <w:rPr>
          <w:szCs w:val="24"/>
        </w:rPr>
        <w:fldChar w:fldCharType="separate"/>
      </w:r>
      <w:r w:rsidR="00E430FD" w:rsidRPr="00E430FD">
        <w:rPr>
          <w:noProof/>
          <w:szCs w:val="24"/>
        </w:rPr>
        <w:t>[89]</w:t>
      </w:r>
      <w:r w:rsidR="00A96FB6" w:rsidRPr="00805C9F">
        <w:rPr>
          <w:szCs w:val="24"/>
        </w:rPr>
        <w:fldChar w:fldCharType="end"/>
      </w:r>
      <w:r w:rsidRPr="00805C9F">
        <w:rPr>
          <w:szCs w:val="24"/>
        </w:rPr>
        <w:t>.</w:t>
      </w:r>
    </w:p>
    <w:p w14:paraId="72F9AB78" w14:textId="77777777" w:rsidR="00202DE5" w:rsidRPr="00805C9F" w:rsidRDefault="00202DE5" w:rsidP="002431B5">
      <w:pPr>
        <w:spacing w:before="0" w:after="0"/>
        <w:contextualSpacing/>
        <w:rPr>
          <w:b/>
          <w:szCs w:val="24"/>
        </w:rPr>
      </w:pPr>
      <w:r w:rsidRPr="00805C9F">
        <w:rPr>
          <w:b/>
          <w:szCs w:val="24"/>
        </w:rPr>
        <w:t xml:space="preserve">Уровень убедительности рекомендаций </w:t>
      </w:r>
      <w:r w:rsidR="00815B1A" w:rsidRPr="00805C9F">
        <w:rPr>
          <w:b/>
          <w:szCs w:val="24"/>
        </w:rPr>
        <w:t xml:space="preserve">− </w:t>
      </w:r>
      <w:r w:rsidR="004E145E" w:rsidRPr="00805C9F">
        <w:rPr>
          <w:b/>
          <w:szCs w:val="24"/>
          <w:lang w:val="en-US"/>
        </w:rPr>
        <w:t>A</w:t>
      </w:r>
      <w:r w:rsidRPr="00805C9F">
        <w:rPr>
          <w:b/>
          <w:szCs w:val="24"/>
        </w:rPr>
        <w:t xml:space="preserve"> (уровень достоверности доказательств </w:t>
      </w:r>
      <w:r w:rsidR="00815B1A" w:rsidRPr="00805C9F">
        <w:rPr>
          <w:b/>
          <w:szCs w:val="24"/>
        </w:rPr>
        <w:t xml:space="preserve">− </w:t>
      </w:r>
      <w:r w:rsidR="004E145E" w:rsidRPr="00805C9F">
        <w:rPr>
          <w:b/>
          <w:szCs w:val="24"/>
        </w:rPr>
        <w:t>2</w:t>
      </w:r>
      <w:r w:rsidRPr="00805C9F">
        <w:rPr>
          <w:b/>
          <w:szCs w:val="24"/>
        </w:rPr>
        <w:t>)</w:t>
      </w:r>
    </w:p>
    <w:p w14:paraId="6F3404EA" w14:textId="77777777" w:rsidR="00130BC5" w:rsidRPr="00F242DD" w:rsidRDefault="00130BC5" w:rsidP="00C82BD2">
      <w:pPr>
        <w:pStyle w:val="1"/>
        <w:spacing w:before="0" w:line="276" w:lineRule="auto"/>
      </w:pPr>
      <w:bookmarkStart w:id="46" w:name="_Toc436920"/>
      <w:bookmarkStart w:id="47" w:name="_Toc97734639"/>
      <w:r w:rsidRPr="00F242DD">
        <w:lastRenderedPageBreak/>
        <w:t xml:space="preserve">6. Организация </w:t>
      </w:r>
      <w:r w:rsidR="00005BCD" w:rsidRPr="00F242DD">
        <w:t xml:space="preserve">оказания </w:t>
      </w:r>
      <w:r w:rsidRPr="00F242DD">
        <w:t>медицинской помощи</w:t>
      </w:r>
      <w:bookmarkEnd w:id="46"/>
      <w:bookmarkEnd w:id="47"/>
    </w:p>
    <w:p w14:paraId="39AD7B9F" w14:textId="77777777" w:rsidR="002E36A5" w:rsidRPr="00F242DD" w:rsidRDefault="002E36A5" w:rsidP="00C82BD2">
      <w:pPr>
        <w:spacing w:after="0"/>
        <w:ind w:firstLine="709"/>
        <w:rPr>
          <w:color w:val="000000"/>
        </w:rPr>
      </w:pPr>
      <w:r w:rsidRPr="00F242DD">
        <w:rPr>
          <w:color w:val="000000"/>
        </w:rPr>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14:paraId="4F6C4AEB" w14:textId="77777777" w:rsidR="002E36A5" w:rsidRPr="00F242DD" w:rsidRDefault="002E36A5" w:rsidP="00893452">
      <w:pPr>
        <w:pStyle w:val="a6"/>
        <w:numPr>
          <w:ilvl w:val="0"/>
          <w:numId w:val="57"/>
        </w:numPr>
        <w:tabs>
          <w:tab w:val="left" w:pos="426"/>
        </w:tabs>
        <w:spacing w:before="0" w:after="0"/>
        <w:ind w:left="284" w:firstLine="0"/>
        <w:contextualSpacing w:val="0"/>
        <w:rPr>
          <w:color w:val="000000"/>
        </w:rPr>
      </w:pPr>
      <w:r w:rsidRPr="00F242DD">
        <w:rPr>
          <w:color w:val="000000"/>
        </w:rP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0882F024" w14:textId="77777777" w:rsidR="002E36A5" w:rsidRPr="00F242DD" w:rsidRDefault="002E36A5" w:rsidP="00893452">
      <w:pPr>
        <w:pStyle w:val="a6"/>
        <w:numPr>
          <w:ilvl w:val="0"/>
          <w:numId w:val="57"/>
        </w:numPr>
        <w:tabs>
          <w:tab w:val="left" w:pos="426"/>
        </w:tabs>
        <w:spacing w:before="0" w:after="0"/>
        <w:ind w:left="284" w:firstLine="0"/>
        <w:contextualSpacing w:val="0"/>
        <w:rPr>
          <w:color w:val="000000"/>
        </w:rPr>
      </w:pPr>
      <w:r w:rsidRPr="00F242DD">
        <w:rPr>
          <w:color w:val="000000"/>
        </w:rPr>
        <w:t>в соответствии с порядком оказания помощи по профилю «гематология», обязательным для исполнения на территории Российской Федерации всеми медицинскими организациями;</w:t>
      </w:r>
    </w:p>
    <w:p w14:paraId="22435598" w14:textId="77777777" w:rsidR="002E36A5" w:rsidRPr="00F242DD" w:rsidRDefault="002E36A5" w:rsidP="00893452">
      <w:pPr>
        <w:pStyle w:val="a6"/>
        <w:numPr>
          <w:ilvl w:val="0"/>
          <w:numId w:val="57"/>
        </w:numPr>
        <w:tabs>
          <w:tab w:val="left" w:pos="426"/>
        </w:tabs>
        <w:spacing w:before="0" w:after="0"/>
        <w:ind w:left="284" w:firstLine="0"/>
        <w:contextualSpacing w:val="0"/>
        <w:rPr>
          <w:color w:val="000000"/>
        </w:rPr>
      </w:pPr>
      <w:r w:rsidRPr="00F242DD">
        <w:rPr>
          <w:color w:val="000000"/>
        </w:rPr>
        <w:t>на основе настоящих клинических рекомендаций;</w:t>
      </w:r>
    </w:p>
    <w:p w14:paraId="0C376AC2" w14:textId="77777777" w:rsidR="002E36A5" w:rsidRPr="00F242DD" w:rsidRDefault="002E36A5" w:rsidP="00893452">
      <w:pPr>
        <w:pStyle w:val="a6"/>
        <w:numPr>
          <w:ilvl w:val="0"/>
          <w:numId w:val="57"/>
        </w:numPr>
        <w:tabs>
          <w:tab w:val="left" w:pos="426"/>
        </w:tabs>
        <w:spacing w:before="0" w:after="0"/>
        <w:ind w:left="284" w:firstLine="0"/>
        <w:contextualSpacing w:val="0"/>
        <w:rPr>
          <w:color w:val="000000"/>
        </w:rPr>
      </w:pPr>
      <w:r w:rsidRPr="00F242DD">
        <w:rPr>
          <w:color w:val="000000"/>
        </w:rPr>
        <w:t>с учетом стандартов медицинской помощи, утвержденных уполномоченным федеральным органом исполнительной власти.</w:t>
      </w:r>
    </w:p>
    <w:p w14:paraId="45075357" w14:textId="77777777" w:rsidR="002E36A5" w:rsidRPr="00F242DD" w:rsidRDefault="002E36A5" w:rsidP="00262541">
      <w:pPr>
        <w:spacing w:before="0" w:after="0"/>
        <w:ind w:firstLine="709"/>
        <w:rPr>
          <w:color w:val="000000"/>
        </w:rPr>
      </w:pPr>
      <w:r w:rsidRPr="00F242DD">
        <w:rPr>
          <w:color w:val="000000"/>
        </w:rPr>
        <w:t>Первичная специализированная медико-санитарная помощь оказывается врачом-гематологом и иными врачами-специалистами в центре амбулаторной гематологической/онкологической помощи либо в первичном гематологическом/онкологическом кабинете, первичном гематологическом отделении, поликлиническом отделении онкологического диспансера.</w:t>
      </w:r>
    </w:p>
    <w:p w14:paraId="451519A8" w14:textId="77777777" w:rsidR="002E36A5" w:rsidRPr="00F242DD" w:rsidRDefault="002E36A5" w:rsidP="00262541">
      <w:pPr>
        <w:spacing w:before="0" w:after="0"/>
        <w:ind w:firstLine="709"/>
        <w:rPr>
          <w:color w:val="000000"/>
        </w:rPr>
      </w:pPr>
      <w:r w:rsidRPr="00F242DD">
        <w:rPr>
          <w:color w:val="000000"/>
        </w:rPr>
        <w:t xml:space="preserve">При выявлении у пациента </w:t>
      </w:r>
      <w:r w:rsidRPr="00F242DD">
        <w:t xml:space="preserve">ММ </w:t>
      </w:r>
      <w:r w:rsidRPr="00F242DD">
        <w:rPr>
          <w:color w:val="000000"/>
        </w:rPr>
        <w:t>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пациента на консультацию в центр амбулаторной гематологической/онкологической помощи либо в первичный гематологический кабинет, первичное гематологическое отделение медицинской организации для оказания ему первичной специализированной медико-санитарной помощи.</w:t>
      </w:r>
    </w:p>
    <w:p w14:paraId="55860ED5" w14:textId="77777777" w:rsidR="002E36A5" w:rsidRPr="00F242DD" w:rsidRDefault="002E36A5" w:rsidP="00262541">
      <w:pPr>
        <w:spacing w:before="0" w:after="0"/>
        <w:ind w:firstLine="709"/>
        <w:rPr>
          <w:color w:val="000000"/>
        </w:rPr>
      </w:pPr>
      <w:r w:rsidRPr="00F242DD">
        <w:rPr>
          <w:color w:val="000000"/>
        </w:rPr>
        <w:t>Врач-гематолог амбулаторного или стационарного звена гематологической помощи организует выполнение диагностических исследований, необходимых для установления диагноза, включая распространенность и стадию заболевания.</w:t>
      </w:r>
    </w:p>
    <w:p w14:paraId="12F3E230" w14:textId="77777777" w:rsidR="002E36A5" w:rsidRPr="00F242DD" w:rsidRDefault="002E36A5" w:rsidP="00262541">
      <w:pPr>
        <w:spacing w:before="0" w:after="0"/>
        <w:ind w:firstLine="709"/>
        <w:rPr>
          <w:color w:val="000000"/>
        </w:rPr>
      </w:pPr>
      <w:r w:rsidRPr="00F242DD">
        <w:rPr>
          <w:color w:val="000000"/>
        </w:rPr>
        <w:t>В случае невозможности проведения диагностических исследований пациент направляется лечащим врачом в медицинскую организацию, оказывающую медицинскую помощь пациентам с гематологическими заболеваниями для установления диагноза и оказания специализированной, в том числе высокотехнологичной, медицинской помощи.</w:t>
      </w:r>
    </w:p>
    <w:p w14:paraId="313918FD" w14:textId="77777777" w:rsidR="002E36A5" w:rsidRPr="00F242DD" w:rsidRDefault="002E36A5" w:rsidP="00262541">
      <w:pPr>
        <w:spacing w:before="0" w:after="0"/>
        <w:ind w:firstLine="709"/>
        <w:rPr>
          <w:color w:val="000000"/>
        </w:rPr>
      </w:pPr>
      <w:r w:rsidRPr="00F242DD">
        <w:rPr>
          <w:color w:val="000000"/>
        </w:rPr>
        <w:lastRenderedPageBreak/>
        <w:t xml:space="preserve">При выявлении </w:t>
      </w:r>
      <w:r w:rsidRPr="00F242DD">
        <w:t xml:space="preserve">ММ </w:t>
      </w:r>
      <w:r w:rsidRPr="00F242DD">
        <w:rPr>
          <w:color w:val="000000"/>
        </w:rPr>
        <w:t>или подозрении на него в ходе оказания скорой медицинской помощи пациента переводят или направляют в медицинские организации, оказывающие медицинскую помощь пациентам с гематологическими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76807BAC" w14:textId="77777777" w:rsidR="002E36A5" w:rsidRPr="00F242DD" w:rsidRDefault="002E36A5" w:rsidP="00262541">
      <w:pPr>
        <w:spacing w:before="0" w:after="0"/>
        <w:ind w:firstLine="709"/>
        <w:rPr>
          <w:color w:val="000000"/>
        </w:rPr>
      </w:pPr>
      <w:r w:rsidRPr="00F242DD">
        <w:rPr>
          <w:color w:val="000000"/>
        </w:rPr>
        <w:t xml:space="preserve">Специализированная, в том числе высокотехнологичная, медицинская помощь оказывается врачами-гематологами в медицинских организациях, оказывающих медицинскую помощь пациентам с </w:t>
      </w:r>
      <w:r w:rsidRPr="00F242DD">
        <w:t>ММ</w:t>
      </w:r>
      <w:r w:rsidRPr="00F242DD">
        <w:rPr>
          <w:color w:val="000000"/>
        </w:rPr>
        <w:t>,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профилактику, диагностику, лечение гематологических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14:paraId="3A15668D" w14:textId="77777777" w:rsidR="002E36A5" w:rsidRPr="00F242DD" w:rsidRDefault="002E36A5" w:rsidP="00262541">
      <w:pPr>
        <w:spacing w:before="0" w:after="0"/>
        <w:ind w:firstLine="709"/>
        <w:rPr>
          <w:color w:val="000000"/>
        </w:rPr>
      </w:pPr>
      <w:r w:rsidRPr="00F242DD">
        <w:rPr>
          <w:color w:val="000000"/>
        </w:rPr>
        <w:t xml:space="preserve">В медицинской организации, оказывающей медицинскую помощь пациентам с </w:t>
      </w:r>
      <w:r w:rsidRPr="00F242DD">
        <w:t>ММ</w:t>
      </w:r>
      <w:r w:rsidRPr="00F242DD">
        <w:rPr>
          <w:color w:val="000000"/>
        </w:rPr>
        <w:t>, тактика медицинского обследования и лечения устанавливается врачами-гематологами с привлечением при необходимости других врачей-специалистов, при необходимости – с проведением консилиума. Решение консилиума врачей оформляется протоколом, подписывается участниками консилиума врачей и вносится в медицинскую документацию пациента.</w:t>
      </w:r>
    </w:p>
    <w:p w14:paraId="620C0CCE" w14:textId="77777777" w:rsidR="002E36A5" w:rsidRPr="00F242DD" w:rsidRDefault="002E36A5" w:rsidP="00262541">
      <w:pPr>
        <w:spacing w:before="0" w:after="0"/>
        <w:ind w:firstLine="709"/>
        <w:rPr>
          <w:color w:val="000000"/>
        </w:rPr>
      </w:pPr>
      <w:r w:rsidRPr="00F242DD">
        <w:rPr>
          <w:color w:val="000000"/>
        </w:rPr>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«гематология», определяются врачом-гематологом/консилиумом врачей с привлечением при необходимости других врачей-специалистов.</w:t>
      </w:r>
    </w:p>
    <w:p w14:paraId="03543606" w14:textId="77777777" w:rsidR="00B272C7" w:rsidRPr="00F242DD" w:rsidRDefault="00B272C7" w:rsidP="00262541">
      <w:pPr>
        <w:pStyle w:val="13"/>
        <w:ind w:left="0" w:firstLine="709"/>
        <w:contextualSpacing/>
        <w:rPr>
          <w:b/>
        </w:rPr>
      </w:pPr>
      <w:r w:rsidRPr="00F242DD">
        <w:rPr>
          <w:b/>
        </w:rPr>
        <w:t xml:space="preserve">Показания для плановой госпитализации: </w:t>
      </w:r>
    </w:p>
    <w:p w14:paraId="50A928F8" w14:textId="77777777" w:rsidR="00B272C7" w:rsidRPr="00F242DD" w:rsidRDefault="00B272C7" w:rsidP="00262541">
      <w:pPr>
        <w:pStyle w:val="13"/>
        <w:ind w:left="0" w:firstLine="709"/>
        <w:contextualSpacing/>
      </w:pPr>
      <w:r w:rsidRPr="00F242DD">
        <w:t>Наличие диагноза симптоматическая множественная миелома для выполнения:</w:t>
      </w:r>
    </w:p>
    <w:p w14:paraId="0495930F" w14:textId="77777777" w:rsidR="00B272C7" w:rsidRPr="00F242DD" w:rsidRDefault="00B272C7" w:rsidP="00262541">
      <w:pPr>
        <w:pStyle w:val="13"/>
        <w:numPr>
          <w:ilvl w:val="0"/>
          <w:numId w:val="11"/>
        </w:numPr>
        <w:tabs>
          <w:tab w:val="left" w:pos="284"/>
        </w:tabs>
        <w:ind w:left="0" w:firstLine="0"/>
        <w:contextualSpacing/>
      </w:pPr>
      <w:r w:rsidRPr="00F242DD">
        <w:t>планового курса специфической терапии, включающей химиотерапевтические препараты, таргетные препараты биологического механизма действия, требующей круглосуточного наблюдения за пациентом (в том числе при наличии тяжелой коморбидности, цитопенического синдрома),</w:t>
      </w:r>
    </w:p>
    <w:p w14:paraId="79374C36" w14:textId="77777777" w:rsidR="00B272C7" w:rsidRPr="00F242DD" w:rsidRDefault="00B272C7" w:rsidP="00262541">
      <w:pPr>
        <w:pStyle w:val="13"/>
        <w:numPr>
          <w:ilvl w:val="0"/>
          <w:numId w:val="11"/>
        </w:numPr>
        <w:tabs>
          <w:tab w:val="left" w:pos="284"/>
        </w:tabs>
        <w:ind w:left="0" w:firstLine="0"/>
        <w:contextualSpacing/>
      </w:pPr>
      <w:r w:rsidRPr="00F242DD">
        <w:t>курса высокодозной химиотерапии,</w:t>
      </w:r>
    </w:p>
    <w:p w14:paraId="5973A26F" w14:textId="77777777" w:rsidR="00B272C7" w:rsidRPr="00F242DD" w:rsidRDefault="00B272C7" w:rsidP="00262541">
      <w:pPr>
        <w:pStyle w:val="13"/>
        <w:numPr>
          <w:ilvl w:val="0"/>
          <w:numId w:val="11"/>
        </w:numPr>
        <w:tabs>
          <w:tab w:val="left" w:pos="284"/>
        </w:tabs>
        <w:ind w:left="0" w:firstLine="0"/>
        <w:contextualSpacing/>
      </w:pPr>
      <w:r w:rsidRPr="00F242DD">
        <w:t>трансплантации аутологичных (аллогенных) стволовых гемопоэтических клеток,</w:t>
      </w:r>
    </w:p>
    <w:p w14:paraId="442B6F0A" w14:textId="77777777" w:rsidR="00B272C7" w:rsidRPr="00F242DD" w:rsidRDefault="00B272C7" w:rsidP="00262541">
      <w:pPr>
        <w:pStyle w:val="13"/>
        <w:numPr>
          <w:ilvl w:val="0"/>
          <w:numId w:val="11"/>
        </w:numPr>
        <w:tabs>
          <w:tab w:val="left" w:pos="284"/>
        </w:tabs>
        <w:ind w:left="0" w:firstLine="0"/>
        <w:contextualSpacing/>
      </w:pPr>
      <w:r w:rsidRPr="00F242DD">
        <w:t>мобилизации и сбора аутологичных стволовых гемопоэтических клеток крови,</w:t>
      </w:r>
    </w:p>
    <w:p w14:paraId="514FAFFE" w14:textId="77777777" w:rsidR="00B272C7" w:rsidRPr="00F242DD" w:rsidRDefault="00B272C7" w:rsidP="00262541">
      <w:pPr>
        <w:pStyle w:val="13"/>
        <w:numPr>
          <w:ilvl w:val="0"/>
          <w:numId w:val="11"/>
        </w:numPr>
        <w:tabs>
          <w:tab w:val="left" w:pos="284"/>
        </w:tabs>
        <w:ind w:left="0" w:firstLine="0"/>
        <w:contextualSpacing/>
      </w:pPr>
      <w:r w:rsidRPr="00F242DD">
        <w:t>эксфузии аутологичного костного мозга для последующей трансплантации.</w:t>
      </w:r>
    </w:p>
    <w:p w14:paraId="0E2CCD62" w14:textId="77777777" w:rsidR="00C82BD2" w:rsidRDefault="00C82BD2" w:rsidP="00262541">
      <w:pPr>
        <w:pStyle w:val="13"/>
        <w:ind w:left="0" w:firstLine="709"/>
        <w:contextualSpacing/>
        <w:rPr>
          <w:b/>
        </w:rPr>
      </w:pPr>
    </w:p>
    <w:p w14:paraId="791F898C" w14:textId="77777777" w:rsidR="00B272C7" w:rsidRPr="00F242DD" w:rsidRDefault="00B272C7" w:rsidP="00262541">
      <w:pPr>
        <w:pStyle w:val="13"/>
        <w:ind w:left="0" w:firstLine="709"/>
        <w:contextualSpacing/>
        <w:rPr>
          <w:b/>
        </w:rPr>
      </w:pPr>
      <w:r w:rsidRPr="00F242DD">
        <w:rPr>
          <w:b/>
        </w:rPr>
        <w:lastRenderedPageBreak/>
        <w:t xml:space="preserve">Показания для экстренной госпитализации: </w:t>
      </w:r>
    </w:p>
    <w:p w14:paraId="49ECBDBD" w14:textId="7B75AAF5" w:rsidR="00B272C7" w:rsidRPr="00F242DD" w:rsidRDefault="00B272C7" w:rsidP="00262541">
      <w:pPr>
        <w:pStyle w:val="13"/>
        <w:ind w:left="0" w:firstLine="709"/>
        <w:contextualSpacing/>
      </w:pPr>
      <w:r w:rsidRPr="00F242DD">
        <w:t>Наличие диагноза симптоматическая множественная миелома, осложненная</w:t>
      </w:r>
      <w:r w:rsidR="00092917">
        <w:t>:</w:t>
      </w:r>
    </w:p>
    <w:p w14:paraId="1A37DB7F" w14:textId="77777777" w:rsidR="00B272C7" w:rsidRPr="00F242DD" w:rsidRDefault="00B272C7" w:rsidP="008F161A">
      <w:pPr>
        <w:pStyle w:val="13"/>
        <w:numPr>
          <w:ilvl w:val="0"/>
          <w:numId w:val="120"/>
        </w:numPr>
        <w:tabs>
          <w:tab w:val="left" w:pos="284"/>
        </w:tabs>
        <w:ind w:left="0" w:firstLine="0"/>
        <w:contextualSpacing/>
      </w:pPr>
      <w:r w:rsidRPr="00F242DD">
        <w:t>острым почечным повреждением вследствие миеломной нефропатии,</w:t>
      </w:r>
    </w:p>
    <w:p w14:paraId="6BEC56D3" w14:textId="77777777" w:rsidR="00B272C7" w:rsidRPr="00F242DD" w:rsidRDefault="00B272C7" w:rsidP="008F161A">
      <w:pPr>
        <w:pStyle w:val="13"/>
        <w:numPr>
          <w:ilvl w:val="0"/>
          <w:numId w:val="120"/>
        </w:numPr>
        <w:tabs>
          <w:tab w:val="left" w:pos="284"/>
        </w:tabs>
        <w:ind w:left="0" w:firstLine="0"/>
        <w:contextualSpacing/>
      </w:pPr>
      <w:r w:rsidRPr="00F242DD">
        <w:t>тяжелым оссалгическим синдромом (в том числе с угрозой переломов, повреждения позвоночника, сдавления спинного мозга),</w:t>
      </w:r>
    </w:p>
    <w:p w14:paraId="64CBC5A0" w14:textId="77777777" w:rsidR="00B272C7" w:rsidRPr="00F242DD" w:rsidRDefault="00B272C7" w:rsidP="008F161A">
      <w:pPr>
        <w:pStyle w:val="13"/>
        <w:numPr>
          <w:ilvl w:val="0"/>
          <w:numId w:val="120"/>
        </w:numPr>
        <w:tabs>
          <w:tab w:val="left" w:pos="284"/>
        </w:tabs>
        <w:ind w:left="0" w:firstLine="0"/>
        <w:contextualSpacing/>
      </w:pPr>
      <w:r w:rsidRPr="00F242DD">
        <w:t>тромботическими / геморрагическими осложнениями на фоне специфической терапии,</w:t>
      </w:r>
    </w:p>
    <w:p w14:paraId="78697765" w14:textId="77777777" w:rsidR="00B272C7" w:rsidRPr="00F242DD" w:rsidRDefault="00B272C7" w:rsidP="008F161A">
      <w:pPr>
        <w:pStyle w:val="13"/>
        <w:numPr>
          <w:ilvl w:val="0"/>
          <w:numId w:val="120"/>
        </w:numPr>
        <w:tabs>
          <w:tab w:val="left" w:pos="284"/>
        </w:tabs>
        <w:ind w:left="0" w:firstLine="0"/>
        <w:contextualSpacing/>
      </w:pPr>
      <w:r w:rsidRPr="00F242DD">
        <w:t>тяжелыми инфекционными осложнениями на фоне специфической терапии,</w:t>
      </w:r>
    </w:p>
    <w:p w14:paraId="01164998" w14:textId="77777777" w:rsidR="00B272C7" w:rsidRPr="00F242DD" w:rsidRDefault="00B272C7" w:rsidP="008F161A">
      <w:pPr>
        <w:pStyle w:val="13"/>
        <w:numPr>
          <w:ilvl w:val="0"/>
          <w:numId w:val="120"/>
        </w:numPr>
        <w:tabs>
          <w:tab w:val="left" w:pos="284"/>
        </w:tabs>
        <w:ind w:left="0" w:firstLine="0"/>
        <w:contextualSpacing/>
      </w:pPr>
      <w:r w:rsidRPr="00F242DD">
        <w:t>кардиальной патологией на фоне специфической терапии,</w:t>
      </w:r>
    </w:p>
    <w:p w14:paraId="4F11EEE9" w14:textId="77777777" w:rsidR="00B272C7" w:rsidRPr="00F242DD" w:rsidRDefault="00B272C7" w:rsidP="008F161A">
      <w:pPr>
        <w:pStyle w:val="13"/>
        <w:numPr>
          <w:ilvl w:val="0"/>
          <w:numId w:val="120"/>
        </w:numPr>
        <w:tabs>
          <w:tab w:val="left" w:pos="284"/>
        </w:tabs>
        <w:ind w:left="0" w:firstLine="0"/>
        <w:contextualSpacing/>
        <w:rPr>
          <w:color w:val="000000"/>
        </w:rPr>
      </w:pPr>
      <w:r w:rsidRPr="00F242DD">
        <w:t xml:space="preserve">глубокой </w:t>
      </w:r>
      <w:r w:rsidRPr="00F242DD">
        <w:rPr>
          <w:color w:val="000000"/>
        </w:rPr>
        <w:t>цитопенией.</w:t>
      </w:r>
    </w:p>
    <w:p w14:paraId="7E073E4D" w14:textId="77777777" w:rsidR="00B272C7" w:rsidRPr="00F242DD" w:rsidRDefault="00B272C7" w:rsidP="00262541">
      <w:pPr>
        <w:pStyle w:val="13"/>
        <w:ind w:left="0" w:firstLine="709"/>
        <w:contextualSpacing/>
        <w:rPr>
          <w:b/>
        </w:rPr>
      </w:pPr>
      <w:r w:rsidRPr="00F242DD">
        <w:rPr>
          <w:b/>
        </w:rPr>
        <w:t>Показания к выписке пациента из стационара:</w:t>
      </w:r>
    </w:p>
    <w:p w14:paraId="76EE1D96" w14:textId="77777777" w:rsidR="00B272C7" w:rsidRPr="00F242DD" w:rsidRDefault="00B272C7" w:rsidP="00397664">
      <w:pPr>
        <w:pStyle w:val="13"/>
        <w:numPr>
          <w:ilvl w:val="0"/>
          <w:numId w:val="12"/>
        </w:numPr>
        <w:tabs>
          <w:tab w:val="left" w:pos="284"/>
        </w:tabs>
        <w:ind w:left="0" w:firstLine="0"/>
        <w:contextualSpacing/>
      </w:pPr>
      <w:r w:rsidRPr="00F242DD">
        <w:t>Завершение курса специфической терапии.</w:t>
      </w:r>
    </w:p>
    <w:p w14:paraId="27F1E906" w14:textId="77777777" w:rsidR="00B272C7" w:rsidRPr="00F242DD" w:rsidRDefault="00B272C7" w:rsidP="00397664">
      <w:pPr>
        <w:pStyle w:val="13"/>
        <w:numPr>
          <w:ilvl w:val="0"/>
          <w:numId w:val="12"/>
        </w:numPr>
        <w:tabs>
          <w:tab w:val="left" w:pos="284"/>
        </w:tabs>
        <w:ind w:left="0" w:firstLine="0"/>
        <w:contextualSpacing/>
      </w:pPr>
      <w:r w:rsidRPr="00F242DD">
        <w:t>Купирование осложнений, возникших на фоне специфической терапии</w:t>
      </w:r>
    </w:p>
    <w:p w14:paraId="06854374" w14:textId="77777777" w:rsidR="00E92FAD" w:rsidRPr="00F242DD" w:rsidRDefault="00E92FAD" w:rsidP="00262541">
      <w:pPr>
        <w:pStyle w:val="Default"/>
        <w:spacing w:line="360" w:lineRule="auto"/>
        <w:ind w:firstLine="709"/>
        <w:jc w:val="both"/>
      </w:pPr>
      <w:r w:rsidRPr="00F242DD">
        <w:t xml:space="preserve">Заключение о целесообразности перевода </w:t>
      </w:r>
      <w:r w:rsidR="00534E54" w:rsidRPr="00F242DD">
        <w:t xml:space="preserve">пациента </w:t>
      </w:r>
      <w:r w:rsidRPr="00F242DD">
        <w:t xml:space="preserve">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w:t>
      </w:r>
      <w:r w:rsidR="00534E54" w:rsidRPr="00F242DD">
        <w:t xml:space="preserve">пациента </w:t>
      </w:r>
      <w:r w:rsidRPr="00F242DD">
        <w:t>врачами специалистами медицинской организации, в которую планируется перевод.</w:t>
      </w:r>
    </w:p>
    <w:p w14:paraId="41797C6D" w14:textId="77777777" w:rsidR="00130BC5" w:rsidRPr="00F242DD" w:rsidRDefault="00E778E9" w:rsidP="002431B5">
      <w:pPr>
        <w:pStyle w:val="1"/>
      </w:pPr>
      <w:bookmarkStart w:id="48" w:name="_Toc97734640"/>
      <w:r w:rsidRPr="00F242DD">
        <w:rPr>
          <w:b w:val="0"/>
        </w:rPr>
        <w:lastRenderedPageBreak/>
        <w:t>7.</w:t>
      </w:r>
      <w:r w:rsidRPr="00F242DD">
        <w:t xml:space="preserve"> </w:t>
      </w:r>
      <w:r w:rsidR="005E3E79" w:rsidRPr="00F242DD">
        <w:t>Дополнительная информация (в том числе факторы, влияющие на исход заболевания или состояния)</w:t>
      </w:r>
      <w:bookmarkEnd w:id="48"/>
    </w:p>
    <w:p w14:paraId="6CA73FC8" w14:textId="77777777" w:rsidR="00E778E9" w:rsidRPr="00F242DD" w:rsidRDefault="00E778E9" w:rsidP="002431B5">
      <w:r w:rsidRPr="00F242DD">
        <w:rPr>
          <w:b/>
        </w:rPr>
        <w:t>Оценка эффективности лечения множественной миеломы</w:t>
      </w:r>
    </w:p>
    <w:p w14:paraId="6746C1DB" w14:textId="1E4517C7" w:rsidR="00E778E9" w:rsidRPr="00F242DD" w:rsidRDefault="00E778E9" w:rsidP="00262541">
      <w:pPr>
        <w:shd w:val="clear" w:color="auto" w:fill="FFFFFF"/>
        <w:tabs>
          <w:tab w:val="left" w:pos="900"/>
        </w:tabs>
        <w:spacing w:before="0" w:after="0"/>
        <w:ind w:firstLine="567"/>
        <w:contextualSpacing/>
        <w:rPr>
          <w:rFonts w:eastAsia="Times New Roman"/>
        </w:rPr>
      </w:pPr>
      <w:r w:rsidRPr="00F242DD">
        <w:rPr>
          <w:rFonts w:eastAsia="Times New Roman"/>
        </w:rPr>
        <w:t>Оценка эффективности лечения ММ проводится согласно международным критериям, предложенным в 2006 г. и модифицированным в 2011 и 2016 гг.</w:t>
      </w:r>
      <w:r w:rsidRPr="00F242DD">
        <w:t xml:space="preserve"> </w:t>
      </w:r>
      <w:r w:rsidRPr="00F242DD">
        <w:fldChar w:fldCharType="begin" w:fldLock="1"/>
      </w:r>
      <w:r w:rsidR="00E430FD">
        <w:instrText>ADDIN CSL_CITATION {"citationItems":[{"id":"ITEM-1","itemData":{"DOI":"10.1038/sj.leu.2404284","ISSN":"14765551","abstract":"New uniform response criteria are required to adequately assess clinical outcomes in myeloma. The European Group for Blood and Bone Marrow Transplant/International Bone Marrow Transplant Registry criteria have been expanded, clarified and updated to provide a new comprehensive evaluation system. Categories for stringent complete response and very good partial response are added. The serum free light-chain assay is included to allow evaluation of patients with oligo-secretory disease. Inconsistencies in prior criteria are clarified making confirmation of response and disease progression easier to perform. Emphasis is placed upon time to event and duration of response as critical end points. The requirements necessary to use overall survival duration as the ultimate end point are discussed. It is anticipated that the International Response Criteria for multiple myeloma will be widely used in future clinical trials of myeloma.","author":[{"dropping-particle":"","family":"Durie","given":"B. G.M.","non-dropping-particle":"","parse-names":false,"suffix":""},{"dropping-particle":"","family":"Harousseau","given":"J. L.","non-dropping-particle":"","parse-names":false,"suffix":""},{"dropping-particle":"","family":"Miguel","given":"J. S.","non-dropping-particle":"","parse-names":false,"suffix":""},{"dropping-particle":"","family":"Bladé","given":"J.","non-dropping-particle":"","parse-names":false,"suffix":""},{"dropping-particle":"","family":"Barlogie","given":"B.","non-dropping-particle":"","parse-names":false,"suffix":""},{"dropping-particle":"","family":"Anderson","given":"K.","non-dropping-particle":"","parse-names":false,"suffix":""},{"dropping-particle":"","family":"Gertz","given":"M.","non-dropping-particle":"","parse-names":false,"suffix":""},{"dropping-particle":"","family":"Dimopoulos","given":"M.","non-dropping-particle":"","parse-names":false,"suffix":""},{"dropping-particle":"","family":"Westin","given":"J.","non-dropping-particle":"","parse-names":false,"suffix":""},{"dropping-particle":"","family":"Sonneveld","given":"P.","non-dropping-particle":"","parse-names":false,"suffix":""},{"dropping-particle":"","family":"Ludwig","given":"H.","non-dropping-particle":"","parse-names":false,"suffix":""},{"dropping-particle":"","family":"Gahrton","given":"G.","non-dropping-particle":"","parse-names":false,"suffix":""},{"dropping-particle":"","family":"Beksac","given":"M.","non-dropping-particle":"","parse-names":false,"suffix":""},{"dropping-particle":"","family":"Crowley","given":"J.","non-dropping-particle":"","parse-names":false,"suffix":""},{"dropping-particle":"","family":"Belch","given":"A.","non-dropping-particle":"","parse-names":false,"suffix":""},{"dropping-particle":"","family":"Boccadaro","given":"M.","non-dropping-particle":"","parse-names":false,"suffix":""},{"dropping-particle":"","family":"Cavo","given":"M.","non-dropping-particle":"","parse-names":false,"suffix":""},{"dropping-particle":"","family":"Turesson","given":"I.","non-dropping-particle":"","parse-names":false,"suffix":""},{"dropping-particle":"","family":"Joshua","given":"D.","non-dropping-particle":"","parse-names":false,"suffix":""},{"dropping-particle":"","family":"Vesole","given":"D.","non-dropping-particle":"","parse-names":false,"suffix":""},{"dropping-particle":"","family":"Kyle","given":"R.","non-dropping-particle":"","parse-names":false,"suffix":""},{"dropping-particle":"","family":"Tricot","given":"G.","non-dropping-particle":"","parse-names":false,"suffix":""},{"dropping-particle":"","family":"Alexanian","given":"R.","non-dropping-particle":"","parse-names":false,"suffix":""},{"dropping-particle":"","family":"Attal","given":"M.","non-dropping-particle":"","parse-names":false,"suffix":""},{"dropping-particle":"","family":"Merlini","given":"G.","non-dropping-particle":"","parse-names":false,"suffix":""},{"dropping-particle":"","family":"Powles","given":"R.","non-dropping-particle":"","parse-names":false,"suffix":""},{"dropping-particle":"","family":"Richardson","given":"P.","non-dropping-particle":"","parse-names":false,"suffix":""},{"dropping-particle":"","family":"Shimizu","given":"K.","non-dropping-particle":"","parse-names":false,"suffix":""},{"dropping-particle":"","family":"Tosi","given":"P.","non-dropping-particle":"","parse-names":false,"suffix":""},{"dropping-particle":"V.","family":"Rajkumar","given":"S.","non-dropping-particle":"","parse-names":false,"suffix":""},{"dropping-particle":"","family":"Morgan","given":"G.","non-dropping-particle":"","parse-names":false,"suffix":""}],"container-title":"Leukemia","id":"ITEM-1","issue":"9","issued":{"date-parts":[["2006","9","1"]]},"page":"1467-1473","publisher":"Nature Publishing Group","title":"International uniform response criteria for multiple myeloma","type":"article-journal","volume":"20"},"uris":["http://www.mendeley.com/documents/?uuid=aebf3721-d8f9-331d-a8a6-ba12b64a133b"]},{"id":"ITEM-2","itemData":{"DOI":"10.1182/blood-2010-10-299487","ISSN":"00064971","abstract":"It is essential that there be consistency in the conduct, analysis, and reporting of clinical trial results in myeloma. The goal of the International Myeloma Workshop Consensus Panel 1 was to develop a set of guidelines for the uniform reporting of clinical trial results in myeloma. This paper provides a summary of the current response criteria in myeloma, detailed definitions for patient populations, lines of therapy, and specific endpoints. We propose that future clinical trials in myeloma follow the guidelines for reporting results proposed in this manuscript.","author":[{"dropping-particle":"","family":"Rajkumar","given":"S. Vincent","non-dropping-particle":"","parse-names":false,"suffix":""},{"dropping-particle":"","family":"Harousseau","given":"Jean Luc","non-dropping-particle":"","parse-names":false,"suffix":""},{"dropping-particle":"","family":"Durie","given":"Brian","non-dropping-particle":"","parse-names":false,"suffix":""},{"dropping-particle":"","family":"Anderson","given":"Kenneth C.","non-dropping-particle":"","parse-names":false,"suffix":""},{"dropping-particle":"","family":"Dimopoulos","given":"Meletios","non-dropping-particle":"","parse-names":false,"suffix":""},{"dropping-particle":"","family":"Kyle","given":"Robert","non-dropping-particle":"","parse-names":false,"suffix":""},{"dropping-particle":"","family":"Blade","given":"Joan","non-dropping-particle":"","parse-names":false,"suffix":""},{"dropping-particle":"","family":"Richardson","given":"Paul","non-dropping-particle":"","parse-names":false,"suffix":""},{"dropping-particle":"","family":"Orlowski","given":"Robert","non-dropping-particle":"","parse-names":false,"suffix":""},{"dropping-particle":"","family":"Siegel","given":"David","non-dropping-particle":"","parse-names":false,"suffix":""},{"dropping-particle":"","family":"Jagannath","given":"Sundar","non-dropping-particle":"","parse-names":false,"suffix":""},{"dropping-particle":"","family":"Facon","given":"Thierry","non-dropping-particle":"","parse-names":false,"suffix":""},{"dropping-particle":"","family":"Avet-Loiseau","given":"Hervé","non-dropping-particle":"","parse-names":false,"suffix":""},{"dropping-particle":"","family":"Lonial","given":"Sagar","non-dropping-particle":"","parse-names":false,"suffix":""},{"dropping-particle":"","family":"Palumbo","given":"Antonio","non-dropping-particle":"","parse-names":false,"suffix":""},{"dropping-particle":"","family":"Zonder","given":"Jeffrey","non-dropping-particle":"","parse-names":false,"suffix":""},{"dropping-particle":"","family":"Ludwig","given":"Heinz","non-dropping-particle":"","parse-names":false,"suffix":""},{"dropping-particle":"","family":"Vesole","given":"David","non-dropping-particle":"","parse-names":false,"suffix":""},{"dropping-particle":"","family":"Sezer","given":"Orhan","non-dropping-particle":"","parse-names":false,"suffix":""},{"dropping-particle":"","family":"Munshi","given":"Nikhil C.","non-dropping-particle":"","parse-names":false,"suffix":""},{"dropping-particle":"","family":"San Miguel","given":"Jesus","non-dropping-particle":"","parse-names":false,"suffix":""}],"container-title":"Blood","id":"ITEM-2","issue":"18","issued":{"date-parts":[["2011","5","5"]]},"page":"4691-4695","title":"Consensus recommendations for the uniform reporting of clinical trials: Report of the International Myeloma Workshop Consensus Panel 1","type":"paper-conference","volume":"117"},"uris":["http://www.mendeley.com/documents/?uuid=0db91df9-fa07-385d-b4a7-0a85a73875a2"]},{"id":"ITEM-3","itemData":{"DOI":"10.1016/S1470-2045(16)30206-6","ISSN":"14745488","abstract":"Treatment of multiple myeloma has substantially changed over the past decade with the introduction of several classes of new effective drugs that have greatly improved the rates and depth of response. Response criteria in multiple myeloma were developed to use serum and urine assessment of monoclonal proteins and bone marrow assessment (which is relatively insensitive). Given the high rates of complete response seen in patients with multiple myeloma with new treatment approaches, new response categories need to be defined that can identify responses that are deeper than those conventionally defined as complete response. Recent attempts have focused on the identification of residual tumour cells in the bone marrow using flow cytometry or gene sequencing. Furthermore, sensitive imaging techniques can be used to detect the presence of residual disease outside of the bone marrow. Combining these new methods, the International Myeloma Working Group has defined new response categories of minimal residual disease negativity, with or without imaging-based absence of extramedullary disease, to allow uniform reporting within and outside clinical trials. In this Review, we clarify several aspects of disease response assessment, along with endpoints for clinical trials, and highlight future directions for disease response assessments.","author":[{"dropping-particle":"","family":"Kumar","given":"Shaji","non-dropping-particle":"","parse-names":false,"suffix":""},{"dropping-particle":"","family":"Paiva","given":"Bruno","non-dropping-particle":"","parse-names":false,"suffix":""},{"dropping-particle":"","family":"Anderson","given":"Kenneth C.","non-dropping-particle":"","parse-names":false,"suffix":""},{"dropping-particle":"","family":"Durie","given":"Brian","non-dropping-particle":"","parse-names":false,"suffix":""},{"dropping-particle":"","family":"Landgren","given":"Ola","non-dropping-particle":"","parse-names":false,"suffix":""},{"dropping-particle":"","family":"Moreau","given":"Philippe","non-dropping-particle":"","parse-names":false,"suffix":""},{"dropping-particle":"","family":"Munshi","given":"Nikhil","non-dropping-particle":"","parse-names":false,"suffix":""},{"dropping-particle":"","family":"Lonial","given":"Sagar","non-dropping-particle":"","parse-names":false,"suffix":""},{"dropping-particle":"","family":"Bladé","given":"Joan","non-dropping-particle":"","parse-names":false,"suffix":""},{"dropping-particle":"","family":"Mateos","given":"Maria Victoria","non-dropping-particle":"","parse-names":false,"suffix":""},{"dropping-particle":"","family":"Dimopoulos","given":"Meletios","non-dropping-particle":"","parse-names":false,"suffix":""},{"dropping-particle":"","family":"Kastritis","given":"Efstathios","non-dropping-particle":"","parse-names":false,"suffix":""},{"dropping-particle":"","family":"Boccadoro","given":"Mario","non-dropping-particle":"","parse-names":false,"suffix":""},{"dropping-particle":"","family":"Orlowski","given":"Robert","non-dropping-particle":"","parse-names":false,"suffix":""},{"dropping-particle":"","family":"Goldschmidt","given":"Hartmut","non-dropping-particle":"","parse-names":false,"suffix":""},{"dropping-particle":"","family":"Spencer","given":"Andrew","non-dropping-particle":"","parse-names":false,"suffix":""},{"dropping-particle":"","family":"Hou","given":"Jian","non-dropping-particle":"","parse-names":false,"suffix":""},{"dropping-particle":"","family":"Chng","given":"Wee Joo","non-dropping-particle":"","parse-names":false,"suffix":""},{"dropping-particle":"","family":"Usmani","given":"Saad Z.","non-dropping-particle":"","parse-names":false,"suffix":""},{"dropping-particle":"","family":"Zamagni","given":"Elena","non-dropping-particle":"","parse-names":false,"suffix":""},{"dropping-particle":"","family":"Shimizu","given":"Kazuyuki","non-dropping-particle":"","parse-names":false,"suffix":""},{"dropping-particle":"","family":"Jagannath","given":"Sundar","non-dropping-particle":"","parse-names":false,"suffix":""},{"dropping-particle":"","family":"Johnsen","given":"Hans E.","non-dropping-particle":"","parse-names":false,"suffix":""},{"dropping-particle":"","family":"Terpos","given":"Evangelos","non-dropping-particle":"","parse-names":false,"suffix":""},{"dropping-particle":"","family":"Reiman","given":"Anthony","non-dropping-particle":"","parse-names":false,"suffix":""},{"dropping-particle":"","family":"Kyle","given":"Robert A.","non-dropping-particle":"","parse-names":false,"suffix":""},{"dropping-particle":"","family":"Sonneveld","given":"Pieter","non-dropping-particle":"","parse-names":false,"suffix":""},{"dropping-particle":"","family":"Richardson","given":"Paul G.","non-dropping-particle":"","parse-names":false,"suffix":""},{"dropping-particle":"","family":"McCarthy","given":"Philip","non-dropping-particle":"","parse-names":false,"suffix":""},{"dropping-particle":"","family":"Ludwig","given":"Heinz","non-dropping-particle":"","parse-names":false,"suffix":""},{"dropping-particle":"","family":"Chen","given":"Wenming","non-dropping-particle":"","parse-names":false,"suffix":""},{"dropping-particle":"","family":"Cavo","given":"Michele","non-dropping-particle":"","parse-names":false,"suffix":""},{"dropping-particle":"","family":"Harousseau","given":"Jean Luc","non-dropping-particle":"","parse-names":false,"suffix":""},{"dropping-particle":"","family":"Lentzsch","given":"Suzanne","non-dropping-particle":"","parse-names":false,"suffix":""},{"dropping-particle":"","family":"Hillengass","given":"Jens","non-dropping-particle":"","parse-names":false,"suffix":""},{"dropping-particle":"","family":"Palumbo","given":"Antonio","non-dropping-particle":"","parse-names":false,"suffix":""},{"dropping-particle":"","family":"Orfao","given":"Alberto","non-dropping-particle":"","parse-names":false,"suffix":""},{"dropping-particle":"","family":"Rajkumar","given":"S. Vincent","non-dropping-particle":"","parse-names":false,"suffix":""},{"dropping-particle":"","family":"Miguel","given":"Jesus San","non-dropping-particle":"","parse-names":false,"suffix":""},{"dropping-particle":"","family":"Avet-Loiseau","given":"Herve","non-dropping-particle":"","parse-names":false,"suffix":""}],"container-title":"The Lancet Oncology","id":"ITEM-3","issue":"8","issued":{"date-parts":[["2016","8","1"]]},"page":"e328-e346","publisher":"Lancet Publishing Group","title":"International Myeloma Working Group consensus criteria for response and minimal residual disease assessment in multiple myeloma","type":"article","volume":"17"},"uris":["http://www.mendeley.com/documents/?uuid=530a8544-f504-385c-8004-3a945290d1b0"]}],"mendeley":{"formattedCitation":"[85–87]","plainTextFormattedCitation":"[85–87]","previouslyFormattedCitation":"[85–87]"},"properties":{"noteIndex":0},"schema":"https://github.com/citation-style-language/schema/raw/master/csl-citation.json"}</w:instrText>
      </w:r>
      <w:r w:rsidRPr="00F242DD">
        <w:fldChar w:fldCharType="separate"/>
      </w:r>
      <w:r w:rsidR="00E430FD" w:rsidRPr="00E430FD">
        <w:rPr>
          <w:noProof/>
        </w:rPr>
        <w:t>[85–87]</w:t>
      </w:r>
      <w:r w:rsidRPr="00F242DD">
        <w:fldChar w:fldCharType="end"/>
      </w:r>
      <w:r w:rsidRPr="00F242DD">
        <w:t>.</w:t>
      </w:r>
      <w:r w:rsidRPr="00F242DD">
        <w:rPr>
          <w:rFonts w:eastAsia="Times New Roman"/>
        </w:rPr>
        <w:t xml:space="preserve"> При оценке любое исследование нужно провести не менее 2 раз для подтверждения результатов.</w:t>
      </w:r>
    </w:p>
    <w:p w14:paraId="2087E579" w14:textId="1EC8F925" w:rsidR="00E778E9" w:rsidRPr="00F242DD" w:rsidRDefault="00E778E9" w:rsidP="00262541">
      <w:pPr>
        <w:shd w:val="clear" w:color="auto" w:fill="FFFFFF"/>
        <w:tabs>
          <w:tab w:val="left" w:pos="900"/>
        </w:tabs>
        <w:spacing w:before="0" w:after="0"/>
        <w:ind w:firstLine="567"/>
        <w:contextualSpacing/>
        <w:rPr>
          <w:rFonts w:eastAsia="Times New Roman"/>
          <w:highlight w:val="green"/>
        </w:rPr>
      </w:pPr>
      <w:r w:rsidRPr="00F242DD">
        <w:rPr>
          <w:rFonts w:eastAsia="Times New Roman"/>
        </w:rPr>
        <w:t>Оценка эффекта по уровню моноклонального белка в сыворотке крови и моче применима для пациентов с «измеряемой» болезнью. Заболевание считают «измеряемым» при концентрации М-протеина в сыворотке ≥10 г/л или в суточной моче ≥200 г.  При отсутствии моноклонального белка в сыворотке крови и моче по данным электрофореза и иммунофиксации (несекретирующей миеломе), но при его выявлении, «измеряемым» считают уровень «вовлеченных» СЛЦ</w:t>
      </w:r>
      <w:r w:rsidR="002B762F">
        <w:rPr>
          <w:rFonts w:eastAsia="Times New Roman"/>
        </w:rPr>
        <w:t xml:space="preserve"> иммуноглобулинов</w:t>
      </w:r>
      <w:r w:rsidRPr="00F242DD">
        <w:rPr>
          <w:rFonts w:eastAsia="Times New Roman"/>
        </w:rPr>
        <w:t xml:space="preserve"> ≥100 мг/л. Соотношение κ/λ СЛЦ </w:t>
      </w:r>
      <w:r w:rsidR="002B762F">
        <w:rPr>
          <w:rFonts w:eastAsia="Times New Roman"/>
        </w:rPr>
        <w:t xml:space="preserve">имуноглобуллинов </w:t>
      </w:r>
      <w:r w:rsidRPr="00F242DD">
        <w:rPr>
          <w:rFonts w:eastAsia="Times New Roman"/>
        </w:rPr>
        <w:t>также должно быть аномальным.</w:t>
      </w:r>
    </w:p>
    <w:p w14:paraId="187B108D" w14:textId="10560602" w:rsidR="00E778E9" w:rsidRPr="00F242DD" w:rsidRDefault="00E778E9" w:rsidP="00262541">
      <w:pPr>
        <w:tabs>
          <w:tab w:val="left" w:pos="900"/>
        </w:tabs>
        <w:spacing w:before="0" w:after="0"/>
        <w:ind w:firstLine="567"/>
        <w:contextualSpacing/>
        <w:rPr>
          <w:rFonts w:eastAsia="Times New Roman"/>
        </w:rPr>
      </w:pPr>
      <w:r w:rsidRPr="00F242DD">
        <w:rPr>
          <w:rFonts w:eastAsia="Times New Roman"/>
        </w:rPr>
        <w:t>Нормальное соотношение κ/λ СЛЦ</w:t>
      </w:r>
      <w:r w:rsidR="002B762F">
        <w:rPr>
          <w:rFonts w:eastAsia="Times New Roman"/>
        </w:rPr>
        <w:t xml:space="preserve"> иммуноглобулинов</w:t>
      </w:r>
      <w:r w:rsidRPr="00F242DD">
        <w:rPr>
          <w:rFonts w:eastAsia="Times New Roman"/>
        </w:rPr>
        <w:t xml:space="preserve"> составляет 0,26‒1,65. У пациентов с почечной недостаточностью нормальным соотношением κ/λ СЛЦ</w:t>
      </w:r>
      <w:r w:rsidR="002B762F">
        <w:rPr>
          <w:rFonts w:eastAsia="Times New Roman"/>
        </w:rPr>
        <w:t xml:space="preserve"> иммуноглобулинов</w:t>
      </w:r>
      <w:r w:rsidRPr="00F242DD">
        <w:rPr>
          <w:rFonts w:eastAsia="Times New Roman"/>
        </w:rPr>
        <w:t xml:space="preserve"> считается 0,37‒-3,1.</w:t>
      </w:r>
    </w:p>
    <w:p w14:paraId="4436B08A" w14:textId="1F0AC96D" w:rsidR="00E778E9" w:rsidRPr="00F242DD" w:rsidRDefault="00E778E9" w:rsidP="00262541">
      <w:pPr>
        <w:shd w:val="clear" w:color="auto" w:fill="FFFFFF"/>
        <w:tabs>
          <w:tab w:val="left" w:pos="900"/>
        </w:tabs>
        <w:spacing w:before="0" w:after="0"/>
        <w:ind w:firstLine="567"/>
        <w:contextualSpacing/>
        <w:rPr>
          <w:rFonts w:eastAsia="Times New Roman"/>
        </w:rPr>
      </w:pPr>
      <w:r w:rsidRPr="00F242DD">
        <w:rPr>
          <w:rFonts w:eastAsia="Times New Roman"/>
          <w:u w:val="single"/>
        </w:rPr>
        <w:t>Полный ответ (полная ремиссия) (</w:t>
      </w:r>
      <w:r w:rsidR="002B762F">
        <w:rPr>
          <w:rFonts w:eastAsia="Times New Roman"/>
          <w:u w:val="single"/>
        </w:rPr>
        <w:t>ПО/</w:t>
      </w:r>
      <w:r w:rsidRPr="00F242DD">
        <w:rPr>
          <w:rFonts w:eastAsia="Times New Roman"/>
          <w:u w:val="single"/>
        </w:rPr>
        <w:t>ПР):</w:t>
      </w:r>
      <w:r w:rsidRPr="00F242DD">
        <w:rPr>
          <w:rFonts w:eastAsia="Times New Roman"/>
        </w:rPr>
        <w:t xml:space="preserve"> диагностируется при отсутствии парапротеина в сыворотке и моче по данным иммунофиксации. Количество плазматических клеток в миелограмме должно быть &lt;5</w:t>
      </w:r>
      <w:r w:rsidRPr="00F242DD">
        <w:rPr>
          <w:rFonts w:eastAsia="Times New Roman"/>
          <w:lang w:val="en-US"/>
        </w:rPr>
        <w:t> </w:t>
      </w:r>
      <w:r w:rsidRPr="00F242DD">
        <w:rPr>
          <w:rFonts w:eastAsia="Times New Roman"/>
        </w:rPr>
        <w:t>%. Мягкотканые плазмоцитомы при ПР отсутствуют.</w:t>
      </w:r>
    </w:p>
    <w:p w14:paraId="011F6445" w14:textId="03E7EFFD" w:rsidR="00E778E9" w:rsidRPr="00F242DD" w:rsidRDefault="00E778E9" w:rsidP="00262541">
      <w:pPr>
        <w:tabs>
          <w:tab w:val="left" w:pos="900"/>
        </w:tabs>
        <w:spacing w:before="0" w:after="0"/>
        <w:ind w:firstLine="567"/>
        <w:contextualSpacing/>
      </w:pPr>
      <w:r w:rsidRPr="00F242DD">
        <w:t>При миеломе, «измеряемой» только по уровню СЛЦ</w:t>
      </w:r>
      <w:r w:rsidR="002B762F" w:rsidRPr="002B762F">
        <w:rPr>
          <w:rFonts w:eastAsia="Times New Roman"/>
        </w:rPr>
        <w:t xml:space="preserve"> </w:t>
      </w:r>
      <w:r w:rsidR="002B762F">
        <w:rPr>
          <w:rFonts w:eastAsia="Times New Roman"/>
        </w:rPr>
        <w:t>иммуноглобулинов</w:t>
      </w:r>
      <w:r w:rsidRPr="00F242DD">
        <w:t xml:space="preserve">, для оценки эффекта используется метод определения уровня СЛЦ </w:t>
      </w:r>
      <w:r w:rsidR="0001340B">
        <w:t>(</w:t>
      </w:r>
      <w:r w:rsidR="0001340B" w:rsidRPr="00C528FA">
        <w:t>метод</w:t>
      </w:r>
      <w:r w:rsidR="009868F5" w:rsidRPr="00C528FA">
        <w:t>ом</w:t>
      </w:r>
      <w:r w:rsidR="0001340B" w:rsidRPr="00C528FA">
        <w:t xml:space="preserve"> нефелометри</w:t>
      </w:r>
      <w:r w:rsidR="00A679A5" w:rsidRPr="00C528FA">
        <w:t>и</w:t>
      </w:r>
      <w:r w:rsidR="0001340B">
        <w:t>)</w:t>
      </w:r>
      <w:r w:rsidR="002B762F" w:rsidRPr="002B762F">
        <w:rPr>
          <w:rFonts w:eastAsia="Times New Roman"/>
        </w:rPr>
        <w:t xml:space="preserve"> </w:t>
      </w:r>
      <w:r w:rsidR="002B762F">
        <w:rPr>
          <w:rFonts w:eastAsia="Times New Roman"/>
        </w:rPr>
        <w:t>иммуноглобулинов</w:t>
      </w:r>
      <w:r w:rsidRPr="00F242DD">
        <w:t>. Для установления ПР необходимо нормальное соотношение СЛЦ</w:t>
      </w:r>
      <w:r w:rsidR="002B762F" w:rsidRPr="002B762F">
        <w:rPr>
          <w:rFonts w:eastAsia="Times New Roman"/>
        </w:rPr>
        <w:t xml:space="preserve"> </w:t>
      </w:r>
      <w:r w:rsidR="002B762F">
        <w:rPr>
          <w:rFonts w:eastAsia="Times New Roman"/>
        </w:rPr>
        <w:t>иммуноглобулинов</w:t>
      </w:r>
      <w:r w:rsidRPr="00F242DD">
        <w:t xml:space="preserve"> κ/λ (0,26‒1,65).</w:t>
      </w:r>
    </w:p>
    <w:p w14:paraId="2C565F25" w14:textId="3ADA6E16" w:rsidR="00E778E9" w:rsidRPr="00F242DD" w:rsidRDefault="00E778E9" w:rsidP="00262541">
      <w:pPr>
        <w:shd w:val="clear" w:color="auto" w:fill="FFFFFF"/>
        <w:tabs>
          <w:tab w:val="left" w:pos="900"/>
        </w:tabs>
        <w:spacing w:before="0" w:after="0"/>
        <w:ind w:firstLine="567"/>
        <w:contextualSpacing/>
        <w:rPr>
          <w:rFonts w:eastAsia="Times New Roman"/>
        </w:rPr>
      </w:pPr>
      <w:r w:rsidRPr="00F242DD">
        <w:rPr>
          <w:rFonts w:eastAsia="Times New Roman"/>
          <w:u w:val="single"/>
        </w:rPr>
        <w:t xml:space="preserve">Строгий полный ответ (строгая </w:t>
      </w:r>
      <w:r w:rsidR="002B762F">
        <w:rPr>
          <w:rFonts w:eastAsia="Times New Roman"/>
          <w:u w:val="single"/>
        </w:rPr>
        <w:t>ПО/</w:t>
      </w:r>
      <w:r w:rsidRPr="00F242DD">
        <w:rPr>
          <w:rFonts w:eastAsia="Times New Roman"/>
          <w:u w:val="single"/>
        </w:rPr>
        <w:t>ПР):</w:t>
      </w:r>
      <w:r w:rsidRPr="00F242DD">
        <w:rPr>
          <w:rFonts w:eastAsia="Times New Roman"/>
        </w:rPr>
        <w:t xml:space="preserve"> ПР при нормальном соотношении СЛЦ</w:t>
      </w:r>
      <w:r w:rsidR="002B762F">
        <w:rPr>
          <w:rFonts w:eastAsia="Times New Roman"/>
        </w:rPr>
        <w:t xml:space="preserve"> иммуноглобулинов</w:t>
      </w:r>
      <w:r w:rsidRPr="00F242DD">
        <w:rPr>
          <w:rFonts w:eastAsia="Times New Roman"/>
        </w:rPr>
        <w:t xml:space="preserve"> и отсутствии клональных плазматических клеток в костном мозге по данным иммуногистохимического или иммунофлуоресцентного методов.</w:t>
      </w:r>
    </w:p>
    <w:p w14:paraId="088CCB23" w14:textId="5E02E5AB" w:rsidR="00E778E9" w:rsidRPr="00F242DD" w:rsidRDefault="00E778E9" w:rsidP="00262541">
      <w:pPr>
        <w:tabs>
          <w:tab w:val="left" w:pos="900"/>
        </w:tabs>
        <w:spacing w:before="0" w:after="0"/>
        <w:ind w:firstLine="567"/>
        <w:contextualSpacing/>
        <w:rPr>
          <w:color w:val="FF0000"/>
        </w:rPr>
      </w:pPr>
      <w:r w:rsidRPr="00F242DD">
        <w:rPr>
          <w:rFonts w:eastAsia="Times New Roman"/>
          <w:u w:val="single"/>
        </w:rPr>
        <w:t xml:space="preserve">Очень хороший частичный ответ (очень хорошая частичная ремиссия) (ОХЧР): </w:t>
      </w:r>
      <w:r w:rsidRPr="00F242DD">
        <w:rPr>
          <w:rFonts w:eastAsia="Times New Roman"/>
        </w:rPr>
        <w:t xml:space="preserve">М-протеин в сыворотке крови и моче определяется только при иммунофиксации, но не при электрофорезе или отмечается снижение уровня М-протеина в сыворотке на ≥90 %, а М-протеина в моче до уровня &lt;100 мг/сут. </w:t>
      </w:r>
      <w:r w:rsidRPr="00F242DD">
        <w:t>Для болезни, «измеряемой» только по уровню СЛЦ</w:t>
      </w:r>
      <w:r w:rsidR="002B762F" w:rsidRPr="002B762F">
        <w:rPr>
          <w:rFonts w:eastAsia="Times New Roman"/>
        </w:rPr>
        <w:t xml:space="preserve"> </w:t>
      </w:r>
      <w:r w:rsidR="002B762F">
        <w:rPr>
          <w:rFonts w:eastAsia="Times New Roman"/>
        </w:rPr>
        <w:t>иммуноглобулинов</w:t>
      </w:r>
      <w:r w:rsidRPr="00F242DD">
        <w:t xml:space="preserve">, требуется снижение </w:t>
      </w:r>
      <w:r w:rsidR="002B762F">
        <w:t>отношения</w:t>
      </w:r>
      <w:r w:rsidRPr="00F242DD">
        <w:t xml:space="preserve"> уровня «вовлеченных» и «невовлеченных» СЛЦ</w:t>
      </w:r>
      <w:r w:rsidR="002B762F" w:rsidRPr="002B762F">
        <w:rPr>
          <w:rFonts w:eastAsia="Times New Roman"/>
        </w:rPr>
        <w:t xml:space="preserve"> </w:t>
      </w:r>
      <w:r w:rsidR="002B762F">
        <w:rPr>
          <w:rFonts w:eastAsia="Times New Roman"/>
        </w:rPr>
        <w:t>иммуноглобулинов</w:t>
      </w:r>
      <w:r w:rsidRPr="00F242DD">
        <w:t xml:space="preserve"> на 90</w:t>
      </w:r>
      <w:r w:rsidRPr="00F242DD">
        <w:rPr>
          <w:lang w:val="en-US"/>
        </w:rPr>
        <w:t> </w:t>
      </w:r>
      <w:r w:rsidRPr="00F242DD">
        <w:t>% и более.</w:t>
      </w:r>
    </w:p>
    <w:p w14:paraId="1C59C1A4" w14:textId="14E5EEB5" w:rsidR="00E778E9" w:rsidRPr="00F242DD" w:rsidRDefault="00E778E9" w:rsidP="00262541">
      <w:pPr>
        <w:tabs>
          <w:tab w:val="left" w:pos="900"/>
        </w:tabs>
        <w:spacing w:before="0" w:after="0"/>
        <w:ind w:firstLine="567"/>
        <w:contextualSpacing/>
        <w:rPr>
          <w:shd w:val="clear" w:color="auto" w:fill="B8CCE4"/>
        </w:rPr>
      </w:pPr>
      <w:r w:rsidRPr="00F242DD">
        <w:rPr>
          <w:rFonts w:eastAsia="Times New Roman"/>
          <w:u w:val="single"/>
        </w:rPr>
        <w:lastRenderedPageBreak/>
        <w:t>Частичный ответ (частичная ремиссия) (</w:t>
      </w:r>
      <w:r w:rsidR="00317FEF">
        <w:rPr>
          <w:rFonts w:eastAsia="Times New Roman"/>
          <w:u w:val="single"/>
        </w:rPr>
        <w:t>ЧО/</w:t>
      </w:r>
      <w:r w:rsidRPr="00F242DD">
        <w:rPr>
          <w:rFonts w:eastAsia="Times New Roman"/>
          <w:u w:val="single"/>
        </w:rPr>
        <w:t>ЧР):</w:t>
      </w:r>
      <w:r w:rsidRPr="00F242DD">
        <w:rPr>
          <w:rFonts w:eastAsia="Times New Roman"/>
        </w:rPr>
        <w:t xml:space="preserve"> уровень М-градиента в сыворотке должен уменьшиться на ≥50</w:t>
      </w:r>
      <w:r w:rsidRPr="00F242DD">
        <w:rPr>
          <w:rFonts w:eastAsia="Times New Roman"/>
          <w:lang w:val="en-US"/>
        </w:rPr>
        <w:t> </w:t>
      </w:r>
      <w:r w:rsidRPr="00F242DD">
        <w:rPr>
          <w:rFonts w:eastAsia="Times New Roman"/>
        </w:rPr>
        <w:t>%, а в моче на ≥90</w:t>
      </w:r>
      <w:r w:rsidRPr="00F242DD">
        <w:rPr>
          <w:rFonts w:eastAsia="Times New Roman"/>
          <w:lang w:val="en-US"/>
        </w:rPr>
        <w:t> </w:t>
      </w:r>
      <w:r w:rsidRPr="00F242DD">
        <w:rPr>
          <w:rFonts w:eastAsia="Times New Roman"/>
        </w:rPr>
        <w:t>%, или абсолютное количество М-протеина в моче должно быть &lt;200 мг/сут. Размеры мягкотканых плазмоцитом должны уменьшиться на ≥50</w:t>
      </w:r>
      <w:r w:rsidRPr="00F242DD">
        <w:rPr>
          <w:rFonts w:eastAsia="Times New Roman"/>
          <w:lang w:val="en-US"/>
        </w:rPr>
        <w:t> </w:t>
      </w:r>
      <w:r w:rsidRPr="00F242DD">
        <w:rPr>
          <w:rFonts w:eastAsia="Times New Roman"/>
        </w:rPr>
        <w:t xml:space="preserve">%. </w:t>
      </w:r>
      <w:r w:rsidRPr="00F242DD">
        <w:t>При миеломе, «измеряемой» только по уровню СЛЦ</w:t>
      </w:r>
      <w:r w:rsidR="00317FEF" w:rsidRPr="00317FEF">
        <w:rPr>
          <w:rFonts w:eastAsia="Times New Roman"/>
        </w:rPr>
        <w:t xml:space="preserve"> </w:t>
      </w:r>
      <w:r w:rsidR="00317FEF">
        <w:rPr>
          <w:rFonts w:eastAsia="Times New Roman"/>
        </w:rPr>
        <w:t>иммуноглобулинов</w:t>
      </w:r>
      <w:r w:rsidRPr="00F242DD">
        <w:t>, частичный ответ устанавливается при снижении разницы уровня «вовлеченных» и «невовлеченных» СЛЦ</w:t>
      </w:r>
      <w:r w:rsidR="00317FEF" w:rsidRPr="00317FEF">
        <w:rPr>
          <w:rFonts w:eastAsia="Times New Roman"/>
        </w:rPr>
        <w:t xml:space="preserve"> </w:t>
      </w:r>
      <w:r w:rsidR="00317FEF">
        <w:rPr>
          <w:rFonts w:eastAsia="Times New Roman"/>
        </w:rPr>
        <w:t>иммуноглобулинов</w:t>
      </w:r>
      <w:r w:rsidRPr="00F242DD">
        <w:t xml:space="preserve"> на 50 %.</w:t>
      </w:r>
    </w:p>
    <w:p w14:paraId="3A666A16" w14:textId="77777777" w:rsidR="00E778E9" w:rsidRPr="00F242DD" w:rsidRDefault="00E778E9" w:rsidP="00262541">
      <w:pPr>
        <w:tabs>
          <w:tab w:val="left" w:pos="900"/>
        </w:tabs>
        <w:spacing w:before="0" w:after="0"/>
        <w:ind w:firstLine="567"/>
        <w:contextualSpacing/>
        <w:rPr>
          <w:rFonts w:eastAsia="Times New Roman"/>
        </w:rPr>
      </w:pPr>
      <w:r w:rsidRPr="00F242DD">
        <w:rPr>
          <w:rFonts w:eastAsia="Times New Roman"/>
          <w:u w:val="single"/>
        </w:rPr>
        <w:t>Стабилизация:</w:t>
      </w:r>
      <w:r w:rsidRPr="00F242DD">
        <w:rPr>
          <w:rFonts w:eastAsia="Times New Roman"/>
        </w:rPr>
        <w:t xml:space="preserve"> несоответствие показателей критериям ПР, ОХЧР, ЧР или прогрессирования миеломы.   </w:t>
      </w:r>
    </w:p>
    <w:p w14:paraId="0600A45A" w14:textId="728935E8" w:rsidR="00E778E9" w:rsidRPr="00F242DD" w:rsidRDefault="00E778E9" w:rsidP="00262541">
      <w:pPr>
        <w:tabs>
          <w:tab w:val="left" w:pos="900"/>
        </w:tabs>
        <w:spacing w:before="0" w:after="0"/>
        <w:ind w:firstLine="567"/>
        <w:contextualSpacing/>
        <w:rPr>
          <w:rFonts w:eastAsia="Times New Roman"/>
        </w:rPr>
      </w:pPr>
      <w:r w:rsidRPr="00F242DD">
        <w:rPr>
          <w:rFonts w:eastAsia="Times New Roman"/>
          <w:u w:val="single"/>
        </w:rPr>
        <w:t>Прогрессия заболевания:</w:t>
      </w:r>
      <w:r w:rsidRPr="00F242DD">
        <w:rPr>
          <w:rFonts w:eastAsia="Times New Roman"/>
        </w:rPr>
        <w:t xml:space="preserve"> повышение уровня М-градиента на ≥25 % от наименьшего достигнутого уровня в сыворотке (увеличение на ≥5 г/л), в моче (увеличение на ≥200 мг/сут).</w:t>
      </w:r>
      <w:r w:rsidRPr="00F242DD">
        <w:t xml:space="preserve"> Для пациентов с «неизмеряемой» болезнью </w:t>
      </w:r>
      <w:r w:rsidRPr="00F242DD">
        <w:rPr>
          <w:lang w:val="en-US"/>
        </w:rPr>
        <w:t>c</w:t>
      </w:r>
      <w:r w:rsidRPr="00F242DD">
        <w:t>тандартными иммунохимическими методами, но «измеряемой» только по уровню СЛЦ</w:t>
      </w:r>
      <w:r w:rsidR="00317FEF" w:rsidRPr="00317FEF">
        <w:rPr>
          <w:rFonts w:eastAsia="Times New Roman"/>
        </w:rPr>
        <w:t xml:space="preserve"> </w:t>
      </w:r>
      <w:r w:rsidR="00317FEF">
        <w:rPr>
          <w:rFonts w:eastAsia="Times New Roman"/>
        </w:rPr>
        <w:t>иммуноглобулинов</w:t>
      </w:r>
      <w:r w:rsidRPr="00F242DD">
        <w:t>,  прогрессирование устанавливается при увеличении разницы между «вовлеченными» и «невовлеченными» СЛЦ</w:t>
      </w:r>
      <w:r w:rsidR="00317FEF" w:rsidRPr="00317FEF">
        <w:rPr>
          <w:rFonts w:eastAsia="Times New Roman"/>
        </w:rPr>
        <w:t xml:space="preserve"> </w:t>
      </w:r>
      <w:r w:rsidR="00317FEF">
        <w:rPr>
          <w:rFonts w:eastAsia="Times New Roman"/>
        </w:rPr>
        <w:t>иммуноглобулинов</w:t>
      </w:r>
      <w:r w:rsidRPr="00F242DD">
        <w:t xml:space="preserve"> на 100 мг/л. Также о прогрессировании свидетельствуют </w:t>
      </w:r>
      <w:r w:rsidRPr="00F242DD">
        <w:rPr>
          <w:rFonts w:eastAsia="Times New Roman"/>
        </w:rPr>
        <w:t xml:space="preserve"> увеличение числа плазматических клеток в костном мозге (не менее 10 %), появление новых очагов в костях или увеличение размеров ранее определяемых, появление мягкотканых плазмоцитом или увеличение их размеров, гиперкальциемия (скоррегированный уровень кальция сыворотки &gt;11,5 мг/дл или 2,</w:t>
      </w:r>
      <w:r w:rsidR="00317FEF">
        <w:rPr>
          <w:rFonts w:eastAsia="Times New Roman"/>
        </w:rPr>
        <w:t>7</w:t>
      </w:r>
      <w:r w:rsidRPr="00F242DD">
        <w:rPr>
          <w:rFonts w:eastAsia="Times New Roman"/>
        </w:rPr>
        <w:t>5 ммоль/л), которую можно связать с плазмоклеточной пролиферацией.</w:t>
      </w:r>
    </w:p>
    <w:p w14:paraId="61ADBE1A" w14:textId="77777777" w:rsidR="00E778E9" w:rsidRPr="00F242DD" w:rsidRDefault="00E778E9" w:rsidP="00262541">
      <w:pPr>
        <w:ind w:firstLine="567"/>
        <w:rPr>
          <w:b/>
        </w:rPr>
      </w:pPr>
    </w:p>
    <w:p w14:paraId="6162C821" w14:textId="152EC2DF" w:rsidR="004D7374" w:rsidRPr="00F242DD" w:rsidRDefault="004D7374" w:rsidP="002431B5">
      <w:pPr>
        <w:pStyle w:val="1"/>
      </w:pPr>
      <w:bookmarkStart w:id="49" w:name="_Toc97734641"/>
      <w:r w:rsidRPr="00F242DD">
        <w:lastRenderedPageBreak/>
        <w:t>Критерии оценки качества медицинской помощи</w:t>
      </w:r>
      <w:bookmarkEnd w:id="41"/>
      <w:bookmarkEnd w:id="49"/>
    </w:p>
    <w:tbl>
      <w:tblPr>
        <w:tblW w:w="10617" w:type="dxa"/>
        <w:jc w:val="center"/>
        <w:tblLayout w:type="fixed"/>
        <w:tblCellMar>
          <w:top w:w="15" w:type="dxa"/>
          <w:left w:w="15" w:type="dxa"/>
          <w:bottom w:w="15" w:type="dxa"/>
          <w:right w:w="15" w:type="dxa"/>
        </w:tblCellMar>
        <w:tblLook w:val="04A0" w:firstRow="1" w:lastRow="0" w:firstColumn="1" w:lastColumn="0" w:noHBand="0" w:noVBand="1"/>
      </w:tblPr>
      <w:tblGrid>
        <w:gridCol w:w="582"/>
        <w:gridCol w:w="7371"/>
        <w:gridCol w:w="1276"/>
        <w:gridCol w:w="1388"/>
      </w:tblGrid>
      <w:tr w:rsidR="00196228" w:rsidRPr="00F242DD" w14:paraId="6E7A241B" w14:textId="77777777" w:rsidTr="00A52B4E">
        <w:trPr>
          <w:trHeight w:val="1534"/>
          <w:tblHeader/>
          <w:jc w:val="center"/>
        </w:trPr>
        <w:tc>
          <w:tcPr>
            <w:tcW w:w="582" w:type="dxa"/>
            <w:tcBorders>
              <w:top w:val="single" w:sz="6" w:space="0" w:color="000000"/>
              <w:left w:val="single" w:sz="6" w:space="0" w:color="000000"/>
              <w:bottom w:val="single" w:sz="6" w:space="0" w:color="000000"/>
              <w:right w:val="single" w:sz="6" w:space="0" w:color="000000"/>
            </w:tcBorders>
            <w:vAlign w:val="center"/>
            <w:hideMark/>
          </w:tcPr>
          <w:p w14:paraId="25A48E47" w14:textId="77777777" w:rsidR="00196228" w:rsidRPr="00F242DD" w:rsidRDefault="00196228" w:rsidP="002431B5">
            <w:pPr>
              <w:pStyle w:val="a4"/>
              <w:spacing w:before="0" w:beforeAutospacing="0" w:after="0" w:afterAutospacing="0" w:line="360" w:lineRule="auto"/>
            </w:pPr>
            <w:r w:rsidRPr="00F242DD">
              <w:t>№</w:t>
            </w:r>
          </w:p>
        </w:tc>
        <w:tc>
          <w:tcPr>
            <w:tcW w:w="7371" w:type="dxa"/>
            <w:tcBorders>
              <w:top w:val="single" w:sz="6" w:space="0" w:color="000000"/>
              <w:left w:val="single" w:sz="6" w:space="0" w:color="000000"/>
              <w:bottom w:val="single" w:sz="6" w:space="0" w:color="000000"/>
              <w:right w:val="single" w:sz="6" w:space="0" w:color="000000"/>
            </w:tcBorders>
            <w:vAlign w:val="center"/>
            <w:hideMark/>
          </w:tcPr>
          <w:p w14:paraId="34F31009" w14:textId="77777777" w:rsidR="00196228" w:rsidRPr="00F242DD" w:rsidRDefault="00196228" w:rsidP="002431B5">
            <w:pPr>
              <w:pStyle w:val="a4"/>
              <w:spacing w:before="0" w:beforeAutospacing="0" w:after="0" w:afterAutospacing="0" w:line="240" w:lineRule="auto"/>
              <w:jc w:val="center"/>
            </w:pPr>
            <w:r w:rsidRPr="00F242DD">
              <w:rPr>
                <w:rStyle w:val="ac"/>
              </w:rPr>
              <w:t>Критерии качества</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BBB05BB" w14:textId="77777777" w:rsidR="00196228" w:rsidRPr="00F242DD" w:rsidRDefault="00196228" w:rsidP="002431B5">
            <w:pPr>
              <w:pStyle w:val="a4"/>
              <w:spacing w:before="0" w:beforeAutospacing="0" w:after="0" w:afterAutospacing="0" w:line="240" w:lineRule="auto"/>
              <w:jc w:val="center"/>
            </w:pPr>
            <w:r w:rsidRPr="00F242DD">
              <w:rPr>
                <w:rStyle w:val="ac"/>
              </w:rPr>
              <w:t>Уровень достоверности доказательств</w:t>
            </w:r>
          </w:p>
        </w:tc>
        <w:tc>
          <w:tcPr>
            <w:tcW w:w="1388" w:type="dxa"/>
            <w:tcBorders>
              <w:top w:val="single" w:sz="6" w:space="0" w:color="000000"/>
              <w:left w:val="single" w:sz="6" w:space="0" w:color="000000"/>
              <w:bottom w:val="single" w:sz="6" w:space="0" w:color="000000"/>
              <w:right w:val="single" w:sz="6" w:space="0" w:color="000000"/>
            </w:tcBorders>
            <w:vAlign w:val="center"/>
            <w:hideMark/>
          </w:tcPr>
          <w:p w14:paraId="00D7B652" w14:textId="77777777" w:rsidR="00196228" w:rsidRPr="00F242DD" w:rsidRDefault="00196228" w:rsidP="002431B5">
            <w:pPr>
              <w:pStyle w:val="a4"/>
              <w:spacing w:before="0" w:beforeAutospacing="0" w:after="0" w:afterAutospacing="0" w:line="240" w:lineRule="auto"/>
              <w:jc w:val="center"/>
            </w:pPr>
            <w:r w:rsidRPr="00F242DD">
              <w:rPr>
                <w:rStyle w:val="ac"/>
              </w:rPr>
              <w:t>Уровень убедительности рекомендаций</w:t>
            </w:r>
          </w:p>
        </w:tc>
      </w:tr>
      <w:tr w:rsidR="00196228" w:rsidRPr="00F242DD" w14:paraId="77B03924"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hideMark/>
          </w:tcPr>
          <w:p w14:paraId="5EC8021D" w14:textId="77777777" w:rsidR="00196228" w:rsidRPr="00F242DD" w:rsidRDefault="00196228" w:rsidP="002431B5">
            <w:pPr>
              <w:pStyle w:val="a4"/>
              <w:spacing w:before="0" w:beforeAutospacing="0" w:after="0" w:afterAutospacing="0" w:line="360" w:lineRule="auto"/>
            </w:pPr>
            <w:r w:rsidRPr="00F242DD">
              <w:t>1</w:t>
            </w:r>
          </w:p>
        </w:tc>
        <w:tc>
          <w:tcPr>
            <w:tcW w:w="7371" w:type="dxa"/>
            <w:tcBorders>
              <w:top w:val="single" w:sz="6" w:space="0" w:color="000000"/>
              <w:left w:val="single" w:sz="6" w:space="0" w:color="000000"/>
              <w:bottom w:val="single" w:sz="6" w:space="0" w:color="000000"/>
              <w:right w:val="single" w:sz="6" w:space="0" w:color="000000"/>
            </w:tcBorders>
            <w:vAlign w:val="center"/>
          </w:tcPr>
          <w:p w14:paraId="3A0603E7" w14:textId="6C8F70F1" w:rsidR="00196228" w:rsidRPr="00F242DD" w:rsidRDefault="00931752" w:rsidP="005A0507">
            <w:pPr>
              <w:spacing w:before="0" w:after="0" w:line="240" w:lineRule="auto"/>
              <w:rPr>
                <w:szCs w:val="24"/>
              </w:rPr>
            </w:pPr>
            <w:r w:rsidRPr="00F242DD">
              <w:rPr>
                <w:szCs w:val="24"/>
              </w:rPr>
              <w:t xml:space="preserve">Пациенту </w:t>
            </w:r>
            <w:r w:rsidR="0040125D" w:rsidRPr="00F242DD">
              <w:rPr>
                <w:szCs w:val="24"/>
              </w:rPr>
              <w:t>с подозрением на ММ или выявленной ММ при первичном или повторном приеме, при контрольных обследованиях и при подозрении на рецидив заболевания выполн</w:t>
            </w:r>
            <w:r w:rsidRPr="00F242DD">
              <w:rPr>
                <w:szCs w:val="24"/>
              </w:rPr>
              <w:t>ен</w:t>
            </w:r>
            <w:r w:rsidR="0040125D" w:rsidRPr="00F242DD">
              <w:rPr>
                <w:szCs w:val="24"/>
              </w:rPr>
              <w:t xml:space="preserve"> </w:t>
            </w:r>
            <w:r w:rsidR="005A0507">
              <w:rPr>
                <w:szCs w:val="24"/>
              </w:rPr>
              <w:t xml:space="preserve">общий (клинический) </w:t>
            </w:r>
            <w:proofErr w:type="gramStart"/>
            <w:r w:rsidR="005A0507" w:rsidRPr="00F242DD">
              <w:rPr>
                <w:szCs w:val="24"/>
              </w:rPr>
              <w:t>анализ крови</w:t>
            </w:r>
            <w:proofErr w:type="gramEnd"/>
            <w:r w:rsidR="005A0507" w:rsidRPr="00F242DD">
              <w:rPr>
                <w:szCs w:val="24"/>
              </w:rPr>
              <w:t xml:space="preserve"> </w:t>
            </w:r>
            <w:r w:rsidR="0040125D" w:rsidRPr="00F242DD">
              <w:rPr>
                <w:szCs w:val="24"/>
              </w:rPr>
              <w:t xml:space="preserve">развернутый с определением </w:t>
            </w:r>
            <w:r w:rsidR="00C8444F" w:rsidRPr="00F242DD">
              <w:rPr>
                <w:szCs w:val="24"/>
              </w:rPr>
              <w:t xml:space="preserve">уровней </w:t>
            </w:r>
            <w:r w:rsidR="0040125D" w:rsidRPr="00F242DD">
              <w:rPr>
                <w:szCs w:val="24"/>
              </w:rPr>
              <w:t>гемоглобина, эритроцитов, тромбоцитов, лейкоцитов, подсчетом лейкоцитарной фор</w:t>
            </w:r>
            <w:r w:rsidR="00C8444F" w:rsidRPr="00F242DD">
              <w:rPr>
                <w:szCs w:val="24"/>
              </w:rPr>
              <w:t>мулы и количества ретикулоцитов</w:t>
            </w:r>
          </w:p>
        </w:tc>
        <w:tc>
          <w:tcPr>
            <w:tcW w:w="1276" w:type="dxa"/>
            <w:tcBorders>
              <w:top w:val="single" w:sz="6" w:space="0" w:color="000000"/>
              <w:left w:val="single" w:sz="6" w:space="0" w:color="000000"/>
              <w:bottom w:val="single" w:sz="6" w:space="0" w:color="000000"/>
              <w:right w:val="single" w:sz="6" w:space="0" w:color="000000"/>
            </w:tcBorders>
            <w:vAlign w:val="center"/>
          </w:tcPr>
          <w:p w14:paraId="13D087F1" w14:textId="77777777" w:rsidR="00196228" w:rsidRPr="00F242DD" w:rsidRDefault="0040125D" w:rsidP="002431B5">
            <w:pPr>
              <w:pStyle w:val="a4"/>
              <w:spacing w:before="0" w:beforeAutospacing="0" w:after="0" w:afterAutospacing="0" w:line="240" w:lineRule="auto"/>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41FBE5EB" w14:textId="77777777" w:rsidR="00196228" w:rsidRPr="00F242DD" w:rsidRDefault="0040125D" w:rsidP="002431B5">
            <w:pPr>
              <w:pStyle w:val="a4"/>
              <w:spacing w:before="0" w:beforeAutospacing="0" w:after="0" w:afterAutospacing="0" w:line="240" w:lineRule="auto"/>
              <w:jc w:val="center"/>
            </w:pPr>
            <w:r w:rsidRPr="00F242DD">
              <w:t>С</w:t>
            </w:r>
          </w:p>
        </w:tc>
      </w:tr>
      <w:tr w:rsidR="00196228" w:rsidRPr="00F242DD" w14:paraId="1DD39999"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3E8D12F0" w14:textId="77777777" w:rsidR="00196228" w:rsidRPr="00F242DD" w:rsidRDefault="00196228" w:rsidP="002431B5">
            <w:pPr>
              <w:pStyle w:val="a4"/>
              <w:spacing w:before="0" w:beforeAutospacing="0" w:after="0" w:afterAutospacing="0" w:line="360" w:lineRule="auto"/>
            </w:pPr>
            <w:r w:rsidRPr="00F242DD">
              <w:t>2</w:t>
            </w:r>
          </w:p>
        </w:tc>
        <w:tc>
          <w:tcPr>
            <w:tcW w:w="7371" w:type="dxa"/>
            <w:tcBorders>
              <w:top w:val="single" w:sz="6" w:space="0" w:color="000000"/>
              <w:left w:val="single" w:sz="6" w:space="0" w:color="000000"/>
              <w:bottom w:val="single" w:sz="6" w:space="0" w:color="000000"/>
              <w:right w:val="single" w:sz="6" w:space="0" w:color="000000"/>
            </w:tcBorders>
            <w:vAlign w:val="center"/>
          </w:tcPr>
          <w:p w14:paraId="451C5A94" w14:textId="77777777" w:rsidR="00196228" w:rsidRPr="00F242DD" w:rsidRDefault="00931752" w:rsidP="002431B5">
            <w:pPr>
              <w:spacing w:before="0" w:after="0" w:line="240" w:lineRule="auto"/>
              <w:rPr>
                <w:szCs w:val="24"/>
              </w:rPr>
            </w:pPr>
            <w:r w:rsidRPr="00F242DD">
              <w:rPr>
                <w:szCs w:val="24"/>
              </w:rPr>
              <w:t>П</w:t>
            </w:r>
            <w:r w:rsidR="0040125D" w:rsidRPr="00F242DD">
              <w:rPr>
                <w:szCs w:val="24"/>
              </w:rPr>
              <w:t>ациент</w:t>
            </w:r>
            <w:r w:rsidRPr="00F242DD">
              <w:rPr>
                <w:szCs w:val="24"/>
              </w:rPr>
              <w:t>у</w:t>
            </w:r>
            <w:r w:rsidR="0040125D" w:rsidRPr="00F242DD">
              <w:rPr>
                <w:szCs w:val="24"/>
              </w:rPr>
              <w:t xml:space="preserve"> с подозрением на ММ или выявленной ММ при первичном или повторном приеме, при контрольных обследованиях и при подозрении на рецидив заболевания выполн</w:t>
            </w:r>
            <w:r w:rsidRPr="00F242DD">
              <w:rPr>
                <w:szCs w:val="24"/>
              </w:rPr>
              <w:t xml:space="preserve">ен </w:t>
            </w:r>
            <w:r w:rsidR="00C8444F" w:rsidRPr="00F242DD">
              <w:rPr>
                <w:szCs w:val="24"/>
              </w:rPr>
              <w:t>общий (клинический) анализ мочи</w:t>
            </w:r>
          </w:p>
        </w:tc>
        <w:tc>
          <w:tcPr>
            <w:tcW w:w="1276" w:type="dxa"/>
            <w:tcBorders>
              <w:top w:val="single" w:sz="6" w:space="0" w:color="000000"/>
              <w:left w:val="single" w:sz="6" w:space="0" w:color="000000"/>
              <w:bottom w:val="single" w:sz="6" w:space="0" w:color="000000"/>
              <w:right w:val="single" w:sz="6" w:space="0" w:color="000000"/>
            </w:tcBorders>
            <w:vAlign w:val="center"/>
          </w:tcPr>
          <w:p w14:paraId="6BCBADFD" w14:textId="77777777" w:rsidR="00196228" w:rsidRPr="00F242DD" w:rsidRDefault="0040125D" w:rsidP="002431B5">
            <w:pPr>
              <w:pStyle w:val="a4"/>
              <w:spacing w:before="0" w:beforeAutospacing="0" w:after="0" w:afterAutospacing="0" w:line="240" w:lineRule="auto"/>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7FDEB506" w14:textId="77777777" w:rsidR="00196228" w:rsidRPr="00F242DD" w:rsidRDefault="0040125D" w:rsidP="002431B5">
            <w:pPr>
              <w:pStyle w:val="a4"/>
              <w:spacing w:before="0" w:beforeAutospacing="0" w:after="0" w:afterAutospacing="0" w:line="240" w:lineRule="auto"/>
              <w:jc w:val="center"/>
            </w:pPr>
            <w:r w:rsidRPr="00F242DD">
              <w:t>С</w:t>
            </w:r>
          </w:p>
        </w:tc>
      </w:tr>
      <w:tr w:rsidR="00196228" w:rsidRPr="00F242DD" w14:paraId="0CF6A352"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59B84425" w14:textId="77777777" w:rsidR="00196228" w:rsidRPr="00F242DD" w:rsidRDefault="00196228" w:rsidP="002431B5">
            <w:pPr>
              <w:pStyle w:val="a4"/>
              <w:spacing w:before="0" w:beforeAutospacing="0" w:after="0" w:afterAutospacing="0" w:line="360" w:lineRule="auto"/>
            </w:pPr>
            <w:r w:rsidRPr="00F242DD">
              <w:t>3</w:t>
            </w:r>
          </w:p>
        </w:tc>
        <w:tc>
          <w:tcPr>
            <w:tcW w:w="7371" w:type="dxa"/>
            <w:tcBorders>
              <w:top w:val="single" w:sz="6" w:space="0" w:color="000000"/>
              <w:left w:val="single" w:sz="6" w:space="0" w:color="000000"/>
              <w:bottom w:val="single" w:sz="6" w:space="0" w:color="000000"/>
              <w:right w:val="single" w:sz="6" w:space="0" w:color="000000"/>
            </w:tcBorders>
            <w:vAlign w:val="center"/>
          </w:tcPr>
          <w:p w14:paraId="0D1B16D0" w14:textId="77777777" w:rsidR="00196228" w:rsidRPr="00F242DD" w:rsidRDefault="00931752" w:rsidP="002431B5">
            <w:pPr>
              <w:spacing w:before="0" w:after="0" w:line="240" w:lineRule="auto"/>
              <w:rPr>
                <w:szCs w:val="24"/>
              </w:rPr>
            </w:pPr>
            <w:r w:rsidRPr="00F242DD">
              <w:rPr>
                <w:szCs w:val="24"/>
              </w:rPr>
              <w:t xml:space="preserve">Пациенту </w:t>
            </w:r>
            <w:r w:rsidR="00A73F31" w:rsidRPr="00F242DD">
              <w:rPr>
                <w:szCs w:val="24"/>
              </w:rPr>
              <w:t>с подозрением на ММ или выявленной ММ при первичном или повторном приеме, при контрольных обследованиях и при подозрении на рецидив заболевания выполн</w:t>
            </w:r>
            <w:r w:rsidRPr="00F242DD">
              <w:rPr>
                <w:szCs w:val="24"/>
              </w:rPr>
              <w:t>ен</w:t>
            </w:r>
            <w:r w:rsidR="00C8444F" w:rsidRPr="00F242DD">
              <w:rPr>
                <w:szCs w:val="24"/>
              </w:rPr>
              <w:t xml:space="preserve"> </w:t>
            </w:r>
            <w:r w:rsidR="00673067" w:rsidRPr="00F242DD">
              <w:rPr>
                <w:szCs w:val="24"/>
              </w:rPr>
              <w:t xml:space="preserve">биохимический </w:t>
            </w:r>
            <w:r w:rsidR="00A73F31" w:rsidRPr="00F242DD">
              <w:rPr>
                <w:szCs w:val="24"/>
              </w:rPr>
              <w:t>анализ крови</w:t>
            </w:r>
            <w:r w:rsidR="00F6392B" w:rsidRPr="00F242DD">
              <w:t xml:space="preserve"> с определением показателей </w:t>
            </w:r>
            <w:r w:rsidR="00F6392B" w:rsidRPr="00F242DD">
              <w:rPr>
                <w:szCs w:val="24"/>
              </w:rPr>
              <w:t xml:space="preserve">ЛДГ, мочевины, креатинина, общего белка, альбумина, билирубина, </w:t>
            </w:r>
            <w:r w:rsidR="002E051F" w:rsidRPr="00F242DD">
              <w:rPr>
                <w:szCs w:val="24"/>
              </w:rPr>
              <w:t>аспартатаминотрансферазы</w:t>
            </w:r>
            <w:r w:rsidR="00F6392B" w:rsidRPr="00F242DD">
              <w:rPr>
                <w:szCs w:val="24"/>
              </w:rPr>
              <w:t xml:space="preserve">, </w:t>
            </w:r>
            <w:r w:rsidR="002E051F" w:rsidRPr="00F242DD">
              <w:rPr>
                <w:szCs w:val="24"/>
              </w:rPr>
              <w:t>аланинаминотрансферазы</w:t>
            </w:r>
            <w:r w:rsidR="00F6392B" w:rsidRPr="00F242DD">
              <w:rPr>
                <w:szCs w:val="24"/>
              </w:rPr>
              <w:t>, щелочной фосфатазы, кальция, калия</w:t>
            </w:r>
          </w:p>
        </w:tc>
        <w:tc>
          <w:tcPr>
            <w:tcW w:w="1276" w:type="dxa"/>
            <w:tcBorders>
              <w:top w:val="single" w:sz="6" w:space="0" w:color="000000"/>
              <w:left w:val="single" w:sz="6" w:space="0" w:color="000000"/>
              <w:bottom w:val="single" w:sz="6" w:space="0" w:color="000000"/>
              <w:right w:val="single" w:sz="6" w:space="0" w:color="000000"/>
            </w:tcBorders>
            <w:vAlign w:val="center"/>
          </w:tcPr>
          <w:p w14:paraId="6346D518" w14:textId="77777777" w:rsidR="00196228" w:rsidRPr="00F242DD" w:rsidRDefault="00A73F31" w:rsidP="002431B5">
            <w:pPr>
              <w:pStyle w:val="a4"/>
              <w:spacing w:before="0" w:beforeAutospacing="0" w:after="0" w:afterAutospacing="0" w:line="240" w:lineRule="auto"/>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2F69E804" w14:textId="77777777" w:rsidR="00196228" w:rsidRPr="00F242DD" w:rsidRDefault="00A73F31" w:rsidP="002431B5">
            <w:pPr>
              <w:pStyle w:val="a4"/>
              <w:spacing w:before="0" w:beforeAutospacing="0" w:after="0" w:afterAutospacing="0" w:line="240" w:lineRule="auto"/>
              <w:jc w:val="center"/>
            </w:pPr>
            <w:r w:rsidRPr="00F242DD">
              <w:t>С</w:t>
            </w:r>
          </w:p>
        </w:tc>
      </w:tr>
      <w:tr w:rsidR="00196228" w:rsidRPr="00F242DD" w14:paraId="55BF3544"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6CE4274D" w14:textId="77777777" w:rsidR="00196228" w:rsidRPr="00F242DD" w:rsidRDefault="00196228" w:rsidP="002431B5">
            <w:pPr>
              <w:pStyle w:val="a4"/>
              <w:spacing w:before="0" w:beforeAutospacing="0" w:after="0" w:afterAutospacing="0" w:line="360" w:lineRule="auto"/>
            </w:pPr>
            <w:r w:rsidRPr="00F242DD">
              <w:t>4</w:t>
            </w:r>
          </w:p>
        </w:tc>
        <w:tc>
          <w:tcPr>
            <w:tcW w:w="7371" w:type="dxa"/>
            <w:tcBorders>
              <w:top w:val="single" w:sz="6" w:space="0" w:color="000000"/>
              <w:left w:val="single" w:sz="6" w:space="0" w:color="000000"/>
              <w:bottom w:val="single" w:sz="6" w:space="0" w:color="000000"/>
              <w:right w:val="single" w:sz="6" w:space="0" w:color="000000"/>
            </w:tcBorders>
            <w:vAlign w:val="center"/>
          </w:tcPr>
          <w:p w14:paraId="07C49CC1" w14:textId="77777777" w:rsidR="00196228" w:rsidRPr="00F242DD" w:rsidRDefault="00331D28" w:rsidP="002431B5">
            <w:pPr>
              <w:spacing w:before="0" w:after="0" w:line="240" w:lineRule="auto"/>
              <w:rPr>
                <w:szCs w:val="24"/>
              </w:rPr>
            </w:pPr>
            <w:r w:rsidRPr="00F242DD">
              <w:rPr>
                <w:szCs w:val="24"/>
              </w:rPr>
              <w:t xml:space="preserve">Пациенту </w:t>
            </w:r>
            <w:r w:rsidR="00A73F31" w:rsidRPr="00F242DD">
              <w:rPr>
                <w:szCs w:val="24"/>
              </w:rPr>
              <w:t>с подозрением на ММ или выявленной ММ при первичном или повторном приеме, при контрольных обследованиях и при подозрении на рецидив заболевания</w:t>
            </w:r>
            <w:r w:rsidRPr="00F242DD">
              <w:rPr>
                <w:szCs w:val="24"/>
              </w:rPr>
              <w:t xml:space="preserve"> выполнено </w:t>
            </w:r>
            <w:r w:rsidR="00A73F31" w:rsidRPr="00F242DD">
              <w:rPr>
                <w:szCs w:val="24"/>
              </w:rPr>
              <w:t>определ</w:t>
            </w:r>
            <w:r w:rsidRPr="00F242DD">
              <w:rPr>
                <w:szCs w:val="24"/>
              </w:rPr>
              <w:t>ение</w:t>
            </w:r>
            <w:r w:rsidR="00A73F31" w:rsidRPr="00F242DD">
              <w:rPr>
                <w:szCs w:val="24"/>
              </w:rPr>
              <w:t xml:space="preserve"> соотношени</w:t>
            </w:r>
            <w:r w:rsidRPr="00F242DD">
              <w:rPr>
                <w:szCs w:val="24"/>
              </w:rPr>
              <w:t>я</w:t>
            </w:r>
            <w:r w:rsidR="00A73F31" w:rsidRPr="00F242DD">
              <w:rPr>
                <w:szCs w:val="24"/>
              </w:rPr>
              <w:t xml:space="preserve"> белковых фракций в крови</w:t>
            </w:r>
            <w:r w:rsidR="00697269" w:rsidRPr="00F242DD">
              <w:rPr>
                <w:szCs w:val="24"/>
              </w:rPr>
              <w:t xml:space="preserve"> и моче</w:t>
            </w:r>
            <w:r w:rsidR="00A73F31" w:rsidRPr="00F242DD">
              <w:rPr>
                <w:szCs w:val="24"/>
              </w:rPr>
              <w:t xml:space="preserve"> методо</w:t>
            </w:r>
            <w:r w:rsidR="00AB72AF" w:rsidRPr="00F242DD">
              <w:rPr>
                <w:szCs w:val="24"/>
              </w:rPr>
              <w:t>м электрофореза</w:t>
            </w:r>
          </w:p>
        </w:tc>
        <w:tc>
          <w:tcPr>
            <w:tcW w:w="1276" w:type="dxa"/>
            <w:tcBorders>
              <w:top w:val="single" w:sz="6" w:space="0" w:color="000000"/>
              <w:left w:val="single" w:sz="6" w:space="0" w:color="000000"/>
              <w:bottom w:val="single" w:sz="6" w:space="0" w:color="000000"/>
              <w:right w:val="single" w:sz="6" w:space="0" w:color="000000"/>
            </w:tcBorders>
            <w:vAlign w:val="center"/>
          </w:tcPr>
          <w:p w14:paraId="1CBE3B42" w14:textId="77777777" w:rsidR="00196228" w:rsidRPr="00F242DD" w:rsidRDefault="00A73F31" w:rsidP="002431B5">
            <w:pPr>
              <w:pStyle w:val="a4"/>
              <w:spacing w:before="0" w:beforeAutospacing="0" w:after="0" w:afterAutospacing="0" w:line="240" w:lineRule="auto"/>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48F40DB8" w14:textId="77777777" w:rsidR="00196228" w:rsidRPr="00F242DD" w:rsidRDefault="00A73F31" w:rsidP="002431B5">
            <w:pPr>
              <w:pStyle w:val="a4"/>
              <w:spacing w:before="0" w:beforeAutospacing="0" w:after="0" w:afterAutospacing="0" w:line="240" w:lineRule="auto"/>
              <w:jc w:val="center"/>
            </w:pPr>
            <w:r w:rsidRPr="00F242DD">
              <w:t>С</w:t>
            </w:r>
          </w:p>
        </w:tc>
      </w:tr>
      <w:tr w:rsidR="0040125D" w:rsidRPr="00F242DD" w14:paraId="7E06B88D"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236B6159" w14:textId="77777777" w:rsidR="0040125D" w:rsidRPr="00F242DD" w:rsidRDefault="00A73F31" w:rsidP="002431B5">
            <w:pPr>
              <w:pStyle w:val="a4"/>
              <w:spacing w:before="0" w:beforeAutospacing="0" w:after="0" w:afterAutospacing="0" w:line="360" w:lineRule="auto"/>
            </w:pPr>
            <w:r w:rsidRPr="00F242DD">
              <w:t>5</w:t>
            </w:r>
          </w:p>
        </w:tc>
        <w:tc>
          <w:tcPr>
            <w:tcW w:w="7371" w:type="dxa"/>
            <w:tcBorders>
              <w:top w:val="single" w:sz="6" w:space="0" w:color="000000"/>
              <w:left w:val="single" w:sz="6" w:space="0" w:color="000000"/>
              <w:bottom w:val="single" w:sz="6" w:space="0" w:color="000000"/>
              <w:right w:val="single" w:sz="6" w:space="0" w:color="000000"/>
            </w:tcBorders>
            <w:vAlign w:val="center"/>
          </w:tcPr>
          <w:p w14:paraId="69825F88" w14:textId="77777777" w:rsidR="0040125D" w:rsidRPr="00F242DD" w:rsidRDefault="00331D28" w:rsidP="002431B5">
            <w:pPr>
              <w:pStyle w:val="a6"/>
              <w:numPr>
                <w:ilvl w:val="1"/>
                <w:numId w:val="2"/>
              </w:numPr>
              <w:spacing w:before="0" w:after="0" w:line="240" w:lineRule="auto"/>
              <w:ind w:left="0" w:firstLine="0"/>
              <w:rPr>
                <w:b/>
                <w:szCs w:val="24"/>
              </w:rPr>
            </w:pPr>
            <w:r w:rsidRPr="00F242DD">
              <w:rPr>
                <w:szCs w:val="24"/>
              </w:rPr>
              <w:t xml:space="preserve">Пациенту </w:t>
            </w:r>
            <w:r w:rsidR="00A73F31" w:rsidRPr="00F242DD">
              <w:rPr>
                <w:szCs w:val="24"/>
              </w:rPr>
              <w:t>с подозрением на ММ или выявленной ММ при первичном или повторном приеме, при контрольных обследованиях и при подозрении на рецидив заболевания</w:t>
            </w:r>
            <w:r w:rsidRPr="00F242DD">
              <w:rPr>
                <w:szCs w:val="24"/>
              </w:rPr>
              <w:t xml:space="preserve"> выполнено </w:t>
            </w:r>
            <w:r w:rsidR="00A73F31" w:rsidRPr="00F242DD">
              <w:rPr>
                <w:szCs w:val="24"/>
              </w:rPr>
              <w:t>исследование моноклональности иммуноглобулинов в крови</w:t>
            </w:r>
            <w:r w:rsidR="00697269" w:rsidRPr="00F242DD">
              <w:rPr>
                <w:szCs w:val="24"/>
              </w:rPr>
              <w:t xml:space="preserve"> и моче</w:t>
            </w:r>
            <w:r w:rsidR="00A73F31" w:rsidRPr="00F242DD">
              <w:rPr>
                <w:szCs w:val="24"/>
              </w:rPr>
              <w:t xml:space="preserve"> методом иммунофиксации с количественным определением уровня М-градиента</w:t>
            </w:r>
            <w:r w:rsidR="0076263A" w:rsidRPr="00F242DD">
              <w:rPr>
                <w:szCs w:val="24"/>
              </w:rPr>
              <w:t xml:space="preserve"> </w:t>
            </w:r>
            <w:r w:rsidR="008B30C2" w:rsidRPr="00F242DD">
              <w:rPr>
                <w:rFonts w:eastAsia="Times New Roman"/>
              </w:rPr>
              <w:t xml:space="preserve">(и </w:t>
            </w:r>
            <w:r w:rsidR="009D3B20" w:rsidRPr="00F242DD">
              <w:rPr>
                <w:rFonts w:eastAsia="Times New Roman"/>
                <w:lang w:val="en-US"/>
              </w:rPr>
              <w:t>β</w:t>
            </w:r>
            <w:r w:rsidR="009D3B20" w:rsidRPr="00F242DD">
              <w:rPr>
                <w:rFonts w:eastAsia="Times New Roman"/>
              </w:rPr>
              <w:t>2-микроглобулин</w:t>
            </w:r>
            <w:r w:rsidR="008B30C2" w:rsidRPr="00F242DD">
              <w:rPr>
                <w:rFonts w:eastAsia="Times New Roman"/>
              </w:rPr>
              <w:t>а при диагностике)</w:t>
            </w:r>
          </w:p>
        </w:tc>
        <w:tc>
          <w:tcPr>
            <w:tcW w:w="1276" w:type="dxa"/>
            <w:tcBorders>
              <w:top w:val="single" w:sz="6" w:space="0" w:color="000000"/>
              <w:left w:val="single" w:sz="6" w:space="0" w:color="000000"/>
              <w:bottom w:val="single" w:sz="6" w:space="0" w:color="000000"/>
              <w:right w:val="single" w:sz="6" w:space="0" w:color="000000"/>
            </w:tcBorders>
            <w:vAlign w:val="center"/>
          </w:tcPr>
          <w:p w14:paraId="4997DA31" w14:textId="77777777" w:rsidR="0040125D" w:rsidRPr="00F242DD" w:rsidRDefault="00A73F31" w:rsidP="002431B5">
            <w:pPr>
              <w:pStyle w:val="a4"/>
              <w:spacing w:before="0" w:beforeAutospacing="0" w:after="0" w:afterAutospacing="0" w:line="240" w:lineRule="auto"/>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619A7851" w14:textId="77777777" w:rsidR="0040125D" w:rsidRPr="00F242DD" w:rsidRDefault="00A73F31" w:rsidP="002431B5">
            <w:pPr>
              <w:pStyle w:val="a4"/>
              <w:spacing w:before="0" w:beforeAutospacing="0" w:after="0" w:afterAutospacing="0" w:line="240" w:lineRule="auto"/>
              <w:jc w:val="center"/>
            </w:pPr>
            <w:r w:rsidRPr="00F242DD">
              <w:t>С</w:t>
            </w:r>
          </w:p>
        </w:tc>
      </w:tr>
      <w:tr w:rsidR="0040125D" w:rsidRPr="00F242DD" w14:paraId="4EBB7E18"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62E30676" w14:textId="77777777" w:rsidR="0040125D" w:rsidRPr="00F242DD" w:rsidRDefault="00331D28" w:rsidP="002431B5">
            <w:pPr>
              <w:pStyle w:val="a4"/>
              <w:spacing w:before="0" w:beforeAutospacing="0" w:after="0" w:afterAutospacing="0" w:line="360" w:lineRule="auto"/>
            </w:pPr>
            <w:r w:rsidRPr="00F242DD">
              <w:t>6</w:t>
            </w:r>
          </w:p>
        </w:tc>
        <w:tc>
          <w:tcPr>
            <w:tcW w:w="7371" w:type="dxa"/>
            <w:tcBorders>
              <w:top w:val="single" w:sz="6" w:space="0" w:color="000000"/>
              <w:left w:val="single" w:sz="6" w:space="0" w:color="000000"/>
              <w:bottom w:val="single" w:sz="6" w:space="0" w:color="000000"/>
              <w:right w:val="single" w:sz="6" w:space="0" w:color="000000"/>
            </w:tcBorders>
            <w:vAlign w:val="center"/>
          </w:tcPr>
          <w:p w14:paraId="3A7BC5D8" w14:textId="11B47235" w:rsidR="0040125D" w:rsidRPr="00F242DD" w:rsidRDefault="00331D28" w:rsidP="004F56A1">
            <w:pPr>
              <w:spacing w:before="0" w:after="0" w:line="240" w:lineRule="auto"/>
              <w:rPr>
                <w:szCs w:val="24"/>
              </w:rPr>
            </w:pPr>
            <w:r w:rsidRPr="00F242DD">
              <w:rPr>
                <w:szCs w:val="24"/>
              </w:rPr>
              <w:t>П</w:t>
            </w:r>
            <w:r w:rsidR="00270347" w:rsidRPr="00F242DD">
              <w:rPr>
                <w:szCs w:val="24"/>
              </w:rPr>
              <w:t>ациент</w:t>
            </w:r>
            <w:r w:rsidRPr="00F242DD">
              <w:rPr>
                <w:szCs w:val="24"/>
              </w:rPr>
              <w:t>у</w:t>
            </w:r>
            <w:r w:rsidR="00270347" w:rsidRPr="00F242DD">
              <w:rPr>
                <w:szCs w:val="24"/>
              </w:rPr>
              <w:t xml:space="preserve"> с подозрением на ММ или выявленной ММ при первичном приеме, при подозрении на рецидив заболевания</w:t>
            </w:r>
            <w:r w:rsidRPr="00F242DD">
              <w:rPr>
                <w:szCs w:val="24"/>
              </w:rPr>
              <w:t xml:space="preserve"> выполнено</w:t>
            </w:r>
            <w:r w:rsidR="00270347" w:rsidRPr="00F242DD">
              <w:rPr>
                <w:szCs w:val="24"/>
              </w:rPr>
              <w:t xml:space="preserve"> </w:t>
            </w:r>
            <w:r w:rsidR="004F56A1">
              <w:t xml:space="preserve">паталогоанатомическое исследование </w:t>
            </w:r>
            <w:r w:rsidR="004F56A1" w:rsidRPr="00C528FA">
              <w:t>биопсийного (операционного) материала костного мозга</w:t>
            </w:r>
            <w:r w:rsidR="004F56A1">
              <w:rPr>
                <w:szCs w:val="24"/>
              </w:rPr>
              <w:t xml:space="preserve"> </w:t>
            </w:r>
            <w:r w:rsidR="00A679A5">
              <w:rPr>
                <w:szCs w:val="24"/>
              </w:rPr>
              <w:t>(</w:t>
            </w:r>
            <w:r w:rsidR="00A679A5" w:rsidRPr="00C528FA">
              <w:rPr>
                <w:szCs w:val="24"/>
              </w:rPr>
              <w:t>при необходимости</w:t>
            </w:r>
            <w:r w:rsidR="007B4710" w:rsidRPr="00F242DD">
              <w:rPr>
                <w:szCs w:val="24"/>
              </w:rPr>
              <w:t xml:space="preserve"> с применением иммуногистохимических методов</w:t>
            </w:r>
            <w:r w:rsidR="00A679A5">
              <w:rPr>
                <w:szCs w:val="24"/>
              </w:rPr>
              <w:t>)</w:t>
            </w:r>
            <w:r w:rsidR="00270347" w:rsidRPr="00F242DD">
              <w:rPr>
                <w:szCs w:val="24"/>
              </w:rPr>
              <w:t xml:space="preserve"> для подтверж</w:t>
            </w:r>
            <w:r w:rsidR="00AB72AF" w:rsidRPr="00F242DD">
              <w:rPr>
                <w:szCs w:val="24"/>
              </w:rPr>
              <w:t>дения и формулирования диагноза</w:t>
            </w:r>
          </w:p>
        </w:tc>
        <w:tc>
          <w:tcPr>
            <w:tcW w:w="1276" w:type="dxa"/>
            <w:tcBorders>
              <w:top w:val="single" w:sz="6" w:space="0" w:color="000000"/>
              <w:left w:val="single" w:sz="6" w:space="0" w:color="000000"/>
              <w:bottom w:val="single" w:sz="6" w:space="0" w:color="000000"/>
              <w:right w:val="single" w:sz="6" w:space="0" w:color="000000"/>
            </w:tcBorders>
            <w:vAlign w:val="center"/>
          </w:tcPr>
          <w:p w14:paraId="3961B54D" w14:textId="77777777" w:rsidR="0040125D" w:rsidRPr="00F242DD" w:rsidRDefault="00270347" w:rsidP="002431B5">
            <w:pPr>
              <w:pStyle w:val="a4"/>
              <w:spacing w:before="0" w:beforeAutospacing="0" w:after="0" w:afterAutospacing="0" w:line="240" w:lineRule="auto"/>
              <w:jc w:val="center"/>
            </w:pPr>
            <w:r w:rsidRPr="00F242DD">
              <w:t>2</w:t>
            </w:r>
          </w:p>
        </w:tc>
        <w:tc>
          <w:tcPr>
            <w:tcW w:w="1388" w:type="dxa"/>
            <w:tcBorders>
              <w:top w:val="single" w:sz="6" w:space="0" w:color="000000"/>
              <w:left w:val="single" w:sz="6" w:space="0" w:color="000000"/>
              <w:bottom w:val="single" w:sz="6" w:space="0" w:color="000000"/>
              <w:right w:val="single" w:sz="6" w:space="0" w:color="000000"/>
            </w:tcBorders>
            <w:vAlign w:val="center"/>
          </w:tcPr>
          <w:p w14:paraId="74752FE6" w14:textId="77777777" w:rsidR="0040125D" w:rsidRPr="00F242DD" w:rsidRDefault="00270347" w:rsidP="002431B5">
            <w:pPr>
              <w:pStyle w:val="a4"/>
              <w:spacing w:before="0" w:beforeAutospacing="0" w:after="0" w:afterAutospacing="0" w:line="240" w:lineRule="auto"/>
              <w:jc w:val="center"/>
            </w:pPr>
            <w:r w:rsidRPr="00F242DD">
              <w:t>В</w:t>
            </w:r>
          </w:p>
        </w:tc>
      </w:tr>
      <w:tr w:rsidR="0040125D" w:rsidRPr="00F242DD" w14:paraId="4E7D6628"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09E13C28" w14:textId="77777777" w:rsidR="0040125D" w:rsidRPr="00F242DD" w:rsidRDefault="00331D28" w:rsidP="002431B5">
            <w:pPr>
              <w:pStyle w:val="a4"/>
              <w:spacing w:before="0" w:beforeAutospacing="0" w:after="0" w:afterAutospacing="0" w:line="360" w:lineRule="auto"/>
            </w:pPr>
            <w:r w:rsidRPr="00F242DD">
              <w:t>7</w:t>
            </w:r>
          </w:p>
        </w:tc>
        <w:tc>
          <w:tcPr>
            <w:tcW w:w="7371" w:type="dxa"/>
            <w:tcBorders>
              <w:top w:val="single" w:sz="6" w:space="0" w:color="000000"/>
              <w:left w:val="single" w:sz="6" w:space="0" w:color="000000"/>
              <w:bottom w:val="single" w:sz="6" w:space="0" w:color="000000"/>
              <w:right w:val="single" w:sz="6" w:space="0" w:color="000000"/>
            </w:tcBorders>
            <w:vAlign w:val="center"/>
          </w:tcPr>
          <w:p w14:paraId="20CD916A" w14:textId="77777777" w:rsidR="0040125D" w:rsidRPr="00F242DD" w:rsidRDefault="00331D28" w:rsidP="002431B5">
            <w:pPr>
              <w:spacing w:before="0" w:after="0" w:line="240" w:lineRule="auto"/>
              <w:rPr>
                <w:szCs w:val="24"/>
              </w:rPr>
            </w:pPr>
            <w:r w:rsidRPr="00F242DD">
              <w:rPr>
                <w:szCs w:val="24"/>
              </w:rPr>
              <w:t>П</w:t>
            </w:r>
            <w:r w:rsidR="00D40466" w:rsidRPr="00F242DD">
              <w:rPr>
                <w:szCs w:val="24"/>
              </w:rPr>
              <w:t>ациент</w:t>
            </w:r>
            <w:r w:rsidRPr="00F242DD">
              <w:rPr>
                <w:szCs w:val="24"/>
              </w:rPr>
              <w:t>у</w:t>
            </w:r>
            <w:r w:rsidR="00D40466" w:rsidRPr="00F242DD">
              <w:rPr>
                <w:szCs w:val="24"/>
              </w:rPr>
              <w:t xml:space="preserve"> при установке диагноза ММ перед началом терапии, при оценке эффекта терапии, а также при подозрении на рецидив заболевания</w:t>
            </w:r>
            <w:r w:rsidRPr="00F242DD">
              <w:rPr>
                <w:szCs w:val="24"/>
              </w:rPr>
              <w:t xml:space="preserve"> выполнена </w:t>
            </w:r>
            <w:r w:rsidR="003F68DD" w:rsidRPr="00F242DD">
              <w:rPr>
                <w:szCs w:val="24"/>
              </w:rPr>
              <w:t>КТ</w:t>
            </w:r>
            <w:r w:rsidR="00D40466" w:rsidRPr="00F242DD">
              <w:rPr>
                <w:szCs w:val="24"/>
              </w:rPr>
              <w:t xml:space="preserve"> всех отделов позвоночника, грудной клетки, таза (предпочтение отдается низкодозной </w:t>
            </w:r>
            <w:r w:rsidR="003F68DD" w:rsidRPr="00F242DD">
              <w:rPr>
                <w:szCs w:val="24"/>
              </w:rPr>
              <w:t>КТ</w:t>
            </w:r>
            <w:r w:rsidR="00D40466" w:rsidRPr="00F242DD">
              <w:rPr>
                <w:szCs w:val="24"/>
              </w:rPr>
              <w:t xml:space="preserve"> всего скелета) </w:t>
            </w:r>
            <w:r w:rsidR="000103FE" w:rsidRPr="00F242DD">
              <w:rPr>
                <w:szCs w:val="24"/>
              </w:rPr>
              <w:t xml:space="preserve">или </w:t>
            </w:r>
            <w:r w:rsidR="00D40466" w:rsidRPr="00F242DD">
              <w:rPr>
                <w:szCs w:val="24"/>
              </w:rPr>
              <w:t>рентгенологическое исследование костей (включая череп, грудную клетку, все отделы позвоночника, т</w:t>
            </w:r>
            <w:r w:rsidR="003F68DD" w:rsidRPr="00F242DD">
              <w:rPr>
                <w:szCs w:val="24"/>
              </w:rPr>
              <w:t>аз, плечевые и бедренные кости)</w:t>
            </w:r>
          </w:p>
        </w:tc>
        <w:tc>
          <w:tcPr>
            <w:tcW w:w="1276" w:type="dxa"/>
            <w:tcBorders>
              <w:top w:val="single" w:sz="6" w:space="0" w:color="000000"/>
              <w:left w:val="single" w:sz="6" w:space="0" w:color="000000"/>
              <w:bottom w:val="single" w:sz="6" w:space="0" w:color="000000"/>
              <w:right w:val="single" w:sz="6" w:space="0" w:color="000000"/>
            </w:tcBorders>
            <w:vAlign w:val="center"/>
          </w:tcPr>
          <w:p w14:paraId="095062E8" w14:textId="77777777" w:rsidR="0040125D" w:rsidRPr="00F242DD" w:rsidRDefault="00D40466" w:rsidP="002431B5">
            <w:pPr>
              <w:pStyle w:val="a4"/>
              <w:spacing w:before="0" w:beforeAutospacing="0" w:after="0" w:afterAutospacing="0" w:line="240" w:lineRule="auto"/>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6BEF1820" w14:textId="77777777" w:rsidR="0040125D" w:rsidRPr="00F242DD" w:rsidRDefault="00D40466" w:rsidP="002431B5">
            <w:pPr>
              <w:pStyle w:val="a4"/>
              <w:spacing w:before="0" w:beforeAutospacing="0" w:after="0" w:afterAutospacing="0" w:line="240" w:lineRule="auto"/>
              <w:jc w:val="center"/>
            </w:pPr>
            <w:r w:rsidRPr="00F242DD">
              <w:t>С</w:t>
            </w:r>
          </w:p>
        </w:tc>
      </w:tr>
      <w:tr w:rsidR="00270347" w:rsidRPr="00F242DD" w14:paraId="2AE808B1"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3BC4E0FA" w14:textId="77777777" w:rsidR="00270347" w:rsidRPr="00F242DD" w:rsidRDefault="00331D28" w:rsidP="002431B5">
            <w:pPr>
              <w:pStyle w:val="a4"/>
              <w:spacing w:before="0" w:beforeAutospacing="0" w:after="0" w:afterAutospacing="0" w:line="360" w:lineRule="auto"/>
            </w:pPr>
            <w:r w:rsidRPr="00F242DD">
              <w:t>8</w:t>
            </w:r>
          </w:p>
        </w:tc>
        <w:tc>
          <w:tcPr>
            <w:tcW w:w="7371" w:type="dxa"/>
            <w:tcBorders>
              <w:top w:val="single" w:sz="6" w:space="0" w:color="000000"/>
              <w:left w:val="single" w:sz="6" w:space="0" w:color="000000"/>
              <w:bottom w:val="single" w:sz="6" w:space="0" w:color="000000"/>
              <w:right w:val="single" w:sz="6" w:space="0" w:color="000000"/>
            </w:tcBorders>
            <w:vAlign w:val="center"/>
          </w:tcPr>
          <w:p w14:paraId="0AF7A580" w14:textId="77777777" w:rsidR="00270347" w:rsidRPr="00F242DD" w:rsidRDefault="00D40466" w:rsidP="002431B5">
            <w:pPr>
              <w:spacing w:before="0" w:after="0" w:line="240" w:lineRule="auto"/>
              <w:rPr>
                <w:szCs w:val="24"/>
              </w:rPr>
            </w:pPr>
            <w:r w:rsidRPr="00F242DD">
              <w:rPr>
                <w:szCs w:val="24"/>
              </w:rPr>
              <w:t>Пациент</w:t>
            </w:r>
            <w:r w:rsidR="00FB327B" w:rsidRPr="00F242DD">
              <w:rPr>
                <w:szCs w:val="24"/>
              </w:rPr>
              <w:t>у</w:t>
            </w:r>
            <w:r w:rsidRPr="00F242DD">
              <w:rPr>
                <w:szCs w:val="24"/>
              </w:rPr>
              <w:t xml:space="preserve"> с симптоматической </w:t>
            </w:r>
            <w:r w:rsidR="003F68DD" w:rsidRPr="00F242DD">
              <w:rPr>
                <w:szCs w:val="24"/>
              </w:rPr>
              <w:t>ММ</w:t>
            </w:r>
            <w:r w:rsidRPr="00F242DD">
              <w:rPr>
                <w:szCs w:val="24"/>
              </w:rPr>
              <w:t xml:space="preserve"> нача</w:t>
            </w:r>
            <w:r w:rsidR="00FB327B" w:rsidRPr="00F242DD">
              <w:rPr>
                <w:szCs w:val="24"/>
              </w:rPr>
              <w:t>то проведение</w:t>
            </w:r>
            <w:r w:rsidRPr="00F242DD">
              <w:rPr>
                <w:szCs w:val="24"/>
              </w:rPr>
              <w:t xml:space="preserve"> специфи</w:t>
            </w:r>
            <w:r w:rsidR="003F68DD" w:rsidRPr="00F242DD">
              <w:rPr>
                <w:szCs w:val="24"/>
              </w:rPr>
              <w:t>ческой противомиеломной терапии</w:t>
            </w:r>
          </w:p>
        </w:tc>
        <w:tc>
          <w:tcPr>
            <w:tcW w:w="1276" w:type="dxa"/>
            <w:tcBorders>
              <w:top w:val="single" w:sz="6" w:space="0" w:color="000000"/>
              <w:left w:val="single" w:sz="6" w:space="0" w:color="000000"/>
              <w:bottom w:val="single" w:sz="6" w:space="0" w:color="000000"/>
              <w:right w:val="single" w:sz="6" w:space="0" w:color="000000"/>
            </w:tcBorders>
            <w:vAlign w:val="center"/>
          </w:tcPr>
          <w:p w14:paraId="5994C856" w14:textId="77777777" w:rsidR="00270347" w:rsidRPr="00F242DD" w:rsidRDefault="00D40466" w:rsidP="002431B5">
            <w:pPr>
              <w:pStyle w:val="a4"/>
              <w:spacing w:before="0" w:beforeAutospacing="0" w:after="0" w:afterAutospacing="0" w:line="240" w:lineRule="auto"/>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3BD664DB" w14:textId="77777777" w:rsidR="00270347" w:rsidRPr="00F242DD" w:rsidRDefault="00D40466" w:rsidP="002431B5">
            <w:pPr>
              <w:pStyle w:val="a4"/>
              <w:spacing w:before="0" w:beforeAutospacing="0" w:after="0" w:afterAutospacing="0" w:line="240" w:lineRule="auto"/>
              <w:jc w:val="center"/>
            </w:pPr>
            <w:r w:rsidRPr="00F242DD">
              <w:t>С</w:t>
            </w:r>
          </w:p>
        </w:tc>
      </w:tr>
      <w:tr w:rsidR="00270347" w:rsidRPr="00F242DD" w14:paraId="048EB6D6"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22A22DB1" w14:textId="77777777" w:rsidR="00270347" w:rsidRPr="00F242DD" w:rsidRDefault="00331D28" w:rsidP="002431B5">
            <w:pPr>
              <w:pStyle w:val="a4"/>
              <w:spacing w:before="0" w:beforeAutospacing="0" w:after="0" w:afterAutospacing="0" w:line="360" w:lineRule="auto"/>
            </w:pPr>
            <w:r w:rsidRPr="00F242DD">
              <w:lastRenderedPageBreak/>
              <w:t>9</w:t>
            </w:r>
          </w:p>
        </w:tc>
        <w:tc>
          <w:tcPr>
            <w:tcW w:w="7371" w:type="dxa"/>
            <w:tcBorders>
              <w:top w:val="single" w:sz="6" w:space="0" w:color="000000"/>
              <w:left w:val="single" w:sz="6" w:space="0" w:color="000000"/>
              <w:bottom w:val="single" w:sz="6" w:space="0" w:color="000000"/>
              <w:right w:val="single" w:sz="6" w:space="0" w:color="000000"/>
            </w:tcBorders>
            <w:vAlign w:val="center"/>
          </w:tcPr>
          <w:p w14:paraId="42BFAC67" w14:textId="77777777" w:rsidR="00270347" w:rsidRPr="00F242DD" w:rsidRDefault="00D40466" w:rsidP="002431B5">
            <w:pPr>
              <w:tabs>
                <w:tab w:val="num" w:pos="709"/>
              </w:tabs>
              <w:spacing w:before="0" w:after="0" w:line="240" w:lineRule="auto"/>
              <w:rPr>
                <w:b/>
                <w:szCs w:val="24"/>
              </w:rPr>
            </w:pPr>
            <w:r w:rsidRPr="00F242DD">
              <w:rPr>
                <w:szCs w:val="24"/>
              </w:rPr>
              <w:t>Пациент</w:t>
            </w:r>
            <w:r w:rsidR="00FB327B" w:rsidRPr="00F242DD">
              <w:rPr>
                <w:szCs w:val="24"/>
              </w:rPr>
              <w:t>у</w:t>
            </w:r>
            <w:r w:rsidRPr="00F242DD">
              <w:rPr>
                <w:szCs w:val="24"/>
              </w:rPr>
              <w:t xml:space="preserve"> с признаками клинического рецидива, а также при быстром нарастании парапротеина (удвоение содержания М-градиента в течение 2 мес</w:t>
            </w:r>
            <w:r w:rsidR="00E778E9" w:rsidRPr="00F242DD">
              <w:rPr>
                <w:szCs w:val="24"/>
              </w:rPr>
              <w:t>.</w:t>
            </w:r>
            <w:r w:rsidRPr="00F242DD">
              <w:rPr>
                <w:szCs w:val="24"/>
              </w:rPr>
              <w:t xml:space="preserve">) </w:t>
            </w:r>
            <w:r w:rsidR="00FB327B" w:rsidRPr="00F242DD">
              <w:rPr>
                <w:szCs w:val="24"/>
              </w:rPr>
              <w:t xml:space="preserve">начато проведение </w:t>
            </w:r>
            <w:r w:rsidRPr="00F242DD">
              <w:rPr>
                <w:szCs w:val="24"/>
              </w:rPr>
              <w:t>противорецидивн</w:t>
            </w:r>
            <w:r w:rsidR="00FB327B" w:rsidRPr="00F242DD">
              <w:rPr>
                <w:szCs w:val="24"/>
              </w:rPr>
              <w:t>ой</w:t>
            </w:r>
            <w:r w:rsidRPr="00F242DD">
              <w:rPr>
                <w:szCs w:val="24"/>
              </w:rPr>
              <w:t xml:space="preserve"> терапи</w:t>
            </w:r>
            <w:r w:rsidR="0076263A" w:rsidRPr="00F242DD">
              <w:rPr>
                <w:szCs w:val="24"/>
              </w:rPr>
              <w:t>и</w:t>
            </w:r>
          </w:p>
        </w:tc>
        <w:tc>
          <w:tcPr>
            <w:tcW w:w="1276" w:type="dxa"/>
            <w:tcBorders>
              <w:top w:val="single" w:sz="6" w:space="0" w:color="000000"/>
              <w:left w:val="single" w:sz="6" w:space="0" w:color="000000"/>
              <w:bottom w:val="single" w:sz="6" w:space="0" w:color="000000"/>
              <w:right w:val="single" w:sz="6" w:space="0" w:color="000000"/>
            </w:tcBorders>
            <w:vAlign w:val="center"/>
          </w:tcPr>
          <w:p w14:paraId="4E45C1BC" w14:textId="77777777" w:rsidR="00270347" w:rsidRPr="00F242DD" w:rsidRDefault="00D40466" w:rsidP="002431B5">
            <w:pPr>
              <w:pStyle w:val="a4"/>
              <w:spacing w:before="0" w:beforeAutospacing="0" w:after="0" w:afterAutospacing="0" w:line="240" w:lineRule="auto"/>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65262CBA" w14:textId="77777777" w:rsidR="00270347" w:rsidRPr="00F242DD" w:rsidRDefault="00D40466" w:rsidP="002431B5">
            <w:pPr>
              <w:pStyle w:val="a4"/>
              <w:spacing w:before="0" w:beforeAutospacing="0" w:after="0" w:afterAutospacing="0" w:line="240" w:lineRule="auto"/>
              <w:jc w:val="center"/>
            </w:pPr>
            <w:r w:rsidRPr="00F242DD">
              <w:t>С</w:t>
            </w:r>
          </w:p>
        </w:tc>
      </w:tr>
      <w:tr w:rsidR="00270347" w:rsidRPr="00F242DD" w14:paraId="38A7FA6F"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7208EC5B" w14:textId="77777777" w:rsidR="00270347" w:rsidRPr="00F242DD" w:rsidRDefault="00931752" w:rsidP="002431B5">
            <w:pPr>
              <w:pStyle w:val="a4"/>
              <w:spacing w:before="0" w:beforeAutospacing="0" w:after="0" w:afterAutospacing="0" w:line="360" w:lineRule="auto"/>
            </w:pPr>
            <w:r w:rsidRPr="00F242DD">
              <w:t>1</w:t>
            </w:r>
            <w:r w:rsidR="00331D28" w:rsidRPr="00F242DD">
              <w:t>0</w:t>
            </w:r>
          </w:p>
        </w:tc>
        <w:tc>
          <w:tcPr>
            <w:tcW w:w="7371" w:type="dxa"/>
            <w:tcBorders>
              <w:top w:val="single" w:sz="6" w:space="0" w:color="000000"/>
              <w:left w:val="single" w:sz="6" w:space="0" w:color="000000"/>
              <w:bottom w:val="single" w:sz="6" w:space="0" w:color="000000"/>
              <w:right w:val="single" w:sz="6" w:space="0" w:color="000000"/>
            </w:tcBorders>
            <w:vAlign w:val="center"/>
          </w:tcPr>
          <w:p w14:paraId="5B605D3D" w14:textId="20648858" w:rsidR="00270347" w:rsidRPr="00F242DD" w:rsidRDefault="00931752" w:rsidP="00317FEF">
            <w:pPr>
              <w:tabs>
                <w:tab w:val="num" w:pos="709"/>
              </w:tabs>
              <w:spacing w:before="0" w:after="0" w:line="240" w:lineRule="auto"/>
              <w:rPr>
                <w:szCs w:val="24"/>
              </w:rPr>
            </w:pPr>
            <w:r w:rsidRPr="00F242DD">
              <w:rPr>
                <w:szCs w:val="24"/>
              </w:rPr>
              <w:t>Пациент</w:t>
            </w:r>
            <w:r w:rsidR="00FB327B" w:rsidRPr="00F242DD">
              <w:rPr>
                <w:szCs w:val="24"/>
              </w:rPr>
              <w:t>у</w:t>
            </w:r>
            <w:r w:rsidRPr="00F242DD">
              <w:rPr>
                <w:szCs w:val="24"/>
              </w:rPr>
              <w:t>, завершивш</w:t>
            </w:r>
            <w:r w:rsidR="00FB327B" w:rsidRPr="00F242DD">
              <w:rPr>
                <w:szCs w:val="24"/>
              </w:rPr>
              <w:t>ему</w:t>
            </w:r>
            <w:r w:rsidRPr="00F242DD">
              <w:rPr>
                <w:szCs w:val="24"/>
              </w:rPr>
              <w:t xml:space="preserve"> запланированное лечение по поводу </w:t>
            </w:r>
            <w:r w:rsidR="003F68DD" w:rsidRPr="00F242DD">
              <w:rPr>
                <w:szCs w:val="24"/>
              </w:rPr>
              <w:t>ММ</w:t>
            </w:r>
            <w:r w:rsidRPr="00F242DD">
              <w:rPr>
                <w:szCs w:val="24"/>
              </w:rPr>
              <w:t xml:space="preserve">, </w:t>
            </w:r>
            <w:r w:rsidR="00FB327B" w:rsidRPr="00F242DD">
              <w:rPr>
                <w:szCs w:val="24"/>
              </w:rPr>
              <w:t xml:space="preserve">выполнена </w:t>
            </w:r>
            <w:r w:rsidRPr="00F242DD">
              <w:rPr>
                <w:szCs w:val="24"/>
              </w:rPr>
              <w:t>оценка эффекта лечения согласно международным критериям, предложенным в 2006 г. и модифицированным в 201</w:t>
            </w:r>
            <w:r w:rsidR="00317FEF">
              <w:rPr>
                <w:szCs w:val="24"/>
              </w:rPr>
              <w:t>6</w:t>
            </w:r>
            <w:r w:rsidRPr="00F242DD">
              <w:rPr>
                <w:szCs w:val="24"/>
              </w:rPr>
              <w:t xml:space="preserve"> г. </w:t>
            </w:r>
          </w:p>
        </w:tc>
        <w:tc>
          <w:tcPr>
            <w:tcW w:w="1276" w:type="dxa"/>
            <w:tcBorders>
              <w:top w:val="single" w:sz="6" w:space="0" w:color="000000"/>
              <w:left w:val="single" w:sz="6" w:space="0" w:color="000000"/>
              <w:bottom w:val="single" w:sz="6" w:space="0" w:color="000000"/>
              <w:right w:val="single" w:sz="6" w:space="0" w:color="000000"/>
            </w:tcBorders>
            <w:vAlign w:val="center"/>
          </w:tcPr>
          <w:p w14:paraId="1AE5C282" w14:textId="77777777" w:rsidR="00270347" w:rsidRPr="00F242DD" w:rsidRDefault="00931752" w:rsidP="002431B5">
            <w:pPr>
              <w:pStyle w:val="a4"/>
              <w:spacing w:before="0" w:beforeAutospacing="0" w:after="0" w:afterAutospacing="0" w:line="240" w:lineRule="auto"/>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7B63A46E" w14:textId="77777777" w:rsidR="00270347" w:rsidRPr="00F242DD" w:rsidRDefault="00931752" w:rsidP="002431B5">
            <w:pPr>
              <w:pStyle w:val="a4"/>
              <w:spacing w:before="0" w:beforeAutospacing="0" w:after="0" w:afterAutospacing="0" w:line="240" w:lineRule="auto"/>
              <w:jc w:val="center"/>
            </w:pPr>
            <w:r w:rsidRPr="00F242DD">
              <w:t>С</w:t>
            </w:r>
          </w:p>
        </w:tc>
      </w:tr>
    </w:tbl>
    <w:p w14:paraId="1F3F5283" w14:textId="77777777" w:rsidR="004D7374" w:rsidRPr="00F242DD" w:rsidRDefault="004D7374" w:rsidP="002431B5">
      <w:pPr>
        <w:spacing w:before="0" w:after="0"/>
      </w:pPr>
    </w:p>
    <w:p w14:paraId="5B4D2B6D" w14:textId="77777777" w:rsidR="004D7374" w:rsidRPr="00F242DD" w:rsidRDefault="004D7374" w:rsidP="002431B5">
      <w:pPr>
        <w:spacing w:before="0" w:after="0"/>
      </w:pPr>
    </w:p>
    <w:p w14:paraId="3A87EB82" w14:textId="77777777" w:rsidR="004D7374" w:rsidRPr="00F242DD" w:rsidRDefault="004D7374" w:rsidP="002431B5">
      <w:pPr>
        <w:spacing w:before="0" w:after="0"/>
      </w:pPr>
    </w:p>
    <w:p w14:paraId="0B62BE2F" w14:textId="77777777" w:rsidR="004D7374" w:rsidRPr="00F242DD" w:rsidRDefault="004D7374" w:rsidP="002431B5">
      <w:pPr>
        <w:spacing w:before="0" w:after="0"/>
      </w:pPr>
    </w:p>
    <w:p w14:paraId="6626D063" w14:textId="77777777" w:rsidR="004D7374" w:rsidRPr="00F242DD" w:rsidRDefault="004D7374" w:rsidP="002431B5">
      <w:pPr>
        <w:spacing w:before="0" w:after="0"/>
      </w:pPr>
    </w:p>
    <w:p w14:paraId="7A155275" w14:textId="77777777" w:rsidR="004D7374" w:rsidRPr="00F242DD" w:rsidRDefault="004D7374" w:rsidP="002431B5">
      <w:pPr>
        <w:spacing w:before="0" w:after="0"/>
      </w:pPr>
    </w:p>
    <w:p w14:paraId="1F09534F" w14:textId="77777777" w:rsidR="004D7374" w:rsidRPr="00F242DD" w:rsidRDefault="004D7374" w:rsidP="002431B5">
      <w:pPr>
        <w:spacing w:before="0" w:after="0"/>
      </w:pPr>
    </w:p>
    <w:p w14:paraId="43CDBA77" w14:textId="77777777" w:rsidR="004D7374" w:rsidRPr="00F242DD" w:rsidRDefault="004D7374" w:rsidP="002431B5">
      <w:pPr>
        <w:pStyle w:val="1"/>
      </w:pPr>
      <w:bookmarkStart w:id="50" w:name="_Toc520213129"/>
      <w:bookmarkStart w:id="51" w:name="_Toc97734642"/>
      <w:r w:rsidRPr="00F242DD">
        <w:lastRenderedPageBreak/>
        <w:t>Список литературы</w:t>
      </w:r>
      <w:bookmarkEnd w:id="50"/>
      <w:bookmarkEnd w:id="51"/>
    </w:p>
    <w:bookmarkStart w:id="52" w:name="_Toc520213130"/>
    <w:p w14:paraId="1171E7CF" w14:textId="06940320" w:rsidR="00E430FD" w:rsidRPr="00B658AE" w:rsidRDefault="00AE58F2" w:rsidP="00E430FD">
      <w:pPr>
        <w:widowControl w:val="0"/>
        <w:autoSpaceDE w:val="0"/>
        <w:autoSpaceDN w:val="0"/>
        <w:adjustRightInd w:val="0"/>
        <w:spacing w:before="0" w:after="0"/>
        <w:ind w:left="640" w:hanging="640"/>
        <w:rPr>
          <w:noProof/>
          <w:lang w:val="en-US"/>
        </w:rPr>
      </w:pPr>
      <w:r>
        <w:fldChar w:fldCharType="begin" w:fldLock="1"/>
      </w:r>
      <w:r w:rsidRPr="009363D0">
        <w:rPr>
          <w:lang w:val="en-US"/>
        </w:rPr>
        <w:instrText>ADDIN</w:instrText>
      </w:r>
      <w:r w:rsidRPr="00261256">
        <w:instrText xml:space="preserve"> </w:instrText>
      </w:r>
      <w:r w:rsidRPr="009363D0">
        <w:rPr>
          <w:lang w:val="en-US"/>
        </w:rPr>
        <w:instrText>Mendeley</w:instrText>
      </w:r>
      <w:r w:rsidRPr="00261256">
        <w:instrText xml:space="preserve"> </w:instrText>
      </w:r>
      <w:r w:rsidRPr="009363D0">
        <w:rPr>
          <w:lang w:val="en-US"/>
        </w:rPr>
        <w:instrText>Bibliography</w:instrText>
      </w:r>
      <w:r w:rsidRPr="00261256">
        <w:instrText xml:space="preserve"> </w:instrText>
      </w:r>
      <w:r w:rsidRPr="009363D0">
        <w:rPr>
          <w:lang w:val="en-US"/>
        </w:rPr>
        <w:instrText>CSL</w:instrText>
      </w:r>
      <w:r w:rsidRPr="00261256">
        <w:instrText>_</w:instrText>
      </w:r>
      <w:r w:rsidRPr="009363D0">
        <w:rPr>
          <w:lang w:val="en-US"/>
        </w:rPr>
        <w:instrText>BIBLIOGRAPHY</w:instrText>
      </w:r>
      <w:r w:rsidRPr="00261256">
        <w:instrText xml:space="preserve"> </w:instrText>
      </w:r>
      <w:r>
        <w:fldChar w:fldCharType="separate"/>
      </w:r>
      <w:r w:rsidR="00E430FD" w:rsidRPr="00E430FD">
        <w:rPr>
          <w:noProof/>
        </w:rPr>
        <w:t>1.</w:t>
      </w:r>
      <w:r w:rsidR="00E430FD" w:rsidRPr="00E430FD">
        <w:rPr>
          <w:noProof/>
        </w:rPr>
        <w:tab/>
        <w:t>Менделеева Л.П., Вотякова О.М., Рехтина И.Г. Множественная миелома. Российские клинические рекомендации по диагностике и лечению злокачественных лимфопролиферативных заболеваний. / ed. Поддубной</w:t>
      </w:r>
      <w:r w:rsidR="00E430FD" w:rsidRPr="00B658AE">
        <w:rPr>
          <w:noProof/>
          <w:lang w:val="en-US"/>
        </w:rPr>
        <w:t xml:space="preserve"> </w:t>
      </w:r>
      <w:r w:rsidR="00E430FD" w:rsidRPr="00E430FD">
        <w:rPr>
          <w:noProof/>
        </w:rPr>
        <w:t>И</w:t>
      </w:r>
      <w:r w:rsidR="00E430FD" w:rsidRPr="00B658AE">
        <w:rPr>
          <w:noProof/>
          <w:lang w:val="en-US"/>
        </w:rPr>
        <w:t>.</w:t>
      </w:r>
      <w:r w:rsidR="00E430FD" w:rsidRPr="00E430FD">
        <w:rPr>
          <w:noProof/>
        </w:rPr>
        <w:t>В</w:t>
      </w:r>
      <w:r w:rsidR="00E430FD" w:rsidRPr="00B658AE">
        <w:rPr>
          <w:noProof/>
          <w:lang w:val="en-US"/>
        </w:rPr>
        <w:t xml:space="preserve">., </w:t>
      </w:r>
      <w:r w:rsidR="00E430FD" w:rsidRPr="00E430FD">
        <w:rPr>
          <w:noProof/>
        </w:rPr>
        <w:t>Савченко</w:t>
      </w:r>
      <w:r w:rsidR="00E430FD" w:rsidRPr="00B658AE">
        <w:rPr>
          <w:noProof/>
          <w:lang w:val="en-US"/>
        </w:rPr>
        <w:t xml:space="preserve"> </w:t>
      </w:r>
      <w:r w:rsidR="00E430FD" w:rsidRPr="00E430FD">
        <w:rPr>
          <w:noProof/>
        </w:rPr>
        <w:t>В</w:t>
      </w:r>
      <w:r w:rsidR="00E430FD" w:rsidRPr="00B658AE">
        <w:rPr>
          <w:noProof/>
          <w:lang w:val="en-US"/>
        </w:rPr>
        <w:t>.</w:t>
      </w:r>
      <w:r w:rsidR="00E430FD" w:rsidRPr="00E430FD">
        <w:rPr>
          <w:noProof/>
        </w:rPr>
        <w:t>Г</w:t>
      </w:r>
      <w:r w:rsidR="00E430FD" w:rsidRPr="00B658AE">
        <w:rPr>
          <w:noProof/>
          <w:lang w:val="en-US"/>
        </w:rPr>
        <w:t xml:space="preserve">. </w:t>
      </w:r>
      <w:r w:rsidR="00E430FD" w:rsidRPr="00E430FD">
        <w:rPr>
          <w:noProof/>
        </w:rPr>
        <w:t>Москва</w:t>
      </w:r>
      <w:r w:rsidR="00E430FD" w:rsidRPr="00B658AE">
        <w:rPr>
          <w:noProof/>
          <w:lang w:val="en-US"/>
        </w:rPr>
        <w:t>, 2018. 213–241 p.</w:t>
      </w:r>
    </w:p>
    <w:p w14:paraId="59D69C55"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w:t>
      </w:r>
      <w:r w:rsidRPr="00B658AE">
        <w:rPr>
          <w:noProof/>
          <w:lang w:val="en-US"/>
        </w:rPr>
        <w:tab/>
        <w:t>Furukawa Y., Kikuchi J. Molecular pathogenesis of multiple myeloma. // Int. J. Clin. Oncol. 2015. Vol. 20, № 3. P. 413–422.</w:t>
      </w:r>
    </w:p>
    <w:p w14:paraId="1938423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3.</w:t>
      </w:r>
      <w:r w:rsidRPr="00B658AE">
        <w:rPr>
          <w:noProof/>
          <w:lang w:val="en-US"/>
        </w:rPr>
        <w:tab/>
        <w:t>Lewis E.B. Leukemia, Multiple Myeloma, and Aplastic Anemia in American Radiologists // Science (80-. ). 1963. Vol. 142, № 3598. P. 1492–1494.</w:t>
      </w:r>
    </w:p>
    <w:p w14:paraId="1E503F6C"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4.</w:t>
      </w:r>
      <w:r w:rsidRPr="00B658AE">
        <w:rPr>
          <w:noProof/>
          <w:lang w:val="en-US"/>
        </w:rPr>
        <w:tab/>
        <w:t>Linet M.S., Harlow S.D., McLaughlin J.K. A case-control study of multiple myeloma in whites: chronic antigenic stimulation, occupation, and drug use. // Cancer Res. 1987. Vol. 47, № 11. P. 2978–2981.</w:t>
      </w:r>
    </w:p>
    <w:p w14:paraId="079DE21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5.</w:t>
      </w:r>
      <w:r w:rsidRPr="00B658AE">
        <w:rPr>
          <w:noProof/>
          <w:lang w:val="en-US"/>
        </w:rPr>
        <w:tab/>
        <w:t>Hallek M., Bergsagel P.L., Anderson K.C. Multiple myeloma: increasing evidence for a multistep transformation process. // Blood. 1998. Vol. 91, № 1. P. 3–21.</w:t>
      </w:r>
    </w:p>
    <w:p w14:paraId="4EF817C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6.</w:t>
      </w:r>
      <w:r w:rsidRPr="00B658AE">
        <w:rPr>
          <w:noProof/>
          <w:lang w:val="en-US"/>
        </w:rPr>
        <w:tab/>
        <w:t>Kuehl W.M., Bergsagel P.L. Molecular pathogenesis of multiple myeloma and its premalignant precursor. // J. Clin. Invest. 2012. Vol. 122, № 10. P. 3456–3463.</w:t>
      </w:r>
    </w:p>
    <w:p w14:paraId="1EB4EB5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7.</w:t>
      </w:r>
      <w:r w:rsidRPr="00B658AE">
        <w:rPr>
          <w:noProof/>
          <w:lang w:val="en-US"/>
        </w:rPr>
        <w:tab/>
        <w:t>Morgan G.J., Walker B.A., Davies F.E. The genetic architecture of multiple myeloma. // Nat. Rev. Cancer. 2012. Vol. 12, № 5. P. 335–348.</w:t>
      </w:r>
    </w:p>
    <w:p w14:paraId="1DB50501"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8.</w:t>
      </w:r>
      <w:r w:rsidRPr="00B658AE">
        <w:rPr>
          <w:noProof/>
          <w:lang w:val="en-US"/>
        </w:rPr>
        <w:tab/>
        <w:t xml:space="preserve">Fonseca R. et al. International Myeloma Working Group molecular classification of multiple myeloma: Spotlight review // Leukemia. </w:t>
      </w:r>
      <w:r w:rsidRPr="00E430FD">
        <w:rPr>
          <w:noProof/>
        </w:rPr>
        <w:t>Nature Publishing Group, 2009. Vol. 23, № 12. P. 2210–2221.</w:t>
      </w:r>
    </w:p>
    <w:p w14:paraId="448DCB22" w14:textId="77777777" w:rsidR="00E430FD" w:rsidRPr="00E430FD" w:rsidRDefault="00E430FD" w:rsidP="00E430FD">
      <w:pPr>
        <w:widowControl w:val="0"/>
        <w:autoSpaceDE w:val="0"/>
        <w:autoSpaceDN w:val="0"/>
        <w:adjustRightInd w:val="0"/>
        <w:spacing w:before="0" w:after="0"/>
        <w:ind w:left="640" w:hanging="640"/>
        <w:rPr>
          <w:noProof/>
        </w:rPr>
      </w:pPr>
      <w:r w:rsidRPr="00E430FD">
        <w:rPr>
          <w:noProof/>
        </w:rPr>
        <w:t>9.</w:t>
      </w:r>
      <w:r w:rsidRPr="00E430FD">
        <w:rPr>
          <w:noProof/>
        </w:rPr>
        <w:tab/>
        <w:t>Злокачественные новообразования в России в 2017 году (заболеваемость и смертность). / ed. Каприна А.Д., Старинского В.В., Петровой Г.В. Москва: МНИОИ им. П.А. Герцена – филиал ФГБУ «НМИЦ радиологии» Минздрава России, 2018. P. 250.</w:t>
      </w:r>
    </w:p>
    <w:p w14:paraId="0EB6B40B" w14:textId="77777777" w:rsidR="00E430FD" w:rsidRPr="00B658AE" w:rsidRDefault="00E430FD" w:rsidP="00E430FD">
      <w:pPr>
        <w:widowControl w:val="0"/>
        <w:autoSpaceDE w:val="0"/>
        <w:autoSpaceDN w:val="0"/>
        <w:adjustRightInd w:val="0"/>
        <w:spacing w:before="0" w:after="0"/>
        <w:ind w:left="640" w:hanging="640"/>
        <w:rPr>
          <w:noProof/>
          <w:lang w:val="en-US"/>
        </w:rPr>
      </w:pPr>
      <w:r w:rsidRPr="00E430FD">
        <w:rPr>
          <w:noProof/>
        </w:rPr>
        <w:t>10.</w:t>
      </w:r>
      <w:r w:rsidRPr="00E430FD">
        <w:rPr>
          <w:noProof/>
        </w:rPr>
        <w:tab/>
        <w:t xml:space="preserve">Бессмельцев С.С. Множественная миелома // Вестник гематологии. </w:t>
      </w:r>
      <w:r w:rsidRPr="00B658AE">
        <w:rPr>
          <w:noProof/>
          <w:lang w:val="en-US"/>
        </w:rPr>
        <w:t>2014. Vol. 10, № 3. P. 6–39.</w:t>
      </w:r>
    </w:p>
    <w:p w14:paraId="1225B19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11.</w:t>
      </w:r>
      <w:r w:rsidRPr="00B658AE">
        <w:rPr>
          <w:noProof/>
          <w:lang w:val="en-US"/>
        </w:rPr>
        <w:tab/>
        <w:t>Durie B.G.M., Salmon S.E. A clinical staging system for multiple myeloma correlation of measured myeloma cell mass with presenting clinical features, response to treatment, and survival // Cancer. 1975. Vol. 36, № 3. P. 842–854.</w:t>
      </w:r>
    </w:p>
    <w:p w14:paraId="4B19913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12.</w:t>
      </w:r>
      <w:r w:rsidRPr="00B658AE">
        <w:rPr>
          <w:noProof/>
          <w:lang w:val="en-US"/>
        </w:rPr>
        <w:tab/>
        <w:t>Greipp P.R. et al. International staging system for multiple myeloma // J. Clin. Oncol. 2005. Vol. 23, № 15. P. 3412–3420.</w:t>
      </w:r>
    </w:p>
    <w:p w14:paraId="2EE3E14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13.</w:t>
      </w:r>
      <w:r w:rsidRPr="00B658AE">
        <w:rPr>
          <w:noProof/>
          <w:lang w:val="en-US"/>
        </w:rPr>
        <w:tab/>
        <w:t xml:space="preserve">Palumbo A. et al. Revised international staging system for multiple myeloma: A report from </w:t>
      </w:r>
      <w:r w:rsidRPr="00B658AE">
        <w:rPr>
          <w:noProof/>
          <w:lang w:val="en-US"/>
        </w:rPr>
        <w:lastRenderedPageBreak/>
        <w:t>international myeloma working group // J. Clin. Oncol. American Society of Clinical Oncology, 2015. Vol. 33, № 26. P. 2863–2869.</w:t>
      </w:r>
    </w:p>
    <w:p w14:paraId="7745A6B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14.</w:t>
      </w:r>
      <w:r w:rsidRPr="00B658AE">
        <w:rPr>
          <w:noProof/>
          <w:lang w:val="en-US"/>
        </w:rPr>
        <w:tab/>
        <w:t>Kyle R.A., Rajkumar S. V. Criteria for diagnosis, staging, risk stratification and response assessment of multiple myeloma. // Leukemia. 2009. Vol. 23, № 1. P. 3–9.</w:t>
      </w:r>
    </w:p>
    <w:p w14:paraId="4619E9D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15.</w:t>
      </w:r>
      <w:r w:rsidRPr="00B658AE">
        <w:rPr>
          <w:noProof/>
          <w:lang w:val="en-US"/>
        </w:rPr>
        <w:tab/>
        <w:t>Moreau P. et al. Multiple myeloma: ESMO Clinical Practice Guidelines for diagnosis, treatment and follow-up. // Ann. Oncol.  Off. J. Eur. Soc. Med. Oncol. 2017. Vol. 28, № suppl_4. P. iv52–iv61.</w:t>
      </w:r>
    </w:p>
    <w:p w14:paraId="6B2BABE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16.</w:t>
      </w:r>
      <w:r w:rsidRPr="00B658AE">
        <w:rPr>
          <w:noProof/>
          <w:lang w:val="en-US"/>
        </w:rPr>
        <w:tab/>
        <w:t>Rajkumar S.V. et al. International Myeloma Working Group updated criteria for the diagnosis of multiple myeloma // The Lancet Oncology. Lancet Publishing Group, 2014. Vol. 15, № 12. P. e538–e548.</w:t>
      </w:r>
    </w:p>
    <w:p w14:paraId="056E808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17.</w:t>
      </w:r>
      <w:r w:rsidRPr="00B658AE">
        <w:rPr>
          <w:noProof/>
          <w:lang w:val="en-US"/>
        </w:rPr>
        <w:tab/>
        <w:t>Coppola A. et al. Bleeding and thrombosis in multiple myeloma and related plasma cell disorders. // Semin. Thromb. Hemost. 2011. Vol. 37, № 8. P. 929–945.</w:t>
      </w:r>
    </w:p>
    <w:p w14:paraId="7B44A8B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18.</w:t>
      </w:r>
      <w:r w:rsidRPr="00B658AE">
        <w:rPr>
          <w:noProof/>
          <w:lang w:val="en-US"/>
        </w:rPr>
        <w:tab/>
        <w:t>Tripathy S. The role of serum protein electrophoresis in the detection of multiple myeloma: An experience of a corporate hospital // J. Clin. Diagnostic Res. 2012. Vol. 6, № 9. P. 1458–1461.</w:t>
      </w:r>
    </w:p>
    <w:p w14:paraId="14090B69"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19.</w:t>
      </w:r>
      <w:r w:rsidRPr="00B658AE">
        <w:rPr>
          <w:noProof/>
          <w:lang w:val="en-US"/>
        </w:rPr>
        <w:tab/>
        <w:t xml:space="preserve">Misra A. et al. Old but Still Relevant: High Resolution Electrophoresis and Immunofixation in Multiple Myeloma // Indian Journal of Hematology and Blood Transfusion. </w:t>
      </w:r>
      <w:r w:rsidRPr="00E430FD">
        <w:rPr>
          <w:noProof/>
        </w:rPr>
        <w:t>Springer India, 2016. Vol. 32, № 1. P. 10–17.</w:t>
      </w:r>
    </w:p>
    <w:p w14:paraId="3A078519" w14:textId="77777777" w:rsidR="00E430FD" w:rsidRPr="00B658AE" w:rsidRDefault="00E430FD" w:rsidP="00E430FD">
      <w:pPr>
        <w:widowControl w:val="0"/>
        <w:autoSpaceDE w:val="0"/>
        <w:autoSpaceDN w:val="0"/>
        <w:adjustRightInd w:val="0"/>
        <w:spacing w:before="0" w:after="0"/>
        <w:ind w:left="640" w:hanging="640"/>
        <w:rPr>
          <w:noProof/>
          <w:lang w:val="en-US"/>
        </w:rPr>
      </w:pPr>
      <w:r w:rsidRPr="00E430FD">
        <w:rPr>
          <w:noProof/>
        </w:rPr>
        <w:t>20.</w:t>
      </w:r>
      <w:r w:rsidRPr="00E430FD">
        <w:rPr>
          <w:noProof/>
        </w:rPr>
        <w:tab/>
        <w:t xml:space="preserve">Любимова Н.В. et al. Свободные легкие цепи иммуноглобулинов в диагностике и прогнозе множественной миеломы. // Альманах клинической медицины. </w:t>
      </w:r>
      <w:r w:rsidRPr="00B658AE">
        <w:rPr>
          <w:noProof/>
          <w:lang w:val="en-US"/>
        </w:rPr>
        <w:t>2017. Vol. 45, № 2. P. 102–108.</w:t>
      </w:r>
    </w:p>
    <w:p w14:paraId="4D89F4A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21.</w:t>
      </w:r>
      <w:r w:rsidRPr="00B658AE">
        <w:rPr>
          <w:noProof/>
          <w:lang w:val="en-US"/>
        </w:rPr>
        <w:tab/>
        <w:t>Julie D. et al. Comparison of Bone marrow Aspirate and Bone marrow Biopsy in the workup of Patients with Multiple Myeloma // Clin. Lymphoma Myeloma Leuk. Elsevier BV, 2015. Vol. 15. P. e117.</w:t>
      </w:r>
    </w:p>
    <w:p w14:paraId="407AE1EA"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22.</w:t>
      </w:r>
      <w:r w:rsidRPr="00B658AE">
        <w:rPr>
          <w:noProof/>
          <w:lang w:val="en-US"/>
        </w:rPr>
        <w:tab/>
        <w:t>Pianko M.J. et al. Whole-body low-dose computed tomography and advanced imaging techniques for multiple myeloma bone disease // Clinical Cancer Research. American Association for Cancer Research Inc., 2014. Vol. 20, № 23. P. 5888–5897.</w:t>
      </w:r>
    </w:p>
    <w:p w14:paraId="4539998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23.</w:t>
      </w:r>
      <w:r w:rsidRPr="00B658AE">
        <w:rPr>
          <w:noProof/>
          <w:lang w:val="en-US"/>
        </w:rPr>
        <w:tab/>
        <w:t>Cavo M. et al. Role of 18F-FDG PET/CT in the diagnosis and management of multiple myeloma and other plasma cell disorders: a consensus statement by the International Myeloma Working Group // The Lancet Oncology. Lancet Publishing Group, 2017. Vol. 18, № 4. P. e206–e217.</w:t>
      </w:r>
    </w:p>
    <w:p w14:paraId="4DC3FA3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24.</w:t>
      </w:r>
      <w:r w:rsidRPr="00B658AE">
        <w:rPr>
          <w:noProof/>
          <w:lang w:val="en-US"/>
        </w:rPr>
        <w:tab/>
        <w:t>Mateos M.-V., San Miguel J. V. Smoldering multiple myeloma // Hematol. Oncol. 2015. Vol. 33. P. 33–37.</w:t>
      </w:r>
    </w:p>
    <w:p w14:paraId="72628A2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25.</w:t>
      </w:r>
      <w:r w:rsidRPr="00B658AE">
        <w:rPr>
          <w:noProof/>
          <w:lang w:val="en-US"/>
        </w:rPr>
        <w:tab/>
        <w:t xml:space="preserve">Zou Y. et al. Bortezomib and lenalidomide as front-line therapy for multiple myeloma. // </w:t>
      </w:r>
      <w:r w:rsidRPr="00B658AE">
        <w:rPr>
          <w:noProof/>
          <w:lang w:val="en-US"/>
        </w:rPr>
        <w:lastRenderedPageBreak/>
        <w:t>Leuk. Lymphoma. 2014. Vol. 55, № 9. P. 2024–2031.</w:t>
      </w:r>
    </w:p>
    <w:p w14:paraId="495A341C"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26.</w:t>
      </w:r>
      <w:r w:rsidRPr="00B658AE">
        <w:rPr>
          <w:noProof/>
          <w:lang w:val="en-US"/>
        </w:rPr>
        <w:tab/>
        <w:t>Mateos M.V. et al. Bortezomib plus melphalan and prednisone compared with melphalan and prednisone in previously untreated multiple myeloma: Updated follow-up and impact of subsequent therapy in the phase III VISTA trial // J. Clin. Oncol. 2010. Vol. 28, № 13. P. 2259–2266.</w:t>
      </w:r>
    </w:p>
    <w:p w14:paraId="248DF675"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27.</w:t>
      </w:r>
      <w:r w:rsidRPr="00B658AE">
        <w:rPr>
          <w:noProof/>
          <w:lang w:val="en-US"/>
        </w:rPr>
        <w:tab/>
        <w:t>Bringhen S. et al. Efficacy and safety of once-weekly bortezomib in multiple myeloma patients. // Blood. 2010. Vol. 116, № 23. P. 4745–4753.</w:t>
      </w:r>
    </w:p>
    <w:p w14:paraId="7534A9A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28.</w:t>
      </w:r>
      <w:r w:rsidRPr="00B658AE">
        <w:rPr>
          <w:noProof/>
          <w:lang w:val="en-US"/>
        </w:rPr>
        <w:tab/>
        <w:t>Takezako N. et al. The Efficacy and Safety of Weekly Bortezomib Containing VMP Followed By Bortezomib Maintenance Therapy in Unfit or Frail Multiple Myeloma Patients // Blood. 2016. Vol. 128, № 22.</w:t>
      </w:r>
    </w:p>
    <w:p w14:paraId="005CC8D5"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29.</w:t>
      </w:r>
      <w:r w:rsidRPr="00B658AE">
        <w:rPr>
          <w:noProof/>
          <w:lang w:val="en-US"/>
        </w:rPr>
        <w:tab/>
        <w:t>Jagannath S. et al. Extended follow-up of a phase 2 trial of bortezomib alone and in combination with dexamethasone for the frontline treatment of multiple myeloma. // Br. J. Haematol. 2009. Vol. 146, № 6. P. 619–626.</w:t>
      </w:r>
    </w:p>
    <w:p w14:paraId="0291352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30.</w:t>
      </w:r>
      <w:r w:rsidRPr="00B658AE">
        <w:rPr>
          <w:noProof/>
          <w:lang w:val="en-US"/>
        </w:rPr>
        <w:tab/>
        <w:t>Weisel K. et al. A systematic literature review and network meta-analysis of treatments for patients with untreated multiple myeloma not eligible for stem cell transplantation. // Leuk. Lymphoma. 2017. Vol. 58, № 1. P. 153–161.</w:t>
      </w:r>
    </w:p>
    <w:p w14:paraId="17B1AFC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31.</w:t>
      </w:r>
      <w:r w:rsidRPr="00B658AE">
        <w:rPr>
          <w:noProof/>
          <w:lang w:val="en-US"/>
        </w:rPr>
        <w:tab/>
        <w:t>Benboubker L. et al. Lenalidomide and dexamethasone in transplant-ineligible patients with myeloma // N. Engl. J. Med. Massachussetts Medical Society, 2014. Vol. 371, № 10. P. 906–917.</w:t>
      </w:r>
    </w:p>
    <w:p w14:paraId="16B04E0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32.</w:t>
      </w:r>
      <w:r w:rsidRPr="00B658AE">
        <w:rPr>
          <w:noProof/>
          <w:lang w:val="en-US"/>
        </w:rPr>
        <w:tab/>
        <w:t>Facon T. et al. Updated Overall Survival (OS) Analysis of the FIRST Study: Lenalidomide Plus Low-Dose Dexamethasone (Rd) Continuous vs Melphalan, Prednisone, and Thalidomide (MPT) in Patients (Pts) With Newly Diagnosed Multiple Myeloma (NDMM) // Clin. Lymphoma Myeloma Leuk. Elsevier BV, 2015. Vol. 15. P. e134.</w:t>
      </w:r>
    </w:p>
    <w:p w14:paraId="04AD3A3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33.</w:t>
      </w:r>
      <w:r w:rsidRPr="00B658AE">
        <w:rPr>
          <w:noProof/>
          <w:lang w:val="en-US"/>
        </w:rPr>
        <w:tab/>
        <w:t>Palumbo A. et al. Continuous lenalidomide treatment for newly diagnosed multiple myeloma. // N. Engl. J. Med. 2012. Vol. 366, № 19. P. 1759–1769.</w:t>
      </w:r>
    </w:p>
    <w:p w14:paraId="049F3ADF"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34.</w:t>
      </w:r>
      <w:r w:rsidRPr="00B658AE">
        <w:rPr>
          <w:noProof/>
          <w:lang w:val="en-US"/>
        </w:rPr>
        <w:tab/>
        <w:t>Facon T. et al. Daratumumab plus Lenalidomide and Dexamethasone for Untreated Myeloma // N. Engl. J. Med. Massachusetts Medical Society, 2019. Vol. 380, № 22. P. 2104–2115.</w:t>
      </w:r>
    </w:p>
    <w:p w14:paraId="6BA2218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35.</w:t>
      </w:r>
      <w:r w:rsidRPr="00B658AE">
        <w:rPr>
          <w:noProof/>
          <w:lang w:val="en-US"/>
        </w:rPr>
        <w:tab/>
        <w:t>Mateos M. V. et al. Daratumumab plus bortezomib, melphalan, and prednisone for untreated myeloma // N. Engl. J. Med. Massachussetts Medical Society, 2018. Vol. 378, № 6. P. 518–528.</w:t>
      </w:r>
    </w:p>
    <w:p w14:paraId="45ED86E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36.</w:t>
      </w:r>
      <w:r w:rsidRPr="00B658AE">
        <w:rPr>
          <w:noProof/>
          <w:lang w:val="en-US"/>
        </w:rPr>
        <w:tab/>
        <w:t xml:space="preserve">Durie B.G.M. et al. Longer term follow-up of the randomized phase III trial SWOG S0777: bortezomib, lenalidomide and dexamethasone vs. lenalidomide and dexamethasone in patients (Pts) with previously untreated multiple myeloma without an intent for immediate </w:t>
      </w:r>
      <w:r w:rsidRPr="00B658AE">
        <w:rPr>
          <w:noProof/>
          <w:lang w:val="en-US"/>
        </w:rPr>
        <w:lastRenderedPageBreak/>
        <w:t>autologous stem  // Blood Cancer J. Springer Nature, 2020. Vol. 10, № 5.</w:t>
      </w:r>
    </w:p>
    <w:p w14:paraId="445C62F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37.</w:t>
      </w:r>
      <w:r w:rsidRPr="00B658AE">
        <w:rPr>
          <w:noProof/>
          <w:lang w:val="en-US"/>
        </w:rPr>
        <w:tab/>
        <w:t>Durie B.G.M. et al. Bortezomib with lenalidomide and dexamethasone versus lenalidomide and dexamethasone alone in patients with newly diagnosed myeloma without intent for immediate autologous stem-cell transplant (SWOG S0777): a randomised, open-label, phase 3 trial // Lancet. Lancet Publishing Group, 2017. Vol. 389, № 10068. P. 519–527.</w:t>
      </w:r>
    </w:p>
    <w:p w14:paraId="274CA56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38.</w:t>
      </w:r>
      <w:r w:rsidRPr="00B658AE">
        <w:rPr>
          <w:noProof/>
          <w:lang w:val="en-US"/>
        </w:rPr>
        <w:tab/>
        <w:t>Su B. et al. A meta-analysis of autologous transplantation for newly diagnosed multiple myeloma in the era of novel agents // Leuk. Lymphoma. Taylor and Francis Ltd, 2018.</w:t>
      </w:r>
    </w:p>
    <w:p w14:paraId="4271F87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39.</w:t>
      </w:r>
      <w:r w:rsidRPr="00B658AE">
        <w:rPr>
          <w:noProof/>
          <w:lang w:val="en-US"/>
        </w:rPr>
        <w:tab/>
        <w:t>Dhakal B. et al. Autologous transplantation for newly diagnosed multiple myeloma in the era of novel agent induction a systematic review and meta-analysis // JAMA Oncol. American Medical Association, 2018. Vol. 4, № 3. P. 343–350.</w:t>
      </w:r>
    </w:p>
    <w:p w14:paraId="2955F93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40.</w:t>
      </w:r>
      <w:r w:rsidRPr="00B658AE">
        <w:rPr>
          <w:noProof/>
          <w:lang w:val="en-US"/>
        </w:rPr>
        <w:tab/>
        <w:t>Nooka A.K. et al. Bortezomib-containing induction regimens in transplant-eligible myeloma patients // Cancer. 2013. Vol. 119, № 23. P. 4119–4128.</w:t>
      </w:r>
    </w:p>
    <w:p w14:paraId="6245D8B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41.</w:t>
      </w:r>
      <w:r w:rsidRPr="00B658AE">
        <w:rPr>
          <w:noProof/>
          <w:lang w:val="en-US"/>
        </w:rPr>
        <w:tab/>
        <w:t>Leiba M. et al. Bortezomib-Cyclophosphamide-Dexamethasone (VCD) versus Bortezomib-Thalidomide-Dexamethasone (VTD) -based regimens as induction therapies in newly diagnosed transplant eligible patients with multiple myeloma: A meta-analysis // Br. J. Haematol. Blackwell Publishing Ltd, 2014. Vol. 166, № 5. P. 702–710.</w:t>
      </w:r>
    </w:p>
    <w:p w14:paraId="2C96DCD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42.</w:t>
      </w:r>
      <w:r w:rsidRPr="00B658AE">
        <w:rPr>
          <w:noProof/>
          <w:lang w:val="en-US"/>
        </w:rPr>
        <w:tab/>
        <w:t>Attal M. et al. Lenalidomide, Bortezomib, and Dexamethasone with Transplantation for Myeloma // N. Engl. J. Med. New England Journal of Medicine (NEJM/MMS), 2017. Vol. 376, № 14. P. 1311–1320.</w:t>
      </w:r>
    </w:p>
    <w:p w14:paraId="32A3C69B"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43.</w:t>
      </w:r>
      <w:r w:rsidRPr="00B658AE">
        <w:rPr>
          <w:noProof/>
          <w:lang w:val="en-US"/>
        </w:rPr>
        <w:tab/>
        <w:t>Rosiñol L. et al. Bortezomib, lenalidomide, and dexamethasone as induction therapy prior to autologous transplant in multiple myeloma // Blood. American Society of Hematology, 2019. Vol. 134, № 16. P. 1337–1345.</w:t>
      </w:r>
    </w:p>
    <w:p w14:paraId="5006E44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44.</w:t>
      </w:r>
      <w:r w:rsidRPr="00B658AE">
        <w:rPr>
          <w:noProof/>
          <w:lang w:val="en-US"/>
        </w:rPr>
        <w:tab/>
        <w:t>Tuchman S.A., Chao N.J., Gasparetto C.G. Lenalidomide before and after autologous hematopoietic stem cell transplantation in multiple myeloma // Advances in Hematology. 2012. Vol. 2012.</w:t>
      </w:r>
    </w:p>
    <w:p w14:paraId="336F511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45.</w:t>
      </w:r>
      <w:r w:rsidRPr="00B658AE">
        <w:rPr>
          <w:noProof/>
          <w:lang w:val="en-US"/>
        </w:rPr>
        <w:tab/>
        <w:t>Knop S. et al. Lenalidomide, adriamycin, and dexamethasone (RAD) in patients with relapsed and refractory multiple myeloma: A report from the German Myeloma Study Group DSMM (Deutsche Studiengruppe Multiples Myelom) // Blood. 2009. Vol. 113, № 18. P. 4137–4143.</w:t>
      </w:r>
    </w:p>
    <w:p w14:paraId="5086405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46.</w:t>
      </w:r>
      <w:r w:rsidRPr="00B658AE">
        <w:rPr>
          <w:noProof/>
          <w:lang w:val="en-US"/>
        </w:rPr>
        <w:tab/>
        <w:t>Reece D.E. et al. Phase I-II trial of oral cyclophosphamide, prednisone and lenalidomide for the treatment of patients with relapsed and refractory multiple myeloma // Br. J. Haematol. Blackwell Publishing Ltd, 2015. Vol. 168, № 1. P. 46–54.</w:t>
      </w:r>
    </w:p>
    <w:p w14:paraId="495EF57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47.</w:t>
      </w:r>
      <w:r w:rsidRPr="00B658AE">
        <w:rPr>
          <w:noProof/>
          <w:lang w:val="en-US"/>
        </w:rPr>
        <w:tab/>
        <w:t xml:space="preserve">Fung H.C., Nathan S., Maciejewski J.J. Induction chemotherapy before autologous stem cell transplantation for symptomatic plasma cell myeloma - does it matter? // Clin. </w:t>
      </w:r>
      <w:r w:rsidRPr="00B658AE">
        <w:rPr>
          <w:noProof/>
          <w:lang w:val="en-US"/>
        </w:rPr>
        <w:lastRenderedPageBreak/>
        <w:t>Pharmacol. 2010. Vol. 2. P. 71–75.</w:t>
      </w:r>
    </w:p>
    <w:p w14:paraId="5AFAAD7E"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48.</w:t>
      </w:r>
      <w:r w:rsidRPr="00B658AE">
        <w:rPr>
          <w:noProof/>
          <w:lang w:val="en-US"/>
        </w:rPr>
        <w:tab/>
        <w:t>Tuchman S.A. et al. Cyclophosphamide-based hematopoietic stem cell mobilization before autologous stem cell transplantation in newly diagnosed multiple myeloma // J. Clin. Apher. Wiley-Liss Inc., 2015. Vol. 30, № 3. P. 176–182.</w:t>
      </w:r>
    </w:p>
    <w:p w14:paraId="5DDE928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49.</w:t>
      </w:r>
      <w:r w:rsidRPr="00B658AE">
        <w:rPr>
          <w:noProof/>
          <w:lang w:val="en-US"/>
        </w:rPr>
        <w:tab/>
        <w:t>Hosing C. Hematopoietic stem cell mobilization with G-CSF // Methods Mol. Biol. Humana Press Inc., 2012. Vol. 904. P. 37–47.</w:t>
      </w:r>
    </w:p>
    <w:p w14:paraId="3EA7A05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50.</w:t>
      </w:r>
      <w:r w:rsidRPr="00B658AE">
        <w:rPr>
          <w:noProof/>
          <w:lang w:val="en-US"/>
        </w:rPr>
        <w:tab/>
        <w:t>Sivaraj D. et al. High-dose BCNU/Melphalan conditioning regimen before autologous stem cell transplantation in newly diagnosed multiple myeloma // Bone Marrow Transplant. Nature Publishing Group, 2018. Vol. 53, № 1. P. 34–38.</w:t>
      </w:r>
    </w:p>
    <w:p w14:paraId="3FBE9035"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51.</w:t>
      </w:r>
      <w:r w:rsidRPr="00B658AE">
        <w:rPr>
          <w:noProof/>
          <w:lang w:val="en-US"/>
        </w:rPr>
        <w:tab/>
        <w:t>Oliva S. et al. Minimal residual disease after transplantation or lenalidomidebased consolidation in myeloma patients: A prospective analysis // Oncotarget. Impact Journals LLC, 2017. Vol. 8, № 4. P. 5924–5935.</w:t>
      </w:r>
    </w:p>
    <w:p w14:paraId="0CAF04FE"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52.</w:t>
      </w:r>
      <w:r w:rsidRPr="00B658AE">
        <w:rPr>
          <w:noProof/>
          <w:lang w:val="en-US"/>
        </w:rPr>
        <w:tab/>
        <w:t>Sonneveld P. et al. Consolidation followed by maintenance vs. maintenance alone in newly diagnosed, transplant eligible multiple myeloma: a randomized phase 3 study of the European Myeloma Network (EMN02/HO95 MM TRIAL) // EHA 23 Proceedings. 2018. P. Abstract S108.</w:t>
      </w:r>
    </w:p>
    <w:p w14:paraId="315F3F8B"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53.</w:t>
      </w:r>
      <w:r w:rsidRPr="00B658AE">
        <w:rPr>
          <w:noProof/>
          <w:lang w:val="en-US"/>
        </w:rPr>
        <w:tab/>
        <w:t>Roussel M. et al. Front-line transplantation program with lenalidomide, bortezomib, and dexamethasone combination as induction and consolidation followed by lenalidomide maintenance in patients with multiple myeloma: A phase II study by the Intergroupe Francophone du Myélome // J. Clin. Oncol. American Society of Clinical Oncology, 2014. Vol. 32, № 25. P. 2712–2717.</w:t>
      </w:r>
    </w:p>
    <w:p w14:paraId="2E1584F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54.</w:t>
      </w:r>
      <w:r w:rsidRPr="00B658AE">
        <w:rPr>
          <w:noProof/>
          <w:lang w:val="en-US"/>
        </w:rPr>
        <w:tab/>
        <w:t>Naumann-Winter F. et al. First-line tandem high-dose chemotherapy and autologous stem cell transplantation versus single high-dose chemotherapy and autologous stem cell transplantation in multiple myeloma, a systematic review of controlled studies. // Cochrane database Syst. Rev. 2012. Vol. 10. P. CD004626.</w:t>
      </w:r>
    </w:p>
    <w:p w14:paraId="0A9B174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55.</w:t>
      </w:r>
      <w:r w:rsidRPr="00B658AE">
        <w:rPr>
          <w:noProof/>
          <w:lang w:val="en-US"/>
        </w:rPr>
        <w:tab/>
        <w:t>Nathwani N., Larsen J.T., Kapoor P. Consolidation and Maintenance Therapies for Newly Diagnosed Multiple Myeloma in the Era of Novel Agents // Current Hematologic Malignancy Reports. Current Science Inc., 2016. Vol. 11, № 2. P. 127–136.</w:t>
      </w:r>
    </w:p>
    <w:p w14:paraId="7AD7E76F"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56.</w:t>
      </w:r>
      <w:r w:rsidRPr="00B658AE">
        <w:rPr>
          <w:noProof/>
          <w:lang w:val="en-US"/>
        </w:rPr>
        <w:tab/>
        <w:t>Sonneveld P. et al. Bortezomib induction and maintenance treatment in patients with newly diagnosed multiple myeloma: Results of the randomized phase III HOVON-65/ GMMG-HD4 trial // J. Clin. Oncol. 2012. Vol. 30, № 24. P. 2946–2955.</w:t>
      </w:r>
    </w:p>
    <w:p w14:paraId="47D690D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57.</w:t>
      </w:r>
      <w:r w:rsidRPr="00B658AE">
        <w:rPr>
          <w:noProof/>
          <w:lang w:val="en-US"/>
        </w:rPr>
        <w:tab/>
        <w:t>McCarthy P.L. et al. Lenalidomide after stem-cell transplantation for multiple myeloma. // N. Engl. J. Med. 2012. Vol. 366, № 19. P. 1770–1781.</w:t>
      </w:r>
    </w:p>
    <w:p w14:paraId="0D7EC01A"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58.</w:t>
      </w:r>
      <w:r w:rsidRPr="00B658AE">
        <w:rPr>
          <w:noProof/>
          <w:lang w:val="en-US"/>
        </w:rPr>
        <w:tab/>
        <w:t xml:space="preserve">Attal M. et al. Lenalidomide maintenance after stem-cell transplantation for multiple </w:t>
      </w:r>
      <w:r w:rsidRPr="00B658AE">
        <w:rPr>
          <w:noProof/>
          <w:lang w:val="en-US"/>
        </w:rPr>
        <w:lastRenderedPageBreak/>
        <w:t>myeloma. // N. Engl. J. Med. 2012. Vol. 366, № 19. P. 1782–1791.</w:t>
      </w:r>
    </w:p>
    <w:p w14:paraId="529C69EE"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59.</w:t>
      </w:r>
      <w:r w:rsidRPr="00B658AE">
        <w:rPr>
          <w:noProof/>
          <w:lang w:val="en-US"/>
        </w:rPr>
        <w:tab/>
        <w:t>Palumbo A. et al. Autologous transplantation and maintenance therapy in multiple myeloma. // N. Engl. J. Med. 2014. Vol. 371, № 10. P. 895–905.</w:t>
      </w:r>
    </w:p>
    <w:p w14:paraId="5598AA0C"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60.</w:t>
      </w:r>
      <w:r w:rsidRPr="00B658AE">
        <w:rPr>
          <w:noProof/>
          <w:lang w:val="en-US"/>
        </w:rPr>
        <w:tab/>
        <w:t>Beurden-Tan C.H.Y.V. et al. Systematic literature review and network meta-analysis of treatment outcomes in relapsed and/or refractory multiple myeloma // Journal of Clinical Oncology. American Society of Clinical Oncology, 2017. Vol. 35, № 12. P. 1312–1319.</w:t>
      </w:r>
    </w:p>
    <w:p w14:paraId="5CC07F5A"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61.</w:t>
      </w:r>
      <w:r w:rsidRPr="00B658AE">
        <w:rPr>
          <w:noProof/>
          <w:lang w:val="en-US"/>
        </w:rPr>
        <w:tab/>
        <w:t>Knopf K.B. et al. Meta-analysis of the efficacy and safety of bortezomib re-treatment in patients with multiple myeloma. // Clin. Lymphoma. Myeloma Leuk. 2014. Vol. 14, № 5. P. 380–388.</w:t>
      </w:r>
    </w:p>
    <w:p w14:paraId="5FE2763C"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62.</w:t>
      </w:r>
      <w:r w:rsidRPr="00B658AE">
        <w:rPr>
          <w:noProof/>
          <w:lang w:val="en-US"/>
        </w:rPr>
        <w:tab/>
        <w:t>Scott K. et al. Bortezomib for the treatment of multiple myeloma. // Cochrane database Syst. Rev. 2016. Vol. 4. P. CD010816.</w:t>
      </w:r>
    </w:p>
    <w:p w14:paraId="0DDED42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63.</w:t>
      </w:r>
      <w:r w:rsidRPr="00B658AE">
        <w:rPr>
          <w:noProof/>
          <w:lang w:val="en-US"/>
        </w:rPr>
        <w:tab/>
        <w:t>Dimopoulos M.A. et al. A Comparison of the Efficacy of Immunomodulatory-containing Regimens in Relapsed/Refractory Multiple Myeloma: A Network Meta-analysis // Clin. Lymphoma, Myeloma Leuk. Elsevier Inc., 2018. Vol. 18, № 3. P. 163-173.e6.</w:t>
      </w:r>
    </w:p>
    <w:p w14:paraId="387CEB4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64.</w:t>
      </w:r>
      <w:r w:rsidRPr="00B658AE">
        <w:rPr>
          <w:noProof/>
          <w:lang w:val="en-US"/>
        </w:rPr>
        <w:tab/>
        <w:t>Anderson K.C. et al. Lenalidomide, bortezomib, and dexamethasone in relapsed/refractory multiple myeloma (MM): Encouraging outcomes and tolerability in a phase II study // J. Clin. Oncol. 2009. Vol. 27, № 15 (Suppl.). P. Abstract 8536.</w:t>
      </w:r>
    </w:p>
    <w:p w14:paraId="2B59DA5B"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65.</w:t>
      </w:r>
      <w:r w:rsidRPr="00B658AE">
        <w:rPr>
          <w:noProof/>
          <w:lang w:val="en-US"/>
        </w:rPr>
        <w:tab/>
        <w:t>Shah C. et al. Efficacy and safety of carfilzomib in relapsed and/or refractory multiple myeloma: Systematic review and meta-analysis of 14 trials // Oncotarget. Impact Journals LLC, 2018. Vol. 9, № 34. P. 23704–23717.</w:t>
      </w:r>
    </w:p>
    <w:p w14:paraId="311AA25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66.</w:t>
      </w:r>
      <w:r w:rsidRPr="00B658AE">
        <w:rPr>
          <w:noProof/>
          <w:lang w:val="en-US"/>
        </w:rPr>
        <w:tab/>
        <w:t>Moreau P. et al. Oral Ixazomib, Lenalidomide, and Dexamethasone for Multiple Myeloma // N. Engl. J. Med. 2016. Vol. 374, № 17. P. 1621–1634.</w:t>
      </w:r>
    </w:p>
    <w:p w14:paraId="65D194F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67.</w:t>
      </w:r>
      <w:r w:rsidRPr="00B658AE">
        <w:rPr>
          <w:noProof/>
          <w:lang w:val="en-US"/>
        </w:rPr>
        <w:tab/>
        <w:t>Dimopoulos M.A. et al. Elotuzumab plus lenalidomide and dexamethasone in relapsed/refractory multiple myeloma: Extended 4-year follow-up and analysis of relative progression-free survival from the randomized ELOQUENT-2 trial // Cancer. John Wiley and Sons Inc., 2018. Vol. 124, № 20. P. 4032–4043.</w:t>
      </w:r>
    </w:p>
    <w:p w14:paraId="344C2FD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68.</w:t>
      </w:r>
      <w:r w:rsidRPr="00B658AE">
        <w:rPr>
          <w:noProof/>
          <w:lang w:val="en-US"/>
        </w:rPr>
        <w:tab/>
        <w:t>Dimopoulos M. et al. Carfilzomib, dexamethasone, and daratumumab versus carfilzomib and dexamethasone for patients with relapsed or refractory multiple myeloma (CANDOR): results from a randomised, multicentre, open-label, phase 3 study // Lancet. Elsevier, 2020. Vol. 396, № 10245. P. 186–197.</w:t>
      </w:r>
    </w:p>
    <w:p w14:paraId="69D3B40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69.</w:t>
      </w:r>
      <w:r w:rsidRPr="00B658AE">
        <w:rPr>
          <w:noProof/>
          <w:lang w:val="en-US"/>
        </w:rPr>
        <w:tab/>
        <w:t>Moreau P. et al. Isatuximab, carfilzomib, and dexamethasone in relapsed multiple myeloma (IKEMA): a multicentre, open-label, randomised phase 3 trial // Lancet. Elsevier, 2021. Vol. 397, № 10292. P. 2361–2371.</w:t>
      </w:r>
    </w:p>
    <w:p w14:paraId="79AE4C7A"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70.</w:t>
      </w:r>
      <w:r w:rsidRPr="00B658AE">
        <w:rPr>
          <w:noProof/>
          <w:lang w:val="en-US"/>
        </w:rPr>
        <w:tab/>
        <w:t xml:space="preserve">Miguel J.S. et al. Pomalidomide plus low-dose dexamethasone versus high-dose </w:t>
      </w:r>
      <w:r w:rsidRPr="00B658AE">
        <w:rPr>
          <w:noProof/>
          <w:lang w:val="en-US"/>
        </w:rPr>
        <w:lastRenderedPageBreak/>
        <w:t>dexamethasone alone for patients with relapsed and refractory multiple myeloma (MM-003): A randomised, open-label, phase 3 trial // Lancet Oncol. 2013. Vol. 14, № 11. P. 1055–1066.</w:t>
      </w:r>
    </w:p>
    <w:p w14:paraId="2EB8DFA7"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71.</w:t>
      </w:r>
      <w:r w:rsidRPr="00B658AE">
        <w:rPr>
          <w:noProof/>
          <w:lang w:val="en-US"/>
        </w:rPr>
        <w:tab/>
        <w:t>Lokhorst H.M. et al. Targeting CD38 with Daratumumab Monotherapy in Multiple Myeloma. // N. Engl. J. Med. 2015. Vol. 373, № 13. P. 1207–1219.</w:t>
      </w:r>
    </w:p>
    <w:p w14:paraId="0568E2E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72.</w:t>
      </w:r>
      <w:r w:rsidRPr="00B658AE">
        <w:rPr>
          <w:noProof/>
          <w:lang w:val="en-US"/>
        </w:rPr>
        <w:tab/>
        <w:t>Lonial S. et al. Daratumumab monotherapy in patients with treatment-refractory multiple myeloma (SIRIUS): An open-label, randomised, phase 2 trial // Lancet. Lancet Publishing Group, 2016. Vol. 387, № 10027. P. 1551–1560.</w:t>
      </w:r>
    </w:p>
    <w:p w14:paraId="23D5C4EF"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73.</w:t>
      </w:r>
      <w:r w:rsidRPr="00B658AE">
        <w:rPr>
          <w:noProof/>
          <w:lang w:val="en-US"/>
        </w:rPr>
        <w:tab/>
        <w:t>Dimopoulos M.A. et al. Elotuzumab plus Pomalidomide and Dexamethasone for Multiple Myeloma // N. Engl. J. Med. New England Journal of Medicine (NEJM/MMS), 2018. Vol. 379, № 19. P. 1811–1822.</w:t>
      </w:r>
    </w:p>
    <w:p w14:paraId="5AF0D8D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74.</w:t>
      </w:r>
      <w:r w:rsidRPr="00B658AE">
        <w:rPr>
          <w:noProof/>
          <w:lang w:val="en-US"/>
        </w:rPr>
        <w:tab/>
        <w:t>Attal M. et al. Isatuximab plus pomalidomide and low-dose dexamethasone versus pomalidomide and low-dose dexamethasone in patients with relapsed and refractory multiple myeloma (ICARIA-MM): a randomised, multicentre, open-label, phase 3 study // Lancet. Lancet Publishing Group, 2019. Vol. 394, № 10214. P. 2096–2107.</w:t>
      </w:r>
    </w:p>
    <w:p w14:paraId="64BABB8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75.</w:t>
      </w:r>
      <w:r w:rsidRPr="00B658AE">
        <w:rPr>
          <w:noProof/>
          <w:lang w:val="en-US"/>
        </w:rPr>
        <w:tab/>
        <w:t>Tsang R.W. et al. Radiation Therapy for Solitary Plasmacytoma and Multiple Myeloma: Guidelines From the International Lymphoma Radiation Oncology Group. // Int. J. Radiat. Oncol. Biol. Phys. 2018. Vol. 101, № 4. P. 794–808.</w:t>
      </w:r>
    </w:p>
    <w:p w14:paraId="6AB89EE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76.</w:t>
      </w:r>
      <w:r w:rsidRPr="00B658AE">
        <w:rPr>
          <w:noProof/>
          <w:lang w:val="en-US"/>
        </w:rPr>
        <w:tab/>
        <w:t>Mark D. et al. Local Radiation Therapy for Palliation in Patients With Multiple Myeloma of the Spine. // Front. Oncol. 2019. Vol. 9. P. 601.</w:t>
      </w:r>
    </w:p>
    <w:p w14:paraId="47B3F51B"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77.</w:t>
      </w:r>
      <w:r w:rsidRPr="00B658AE">
        <w:rPr>
          <w:noProof/>
          <w:lang w:val="en-US"/>
        </w:rPr>
        <w:tab/>
        <w:t>Dimopoulos M.A. et al. Carfilzomib or bortezomib in relapsed or refractory multiple myeloma (ENDEAVOR): an interim overall survival analysis of an open-label, randomised, phase 3 trial // Lancet Oncol. Lancet Publishing Group, 2017. Vol. 18, № 10. P. 1327–1337.</w:t>
      </w:r>
    </w:p>
    <w:p w14:paraId="5DCEDEB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78.</w:t>
      </w:r>
      <w:r w:rsidRPr="00B658AE">
        <w:rPr>
          <w:noProof/>
          <w:lang w:val="en-US"/>
        </w:rPr>
        <w:tab/>
        <w:t>Sonneveld P., Broijl A. Treatment of relapsed and refractory multiple myeloma // Haematologica. Ferrata Storti Foundation, 2016. Vol. 101, № 4. P. 396–406.</w:t>
      </w:r>
    </w:p>
    <w:p w14:paraId="64428DAF"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79.</w:t>
      </w:r>
      <w:r w:rsidRPr="00B658AE">
        <w:rPr>
          <w:noProof/>
          <w:lang w:val="en-US"/>
        </w:rPr>
        <w:tab/>
        <w:t xml:space="preserve">Dimopoulos M.A. et al. Renal impairment in patients with multiple myeloma: A consensus statement on behalf of the International Myeloma Working Group // Journal of Clinical Oncology.  </w:t>
      </w:r>
      <w:r w:rsidRPr="00E430FD">
        <w:rPr>
          <w:noProof/>
        </w:rPr>
        <w:t>American Society of Clinical Oncology , 2010. Vol. 28, № 33. P. 4976–4984.</w:t>
      </w:r>
    </w:p>
    <w:p w14:paraId="68425ACC" w14:textId="77777777" w:rsidR="00E430FD" w:rsidRPr="00B658AE" w:rsidRDefault="00E430FD" w:rsidP="00E430FD">
      <w:pPr>
        <w:widowControl w:val="0"/>
        <w:autoSpaceDE w:val="0"/>
        <w:autoSpaceDN w:val="0"/>
        <w:adjustRightInd w:val="0"/>
        <w:spacing w:before="0" w:after="0"/>
        <w:ind w:left="640" w:hanging="640"/>
        <w:rPr>
          <w:noProof/>
          <w:lang w:val="en-US"/>
        </w:rPr>
      </w:pPr>
      <w:r w:rsidRPr="00E430FD">
        <w:rPr>
          <w:noProof/>
        </w:rPr>
        <w:t>80.</w:t>
      </w:r>
      <w:r w:rsidRPr="00E430FD">
        <w:rPr>
          <w:noProof/>
        </w:rPr>
        <w:tab/>
        <w:t xml:space="preserve">Снеговой А. В., Абрамов М. Е., Бяхов М. Ю., Владимирова Л. Ю., Возный Э. К., Гладков О. А., Когония Л. М., Кононенко И. Б., Копп М. В., Королева И. А., Ларионова В. Б., Личиницер М. Р., Поддубная И. В. П.В.В. Практические рекомендации по профилактике и лечению тошноты и рвоты у онкологических больных. // Практические рекомендации. </w:t>
      </w:r>
      <w:r w:rsidRPr="00B658AE">
        <w:rPr>
          <w:noProof/>
          <w:lang w:val="en-US"/>
        </w:rPr>
        <w:t>2016.</w:t>
      </w:r>
    </w:p>
    <w:p w14:paraId="54A23759"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81.</w:t>
      </w:r>
      <w:r w:rsidRPr="00B658AE">
        <w:rPr>
          <w:noProof/>
          <w:lang w:val="en-US"/>
        </w:rPr>
        <w:tab/>
        <w:t xml:space="preserve">Compagno N. et al. Immunoglobulin replacement therapy in secondary </w:t>
      </w:r>
      <w:r w:rsidRPr="00B658AE">
        <w:rPr>
          <w:noProof/>
          <w:lang w:val="en-US"/>
        </w:rPr>
        <w:lastRenderedPageBreak/>
        <w:t xml:space="preserve">hypogammaglobulinemia // Frontiers in Immunology. </w:t>
      </w:r>
      <w:r w:rsidRPr="006869AB">
        <w:rPr>
          <w:noProof/>
          <w:lang w:val="en-US"/>
        </w:rPr>
        <w:t>Frontiers</w:t>
      </w:r>
      <w:r w:rsidRPr="006310A4">
        <w:rPr>
          <w:noProof/>
        </w:rPr>
        <w:t xml:space="preserve"> </w:t>
      </w:r>
      <w:r w:rsidRPr="006869AB">
        <w:rPr>
          <w:noProof/>
          <w:lang w:val="en-US"/>
        </w:rPr>
        <w:t>Media</w:t>
      </w:r>
      <w:r w:rsidRPr="006310A4">
        <w:rPr>
          <w:noProof/>
        </w:rPr>
        <w:t xml:space="preserve"> </w:t>
      </w:r>
      <w:r w:rsidRPr="006869AB">
        <w:rPr>
          <w:noProof/>
          <w:lang w:val="en-US"/>
        </w:rPr>
        <w:t>S</w:t>
      </w:r>
      <w:r w:rsidRPr="006310A4">
        <w:rPr>
          <w:noProof/>
        </w:rPr>
        <w:t>.</w:t>
      </w:r>
      <w:r w:rsidRPr="006869AB">
        <w:rPr>
          <w:noProof/>
          <w:lang w:val="en-US"/>
        </w:rPr>
        <w:t>A</w:t>
      </w:r>
      <w:r w:rsidRPr="006310A4">
        <w:rPr>
          <w:noProof/>
        </w:rPr>
        <w:t xml:space="preserve">., 2014. </w:t>
      </w:r>
      <w:r w:rsidRPr="00E430FD">
        <w:rPr>
          <w:noProof/>
        </w:rPr>
        <w:t>Vol. 5, № DEC.</w:t>
      </w:r>
    </w:p>
    <w:p w14:paraId="6E32391B" w14:textId="77777777" w:rsidR="00E430FD" w:rsidRPr="00E430FD" w:rsidRDefault="00E430FD" w:rsidP="00E430FD">
      <w:pPr>
        <w:widowControl w:val="0"/>
        <w:autoSpaceDE w:val="0"/>
        <w:autoSpaceDN w:val="0"/>
        <w:adjustRightInd w:val="0"/>
        <w:spacing w:before="0" w:after="0"/>
        <w:ind w:left="640" w:hanging="640"/>
        <w:rPr>
          <w:noProof/>
        </w:rPr>
      </w:pPr>
      <w:r w:rsidRPr="00E430FD">
        <w:rPr>
          <w:noProof/>
        </w:rPr>
        <w:t>82.</w:t>
      </w:r>
      <w:r w:rsidRPr="00E430FD">
        <w:rPr>
          <w:noProof/>
        </w:rPr>
        <w:tab/>
        <w:t>Константинова Т.С., Клясова Г.А., Капланов К.Д. Лечение и профилактика инфекционных осложнений у пациентов с лимфопролиферативными заболеваниями. Российские клинические рекомендации по диагностике и лечению злокачественных лимфопролиферативных заболеваний. / ed. Поддубная И.В., Савченко В.Г. Москва, 2018. 289–311 p.</w:t>
      </w:r>
    </w:p>
    <w:p w14:paraId="17C5B09B" w14:textId="77777777" w:rsidR="00E430FD" w:rsidRPr="00E430FD" w:rsidRDefault="00E430FD" w:rsidP="00E430FD">
      <w:pPr>
        <w:widowControl w:val="0"/>
        <w:autoSpaceDE w:val="0"/>
        <w:autoSpaceDN w:val="0"/>
        <w:adjustRightInd w:val="0"/>
        <w:spacing w:before="0" w:after="0"/>
        <w:ind w:left="640" w:hanging="640"/>
        <w:rPr>
          <w:noProof/>
        </w:rPr>
      </w:pPr>
      <w:r w:rsidRPr="00E430FD">
        <w:rPr>
          <w:noProof/>
        </w:rPr>
        <w:t>83.</w:t>
      </w:r>
      <w:r w:rsidRPr="00E430FD">
        <w:rPr>
          <w:noProof/>
        </w:rPr>
        <w:tab/>
        <w:t xml:space="preserve">Roy V. et al. </w:t>
      </w:r>
      <w:r w:rsidRPr="00B658AE">
        <w:rPr>
          <w:noProof/>
          <w:lang w:val="en-US"/>
        </w:rPr>
        <w:t xml:space="preserve">Hematopoietic Growth Factors. NCCN Guidelines. </w:t>
      </w:r>
      <w:r w:rsidRPr="00E430FD">
        <w:rPr>
          <w:noProof/>
        </w:rPr>
        <w:t>Ver 1.2022. 2022.</w:t>
      </w:r>
    </w:p>
    <w:p w14:paraId="1614DE16" w14:textId="77777777" w:rsidR="00E430FD" w:rsidRPr="00B658AE" w:rsidRDefault="00E430FD" w:rsidP="00E430FD">
      <w:pPr>
        <w:widowControl w:val="0"/>
        <w:autoSpaceDE w:val="0"/>
        <w:autoSpaceDN w:val="0"/>
        <w:adjustRightInd w:val="0"/>
        <w:spacing w:before="0" w:after="0"/>
        <w:ind w:left="640" w:hanging="640"/>
        <w:rPr>
          <w:noProof/>
          <w:lang w:val="en-US"/>
        </w:rPr>
      </w:pPr>
      <w:r w:rsidRPr="00E430FD">
        <w:rPr>
          <w:noProof/>
        </w:rPr>
        <w:t>84.</w:t>
      </w:r>
      <w:r w:rsidRPr="00E430FD">
        <w:rPr>
          <w:noProof/>
        </w:rPr>
        <w:tab/>
        <w:t xml:space="preserve">Абузарова Г.Р. et al. Обезболивание взрослых и детей при оказании медицинской помощи. Методические рекомендации. ФГБОУ ВО РНИМУ им. Н.И. Пирогова Минздрава России., 2016. </w:t>
      </w:r>
      <w:r w:rsidRPr="00B658AE">
        <w:rPr>
          <w:noProof/>
          <w:lang w:val="en-US"/>
        </w:rPr>
        <w:t>94 p.</w:t>
      </w:r>
    </w:p>
    <w:p w14:paraId="3998B92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85.</w:t>
      </w:r>
      <w:r w:rsidRPr="00B658AE">
        <w:rPr>
          <w:noProof/>
          <w:lang w:val="en-US"/>
        </w:rPr>
        <w:tab/>
        <w:t>Durie B.G.M. et al. International uniform response criteria for multiple myeloma // Leukemia. Nature Publishing Group, 2006. Vol. 20, № 9. P. 1467–1473.</w:t>
      </w:r>
    </w:p>
    <w:p w14:paraId="3304BC4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86.</w:t>
      </w:r>
      <w:r w:rsidRPr="00B658AE">
        <w:rPr>
          <w:noProof/>
          <w:lang w:val="en-US"/>
        </w:rPr>
        <w:tab/>
        <w:t>Rajkumar S.V. et al. Consensus recommendations for the uniform reporting of clinical trials: Report of the International Myeloma Workshop Consensus Panel 1 // Blood. 2011. Vol. 117, № 18. P. 4691–4695.</w:t>
      </w:r>
    </w:p>
    <w:p w14:paraId="57B6D95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87.</w:t>
      </w:r>
      <w:r w:rsidRPr="00B658AE">
        <w:rPr>
          <w:noProof/>
          <w:lang w:val="en-US"/>
        </w:rPr>
        <w:tab/>
        <w:t>Kumar S. et al. International Myeloma Working Group consensus criteria for response and minimal residual disease assessment in multiple myeloma // The Lancet Oncology. Lancet Publishing Group, 2016. Vol. 17, № 8. P. e328–e346.</w:t>
      </w:r>
    </w:p>
    <w:p w14:paraId="1CBC9C4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88.</w:t>
      </w:r>
      <w:r w:rsidRPr="00B658AE">
        <w:rPr>
          <w:noProof/>
          <w:lang w:val="en-US"/>
        </w:rPr>
        <w:tab/>
        <w:t>Paul K.L. Rehabilitation and exercise considerations in hematologic malignancies. // Am. J. Phys. Med. Rehabil. 2011. Vol. 90, № 5 Suppl 1. P. S88-94.</w:t>
      </w:r>
    </w:p>
    <w:p w14:paraId="0AC3EFB7"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89.</w:t>
      </w:r>
      <w:r w:rsidRPr="00B658AE">
        <w:rPr>
          <w:noProof/>
          <w:lang w:val="en-US"/>
        </w:rPr>
        <w:tab/>
        <w:t>Jones J.R. et al. Second malignancies in the context of lenalidomide treatment: an analysis of 2732 myeloma patients enrolled to the Myeloma XI trial // Blood Cancer J. 2016. Vol. 6, № 12. P. e506.</w:t>
      </w:r>
    </w:p>
    <w:p w14:paraId="19D0017F"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90.</w:t>
      </w:r>
      <w:r w:rsidRPr="00B658AE">
        <w:rPr>
          <w:noProof/>
          <w:lang w:val="en-US"/>
        </w:rPr>
        <w:tab/>
        <w:t>Rajkumar S.V. et al. Lenalidomide plus high-dose dexamethasone versus lenalidomide plus low-dose dexamethasone as initial therapy for newly diagnosed multiple myeloma: an open-label randomised controlled trial // Lancet Oncol. Lancet Publishing Group, 2010. Vol. 11, № 1. P. 29–37.</w:t>
      </w:r>
    </w:p>
    <w:p w14:paraId="5BD6199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91.</w:t>
      </w:r>
      <w:r w:rsidRPr="00B658AE">
        <w:rPr>
          <w:noProof/>
          <w:lang w:val="en-US"/>
        </w:rPr>
        <w:tab/>
        <w:t>Punke A.P., Waddell J.A., Solimando D.A. Lenalidomide, bortezomib, and dexamethasone (RVD) regimen for multiple myeloma // Hosp. Pharm. SAGE Publications Ltd, 2017. Vol. 52, № 1. P. 27–32.</w:t>
      </w:r>
    </w:p>
    <w:p w14:paraId="3FA06F07"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92.</w:t>
      </w:r>
      <w:r w:rsidRPr="00B658AE">
        <w:rPr>
          <w:noProof/>
          <w:lang w:val="en-US"/>
        </w:rPr>
        <w:tab/>
        <w:t>Dadacaridou M. et al. Dexamethasone, cyclophosphamide, etoposide and cisplatin (DCEP) for relapsed or refractory multiple myeloma patients. // J. BUON. Vol. 12, № 1. P. 41–44.</w:t>
      </w:r>
    </w:p>
    <w:p w14:paraId="08D029BA"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93.</w:t>
      </w:r>
      <w:r w:rsidRPr="00B658AE">
        <w:rPr>
          <w:noProof/>
          <w:lang w:val="en-US"/>
        </w:rPr>
        <w:tab/>
        <w:t xml:space="preserve">Lakshman A. et al. Efficacy of VDT PACE-like regimens in treatment of </w:t>
      </w:r>
      <w:r w:rsidRPr="00B658AE">
        <w:rPr>
          <w:noProof/>
          <w:lang w:val="en-US"/>
        </w:rPr>
        <w:lastRenderedPageBreak/>
        <w:t>relapsed/refractory multiple myeloma // Am. J. Hematol. 2018. Vol. 93, № 2. P. 179–186.</w:t>
      </w:r>
    </w:p>
    <w:p w14:paraId="34DD714E"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94.</w:t>
      </w:r>
      <w:r w:rsidRPr="00B658AE">
        <w:rPr>
          <w:noProof/>
          <w:lang w:val="en-US"/>
        </w:rPr>
        <w:tab/>
        <w:t>Krause D.S. et al. CD34: Structure, biology, and clinical utility // Blood. American Society of Hematology, 1996. Vol. 87, № 1. P. 1–13.</w:t>
      </w:r>
    </w:p>
    <w:p w14:paraId="2E5081AC"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95.</w:t>
      </w:r>
      <w:r w:rsidRPr="00B658AE">
        <w:rPr>
          <w:noProof/>
          <w:lang w:val="en-US"/>
        </w:rPr>
        <w:tab/>
        <w:t>Giralt S. et al. Optimizing autologous stem cell mobilization strategies to improve patient outcomes: Consensus guidelines and recommendations // Biology of Blood and Marrow Transplantation. Elsevier, 2014. Vol. 20, № 3. P. 295–308.</w:t>
      </w:r>
    </w:p>
    <w:p w14:paraId="618B702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96.</w:t>
      </w:r>
      <w:r w:rsidRPr="00B658AE">
        <w:rPr>
          <w:noProof/>
          <w:lang w:val="en-US"/>
        </w:rPr>
        <w:tab/>
        <w:t>Stiff P.J. et al. Transplanted CD34 + Cell Dose Is Associated with Long-Term Platelet Count Recovery following Autologous Peripheral Blood Stem Cell Transplant in Patients with Non-Hodgkin Lymphoma or Multiple Myeloma // Biol. Blood Marrow Transplant. Biol Blood Marrow Transplant, 2011. Vol. 17, № 8. P. 1146–1153.</w:t>
      </w:r>
    </w:p>
    <w:p w14:paraId="3D59C19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97.</w:t>
      </w:r>
      <w:r w:rsidRPr="00B658AE">
        <w:rPr>
          <w:noProof/>
          <w:lang w:val="en-US"/>
        </w:rPr>
        <w:tab/>
        <w:t>Passos-Coelho J.L. et al. Predictive factors for peripheral-blood progenitor-cell collections using a single large-volume leukapheresis after cyclophosphamide and granulocyte- macrophage colony-stimulating factor mobilization // J. Clin. Oncol. American Society of Clinical Oncology, 1995. Vol. 13, № 3. P. 705–714.</w:t>
      </w:r>
    </w:p>
    <w:p w14:paraId="37646D4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98.</w:t>
      </w:r>
      <w:r w:rsidRPr="00B658AE">
        <w:rPr>
          <w:noProof/>
          <w:lang w:val="en-US"/>
        </w:rPr>
        <w:tab/>
        <w:t>Hohaus S. et al. Successful autografting following myeloablative conditioning therapy with blood stem cells mobilized by chemotherapy plus rhG-CSF. // Exp. Hematol. 1993. Vol. 21, № 4. P. 508–514.</w:t>
      </w:r>
    </w:p>
    <w:p w14:paraId="22C1628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99.</w:t>
      </w:r>
      <w:r w:rsidRPr="00B658AE">
        <w:rPr>
          <w:noProof/>
          <w:lang w:val="en-US"/>
        </w:rPr>
        <w:tab/>
      </w:r>
      <w:r w:rsidRPr="00E430FD">
        <w:rPr>
          <w:noProof/>
        </w:rPr>
        <w:t>Покровская</w:t>
      </w:r>
      <w:r w:rsidRPr="00B658AE">
        <w:rPr>
          <w:noProof/>
          <w:lang w:val="en-US"/>
        </w:rPr>
        <w:t xml:space="preserve"> </w:t>
      </w:r>
      <w:r w:rsidRPr="00E430FD">
        <w:rPr>
          <w:noProof/>
        </w:rPr>
        <w:t>О</w:t>
      </w:r>
      <w:r w:rsidRPr="00B658AE">
        <w:rPr>
          <w:noProof/>
          <w:lang w:val="en-US"/>
        </w:rPr>
        <w:t>.</w:t>
      </w:r>
      <w:r w:rsidRPr="00E430FD">
        <w:rPr>
          <w:noProof/>
        </w:rPr>
        <w:t>С</w:t>
      </w:r>
      <w:r w:rsidRPr="00B658AE">
        <w:rPr>
          <w:noProof/>
          <w:lang w:val="en-US"/>
        </w:rPr>
        <w:t xml:space="preserve">., </w:t>
      </w:r>
      <w:r w:rsidRPr="00E430FD">
        <w:rPr>
          <w:noProof/>
        </w:rPr>
        <w:t>Менделеева</w:t>
      </w:r>
      <w:r w:rsidRPr="00B658AE">
        <w:rPr>
          <w:noProof/>
          <w:lang w:val="en-US"/>
        </w:rPr>
        <w:t xml:space="preserve"> </w:t>
      </w:r>
      <w:r w:rsidRPr="00E430FD">
        <w:rPr>
          <w:noProof/>
        </w:rPr>
        <w:t>Л</w:t>
      </w:r>
      <w:r w:rsidRPr="00B658AE">
        <w:rPr>
          <w:noProof/>
          <w:lang w:val="en-US"/>
        </w:rPr>
        <w:t>.</w:t>
      </w:r>
      <w:r w:rsidRPr="00E430FD">
        <w:rPr>
          <w:noProof/>
        </w:rPr>
        <w:t>П</w:t>
      </w:r>
      <w:r w:rsidRPr="00B658AE">
        <w:rPr>
          <w:noProof/>
          <w:lang w:val="en-US"/>
        </w:rPr>
        <w:t xml:space="preserve">., </w:t>
      </w:r>
      <w:r w:rsidRPr="00E430FD">
        <w:rPr>
          <w:noProof/>
        </w:rPr>
        <w:t>Гальцева</w:t>
      </w:r>
      <w:r w:rsidRPr="00B658AE">
        <w:rPr>
          <w:noProof/>
          <w:lang w:val="en-US"/>
        </w:rPr>
        <w:t xml:space="preserve"> </w:t>
      </w:r>
      <w:r w:rsidRPr="00E430FD">
        <w:rPr>
          <w:noProof/>
        </w:rPr>
        <w:t>И</w:t>
      </w:r>
      <w:r w:rsidRPr="00B658AE">
        <w:rPr>
          <w:noProof/>
          <w:lang w:val="en-US"/>
        </w:rPr>
        <w:t>.</w:t>
      </w:r>
      <w:r w:rsidRPr="00E430FD">
        <w:rPr>
          <w:noProof/>
        </w:rPr>
        <w:t>В</w:t>
      </w:r>
      <w:r w:rsidRPr="00B658AE">
        <w:rPr>
          <w:noProof/>
          <w:lang w:val="en-US"/>
        </w:rPr>
        <w:t xml:space="preserve">., </w:t>
      </w:r>
      <w:r w:rsidRPr="00E430FD">
        <w:rPr>
          <w:noProof/>
        </w:rPr>
        <w:t>Варламова</w:t>
      </w:r>
      <w:r w:rsidRPr="00B658AE">
        <w:rPr>
          <w:noProof/>
          <w:lang w:val="en-US"/>
        </w:rPr>
        <w:t xml:space="preserve"> </w:t>
      </w:r>
      <w:r w:rsidRPr="00E430FD">
        <w:rPr>
          <w:noProof/>
        </w:rPr>
        <w:t>Е</w:t>
      </w:r>
      <w:r w:rsidRPr="00B658AE">
        <w:rPr>
          <w:noProof/>
          <w:lang w:val="en-US"/>
        </w:rPr>
        <w:t>.</w:t>
      </w:r>
      <w:r w:rsidRPr="00E430FD">
        <w:rPr>
          <w:noProof/>
        </w:rPr>
        <w:t>Ю</w:t>
      </w:r>
      <w:r w:rsidRPr="00B658AE">
        <w:rPr>
          <w:noProof/>
          <w:lang w:val="en-US"/>
        </w:rPr>
        <w:t xml:space="preserve">., </w:t>
      </w:r>
      <w:r w:rsidRPr="00E430FD">
        <w:rPr>
          <w:noProof/>
        </w:rPr>
        <w:t>Капланская</w:t>
      </w:r>
      <w:r w:rsidRPr="00B658AE">
        <w:rPr>
          <w:noProof/>
          <w:lang w:val="en-US"/>
        </w:rPr>
        <w:t xml:space="preserve"> </w:t>
      </w:r>
      <w:r w:rsidRPr="00E430FD">
        <w:rPr>
          <w:noProof/>
        </w:rPr>
        <w:t>И</w:t>
      </w:r>
      <w:r w:rsidRPr="00B658AE">
        <w:rPr>
          <w:noProof/>
          <w:lang w:val="en-US"/>
        </w:rPr>
        <w:t>.</w:t>
      </w:r>
      <w:r w:rsidRPr="00E430FD">
        <w:rPr>
          <w:noProof/>
        </w:rPr>
        <w:t>Б</w:t>
      </w:r>
      <w:r w:rsidRPr="00B658AE">
        <w:rPr>
          <w:noProof/>
          <w:lang w:val="en-US"/>
        </w:rPr>
        <w:t xml:space="preserve">., </w:t>
      </w:r>
      <w:r w:rsidRPr="00E430FD">
        <w:rPr>
          <w:noProof/>
        </w:rPr>
        <w:t>Воробьев</w:t>
      </w:r>
      <w:r w:rsidRPr="00B658AE">
        <w:rPr>
          <w:noProof/>
          <w:lang w:val="en-US"/>
        </w:rPr>
        <w:t xml:space="preserve"> </w:t>
      </w:r>
      <w:r w:rsidRPr="00E430FD">
        <w:rPr>
          <w:noProof/>
        </w:rPr>
        <w:t>И</w:t>
      </w:r>
      <w:r w:rsidRPr="00B658AE">
        <w:rPr>
          <w:noProof/>
          <w:lang w:val="en-US"/>
        </w:rPr>
        <w:t>.</w:t>
      </w:r>
      <w:r w:rsidRPr="00E430FD">
        <w:rPr>
          <w:noProof/>
        </w:rPr>
        <w:t>А</w:t>
      </w:r>
      <w:r w:rsidRPr="00B658AE">
        <w:rPr>
          <w:noProof/>
          <w:lang w:val="en-US"/>
        </w:rPr>
        <w:t xml:space="preserve">., </w:t>
      </w:r>
      <w:r w:rsidRPr="00E430FD">
        <w:rPr>
          <w:noProof/>
        </w:rPr>
        <w:t>Грецов</w:t>
      </w:r>
      <w:r w:rsidRPr="00B658AE">
        <w:rPr>
          <w:noProof/>
          <w:lang w:val="en-US"/>
        </w:rPr>
        <w:t xml:space="preserve"> </w:t>
      </w:r>
      <w:r w:rsidRPr="00E430FD">
        <w:rPr>
          <w:noProof/>
        </w:rPr>
        <w:t>Е</w:t>
      </w:r>
      <w:r w:rsidRPr="00B658AE">
        <w:rPr>
          <w:noProof/>
          <w:lang w:val="en-US"/>
        </w:rPr>
        <w:t>.</w:t>
      </w:r>
      <w:r w:rsidRPr="00E430FD">
        <w:rPr>
          <w:noProof/>
        </w:rPr>
        <w:t>М</w:t>
      </w:r>
      <w:r w:rsidRPr="00B658AE">
        <w:rPr>
          <w:noProof/>
          <w:lang w:val="en-US"/>
        </w:rPr>
        <w:t xml:space="preserve">., </w:t>
      </w:r>
      <w:r w:rsidRPr="00E430FD">
        <w:rPr>
          <w:noProof/>
        </w:rPr>
        <w:t>Калинин</w:t>
      </w:r>
      <w:r w:rsidRPr="00B658AE">
        <w:rPr>
          <w:noProof/>
          <w:lang w:val="en-US"/>
        </w:rPr>
        <w:t xml:space="preserve"> </w:t>
      </w:r>
      <w:r w:rsidRPr="00E430FD">
        <w:rPr>
          <w:noProof/>
        </w:rPr>
        <w:t>Н</w:t>
      </w:r>
      <w:r w:rsidRPr="00B658AE">
        <w:rPr>
          <w:noProof/>
          <w:lang w:val="en-US"/>
        </w:rPr>
        <w:t>.</w:t>
      </w:r>
      <w:r w:rsidRPr="00E430FD">
        <w:rPr>
          <w:noProof/>
        </w:rPr>
        <w:t>Н</w:t>
      </w:r>
      <w:r w:rsidRPr="00B658AE">
        <w:rPr>
          <w:noProof/>
          <w:lang w:val="en-US"/>
        </w:rPr>
        <w:t xml:space="preserve">., </w:t>
      </w:r>
      <w:r w:rsidRPr="00E430FD">
        <w:rPr>
          <w:noProof/>
        </w:rPr>
        <w:t>Варламова</w:t>
      </w:r>
      <w:r w:rsidRPr="00B658AE">
        <w:rPr>
          <w:noProof/>
          <w:lang w:val="en-US"/>
        </w:rPr>
        <w:t xml:space="preserve"> </w:t>
      </w:r>
      <w:r w:rsidRPr="00E430FD">
        <w:rPr>
          <w:noProof/>
        </w:rPr>
        <w:t>С</w:t>
      </w:r>
      <w:r w:rsidRPr="00B658AE">
        <w:rPr>
          <w:noProof/>
          <w:lang w:val="en-US"/>
        </w:rPr>
        <w:t>.</w:t>
      </w:r>
      <w:r w:rsidRPr="00E430FD">
        <w:rPr>
          <w:noProof/>
        </w:rPr>
        <w:t>В</w:t>
      </w:r>
      <w:r w:rsidRPr="00B658AE">
        <w:rPr>
          <w:noProof/>
          <w:lang w:val="en-US"/>
        </w:rPr>
        <w:t xml:space="preserve">., </w:t>
      </w:r>
      <w:r w:rsidRPr="00E430FD">
        <w:rPr>
          <w:noProof/>
        </w:rPr>
        <w:t>Клясова</w:t>
      </w:r>
      <w:r w:rsidRPr="00B658AE">
        <w:rPr>
          <w:noProof/>
          <w:lang w:val="en-US"/>
        </w:rPr>
        <w:t xml:space="preserve"> </w:t>
      </w:r>
      <w:r w:rsidRPr="00E430FD">
        <w:rPr>
          <w:noProof/>
        </w:rPr>
        <w:t>Г</w:t>
      </w:r>
      <w:r w:rsidRPr="00B658AE">
        <w:rPr>
          <w:noProof/>
          <w:lang w:val="en-US"/>
        </w:rPr>
        <w:t>.</w:t>
      </w:r>
      <w:r w:rsidRPr="00E430FD">
        <w:rPr>
          <w:noProof/>
        </w:rPr>
        <w:t>А</w:t>
      </w:r>
      <w:r w:rsidRPr="00B658AE">
        <w:rPr>
          <w:noProof/>
          <w:lang w:val="en-US"/>
        </w:rPr>
        <w:t xml:space="preserve">., </w:t>
      </w:r>
      <w:r w:rsidRPr="00E430FD">
        <w:rPr>
          <w:noProof/>
        </w:rPr>
        <w:t>Тихонова</w:t>
      </w:r>
      <w:r w:rsidRPr="00B658AE">
        <w:rPr>
          <w:noProof/>
          <w:lang w:val="en-US"/>
        </w:rPr>
        <w:t xml:space="preserve"> </w:t>
      </w:r>
      <w:r w:rsidRPr="00E430FD">
        <w:rPr>
          <w:noProof/>
        </w:rPr>
        <w:t>Л</w:t>
      </w:r>
      <w:r w:rsidRPr="00B658AE">
        <w:rPr>
          <w:noProof/>
          <w:lang w:val="en-US"/>
        </w:rPr>
        <w:t>.</w:t>
      </w:r>
      <w:r w:rsidRPr="00E430FD">
        <w:rPr>
          <w:noProof/>
        </w:rPr>
        <w:t>Ю</w:t>
      </w:r>
      <w:r w:rsidRPr="00B658AE">
        <w:rPr>
          <w:noProof/>
          <w:lang w:val="en-US"/>
        </w:rPr>
        <w:t xml:space="preserve">. </w:t>
      </w:r>
      <w:r w:rsidRPr="00E430FD">
        <w:rPr>
          <w:noProof/>
        </w:rPr>
        <w:t>С</w:t>
      </w:r>
      <w:r w:rsidRPr="00B658AE">
        <w:rPr>
          <w:noProof/>
          <w:lang w:val="en-US"/>
        </w:rPr>
        <w:t>.</w:t>
      </w:r>
      <w:r w:rsidRPr="00E430FD">
        <w:rPr>
          <w:noProof/>
        </w:rPr>
        <w:t>В</w:t>
      </w:r>
      <w:r w:rsidRPr="00B658AE">
        <w:rPr>
          <w:noProof/>
          <w:lang w:val="en-US"/>
        </w:rPr>
        <w:t>.</w:t>
      </w:r>
      <w:r w:rsidRPr="00E430FD">
        <w:rPr>
          <w:noProof/>
        </w:rPr>
        <w:t>Г</w:t>
      </w:r>
      <w:r w:rsidRPr="00B658AE">
        <w:rPr>
          <w:noProof/>
          <w:lang w:val="en-US"/>
        </w:rPr>
        <w:t xml:space="preserve">. </w:t>
      </w:r>
      <w:r w:rsidRPr="00E430FD">
        <w:rPr>
          <w:noProof/>
        </w:rPr>
        <w:t>Мобилизация</w:t>
      </w:r>
      <w:r w:rsidRPr="00B658AE">
        <w:rPr>
          <w:noProof/>
          <w:lang w:val="en-US"/>
        </w:rPr>
        <w:t xml:space="preserve"> </w:t>
      </w:r>
      <w:r w:rsidRPr="00E430FD">
        <w:rPr>
          <w:noProof/>
        </w:rPr>
        <w:t>гемопоэтических</w:t>
      </w:r>
      <w:r w:rsidRPr="00B658AE">
        <w:rPr>
          <w:noProof/>
          <w:lang w:val="en-US"/>
        </w:rPr>
        <w:t xml:space="preserve"> </w:t>
      </w:r>
      <w:r w:rsidRPr="00E430FD">
        <w:rPr>
          <w:noProof/>
        </w:rPr>
        <w:t>клеток</w:t>
      </w:r>
      <w:r w:rsidRPr="00B658AE">
        <w:rPr>
          <w:noProof/>
          <w:lang w:val="en-US"/>
        </w:rPr>
        <w:t xml:space="preserve"> </w:t>
      </w:r>
      <w:r w:rsidRPr="00E430FD">
        <w:rPr>
          <w:noProof/>
        </w:rPr>
        <w:t>крови</w:t>
      </w:r>
      <w:r w:rsidRPr="00B658AE">
        <w:rPr>
          <w:noProof/>
          <w:lang w:val="en-US"/>
        </w:rPr>
        <w:t xml:space="preserve"> </w:t>
      </w:r>
      <w:r w:rsidRPr="00E430FD">
        <w:rPr>
          <w:noProof/>
        </w:rPr>
        <w:t>у</w:t>
      </w:r>
      <w:r w:rsidRPr="00B658AE">
        <w:rPr>
          <w:noProof/>
          <w:lang w:val="en-US"/>
        </w:rPr>
        <w:t xml:space="preserve"> </w:t>
      </w:r>
      <w:r w:rsidRPr="00E430FD">
        <w:rPr>
          <w:noProof/>
        </w:rPr>
        <w:t>больных</w:t>
      </w:r>
      <w:r w:rsidRPr="00B658AE">
        <w:rPr>
          <w:noProof/>
          <w:lang w:val="en-US"/>
        </w:rPr>
        <w:t xml:space="preserve"> </w:t>
      </w:r>
      <w:r w:rsidRPr="00E430FD">
        <w:rPr>
          <w:noProof/>
        </w:rPr>
        <w:t>миеломной</w:t>
      </w:r>
      <w:r w:rsidRPr="00B658AE">
        <w:rPr>
          <w:noProof/>
          <w:lang w:val="en-US"/>
        </w:rPr>
        <w:t xml:space="preserve"> </w:t>
      </w:r>
      <w:r w:rsidRPr="00E430FD">
        <w:rPr>
          <w:noProof/>
        </w:rPr>
        <w:t>болезнью</w:t>
      </w:r>
      <w:r w:rsidRPr="00B658AE">
        <w:rPr>
          <w:noProof/>
          <w:lang w:val="en-US"/>
        </w:rPr>
        <w:t xml:space="preserve"> // </w:t>
      </w:r>
      <w:r w:rsidRPr="00E430FD">
        <w:rPr>
          <w:noProof/>
        </w:rPr>
        <w:t>Проблемы</w:t>
      </w:r>
      <w:r w:rsidRPr="00B658AE">
        <w:rPr>
          <w:noProof/>
          <w:lang w:val="en-US"/>
        </w:rPr>
        <w:t xml:space="preserve"> </w:t>
      </w:r>
      <w:r w:rsidRPr="00E430FD">
        <w:rPr>
          <w:noProof/>
        </w:rPr>
        <w:t>гематологии</w:t>
      </w:r>
      <w:r w:rsidRPr="00B658AE">
        <w:rPr>
          <w:noProof/>
          <w:lang w:val="en-US"/>
        </w:rPr>
        <w:t xml:space="preserve"> </w:t>
      </w:r>
      <w:r w:rsidRPr="00E430FD">
        <w:rPr>
          <w:noProof/>
        </w:rPr>
        <w:t>и</w:t>
      </w:r>
      <w:r w:rsidRPr="00B658AE">
        <w:rPr>
          <w:noProof/>
          <w:lang w:val="en-US"/>
        </w:rPr>
        <w:t xml:space="preserve"> </w:t>
      </w:r>
      <w:r w:rsidRPr="00E430FD">
        <w:rPr>
          <w:noProof/>
        </w:rPr>
        <w:t>переливания</w:t>
      </w:r>
      <w:r w:rsidRPr="00B658AE">
        <w:rPr>
          <w:noProof/>
          <w:lang w:val="en-US"/>
        </w:rPr>
        <w:t>. 2003. P. 55–56.</w:t>
      </w:r>
    </w:p>
    <w:p w14:paraId="6FEDF38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100.</w:t>
      </w:r>
      <w:r w:rsidRPr="00B658AE">
        <w:rPr>
          <w:noProof/>
          <w:lang w:val="en-US"/>
        </w:rPr>
        <w:tab/>
        <w:t>Olivieri A. et al. Proposed definition of “poor mobilizer” in lymphoma and multiple myeloma: An analytic hierarchy process by ad hoc working group Gruppo ItalianoTrapianto di Midollo Osseo // Bone Marrow Transplant. Bone Marrow Transplant, 2012. Vol. 47, № 3. P. 342–351.</w:t>
      </w:r>
    </w:p>
    <w:p w14:paraId="16A3EF5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101.</w:t>
      </w:r>
      <w:r w:rsidRPr="00B658AE">
        <w:rPr>
          <w:noProof/>
          <w:lang w:val="en-US"/>
        </w:rPr>
        <w:tab/>
        <w:t>Yang B.B., Kido A. Pharmacokinetics and pharmacodynamics of pegfilgrastim // Clinical Pharmacokinetics. Clin Pharmacokinet, 2011. Vol. 50, № 5. P. 295–306.</w:t>
      </w:r>
    </w:p>
    <w:p w14:paraId="2A209A5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102.</w:t>
      </w:r>
      <w:r w:rsidRPr="00B658AE">
        <w:rPr>
          <w:noProof/>
          <w:lang w:val="en-US"/>
        </w:rPr>
        <w:tab/>
        <w:t>Costa L.J. et al. Pegfilgrastim-versus filgrastim-based autologous hematopoietic stem cell mobilization in the setting of preemptive use of plerixafor: Efficacy and cost analysis // Transfusion. Transfusion, 2012. Vol. 52, № 11. P. 2375–2381.</w:t>
      </w:r>
    </w:p>
    <w:p w14:paraId="3FCCEF7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103.</w:t>
      </w:r>
      <w:r w:rsidRPr="00B658AE">
        <w:rPr>
          <w:noProof/>
          <w:lang w:val="en-US"/>
        </w:rPr>
        <w:tab/>
        <w:t>Dale D.C. et al. A systematic literature review of the efficacy, effectiveness, and safety of filgrastim // Supportive Care in Cancer. Springer Verlag, 2018. Vol. 26, № 1. P. 7–20.</w:t>
      </w:r>
    </w:p>
    <w:p w14:paraId="340C74F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104.</w:t>
      </w:r>
      <w:r w:rsidRPr="00B658AE">
        <w:rPr>
          <w:noProof/>
          <w:lang w:val="en-US"/>
        </w:rPr>
        <w:tab/>
        <w:t xml:space="preserve">Smith T.J. et al. Recommendations for the use of WBC growth factors: American society of clinical oncology clinical practice guideline update // J. Clin. Oncol. American Society </w:t>
      </w:r>
      <w:r w:rsidRPr="00B658AE">
        <w:rPr>
          <w:noProof/>
          <w:lang w:val="en-US"/>
        </w:rPr>
        <w:lastRenderedPageBreak/>
        <w:t>of Clinical Oncology, 2015. Vol. 33, № 28. P. 3199–3212.</w:t>
      </w:r>
    </w:p>
    <w:p w14:paraId="5CF0DAEF"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105.</w:t>
      </w:r>
      <w:r w:rsidRPr="00B658AE">
        <w:rPr>
          <w:noProof/>
          <w:lang w:val="en-US"/>
        </w:rPr>
        <w:tab/>
        <w:t xml:space="preserve">Bilgin Y.M., De Greef G.E. Plerixafor for stem cell mobilization: The current status // Current Opinion in Hematology. </w:t>
      </w:r>
      <w:r w:rsidRPr="00E430FD">
        <w:rPr>
          <w:noProof/>
        </w:rPr>
        <w:t>Lippincott Williams and Wilkins, 2016. Vol. 23, № 1. P. 67–71.</w:t>
      </w:r>
    </w:p>
    <w:p w14:paraId="1F0BF88A" w14:textId="77777777" w:rsidR="00E430FD" w:rsidRPr="00E430FD" w:rsidRDefault="00E430FD" w:rsidP="00E430FD">
      <w:pPr>
        <w:widowControl w:val="0"/>
        <w:autoSpaceDE w:val="0"/>
        <w:autoSpaceDN w:val="0"/>
        <w:adjustRightInd w:val="0"/>
        <w:spacing w:before="0" w:after="0"/>
        <w:ind w:left="640" w:hanging="640"/>
        <w:rPr>
          <w:noProof/>
        </w:rPr>
      </w:pPr>
      <w:r w:rsidRPr="00E430FD">
        <w:rPr>
          <w:noProof/>
        </w:rPr>
        <w:t>106.</w:t>
      </w:r>
      <w:r w:rsidRPr="00E430FD">
        <w:rPr>
          <w:noProof/>
        </w:rPr>
        <w:tab/>
        <w:t>Бабенецкая Д.В., Моторин Д.В., Петров А.В., Алексеева Ю.А. З.А.Ю. Мобилизация гемопоэтических стволовых клеток препаратами циклофосфамид и цитарабин в сочетании с колониестимулирующим фактором у больных множественной миеломой, кандидатов для проведения трансплантации аутологичных гемопоэтических стволовых клеток // Гематология и трансфузиология. 2017. № 62(4). P. 180-187.</w:t>
      </w:r>
    </w:p>
    <w:p w14:paraId="294A8752" w14:textId="77777777" w:rsidR="00E430FD" w:rsidRPr="00E430FD" w:rsidRDefault="00E430FD" w:rsidP="00E430FD">
      <w:pPr>
        <w:widowControl w:val="0"/>
        <w:autoSpaceDE w:val="0"/>
        <w:autoSpaceDN w:val="0"/>
        <w:adjustRightInd w:val="0"/>
        <w:spacing w:before="0" w:after="0"/>
        <w:ind w:left="640" w:hanging="640"/>
        <w:rPr>
          <w:noProof/>
        </w:rPr>
      </w:pPr>
      <w:r w:rsidRPr="00E430FD">
        <w:rPr>
          <w:noProof/>
        </w:rPr>
        <w:t>107.</w:t>
      </w:r>
      <w:r w:rsidRPr="00E430FD">
        <w:rPr>
          <w:noProof/>
        </w:rPr>
        <w:tab/>
        <w:t>Покровская О.С. Кроветворная ткань и стромальное микроокружение в процессе интенсивной терапии и мобилизации гемопоэтических стволовых клеток у больных множественной миеломой: Автореф. дис.канд.мед.наук. 2011. Vol. 153. 29 p.</w:t>
      </w:r>
    </w:p>
    <w:p w14:paraId="2B362FAE" w14:textId="77777777" w:rsidR="00E430FD" w:rsidRPr="00B658AE" w:rsidRDefault="00E430FD" w:rsidP="00E430FD">
      <w:pPr>
        <w:widowControl w:val="0"/>
        <w:autoSpaceDE w:val="0"/>
        <w:autoSpaceDN w:val="0"/>
        <w:adjustRightInd w:val="0"/>
        <w:spacing w:before="0" w:after="0"/>
        <w:ind w:left="640" w:hanging="640"/>
        <w:rPr>
          <w:noProof/>
          <w:lang w:val="en-US"/>
        </w:rPr>
      </w:pPr>
      <w:r w:rsidRPr="00E430FD">
        <w:rPr>
          <w:noProof/>
        </w:rPr>
        <w:t>108.</w:t>
      </w:r>
      <w:r w:rsidRPr="00E430FD">
        <w:rPr>
          <w:noProof/>
        </w:rPr>
        <w:tab/>
        <w:t>Афанасьева О.И., Воинов В.А. Г.Ю.С. Экстракорпоральная гемокоррекция: терминология, языковые соответствия. СПб</w:t>
      </w:r>
      <w:r w:rsidRPr="00B658AE">
        <w:rPr>
          <w:noProof/>
          <w:lang w:val="en-US"/>
        </w:rPr>
        <w:t>, 2016. P. 7–15.</w:t>
      </w:r>
    </w:p>
    <w:p w14:paraId="58CFE65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109.</w:t>
      </w:r>
      <w:r w:rsidRPr="00B658AE">
        <w:rPr>
          <w:noProof/>
          <w:lang w:val="en-US"/>
        </w:rPr>
        <w:tab/>
        <w:t>Ikeda K. et al. Adverse Events Associated With Infusion of Hematopoietic Stem Cell Products: A Prospective and Multicenter Surveillance Study // Transfusion Medicine Reviews. W.B. Saunders, 2018. Vol. 32, № 3. P. 186–194.</w:t>
      </w:r>
    </w:p>
    <w:p w14:paraId="3AC4D0C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110.</w:t>
      </w:r>
      <w:r w:rsidRPr="00B658AE">
        <w:rPr>
          <w:noProof/>
          <w:lang w:val="en-US"/>
        </w:rPr>
        <w:tab/>
        <w:t>Sutherland D.R. et al. The ISHAGE guidelines for CD34+ cell determination by flow cytometry // Journal of Hematotherapy and Stem Cell Research. J Hematother, 1996. Vol. 5, № 3. P. 213–226.</w:t>
      </w:r>
    </w:p>
    <w:p w14:paraId="2B894F9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111.</w:t>
      </w:r>
      <w:r w:rsidRPr="00B658AE">
        <w:rPr>
          <w:noProof/>
          <w:lang w:val="en-US"/>
        </w:rPr>
        <w:tab/>
        <w:t>Attal M. et al. A Prospective, Randomized Trial of Autologous Bone Marrow Transplantation and Chemotherapy in Multiple Myeloma // N. Engl. J. Med. 1996. Vol. 335, № 2. P. 91–97.</w:t>
      </w:r>
    </w:p>
    <w:p w14:paraId="4DBEEE4E"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112.</w:t>
      </w:r>
      <w:r w:rsidRPr="00B658AE">
        <w:rPr>
          <w:noProof/>
          <w:lang w:val="en-US"/>
        </w:rPr>
        <w:tab/>
        <w:t>Fermand J.-P. et al. High-dose therapy and autologous blood stem-cell transplantation compared with conventional treatment in myeloma patients aged 55 to 65 years: long-term results of a randomized control trial from the Group Myelome-Autogreffe. // J. Clin. Oncol. 2005. Vol. 23, № 36. P. 9227–9233.</w:t>
      </w:r>
    </w:p>
    <w:p w14:paraId="30C904BF"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113.</w:t>
      </w:r>
      <w:r w:rsidRPr="00B658AE">
        <w:rPr>
          <w:noProof/>
          <w:lang w:val="en-US"/>
        </w:rPr>
        <w:tab/>
        <w:t>Attal M. et al. Single versus Double Autologous Stem-Cell Transplantation for Multiple Myeloma // N. Engl. J. Med. Massachusetts Medical Society, 2003. Vol. 349, № 26. P. 2495–2502.</w:t>
      </w:r>
    </w:p>
    <w:p w14:paraId="2AC7E82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114.</w:t>
      </w:r>
      <w:r w:rsidRPr="00B658AE">
        <w:rPr>
          <w:noProof/>
          <w:lang w:val="en-US"/>
        </w:rPr>
        <w:tab/>
        <w:t>Attal M. et al. Autologous Transplantation for Multiple Myeloma in the Era of New Drugs: A Phase III Study of the Intergroupe Francophone Du Myelome (IFM/DFCI 2009 Trial) // Blood. 2015. Vol. 126, № 23. P. 391–391.</w:t>
      </w:r>
    </w:p>
    <w:p w14:paraId="5221248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lastRenderedPageBreak/>
        <w:t>115.</w:t>
      </w:r>
      <w:r w:rsidRPr="00B658AE">
        <w:rPr>
          <w:noProof/>
          <w:lang w:val="en-US"/>
        </w:rPr>
        <w:tab/>
        <w:t>Gay F. et al. Autologous transplant vs oral chemotherapy and lenalidomide in newly diagnosed young myeloma patients: a pooled analysis // Leukemia. 2017. Vol. 31, № 8. P. 1727–1734.</w:t>
      </w:r>
    </w:p>
    <w:p w14:paraId="5C8380D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116.</w:t>
      </w:r>
      <w:r w:rsidRPr="00B658AE">
        <w:rPr>
          <w:noProof/>
          <w:lang w:val="en-US"/>
        </w:rPr>
        <w:tab/>
        <w:t>Auner H.W. et al. Infectious complications after autologous hematopoietic stem cell transplantation: Comparison of patients with acute myeloid leukemia, malignant lymphoma, and multiple myeloma // Ann. Hematol. Ann Hematol, 2002. Vol. 81, № 7. P. 374–377.</w:t>
      </w:r>
    </w:p>
    <w:p w14:paraId="3BF2DFF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117.</w:t>
      </w:r>
      <w:r w:rsidRPr="00B658AE">
        <w:rPr>
          <w:noProof/>
          <w:lang w:val="en-US"/>
        </w:rPr>
        <w:tab/>
        <w:t>Gil L., Styczynski J., Komarnicki M. Infectious complication in 314 patients after high-dose therapy and autologous hematopoietic stem cell transplantation: Risk factors analysis and outcome // Infection. Infection, 2007. Vol. 35, № 6. P. 421–427.</w:t>
      </w:r>
    </w:p>
    <w:p w14:paraId="6F861BF5"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118.</w:t>
      </w:r>
      <w:r w:rsidRPr="00B658AE">
        <w:rPr>
          <w:noProof/>
          <w:lang w:val="en-US"/>
        </w:rPr>
        <w:tab/>
        <w:t>Eleutherakis-Papaiakovou E. et al. Prophylactic antibiotics for the prevention of neutropenic fever in patients undergoing autologous stem-cell transplantation: Results of a single institution, randomized phase 2 trial // Am. J. Hematol. Am J Hematol, 2010. Vol. 85, № 11. P. 863–867.</w:t>
      </w:r>
    </w:p>
    <w:p w14:paraId="06EB661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119.</w:t>
      </w:r>
      <w:r w:rsidRPr="00B658AE">
        <w:rPr>
          <w:noProof/>
          <w:lang w:val="en-US"/>
        </w:rPr>
        <w:tab/>
        <w:t>Neumann S. et al. Primary prophylaxis of bacterial infections and Pneumocystis jirovecii pneumonia in patients with hematological malignancies and solid tumors: Guidelines of the Infectious Diseases Working Party (AGIHO) of the German Society of Hematology and Oncology (DG // Annals of Hematology. Ann Hematol, 2013. Vol. 92, № 4. P. 433–442.</w:t>
      </w:r>
    </w:p>
    <w:p w14:paraId="0FB7488F"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120.</w:t>
      </w:r>
      <w:r w:rsidRPr="00B658AE">
        <w:rPr>
          <w:noProof/>
          <w:lang w:val="en-US"/>
        </w:rPr>
        <w:tab/>
        <w:t>Moghnieh R. et al. Bacteraemia post-autologous haematopoietic stem cell transplantation in the absence of antibacterial prophylaxis: a decade’s experience from Lebanon // Infection. Urban und Vogel GmbH, 2018. Vol. 46, № 6.</w:t>
      </w:r>
    </w:p>
    <w:p w14:paraId="05675A2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121.</w:t>
      </w:r>
      <w:r w:rsidRPr="00B658AE">
        <w:rPr>
          <w:noProof/>
          <w:lang w:val="en-US"/>
        </w:rPr>
        <w:tab/>
      </w:r>
      <w:r w:rsidRPr="00E430FD">
        <w:rPr>
          <w:noProof/>
        </w:rPr>
        <w:t>Клясова</w:t>
      </w:r>
      <w:r w:rsidRPr="00B658AE">
        <w:rPr>
          <w:noProof/>
          <w:lang w:val="en-US"/>
        </w:rPr>
        <w:t xml:space="preserve"> </w:t>
      </w:r>
      <w:r w:rsidRPr="00E430FD">
        <w:rPr>
          <w:noProof/>
        </w:rPr>
        <w:t>Г</w:t>
      </w:r>
      <w:r w:rsidRPr="00B658AE">
        <w:rPr>
          <w:noProof/>
          <w:lang w:val="en-US"/>
        </w:rPr>
        <w:t>.</w:t>
      </w:r>
      <w:r w:rsidRPr="00E430FD">
        <w:rPr>
          <w:noProof/>
        </w:rPr>
        <w:t>А</w:t>
      </w:r>
      <w:r w:rsidRPr="00B658AE">
        <w:rPr>
          <w:noProof/>
          <w:lang w:val="en-US"/>
        </w:rPr>
        <w:t xml:space="preserve">. et al. </w:t>
      </w:r>
      <w:r w:rsidRPr="00E430FD">
        <w:rPr>
          <w:noProof/>
        </w:rPr>
        <w:t xml:space="preserve">Эмпирическая антимикробная терапия у больных острыми лейкозами: итоги многоцентрового исследования // Терапевтический архив. </w:t>
      </w:r>
      <w:r w:rsidRPr="006310A4">
        <w:rPr>
          <w:noProof/>
          <w:lang w:val="en-US"/>
        </w:rPr>
        <w:t xml:space="preserve">1998. </w:t>
      </w:r>
      <w:r w:rsidRPr="00B658AE">
        <w:rPr>
          <w:noProof/>
          <w:lang w:val="en-US"/>
        </w:rPr>
        <w:t>Vol. 70, № 7. P. 15–21.</w:t>
      </w:r>
    </w:p>
    <w:p w14:paraId="68F9AF6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122.</w:t>
      </w:r>
      <w:r w:rsidRPr="00B658AE">
        <w:rPr>
          <w:noProof/>
          <w:lang w:val="en-US"/>
        </w:rPr>
        <w:tab/>
        <w:t>Lyubimova N. V. et al. Free light chains of immunoglobulins in the diagnosis and prognosis of multiple myeloma // Alm. Clin. Med. Moscow Regional Research and Clinical Institute (MONIKI), 2017. Vol. 45, № 2. P. 102–108.</w:t>
      </w:r>
    </w:p>
    <w:p w14:paraId="4DCBEA1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123.</w:t>
      </w:r>
      <w:r w:rsidRPr="00B658AE">
        <w:rPr>
          <w:noProof/>
          <w:lang w:val="en-US"/>
        </w:rPr>
        <w:tab/>
        <w:t>Bailly C. et al. PET Imaging for Initial Staging and Therapy Assessment in Multiple Myeloma Patients // Int. J. Mol. Sci. 2017. Vol. 18, № 2. P. 445.</w:t>
      </w:r>
    </w:p>
    <w:p w14:paraId="22DFAFF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124.</w:t>
      </w:r>
      <w:r w:rsidRPr="00B658AE">
        <w:rPr>
          <w:noProof/>
          <w:lang w:val="en-US"/>
        </w:rPr>
        <w:tab/>
        <w:t>Bartel T.B. et al. F18-fluorodeoxyglucose positron emission tomography in the context of other imaging techniques and prognostic factors in multiple myeloma. // Blood. 2009. Vol. 114, № 10. P. 2068–2076.</w:t>
      </w:r>
    </w:p>
    <w:p w14:paraId="7A6DB6F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125.</w:t>
      </w:r>
      <w:r w:rsidRPr="00B658AE">
        <w:rPr>
          <w:noProof/>
          <w:lang w:val="en-US"/>
        </w:rPr>
        <w:tab/>
        <w:t xml:space="preserve">Meignan M., Hutchings M., Schwartz L.H. Imaging in Lymphoma: The Key Role of Fluorodeoxyglucose‐Positron Emission Tomography // Oncologist. Wiley, 2015. Vol. 20, </w:t>
      </w:r>
      <w:r w:rsidRPr="00B658AE">
        <w:rPr>
          <w:noProof/>
          <w:lang w:val="en-US"/>
        </w:rPr>
        <w:lastRenderedPageBreak/>
        <w:t>№ 8. P. 890–895.</w:t>
      </w:r>
    </w:p>
    <w:p w14:paraId="5E11430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126.</w:t>
      </w:r>
      <w:r w:rsidRPr="00B658AE">
        <w:rPr>
          <w:noProof/>
          <w:lang w:val="en-US"/>
        </w:rPr>
        <w:tab/>
        <w:t>Moreau P. et al. Multiple myeloma: ESMO clinical practice guidelines for diagnosis, treatment and follow-up // Ann. Oncol. Oxford University Press, 2013. Vol. 24, № SUPPL.6.</w:t>
      </w:r>
    </w:p>
    <w:p w14:paraId="5746266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127.</w:t>
      </w:r>
      <w:r w:rsidRPr="00B658AE">
        <w:rPr>
          <w:noProof/>
          <w:lang w:val="en-US"/>
        </w:rPr>
        <w:tab/>
        <w:t>Haznedar R. et al. Value of 18 F-fluorodeoxyglucose uptake in positron emission tomography/computed tomography in predicting survival in multiple myeloma // Eur. J. Nucl. Med. Mol. Imaging. Springer Verlag, 2011. Vol. 38, № 6. P. 1046–1053.</w:t>
      </w:r>
    </w:p>
    <w:p w14:paraId="393C581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128.</w:t>
      </w:r>
      <w:r w:rsidRPr="00B658AE">
        <w:rPr>
          <w:noProof/>
          <w:lang w:val="en-US"/>
        </w:rPr>
        <w:tab/>
        <w:t>Latifoltojar A. et al. Whole body magnetic resonance imaging in newly diagnosed multiple myeloma: early changes in lesional signal fat fraction predict disease response // Br. J. Haematol. Blackwell Publishing Ltd, 2017. Vol. 176, № 2. P. 222–233.</w:t>
      </w:r>
    </w:p>
    <w:p w14:paraId="5B0B80C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129.</w:t>
      </w:r>
      <w:r w:rsidRPr="00B658AE">
        <w:rPr>
          <w:noProof/>
          <w:lang w:val="en-US"/>
        </w:rPr>
        <w:tab/>
        <w:t>Usmani S.Z. et al. Prognostic implications of serial 18-fluoro-deoxyglucose emission tomography in multiple myeloma treated with total therapy 3 // Blood. 2013. Vol. 121, № 10. P. 1819–1823.</w:t>
      </w:r>
    </w:p>
    <w:p w14:paraId="6358551E"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130.</w:t>
      </w:r>
      <w:r w:rsidRPr="00B658AE">
        <w:rPr>
          <w:noProof/>
          <w:lang w:val="en-US"/>
        </w:rPr>
        <w:tab/>
        <w:t>Stetler-Stevenson M. et al. Consensus guidelines for myeloma minimal residual disease sample staining and data acquisition // Cytom. Part B - Clin. Cytom. 2016.</w:t>
      </w:r>
    </w:p>
    <w:p w14:paraId="4EC63F4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131.</w:t>
      </w:r>
      <w:r w:rsidRPr="00B658AE">
        <w:rPr>
          <w:noProof/>
          <w:lang w:val="en-US"/>
        </w:rPr>
        <w:tab/>
        <w:t>Goyal S., Singh U.R., Rusia U. Comparative evaluation of bone marrow aspirate with trephine biopsy in hematological disorders and determination of optimum trephine length in lymphoma infiltration // Mediterr. J. Hematol. Infect. Dis. Catholic University in Rome, 2014. Vol. 6, № 1. P. 2014002.</w:t>
      </w:r>
    </w:p>
    <w:p w14:paraId="26768FC4" w14:textId="77777777" w:rsidR="00E430FD" w:rsidRPr="00E430FD" w:rsidRDefault="00E430FD" w:rsidP="00E430FD">
      <w:pPr>
        <w:widowControl w:val="0"/>
        <w:autoSpaceDE w:val="0"/>
        <w:autoSpaceDN w:val="0"/>
        <w:adjustRightInd w:val="0"/>
        <w:spacing w:before="0" w:after="0"/>
        <w:ind w:left="640" w:hanging="640"/>
        <w:rPr>
          <w:noProof/>
        </w:rPr>
      </w:pPr>
      <w:r w:rsidRPr="00E430FD">
        <w:rPr>
          <w:noProof/>
        </w:rPr>
        <w:t>132.</w:t>
      </w:r>
      <w:r w:rsidRPr="00E430FD">
        <w:rPr>
          <w:noProof/>
        </w:rPr>
        <w:tab/>
        <w:t>Инструкция по медицинскому применению лекарственного препарата деносумаб (ЛП-000871) - Министерство здравоохранения России, 21 с.</w:t>
      </w:r>
    </w:p>
    <w:p w14:paraId="2D76072E"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133.</w:t>
      </w:r>
      <w:r w:rsidRPr="00B658AE">
        <w:rPr>
          <w:noProof/>
          <w:lang w:val="en-US"/>
        </w:rPr>
        <w:tab/>
        <w:t>Raje N. et al. Denosumab versus zoledronic acid in bone disease treatment of newly diagnosed multiple myeloma: an international, double-blind, double-dummy, randomised, controlled, phase 3 study // Lancet Oncol. Lancet Publishing Group, 2018. Vol. 19, № 3. P. 370–381.</w:t>
      </w:r>
    </w:p>
    <w:p w14:paraId="23FE334C"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134.</w:t>
      </w:r>
      <w:r w:rsidRPr="00B658AE">
        <w:rPr>
          <w:noProof/>
          <w:lang w:val="en-US"/>
        </w:rPr>
        <w:tab/>
        <w:t>Burkiewicz J.S., Scarpace S.L., Bruce S.P. Denosumab in Osteoporosis and Oncology New Drug Developments // Ann. Pharmacother. I. 2009. Vol. 43. P. 1445.</w:t>
      </w:r>
    </w:p>
    <w:p w14:paraId="6A02BE4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135.</w:t>
      </w:r>
      <w:r w:rsidRPr="00B658AE">
        <w:rPr>
          <w:noProof/>
          <w:lang w:val="en-US"/>
        </w:rPr>
        <w:tab/>
        <w:t>Lacy M.Q. et al. Mayo Clinic consensus statement for the use of bisphosphonates in multiple myeloma // Mayo Clin. Proc. Elsevier Ltd, 2006. Vol. 81, № 8. P. 1047–1053.</w:t>
      </w:r>
    </w:p>
    <w:p w14:paraId="064B8C0F"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136.</w:t>
      </w:r>
      <w:r w:rsidRPr="00B658AE">
        <w:rPr>
          <w:noProof/>
          <w:lang w:val="en-US"/>
        </w:rPr>
        <w:tab/>
        <w:t>Terpos E. et al. The use of bisphosphonates in multiple myeloma: Recommendations of an expert panel on behalf of the European Myeloma Network // Annals of Oncology. Ann Oncol, 2009. Vol. 20, № 8. P. 1303–1317.</w:t>
      </w:r>
    </w:p>
    <w:p w14:paraId="1B48C72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137.</w:t>
      </w:r>
      <w:r w:rsidRPr="00B658AE">
        <w:rPr>
          <w:noProof/>
          <w:lang w:val="en-US"/>
        </w:rPr>
        <w:tab/>
        <w:t xml:space="preserve">Anderson K. et al. Role of bone-modifying agents in multiple myeloma: American society of clinical oncology clinical practice guideline update // J. Clin. Oncol. American Society </w:t>
      </w:r>
      <w:r w:rsidRPr="00B658AE">
        <w:rPr>
          <w:noProof/>
          <w:lang w:val="en-US"/>
        </w:rPr>
        <w:lastRenderedPageBreak/>
        <w:t>of Clinical Oncology, 2018. Vol. 36, № 8. P. 812–818.</w:t>
      </w:r>
    </w:p>
    <w:p w14:paraId="520C393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138.</w:t>
      </w:r>
      <w:r w:rsidRPr="00B658AE">
        <w:rPr>
          <w:noProof/>
          <w:lang w:val="en-US"/>
        </w:rPr>
        <w:tab/>
        <w:t>Crockett J.C. et al. New knowledge on critical osteoclast formation and activation pathways from study of rare genetic diseases of osteoclasts: Focus on the RANK/RANKL axis // Osteoporosis International. Osteoporos Int, 2011. Vol. 22, № 1. P. 1–20.</w:t>
      </w:r>
    </w:p>
    <w:p w14:paraId="39FBF95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139.</w:t>
      </w:r>
      <w:r w:rsidRPr="00B658AE">
        <w:rPr>
          <w:noProof/>
          <w:lang w:val="en-US"/>
        </w:rPr>
        <w:tab/>
        <w:t>Mikami S. et al. Invasion and metastasis of renal cell carcinoma // Medical Molecular Morphology. Springer-Verlag Tokyo, 2014. Vol. 47, № 2. P. 63–67.</w:t>
      </w:r>
    </w:p>
    <w:p w14:paraId="1298D925"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140.</w:t>
      </w:r>
      <w:r w:rsidRPr="00B658AE">
        <w:rPr>
          <w:noProof/>
          <w:lang w:val="en-US"/>
        </w:rPr>
        <w:tab/>
        <w:t>Terpos E. et al. International myeloma working group recommendations for the treatment of multiple myeloma-related bone disease // J. Clin. Oncol. American Society of Clinical Oncology, 2013. Vol. 31, № 18. P. 2347–2357.</w:t>
      </w:r>
    </w:p>
    <w:p w14:paraId="0CCF1AD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141.</w:t>
      </w:r>
      <w:r w:rsidRPr="00B658AE">
        <w:rPr>
          <w:noProof/>
          <w:lang w:val="en-US"/>
        </w:rPr>
        <w:tab/>
        <w:t>Morgan G.J. et al. Effects of induction and maintenance plus long-term bisphosphonates on bone disease in patients with multiple myeloma: The Medical Research Council Myeloma IX Trial // Blood. Blood, 2012. Vol. 119, № 23. P. 5374–5383.</w:t>
      </w:r>
    </w:p>
    <w:p w14:paraId="0044642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142.</w:t>
      </w:r>
      <w:r w:rsidRPr="00B658AE">
        <w:rPr>
          <w:noProof/>
          <w:lang w:val="en-US"/>
        </w:rPr>
        <w:tab/>
        <w:t>Berenson J.R. et al. Efficacy of Pamidronate in Reducing Skeletal Events in Patients with Advanced Multiple Myeloma // N. Engl. J. Med. Massachusetts Medical Society, 1996. Vol. 334, № 8. P. 488–493.</w:t>
      </w:r>
    </w:p>
    <w:p w14:paraId="5AC2BD5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143.</w:t>
      </w:r>
      <w:r w:rsidRPr="00B658AE">
        <w:rPr>
          <w:noProof/>
          <w:lang w:val="en-US"/>
        </w:rPr>
        <w:tab/>
        <w:t>Morgan G.J. et al. First-line treatment with zoledronic acid as compared with clodronic acid in multiple myeloma (MRC Myeloma IX): A randomised controlled trial // Lancet. Lancet, 2010. Vol. 376, № 9757. P. 1989–1999.</w:t>
      </w:r>
    </w:p>
    <w:p w14:paraId="7BE609D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144.</w:t>
      </w:r>
      <w:r w:rsidRPr="00B658AE">
        <w:rPr>
          <w:noProof/>
          <w:lang w:val="en-US"/>
        </w:rPr>
        <w:tab/>
        <w:t>Rosen L.S. et al. Long-term efficacy and safety of zoledronic acid compared with pamidronate disodium in the treatment of skeletal complications in patients with advanced multiple myeloma or breast carcinoma: A randomized, double-blind, multicenter, comparative trial // Cancer. Cancer, 2003. Vol. 98, № 8. P. 1735–1744.</w:t>
      </w:r>
    </w:p>
    <w:p w14:paraId="431492E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145.</w:t>
      </w:r>
      <w:r w:rsidRPr="00B658AE">
        <w:rPr>
          <w:noProof/>
          <w:lang w:val="en-US"/>
        </w:rPr>
        <w:tab/>
        <w:t>Anastasilakis A.D. et al. RANKL inhibition for the management of patients with benign metabolic bone disorders // Expert Opinion on Investigational Drugs. Expert Opin Investig Drugs, 2009. Vol. 18, № 8. P. 1085–1102.</w:t>
      </w:r>
    </w:p>
    <w:p w14:paraId="0753EC3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146.</w:t>
      </w:r>
      <w:r w:rsidRPr="00B658AE">
        <w:rPr>
          <w:noProof/>
          <w:lang w:val="en-US"/>
        </w:rPr>
        <w:tab/>
        <w:t>Santini D. et al. Expression pattern of receptor activator of NF</w:t>
      </w:r>
      <w:r w:rsidRPr="00E430FD">
        <w:rPr>
          <w:noProof/>
        </w:rPr>
        <w:t>κ</w:t>
      </w:r>
      <w:r w:rsidRPr="00B658AE">
        <w:rPr>
          <w:noProof/>
          <w:lang w:val="en-US"/>
        </w:rPr>
        <w:t>B (RANK) in a series of primary solid tumors and related bone metastases // J. Cell. Physiol. J Cell Physiol, 2011. Vol. 226, № 3. P. 780–784.</w:t>
      </w:r>
    </w:p>
    <w:p w14:paraId="3999434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147.</w:t>
      </w:r>
      <w:r w:rsidRPr="00B658AE">
        <w:rPr>
          <w:noProof/>
          <w:lang w:val="en-US"/>
        </w:rPr>
        <w:tab/>
        <w:t>Casimiro S. et al. RANKL/RANK/MMP-1 Molecular Triad Contributes to the Metastatic Phenotype of Breast and Prostate Cancer Cells In Vitro // PLoS One. PLoS One, 2013. Vol. 8, № 5.</w:t>
      </w:r>
    </w:p>
    <w:p w14:paraId="47B70A6E"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148.</w:t>
      </w:r>
      <w:r w:rsidRPr="00B658AE">
        <w:rPr>
          <w:noProof/>
          <w:lang w:val="en-US"/>
        </w:rPr>
        <w:tab/>
        <w:t>Delmas P.D. Clinical Potential of RANKL Inhibition for the Management of Postmenopausal Osteoporosis and Other Metabolic Bone Diseases // Journal of Clinical Densitometry. J Clin Densitom, 2008. Vol. 11, № 2. P. 325–338.</w:t>
      </w:r>
    </w:p>
    <w:p w14:paraId="5417FFAB"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lastRenderedPageBreak/>
        <w:t>149.</w:t>
      </w:r>
      <w:r w:rsidRPr="00B658AE">
        <w:rPr>
          <w:noProof/>
          <w:lang w:val="en-US"/>
        </w:rPr>
        <w:tab/>
        <w:t>Sattler A.M. et al. Novel Aspects on RANK Ligand and Osteoprotegerin in Osteoporosis and Vascular Disease // Calcif. Tissue Int. 2004. Vol. 74, № 1. P. 103–106.</w:t>
      </w:r>
    </w:p>
    <w:p w14:paraId="37B8179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150.</w:t>
      </w:r>
      <w:r w:rsidRPr="00B658AE">
        <w:rPr>
          <w:noProof/>
          <w:lang w:val="en-US"/>
        </w:rPr>
        <w:tab/>
        <w:t>Boyce B.F., Xing L. Functions of RANKL/RANK/OPG in bone modeling and remodeling // Archives of Biochemistry and Biophysics. NIH Public Access, 2008. Vol. 473, № 2. P. 139–146.</w:t>
      </w:r>
    </w:p>
    <w:p w14:paraId="2C6CE45A"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151.</w:t>
      </w:r>
      <w:r w:rsidRPr="00B658AE">
        <w:rPr>
          <w:noProof/>
          <w:lang w:val="en-US"/>
        </w:rPr>
        <w:tab/>
        <w:t>Timotheadou E. et al. Evaluation of the Prognostic Value of RANK, OPG, and RANKL mRNA Expression in Early Breast Cancer Patients Treated with Anthracycline-Based Adjuvant Chemotherapy // Transl. Oncol. Neoplasia Press, Inc., 2017. Vol. 10, № 4. P. 589–598.</w:t>
      </w:r>
    </w:p>
    <w:p w14:paraId="68811FE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152.</w:t>
      </w:r>
      <w:r w:rsidRPr="00B658AE">
        <w:rPr>
          <w:noProof/>
          <w:lang w:val="en-US"/>
        </w:rPr>
        <w:tab/>
        <w:t>Zamagni E. et al. Prognostic relevance of 18-F FDG PET/CT in newly diagnosed multiple myeloma patients treated with up-front autologous transplantation // Blood. Blood, 2011. Vol. 118, № 23. P. 5989–5995.</w:t>
      </w:r>
    </w:p>
    <w:p w14:paraId="3CB16DCE"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153.</w:t>
      </w:r>
      <w:r w:rsidRPr="00B658AE">
        <w:rPr>
          <w:noProof/>
          <w:lang w:val="en-US"/>
        </w:rPr>
        <w:tab/>
        <w:t>Hesketh P.J. Chemotherapy-induced nausea and vomiting. // N. Engl. J. Med. N Engl J Med, 2008. Vol. 358, № 23. P. 2482–2494.</w:t>
      </w:r>
    </w:p>
    <w:p w14:paraId="7DCE5AF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154.</w:t>
      </w:r>
      <w:r w:rsidRPr="00B658AE">
        <w:rPr>
          <w:noProof/>
          <w:lang w:val="en-US"/>
        </w:rPr>
        <w:tab/>
        <w:t>DeVita V.T., Chu E. A history of cancer chemotherapy. // Cancer Res. Cancer Res, 2008. Vol. 68, № 21. P. 8643–8653.</w:t>
      </w:r>
    </w:p>
    <w:p w14:paraId="70849B7B"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155.</w:t>
      </w:r>
      <w:r w:rsidRPr="00B658AE">
        <w:rPr>
          <w:noProof/>
          <w:lang w:val="en-US"/>
        </w:rPr>
        <w:tab/>
        <w:t>Navari R.M., Aapro M. Antiemetic Prophylaxis for Chemotherapy-Induced Nausea and Vomiting // N. Engl. J. Med. New England Journal of Medicine (NEJM/MMS), 2016. Vol. 374, № 14. P. 1356–1367.</w:t>
      </w:r>
    </w:p>
    <w:p w14:paraId="2A4DB14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156.</w:t>
      </w:r>
      <w:r w:rsidRPr="00B658AE">
        <w:rPr>
          <w:noProof/>
          <w:lang w:val="en-US"/>
        </w:rPr>
        <w:tab/>
        <w:t>Bountra C. et al. Towards understanding the aetiology and pathophysiology of the emetic reflex: novel approaches to antiemetic drugs. // Oncology. Oncology, 1996. Vol. 53 Suppl 1. P. 102–109.</w:t>
      </w:r>
    </w:p>
    <w:p w14:paraId="019794F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157.</w:t>
      </w:r>
      <w:r w:rsidRPr="00B658AE">
        <w:rPr>
          <w:noProof/>
          <w:lang w:val="en-US"/>
        </w:rPr>
        <w:tab/>
        <w:t>Mitchelson F. Pharmacological agents affecting emesis. A review (Part I). // Drugs. Drugs, 1992. Vol. 43, № 3. P. 295–315.</w:t>
      </w:r>
    </w:p>
    <w:p w14:paraId="2F399D5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158.</w:t>
      </w:r>
      <w:r w:rsidRPr="00B658AE">
        <w:rPr>
          <w:noProof/>
          <w:lang w:val="en-US"/>
        </w:rPr>
        <w:tab/>
        <w:t>Berger M.J. et al. Antiemesis, version 2.2017 featured updates to the NCCN guidelines // JNCCN Journal of the National Comprehensive Cancer Network. Harborside Press, 2017. Vol. 15, № 7. P. 883–893.</w:t>
      </w:r>
    </w:p>
    <w:p w14:paraId="505610DC"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159.</w:t>
      </w:r>
      <w:r w:rsidRPr="00B658AE">
        <w:rPr>
          <w:noProof/>
          <w:lang w:val="en-US"/>
        </w:rPr>
        <w:tab/>
        <w:t>Leslie R.A. Neuroactive substances in the dorsal vagal complex of the medulla oblongata: nucleus of the tractus solitarius, area postrema, and dorsal motor nucleus of the vagus. // Neurochem. Int. Neurochem Int, 1985. Vol. 7, № 2. P. 191–211.</w:t>
      </w:r>
    </w:p>
    <w:p w14:paraId="10D1AFB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160.</w:t>
      </w:r>
      <w:r w:rsidRPr="00B658AE">
        <w:rPr>
          <w:noProof/>
          <w:lang w:val="en-US"/>
        </w:rPr>
        <w:tab/>
        <w:t>Patel P. et al. Aprepitant and fosaprepitant drug interactions: a systematic review. // Br. J. Clin. Pharmacol. Br J Clin Pharmacol, 2017. Vol. 83, № 10. P. 2148–2162.</w:t>
      </w:r>
    </w:p>
    <w:p w14:paraId="574F9F5B"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161.</w:t>
      </w:r>
      <w:r w:rsidRPr="00B658AE">
        <w:rPr>
          <w:noProof/>
          <w:lang w:val="en-US"/>
        </w:rPr>
        <w:tab/>
        <w:t xml:space="preserve">Roila F. et al. Prevention of chemotherapy- and radiotherapy-induced emesis: Results of the 2004 Perugia International Antiemetic Consensus Conference // Annals of Oncology. Ann </w:t>
      </w:r>
      <w:r w:rsidRPr="00B658AE">
        <w:rPr>
          <w:noProof/>
          <w:lang w:val="en-US"/>
        </w:rPr>
        <w:lastRenderedPageBreak/>
        <w:t>Oncol, 2006. Vol. 17, № 1. P. 20–28.</w:t>
      </w:r>
    </w:p>
    <w:p w14:paraId="24A13AA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162.</w:t>
      </w:r>
      <w:r w:rsidRPr="00B658AE">
        <w:rPr>
          <w:noProof/>
          <w:lang w:val="en-US"/>
        </w:rPr>
        <w:tab/>
        <w:t>Basch E. et al. Antiemetics: American Society of Clinical Oncology clinical practice guideline update // J. Clin. Oncol. J Clin Oncol, 2011. Vol. 29, № 31. P. 4189–4198.</w:t>
      </w:r>
    </w:p>
    <w:p w14:paraId="5853F547"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163.</w:t>
      </w:r>
      <w:r w:rsidRPr="00B658AE">
        <w:rPr>
          <w:noProof/>
          <w:lang w:val="en-US"/>
        </w:rPr>
        <w:tab/>
        <w:t>Hesketh P.J. et al. Antiemetics: American Society of Clinical Oncology clinical practice guideline update // Journal of Clinical Oncology. American Society of Clinical Oncology, 2017. Vol. 35, № 28. P. 3240–3261.</w:t>
      </w:r>
    </w:p>
    <w:p w14:paraId="27F5921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164.</w:t>
      </w:r>
      <w:r w:rsidRPr="00B658AE">
        <w:rPr>
          <w:noProof/>
          <w:lang w:val="en-US"/>
        </w:rPr>
        <w:tab/>
        <w:t>Razvi Y. et al. ASCO, NCCN, MASCC/ESMO: a comparison of antiemetic guidelines for the treatment of chemotherapy-induced nausea and vomiting in adult patients // Supportive Care in Cancer. Springer Verlag, 2019. Vol. 27, № 1. P. 87–95.</w:t>
      </w:r>
    </w:p>
    <w:p w14:paraId="12F33CE7"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165.</w:t>
      </w:r>
      <w:r w:rsidRPr="00B658AE">
        <w:rPr>
          <w:noProof/>
          <w:lang w:val="en-US"/>
        </w:rPr>
        <w:tab/>
        <w:t xml:space="preserve">Burget D.W., Chiverton S.G., Hunt R.H. Is there an optimal degree of acid suppression for healing of duodenal ulcers? A model of the relationship between ulcer healing and acid suppression // Gastroenterology. </w:t>
      </w:r>
      <w:r w:rsidRPr="00E430FD">
        <w:rPr>
          <w:noProof/>
        </w:rPr>
        <w:t>Gastroenterology, 1990. Vol. 99, № 2. P. 345–351.</w:t>
      </w:r>
    </w:p>
    <w:p w14:paraId="18741FA5" w14:textId="77777777" w:rsidR="00E430FD" w:rsidRPr="00B658AE" w:rsidRDefault="00E430FD" w:rsidP="00E430FD">
      <w:pPr>
        <w:widowControl w:val="0"/>
        <w:autoSpaceDE w:val="0"/>
        <w:autoSpaceDN w:val="0"/>
        <w:adjustRightInd w:val="0"/>
        <w:spacing w:before="0" w:after="0"/>
        <w:ind w:left="640" w:hanging="640"/>
        <w:rPr>
          <w:noProof/>
          <w:lang w:val="en-US"/>
        </w:rPr>
      </w:pPr>
      <w:r w:rsidRPr="00E430FD">
        <w:rPr>
          <w:noProof/>
        </w:rPr>
        <w:t>166.</w:t>
      </w:r>
      <w:r w:rsidRPr="00E430FD">
        <w:rPr>
          <w:noProof/>
        </w:rPr>
        <w:tab/>
        <w:t xml:space="preserve">Ивашкин В.Т. et al. 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 // Российский журнал гастроэнтерологии, гепатологии, колопроктологии. </w:t>
      </w:r>
      <w:r w:rsidRPr="00B658AE">
        <w:rPr>
          <w:noProof/>
          <w:lang w:val="en-US"/>
        </w:rPr>
        <w:t>2020. Vol. 30, № 1. P. 49–70.</w:t>
      </w:r>
    </w:p>
    <w:p w14:paraId="39EEB97C"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167.</w:t>
      </w:r>
      <w:r w:rsidRPr="00B658AE">
        <w:rPr>
          <w:noProof/>
          <w:lang w:val="en-US"/>
        </w:rPr>
        <w:tab/>
        <w:t>Scally B. et al. Effects of gastroprotectant drugs for the prevention and treatment of peptic ulcer disease and its complications: a meta-analysis of randomised trials // Lancet Gastroenterol. Hepatol. Elsevier Ltd, 2018. Vol. 3, № 4. P. 231–241.</w:t>
      </w:r>
    </w:p>
    <w:p w14:paraId="164E9AE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168.</w:t>
      </w:r>
      <w:r w:rsidRPr="00B658AE">
        <w:rPr>
          <w:noProof/>
          <w:lang w:val="en-US"/>
        </w:rPr>
        <w:tab/>
        <w:t>Hu Z.-H. et al. Efficacy of proton pump inhibitors for patients with duodenal ulcers: A pairwise and network meta-analysis of randomized controlled trials // Saudi J. Gastroenterol. Medknow Publications, 2017. Vol. 23, № 1. P. 11.</w:t>
      </w:r>
    </w:p>
    <w:p w14:paraId="60991CA7"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169.</w:t>
      </w:r>
      <w:r w:rsidRPr="00B658AE">
        <w:rPr>
          <w:noProof/>
          <w:lang w:val="en-US"/>
        </w:rPr>
        <w:tab/>
        <w:t>Poynard T., Lemaire M., Agostini H. Meta-analysis of randomized clinical trials comparing lansoprazole with ranitidine or famotidine in the treatment of acute duodenal ulcer // Eur. J. Gastroenterol. Hepatol. 1995. Vol. 7, № 7. P. 661–665.</w:t>
      </w:r>
    </w:p>
    <w:p w14:paraId="6CED2E3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170.</w:t>
      </w:r>
      <w:r w:rsidRPr="00B658AE">
        <w:rPr>
          <w:noProof/>
          <w:lang w:val="en-US"/>
        </w:rPr>
        <w:tab/>
        <w:t>Lanas A., Chan F.K.L. Peptic ulcer disease. // Lancet (London, England). Lancet, 2017. Vol. 390, № 10094. P. 613–624.</w:t>
      </w:r>
    </w:p>
    <w:p w14:paraId="62132EB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171.</w:t>
      </w:r>
      <w:r w:rsidRPr="00B658AE">
        <w:rPr>
          <w:noProof/>
          <w:lang w:val="en-US"/>
        </w:rPr>
        <w:tab/>
        <w:t>Conn H.O., Poynard T. Corticosteroids and peptic ulcer: meta-analysis of adverse events during steroid therapy. // J. Intern. Med. J Intern Med, 1994. Vol. 236, № 6. P. 619–632.</w:t>
      </w:r>
    </w:p>
    <w:p w14:paraId="14F37BBF"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172.</w:t>
      </w:r>
      <w:r w:rsidRPr="00B658AE">
        <w:rPr>
          <w:noProof/>
          <w:lang w:val="en-US"/>
        </w:rPr>
        <w:tab/>
      </w:r>
      <w:r w:rsidRPr="00E430FD">
        <w:rPr>
          <w:noProof/>
        </w:rPr>
        <w:t>Сытов</w:t>
      </w:r>
      <w:r w:rsidRPr="00B658AE">
        <w:rPr>
          <w:noProof/>
          <w:lang w:val="en-US"/>
        </w:rPr>
        <w:t xml:space="preserve"> </w:t>
      </w:r>
      <w:r w:rsidRPr="00E430FD">
        <w:rPr>
          <w:noProof/>
        </w:rPr>
        <w:t>А</w:t>
      </w:r>
      <w:r w:rsidRPr="00B658AE">
        <w:rPr>
          <w:noProof/>
          <w:lang w:val="en-US"/>
        </w:rPr>
        <w:t>.</w:t>
      </w:r>
      <w:r w:rsidRPr="00E430FD">
        <w:rPr>
          <w:noProof/>
        </w:rPr>
        <w:t>В</w:t>
      </w:r>
      <w:r w:rsidRPr="00B658AE">
        <w:rPr>
          <w:noProof/>
          <w:lang w:val="en-US"/>
        </w:rPr>
        <w:t xml:space="preserve">., </w:t>
      </w:r>
      <w:r w:rsidRPr="00E430FD">
        <w:rPr>
          <w:noProof/>
        </w:rPr>
        <w:t>Лейдерман</w:t>
      </w:r>
      <w:r w:rsidRPr="00B658AE">
        <w:rPr>
          <w:noProof/>
          <w:lang w:val="en-US"/>
        </w:rPr>
        <w:t xml:space="preserve"> </w:t>
      </w:r>
      <w:r w:rsidRPr="00E430FD">
        <w:rPr>
          <w:noProof/>
        </w:rPr>
        <w:t>И</w:t>
      </w:r>
      <w:r w:rsidRPr="00B658AE">
        <w:rPr>
          <w:noProof/>
          <w:lang w:val="en-US"/>
        </w:rPr>
        <w:t>.</w:t>
      </w:r>
      <w:r w:rsidRPr="00E430FD">
        <w:rPr>
          <w:noProof/>
        </w:rPr>
        <w:t>Н</w:t>
      </w:r>
      <w:r w:rsidRPr="00B658AE">
        <w:rPr>
          <w:noProof/>
          <w:lang w:val="en-US"/>
        </w:rPr>
        <w:t xml:space="preserve">., </w:t>
      </w:r>
      <w:r w:rsidRPr="00E430FD">
        <w:rPr>
          <w:noProof/>
        </w:rPr>
        <w:t>Ломидзе</w:t>
      </w:r>
      <w:r w:rsidRPr="00B658AE">
        <w:rPr>
          <w:noProof/>
          <w:lang w:val="en-US"/>
        </w:rPr>
        <w:t xml:space="preserve"> </w:t>
      </w:r>
      <w:r w:rsidRPr="00E430FD">
        <w:rPr>
          <w:noProof/>
        </w:rPr>
        <w:t>С</w:t>
      </w:r>
      <w:r w:rsidRPr="00B658AE">
        <w:rPr>
          <w:noProof/>
          <w:lang w:val="en-US"/>
        </w:rPr>
        <w:t>.</w:t>
      </w:r>
      <w:r w:rsidRPr="00E430FD">
        <w:rPr>
          <w:noProof/>
        </w:rPr>
        <w:t>В</w:t>
      </w:r>
      <w:r w:rsidRPr="00B658AE">
        <w:rPr>
          <w:noProof/>
          <w:lang w:val="en-US"/>
        </w:rPr>
        <w:t xml:space="preserve">., </w:t>
      </w:r>
      <w:r w:rsidRPr="00E430FD">
        <w:rPr>
          <w:noProof/>
        </w:rPr>
        <w:t>Нехаев</w:t>
      </w:r>
      <w:r w:rsidRPr="00B658AE">
        <w:rPr>
          <w:noProof/>
          <w:lang w:val="en-US"/>
        </w:rPr>
        <w:t xml:space="preserve"> </w:t>
      </w:r>
      <w:r w:rsidRPr="00E430FD">
        <w:rPr>
          <w:noProof/>
        </w:rPr>
        <w:t>И</w:t>
      </w:r>
      <w:r w:rsidRPr="00B658AE">
        <w:rPr>
          <w:noProof/>
          <w:lang w:val="en-US"/>
        </w:rPr>
        <w:t>.</w:t>
      </w:r>
      <w:r w:rsidRPr="00E430FD">
        <w:rPr>
          <w:noProof/>
        </w:rPr>
        <w:t>В</w:t>
      </w:r>
      <w:r w:rsidRPr="00B658AE">
        <w:rPr>
          <w:noProof/>
          <w:lang w:val="en-US"/>
        </w:rPr>
        <w:t xml:space="preserve">. </w:t>
      </w:r>
      <w:r w:rsidRPr="00E430FD">
        <w:rPr>
          <w:noProof/>
        </w:rPr>
        <w:t>Х</w:t>
      </w:r>
      <w:r w:rsidRPr="00B658AE">
        <w:rPr>
          <w:noProof/>
          <w:lang w:val="en-US"/>
        </w:rPr>
        <w:t>.</w:t>
      </w:r>
      <w:r w:rsidRPr="00E430FD">
        <w:rPr>
          <w:noProof/>
        </w:rPr>
        <w:t>А</w:t>
      </w:r>
      <w:r w:rsidRPr="00B658AE">
        <w:rPr>
          <w:noProof/>
          <w:lang w:val="en-US"/>
        </w:rPr>
        <w:t>.</w:t>
      </w:r>
      <w:r w:rsidRPr="00E430FD">
        <w:rPr>
          <w:noProof/>
        </w:rPr>
        <w:t>Ж</w:t>
      </w:r>
      <w:r w:rsidRPr="00B658AE">
        <w:rPr>
          <w:noProof/>
          <w:lang w:val="en-US"/>
        </w:rPr>
        <w:t xml:space="preserve">.. </w:t>
      </w:r>
      <w:r w:rsidRPr="00E430FD">
        <w:rPr>
          <w:noProof/>
        </w:rPr>
        <w:t>Практические рекомендации по нутритивной поддержке онкологических больных // RUSSCO. 2017. P. 524–532.</w:t>
      </w:r>
    </w:p>
    <w:p w14:paraId="5BDF0562" w14:textId="77777777" w:rsidR="00E430FD" w:rsidRPr="00B658AE" w:rsidRDefault="00E430FD" w:rsidP="00E430FD">
      <w:pPr>
        <w:widowControl w:val="0"/>
        <w:autoSpaceDE w:val="0"/>
        <w:autoSpaceDN w:val="0"/>
        <w:adjustRightInd w:val="0"/>
        <w:spacing w:before="0" w:after="0"/>
        <w:ind w:left="640" w:hanging="640"/>
        <w:rPr>
          <w:noProof/>
          <w:lang w:val="en-US"/>
        </w:rPr>
      </w:pPr>
      <w:r w:rsidRPr="00E430FD">
        <w:rPr>
          <w:noProof/>
        </w:rPr>
        <w:t>173.</w:t>
      </w:r>
      <w:r w:rsidRPr="00E430FD">
        <w:rPr>
          <w:noProof/>
        </w:rPr>
        <w:tab/>
        <w:t xml:space="preserve">Virizuela J.A. et al. </w:t>
      </w:r>
      <w:r w:rsidRPr="00B658AE">
        <w:rPr>
          <w:noProof/>
          <w:lang w:val="en-US"/>
        </w:rPr>
        <w:t xml:space="preserve">Nutritional support and parenteral nutrition in cancer patients: an expert </w:t>
      </w:r>
      <w:r w:rsidRPr="00B658AE">
        <w:rPr>
          <w:noProof/>
          <w:lang w:val="en-US"/>
        </w:rPr>
        <w:lastRenderedPageBreak/>
        <w:t>consensus report // Clin. Transl. Oncol. Springer-Verlag Italia s.r.l., 2018. Vol. 20, № 5. P. 619–629.</w:t>
      </w:r>
    </w:p>
    <w:p w14:paraId="15DE66E2" w14:textId="77777777" w:rsidR="00E430FD" w:rsidRPr="00B658AE" w:rsidRDefault="00E430FD" w:rsidP="00E430FD">
      <w:pPr>
        <w:widowControl w:val="0"/>
        <w:autoSpaceDE w:val="0"/>
        <w:autoSpaceDN w:val="0"/>
        <w:adjustRightInd w:val="0"/>
        <w:spacing w:before="0" w:after="0"/>
        <w:ind w:left="640" w:hanging="640"/>
        <w:rPr>
          <w:noProof/>
          <w:lang w:val="en-US"/>
        </w:rPr>
      </w:pPr>
      <w:r w:rsidRPr="006310A4">
        <w:rPr>
          <w:noProof/>
        </w:rPr>
        <w:t>174.</w:t>
      </w:r>
      <w:r w:rsidRPr="006310A4">
        <w:rPr>
          <w:noProof/>
        </w:rPr>
        <w:tab/>
      </w:r>
      <w:r w:rsidRPr="00E430FD">
        <w:rPr>
          <w:noProof/>
        </w:rPr>
        <w:t>Бесова</w:t>
      </w:r>
      <w:r w:rsidRPr="006310A4">
        <w:rPr>
          <w:noProof/>
        </w:rPr>
        <w:t xml:space="preserve"> </w:t>
      </w:r>
      <w:r w:rsidRPr="00E430FD">
        <w:rPr>
          <w:noProof/>
        </w:rPr>
        <w:t>Н</w:t>
      </w:r>
      <w:r w:rsidRPr="006310A4">
        <w:rPr>
          <w:noProof/>
        </w:rPr>
        <w:t>.</w:t>
      </w:r>
      <w:r w:rsidRPr="00E430FD">
        <w:rPr>
          <w:noProof/>
        </w:rPr>
        <w:t>С</w:t>
      </w:r>
      <w:r w:rsidRPr="006310A4">
        <w:rPr>
          <w:noProof/>
        </w:rPr>
        <w:t xml:space="preserve">., </w:t>
      </w:r>
      <w:r w:rsidRPr="00E430FD">
        <w:rPr>
          <w:noProof/>
        </w:rPr>
        <w:t>Борисова</w:t>
      </w:r>
      <w:r w:rsidRPr="006310A4">
        <w:rPr>
          <w:noProof/>
        </w:rPr>
        <w:t xml:space="preserve"> </w:t>
      </w:r>
      <w:r w:rsidRPr="00E430FD">
        <w:rPr>
          <w:noProof/>
        </w:rPr>
        <w:t>Т</w:t>
      </w:r>
      <w:r w:rsidRPr="006310A4">
        <w:rPr>
          <w:noProof/>
        </w:rPr>
        <w:t>.</w:t>
      </w:r>
      <w:r w:rsidRPr="00E430FD">
        <w:rPr>
          <w:noProof/>
        </w:rPr>
        <w:t>Н</w:t>
      </w:r>
      <w:r w:rsidRPr="006310A4">
        <w:rPr>
          <w:noProof/>
        </w:rPr>
        <w:t xml:space="preserve">., </w:t>
      </w:r>
      <w:r w:rsidRPr="00E430FD">
        <w:rPr>
          <w:noProof/>
        </w:rPr>
        <w:t>Ларионова</w:t>
      </w:r>
      <w:r w:rsidRPr="006310A4">
        <w:rPr>
          <w:noProof/>
        </w:rPr>
        <w:t xml:space="preserve"> </w:t>
      </w:r>
      <w:r w:rsidRPr="00E430FD">
        <w:rPr>
          <w:noProof/>
        </w:rPr>
        <w:t>В</w:t>
      </w:r>
      <w:r w:rsidRPr="006310A4">
        <w:rPr>
          <w:noProof/>
        </w:rPr>
        <w:t>.</w:t>
      </w:r>
      <w:r w:rsidRPr="00E430FD">
        <w:rPr>
          <w:noProof/>
        </w:rPr>
        <w:t>Б</w:t>
      </w:r>
      <w:r w:rsidRPr="006310A4">
        <w:rPr>
          <w:noProof/>
        </w:rPr>
        <w:t xml:space="preserve">., </w:t>
      </w:r>
      <w:r w:rsidRPr="00E430FD">
        <w:rPr>
          <w:noProof/>
        </w:rPr>
        <w:t>Лейдерман</w:t>
      </w:r>
      <w:r w:rsidRPr="006310A4">
        <w:rPr>
          <w:noProof/>
        </w:rPr>
        <w:t xml:space="preserve"> </w:t>
      </w:r>
      <w:r w:rsidRPr="00E430FD">
        <w:rPr>
          <w:noProof/>
        </w:rPr>
        <w:t>И</w:t>
      </w:r>
      <w:r w:rsidRPr="006310A4">
        <w:rPr>
          <w:noProof/>
        </w:rPr>
        <w:t>.</w:t>
      </w:r>
      <w:r w:rsidRPr="00E430FD">
        <w:rPr>
          <w:noProof/>
        </w:rPr>
        <w:t>Н</w:t>
      </w:r>
      <w:r w:rsidRPr="006310A4">
        <w:rPr>
          <w:noProof/>
        </w:rPr>
        <w:t xml:space="preserve">., </w:t>
      </w:r>
      <w:r w:rsidRPr="00E430FD">
        <w:rPr>
          <w:noProof/>
        </w:rPr>
        <w:t>Обухова</w:t>
      </w:r>
      <w:r w:rsidRPr="006310A4">
        <w:rPr>
          <w:noProof/>
        </w:rPr>
        <w:t xml:space="preserve"> </w:t>
      </w:r>
      <w:r w:rsidRPr="00E430FD">
        <w:rPr>
          <w:noProof/>
        </w:rPr>
        <w:t>О</w:t>
      </w:r>
      <w:r w:rsidRPr="006310A4">
        <w:rPr>
          <w:noProof/>
        </w:rPr>
        <w:t>.</w:t>
      </w:r>
      <w:r w:rsidRPr="00E430FD">
        <w:rPr>
          <w:noProof/>
        </w:rPr>
        <w:t>А</w:t>
      </w:r>
      <w:r w:rsidRPr="006310A4">
        <w:rPr>
          <w:noProof/>
        </w:rPr>
        <w:t xml:space="preserve">., </w:t>
      </w:r>
      <w:r w:rsidRPr="00E430FD">
        <w:rPr>
          <w:noProof/>
        </w:rPr>
        <w:t>Попова</w:t>
      </w:r>
      <w:r w:rsidRPr="006310A4">
        <w:rPr>
          <w:noProof/>
        </w:rPr>
        <w:t xml:space="preserve"> </w:t>
      </w:r>
      <w:r w:rsidRPr="00E430FD">
        <w:rPr>
          <w:noProof/>
        </w:rPr>
        <w:t>Т</w:t>
      </w:r>
      <w:r w:rsidRPr="006310A4">
        <w:rPr>
          <w:noProof/>
        </w:rPr>
        <w:t>.</w:t>
      </w:r>
      <w:r w:rsidRPr="00E430FD">
        <w:rPr>
          <w:noProof/>
        </w:rPr>
        <w:t>С</w:t>
      </w:r>
      <w:r w:rsidRPr="006310A4">
        <w:rPr>
          <w:noProof/>
        </w:rPr>
        <w:t xml:space="preserve">., </w:t>
      </w:r>
      <w:r w:rsidRPr="00E430FD">
        <w:rPr>
          <w:noProof/>
        </w:rPr>
        <w:t>Салтанов</w:t>
      </w:r>
      <w:r w:rsidRPr="006310A4">
        <w:rPr>
          <w:noProof/>
        </w:rPr>
        <w:t xml:space="preserve"> </w:t>
      </w:r>
      <w:r w:rsidRPr="00E430FD">
        <w:rPr>
          <w:noProof/>
        </w:rPr>
        <w:t>А</w:t>
      </w:r>
      <w:r w:rsidRPr="006310A4">
        <w:rPr>
          <w:noProof/>
        </w:rPr>
        <w:t>.</w:t>
      </w:r>
      <w:r w:rsidRPr="00E430FD">
        <w:rPr>
          <w:noProof/>
        </w:rPr>
        <w:t>И</w:t>
      </w:r>
      <w:r w:rsidRPr="006310A4">
        <w:rPr>
          <w:noProof/>
        </w:rPr>
        <w:t xml:space="preserve">., </w:t>
      </w:r>
      <w:r w:rsidRPr="00E430FD">
        <w:rPr>
          <w:noProof/>
        </w:rPr>
        <w:t>Сельчук</w:t>
      </w:r>
      <w:r w:rsidRPr="006310A4">
        <w:rPr>
          <w:noProof/>
        </w:rPr>
        <w:t xml:space="preserve"> </w:t>
      </w:r>
      <w:r w:rsidRPr="00E430FD">
        <w:rPr>
          <w:noProof/>
        </w:rPr>
        <w:t>В</w:t>
      </w:r>
      <w:r w:rsidRPr="006310A4">
        <w:rPr>
          <w:noProof/>
        </w:rPr>
        <w:t>.</w:t>
      </w:r>
      <w:r w:rsidRPr="00E430FD">
        <w:rPr>
          <w:noProof/>
        </w:rPr>
        <w:t>Ю</w:t>
      </w:r>
      <w:r w:rsidRPr="006310A4">
        <w:rPr>
          <w:noProof/>
        </w:rPr>
        <w:t xml:space="preserve">., </w:t>
      </w:r>
      <w:r w:rsidRPr="00E430FD">
        <w:rPr>
          <w:noProof/>
        </w:rPr>
        <w:t>Снеговой</w:t>
      </w:r>
      <w:r w:rsidRPr="006310A4">
        <w:rPr>
          <w:noProof/>
        </w:rPr>
        <w:t xml:space="preserve"> </w:t>
      </w:r>
      <w:r w:rsidRPr="00E430FD">
        <w:rPr>
          <w:noProof/>
        </w:rPr>
        <w:t>А</w:t>
      </w:r>
      <w:r w:rsidRPr="006310A4">
        <w:rPr>
          <w:noProof/>
        </w:rPr>
        <w:t>.</w:t>
      </w:r>
      <w:r w:rsidRPr="00E430FD">
        <w:rPr>
          <w:noProof/>
        </w:rPr>
        <w:t>В</w:t>
      </w:r>
      <w:r w:rsidRPr="006310A4">
        <w:rPr>
          <w:noProof/>
        </w:rPr>
        <w:t xml:space="preserve">., </w:t>
      </w:r>
      <w:r w:rsidRPr="00E430FD">
        <w:rPr>
          <w:noProof/>
        </w:rPr>
        <w:t>Ткачев</w:t>
      </w:r>
      <w:r w:rsidRPr="006310A4">
        <w:rPr>
          <w:noProof/>
        </w:rPr>
        <w:t xml:space="preserve"> </w:t>
      </w:r>
      <w:r w:rsidRPr="00E430FD">
        <w:rPr>
          <w:noProof/>
        </w:rPr>
        <w:t>С</w:t>
      </w:r>
      <w:r w:rsidRPr="006310A4">
        <w:rPr>
          <w:noProof/>
        </w:rPr>
        <w:t>.</w:t>
      </w:r>
      <w:r w:rsidRPr="00E430FD">
        <w:rPr>
          <w:noProof/>
        </w:rPr>
        <w:t>И</w:t>
      </w:r>
      <w:r w:rsidRPr="006310A4">
        <w:rPr>
          <w:noProof/>
        </w:rPr>
        <w:t xml:space="preserve">., </w:t>
      </w:r>
      <w:r w:rsidRPr="00E430FD">
        <w:rPr>
          <w:noProof/>
        </w:rPr>
        <w:t>Тюляндин</w:t>
      </w:r>
      <w:r w:rsidRPr="006310A4">
        <w:rPr>
          <w:noProof/>
        </w:rPr>
        <w:t xml:space="preserve"> </w:t>
      </w:r>
      <w:r w:rsidRPr="00E430FD">
        <w:rPr>
          <w:noProof/>
        </w:rPr>
        <w:t>С</w:t>
      </w:r>
      <w:r w:rsidRPr="006310A4">
        <w:rPr>
          <w:noProof/>
        </w:rPr>
        <w:t>.</w:t>
      </w:r>
      <w:r w:rsidRPr="00E430FD">
        <w:rPr>
          <w:noProof/>
        </w:rPr>
        <w:t>А</w:t>
      </w:r>
      <w:r w:rsidRPr="006310A4">
        <w:rPr>
          <w:noProof/>
        </w:rPr>
        <w:t xml:space="preserve">. </w:t>
      </w:r>
      <w:r w:rsidRPr="00E430FD">
        <w:rPr>
          <w:noProof/>
        </w:rPr>
        <w:t>Ш</w:t>
      </w:r>
      <w:r w:rsidRPr="006310A4">
        <w:rPr>
          <w:noProof/>
        </w:rPr>
        <w:t>.</w:t>
      </w:r>
      <w:r w:rsidRPr="00E430FD">
        <w:rPr>
          <w:noProof/>
        </w:rPr>
        <w:t>А</w:t>
      </w:r>
      <w:r w:rsidRPr="006310A4">
        <w:rPr>
          <w:noProof/>
        </w:rPr>
        <w:t>.</w:t>
      </w:r>
      <w:r w:rsidRPr="00E430FD">
        <w:rPr>
          <w:noProof/>
        </w:rPr>
        <w:t>И</w:t>
      </w:r>
      <w:r w:rsidRPr="006310A4">
        <w:rPr>
          <w:noProof/>
        </w:rPr>
        <w:t xml:space="preserve">. </w:t>
      </w:r>
      <w:r w:rsidRPr="00E430FD">
        <w:rPr>
          <w:noProof/>
        </w:rPr>
        <w:t>Клинические</w:t>
      </w:r>
      <w:r w:rsidRPr="006310A4">
        <w:rPr>
          <w:noProof/>
        </w:rPr>
        <w:t xml:space="preserve"> </w:t>
      </w:r>
      <w:r w:rsidRPr="00E430FD">
        <w:rPr>
          <w:noProof/>
        </w:rPr>
        <w:t>рекомендации</w:t>
      </w:r>
      <w:r w:rsidRPr="006310A4">
        <w:rPr>
          <w:noProof/>
        </w:rPr>
        <w:t xml:space="preserve"> </w:t>
      </w:r>
      <w:r w:rsidRPr="00E430FD">
        <w:rPr>
          <w:noProof/>
        </w:rPr>
        <w:t>по</w:t>
      </w:r>
      <w:r w:rsidRPr="006310A4">
        <w:rPr>
          <w:noProof/>
        </w:rPr>
        <w:t xml:space="preserve"> </w:t>
      </w:r>
      <w:r w:rsidRPr="00E430FD">
        <w:rPr>
          <w:noProof/>
        </w:rPr>
        <w:t>нутритивной</w:t>
      </w:r>
      <w:r w:rsidRPr="006310A4">
        <w:rPr>
          <w:noProof/>
        </w:rPr>
        <w:t xml:space="preserve"> </w:t>
      </w:r>
      <w:r w:rsidRPr="00E430FD">
        <w:rPr>
          <w:noProof/>
        </w:rPr>
        <w:t>поддержке</w:t>
      </w:r>
      <w:r w:rsidRPr="006310A4">
        <w:rPr>
          <w:noProof/>
        </w:rPr>
        <w:t xml:space="preserve"> </w:t>
      </w:r>
      <w:r w:rsidRPr="00E430FD">
        <w:rPr>
          <w:noProof/>
        </w:rPr>
        <w:t>при</w:t>
      </w:r>
      <w:r w:rsidRPr="006310A4">
        <w:rPr>
          <w:noProof/>
        </w:rPr>
        <w:t xml:space="preserve"> </w:t>
      </w:r>
      <w:r w:rsidRPr="00E430FD">
        <w:rPr>
          <w:noProof/>
        </w:rPr>
        <w:t>химиотерапии</w:t>
      </w:r>
      <w:r w:rsidRPr="006310A4">
        <w:rPr>
          <w:noProof/>
        </w:rPr>
        <w:t xml:space="preserve"> </w:t>
      </w:r>
      <w:r w:rsidRPr="00E430FD">
        <w:rPr>
          <w:noProof/>
        </w:rPr>
        <w:t>и</w:t>
      </w:r>
      <w:r w:rsidRPr="006310A4">
        <w:rPr>
          <w:noProof/>
        </w:rPr>
        <w:t>/</w:t>
      </w:r>
      <w:r w:rsidRPr="00E430FD">
        <w:rPr>
          <w:noProof/>
        </w:rPr>
        <w:t>или</w:t>
      </w:r>
      <w:r w:rsidRPr="006310A4">
        <w:rPr>
          <w:noProof/>
        </w:rPr>
        <w:t xml:space="preserve"> </w:t>
      </w:r>
      <w:r w:rsidRPr="00E430FD">
        <w:rPr>
          <w:noProof/>
        </w:rPr>
        <w:t>лучевой</w:t>
      </w:r>
      <w:r w:rsidRPr="006310A4">
        <w:rPr>
          <w:noProof/>
        </w:rPr>
        <w:t xml:space="preserve"> </w:t>
      </w:r>
      <w:r w:rsidRPr="00E430FD">
        <w:rPr>
          <w:noProof/>
        </w:rPr>
        <w:t>терапии</w:t>
      </w:r>
      <w:r w:rsidRPr="006310A4">
        <w:rPr>
          <w:noProof/>
        </w:rPr>
        <w:t xml:space="preserve">. </w:t>
      </w:r>
      <w:r w:rsidRPr="00B658AE">
        <w:rPr>
          <w:noProof/>
          <w:lang w:val="en-US"/>
        </w:rPr>
        <w:t>2014.</w:t>
      </w:r>
    </w:p>
    <w:p w14:paraId="101D9D4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175.</w:t>
      </w:r>
      <w:r w:rsidRPr="00B658AE">
        <w:rPr>
          <w:noProof/>
          <w:lang w:val="en-US"/>
        </w:rPr>
        <w:tab/>
        <w:t>Arends J. et al. ESPEN guidelines on nutrition in cancer patients // Clin. Nutr. Churchill Livingstone, 2017. Vol. 36, № 1. P. 11–48.</w:t>
      </w:r>
    </w:p>
    <w:p w14:paraId="5B26A67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176.</w:t>
      </w:r>
      <w:r w:rsidRPr="00B658AE">
        <w:rPr>
          <w:noProof/>
          <w:lang w:val="en-US"/>
        </w:rPr>
        <w:tab/>
        <w:t>Camblor-Álvarez M. et al. Soporte nutricional y nutrición parenteral en el paciente oncológico: informe de consenso de un grupo de expertos // Nutr. Hosp. ARAN Ediciones, 2018. Vol. 35, № 1.</w:t>
      </w:r>
    </w:p>
    <w:p w14:paraId="74CC4977"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177.</w:t>
      </w:r>
      <w:r w:rsidRPr="00B658AE">
        <w:rPr>
          <w:noProof/>
          <w:lang w:val="en-US"/>
        </w:rPr>
        <w:tab/>
        <w:t>Baiu I., Spain D.A. Parenteral Nutrition // JAMA - Journal of the American Medical Association. American Medical Association, 2019. Vol. 321, № 21. P. 2142.</w:t>
      </w:r>
    </w:p>
    <w:p w14:paraId="5C2B4334"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178.</w:t>
      </w:r>
      <w:r w:rsidRPr="00B658AE">
        <w:rPr>
          <w:noProof/>
          <w:lang w:val="en-US"/>
        </w:rPr>
        <w:tab/>
      </w:r>
      <w:r w:rsidRPr="00E430FD">
        <w:rPr>
          <w:noProof/>
        </w:rPr>
        <w:t>Дементьева</w:t>
      </w:r>
      <w:r w:rsidRPr="00B658AE">
        <w:rPr>
          <w:noProof/>
          <w:lang w:val="en-US"/>
        </w:rPr>
        <w:t xml:space="preserve"> </w:t>
      </w:r>
      <w:r w:rsidRPr="00E430FD">
        <w:rPr>
          <w:noProof/>
        </w:rPr>
        <w:t>И</w:t>
      </w:r>
      <w:r w:rsidRPr="00B658AE">
        <w:rPr>
          <w:noProof/>
          <w:lang w:val="en-US"/>
        </w:rPr>
        <w:t>.</w:t>
      </w:r>
      <w:r w:rsidRPr="00E430FD">
        <w:rPr>
          <w:noProof/>
        </w:rPr>
        <w:t>И</w:t>
      </w:r>
      <w:r w:rsidRPr="00B658AE">
        <w:rPr>
          <w:noProof/>
          <w:lang w:val="en-US"/>
        </w:rPr>
        <w:t xml:space="preserve">., </w:t>
      </w:r>
      <w:r w:rsidRPr="00E430FD">
        <w:rPr>
          <w:noProof/>
        </w:rPr>
        <w:t>Морозов</w:t>
      </w:r>
      <w:r w:rsidRPr="00B658AE">
        <w:rPr>
          <w:noProof/>
          <w:lang w:val="en-US"/>
        </w:rPr>
        <w:t xml:space="preserve"> </w:t>
      </w:r>
      <w:r w:rsidRPr="00E430FD">
        <w:rPr>
          <w:noProof/>
        </w:rPr>
        <w:t>Ю</w:t>
      </w:r>
      <w:r w:rsidRPr="00B658AE">
        <w:rPr>
          <w:noProof/>
          <w:lang w:val="en-US"/>
        </w:rPr>
        <w:t>.</w:t>
      </w:r>
      <w:r w:rsidRPr="00E430FD">
        <w:rPr>
          <w:noProof/>
        </w:rPr>
        <w:t>А</w:t>
      </w:r>
      <w:r w:rsidRPr="00B658AE">
        <w:rPr>
          <w:noProof/>
          <w:lang w:val="en-US"/>
        </w:rPr>
        <w:t xml:space="preserve">., </w:t>
      </w:r>
      <w:r w:rsidRPr="00E430FD">
        <w:rPr>
          <w:noProof/>
        </w:rPr>
        <w:t>Чарная</w:t>
      </w:r>
      <w:r w:rsidRPr="00B658AE">
        <w:rPr>
          <w:noProof/>
          <w:lang w:val="en-US"/>
        </w:rPr>
        <w:t xml:space="preserve"> </w:t>
      </w:r>
      <w:r w:rsidRPr="00E430FD">
        <w:rPr>
          <w:noProof/>
        </w:rPr>
        <w:t>М</w:t>
      </w:r>
      <w:r w:rsidRPr="00B658AE">
        <w:rPr>
          <w:noProof/>
          <w:lang w:val="en-US"/>
        </w:rPr>
        <w:t>.</w:t>
      </w:r>
      <w:r w:rsidRPr="00E430FD">
        <w:rPr>
          <w:noProof/>
        </w:rPr>
        <w:t>А</w:t>
      </w:r>
      <w:r w:rsidRPr="00B658AE">
        <w:rPr>
          <w:noProof/>
          <w:lang w:val="en-US"/>
        </w:rPr>
        <w:t xml:space="preserve">. </w:t>
      </w:r>
      <w:r w:rsidRPr="00E430FD">
        <w:rPr>
          <w:noProof/>
        </w:rPr>
        <w:t>Патология</w:t>
      </w:r>
      <w:r w:rsidRPr="00B658AE">
        <w:rPr>
          <w:noProof/>
          <w:lang w:val="en-US"/>
        </w:rPr>
        <w:t xml:space="preserve"> </w:t>
      </w:r>
      <w:r w:rsidRPr="00E430FD">
        <w:rPr>
          <w:noProof/>
        </w:rPr>
        <w:t>системы</w:t>
      </w:r>
      <w:r w:rsidRPr="00B658AE">
        <w:rPr>
          <w:noProof/>
          <w:lang w:val="en-US"/>
        </w:rPr>
        <w:t xml:space="preserve"> </w:t>
      </w:r>
      <w:r w:rsidRPr="00E430FD">
        <w:rPr>
          <w:noProof/>
        </w:rPr>
        <w:t>гемостаза</w:t>
      </w:r>
      <w:r w:rsidRPr="00B658AE">
        <w:rPr>
          <w:noProof/>
          <w:lang w:val="en-US"/>
        </w:rPr>
        <w:t xml:space="preserve"> / ed. </w:t>
      </w:r>
      <w:r w:rsidRPr="00E430FD">
        <w:rPr>
          <w:noProof/>
        </w:rPr>
        <w:t>Алексина В.А. Москва: ГЭОТАР-МЕД, 2013. 288 p.</w:t>
      </w:r>
    </w:p>
    <w:p w14:paraId="02BE0E2B" w14:textId="77777777" w:rsidR="00E430FD" w:rsidRPr="00B658AE" w:rsidRDefault="00E430FD" w:rsidP="00E430FD">
      <w:pPr>
        <w:widowControl w:val="0"/>
        <w:autoSpaceDE w:val="0"/>
        <w:autoSpaceDN w:val="0"/>
        <w:adjustRightInd w:val="0"/>
        <w:spacing w:before="0" w:after="0"/>
        <w:ind w:left="640" w:hanging="640"/>
        <w:rPr>
          <w:noProof/>
          <w:lang w:val="en-US"/>
        </w:rPr>
      </w:pPr>
      <w:r w:rsidRPr="00E430FD">
        <w:rPr>
          <w:noProof/>
        </w:rPr>
        <w:t>179.</w:t>
      </w:r>
      <w:r w:rsidRPr="00E430FD">
        <w:rPr>
          <w:noProof/>
        </w:rPr>
        <w:tab/>
        <w:t>Зозуля Н.И. Диагностика и лечение ингибиторной формы гемофилии. Москва</w:t>
      </w:r>
      <w:r w:rsidRPr="00B658AE">
        <w:rPr>
          <w:noProof/>
          <w:lang w:val="en-US"/>
        </w:rPr>
        <w:t>, 2010. 260 p.</w:t>
      </w:r>
    </w:p>
    <w:p w14:paraId="503226CA"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180.</w:t>
      </w:r>
      <w:r w:rsidRPr="00B658AE">
        <w:rPr>
          <w:noProof/>
          <w:lang w:val="en-US"/>
        </w:rPr>
        <w:tab/>
        <w:t>SPIRIN M., GALSTYAN G., DROKOV M. Central venous access in lymphoma patients (pts) with superior vena cava syndrome (SVCS) // INTENSIVE CARE Med. Exp. 2019. Vol. 7, № Suppl. 3:001341. P. 388–389.</w:t>
      </w:r>
    </w:p>
    <w:p w14:paraId="2F0702CE"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181.</w:t>
      </w:r>
      <w:r w:rsidRPr="00B658AE">
        <w:rPr>
          <w:noProof/>
          <w:lang w:val="en-US"/>
        </w:rPr>
        <w:tab/>
        <w:t>Pluschnig U. et al. Extravasation emergencies: state-of-the-art management and progress in clinical research. // Memo. Springer, 2016. Vol. 9, № 4. P. 226–230.</w:t>
      </w:r>
    </w:p>
    <w:p w14:paraId="3B03672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182.</w:t>
      </w:r>
      <w:r w:rsidRPr="00B658AE">
        <w:rPr>
          <w:noProof/>
          <w:lang w:val="en-US"/>
        </w:rPr>
        <w:tab/>
        <w:t>Zeidler K. et al. Optimal preprocedural platelet transfusion threshold for central venous catheter insertions in patients with thrombocytopenia. // Transfusion. 2011. Vol. 51, № 11. P. 2269–2276.</w:t>
      </w:r>
    </w:p>
    <w:p w14:paraId="0C987C7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183.</w:t>
      </w:r>
      <w:r w:rsidRPr="00B658AE">
        <w:rPr>
          <w:noProof/>
          <w:lang w:val="en-US"/>
        </w:rPr>
        <w:tab/>
        <w:t>Zerati A.E. et al. Totally implantable venous catheters : history , implantation technique and complications. // J Vasc Bras. 2017. Vol. 16, № 2. P. 128–139.</w:t>
      </w:r>
    </w:p>
    <w:p w14:paraId="50EA9C8B"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184.</w:t>
      </w:r>
      <w:r w:rsidRPr="00B658AE">
        <w:rPr>
          <w:noProof/>
          <w:lang w:val="en-US"/>
        </w:rPr>
        <w:tab/>
        <w:t>Gow K.W., Tapper D., Hickman R.O. Between the lines: The 50th anniversary of long-term central venous catheters // Am. J. Surg. Elsevier Ltd, 2017. Vol. 213, № 5. P. 837–848.</w:t>
      </w:r>
    </w:p>
    <w:p w14:paraId="538461C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185.</w:t>
      </w:r>
      <w:r w:rsidRPr="00B658AE">
        <w:rPr>
          <w:noProof/>
          <w:lang w:val="en-US"/>
        </w:rPr>
        <w:tab/>
        <w:t>Yeral M. et al. Tunnelled central venous catheter-related problems in the early phase of haematopoietic stem cell transplantation and effects on transplant outcome. // Turkish J. Haematol.  Off. J. Turkish Soc. Haematol. Galenos Yayinevi, 2015. Vol. 32, № 1. P. 51–57.</w:t>
      </w:r>
    </w:p>
    <w:p w14:paraId="18A6FA1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186.</w:t>
      </w:r>
      <w:r w:rsidRPr="00B658AE">
        <w:rPr>
          <w:noProof/>
          <w:lang w:val="en-US"/>
        </w:rPr>
        <w:tab/>
        <w:t xml:space="preserve">Maki D.G., Kluger D.M., Crnich C.J. The Risk of Bloodstream Infection in Adults With </w:t>
      </w:r>
      <w:r w:rsidRPr="00B658AE">
        <w:rPr>
          <w:noProof/>
          <w:lang w:val="en-US"/>
        </w:rPr>
        <w:lastRenderedPageBreak/>
        <w:t>Different Intravascular Devices: A Systematic Review of 200 Published Prospective Studies // Mayo Clin. Proc. Elsevier, 2006. Vol. 81, № 9. P. 1159–1171.</w:t>
      </w:r>
    </w:p>
    <w:p w14:paraId="58D5EB9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187.</w:t>
      </w:r>
      <w:r w:rsidRPr="00B658AE">
        <w:rPr>
          <w:noProof/>
          <w:lang w:val="en-US"/>
        </w:rPr>
        <w:tab/>
        <w:t>Hamilton H. Central Venous Catheters / ed. Bodenham A.R. Oxford, UK: Wiley-Blackwell, 2009.</w:t>
      </w:r>
    </w:p>
    <w:p w14:paraId="21BB335B"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188.</w:t>
      </w:r>
      <w:r w:rsidRPr="00B658AE">
        <w:rPr>
          <w:noProof/>
          <w:lang w:val="en-US"/>
        </w:rPr>
        <w:tab/>
        <w:t>Biffi R. Introduction and Overview of PICC History // Peripherally Inserted Central Venous Catheters. Milano: Springer Milan, 2014. P. 1–6.</w:t>
      </w:r>
    </w:p>
    <w:p w14:paraId="25ADF27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189.</w:t>
      </w:r>
      <w:r w:rsidRPr="00B658AE">
        <w:rPr>
          <w:noProof/>
          <w:lang w:val="en-US"/>
        </w:rPr>
        <w:tab/>
        <w:t>Linenberger M.L. Catheter-related thrombosis: risks, diagnosis, and management. // J. Natl. Compr. Canc. Netw. 2006. Vol. 4, № 9. P. 889–901.</w:t>
      </w:r>
    </w:p>
    <w:p w14:paraId="1D3A9E5D"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190.</w:t>
      </w:r>
      <w:r w:rsidRPr="00B658AE">
        <w:rPr>
          <w:noProof/>
          <w:lang w:val="en-US"/>
        </w:rPr>
        <w:tab/>
        <w:t xml:space="preserve">Lee A.Y.Y., Kamphuisen P.W. Epidemiology and prevention of catheter-related thrombosis in patients with cancer // J. Thromb. </w:t>
      </w:r>
      <w:r w:rsidRPr="00E430FD">
        <w:rPr>
          <w:noProof/>
        </w:rPr>
        <w:t>Haemost. 2012. № 10. P. 1491–1499.</w:t>
      </w:r>
    </w:p>
    <w:p w14:paraId="6CDA09EF" w14:textId="77777777" w:rsidR="00E430FD" w:rsidRPr="00B658AE" w:rsidRDefault="00E430FD" w:rsidP="00E430FD">
      <w:pPr>
        <w:widowControl w:val="0"/>
        <w:autoSpaceDE w:val="0"/>
        <w:autoSpaceDN w:val="0"/>
        <w:adjustRightInd w:val="0"/>
        <w:spacing w:before="0" w:after="0"/>
        <w:ind w:left="640" w:hanging="640"/>
        <w:rPr>
          <w:noProof/>
          <w:lang w:val="en-US"/>
        </w:rPr>
      </w:pPr>
      <w:r w:rsidRPr="00E430FD">
        <w:rPr>
          <w:noProof/>
        </w:rPr>
        <w:t>191.</w:t>
      </w:r>
      <w:r w:rsidRPr="00E430FD">
        <w:rPr>
          <w:noProof/>
        </w:rPr>
        <w:tab/>
        <w:t xml:space="preserve">Цепенщинков Л.., Лядов В.К. Периферически имплантируемый центральный венозный катетер: обзор литераутры. // Клиническая онкогематология. </w:t>
      </w:r>
      <w:r w:rsidRPr="00B658AE">
        <w:rPr>
          <w:noProof/>
          <w:lang w:val="en-US"/>
        </w:rPr>
        <w:t>2014. Vol. 7, № 2. P. 220–228.</w:t>
      </w:r>
    </w:p>
    <w:p w14:paraId="03BBFFDA"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192.</w:t>
      </w:r>
      <w:r w:rsidRPr="00B658AE">
        <w:rPr>
          <w:noProof/>
          <w:lang w:val="en-US"/>
        </w:rPr>
        <w:tab/>
        <w:t>Linder L.E. et al. Material thrombogenicity in central venous catheterization: a comparison between soft, antebrachial catheters of silicone elastomer and polyurethane. // JPEN. J. Parenter. Enteral Nutr. 1984. Vol. 8, № 4. P. 399–406.</w:t>
      </w:r>
    </w:p>
    <w:p w14:paraId="5E53029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193.</w:t>
      </w:r>
      <w:r w:rsidRPr="00B658AE">
        <w:rPr>
          <w:noProof/>
          <w:lang w:val="en-US"/>
        </w:rPr>
        <w:tab/>
        <w:t>Watters V.A., Grant J.P. Use of Electrocardiogram to Position Right Atrial Catheters During Surgery // Ann. Surg. Vol. 225, № 2. P. 165–171.</w:t>
      </w:r>
    </w:p>
    <w:p w14:paraId="3196739B"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194.</w:t>
      </w:r>
      <w:r w:rsidRPr="00B658AE">
        <w:rPr>
          <w:noProof/>
          <w:lang w:val="en-US"/>
        </w:rPr>
        <w:tab/>
        <w:t>Taal M.W., Chesterton L.J., McIntyre C.W. Venography at insertion of tunnelled internal jugular vein dialysis catheters reveals significant occult stenosis // Nephrol. Dial. Transplant. Oxford University Press, 2004. Vol. 19, № 6. P. 1542–1545.</w:t>
      </w:r>
    </w:p>
    <w:p w14:paraId="73DDCF9B"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195.</w:t>
      </w:r>
      <w:r w:rsidRPr="00B658AE">
        <w:rPr>
          <w:noProof/>
          <w:lang w:val="en-US"/>
        </w:rPr>
        <w:tab/>
        <w:t xml:space="preserve">Lobato E.B. et al. Cross-sectional area of the right and left internal jugular veins. // J. Cardiothorac. </w:t>
      </w:r>
      <w:r w:rsidRPr="00E430FD">
        <w:rPr>
          <w:noProof/>
        </w:rPr>
        <w:t>Vasc. Anesth. 1999. Vol. 13, № 2. P. 136–138.</w:t>
      </w:r>
    </w:p>
    <w:p w14:paraId="1F726665" w14:textId="77777777" w:rsidR="00E430FD" w:rsidRPr="00E430FD" w:rsidRDefault="00E430FD" w:rsidP="00E430FD">
      <w:pPr>
        <w:widowControl w:val="0"/>
        <w:autoSpaceDE w:val="0"/>
        <w:autoSpaceDN w:val="0"/>
        <w:adjustRightInd w:val="0"/>
        <w:spacing w:before="0" w:after="0"/>
        <w:ind w:left="640" w:hanging="640"/>
        <w:rPr>
          <w:noProof/>
        </w:rPr>
      </w:pPr>
      <w:r w:rsidRPr="00E430FD">
        <w:rPr>
          <w:noProof/>
        </w:rPr>
        <w:t>196.</w:t>
      </w:r>
      <w:r w:rsidRPr="00E430FD">
        <w:rPr>
          <w:noProof/>
        </w:rPr>
        <w:tab/>
        <w:t>Червонцева А.М. Повреждение сосудистого эндотелия в процессе лечения острых миелоидных лейкозов. 2008.</w:t>
      </w:r>
    </w:p>
    <w:p w14:paraId="02CEF88D" w14:textId="77777777" w:rsidR="00E430FD" w:rsidRPr="00B658AE" w:rsidRDefault="00E430FD" w:rsidP="00E430FD">
      <w:pPr>
        <w:widowControl w:val="0"/>
        <w:autoSpaceDE w:val="0"/>
        <w:autoSpaceDN w:val="0"/>
        <w:adjustRightInd w:val="0"/>
        <w:spacing w:before="0" w:after="0"/>
        <w:ind w:left="640" w:hanging="640"/>
        <w:rPr>
          <w:noProof/>
          <w:lang w:val="en-US"/>
        </w:rPr>
      </w:pPr>
      <w:r w:rsidRPr="00E430FD">
        <w:rPr>
          <w:noProof/>
        </w:rPr>
        <w:t>197.</w:t>
      </w:r>
      <w:r w:rsidRPr="00E430FD">
        <w:rPr>
          <w:noProof/>
        </w:rPr>
        <w:tab/>
        <w:t xml:space="preserve">Багирова Н.С. Инфекции, связанные с внутрисосудистыми устройствами: терминология, диагностика, профилактика и терапия // Злокачественные опухоли. </w:t>
      </w:r>
      <w:r w:rsidRPr="00B658AE">
        <w:rPr>
          <w:noProof/>
          <w:lang w:val="en-US"/>
        </w:rPr>
        <w:t>2014. № 3. P. 164–171.</w:t>
      </w:r>
    </w:p>
    <w:p w14:paraId="5921F41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198.</w:t>
      </w:r>
      <w:r w:rsidRPr="00B658AE">
        <w:rPr>
          <w:noProof/>
          <w:lang w:val="en-US"/>
        </w:rPr>
        <w:tab/>
        <w:t>Bannon M.P., Heller S.F., Rivera M. Anatomic considerations for central venous cannulation. // Risk Manag. Healthc. Policy. Dove Press, 2011. Vol. 4. P. 27–39.</w:t>
      </w:r>
    </w:p>
    <w:p w14:paraId="069EF3E7"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199.</w:t>
      </w:r>
      <w:r w:rsidRPr="00B658AE">
        <w:rPr>
          <w:noProof/>
          <w:lang w:val="en-US"/>
        </w:rPr>
        <w:tab/>
        <w:t>Milling T.J. et al. Randomized, controlled clinical trial of point-of-care limited ultrasonography assistance of central venous cannulation: The Third Sonography Outcomes Assessment Program (SOAP-3) Trial* // Crit. Care Med. 2005. Vol. 33, № 8. P. 1764–1769.</w:t>
      </w:r>
    </w:p>
    <w:p w14:paraId="1AFF969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200.</w:t>
      </w:r>
      <w:r w:rsidRPr="00B658AE">
        <w:rPr>
          <w:noProof/>
          <w:lang w:val="en-US"/>
        </w:rPr>
        <w:tab/>
        <w:t xml:space="preserve">Tordoir J. et al. EBPG on Vascular Access // Nephrol. Dial. Transplant. Oxford University </w:t>
      </w:r>
      <w:r w:rsidRPr="00B658AE">
        <w:rPr>
          <w:noProof/>
          <w:lang w:val="en-US"/>
        </w:rPr>
        <w:lastRenderedPageBreak/>
        <w:t>Press, 2007. Vol. 22, № Supplement 2. P. ii88–ii117.</w:t>
      </w:r>
    </w:p>
    <w:p w14:paraId="5A412F77"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201.</w:t>
      </w:r>
      <w:r w:rsidRPr="00B658AE">
        <w:rPr>
          <w:noProof/>
          <w:lang w:val="en-US"/>
        </w:rPr>
        <w:tab/>
        <w:t>Roca-Tey R. Permanent Arteriovenous Fistula or Catheter Dialysis for Heart Failure Patients // J. Vasc. Access. SAGE PublicationsSage UK: London, England, 2016. Vol. 17, № 1_suppl. P. 23–29.</w:t>
      </w:r>
    </w:p>
    <w:p w14:paraId="11C6D7C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202.</w:t>
      </w:r>
      <w:r w:rsidRPr="00B658AE">
        <w:rPr>
          <w:noProof/>
          <w:lang w:val="en-US"/>
        </w:rPr>
        <w:tab/>
        <w:t>Aksoy S. et al. Infectious complications of rituximab in patients with lymphoma during maintenance therapy: A systematic review and meta-analysis // Leuk. Lymphoma. Leuk Lymphoma, 2009. Vol. 50, № 3. P. 357–365.</w:t>
      </w:r>
    </w:p>
    <w:p w14:paraId="145198B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203.</w:t>
      </w:r>
      <w:r w:rsidRPr="00B658AE">
        <w:rPr>
          <w:noProof/>
          <w:lang w:val="en-US"/>
        </w:rPr>
        <w:tab/>
        <w:t>Hua Q., Zhu Y., Liu H. Severe and fatal adverse events risk associated with rituximab addition to b-cell non-hodgkin’s lymphoma (B-NHL) chemotherapy: A meta-analysis // J. Chemother. 2015.</w:t>
      </w:r>
    </w:p>
    <w:p w14:paraId="195C2B4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204.</w:t>
      </w:r>
      <w:r w:rsidRPr="00B658AE">
        <w:rPr>
          <w:noProof/>
          <w:lang w:val="en-US"/>
        </w:rPr>
        <w:tab/>
        <w:t>Ren Y.R. et al. Rituximab treatment strategy for patients with diffuse large B‑cell lymphoma after first‑line therapy: A systematic review and meta‑analysis // Chin. Med. J. (Engl). Chinese Medical Association, 2015. Vol. 128, № 3. P. 378–383.</w:t>
      </w:r>
    </w:p>
    <w:p w14:paraId="7FF5F0C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205.</w:t>
      </w:r>
      <w:r w:rsidRPr="00B658AE">
        <w:rPr>
          <w:noProof/>
          <w:lang w:val="en-US"/>
        </w:rPr>
        <w:tab/>
        <w:t>Hoering A. et al. End points and statistical considerations in immuno-oncology trials: Impact on multiple myeloma // Future Oncology. Future Medicine Ltd., 2017. Vol. 13, № 13. P. 1181–1193.</w:t>
      </w:r>
    </w:p>
    <w:p w14:paraId="1921F66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206.</w:t>
      </w:r>
      <w:r w:rsidRPr="00B658AE">
        <w:rPr>
          <w:noProof/>
          <w:lang w:val="en-US"/>
        </w:rPr>
        <w:tab/>
        <w:t>Hirayama F. Current understanding of allergic transfusion reactions: Incidence, pathogenesis, laboratory tests, prevention and treatment // British Journal of Haematology. Br J Haematol, 2013. Vol. 160, № 4. P. 434–444.</w:t>
      </w:r>
    </w:p>
    <w:p w14:paraId="46F6A29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207.</w:t>
      </w:r>
      <w:r w:rsidRPr="00B658AE">
        <w:rPr>
          <w:noProof/>
          <w:lang w:val="en-US"/>
        </w:rPr>
        <w:tab/>
        <w:t>Lonial S. et al. Elotuzumab in combination with lenalidomide and low-dose dexamethasone in relapsed or refractory multiple myeloma // J. Clin. Oncol. 2012. Vol. 30, № 16. P. 1953–1959.</w:t>
      </w:r>
    </w:p>
    <w:p w14:paraId="7EC928AA"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208.</w:t>
      </w:r>
      <w:r w:rsidRPr="00B658AE">
        <w:rPr>
          <w:noProof/>
          <w:lang w:val="en-US"/>
        </w:rPr>
        <w:tab/>
        <w:t>Dimopoulos M.A. et al. Daratumumab, Lenalidomide, and Dexamethasone for Multiple Myeloma // N. Engl. J. Med. New England Journal of Medicine (NEJM/MMS), 2016. Vol. 375, № 14. P. 1319–1331.</w:t>
      </w:r>
    </w:p>
    <w:p w14:paraId="0629F47A"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209.</w:t>
      </w:r>
      <w:r w:rsidRPr="00B658AE">
        <w:rPr>
          <w:noProof/>
          <w:lang w:val="en-US"/>
        </w:rPr>
        <w:tab/>
        <w:t>Boyle E.M. et al. Daratumumab and dexamethasone is safe and effective for triple refractory myeloma patients: final results of the IFM 2014-04 (Etoile du Nord) trial // Br. J. Haematol. Blackwell Publishing Ltd, 2019. Vol. 187, № 3. P. 319–327.</w:t>
      </w:r>
    </w:p>
    <w:p w14:paraId="1294A365"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210.</w:t>
      </w:r>
      <w:r w:rsidRPr="00B658AE">
        <w:rPr>
          <w:noProof/>
          <w:lang w:val="en-US"/>
        </w:rPr>
        <w:tab/>
        <w:t>Baldo B.A., Baldo B.A. Monoclonal Antibodies Approved for Cancer Therapy // Safety of Biologics Therapy. Springer International Publishing, 2016. P. 57–140.</w:t>
      </w:r>
    </w:p>
    <w:p w14:paraId="6B4D209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211.</w:t>
      </w:r>
      <w:r w:rsidRPr="00B658AE">
        <w:rPr>
          <w:noProof/>
          <w:lang w:val="en-US"/>
        </w:rPr>
        <w:tab/>
        <w:t>Van De Donk N.W.C.J. et al. Clinical efficacy and management of monoclonal antibodies targeting CD38 and SLAMF7 in multiple myeloma // Blood. American Society of Hematology, 2016. Vol. 127, № 6. P. 681–695.</w:t>
      </w:r>
    </w:p>
    <w:p w14:paraId="08E77AC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212.</w:t>
      </w:r>
      <w:r w:rsidRPr="00B658AE">
        <w:rPr>
          <w:noProof/>
          <w:lang w:val="en-US"/>
        </w:rPr>
        <w:tab/>
        <w:t xml:space="preserve">Tinegate H. et al. Guideline on the investigation and management of acute transfusion </w:t>
      </w:r>
      <w:r w:rsidRPr="00B658AE">
        <w:rPr>
          <w:noProof/>
          <w:lang w:val="en-US"/>
        </w:rPr>
        <w:lastRenderedPageBreak/>
        <w:t>reactions Prepared by the BCSH Blood Transfusion Task Force // Br. J. Haematol. Br J Haematol, 2012. Vol. 159, № 2. P. 143–153.</w:t>
      </w:r>
    </w:p>
    <w:p w14:paraId="335EC465"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213.</w:t>
      </w:r>
      <w:r w:rsidRPr="00B658AE">
        <w:rPr>
          <w:noProof/>
          <w:lang w:val="en-US"/>
        </w:rPr>
        <w:tab/>
        <w:t>Taniwaki M. et al. Elotuzumab for the treatment of relapsed or refractory multiple myeloma, with special reference to its modes of action and SLAMF7 signaling // Mediterranean Journal of Hematology and Infectious Diseases. Universita Cattolica del Sacro Cuore, 2018. Vol. 10, № 1. P. 2018014.</w:t>
      </w:r>
    </w:p>
    <w:p w14:paraId="55A119D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214.</w:t>
      </w:r>
      <w:r w:rsidRPr="00B658AE">
        <w:rPr>
          <w:noProof/>
          <w:lang w:val="en-US"/>
        </w:rPr>
        <w:tab/>
        <w:t>Gentili S., Lonial S. Relapsed and Refractory Multiple Myeloma: New Therapeutic Strategies // Hematology/Oncology Clinics of North America. W.B. Saunders, 2014. Vol. 28, № 5. P. 861–890.</w:t>
      </w:r>
    </w:p>
    <w:p w14:paraId="2068AA4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215.</w:t>
      </w:r>
      <w:r w:rsidRPr="00B658AE">
        <w:rPr>
          <w:noProof/>
          <w:lang w:val="en-US"/>
        </w:rPr>
        <w:tab/>
        <w:t>Sato K., Kohgo Y. Infusion reactions // Gan To Kagaku Ryoho. Clin J Oncol Nurs, 2008. Vol. 35, № 10. P. 1671–1674.</w:t>
      </w:r>
    </w:p>
    <w:p w14:paraId="6A58BAC8"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216.</w:t>
      </w:r>
      <w:r w:rsidRPr="00B658AE">
        <w:rPr>
          <w:noProof/>
          <w:lang w:val="en-US"/>
        </w:rPr>
        <w:tab/>
        <w:t>Ranta S. et al. Antithrombin deficiency after prolonged asparaginase treatment in children with acute lymphoblastic leukemia // Blood Coagul. Fibrinolysis. Blood Coagul Fibrinolysis, 2013. Vol. 24, № 7. P. 749–756.</w:t>
      </w:r>
    </w:p>
    <w:p w14:paraId="690280D1"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217.</w:t>
      </w:r>
      <w:r w:rsidRPr="00B658AE">
        <w:rPr>
          <w:noProof/>
          <w:lang w:val="en-US"/>
        </w:rPr>
        <w:tab/>
        <w:t>Rozen L. et al. Different profile of thrombin generation in children with acute lymphoblastic leukaemia treated with native or pegylated asparaginase: A cohort study // Pediatr. Blood Cancer. John Wiley and Sons Inc., 2017. Vol. 64, № 2. P. 294–301.</w:t>
      </w:r>
    </w:p>
    <w:p w14:paraId="2014BCED"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218.</w:t>
      </w:r>
      <w:r w:rsidRPr="00B658AE">
        <w:rPr>
          <w:noProof/>
          <w:lang w:val="en-US"/>
        </w:rPr>
        <w:tab/>
        <w:t>De Stefano V. et al. Haemostatic alterations induced by treatment with asparaginases and clinical consequences // Thrombosis and Haemostasis. Schattauer GmbH, 2015. Vol. 113, № 2. P. 247–261.</w:t>
      </w:r>
    </w:p>
    <w:p w14:paraId="56A09242"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219.</w:t>
      </w:r>
      <w:r w:rsidRPr="00B658AE">
        <w:rPr>
          <w:noProof/>
          <w:lang w:val="en-US"/>
        </w:rPr>
        <w:tab/>
        <w:t>Caruso V. et al. Thrombotic complications in childhood acute lymphoblastic leukemia: A meta-analysis of 17 prospective studies comprising 1752 pediatric patients // Blood. American Society of Hematology, 2006. Vol. 108, № 7. P. 2216–2222.</w:t>
      </w:r>
    </w:p>
    <w:p w14:paraId="6917D6B9"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220.</w:t>
      </w:r>
      <w:r w:rsidRPr="00B658AE">
        <w:rPr>
          <w:noProof/>
          <w:lang w:val="en-US"/>
        </w:rPr>
        <w:tab/>
        <w:t>Mizrahi T. et al. ABO Group as a Thrombotic Risk Factor in Children With Acute Lymphoblastic Leukemia // J. Pediatr. Hematol. Oncol. Lippincott Williams and Wilkins, 2015. Vol. 37, № 5. P. e328–e332.</w:t>
      </w:r>
    </w:p>
    <w:p w14:paraId="529574DC"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221.</w:t>
      </w:r>
      <w:r w:rsidRPr="00B658AE">
        <w:rPr>
          <w:noProof/>
          <w:lang w:val="en-US"/>
        </w:rPr>
        <w:tab/>
        <w:t>Merlen C. et al. L-Asparaginase lowers plasma antithrombin and mannan-binding-lectin levels: Impact on thrombotic and infectious events in children with acute lymphoblastic leukemia // Pediatr. Blood Cancer. John Wiley and Sons Inc., 2015. Vol. 62, № 8. P. 1381–1387.</w:t>
      </w:r>
    </w:p>
    <w:p w14:paraId="4AB10D37"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222.</w:t>
      </w:r>
      <w:r w:rsidRPr="00B658AE">
        <w:rPr>
          <w:noProof/>
          <w:lang w:val="en-US"/>
        </w:rPr>
        <w:tab/>
        <w:t>Akselrod B.A. et al. Clinical guidelines for red blood cell transfusion // Gematologiya i Transfusiologiya. Izdatel’stvo Meditsina, 2018. Vol. 63, № 4. P. 372–435.</w:t>
      </w:r>
    </w:p>
    <w:p w14:paraId="0554C309"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223.</w:t>
      </w:r>
      <w:r w:rsidRPr="00B658AE">
        <w:rPr>
          <w:noProof/>
          <w:lang w:val="en-US"/>
        </w:rPr>
        <w:tab/>
        <w:t xml:space="preserve">Kelsey P. et al. Guidelines for the use of platelet transfusions // Br. J. Haematol. </w:t>
      </w:r>
      <w:r w:rsidRPr="00E430FD">
        <w:rPr>
          <w:noProof/>
        </w:rPr>
        <w:t>2003. Vol. 122, № 1. P. 10–23.</w:t>
      </w:r>
    </w:p>
    <w:p w14:paraId="1FCAF1C2" w14:textId="77777777" w:rsidR="00E430FD" w:rsidRPr="006310A4" w:rsidRDefault="00E430FD" w:rsidP="00E430FD">
      <w:pPr>
        <w:widowControl w:val="0"/>
        <w:autoSpaceDE w:val="0"/>
        <w:autoSpaceDN w:val="0"/>
        <w:adjustRightInd w:val="0"/>
        <w:spacing w:before="0" w:after="0"/>
        <w:ind w:left="640" w:hanging="640"/>
        <w:rPr>
          <w:noProof/>
          <w:lang w:val="en-US"/>
        </w:rPr>
      </w:pPr>
      <w:r w:rsidRPr="00E430FD">
        <w:rPr>
          <w:noProof/>
        </w:rPr>
        <w:lastRenderedPageBreak/>
        <w:t>224.</w:t>
      </w:r>
      <w:r w:rsidRPr="00E430FD">
        <w:rPr>
          <w:noProof/>
        </w:rPr>
        <w:tab/>
        <w:t xml:space="preserve">Баркаган З.С. Геморрагические заболевания и синдромы. Москва: Медицина, 1988. </w:t>
      </w:r>
      <w:r w:rsidRPr="006310A4">
        <w:rPr>
          <w:noProof/>
          <w:lang w:val="en-US"/>
        </w:rPr>
        <w:t xml:space="preserve">528 </w:t>
      </w:r>
      <w:r w:rsidRPr="00B658AE">
        <w:rPr>
          <w:noProof/>
          <w:lang w:val="en-US"/>
        </w:rPr>
        <w:t>p</w:t>
      </w:r>
      <w:r w:rsidRPr="006310A4">
        <w:rPr>
          <w:noProof/>
          <w:lang w:val="en-US"/>
        </w:rPr>
        <w:t>.</w:t>
      </w:r>
    </w:p>
    <w:p w14:paraId="47A96FE0" w14:textId="77777777" w:rsidR="00E430FD" w:rsidRPr="00B658AE" w:rsidRDefault="00E430FD" w:rsidP="00E430FD">
      <w:pPr>
        <w:widowControl w:val="0"/>
        <w:autoSpaceDE w:val="0"/>
        <w:autoSpaceDN w:val="0"/>
        <w:adjustRightInd w:val="0"/>
        <w:spacing w:before="0" w:after="0"/>
        <w:ind w:left="640" w:hanging="640"/>
        <w:rPr>
          <w:noProof/>
          <w:lang w:val="en-US"/>
        </w:rPr>
      </w:pPr>
      <w:r w:rsidRPr="006310A4">
        <w:rPr>
          <w:noProof/>
          <w:lang w:val="en-US"/>
        </w:rPr>
        <w:t>225.</w:t>
      </w:r>
      <w:r w:rsidRPr="006310A4">
        <w:rPr>
          <w:noProof/>
          <w:lang w:val="en-US"/>
        </w:rPr>
        <w:tab/>
      </w:r>
      <w:r w:rsidRPr="00B658AE">
        <w:rPr>
          <w:noProof/>
          <w:lang w:val="en-US"/>
        </w:rPr>
        <w:t>Estcourt</w:t>
      </w:r>
      <w:r w:rsidRPr="006310A4">
        <w:rPr>
          <w:noProof/>
          <w:lang w:val="en-US"/>
        </w:rPr>
        <w:t xml:space="preserve"> </w:t>
      </w:r>
      <w:r w:rsidRPr="00B658AE">
        <w:rPr>
          <w:noProof/>
          <w:lang w:val="en-US"/>
        </w:rPr>
        <w:t>L</w:t>
      </w:r>
      <w:r w:rsidRPr="006310A4">
        <w:rPr>
          <w:noProof/>
          <w:lang w:val="en-US"/>
        </w:rPr>
        <w:t xml:space="preserve">. </w:t>
      </w:r>
      <w:r w:rsidRPr="00B658AE">
        <w:rPr>
          <w:noProof/>
          <w:lang w:val="en-US"/>
        </w:rPr>
        <w:t>et</w:t>
      </w:r>
      <w:r w:rsidRPr="006310A4">
        <w:rPr>
          <w:noProof/>
          <w:lang w:val="en-US"/>
        </w:rPr>
        <w:t xml:space="preserve"> </w:t>
      </w:r>
      <w:r w:rsidRPr="00B658AE">
        <w:rPr>
          <w:noProof/>
          <w:lang w:val="en-US"/>
        </w:rPr>
        <w:t>al</w:t>
      </w:r>
      <w:r w:rsidRPr="006310A4">
        <w:rPr>
          <w:noProof/>
          <w:lang w:val="en-US"/>
        </w:rPr>
        <w:t xml:space="preserve">. </w:t>
      </w:r>
      <w:r w:rsidRPr="00B658AE">
        <w:rPr>
          <w:noProof/>
          <w:lang w:val="en-US"/>
        </w:rPr>
        <w:t>Prophylactic platelet transfusion for prevention of bleeding in patients with haematological disorders after chemotherapy and stem cell transplantation // Cochrane Database Syst. Rev. Wiley, 2012. № 5.</w:t>
      </w:r>
    </w:p>
    <w:p w14:paraId="4A35BA64"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226.</w:t>
      </w:r>
      <w:r w:rsidRPr="00B658AE">
        <w:rPr>
          <w:noProof/>
          <w:lang w:val="en-US"/>
        </w:rPr>
        <w:tab/>
        <w:t>Stanworth S.J. et al. Platelet transfusion prophylaxis for patients with haematological malignancies: where to now? // Br. J. Haematol. John Wiley &amp; Sons, Ltd, 2005. Vol. 131, № 5. P. 588–595.</w:t>
      </w:r>
    </w:p>
    <w:p w14:paraId="0A3C7C40"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227.</w:t>
      </w:r>
      <w:r w:rsidRPr="00B658AE">
        <w:rPr>
          <w:noProof/>
          <w:lang w:val="en-US"/>
        </w:rPr>
        <w:tab/>
        <w:t>Stanworth S.J. et al. A No-Prophylaxis Platelet-Transfusion Strategy for Hematologic Cancers // N. Engl. J. Med. New England Journal of Medicine (NEJM/MMS), 2013. Vol. 368, № 19. P. 1771–1780.</w:t>
      </w:r>
    </w:p>
    <w:p w14:paraId="4D7768A2"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228.</w:t>
      </w:r>
      <w:r w:rsidRPr="00B658AE">
        <w:rPr>
          <w:noProof/>
          <w:lang w:val="en-US"/>
        </w:rPr>
        <w:tab/>
        <w:t xml:space="preserve">Kaufman R.M. et al. Platelet transfusion: A clinical practice guideline from the AABB // Annals of Internal Medicine. </w:t>
      </w:r>
      <w:r w:rsidRPr="00E430FD">
        <w:rPr>
          <w:noProof/>
        </w:rPr>
        <w:t>American College of Physicians, 2015. Vol. 162, № 3. P. 205–213.</w:t>
      </w:r>
    </w:p>
    <w:p w14:paraId="78F5F055" w14:textId="77777777" w:rsidR="00E430FD" w:rsidRPr="00E430FD" w:rsidRDefault="00E430FD" w:rsidP="00E430FD">
      <w:pPr>
        <w:widowControl w:val="0"/>
        <w:autoSpaceDE w:val="0"/>
        <w:autoSpaceDN w:val="0"/>
        <w:adjustRightInd w:val="0"/>
        <w:spacing w:before="0" w:after="0"/>
        <w:ind w:left="640" w:hanging="640"/>
        <w:rPr>
          <w:noProof/>
        </w:rPr>
      </w:pPr>
      <w:r w:rsidRPr="00E430FD">
        <w:rPr>
          <w:noProof/>
        </w:rPr>
        <w:t>229.</w:t>
      </w:r>
      <w:r w:rsidRPr="00E430FD">
        <w:rPr>
          <w:noProof/>
        </w:rPr>
        <w:tab/>
        <w:t>Об утверждении правил клинического использования донорской крови и (или) ее компонентов: Приказ Министерства здравоохранения РФ от 02.04.2013 N 183н // Российская газета - Федеральный выпуск № 190(6166).</w:t>
      </w:r>
    </w:p>
    <w:p w14:paraId="0E11D2C9" w14:textId="77777777" w:rsidR="00E430FD" w:rsidRPr="00E430FD" w:rsidRDefault="00E430FD" w:rsidP="00E430FD">
      <w:pPr>
        <w:widowControl w:val="0"/>
        <w:autoSpaceDE w:val="0"/>
        <w:autoSpaceDN w:val="0"/>
        <w:adjustRightInd w:val="0"/>
        <w:spacing w:before="0" w:after="0"/>
        <w:ind w:left="640" w:hanging="640"/>
        <w:rPr>
          <w:noProof/>
        </w:rPr>
      </w:pPr>
      <w:r w:rsidRPr="00E430FD">
        <w:rPr>
          <w:noProof/>
        </w:rPr>
        <w:t>230.</w:t>
      </w:r>
      <w:r w:rsidRPr="00E430FD">
        <w:rPr>
          <w:noProof/>
        </w:rPr>
        <w:tab/>
        <w:t>Савченко В.Г., Михайлова К.Е.А. Алгоритмы диагностики и протоколы лечения заболеваний системы крови.</w:t>
      </w:r>
    </w:p>
    <w:p w14:paraId="5CD01DB1"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231.</w:t>
      </w:r>
      <w:r w:rsidRPr="00B658AE">
        <w:rPr>
          <w:noProof/>
          <w:lang w:val="en-US"/>
        </w:rPr>
        <w:tab/>
        <w:t xml:space="preserve">Tinmouth A.T., Freedman J. Prophylactic platelet transfusions: Which dose is the best dose? A review of the literature // Transfus. Med. Rev. W.B. Saunders, 2003. </w:t>
      </w:r>
      <w:r w:rsidRPr="00E430FD">
        <w:rPr>
          <w:noProof/>
        </w:rPr>
        <w:t>Vol. 17, № 3. P. 181–193.</w:t>
      </w:r>
    </w:p>
    <w:p w14:paraId="371003BD" w14:textId="77777777" w:rsidR="00E430FD" w:rsidRPr="00B658AE" w:rsidRDefault="00E430FD" w:rsidP="00E430FD">
      <w:pPr>
        <w:widowControl w:val="0"/>
        <w:autoSpaceDE w:val="0"/>
        <w:autoSpaceDN w:val="0"/>
        <w:adjustRightInd w:val="0"/>
        <w:spacing w:before="0" w:after="0"/>
        <w:ind w:left="640" w:hanging="640"/>
        <w:rPr>
          <w:noProof/>
          <w:lang w:val="en-US"/>
        </w:rPr>
      </w:pPr>
      <w:r w:rsidRPr="00E430FD">
        <w:rPr>
          <w:noProof/>
        </w:rPr>
        <w:t>232.</w:t>
      </w:r>
      <w:r w:rsidRPr="00E430FD">
        <w:rPr>
          <w:noProof/>
        </w:rPr>
        <w:tab/>
        <w:t>Савченко В.Г. и др. Алгоритмы диагностики и протоколы лечения заболеваний системы крови. Москва</w:t>
      </w:r>
      <w:r w:rsidRPr="006310A4">
        <w:rPr>
          <w:noProof/>
          <w:lang w:val="en-US"/>
        </w:rPr>
        <w:t xml:space="preserve">: </w:t>
      </w:r>
      <w:r w:rsidRPr="00E430FD">
        <w:rPr>
          <w:noProof/>
        </w:rPr>
        <w:t>Практика</w:t>
      </w:r>
      <w:r w:rsidRPr="006310A4">
        <w:rPr>
          <w:noProof/>
          <w:lang w:val="en-US"/>
        </w:rPr>
        <w:t xml:space="preserve">, 2018. </w:t>
      </w:r>
      <w:r w:rsidRPr="00B658AE">
        <w:rPr>
          <w:noProof/>
          <w:lang w:val="en-US"/>
        </w:rPr>
        <w:t>1008 p.</w:t>
      </w:r>
    </w:p>
    <w:p w14:paraId="7C6C4DD6"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233.</w:t>
      </w:r>
      <w:r w:rsidRPr="00B658AE">
        <w:rPr>
          <w:noProof/>
          <w:lang w:val="en-US"/>
        </w:rPr>
        <w:tab/>
        <w:t>Maertens J. et al. ECIL guidelines for preventing Pneumocystis jirovecii pneumonia in patients with haematological malignancies and stem cell transplant recipients // Journal of Antimicrobial Chemotherapy. Oxford University Press, 2016. Vol. 71, № 9. P. 1–8.</w:t>
      </w:r>
    </w:p>
    <w:p w14:paraId="61F30553" w14:textId="77777777" w:rsidR="00E430FD" w:rsidRPr="00B658AE" w:rsidRDefault="00E430FD" w:rsidP="00E430FD">
      <w:pPr>
        <w:widowControl w:val="0"/>
        <w:autoSpaceDE w:val="0"/>
        <w:autoSpaceDN w:val="0"/>
        <w:adjustRightInd w:val="0"/>
        <w:spacing w:before="0" w:after="0"/>
        <w:ind w:left="640" w:hanging="640"/>
        <w:rPr>
          <w:noProof/>
          <w:lang w:val="en-US"/>
        </w:rPr>
      </w:pPr>
      <w:r w:rsidRPr="00B658AE">
        <w:rPr>
          <w:noProof/>
          <w:lang w:val="en-US"/>
        </w:rPr>
        <w:t>234.</w:t>
      </w:r>
      <w:r w:rsidRPr="00B658AE">
        <w:rPr>
          <w:noProof/>
          <w:lang w:val="en-US"/>
        </w:rPr>
        <w:tab/>
        <w:t>Bagirova N.S. INFECTIONS ASSOCIATED WITH INTRAVASCULAR DEVICES: TERMINOLOGY, DIAGNOSIS, PREVENTION AND THERAPY // Malig. tumours. Fond Oncoprogress, 2015. Vol. 0, № 3. P. 164.</w:t>
      </w:r>
    </w:p>
    <w:p w14:paraId="43202149" w14:textId="77777777" w:rsidR="00E430FD" w:rsidRPr="00E430FD" w:rsidRDefault="00E430FD" w:rsidP="00E430FD">
      <w:pPr>
        <w:widowControl w:val="0"/>
        <w:autoSpaceDE w:val="0"/>
        <w:autoSpaceDN w:val="0"/>
        <w:adjustRightInd w:val="0"/>
        <w:spacing w:before="0" w:after="0"/>
        <w:ind w:left="640" w:hanging="640"/>
        <w:rPr>
          <w:noProof/>
        </w:rPr>
      </w:pPr>
      <w:r w:rsidRPr="00B658AE">
        <w:rPr>
          <w:noProof/>
          <w:lang w:val="en-US"/>
        </w:rPr>
        <w:t>235.</w:t>
      </w:r>
      <w:r w:rsidRPr="00B658AE">
        <w:rPr>
          <w:noProof/>
          <w:lang w:val="en-US"/>
        </w:rPr>
        <w:tab/>
        <w:t xml:space="preserve">Oken M.M. et al. Toxicity and response criteria of the Eastern Cooperative Oncology Group // Am. J. Clin. </w:t>
      </w:r>
      <w:r w:rsidRPr="006869AB">
        <w:rPr>
          <w:noProof/>
          <w:lang w:val="en-US"/>
        </w:rPr>
        <w:t>Oncol</w:t>
      </w:r>
      <w:r w:rsidRPr="006310A4">
        <w:rPr>
          <w:noProof/>
        </w:rPr>
        <w:t xml:space="preserve">. </w:t>
      </w:r>
      <w:r w:rsidRPr="00E430FD">
        <w:rPr>
          <w:noProof/>
        </w:rPr>
        <w:t>1982. Vol. 5, № 6. P. 649–655.</w:t>
      </w:r>
    </w:p>
    <w:p w14:paraId="09D12005" w14:textId="42A9C915" w:rsidR="009B6504" w:rsidRPr="00574D67" w:rsidRDefault="00AE58F2" w:rsidP="00E430FD">
      <w:pPr>
        <w:widowControl w:val="0"/>
        <w:autoSpaceDE w:val="0"/>
        <w:autoSpaceDN w:val="0"/>
        <w:adjustRightInd w:val="0"/>
        <w:spacing w:before="0" w:after="0"/>
        <w:ind w:left="640" w:hanging="640"/>
      </w:pPr>
      <w:r>
        <w:fldChar w:fldCharType="end"/>
      </w:r>
      <w:r w:rsidR="004C0C25" w:rsidRPr="00574D67">
        <w:t xml:space="preserve"> </w:t>
      </w:r>
    </w:p>
    <w:p w14:paraId="63A240FF" w14:textId="67700F88" w:rsidR="004C0C25" w:rsidRPr="00F242DD" w:rsidRDefault="004C0C25" w:rsidP="00317FEF">
      <w:pPr>
        <w:pStyle w:val="1"/>
        <w:spacing w:before="0" w:after="0"/>
      </w:pPr>
      <w:bookmarkStart w:id="53" w:name="_Toc97734643"/>
      <w:r w:rsidRPr="00F242DD">
        <w:lastRenderedPageBreak/>
        <w:t>Приложение А1. Состав рабочей группы</w:t>
      </w:r>
      <w:bookmarkEnd w:id="52"/>
      <w:r w:rsidR="008761C0">
        <w:t xml:space="preserve"> по разработке и пересмотру клинических рекомендаций</w:t>
      </w:r>
      <w:bookmarkEnd w:id="53"/>
    </w:p>
    <w:p w14:paraId="3E04BD71" w14:textId="605CA141" w:rsidR="00C9448D" w:rsidRPr="00F242DD" w:rsidRDefault="00E92FAD" w:rsidP="00C9448D">
      <w:pPr>
        <w:pStyle w:val="a6"/>
        <w:numPr>
          <w:ilvl w:val="0"/>
          <w:numId w:val="51"/>
        </w:numPr>
        <w:spacing w:before="0"/>
        <w:ind w:left="0" w:firstLine="0"/>
      </w:pPr>
      <w:r w:rsidRPr="004C0C25">
        <w:rPr>
          <w:b/>
        </w:rPr>
        <w:t xml:space="preserve">Менделеева Лариса Павловна – </w:t>
      </w:r>
      <w:r w:rsidRPr="00F242DD">
        <w:t xml:space="preserve">д.м.н., </w:t>
      </w:r>
      <w:r w:rsidR="00CD6C97">
        <w:t xml:space="preserve">профессор, </w:t>
      </w:r>
      <w:r w:rsidR="007B7D4C">
        <w:t>руководитель управления по научной и образовательной работе</w:t>
      </w:r>
      <w:r w:rsidR="00302EBF">
        <w:t xml:space="preserve">, зав.отделом химиотерапии парапротеинемических гемобластозов </w:t>
      </w:r>
      <w:r w:rsidRPr="00F242DD">
        <w:t>ФГБУ «НМИЦ гематологии» Минздрава России, член Национального гематологического общества, член Российского профессионального общества онкогематологов.</w:t>
      </w:r>
    </w:p>
    <w:p w14:paraId="0AC714FE" w14:textId="5E760BAE" w:rsidR="00130BC5" w:rsidRPr="00F242DD" w:rsidRDefault="00130BC5" w:rsidP="00C9448D">
      <w:pPr>
        <w:pStyle w:val="a6"/>
        <w:numPr>
          <w:ilvl w:val="0"/>
          <w:numId w:val="51"/>
        </w:numPr>
        <w:spacing w:after="0"/>
        <w:ind w:left="0" w:firstLine="0"/>
      </w:pPr>
      <w:r w:rsidRPr="00F242DD">
        <w:rPr>
          <w:b/>
        </w:rPr>
        <w:t xml:space="preserve">Вотякова Ольга Михайловна – </w:t>
      </w:r>
      <w:r w:rsidRPr="00F242DD">
        <w:t>к</w:t>
      </w:r>
      <w:r w:rsidR="00596E93" w:rsidRPr="00F242DD">
        <w:t>.</w:t>
      </w:r>
      <w:r w:rsidRPr="00F242DD">
        <w:t>м</w:t>
      </w:r>
      <w:r w:rsidR="00596E93" w:rsidRPr="00F242DD">
        <w:t>.</w:t>
      </w:r>
      <w:r w:rsidRPr="00F242DD">
        <w:t>н</w:t>
      </w:r>
      <w:r w:rsidR="00596E93" w:rsidRPr="00F242DD">
        <w:t>.</w:t>
      </w:r>
      <w:r w:rsidRPr="00F242DD">
        <w:t>, с</w:t>
      </w:r>
      <w:r w:rsidR="00596E93" w:rsidRPr="00F242DD">
        <w:t>.</w:t>
      </w:r>
      <w:r w:rsidRPr="00F242DD">
        <w:t>н</w:t>
      </w:r>
      <w:r w:rsidR="00596E93" w:rsidRPr="00F242DD">
        <w:t>.</w:t>
      </w:r>
      <w:r w:rsidRPr="00F242DD">
        <w:t>с</w:t>
      </w:r>
      <w:r w:rsidR="00596E93" w:rsidRPr="00F242DD">
        <w:t>.</w:t>
      </w:r>
      <w:r w:rsidRPr="00F242DD">
        <w:t xml:space="preserve"> </w:t>
      </w:r>
      <w:r w:rsidR="00596E93" w:rsidRPr="00F242DD">
        <w:t>ФГБУ «</w:t>
      </w:r>
      <w:r w:rsidR="00D20B9A" w:rsidRPr="00F242DD">
        <w:t>НМИЦ онкологии им. Н.Н. Блохина</w:t>
      </w:r>
      <w:r w:rsidR="00596E93" w:rsidRPr="00F242DD">
        <w:t>»</w:t>
      </w:r>
      <w:r w:rsidR="00D20B9A" w:rsidRPr="00F242DD">
        <w:t xml:space="preserve"> Минздрава России</w:t>
      </w:r>
      <w:r w:rsidRPr="00F242DD">
        <w:t xml:space="preserve">, </w:t>
      </w:r>
      <w:r w:rsidR="00317FEF" w:rsidRPr="00F242DD">
        <w:t>член Национального гематологического общества</w:t>
      </w:r>
      <w:r w:rsidR="00317FEF">
        <w:t xml:space="preserve">, </w:t>
      </w:r>
      <w:r w:rsidRPr="00F242DD">
        <w:t>член Российского профессионального общества онкогематологов</w:t>
      </w:r>
      <w:r w:rsidR="00362B53" w:rsidRPr="00F242DD">
        <w:t>.</w:t>
      </w:r>
    </w:p>
    <w:p w14:paraId="79FA0160" w14:textId="4BCC0084" w:rsidR="00836298" w:rsidRPr="008F69F6" w:rsidRDefault="00836298" w:rsidP="00CF2E03">
      <w:pPr>
        <w:pStyle w:val="a6"/>
        <w:numPr>
          <w:ilvl w:val="0"/>
          <w:numId w:val="51"/>
        </w:numPr>
        <w:ind w:left="0" w:firstLine="0"/>
        <w:contextualSpacing w:val="0"/>
      </w:pPr>
      <w:r w:rsidRPr="008F69F6">
        <w:rPr>
          <w:b/>
        </w:rPr>
        <w:t>Соловьев Максим Валерьевич</w:t>
      </w:r>
      <w:r w:rsidRPr="008F69F6">
        <w:t xml:space="preserve"> - к.м.н., заведующий отделением интенсивной высокодозной химиотерапии парапротеинемических гемобластозов ФГБУ «НМИЦ гематологии» Минздрава России</w:t>
      </w:r>
      <w:r w:rsidR="00CD6C97">
        <w:t xml:space="preserve">, </w:t>
      </w:r>
      <w:r w:rsidR="00CD6C97" w:rsidRPr="00F242DD">
        <w:t>член Национального гематологического общества</w:t>
      </w:r>
      <w:r w:rsidRPr="008F69F6">
        <w:t>.</w:t>
      </w:r>
    </w:p>
    <w:p w14:paraId="06E18D58" w14:textId="77777777" w:rsidR="00CF2E03" w:rsidRPr="00CF2E03" w:rsidRDefault="00CF2E03" w:rsidP="00CF2E03">
      <w:pPr>
        <w:pStyle w:val="a6"/>
        <w:numPr>
          <w:ilvl w:val="0"/>
          <w:numId w:val="51"/>
        </w:numPr>
        <w:spacing w:before="0" w:after="0"/>
        <w:ind w:left="0" w:firstLine="0"/>
        <w:rPr>
          <w:b/>
        </w:rPr>
      </w:pPr>
      <w:r w:rsidRPr="00CF2E03">
        <w:rPr>
          <w:b/>
        </w:rPr>
        <w:t xml:space="preserve">Рехтина Ирина Германовна – </w:t>
      </w:r>
      <w:r w:rsidRPr="00CF2E03">
        <w:t>д.м.н., зав. отделением химиотерапии плазмоклеточных дискразий ФГБУ «НМИЦ гематологии» Минздрава России, член Национального гематологического общества, член Ассоциации нефрологов.</w:t>
      </w:r>
    </w:p>
    <w:p w14:paraId="15F80C6A" w14:textId="28D4C36E" w:rsidR="00CF2E03" w:rsidRPr="00CF2E03" w:rsidRDefault="00CF2E03" w:rsidP="00CF2E03">
      <w:pPr>
        <w:pStyle w:val="a6"/>
        <w:numPr>
          <w:ilvl w:val="0"/>
          <w:numId w:val="51"/>
        </w:numPr>
        <w:spacing w:after="0"/>
        <w:ind w:left="0" w:firstLine="0"/>
        <w:contextualSpacing w:val="0"/>
      </w:pPr>
      <w:r w:rsidRPr="00CF2E03">
        <w:rPr>
          <w:b/>
          <w:bCs/>
        </w:rPr>
        <w:t>Семочкин Сергей Вячеславович</w:t>
      </w:r>
      <w:r w:rsidRPr="00CF2E03">
        <w:rPr>
          <w:b/>
        </w:rPr>
        <w:t xml:space="preserve"> - </w:t>
      </w:r>
      <w:r w:rsidRPr="00CF2E03">
        <w:t xml:space="preserve">д.м.н., г.н.с. отделения высокодозной химиотерапии с блоком трансплантации костного мозга МНИОИ им. П.А. Герцена – филиал ФГБУ «НМИЦ радиологии» Минздрава России, профессор кафедры онкологии, гематологии и лучевой терапии </w:t>
      </w:r>
      <w:r w:rsidR="00B242A1" w:rsidRPr="00B242A1">
        <w:t xml:space="preserve">ФГАОУ ВО РНИМУ им. Н.И. Пирогова </w:t>
      </w:r>
      <w:r w:rsidRPr="00CF2E03">
        <w:t>Минздрава России</w:t>
      </w:r>
      <w:r w:rsidR="00CD6C97">
        <w:t xml:space="preserve">, </w:t>
      </w:r>
      <w:r w:rsidR="00CD6C97" w:rsidRPr="00F242DD">
        <w:t>член Национального гематологического общества</w:t>
      </w:r>
      <w:r w:rsidR="00B242A1">
        <w:t>,</w:t>
      </w:r>
      <w:r w:rsidR="00B242A1" w:rsidRPr="00B242A1">
        <w:rPr>
          <w:szCs w:val="24"/>
        </w:rPr>
        <w:t xml:space="preserve"> </w:t>
      </w:r>
      <w:r w:rsidR="00B242A1" w:rsidRPr="00B242A1">
        <w:t>Российского общества онкогематологов и European Association for Cancer Research (</w:t>
      </w:r>
      <w:r w:rsidR="00B242A1" w:rsidRPr="00B242A1">
        <w:rPr>
          <w:lang w:val="en-US"/>
        </w:rPr>
        <w:t>EACR</w:t>
      </w:r>
      <w:r w:rsidR="00B242A1" w:rsidRPr="00B242A1">
        <w:t>)</w:t>
      </w:r>
      <w:r w:rsidR="006C0012">
        <w:t>.</w:t>
      </w:r>
    </w:p>
    <w:p w14:paraId="62851813" w14:textId="77777777" w:rsidR="005D06F2" w:rsidRPr="00F242DD" w:rsidRDefault="005D06F2" w:rsidP="00893452">
      <w:pPr>
        <w:pStyle w:val="a6"/>
        <w:numPr>
          <w:ilvl w:val="0"/>
          <w:numId w:val="51"/>
        </w:numPr>
        <w:spacing w:after="0"/>
        <w:ind w:left="0" w:firstLine="0"/>
        <w:contextualSpacing w:val="0"/>
      </w:pPr>
      <w:r w:rsidRPr="00F242DD">
        <w:rPr>
          <w:b/>
        </w:rPr>
        <w:t xml:space="preserve">Османов Евгений Александрович, </w:t>
      </w:r>
      <w:r w:rsidRPr="00F242DD">
        <w:rPr>
          <w:bCs/>
        </w:rPr>
        <w:t xml:space="preserve">д.м.н., профессор, зав. отделом гематологии и трансплантации костного мозга ФГБУ «НМИЦ онкологии им. Н.Н. Блохина» Минздрава России, профессор кафедры онкологии ФГАОУ ВО Первый МГМУ имени И.М. Сеченова Минздрава Росси, </w:t>
      </w:r>
      <w:r w:rsidRPr="00F242DD">
        <w:t>член правления Национального гематологического общества.</w:t>
      </w:r>
    </w:p>
    <w:p w14:paraId="26F979E1" w14:textId="19FF8499" w:rsidR="005D06F2" w:rsidRPr="00F242DD" w:rsidRDefault="005D06F2" w:rsidP="00893452">
      <w:pPr>
        <w:pStyle w:val="a6"/>
        <w:numPr>
          <w:ilvl w:val="0"/>
          <w:numId w:val="51"/>
        </w:numPr>
        <w:spacing w:after="0"/>
        <w:ind w:left="0" w:firstLine="0"/>
        <w:contextualSpacing w:val="0"/>
      </w:pPr>
      <w:r w:rsidRPr="00F242DD">
        <w:rPr>
          <w:b/>
        </w:rPr>
        <w:t>Поддубная Ирина Владимировна –</w:t>
      </w:r>
      <w:r w:rsidRPr="00F242DD">
        <w:t xml:space="preserve"> академик РАН, д.м.н., профессор, зав. кафедрой онкологии и паллиативной медицины, проректор по лечебной работе и международному сотрудничеству ГБОУ ДПО РМАНПО Минздрава России, председатель Российского </w:t>
      </w:r>
      <w:r w:rsidR="00317FEF">
        <w:t xml:space="preserve">профессионального </w:t>
      </w:r>
      <w:r w:rsidRPr="00F242DD">
        <w:t>общества онкогематологов.</w:t>
      </w:r>
    </w:p>
    <w:p w14:paraId="718A5EDA" w14:textId="2F5BBC2F" w:rsidR="00302EBF" w:rsidRPr="00302EBF" w:rsidRDefault="00CF2E03" w:rsidP="00302EBF">
      <w:pPr>
        <w:pStyle w:val="a6"/>
        <w:numPr>
          <w:ilvl w:val="0"/>
          <w:numId w:val="51"/>
        </w:numPr>
        <w:spacing w:after="0"/>
        <w:ind w:left="0" w:firstLine="0"/>
        <w:rPr>
          <w:bCs/>
        </w:rPr>
      </w:pPr>
      <w:bookmarkStart w:id="54" w:name="_Hlk19634943"/>
      <w:r w:rsidRPr="00CF2E03">
        <w:rPr>
          <w:b/>
        </w:rPr>
        <w:t>Поспелова Татьяна Ивановна</w:t>
      </w:r>
      <w:r w:rsidRPr="00CF2E03">
        <w:t xml:space="preserve"> - д.м.н., профессор, проректор по научной работе, заведующая кафедрой терапии, гематологии и трансфузиологии ФГБОУ ВО </w:t>
      </w:r>
      <w:r w:rsidRPr="00CF2E03">
        <w:lastRenderedPageBreak/>
        <w:t>Новосибирский государственный медицинский университет Минздрава России</w:t>
      </w:r>
      <w:r w:rsidR="00CD6C97">
        <w:t xml:space="preserve">, </w:t>
      </w:r>
      <w:r w:rsidR="00CD6C97" w:rsidRPr="00F242DD">
        <w:t>член Национального гематологического общества</w:t>
      </w:r>
      <w:r w:rsidR="00302EBF">
        <w:t xml:space="preserve">, председатель </w:t>
      </w:r>
      <w:r w:rsidR="00302EBF" w:rsidRPr="00302EBF">
        <w:rPr>
          <w:bCs/>
        </w:rPr>
        <w:t>МОО «Ассоциация врачей-гематологов Сибири»</w:t>
      </w:r>
      <w:r w:rsidR="00302EBF">
        <w:rPr>
          <w:bCs/>
        </w:rPr>
        <w:t>.</w:t>
      </w:r>
    </w:p>
    <w:p w14:paraId="70C92FF7" w14:textId="77777777" w:rsidR="005D06F2" w:rsidRPr="00F242DD" w:rsidRDefault="005D06F2" w:rsidP="00893452">
      <w:pPr>
        <w:pStyle w:val="a6"/>
        <w:numPr>
          <w:ilvl w:val="0"/>
          <w:numId w:val="51"/>
        </w:numPr>
        <w:spacing w:after="0"/>
        <w:ind w:left="0" w:firstLine="0"/>
        <w:contextualSpacing w:val="0"/>
      </w:pPr>
      <w:r w:rsidRPr="00F242DD">
        <w:rPr>
          <w:b/>
        </w:rPr>
        <w:t>Фалалеева Наталья Александровна –</w:t>
      </w:r>
      <w:r w:rsidRPr="00F242DD">
        <w:t xml:space="preserve"> д.м.н., зав. отделением противоопухолевого лекарственного лечения МРНЦ им. А.Ф. Цыба - филиал ФГБУ «НМИЦ радиологии» Минздрава России, член Ассоциации онкологов России и Российской Ассоциации терапевтических радиационных онкологов</w:t>
      </w:r>
      <w:bookmarkEnd w:id="54"/>
      <w:r w:rsidRPr="00F242DD">
        <w:t>.</w:t>
      </w:r>
    </w:p>
    <w:p w14:paraId="71420A44" w14:textId="77777777" w:rsidR="00476626" w:rsidRPr="00F242DD" w:rsidRDefault="00476626" w:rsidP="00893452">
      <w:pPr>
        <w:pStyle w:val="a6"/>
        <w:numPr>
          <w:ilvl w:val="0"/>
          <w:numId w:val="51"/>
        </w:numPr>
        <w:spacing w:before="0" w:after="0"/>
        <w:ind w:left="0" w:firstLine="0"/>
      </w:pPr>
      <w:r w:rsidRPr="00F242DD">
        <w:rPr>
          <w:b/>
          <w:bCs/>
        </w:rPr>
        <w:t>Байков Вадим Валентинович</w:t>
      </w:r>
      <w:r w:rsidRPr="00F242DD">
        <w:t xml:space="preserve"> – д.м.н., профессор кафедры патологической анатомии, заведующий лабораторией патоморфологии НИИ детской онкологии, гематологии и трансплантологии им. Р.М. Горбачевой Первого Санкт-Петербургского государственного медицинского университета им. акад. И.П. Павлова Минздрава России, член президиума Российского общества патологоанатомов, член правления Российского общества онкогематологов.</w:t>
      </w:r>
    </w:p>
    <w:p w14:paraId="0D90D681" w14:textId="7468D884" w:rsidR="00476626" w:rsidRPr="00F242DD" w:rsidRDefault="00476626" w:rsidP="00893452">
      <w:pPr>
        <w:pStyle w:val="a6"/>
        <w:numPr>
          <w:ilvl w:val="0"/>
          <w:numId w:val="51"/>
        </w:numPr>
        <w:spacing w:before="0" w:after="0"/>
        <w:ind w:left="0" w:firstLine="0"/>
      </w:pPr>
      <w:r w:rsidRPr="00F242DD">
        <w:rPr>
          <w:b/>
          <w:bCs/>
        </w:rPr>
        <w:t xml:space="preserve">Ковригина Алла Михайловна </w:t>
      </w:r>
      <w:r w:rsidRPr="00F242DD">
        <w:t>– д.б.н., профессор кафедры патологической анатомии, цитологии и молекулярной патологии Института повышения квалификации ФМБА РФ, заведующая патологоанатомическим отделением «НМИЦ гематологии» Минздрава России, член президиума Российского общества патологоанатомов, член правления Российского общества онкогематологов</w:t>
      </w:r>
      <w:r w:rsidR="00302EBF">
        <w:t xml:space="preserve">, </w:t>
      </w:r>
      <w:r w:rsidR="00302EBF" w:rsidRPr="00CF2E03">
        <w:t>член Национального гематологического общества</w:t>
      </w:r>
      <w:r w:rsidRPr="00F242DD">
        <w:t>.</w:t>
      </w:r>
    </w:p>
    <w:p w14:paraId="22D1D88A" w14:textId="2CE0A441" w:rsidR="004D7374" w:rsidRPr="00F242DD" w:rsidRDefault="00F5033E" w:rsidP="002431B5">
      <w:pPr>
        <w:spacing w:before="0" w:after="0"/>
        <w:rPr>
          <w:b/>
        </w:rPr>
      </w:pPr>
      <w:r>
        <w:rPr>
          <w:b/>
        </w:rPr>
        <w:t>Конфликт интересов отсутствует.</w:t>
      </w:r>
    </w:p>
    <w:p w14:paraId="676CE093" w14:textId="77777777" w:rsidR="004D7374" w:rsidRPr="00F242DD" w:rsidRDefault="004D7374" w:rsidP="002431B5">
      <w:pPr>
        <w:pStyle w:val="1"/>
      </w:pPr>
      <w:bookmarkStart w:id="55" w:name="_Toc520213131"/>
      <w:bookmarkStart w:id="56" w:name="_Toc97734644"/>
      <w:r w:rsidRPr="00F242DD">
        <w:lastRenderedPageBreak/>
        <w:t>Приложение А2. Методология разработки клинических рекомендаций</w:t>
      </w:r>
      <w:bookmarkEnd w:id="55"/>
      <w:bookmarkEnd w:id="56"/>
    </w:p>
    <w:p w14:paraId="56F05B51" w14:textId="77777777" w:rsidR="004D7374" w:rsidRPr="00F242DD" w:rsidRDefault="004D7374" w:rsidP="002431B5">
      <w:pPr>
        <w:spacing w:before="0" w:after="0"/>
        <w:rPr>
          <w:b/>
        </w:rPr>
      </w:pPr>
      <w:r w:rsidRPr="00F242DD">
        <w:rPr>
          <w:b/>
        </w:rPr>
        <w:t>Целевая аудитория данных клинических рекомендаций:</w:t>
      </w:r>
    </w:p>
    <w:p w14:paraId="5DEC0C30" w14:textId="77777777" w:rsidR="004D7374" w:rsidRPr="00F242DD" w:rsidRDefault="004D7374" w:rsidP="002431B5">
      <w:pPr>
        <w:spacing w:before="0" w:after="0"/>
      </w:pPr>
      <w:r w:rsidRPr="00F242DD">
        <w:t>1.</w:t>
      </w:r>
      <w:r w:rsidRPr="00F242DD">
        <w:tab/>
        <w:t>Врачи-гематологи</w:t>
      </w:r>
      <w:r w:rsidR="00195599" w:rsidRPr="00F242DD">
        <w:t>.</w:t>
      </w:r>
    </w:p>
    <w:p w14:paraId="439C7E81" w14:textId="77777777" w:rsidR="004D7374" w:rsidRPr="00F242DD" w:rsidRDefault="004D7374" w:rsidP="002431B5">
      <w:pPr>
        <w:spacing w:before="0" w:after="0"/>
      </w:pPr>
      <w:r w:rsidRPr="00F242DD">
        <w:t>2.</w:t>
      </w:r>
      <w:r w:rsidRPr="00F242DD">
        <w:tab/>
        <w:t>Врачи-онкологи</w:t>
      </w:r>
      <w:r w:rsidR="00195599" w:rsidRPr="00F242DD">
        <w:t>.</w:t>
      </w:r>
    </w:p>
    <w:p w14:paraId="65ADF85F" w14:textId="77777777" w:rsidR="00230186" w:rsidRPr="00F242DD" w:rsidRDefault="00230186" w:rsidP="002431B5">
      <w:pPr>
        <w:spacing w:before="0" w:after="0"/>
      </w:pPr>
      <w:r w:rsidRPr="00F242DD">
        <w:t xml:space="preserve">3. </w:t>
      </w:r>
      <w:r w:rsidR="0076263A" w:rsidRPr="00F242DD">
        <w:tab/>
        <w:t xml:space="preserve">Студенты </w:t>
      </w:r>
      <w:r w:rsidRPr="00F242DD">
        <w:t>медицинских вузов</w:t>
      </w:r>
      <w:r w:rsidR="0076263A" w:rsidRPr="00F242DD">
        <w:t>.</w:t>
      </w:r>
    </w:p>
    <w:p w14:paraId="5E1E48B9" w14:textId="77777777" w:rsidR="000E19A9" w:rsidRPr="00F242DD" w:rsidRDefault="000E19A9" w:rsidP="002431B5">
      <w:pPr>
        <w:spacing w:before="0" w:after="0"/>
        <w:contextualSpacing/>
        <w:rPr>
          <w:b/>
        </w:rPr>
      </w:pPr>
      <w:r w:rsidRPr="00F242DD">
        <w:rPr>
          <w:b/>
        </w:rPr>
        <w:t>Методология сбора доказательств</w:t>
      </w:r>
    </w:p>
    <w:p w14:paraId="4AD8D6D8" w14:textId="77777777" w:rsidR="000E19A9" w:rsidRPr="00F242DD" w:rsidRDefault="000E19A9" w:rsidP="002431B5">
      <w:pPr>
        <w:spacing w:before="0" w:after="0"/>
        <w:contextualSpacing/>
      </w:pPr>
      <w:r w:rsidRPr="00F242DD">
        <w:t>Методы, использованные для сбора/селекции доказательств:</w:t>
      </w:r>
    </w:p>
    <w:p w14:paraId="7BB6FD0C" w14:textId="77777777" w:rsidR="000E19A9" w:rsidRPr="00F242DD" w:rsidRDefault="000E19A9" w:rsidP="002431B5">
      <w:pPr>
        <w:spacing w:before="0" w:after="0"/>
        <w:contextualSpacing/>
      </w:pPr>
      <w:r w:rsidRPr="00F242DD">
        <w:t>Поиск публикаций в специализированных периодических печатных изданиях с импакт-фактором &gt;0</w:t>
      </w:r>
      <w:r w:rsidR="004542B0" w:rsidRPr="00F242DD">
        <w:t>,</w:t>
      </w:r>
      <w:r w:rsidRPr="00F242DD">
        <w:t>3;</w:t>
      </w:r>
    </w:p>
    <w:p w14:paraId="3616BABC" w14:textId="77777777" w:rsidR="000E19A9" w:rsidRPr="00F242DD" w:rsidRDefault="000E19A9" w:rsidP="002431B5">
      <w:pPr>
        <w:spacing w:before="0" w:after="0"/>
        <w:contextualSpacing/>
        <w:rPr>
          <w:b/>
        </w:rPr>
      </w:pPr>
      <w:r w:rsidRPr="00F242DD">
        <w:rPr>
          <w:b/>
        </w:rPr>
        <w:t>Поиск в элек</w:t>
      </w:r>
      <w:r w:rsidR="00DD4A18" w:rsidRPr="00F242DD">
        <w:rPr>
          <w:b/>
        </w:rPr>
        <w:t>тронных базах данных</w:t>
      </w:r>
    </w:p>
    <w:p w14:paraId="21067E10" w14:textId="77777777" w:rsidR="000E19A9" w:rsidRPr="00F242DD" w:rsidRDefault="000E19A9" w:rsidP="002431B5">
      <w:pPr>
        <w:spacing w:before="0" w:after="0"/>
        <w:contextualSpacing/>
      </w:pPr>
      <w:r w:rsidRPr="00F242DD">
        <w:t>Базы дан</w:t>
      </w:r>
      <w:r w:rsidR="00DD4A18" w:rsidRPr="00F242DD">
        <w:t>ных, использованных для сбора/</w:t>
      </w:r>
      <w:r w:rsidRPr="00F242DD">
        <w:t>селекции доказательств:</w:t>
      </w:r>
    </w:p>
    <w:p w14:paraId="111EF565" w14:textId="77777777" w:rsidR="000E19A9" w:rsidRPr="00F242DD" w:rsidRDefault="000E19A9" w:rsidP="002431B5">
      <w:pPr>
        <w:spacing w:before="0" w:after="0"/>
        <w:contextualSpacing/>
      </w:pPr>
      <w:r w:rsidRPr="00F242DD">
        <w:t>Доказательной базой для рекомендаций являются публикации, вошедшие в Кохр</w:t>
      </w:r>
      <w:r w:rsidR="000103FE" w:rsidRPr="00F242DD">
        <w:t>е</w:t>
      </w:r>
      <w:r w:rsidRPr="00F242DD">
        <w:t>йновскую библиотеку, базы данных PUBMED и MEDLINE. Глубина поиска состав</w:t>
      </w:r>
      <w:r w:rsidR="004542B0" w:rsidRPr="00F242DD">
        <w:t>и</w:t>
      </w:r>
      <w:r w:rsidRPr="00F242DD">
        <w:t>ла 30 лет.</w:t>
      </w:r>
    </w:p>
    <w:p w14:paraId="6BB8E567" w14:textId="77777777" w:rsidR="000E19A9" w:rsidRPr="00F242DD" w:rsidRDefault="000E19A9" w:rsidP="002431B5">
      <w:pPr>
        <w:spacing w:before="0" w:after="0"/>
        <w:contextualSpacing/>
      </w:pPr>
      <w:r w:rsidRPr="00F242DD">
        <w:t>Методы, использованные для анализа доказательств:</w:t>
      </w:r>
    </w:p>
    <w:p w14:paraId="2F4585B9" w14:textId="77777777" w:rsidR="000E19A9" w:rsidRPr="00F242DD" w:rsidRDefault="000E19A9" w:rsidP="002431B5">
      <w:pPr>
        <w:spacing w:before="0" w:after="0"/>
        <w:contextualSpacing/>
      </w:pPr>
      <w:r w:rsidRPr="00F242DD">
        <w:t>•</w:t>
      </w:r>
      <w:r w:rsidRPr="00F242DD">
        <w:tab/>
      </w:r>
      <w:r w:rsidR="00DD4A18" w:rsidRPr="00F242DD">
        <w:t>о</w:t>
      </w:r>
      <w:r w:rsidRPr="00F242DD">
        <w:t>бзоры опубликованных метаанализов</w:t>
      </w:r>
      <w:r w:rsidR="00DD4A18" w:rsidRPr="00F242DD">
        <w:t>;</w:t>
      </w:r>
    </w:p>
    <w:p w14:paraId="1927D3DD" w14:textId="77777777" w:rsidR="000E19A9" w:rsidRPr="00F242DD" w:rsidRDefault="000E19A9" w:rsidP="002431B5">
      <w:pPr>
        <w:spacing w:before="0" w:after="0"/>
        <w:contextualSpacing/>
      </w:pPr>
      <w:r w:rsidRPr="00F242DD">
        <w:t>•</w:t>
      </w:r>
      <w:r w:rsidRPr="00F242DD">
        <w:tab/>
      </w:r>
      <w:r w:rsidR="00DD4A18" w:rsidRPr="00F242DD">
        <w:t>с</w:t>
      </w:r>
      <w:r w:rsidRPr="00F242DD">
        <w:t>истематические обзоры с таблицами доказательств.</w:t>
      </w:r>
    </w:p>
    <w:p w14:paraId="27F78DF8" w14:textId="77777777" w:rsidR="000E19A9" w:rsidRPr="00F242DD" w:rsidRDefault="000E19A9" w:rsidP="002431B5">
      <w:pPr>
        <w:spacing w:before="0" w:after="0"/>
        <w:contextualSpacing/>
      </w:pPr>
      <w:r w:rsidRPr="00F242DD">
        <w:t>Методы, использованные для качества и силы доказательств:</w:t>
      </w:r>
    </w:p>
    <w:p w14:paraId="5F0E1DE9" w14:textId="77777777" w:rsidR="000E19A9" w:rsidRPr="00F242DD" w:rsidRDefault="000E19A9" w:rsidP="002431B5">
      <w:pPr>
        <w:spacing w:before="0" w:after="0"/>
        <w:contextualSpacing/>
      </w:pPr>
      <w:r w:rsidRPr="00F242DD">
        <w:t>•</w:t>
      </w:r>
      <w:r w:rsidRPr="00F242DD">
        <w:tab/>
      </w:r>
      <w:r w:rsidR="00DD4A18" w:rsidRPr="00F242DD">
        <w:t>к</w:t>
      </w:r>
      <w:r w:rsidRPr="00F242DD">
        <w:t>онсенсус экспертов</w:t>
      </w:r>
      <w:r w:rsidR="00DD4A18" w:rsidRPr="00F242DD">
        <w:t>;</w:t>
      </w:r>
    </w:p>
    <w:p w14:paraId="3B9E640A" w14:textId="77777777" w:rsidR="000E19A9" w:rsidRPr="00F242DD" w:rsidRDefault="000E19A9" w:rsidP="002431B5">
      <w:pPr>
        <w:spacing w:before="0" w:after="0"/>
        <w:contextualSpacing/>
      </w:pPr>
      <w:r w:rsidRPr="00F242DD">
        <w:t>•</w:t>
      </w:r>
      <w:r w:rsidRPr="00F242DD">
        <w:tab/>
      </w:r>
      <w:r w:rsidR="00DD4A18" w:rsidRPr="00F242DD">
        <w:t>о</w:t>
      </w:r>
      <w:r w:rsidRPr="00F242DD">
        <w:t>ценка значимости доказательств в соответствии с рейтинговой схемой доказательств (табл.</w:t>
      </w:r>
      <w:r w:rsidR="00DD4A18" w:rsidRPr="00F242DD">
        <w:t xml:space="preserve"> </w:t>
      </w:r>
      <w:r w:rsidRPr="00F242DD">
        <w:t>А</w:t>
      </w:r>
      <w:r w:rsidR="0076263A" w:rsidRPr="00F242DD">
        <w:t>2.</w:t>
      </w:r>
      <w:r w:rsidRPr="00F242DD">
        <w:t>1</w:t>
      </w:r>
      <w:r w:rsidR="00DD4A18" w:rsidRPr="00F242DD">
        <w:t xml:space="preserve">. ‒ </w:t>
      </w:r>
      <w:r w:rsidRPr="00F242DD">
        <w:t>А</w:t>
      </w:r>
      <w:r w:rsidR="0076263A" w:rsidRPr="00F242DD">
        <w:t>2.3</w:t>
      </w:r>
      <w:r w:rsidR="00DD4A18" w:rsidRPr="00F242DD">
        <w:t>.</w:t>
      </w:r>
      <w:r w:rsidRPr="00F242DD">
        <w:t>).</w:t>
      </w:r>
    </w:p>
    <w:p w14:paraId="467098CB" w14:textId="77777777" w:rsidR="000F250A" w:rsidRPr="00F242DD" w:rsidRDefault="000F250A" w:rsidP="002431B5">
      <w:pPr>
        <w:spacing w:before="0" w:after="0"/>
        <w:contextualSpacing/>
      </w:pPr>
      <w:r w:rsidRPr="00F242DD">
        <w:t xml:space="preserve">В настоящих клинических рекомендациях приведены уровни доказательности рекомендаций в соответствии с проектом методических рекомендаций по оценке достоверности доказательств и убедительности рекомендаций ФГБУ «Центр экспертизы и контроля качества медицинской помощи» Минздрава России. </w:t>
      </w:r>
    </w:p>
    <w:p w14:paraId="68A27052" w14:textId="77777777" w:rsidR="000E19A9" w:rsidRPr="00F242DD" w:rsidRDefault="004542B0" w:rsidP="002431B5">
      <w:pPr>
        <w:spacing w:before="0" w:after="0"/>
        <w:contextualSpacing/>
      </w:pPr>
      <w:r w:rsidRPr="00F242DD">
        <w:t>В</w:t>
      </w:r>
      <w:r w:rsidR="000E19A9" w:rsidRPr="00F242DD">
        <w:t xml:space="preserve"> соответствии с данным проектом рекомендаций отдельным общепринятым методикам диагностики на основании консенсуса экспертов придан уровень </w:t>
      </w:r>
      <w:r w:rsidR="000E19A9" w:rsidRPr="00F242DD">
        <w:rPr>
          <w:lang w:val="en-US"/>
        </w:rPr>
        <w:t>GPP</w:t>
      </w:r>
      <w:r w:rsidR="000E19A9" w:rsidRPr="00F242DD">
        <w:t xml:space="preserve"> (сложившаяся клиническая практика).</w:t>
      </w:r>
    </w:p>
    <w:p w14:paraId="565BAF00" w14:textId="37617EEE" w:rsidR="00C0307D" w:rsidRPr="00F242DD" w:rsidRDefault="00C0307D" w:rsidP="002431B5">
      <w:pPr>
        <w:spacing w:before="0" w:after="0"/>
      </w:pPr>
      <w:bookmarkStart w:id="57" w:name="_Ref515967586"/>
      <w:bookmarkStart w:id="58" w:name="_Hlk16603155"/>
      <w:r w:rsidRPr="00F242DD">
        <w:rPr>
          <w:b/>
        </w:rPr>
        <w:t xml:space="preserve">Таблица </w:t>
      </w:r>
      <w:r w:rsidR="0076263A" w:rsidRPr="00F242DD">
        <w:rPr>
          <w:b/>
        </w:rPr>
        <w:t>А2.</w:t>
      </w:r>
      <w:r w:rsidR="00A96FB6" w:rsidRPr="00F242DD">
        <w:rPr>
          <w:b/>
        </w:rPr>
        <w:fldChar w:fldCharType="begin"/>
      </w:r>
      <w:r w:rsidRPr="00F242DD">
        <w:rPr>
          <w:b/>
        </w:rPr>
        <w:instrText xml:space="preserve"> SEQ Таблица \* ARABIC </w:instrText>
      </w:r>
      <w:r w:rsidR="00A96FB6" w:rsidRPr="00F242DD">
        <w:rPr>
          <w:b/>
        </w:rPr>
        <w:fldChar w:fldCharType="separate"/>
      </w:r>
      <w:r w:rsidR="00327F5C">
        <w:rPr>
          <w:b/>
          <w:noProof/>
        </w:rPr>
        <w:t>1</w:t>
      </w:r>
      <w:r w:rsidR="00A96FB6" w:rsidRPr="00F242DD">
        <w:rPr>
          <w:b/>
        </w:rPr>
        <w:fldChar w:fldCharType="end"/>
      </w:r>
      <w:bookmarkEnd w:id="57"/>
      <w:r w:rsidRPr="00F242DD">
        <w:rPr>
          <w:b/>
        </w:rPr>
        <w:t>.</w:t>
      </w:r>
      <w:r w:rsidR="0076263A" w:rsidRPr="00F242DD">
        <w:rPr>
          <w:b/>
        </w:rPr>
        <w:t xml:space="preserve"> </w:t>
      </w:r>
      <w:r w:rsidRPr="00F242DD">
        <w:t>Шкала оценки уровней достоверности доказательств (УДД)</w:t>
      </w:r>
      <w:r w:rsidR="00DD4A18" w:rsidRPr="00F242DD">
        <w:t xml:space="preserve"> </w:t>
      </w:r>
      <w:r w:rsidRPr="00F242DD">
        <w:t>для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547"/>
      </w:tblGrid>
      <w:tr w:rsidR="00C0307D" w:rsidRPr="00F242DD" w14:paraId="73441E6E" w14:textId="77777777" w:rsidTr="00827D7D">
        <w:trPr>
          <w:trHeight w:val="58"/>
          <w:tblHeader/>
        </w:trPr>
        <w:tc>
          <w:tcPr>
            <w:tcW w:w="427" w:type="pct"/>
            <w:shd w:val="clear" w:color="auto" w:fill="auto"/>
          </w:tcPr>
          <w:p w14:paraId="16556BA5" w14:textId="77777777" w:rsidR="00C0307D" w:rsidRPr="00F242DD" w:rsidRDefault="00C0307D" w:rsidP="002431B5">
            <w:pPr>
              <w:spacing w:before="0" w:after="0" w:line="240" w:lineRule="auto"/>
              <w:jc w:val="center"/>
              <w:rPr>
                <w:b/>
                <w:color w:val="000000"/>
                <w:szCs w:val="24"/>
              </w:rPr>
            </w:pPr>
            <w:r w:rsidRPr="00F242DD">
              <w:rPr>
                <w:b/>
                <w:color w:val="000000"/>
                <w:szCs w:val="24"/>
              </w:rPr>
              <w:t>УДД</w:t>
            </w:r>
          </w:p>
        </w:tc>
        <w:tc>
          <w:tcPr>
            <w:tcW w:w="4573" w:type="pct"/>
            <w:shd w:val="clear" w:color="auto" w:fill="auto"/>
          </w:tcPr>
          <w:p w14:paraId="660F47D8" w14:textId="77777777" w:rsidR="00C0307D" w:rsidRPr="00F242DD" w:rsidRDefault="00C0307D" w:rsidP="002431B5">
            <w:pPr>
              <w:spacing w:before="0" w:after="0" w:line="240" w:lineRule="auto"/>
              <w:jc w:val="center"/>
              <w:rPr>
                <w:b/>
                <w:color w:val="000000"/>
                <w:szCs w:val="24"/>
              </w:rPr>
            </w:pPr>
            <w:r w:rsidRPr="00F242DD">
              <w:rPr>
                <w:b/>
                <w:color w:val="000000"/>
                <w:szCs w:val="24"/>
              </w:rPr>
              <w:t>Расшифровка</w:t>
            </w:r>
          </w:p>
        </w:tc>
      </w:tr>
      <w:tr w:rsidR="00C0307D" w:rsidRPr="00F242DD" w14:paraId="511D6D8B" w14:textId="77777777" w:rsidTr="00E36DFA">
        <w:tc>
          <w:tcPr>
            <w:tcW w:w="427" w:type="pct"/>
            <w:shd w:val="clear" w:color="auto" w:fill="auto"/>
          </w:tcPr>
          <w:p w14:paraId="1750508F" w14:textId="77777777" w:rsidR="00C0307D" w:rsidRPr="00F242DD" w:rsidRDefault="00C0307D" w:rsidP="002431B5">
            <w:pPr>
              <w:spacing w:before="0" w:after="0" w:line="240" w:lineRule="auto"/>
              <w:jc w:val="center"/>
              <w:rPr>
                <w:color w:val="000000"/>
                <w:szCs w:val="24"/>
              </w:rPr>
            </w:pPr>
            <w:r w:rsidRPr="00F242DD">
              <w:rPr>
                <w:color w:val="000000"/>
                <w:szCs w:val="24"/>
              </w:rPr>
              <w:t>1</w:t>
            </w:r>
          </w:p>
        </w:tc>
        <w:tc>
          <w:tcPr>
            <w:tcW w:w="4573" w:type="pct"/>
            <w:shd w:val="clear" w:color="auto" w:fill="auto"/>
          </w:tcPr>
          <w:p w14:paraId="7F2F3551" w14:textId="77777777" w:rsidR="00C0307D" w:rsidRPr="00F242DD" w:rsidRDefault="00C0307D" w:rsidP="002431B5">
            <w:pPr>
              <w:spacing w:before="0" w:after="0" w:line="240" w:lineRule="auto"/>
              <w:rPr>
                <w:color w:val="000000"/>
                <w:szCs w:val="24"/>
              </w:rPr>
            </w:pPr>
            <w:r w:rsidRPr="00F242DD">
              <w:rPr>
                <w:color w:val="000000"/>
                <w:szCs w:val="24"/>
              </w:rPr>
              <w:t>Систематические обзоры исследований с контролем референсным методом</w:t>
            </w:r>
            <w:r w:rsidRPr="00F242DD">
              <w:rPr>
                <w:szCs w:val="24"/>
              </w:rPr>
              <w:t xml:space="preserve"> или систематический обзор рандомизированных клинических </w:t>
            </w:r>
            <w:r w:rsidR="004542B0" w:rsidRPr="00F242DD">
              <w:rPr>
                <w:szCs w:val="24"/>
              </w:rPr>
              <w:t>исследований с применением мета</w:t>
            </w:r>
            <w:r w:rsidRPr="00F242DD">
              <w:rPr>
                <w:szCs w:val="24"/>
              </w:rPr>
              <w:t>анализа</w:t>
            </w:r>
          </w:p>
        </w:tc>
      </w:tr>
      <w:tr w:rsidR="00C0307D" w:rsidRPr="00F242DD" w14:paraId="441716CE" w14:textId="77777777" w:rsidTr="00E36DFA">
        <w:tc>
          <w:tcPr>
            <w:tcW w:w="427" w:type="pct"/>
            <w:shd w:val="clear" w:color="auto" w:fill="auto"/>
          </w:tcPr>
          <w:p w14:paraId="710056EB" w14:textId="77777777" w:rsidR="00C0307D" w:rsidRPr="00F242DD" w:rsidRDefault="00C0307D" w:rsidP="002431B5">
            <w:pPr>
              <w:spacing w:before="0" w:after="0" w:line="240" w:lineRule="auto"/>
              <w:jc w:val="center"/>
              <w:rPr>
                <w:color w:val="000000"/>
                <w:szCs w:val="24"/>
              </w:rPr>
            </w:pPr>
            <w:r w:rsidRPr="00F242DD">
              <w:rPr>
                <w:color w:val="000000"/>
                <w:szCs w:val="24"/>
              </w:rPr>
              <w:t>2</w:t>
            </w:r>
          </w:p>
        </w:tc>
        <w:tc>
          <w:tcPr>
            <w:tcW w:w="4573" w:type="pct"/>
            <w:shd w:val="clear" w:color="auto" w:fill="auto"/>
          </w:tcPr>
          <w:p w14:paraId="35136504" w14:textId="77777777" w:rsidR="00C0307D" w:rsidRPr="00F242DD" w:rsidRDefault="00C0307D" w:rsidP="002431B5">
            <w:pPr>
              <w:spacing w:before="0" w:after="0" w:line="240" w:lineRule="auto"/>
              <w:rPr>
                <w:color w:val="000000"/>
                <w:szCs w:val="24"/>
              </w:rPr>
            </w:pPr>
            <w:r w:rsidRPr="00F242DD">
              <w:rPr>
                <w:color w:val="000000"/>
                <w:szCs w:val="24"/>
              </w:rPr>
              <w:t xml:space="preserve">Отдельные исследования с контролем референсным методом или отдельные рандомизированные клинические исследования и систематические обзоры </w:t>
            </w:r>
            <w:r w:rsidRPr="00F242DD">
              <w:rPr>
                <w:color w:val="000000"/>
                <w:szCs w:val="24"/>
              </w:rPr>
              <w:lastRenderedPageBreak/>
              <w:t>исследований любого дизайна, за исключением рандомизированных клинических и</w:t>
            </w:r>
            <w:r w:rsidR="004542B0" w:rsidRPr="00F242DD">
              <w:rPr>
                <w:color w:val="000000"/>
                <w:szCs w:val="24"/>
              </w:rPr>
              <w:t>сследований с применением мета</w:t>
            </w:r>
            <w:r w:rsidRPr="00F242DD">
              <w:rPr>
                <w:color w:val="000000"/>
                <w:szCs w:val="24"/>
              </w:rPr>
              <w:t>анализа</w:t>
            </w:r>
          </w:p>
        </w:tc>
      </w:tr>
      <w:tr w:rsidR="00C0307D" w:rsidRPr="00F242DD" w14:paraId="5B242491" w14:textId="77777777" w:rsidTr="00E36DFA">
        <w:tc>
          <w:tcPr>
            <w:tcW w:w="427" w:type="pct"/>
            <w:shd w:val="clear" w:color="auto" w:fill="auto"/>
          </w:tcPr>
          <w:p w14:paraId="44D2BA32" w14:textId="77777777" w:rsidR="00C0307D" w:rsidRPr="00F242DD" w:rsidRDefault="00C0307D" w:rsidP="002431B5">
            <w:pPr>
              <w:spacing w:before="0" w:after="0" w:line="240" w:lineRule="auto"/>
              <w:jc w:val="center"/>
              <w:rPr>
                <w:color w:val="000000"/>
                <w:szCs w:val="24"/>
              </w:rPr>
            </w:pPr>
            <w:r w:rsidRPr="00F242DD">
              <w:rPr>
                <w:color w:val="000000"/>
                <w:szCs w:val="24"/>
              </w:rPr>
              <w:lastRenderedPageBreak/>
              <w:t>3</w:t>
            </w:r>
          </w:p>
        </w:tc>
        <w:tc>
          <w:tcPr>
            <w:tcW w:w="4573" w:type="pct"/>
            <w:shd w:val="clear" w:color="auto" w:fill="auto"/>
          </w:tcPr>
          <w:p w14:paraId="633DF670" w14:textId="77777777" w:rsidR="00C0307D" w:rsidRPr="00F242DD" w:rsidRDefault="00C0307D" w:rsidP="002431B5">
            <w:pPr>
              <w:spacing w:before="0" w:after="0" w:line="240" w:lineRule="auto"/>
              <w:rPr>
                <w:color w:val="000000"/>
                <w:szCs w:val="24"/>
              </w:rPr>
            </w:pPr>
            <w:r w:rsidRPr="00F242DD">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4542B0" w:rsidRPr="00F242DD">
              <w:rPr>
                <w:color w:val="000000"/>
                <w:szCs w:val="24"/>
              </w:rPr>
              <w:t>,</w:t>
            </w:r>
            <w:r w:rsidRPr="00F242DD">
              <w:rPr>
                <w:color w:val="000000"/>
                <w:szCs w:val="24"/>
              </w:rPr>
              <w:t xml:space="preserve"> или нерандомизированные сравнительные исследования, в том числе когортные исследования</w:t>
            </w:r>
          </w:p>
        </w:tc>
      </w:tr>
      <w:tr w:rsidR="00C0307D" w:rsidRPr="00F242DD" w14:paraId="33F267C5" w14:textId="77777777" w:rsidTr="00E36DFA">
        <w:tc>
          <w:tcPr>
            <w:tcW w:w="427" w:type="pct"/>
            <w:shd w:val="clear" w:color="auto" w:fill="auto"/>
          </w:tcPr>
          <w:p w14:paraId="149BAE83" w14:textId="77777777" w:rsidR="00C0307D" w:rsidRPr="00F242DD" w:rsidRDefault="00C0307D" w:rsidP="002431B5">
            <w:pPr>
              <w:spacing w:before="0" w:after="0" w:line="240" w:lineRule="auto"/>
              <w:jc w:val="center"/>
              <w:rPr>
                <w:color w:val="000000"/>
                <w:szCs w:val="24"/>
              </w:rPr>
            </w:pPr>
            <w:r w:rsidRPr="00F242DD">
              <w:rPr>
                <w:color w:val="000000"/>
                <w:szCs w:val="24"/>
              </w:rPr>
              <w:t>4</w:t>
            </w:r>
          </w:p>
        </w:tc>
        <w:tc>
          <w:tcPr>
            <w:tcW w:w="4573" w:type="pct"/>
            <w:shd w:val="clear" w:color="auto" w:fill="auto"/>
          </w:tcPr>
          <w:p w14:paraId="33829748" w14:textId="77777777" w:rsidR="00C0307D" w:rsidRPr="00F242DD" w:rsidRDefault="00C0307D" w:rsidP="002431B5">
            <w:pPr>
              <w:spacing w:before="0" w:after="0" w:line="240" w:lineRule="auto"/>
              <w:rPr>
                <w:color w:val="000000"/>
                <w:szCs w:val="24"/>
              </w:rPr>
            </w:pPr>
            <w:r w:rsidRPr="00F242DD">
              <w:rPr>
                <w:color w:val="000000"/>
                <w:szCs w:val="24"/>
              </w:rPr>
              <w:t>Несравнительные исследования, описание клинического случая</w:t>
            </w:r>
          </w:p>
        </w:tc>
      </w:tr>
      <w:tr w:rsidR="00C0307D" w:rsidRPr="00F242DD" w14:paraId="6EE4CFCC" w14:textId="77777777" w:rsidTr="00E36DFA">
        <w:tc>
          <w:tcPr>
            <w:tcW w:w="427" w:type="pct"/>
            <w:shd w:val="clear" w:color="auto" w:fill="auto"/>
          </w:tcPr>
          <w:p w14:paraId="7583B666" w14:textId="77777777" w:rsidR="00C0307D" w:rsidRPr="00F242DD" w:rsidRDefault="00C0307D" w:rsidP="002431B5">
            <w:pPr>
              <w:spacing w:before="0" w:after="0" w:line="240" w:lineRule="auto"/>
              <w:jc w:val="center"/>
              <w:rPr>
                <w:color w:val="000000"/>
                <w:szCs w:val="24"/>
              </w:rPr>
            </w:pPr>
            <w:r w:rsidRPr="00F242DD">
              <w:rPr>
                <w:color w:val="000000"/>
                <w:szCs w:val="24"/>
              </w:rPr>
              <w:t>5</w:t>
            </w:r>
          </w:p>
        </w:tc>
        <w:tc>
          <w:tcPr>
            <w:tcW w:w="4573" w:type="pct"/>
            <w:shd w:val="clear" w:color="auto" w:fill="auto"/>
          </w:tcPr>
          <w:p w14:paraId="58F94BFB" w14:textId="77777777" w:rsidR="00C0307D" w:rsidRPr="00F242DD" w:rsidRDefault="00C0307D" w:rsidP="002431B5">
            <w:pPr>
              <w:spacing w:before="0" w:after="0" w:line="240" w:lineRule="auto"/>
              <w:rPr>
                <w:color w:val="000000"/>
                <w:szCs w:val="24"/>
              </w:rPr>
            </w:pPr>
            <w:r w:rsidRPr="00F242DD">
              <w:rPr>
                <w:color w:val="000000"/>
                <w:szCs w:val="24"/>
              </w:rPr>
              <w:t>Имеется лишь обоснование механизма действия или мнение экспертов</w:t>
            </w:r>
          </w:p>
        </w:tc>
      </w:tr>
    </w:tbl>
    <w:p w14:paraId="5B04A95D" w14:textId="7287FD21" w:rsidR="00C0307D" w:rsidRPr="00F242DD" w:rsidRDefault="00C0307D" w:rsidP="002431B5">
      <w:pPr>
        <w:spacing w:before="0" w:after="0"/>
      </w:pPr>
      <w:bookmarkStart w:id="59" w:name="_Ref515967623"/>
      <w:r w:rsidRPr="00F242DD">
        <w:rPr>
          <w:b/>
        </w:rPr>
        <w:t>Таблица</w:t>
      </w:r>
      <w:r w:rsidR="0076263A" w:rsidRPr="00F242DD">
        <w:rPr>
          <w:b/>
        </w:rPr>
        <w:t xml:space="preserve"> А2.</w:t>
      </w:r>
      <w:r w:rsidR="00A96FB6" w:rsidRPr="00F242DD">
        <w:rPr>
          <w:b/>
        </w:rPr>
        <w:fldChar w:fldCharType="begin"/>
      </w:r>
      <w:r w:rsidRPr="00F242DD">
        <w:rPr>
          <w:b/>
        </w:rPr>
        <w:instrText xml:space="preserve"> SEQ Таблица \* ARABIC </w:instrText>
      </w:r>
      <w:r w:rsidR="00A96FB6" w:rsidRPr="00F242DD">
        <w:rPr>
          <w:b/>
        </w:rPr>
        <w:fldChar w:fldCharType="separate"/>
      </w:r>
      <w:r w:rsidR="00327F5C">
        <w:rPr>
          <w:b/>
          <w:noProof/>
        </w:rPr>
        <w:t>2</w:t>
      </w:r>
      <w:r w:rsidR="00A96FB6" w:rsidRPr="00F242DD">
        <w:rPr>
          <w:b/>
        </w:rPr>
        <w:fldChar w:fldCharType="end"/>
      </w:r>
      <w:bookmarkEnd w:id="59"/>
      <w:r w:rsidRPr="00F242DD">
        <w:rPr>
          <w:b/>
        </w:rPr>
        <w:t>.</w:t>
      </w:r>
      <w:r w:rsidR="0076263A" w:rsidRPr="00F242DD">
        <w:rPr>
          <w:b/>
        </w:rPr>
        <w:t xml:space="preserve"> </w:t>
      </w:r>
      <w:r w:rsidRPr="00F242DD">
        <w:t>Шкала оценки уровней достоверности доказательств</w:t>
      </w:r>
      <w:r w:rsidR="004542B0" w:rsidRPr="00F242DD">
        <w:t xml:space="preserve"> (УДД)</w:t>
      </w:r>
      <w:r w:rsidRPr="00F242DD">
        <w:t xml:space="preserve"> для методов профилактики, лечения и реабилитации (профилактических, лечебных, реабилитационных вмешательств)</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760"/>
      </w:tblGrid>
      <w:tr w:rsidR="00C0307D" w:rsidRPr="00F242DD" w14:paraId="46B78E50" w14:textId="77777777" w:rsidTr="001471FD">
        <w:trPr>
          <w:tblHeader/>
        </w:trPr>
        <w:tc>
          <w:tcPr>
            <w:tcW w:w="360" w:type="pct"/>
            <w:shd w:val="clear" w:color="auto" w:fill="auto"/>
          </w:tcPr>
          <w:p w14:paraId="5CE2301F" w14:textId="77777777" w:rsidR="00C0307D" w:rsidRPr="00F242DD" w:rsidRDefault="00C0307D" w:rsidP="002431B5">
            <w:pPr>
              <w:spacing w:before="0" w:after="0" w:line="240" w:lineRule="auto"/>
              <w:jc w:val="center"/>
              <w:rPr>
                <w:b/>
                <w:color w:val="000000"/>
                <w:szCs w:val="24"/>
              </w:rPr>
            </w:pPr>
            <w:r w:rsidRPr="00F242DD">
              <w:rPr>
                <w:b/>
                <w:color w:val="000000"/>
                <w:szCs w:val="24"/>
              </w:rPr>
              <w:t>УДД</w:t>
            </w:r>
          </w:p>
        </w:tc>
        <w:tc>
          <w:tcPr>
            <w:tcW w:w="4640" w:type="pct"/>
            <w:shd w:val="clear" w:color="auto" w:fill="auto"/>
          </w:tcPr>
          <w:p w14:paraId="6C5CFF35" w14:textId="77777777" w:rsidR="00C0307D" w:rsidRPr="00F242DD" w:rsidRDefault="00C0307D" w:rsidP="002431B5">
            <w:pPr>
              <w:spacing w:before="0" w:after="0" w:line="240" w:lineRule="auto"/>
              <w:jc w:val="center"/>
              <w:rPr>
                <w:b/>
                <w:color w:val="000000"/>
                <w:szCs w:val="24"/>
              </w:rPr>
            </w:pPr>
            <w:r w:rsidRPr="00F242DD">
              <w:rPr>
                <w:b/>
                <w:color w:val="000000"/>
                <w:szCs w:val="24"/>
              </w:rPr>
              <w:t xml:space="preserve">Расшифровка </w:t>
            </w:r>
          </w:p>
        </w:tc>
      </w:tr>
      <w:tr w:rsidR="00C0307D" w:rsidRPr="00F242DD" w14:paraId="5C024326" w14:textId="77777777" w:rsidTr="00E36DFA">
        <w:tc>
          <w:tcPr>
            <w:tcW w:w="360" w:type="pct"/>
            <w:shd w:val="clear" w:color="auto" w:fill="auto"/>
          </w:tcPr>
          <w:p w14:paraId="0ADB68DC" w14:textId="77777777" w:rsidR="00C0307D" w:rsidRPr="00F242DD" w:rsidRDefault="00C0307D" w:rsidP="002431B5">
            <w:pPr>
              <w:spacing w:before="0" w:after="0" w:line="240" w:lineRule="auto"/>
              <w:jc w:val="center"/>
              <w:rPr>
                <w:color w:val="000000"/>
                <w:szCs w:val="24"/>
              </w:rPr>
            </w:pPr>
            <w:r w:rsidRPr="00F242DD">
              <w:rPr>
                <w:color w:val="000000"/>
                <w:szCs w:val="24"/>
              </w:rPr>
              <w:t>1</w:t>
            </w:r>
          </w:p>
        </w:tc>
        <w:tc>
          <w:tcPr>
            <w:tcW w:w="4640" w:type="pct"/>
            <w:shd w:val="clear" w:color="auto" w:fill="auto"/>
          </w:tcPr>
          <w:p w14:paraId="1E527293" w14:textId="77777777" w:rsidR="00C0307D" w:rsidRPr="00F242DD" w:rsidRDefault="00C0307D" w:rsidP="002431B5">
            <w:pPr>
              <w:spacing w:before="0" w:after="0" w:line="240" w:lineRule="auto"/>
              <w:rPr>
                <w:color w:val="000000"/>
                <w:szCs w:val="24"/>
              </w:rPr>
            </w:pPr>
            <w:r w:rsidRPr="00F242DD">
              <w:rPr>
                <w:color w:val="000000"/>
                <w:szCs w:val="24"/>
              </w:rPr>
              <w:t xml:space="preserve">Систематический обзор </w:t>
            </w:r>
            <w:r w:rsidR="004542B0" w:rsidRPr="00F242DD">
              <w:rPr>
                <w:szCs w:val="24"/>
              </w:rPr>
              <w:t>рандомизированных клинических исследований</w:t>
            </w:r>
            <w:r w:rsidRPr="00F242DD">
              <w:rPr>
                <w:color w:val="000000"/>
                <w:szCs w:val="24"/>
              </w:rPr>
              <w:t xml:space="preserve"> с применением метаанализа</w:t>
            </w:r>
          </w:p>
        </w:tc>
      </w:tr>
      <w:tr w:rsidR="00C0307D" w:rsidRPr="00F242DD" w14:paraId="74E94DE9" w14:textId="77777777" w:rsidTr="00E36DFA">
        <w:tc>
          <w:tcPr>
            <w:tcW w:w="360" w:type="pct"/>
            <w:shd w:val="clear" w:color="auto" w:fill="auto"/>
          </w:tcPr>
          <w:p w14:paraId="5DD6E929" w14:textId="77777777" w:rsidR="00C0307D" w:rsidRPr="00F242DD" w:rsidRDefault="00C0307D" w:rsidP="002431B5">
            <w:pPr>
              <w:spacing w:before="0" w:after="0" w:line="240" w:lineRule="auto"/>
              <w:jc w:val="center"/>
              <w:rPr>
                <w:color w:val="000000"/>
                <w:szCs w:val="24"/>
                <w:lang w:val="en-US"/>
              </w:rPr>
            </w:pPr>
            <w:r w:rsidRPr="00F242DD">
              <w:rPr>
                <w:color w:val="000000"/>
                <w:szCs w:val="24"/>
              </w:rPr>
              <w:t>2</w:t>
            </w:r>
          </w:p>
        </w:tc>
        <w:tc>
          <w:tcPr>
            <w:tcW w:w="4640" w:type="pct"/>
            <w:shd w:val="clear" w:color="auto" w:fill="auto"/>
          </w:tcPr>
          <w:p w14:paraId="18BBBA5D" w14:textId="77777777" w:rsidR="00C0307D" w:rsidRPr="00F242DD" w:rsidRDefault="00C0307D" w:rsidP="002431B5">
            <w:pPr>
              <w:spacing w:before="0" w:after="0" w:line="240" w:lineRule="auto"/>
              <w:rPr>
                <w:color w:val="000000"/>
                <w:szCs w:val="24"/>
              </w:rPr>
            </w:pPr>
            <w:r w:rsidRPr="00F242DD">
              <w:rPr>
                <w:color w:val="000000"/>
                <w:szCs w:val="24"/>
              </w:rPr>
              <w:t xml:space="preserve">Отдельные </w:t>
            </w:r>
            <w:r w:rsidR="004542B0" w:rsidRPr="00F242DD">
              <w:rPr>
                <w:szCs w:val="24"/>
              </w:rPr>
              <w:t>рандомизированные клинические исследования</w:t>
            </w:r>
            <w:r w:rsidRPr="00F242DD">
              <w:rPr>
                <w:color w:val="000000"/>
                <w:szCs w:val="24"/>
              </w:rPr>
              <w:t xml:space="preserve"> и систематические обзоры исследований любого дизайна, за исключением </w:t>
            </w:r>
            <w:r w:rsidR="004542B0" w:rsidRPr="00F242DD">
              <w:rPr>
                <w:szCs w:val="24"/>
              </w:rPr>
              <w:t>рандомизированных клинических исследований</w:t>
            </w:r>
            <w:r w:rsidRPr="00F242DD">
              <w:rPr>
                <w:color w:val="000000"/>
                <w:szCs w:val="24"/>
              </w:rPr>
              <w:t xml:space="preserve"> с применением метаанализа</w:t>
            </w:r>
          </w:p>
        </w:tc>
      </w:tr>
      <w:tr w:rsidR="00C0307D" w:rsidRPr="00F242DD" w14:paraId="17A6907E" w14:textId="77777777" w:rsidTr="00E36DFA">
        <w:tc>
          <w:tcPr>
            <w:tcW w:w="360" w:type="pct"/>
            <w:shd w:val="clear" w:color="auto" w:fill="auto"/>
          </w:tcPr>
          <w:p w14:paraId="355ED277" w14:textId="77777777" w:rsidR="00C0307D" w:rsidRPr="00F242DD" w:rsidRDefault="00C0307D" w:rsidP="002431B5">
            <w:pPr>
              <w:spacing w:before="0" w:after="0" w:line="240" w:lineRule="auto"/>
              <w:jc w:val="center"/>
              <w:rPr>
                <w:color w:val="000000"/>
                <w:szCs w:val="24"/>
              </w:rPr>
            </w:pPr>
            <w:r w:rsidRPr="00F242DD">
              <w:rPr>
                <w:color w:val="000000"/>
                <w:szCs w:val="24"/>
              </w:rPr>
              <w:t>3</w:t>
            </w:r>
          </w:p>
        </w:tc>
        <w:tc>
          <w:tcPr>
            <w:tcW w:w="4640" w:type="pct"/>
            <w:shd w:val="clear" w:color="auto" w:fill="auto"/>
          </w:tcPr>
          <w:p w14:paraId="11BCEB96" w14:textId="77777777" w:rsidR="00C0307D" w:rsidRPr="00F242DD" w:rsidRDefault="00C0307D" w:rsidP="002431B5">
            <w:pPr>
              <w:spacing w:before="0" w:after="0" w:line="240" w:lineRule="auto"/>
              <w:rPr>
                <w:color w:val="000000"/>
                <w:szCs w:val="24"/>
              </w:rPr>
            </w:pPr>
            <w:r w:rsidRPr="00F242DD">
              <w:rPr>
                <w:color w:val="000000"/>
                <w:szCs w:val="24"/>
              </w:rPr>
              <w:t xml:space="preserve">Нерандомизированные сравнительные исследования, в </w:t>
            </w:r>
            <w:r w:rsidR="004542B0" w:rsidRPr="00F242DD">
              <w:rPr>
                <w:color w:val="000000"/>
                <w:szCs w:val="24"/>
              </w:rPr>
              <w:t xml:space="preserve">том числе </w:t>
            </w:r>
            <w:r w:rsidRPr="00F242DD">
              <w:rPr>
                <w:color w:val="000000"/>
                <w:szCs w:val="24"/>
              </w:rPr>
              <w:t>когортные исследования</w:t>
            </w:r>
          </w:p>
        </w:tc>
      </w:tr>
      <w:tr w:rsidR="00C0307D" w:rsidRPr="00F242DD" w14:paraId="55FA75F9" w14:textId="77777777" w:rsidTr="00E36DFA">
        <w:tc>
          <w:tcPr>
            <w:tcW w:w="360" w:type="pct"/>
            <w:shd w:val="clear" w:color="auto" w:fill="auto"/>
          </w:tcPr>
          <w:p w14:paraId="6C01F1AF" w14:textId="77777777" w:rsidR="00C0307D" w:rsidRPr="00F242DD" w:rsidRDefault="00C0307D" w:rsidP="002431B5">
            <w:pPr>
              <w:spacing w:before="0" w:after="0" w:line="240" w:lineRule="auto"/>
              <w:jc w:val="center"/>
              <w:rPr>
                <w:color w:val="000000"/>
                <w:szCs w:val="24"/>
              </w:rPr>
            </w:pPr>
            <w:r w:rsidRPr="00F242DD">
              <w:rPr>
                <w:color w:val="000000"/>
                <w:szCs w:val="24"/>
              </w:rPr>
              <w:t>4</w:t>
            </w:r>
          </w:p>
        </w:tc>
        <w:tc>
          <w:tcPr>
            <w:tcW w:w="4640" w:type="pct"/>
            <w:shd w:val="clear" w:color="auto" w:fill="auto"/>
          </w:tcPr>
          <w:p w14:paraId="21A1C475" w14:textId="77777777" w:rsidR="00C0307D" w:rsidRPr="00F242DD" w:rsidRDefault="00C0307D" w:rsidP="002431B5">
            <w:pPr>
              <w:spacing w:before="0" w:after="0" w:line="240" w:lineRule="auto"/>
              <w:rPr>
                <w:color w:val="000000"/>
                <w:szCs w:val="24"/>
              </w:rPr>
            </w:pPr>
            <w:r w:rsidRPr="00F242DD">
              <w:rPr>
                <w:color w:val="000000"/>
                <w:szCs w:val="24"/>
              </w:rPr>
              <w:t>Несравнительные исследования, описание клинического случая или серии случаев, исследования случай</w:t>
            </w:r>
            <w:r w:rsidR="004542B0" w:rsidRPr="00F242DD">
              <w:rPr>
                <w:color w:val="000000"/>
                <w:szCs w:val="24"/>
              </w:rPr>
              <w:t>‒</w:t>
            </w:r>
            <w:r w:rsidRPr="00F242DD">
              <w:rPr>
                <w:color w:val="000000"/>
                <w:szCs w:val="24"/>
              </w:rPr>
              <w:t>контроль</w:t>
            </w:r>
          </w:p>
        </w:tc>
      </w:tr>
      <w:tr w:rsidR="00C0307D" w:rsidRPr="00F242DD" w14:paraId="434793B9" w14:textId="77777777" w:rsidTr="00E36DFA">
        <w:tc>
          <w:tcPr>
            <w:tcW w:w="360" w:type="pct"/>
            <w:shd w:val="clear" w:color="auto" w:fill="auto"/>
          </w:tcPr>
          <w:p w14:paraId="048CB783" w14:textId="77777777" w:rsidR="00C0307D" w:rsidRPr="00F242DD" w:rsidRDefault="00C0307D" w:rsidP="002431B5">
            <w:pPr>
              <w:spacing w:before="0" w:after="0" w:line="240" w:lineRule="auto"/>
              <w:jc w:val="center"/>
              <w:rPr>
                <w:color w:val="000000"/>
                <w:szCs w:val="24"/>
              </w:rPr>
            </w:pPr>
            <w:r w:rsidRPr="00F242DD">
              <w:rPr>
                <w:color w:val="000000"/>
                <w:szCs w:val="24"/>
              </w:rPr>
              <w:t>5</w:t>
            </w:r>
          </w:p>
        </w:tc>
        <w:tc>
          <w:tcPr>
            <w:tcW w:w="4640" w:type="pct"/>
            <w:shd w:val="clear" w:color="auto" w:fill="auto"/>
          </w:tcPr>
          <w:p w14:paraId="2568DF34" w14:textId="77777777" w:rsidR="00C0307D" w:rsidRPr="00F242DD" w:rsidRDefault="00C0307D" w:rsidP="002431B5">
            <w:pPr>
              <w:spacing w:before="0" w:after="0" w:line="240" w:lineRule="auto"/>
              <w:rPr>
                <w:color w:val="000000"/>
                <w:szCs w:val="24"/>
              </w:rPr>
            </w:pPr>
            <w:r w:rsidRPr="00F242DD">
              <w:rPr>
                <w:color w:val="000000"/>
                <w:szCs w:val="24"/>
              </w:rPr>
              <w:t>Имеется лишь обоснование механизма действия вмешательства (доклинические исследования) или мнение экспертов</w:t>
            </w:r>
          </w:p>
        </w:tc>
      </w:tr>
    </w:tbl>
    <w:p w14:paraId="2BFB0523" w14:textId="77777777" w:rsidR="00C0307D" w:rsidRPr="00F242DD" w:rsidRDefault="00C0307D" w:rsidP="002431B5">
      <w:pPr>
        <w:pStyle w:val="ad"/>
        <w:rPr>
          <w:rStyle w:val="ac"/>
        </w:rPr>
      </w:pPr>
    </w:p>
    <w:p w14:paraId="5800DCE4" w14:textId="77777777" w:rsidR="00C0307D" w:rsidRPr="00F242DD" w:rsidRDefault="00C0307D" w:rsidP="002431B5">
      <w:pPr>
        <w:spacing w:before="0" w:after="0"/>
      </w:pPr>
      <w:bookmarkStart w:id="60" w:name="_Ref515967732"/>
      <w:r w:rsidRPr="00F242DD">
        <w:rPr>
          <w:b/>
        </w:rPr>
        <w:t xml:space="preserve">Таблица </w:t>
      </w:r>
      <w:bookmarkEnd w:id="60"/>
      <w:r w:rsidR="0076263A" w:rsidRPr="00F242DD">
        <w:rPr>
          <w:b/>
        </w:rPr>
        <w:t>А2.</w:t>
      </w:r>
      <w:r w:rsidRPr="00F242DD">
        <w:rPr>
          <w:b/>
        </w:rPr>
        <w:t>3.</w:t>
      </w:r>
      <w:r w:rsidR="0076263A" w:rsidRPr="00F242DD">
        <w:rPr>
          <w:b/>
        </w:rPr>
        <w:t xml:space="preserve"> </w:t>
      </w:r>
      <w:r w:rsidRPr="00F242DD">
        <w:t xml:space="preserve">Шкала оценки уровней убедительности рекомендаций </w:t>
      </w:r>
      <w:r w:rsidR="004542B0" w:rsidRPr="00F242DD">
        <w:t xml:space="preserve">(УУР) </w:t>
      </w:r>
      <w:r w:rsidRPr="00F242DD">
        <w:t>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8014"/>
      </w:tblGrid>
      <w:tr w:rsidR="00C0307D" w:rsidRPr="00F242DD" w14:paraId="3F51C91B" w14:textId="77777777" w:rsidTr="001471FD">
        <w:trPr>
          <w:tblHeader/>
        </w:trPr>
        <w:tc>
          <w:tcPr>
            <w:tcW w:w="712" w:type="pct"/>
            <w:shd w:val="clear" w:color="auto" w:fill="auto"/>
          </w:tcPr>
          <w:p w14:paraId="3426F41D" w14:textId="77777777" w:rsidR="00C0307D" w:rsidRPr="00F242DD" w:rsidRDefault="00C0307D" w:rsidP="002431B5">
            <w:pPr>
              <w:spacing w:before="0" w:after="0" w:line="240" w:lineRule="auto"/>
              <w:jc w:val="center"/>
              <w:rPr>
                <w:b/>
                <w:color w:val="000000"/>
                <w:szCs w:val="24"/>
              </w:rPr>
            </w:pPr>
            <w:r w:rsidRPr="00F242DD">
              <w:rPr>
                <w:b/>
                <w:color w:val="000000"/>
                <w:szCs w:val="24"/>
              </w:rPr>
              <w:t>УУР</w:t>
            </w:r>
          </w:p>
        </w:tc>
        <w:tc>
          <w:tcPr>
            <w:tcW w:w="4288" w:type="pct"/>
            <w:shd w:val="clear" w:color="auto" w:fill="auto"/>
          </w:tcPr>
          <w:p w14:paraId="556FDBD8" w14:textId="77777777" w:rsidR="00C0307D" w:rsidRPr="00F242DD" w:rsidRDefault="00C0307D" w:rsidP="002431B5">
            <w:pPr>
              <w:spacing w:before="0" w:after="0" w:line="240" w:lineRule="auto"/>
              <w:jc w:val="center"/>
              <w:rPr>
                <w:b/>
                <w:color w:val="000000"/>
                <w:szCs w:val="24"/>
              </w:rPr>
            </w:pPr>
            <w:r w:rsidRPr="00F242DD">
              <w:rPr>
                <w:b/>
                <w:color w:val="000000"/>
                <w:szCs w:val="24"/>
              </w:rPr>
              <w:t>Расшифровка</w:t>
            </w:r>
          </w:p>
        </w:tc>
      </w:tr>
      <w:tr w:rsidR="00C0307D" w:rsidRPr="00F242DD" w14:paraId="3FC05D03" w14:textId="77777777" w:rsidTr="00E36DFA">
        <w:trPr>
          <w:trHeight w:val="1060"/>
        </w:trPr>
        <w:tc>
          <w:tcPr>
            <w:tcW w:w="712" w:type="pct"/>
            <w:shd w:val="clear" w:color="auto" w:fill="auto"/>
          </w:tcPr>
          <w:p w14:paraId="3F9CF045" w14:textId="77777777" w:rsidR="00C0307D" w:rsidRPr="00F242DD" w:rsidRDefault="00C0307D" w:rsidP="002431B5">
            <w:pPr>
              <w:spacing w:before="0" w:after="0" w:line="240" w:lineRule="auto"/>
              <w:jc w:val="center"/>
              <w:rPr>
                <w:color w:val="000000"/>
                <w:szCs w:val="24"/>
              </w:rPr>
            </w:pPr>
            <w:r w:rsidRPr="00F242DD">
              <w:rPr>
                <w:color w:val="000000"/>
                <w:szCs w:val="24"/>
                <w:lang w:val="en-US"/>
              </w:rPr>
              <w:t>A</w:t>
            </w:r>
          </w:p>
        </w:tc>
        <w:tc>
          <w:tcPr>
            <w:tcW w:w="4288" w:type="pct"/>
            <w:shd w:val="clear" w:color="auto" w:fill="auto"/>
          </w:tcPr>
          <w:p w14:paraId="02BA4A48" w14:textId="77777777" w:rsidR="00C0307D" w:rsidRPr="00F242DD" w:rsidRDefault="00C0307D" w:rsidP="002431B5">
            <w:pPr>
              <w:spacing w:before="0" w:after="0" w:line="240" w:lineRule="auto"/>
              <w:rPr>
                <w:color w:val="000000"/>
                <w:szCs w:val="24"/>
              </w:rPr>
            </w:pPr>
            <w:r w:rsidRPr="00F242DD">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C0307D" w:rsidRPr="00F242DD" w14:paraId="5A2F2AF7" w14:textId="77777777" w:rsidTr="00E36DFA">
        <w:trPr>
          <w:trHeight w:val="558"/>
        </w:trPr>
        <w:tc>
          <w:tcPr>
            <w:tcW w:w="712" w:type="pct"/>
            <w:shd w:val="clear" w:color="auto" w:fill="auto"/>
          </w:tcPr>
          <w:p w14:paraId="51BD000D" w14:textId="77777777" w:rsidR="00C0307D" w:rsidRPr="00F242DD" w:rsidRDefault="00C0307D" w:rsidP="002431B5">
            <w:pPr>
              <w:spacing w:before="0" w:after="0" w:line="240" w:lineRule="auto"/>
              <w:jc w:val="center"/>
              <w:rPr>
                <w:color w:val="000000"/>
                <w:szCs w:val="24"/>
              </w:rPr>
            </w:pPr>
            <w:r w:rsidRPr="00F242DD">
              <w:rPr>
                <w:color w:val="000000"/>
                <w:szCs w:val="24"/>
              </w:rPr>
              <w:t>B</w:t>
            </w:r>
          </w:p>
        </w:tc>
        <w:tc>
          <w:tcPr>
            <w:tcW w:w="4288" w:type="pct"/>
            <w:shd w:val="clear" w:color="auto" w:fill="auto"/>
          </w:tcPr>
          <w:p w14:paraId="5AB7D9E6" w14:textId="77777777" w:rsidR="00C0307D" w:rsidRPr="00F242DD" w:rsidRDefault="00C0307D" w:rsidP="002431B5">
            <w:pPr>
              <w:spacing w:before="0" w:after="0" w:line="240" w:lineRule="auto"/>
              <w:rPr>
                <w:color w:val="000000"/>
                <w:szCs w:val="24"/>
              </w:rPr>
            </w:pPr>
            <w:r w:rsidRPr="00F242DD">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C0307D" w:rsidRPr="00F242DD" w14:paraId="1985FFF2" w14:textId="77777777" w:rsidTr="00E36DFA">
        <w:trPr>
          <w:trHeight w:val="798"/>
        </w:trPr>
        <w:tc>
          <w:tcPr>
            <w:tcW w:w="712" w:type="pct"/>
            <w:shd w:val="clear" w:color="auto" w:fill="auto"/>
          </w:tcPr>
          <w:p w14:paraId="5E901A79" w14:textId="77777777" w:rsidR="00C0307D" w:rsidRPr="00F242DD" w:rsidRDefault="00C0307D" w:rsidP="002431B5">
            <w:pPr>
              <w:spacing w:before="0" w:after="0" w:line="240" w:lineRule="auto"/>
              <w:jc w:val="center"/>
              <w:rPr>
                <w:color w:val="000000"/>
                <w:szCs w:val="24"/>
              </w:rPr>
            </w:pPr>
            <w:r w:rsidRPr="00F242DD">
              <w:rPr>
                <w:color w:val="000000"/>
                <w:szCs w:val="24"/>
              </w:rPr>
              <w:t>C</w:t>
            </w:r>
          </w:p>
        </w:tc>
        <w:tc>
          <w:tcPr>
            <w:tcW w:w="4288" w:type="pct"/>
            <w:shd w:val="clear" w:color="auto" w:fill="auto"/>
          </w:tcPr>
          <w:p w14:paraId="59547E81" w14:textId="77777777" w:rsidR="00C0307D" w:rsidRPr="00F242DD" w:rsidRDefault="00C0307D" w:rsidP="002431B5">
            <w:pPr>
              <w:spacing w:before="0" w:after="0" w:line="240" w:lineRule="auto"/>
              <w:rPr>
                <w:color w:val="000000"/>
                <w:szCs w:val="24"/>
              </w:rPr>
            </w:pPr>
            <w:r w:rsidRPr="00F242DD">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bookmarkEnd w:id="58"/>
    <w:p w14:paraId="44B89BAA" w14:textId="77777777" w:rsidR="000E19A9" w:rsidRPr="00F242DD" w:rsidRDefault="000E19A9" w:rsidP="002431B5">
      <w:pPr>
        <w:spacing w:before="0" w:after="0"/>
        <w:rPr>
          <w:b/>
        </w:rPr>
      </w:pPr>
      <w:r w:rsidRPr="00F242DD">
        <w:rPr>
          <w:b/>
        </w:rPr>
        <w:t>Методология валидизации рекомендаций</w:t>
      </w:r>
    </w:p>
    <w:p w14:paraId="79389DCC" w14:textId="77777777" w:rsidR="000E19A9" w:rsidRPr="00F242DD" w:rsidRDefault="000E19A9" w:rsidP="002431B5">
      <w:pPr>
        <w:spacing w:before="0" w:after="0"/>
      </w:pPr>
      <w:r w:rsidRPr="00F242DD">
        <w:t>Методы валидизации рекомендаций:</w:t>
      </w:r>
    </w:p>
    <w:p w14:paraId="0C0AA189" w14:textId="77777777" w:rsidR="000E19A9" w:rsidRPr="00F242DD" w:rsidRDefault="000E19A9" w:rsidP="002431B5">
      <w:pPr>
        <w:spacing w:before="0" w:after="0"/>
      </w:pPr>
      <w:r w:rsidRPr="00F242DD">
        <w:t>•</w:t>
      </w:r>
      <w:r w:rsidRPr="00F242DD">
        <w:tab/>
      </w:r>
      <w:r w:rsidR="004542B0" w:rsidRPr="00F242DD">
        <w:t>в</w:t>
      </w:r>
      <w:r w:rsidRPr="00F242DD">
        <w:t>нешняя экспертная оценка;</w:t>
      </w:r>
    </w:p>
    <w:p w14:paraId="0EE3B327" w14:textId="77777777" w:rsidR="000E19A9" w:rsidRPr="00F242DD" w:rsidRDefault="000E19A9" w:rsidP="002431B5">
      <w:pPr>
        <w:spacing w:before="0" w:after="0"/>
      </w:pPr>
      <w:r w:rsidRPr="00F242DD">
        <w:t>•</w:t>
      </w:r>
      <w:r w:rsidRPr="00F242DD">
        <w:tab/>
      </w:r>
      <w:r w:rsidR="004542B0" w:rsidRPr="00F242DD">
        <w:t>в</w:t>
      </w:r>
      <w:r w:rsidRPr="00F242DD">
        <w:t>нутренняя экспертная оценка.</w:t>
      </w:r>
    </w:p>
    <w:p w14:paraId="505CA35A" w14:textId="77777777" w:rsidR="000E19A9" w:rsidRPr="00F242DD" w:rsidRDefault="000E19A9" w:rsidP="002431B5">
      <w:pPr>
        <w:spacing w:before="0" w:after="0"/>
        <w:contextualSpacing/>
        <w:rPr>
          <w:b/>
        </w:rPr>
      </w:pPr>
      <w:r w:rsidRPr="00F242DD">
        <w:rPr>
          <w:b/>
        </w:rPr>
        <w:lastRenderedPageBreak/>
        <w:t xml:space="preserve">Описание методики валидизации </w:t>
      </w:r>
      <w:r w:rsidR="004542B0" w:rsidRPr="00F242DD">
        <w:rPr>
          <w:b/>
        </w:rPr>
        <w:t>рекомендаций</w:t>
      </w:r>
    </w:p>
    <w:p w14:paraId="0CF398C7" w14:textId="10FCFF24" w:rsidR="000E19A9" w:rsidRPr="00F242DD" w:rsidRDefault="000E19A9" w:rsidP="00600D60">
      <w:pPr>
        <w:spacing w:before="0" w:after="0"/>
        <w:ind w:firstLine="567"/>
        <w:contextualSpacing/>
      </w:pPr>
      <w:r w:rsidRPr="00801A08">
        <w:t xml:space="preserve">Рекомендации обсуждены и одобрены ведущими специалистами профильных Федеральных центров </w:t>
      </w:r>
      <w:r w:rsidR="004542B0" w:rsidRPr="00801A08">
        <w:t>России</w:t>
      </w:r>
      <w:r w:rsidRPr="00801A08">
        <w:t xml:space="preserve"> и практическими врачами. Проект клинических рекомендаций был рассмотрен на совещаниях рабочей группы в 20</w:t>
      </w:r>
      <w:r w:rsidR="007B7D4C" w:rsidRPr="007B7D4C">
        <w:t>21</w:t>
      </w:r>
      <w:r w:rsidR="004542B0" w:rsidRPr="00801A08">
        <w:t>‒</w:t>
      </w:r>
      <w:r w:rsidR="00801A08" w:rsidRPr="00801A08">
        <w:t>202</w:t>
      </w:r>
      <w:r w:rsidR="007B7D4C" w:rsidRPr="007B7D4C">
        <w:t>2</w:t>
      </w:r>
      <w:r w:rsidRPr="00801A08">
        <w:t xml:space="preserve"> гг., на Форуме экспертов по вопросам диагностики и лечения злокачественных лимфопролиферативных заболеваний «Лимфорум», ежегодной Российской конференции с международным участием «Злокачественные лимфомы</w:t>
      </w:r>
      <w:r w:rsidR="00801A08" w:rsidRPr="00801A08">
        <w:t xml:space="preserve"> 202</w:t>
      </w:r>
      <w:r w:rsidR="007B7D4C" w:rsidRPr="007B7D4C">
        <w:t>1</w:t>
      </w:r>
      <w:r w:rsidR="007B7D4C">
        <w:t xml:space="preserve">», а также в рамках </w:t>
      </w:r>
      <w:r w:rsidRPr="00801A08">
        <w:t>Конгресса гематологов России.</w:t>
      </w:r>
    </w:p>
    <w:p w14:paraId="7838BF0A" w14:textId="77777777" w:rsidR="000E19A9" w:rsidRPr="00F242DD" w:rsidRDefault="000E19A9" w:rsidP="00600D60">
      <w:pPr>
        <w:pStyle w:val="ad"/>
        <w:tabs>
          <w:tab w:val="left" w:pos="6073"/>
        </w:tabs>
        <w:ind w:firstLine="567"/>
        <w:contextualSpacing/>
        <w:jc w:val="both"/>
        <w:rPr>
          <w:rFonts w:eastAsia="Times New Roman"/>
        </w:rPr>
      </w:pPr>
      <w:r w:rsidRPr="00F242DD">
        <w:rPr>
          <w:rStyle w:val="ac"/>
        </w:rPr>
        <w:t>Порядок обновления клинических рекомендаций</w:t>
      </w:r>
      <w:r w:rsidRPr="00F242DD">
        <w:rPr>
          <w:rStyle w:val="ac"/>
        </w:rPr>
        <w:tab/>
      </w:r>
    </w:p>
    <w:p w14:paraId="3405DE0A" w14:textId="50EE9494" w:rsidR="004542B0" w:rsidRPr="00F242DD" w:rsidRDefault="000E19A9" w:rsidP="00600D60">
      <w:pPr>
        <w:spacing w:before="0" w:after="0"/>
        <w:ind w:firstLine="567"/>
      </w:pPr>
      <w:r w:rsidRPr="00F242DD">
        <w:t xml:space="preserve">Актуализация проводится не реже чем один раз в </w:t>
      </w:r>
      <w:r w:rsidR="003F080A">
        <w:t>два</w:t>
      </w:r>
      <w:r w:rsidRPr="00F242DD">
        <w:t xml:space="preserve"> года </w:t>
      </w:r>
      <w:r w:rsidR="00230186" w:rsidRPr="00F242DD">
        <w:t xml:space="preserve">или ранее </w:t>
      </w:r>
      <w:r w:rsidRPr="00F242DD">
        <w:t>с учетом появившейся новой информации о диагностике и тактике ведения пациентов, страдающих ММ. Решение об обновлении принимает Минздрав России на основе предложений, представленных медицинскими профессиональными некоммерческими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w:t>
      </w:r>
      <w:r w:rsidR="004542B0" w:rsidRPr="00F242DD">
        <w:t xml:space="preserve"> </w:t>
      </w:r>
      <w:bookmarkStart w:id="61" w:name="__RefHeading___doc_a3"/>
      <w:bookmarkStart w:id="62" w:name="_Toc11747753"/>
    </w:p>
    <w:p w14:paraId="602405C4" w14:textId="77777777" w:rsidR="004542B0" w:rsidRPr="00F242DD" w:rsidRDefault="000546DA" w:rsidP="004E2C44">
      <w:pPr>
        <w:pStyle w:val="1"/>
        <w:spacing w:before="0" w:after="0" w:line="276" w:lineRule="auto"/>
      </w:pPr>
      <w:bookmarkStart w:id="63" w:name="_Toc97734645"/>
      <w:r w:rsidRPr="00F242DD">
        <w:lastRenderedPageBreak/>
        <w:t xml:space="preserve">Приложение А3. </w:t>
      </w:r>
      <w:bookmarkEnd w:id="61"/>
      <w:r w:rsidRPr="00F242DD">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62"/>
      <w:bookmarkEnd w:id="63"/>
    </w:p>
    <w:p w14:paraId="60FE0BC4" w14:textId="0670BB3A" w:rsidR="000546DA" w:rsidRPr="00F242DD" w:rsidRDefault="000546DA" w:rsidP="00600D60">
      <w:pPr>
        <w:pStyle w:val="2"/>
        <w:spacing w:before="0" w:after="0"/>
        <w:rPr>
          <w:rStyle w:val="ac"/>
          <w:rFonts w:eastAsia="Calibri"/>
          <w:b/>
          <w:bCs w:val="0"/>
          <w:szCs w:val="22"/>
          <w:u w:val="none"/>
        </w:rPr>
      </w:pPr>
      <w:bookmarkStart w:id="64" w:name="_Toc97734646"/>
      <w:r w:rsidRPr="00F242DD">
        <w:rPr>
          <w:rStyle w:val="ac"/>
          <w:b/>
          <w:bCs w:val="0"/>
        </w:rPr>
        <w:t>Приложение А3.1</w:t>
      </w:r>
      <w:r w:rsidR="003F3D12" w:rsidRPr="00F242DD">
        <w:rPr>
          <w:rStyle w:val="ac"/>
          <w:b/>
          <w:bCs w:val="0"/>
        </w:rPr>
        <w:t xml:space="preserve"> С</w:t>
      </w:r>
      <w:r w:rsidRPr="00F242DD">
        <w:rPr>
          <w:rStyle w:val="ac"/>
          <w:b/>
          <w:bCs w:val="0"/>
        </w:rPr>
        <w:t>хемы лекарственного лечения множественной миеломы</w:t>
      </w:r>
      <w:bookmarkEnd w:id="64"/>
    </w:p>
    <w:p w14:paraId="0D1636B2" w14:textId="625ACB2B" w:rsidR="000546DA" w:rsidRPr="00F242DD" w:rsidRDefault="000546DA" w:rsidP="00600D60">
      <w:pPr>
        <w:spacing w:before="0" w:after="0"/>
        <w:rPr>
          <w:rFonts w:eastAsia="Times New Roman"/>
          <w:b/>
          <w:i/>
          <w:szCs w:val="24"/>
          <w:lang w:eastAsia="ru-RU"/>
        </w:rPr>
      </w:pPr>
      <w:bookmarkStart w:id="65" w:name="_Toc520213135"/>
      <w:r w:rsidRPr="00F242DD">
        <w:rPr>
          <w:rFonts w:eastAsia="Times New Roman"/>
          <w:b/>
          <w:i/>
          <w:szCs w:val="24"/>
          <w:lang w:eastAsia="ru-RU"/>
        </w:rPr>
        <w:t>Схемы лечения первичных пациентов, не являющихся кандидатами на трансплантацию</w:t>
      </w:r>
    </w:p>
    <w:p w14:paraId="283D11FF"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t>VMP</w:t>
      </w:r>
    </w:p>
    <w:p w14:paraId="49E83A7A" w14:textId="77777777" w:rsidR="000546DA" w:rsidRPr="00F242DD" w:rsidRDefault="000546DA" w:rsidP="00397664">
      <w:pPr>
        <w:numPr>
          <w:ilvl w:val="0"/>
          <w:numId w:val="13"/>
        </w:numPr>
        <w:tabs>
          <w:tab w:val="left" w:pos="284"/>
        </w:tabs>
        <w:spacing w:before="0" w:after="0"/>
        <w:ind w:left="0" w:firstLine="0"/>
        <w:contextualSpacing/>
        <w:jc w:val="left"/>
        <w:rPr>
          <w:rFonts w:eastAsia="Times New Roman"/>
          <w:szCs w:val="24"/>
          <w:lang w:eastAsia="ru-RU"/>
        </w:rPr>
      </w:pPr>
      <w:r w:rsidRPr="00F242DD">
        <w:rPr>
          <w:rFonts w:eastAsia="Times New Roman"/>
          <w:szCs w:val="24"/>
          <w:lang w:eastAsia="ru-RU"/>
        </w:rPr>
        <w:t>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r w:rsidRPr="00F242DD">
        <w:rPr>
          <w:rFonts w:eastAsia="Times New Roman"/>
          <w:szCs w:val="24"/>
          <w:lang w:eastAsia="ru-RU"/>
        </w:rPr>
        <w:t xml:space="preserve"> курсы:</w:t>
      </w:r>
    </w:p>
    <w:p w14:paraId="6D18482A" w14:textId="77777777" w:rsidR="000546DA" w:rsidRPr="00F242DD" w:rsidRDefault="000546DA" w:rsidP="00397664">
      <w:pPr>
        <w:numPr>
          <w:ilvl w:val="1"/>
          <w:numId w:val="13"/>
        </w:numPr>
        <w:tabs>
          <w:tab w:val="left" w:pos="709"/>
        </w:tabs>
        <w:spacing w:before="0" w:after="0"/>
        <w:ind w:left="284" w:firstLine="0"/>
        <w:contextualSpacing/>
        <w:jc w:val="left"/>
        <w:rPr>
          <w:rFonts w:eastAsia="Times New Roman"/>
          <w:szCs w:val="24"/>
          <w:lang w:eastAsia="ru-RU"/>
        </w:rPr>
      </w:pPr>
      <w:r w:rsidRPr="00F242DD">
        <w:rPr>
          <w:rFonts w:eastAsia="Times New Roman"/>
          <w:szCs w:val="24"/>
          <w:lang w:eastAsia="ru-RU"/>
        </w:rPr>
        <w:t>Мелфалан** 9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57955809" w14:textId="77777777" w:rsidR="000546DA" w:rsidRPr="00F242DD" w:rsidRDefault="000546DA" w:rsidP="00397664">
      <w:pPr>
        <w:numPr>
          <w:ilvl w:val="1"/>
          <w:numId w:val="13"/>
        </w:numPr>
        <w:tabs>
          <w:tab w:val="left" w:pos="709"/>
        </w:tabs>
        <w:spacing w:before="0" w:after="0"/>
        <w:ind w:left="284" w:firstLine="0"/>
        <w:contextualSpacing/>
        <w:jc w:val="left"/>
        <w:rPr>
          <w:rFonts w:eastAsia="Times New Roman"/>
          <w:szCs w:val="24"/>
          <w:lang w:eastAsia="ru-RU"/>
        </w:rPr>
      </w:pPr>
      <w:r w:rsidRPr="00F242DD">
        <w:rPr>
          <w:rFonts w:eastAsia="Times New Roman"/>
          <w:szCs w:val="24"/>
          <w:lang w:eastAsia="ru-RU"/>
        </w:rPr>
        <w:t>Преднизолон** 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175F36F3" w14:textId="77777777" w:rsidR="000546DA" w:rsidRPr="00F242DD" w:rsidRDefault="000546DA" w:rsidP="00397664">
      <w:pPr>
        <w:numPr>
          <w:ilvl w:val="1"/>
          <w:numId w:val="13"/>
        </w:numPr>
        <w:tabs>
          <w:tab w:val="left" w:pos="709"/>
        </w:tabs>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 22, 25, 29, 32</w:t>
      </w:r>
      <w:r w:rsidR="006312BA" w:rsidRPr="00F242DD">
        <w:rPr>
          <w:rFonts w:eastAsia="Times New Roman"/>
          <w:szCs w:val="24"/>
          <w:lang w:eastAsia="ru-RU"/>
        </w:rPr>
        <w:t>-й</w:t>
      </w:r>
    </w:p>
    <w:p w14:paraId="3ACBCE69" w14:textId="77777777" w:rsidR="000546DA" w:rsidRPr="00F242DD" w:rsidRDefault="000546DA" w:rsidP="00600D60">
      <w:pPr>
        <w:tabs>
          <w:tab w:val="left" w:pos="709"/>
        </w:tabs>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43</w:t>
      </w:r>
      <w:r w:rsidR="006312BA" w:rsidRPr="00F242DD">
        <w:rPr>
          <w:rFonts w:eastAsia="Times New Roman"/>
          <w:szCs w:val="24"/>
          <w:lang w:eastAsia="ru-RU"/>
        </w:rPr>
        <w:t>-й</w:t>
      </w:r>
      <w:r w:rsidRPr="00F242DD">
        <w:rPr>
          <w:rFonts w:eastAsia="Times New Roman"/>
          <w:szCs w:val="24"/>
          <w:lang w:eastAsia="ru-RU"/>
        </w:rPr>
        <w:t xml:space="preserve"> день</w:t>
      </w:r>
      <w:r w:rsidR="006312BA" w:rsidRPr="00F242DD">
        <w:rPr>
          <w:rFonts w:eastAsia="Times New Roman"/>
          <w:szCs w:val="24"/>
          <w:lang w:eastAsia="ru-RU"/>
        </w:rPr>
        <w:t>.</w:t>
      </w:r>
    </w:p>
    <w:p w14:paraId="37BA6C95" w14:textId="77777777" w:rsidR="000546DA" w:rsidRPr="00F242DD" w:rsidRDefault="000546DA" w:rsidP="00397664">
      <w:pPr>
        <w:numPr>
          <w:ilvl w:val="0"/>
          <w:numId w:val="13"/>
        </w:numPr>
        <w:tabs>
          <w:tab w:val="left" w:pos="284"/>
        </w:tabs>
        <w:spacing w:before="0" w:after="0"/>
        <w:ind w:left="0" w:firstLine="0"/>
        <w:contextualSpacing/>
        <w:jc w:val="left"/>
        <w:rPr>
          <w:rFonts w:eastAsia="Times New Roman"/>
          <w:szCs w:val="24"/>
          <w:lang w:eastAsia="ru-RU"/>
        </w:rPr>
      </w:pPr>
      <w:r w:rsidRPr="00F242DD">
        <w:rPr>
          <w:rFonts w:eastAsia="Times New Roman"/>
          <w:szCs w:val="24"/>
          <w:lang w:eastAsia="ru-RU"/>
        </w:rPr>
        <w:t>5</w:t>
      </w:r>
      <w:r w:rsidR="006312BA" w:rsidRPr="00F242DD">
        <w:rPr>
          <w:rFonts w:eastAsia="Times New Roman"/>
          <w:szCs w:val="24"/>
          <w:lang w:eastAsia="ru-RU"/>
        </w:rPr>
        <w:t>‒</w:t>
      </w:r>
      <w:r w:rsidRPr="00F242DD">
        <w:rPr>
          <w:rFonts w:eastAsia="Times New Roman"/>
          <w:szCs w:val="24"/>
          <w:lang w:eastAsia="ru-RU"/>
        </w:rPr>
        <w:t>9</w:t>
      </w:r>
      <w:r w:rsidR="006312BA" w:rsidRPr="00F242DD">
        <w:rPr>
          <w:rFonts w:eastAsia="Times New Roman"/>
          <w:szCs w:val="24"/>
          <w:lang w:eastAsia="ru-RU"/>
        </w:rPr>
        <w:t>-й</w:t>
      </w:r>
      <w:r w:rsidRPr="00F242DD">
        <w:rPr>
          <w:rFonts w:eastAsia="Times New Roman"/>
          <w:szCs w:val="24"/>
          <w:lang w:eastAsia="ru-RU"/>
        </w:rPr>
        <w:t xml:space="preserve"> курсы:</w:t>
      </w:r>
    </w:p>
    <w:p w14:paraId="05E47330"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Мелфалан** 9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2823B0DC"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Преднизолон** 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7C44B924"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8, 22, 29</w:t>
      </w:r>
      <w:r w:rsidR="006312BA" w:rsidRPr="00F242DD">
        <w:rPr>
          <w:rFonts w:eastAsia="Times New Roman"/>
          <w:szCs w:val="24"/>
          <w:lang w:eastAsia="ru-RU"/>
        </w:rPr>
        <w:t>-й</w:t>
      </w:r>
    </w:p>
    <w:p w14:paraId="737F9662" w14:textId="77777777" w:rsidR="000546DA" w:rsidRPr="00F242DD" w:rsidRDefault="000546DA" w:rsidP="00600D60">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43</w:t>
      </w:r>
      <w:r w:rsidR="006312BA" w:rsidRPr="00F242DD">
        <w:rPr>
          <w:rFonts w:eastAsia="Times New Roman"/>
          <w:szCs w:val="24"/>
          <w:lang w:eastAsia="ru-RU"/>
        </w:rPr>
        <w:t>-й</w:t>
      </w:r>
      <w:r w:rsidRPr="00F242DD">
        <w:rPr>
          <w:rFonts w:eastAsia="Times New Roman"/>
          <w:szCs w:val="24"/>
          <w:lang w:eastAsia="ru-RU"/>
        </w:rPr>
        <w:t xml:space="preserve"> день</w:t>
      </w:r>
      <w:r w:rsidR="006312BA" w:rsidRPr="00F242DD">
        <w:rPr>
          <w:rFonts w:eastAsia="Times New Roman"/>
          <w:szCs w:val="24"/>
          <w:lang w:eastAsia="ru-RU"/>
        </w:rPr>
        <w:t>.</w:t>
      </w:r>
    </w:p>
    <w:p w14:paraId="00B914A2" w14:textId="77777777" w:rsidR="000546DA" w:rsidRPr="00F242DD" w:rsidRDefault="000546DA" w:rsidP="00397664">
      <w:pPr>
        <w:numPr>
          <w:ilvl w:val="0"/>
          <w:numId w:val="13"/>
        </w:numPr>
        <w:tabs>
          <w:tab w:val="left" w:pos="284"/>
        </w:tabs>
        <w:spacing w:before="0" w:after="0"/>
        <w:ind w:left="0" w:firstLine="0"/>
        <w:contextualSpacing/>
        <w:jc w:val="left"/>
        <w:rPr>
          <w:rFonts w:eastAsia="Times New Roman"/>
          <w:szCs w:val="24"/>
          <w:lang w:eastAsia="ru-RU"/>
        </w:rPr>
      </w:pPr>
      <w:r w:rsidRPr="00F242DD">
        <w:rPr>
          <w:rFonts w:eastAsia="Times New Roman"/>
          <w:szCs w:val="24"/>
          <w:lang w:eastAsia="ru-RU"/>
        </w:rPr>
        <w:t>Альтернативный вариант:</w:t>
      </w:r>
    </w:p>
    <w:p w14:paraId="57593509"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Мелфалан</w:t>
      </w:r>
      <w:bookmarkStart w:id="66" w:name="_Hlk4063708"/>
      <w:r w:rsidRPr="00F242DD">
        <w:rPr>
          <w:rFonts w:eastAsia="Times New Roman"/>
          <w:szCs w:val="24"/>
          <w:lang w:eastAsia="ru-RU"/>
        </w:rPr>
        <w:t>**</w:t>
      </w:r>
      <w:bookmarkEnd w:id="66"/>
      <w:r w:rsidRPr="00F242DD">
        <w:rPr>
          <w:rFonts w:eastAsia="Times New Roman"/>
          <w:szCs w:val="24"/>
          <w:lang w:eastAsia="ru-RU"/>
        </w:rPr>
        <w:t xml:space="preserve"> 9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14547E3A"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Преднизолон** 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087B41DA"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8, 15, 22</w:t>
      </w:r>
      <w:r w:rsidR="006312BA" w:rsidRPr="00F242DD">
        <w:rPr>
          <w:rFonts w:eastAsia="Times New Roman"/>
          <w:szCs w:val="24"/>
          <w:lang w:eastAsia="ru-RU"/>
        </w:rPr>
        <w:t>-й</w:t>
      </w:r>
    </w:p>
    <w:p w14:paraId="7B9A064F" w14:textId="77777777" w:rsidR="000546DA" w:rsidRPr="00F242DD" w:rsidRDefault="000546DA" w:rsidP="00600D60">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36</w:t>
      </w:r>
      <w:r w:rsidR="006312BA" w:rsidRPr="00F242DD">
        <w:rPr>
          <w:rFonts w:eastAsia="Times New Roman"/>
          <w:szCs w:val="24"/>
          <w:lang w:eastAsia="ru-RU"/>
        </w:rPr>
        <w:t>-й</w:t>
      </w:r>
      <w:r w:rsidRPr="00F242DD">
        <w:rPr>
          <w:rFonts w:eastAsia="Times New Roman"/>
          <w:szCs w:val="24"/>
          <w:lang w:eastAsia="ru-RU"/>
        </w:rPr>
        <w:t xml:space="preserve"> день</w:t>
      </w:r>
      <w:r w:rsidR="006312BA" w:rsidRPr="00F242DD">
        <w:rPr>
          <w:rFonts w:eastAsia="Times New Roman"/>
          <w:szCs w:val="24"/>
          <w:lang w:eastAsia="ru-RU"/>
        </w:rPr>
        <w:t>.</w:t>
      </w:r>
    </w:p>
    <w:p w14:paraId="5EF0F4CA" w14:textId="77777777" w:rsidR="000546DA" w:rsidRPr="00F242DD" w:rsidRDefault="000546DA" w:rsidP="00600D60">
      <w:pPr>
        <w:spacing w:before="0" w:after="0"/>
        <w:ind w:left="709"/>
        <w:contextualSpacing/>
        <w:rPr>
          <w:rFonts w:eastAsia="Times New Roman"/>
          <w:szCs w:val="24"/>
          <w:lang w:eastAsia="ru-RU"/>
        </w:rPr>
      </w:pPr>
      <w:r w:rsidRPr="00F242DD">
        <w:rPr>
          <w:rFonts w:eastAsia="Times New Roman"/>
          <w:szCs w:val="24"/>
          <w:lang w:eastAsia="ru-RU"/>
        </w:rPr>
        <w:t>Проводят 9 курсов</w:t>
      </w:r>
    </w:p>
    <w:p w14:paraId="5CEBDF65" w14:textId="77777777" w:rsidR="000546DA" w:rsidRPr="00F242DD" w:rsidRDefault="000546DA" w:rsidP="00397664">
      <w:pPr>
        <w:numPr>
          <w:ilvl w:val="0"/>
          <w:numId w:val="13"/>
        </w:numPr>
        <w:tabs>
          <w:tab w:val="left" w:pos="284"/>
        </w:tabs>
        <w:spacing w:before="0" w:after="0"/>
        <w:ind w:left="0" w:firstLine="0"/>
        <w:contextualSpacing/>
        <w:jc w:val="left"/>
        <w:rPr>
          <w:rFonts w:eastAsia="Times New Roman"/>
          <w:szCs w:val="24"/>
          <w:lang w:eastAsia="ru-RU"/>
        </w:rPr>
      </w:pPr>
      <w:r w:rsidRPr="00F242DD">
        <w:rPr>
          <w:rFonts w:eastAsia="Times New Roman"/>
          <w:szCs w:val="24"/>
          <w:lang w:eastAsia="ru-RU"/>
        </w:rPr>
        <w:t>Модифицированный вариант</w:t>
      </w:r>
      <w:r w:rsidR="006312BA" w:rsidRPr="00F242DD">
        <w:rPr>
          <w:rFonts w:eastAsia="Times New Roman"/>
          <w:szCs w:val="24"/>
          <w:lang w:eastAsia="ru-RU"/>
        </w:rPr>
        <w:t>:</w:t>
      </w:r>
    </w:p>
    <w:p w14:paraId="5FE602C0"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Мелфалан** 9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16047085"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Преднизолон** 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435D5FF4"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 22, 25, 29, 32</w:t>
      </w:r>
      <w:r w:rsidR="006312BA" w:rsidRPr="00F242DD">
        <w:rPr>
          <w:rFonts w:eastAsia="Times New Roman"/>
          <w:szCs w:val="24"/>
          <w:lang w:eastAsia="ru-RU"/>
        </w:rPr>
        <w:t>-й</w:t>
      </w:r>
    </w:p>
    <w:p w14:paraId="7036F1F9" w14:textId="77777777" w:rsidR="000546DA" w:rsidRPr="00F242DD" w:rsidRDefault="000546DA" w:rsidP="00600D60">
      <w:pPr>
        <w:spacing w:before="0" w:after="0"/>
        <w:ind w:left="709"/>
        <w:contextualSpacing/>
        <w:rPr>
          <w:rFonts w:eastAsia="Times New Roman"/>
          <w:szCs w:val="24"/>
          <w:lang w:eastAsia="ru-RU"/>
        </w:rPr>
      </w:pPr>
      <w:r w:rsidRPr="00F242DD">
        <w:rPr>
          <w:rFonts w:eastAsia="Times New Roman"/>
          <w:szCs w:val="24"/>
          <w:lang w:eastAsia="ru-RU"/>
        </w:rPr>
        <w:t>Проводят 1 курс, затем начиная с 43</w:t>
      </w:r>
      <w:r w:rsidR="006312BA" w:rsidRPr="00F242DD">
        <w:rPr>
          <w:rFonts w:eastAsia="Times New Roman"/>
          <w:szCs w:val="24"/>
          <w:lang w:eastAsia="ru-RU"/>
        </w:rPr>
        <w:t>-го</w:t>
      </w:r>
      <w:r w:rsidRPr="00F242DD">
        <w:rPr>
          <w:rFonts w:eastAsia="Times New Roman"/>
          <w:szCs w:val="24"/>
          <w:lang w:eastAsia="ru-RU"/>
        </w:rPr>
        <w:t xml:space="preserve"> дня 8 курсов в следующем режиме:</w:t>
      </w:r>
    </w:p>
    <w:p w14:paraId="06EDD19A"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Мелфалан** 9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6C8EA309"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Преднизолон** 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371182E9" w14:textId="77777777" w:rsidR="000546DA" w:rsidRPr="00F242DD" w:rsidRDefault="000546DA"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8, 22, 29</w:t>
      </w:r>
      <w:r w:rsidR="006312BA" w:rsidRPr="00F242DD">
        <w:rPr>
          <w:rFonts w:eastAsia="Times New Roman"/>
          <w:szCs w:val="24"/>
          <w:lang w:eastAsia="ru-RU"/>
        </w:rPr>
        <w:t>-й</w:t>
      </w:r>
    </w:p>
    <w:p w14:paraId="35D7FB30" w14:textId="77777777" w:rsidR="000546DA" w:rsidRPr="00F242DD" w:rsidRDefault="000546DA" w:rsidP="00600D60">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36</w:t>
      </w:r>
      <w:r w:rsidR="006312BA" w:rsidRPr="00F242DD">
        <w:rPr>
          <w:rFonts w:eastAsia="Times New Roman"/>
          <w:szCs w:val="24"/>
          <w:lang w:eastAsia="ru-RU"/>
        </w:rPr>
        <w:t>-й</w:t>
      </w:r>
      <w:r w:rsidRPr="00F242DD">
        <w:rPr>
          <w:rFonts w:eastAsia="Times New Roman"/>
          <w:szCs w:val="24"/>
          <w:lang w:eastAsia="ru-RU"/>
        </w:rPr>
        <w:t xml:space="preserve"> день</w:t>
      </w:r>
      <w:r w:rsidR="006312BA" w:rsidRPr="00F242DD">
        <w:rPr>
          <w:rFonts w:eastAsia="Times New Roman"/>
          <w:szCs w:val="24"/>
          <w:lang w:eastAsia="ru-RU"/>
        </w:rPr>
        <w:t>.</w:t>
      </w:r>
    </w:p>
    <w:p w14:paraId="2E13010D" w14:textId="77777777" w:rsidR="004E2C44" w:rsidRDefault="004E2C44" w:rsidP="002431B5">
      <w:pPr>
        <w:autoSpaceDE w:val="0"/>
        <w:autoSpaceDN w:val="0"/>
        <w:adjustRightInd w:val="0"/>
        <w:spacing w:before="0" w:after="0"/>
        <w:contextualSpacing/>
        <w:rPr>
          <w:b/>
          <w:szCs w:val="24"/>
          <w:lang w:eastAsia="ru-RU"/>
        </w:rPr>
      </w:pPr>
    </w:p>
    <w:p w14:paraId="39CC3269" w14:textId="77777777" w:rsidR="000546DA" w:rsidRPr="00F242DD" w:rsidRDefault="000546DA" w:rsidP="002431B5">
      <w:pPr>
        <w:autoSpaceDE w:val="0"/>
        <w:autoSpaceDN w:val="0"/>
        <w:adjustRightInd w:val="0"/>
        <w:spacing w:before="0" w:after="0"/>
        <w:contextualSpacing/>
        <w:rPr>
          <w:szCs w:val="24"/>
          <w:lang w:eastAsia="ru-RU"/>
        </w:rPr>
      </w:pPr>
      <w:r w:rsidRPr="00F242DD">
        <w:rPr>
          <w:b/>
          <w:szCs w:val="24"/>
          <w:lang w:val="en-US" w:eastAsia="ru-RU"/>
        </w:rPr>
        <w:lastRenderedPageBreak/>
        <w:t>Dara</w:t>
      </w:r>
      <w:r w:rsidRPr="00F242DD">
        <w:rPr>
          <w:b/>
          <w:szCs w:val="24"/>
          <w:lang w:eastAsia="ru-RU"/>
        </w:rPr>
        <w:t>-</w:t>
      </w:r>
      <w:r w:rsidRPr="00F242DD">
        <w:rPr>
          <w:b/>
          <w:szCs w:val="24"/>
          <w:lang w:val="en-US" w:eastAsia="ru-RU"/>
        </w:rPr>
        <w:t>VMP</w:t>
      </w:r>
    </w:p>
    <w:p w14:paraId="69B6B50B" w14:textId="6527D980" w:rsidR="000546DA" w:rsidRPr="00F242DD" w:rsidRDefault="000546DA" w:rsidP="00397664">
      <w:pPr>
        <w:pStyle w:val="a6"/>
        <w:numPr>
          <w:ilvl w:val="0"/>
          <w:numId w:val="16"/>
        </w:numPr>
        <w:tabs>
          <w:tab w:val="left" w:pos="284"/>
        </w:tabs>
        <w:autoSpaceDE w:val="0"/>
        <w:autoSpaceDN w:val="0"/>
        <w:adjustRightInd w:val="0"/>
        <w:spacing w:before="0" w:after="0"/>
        <w:ind w:left="0" w:firstLine="0"/>
        <w:rPr>
          <w:szCs w:val="24"/>
          <w:lang w:eastAsia="ru-RU"/>
        </w:rPr>
      </w:pPr>
      <w:r w:rsidRPr="00F242DD">
        <w:rPr>
          <w:szCs w:val="24"/>
          <w:lang w:eastAsia="ru-RU"/>
        </w:rPr>
        <w:t>Даратумумаб</w:t>
      </w:r>
      <w:r w:rsidRPr="00F242DD">
        <w:rPr>
          <w:rFonts w:eastAsia="Times New Roman"/>
          <w:szCs w:val="24"/>
          <w:lang w:eastAsia="ru-RU"/>
        </w:rPr>
        <w:t>**</w:t>
      </w:r>
      <w:r w:rsidR="00600D60">
        <w:rPr>
          <w:szCs w:val="24"/>
          <w:lang w:eastAsia="ru-RU"/>
        </w:rPr>
        <w:t xml:space="preserve"> </w:t>
      </w:r>
      <w:r w:rsidRPr="00F242DD">
        <w:rPr>
          <w:szCs w:val="24"/>
          <w:lang w:eastAsia="ru-RU"/>
        </w:rPr>
        <w:t xml:space="preserve">16 мг/кг в/в </w:t>
      </w:r>
    </w:p>
    <w:p w14:paraId="214C4B1A" w14:textId="798B1F3F" w:rsidR="000546DA" w:rsidRPr="00F242DD" w:rsidRDefault="00600D60" w:rsidP="004E2C44">
      <w:pPr>
        <w:pStyle w:val="a6"/>
        <w:tabs>
          <w:tab w:val="left" w:pos="709"/>
          <w:tab w:val="left" w:pos="851"/>
        </w:tabs>
        <w:autoSpaceDE w:val="0"/>
        <w:autoSpaceDN w:val="0"/>
        <w:adjustRightInd w:val="0"/>
        <w:spacing w:before="0" w:after="0"/>
        <w:ind w:left="284"/>
        <w:rPr>
          <w:szCs w:val="24"/>
          <w:lang w:eastAsia="ru-RU"/>
        </w:rPr>
      </w:pPr>
      <w:r>
        <w:rPr>
          <w:szCs w:val="24"/>
          <w:lang w:eastAsia="ru-RU"/>
        </w:rPr>
        <w:t>-</w:t>
      </w:r>
      <w:r w:rsidR="000546DA" w:rsidRPr="00F242DD">
        <w:rPr>
          <w:szCs w:val="24"/>
          <w:lang w:eastAsia="ru-RU"/>
        </w:rPr>
        <w:t>1 раз в неделю в 1</w:t>
      </w:r>
      <w:r w:rsidR="006312BA" w:rsidRPr="00F242DD">
        <w:rPr>
          <w:szCs w:val="24"/>
          <w:lang w:eastAsia="ru-RU"/>
        </w:rPr>
        <w:t>‒</w:t>
      </w:r>
      <w:r w:rsidR="000546DA" w:rsidRPr="00F242DD">
        <w:rPr>
          <w:szCs w:val="24"/>
          <w:lang w:eastAsia="ru-RU"/>
        </w:rPr>
        <w:t>6</w:t>
      </w:r>
      <w:r w:rsidR="006312BA" w:rsidRPr="00F242DD">
        <w:rPr>
          <w:szCs w:val="24"/>
          <w:lang w:eastAsia="ru-RU"/>
        </w:rPr>
        <w:t>-ю</w:t>
      </w:r>
      <w:r w:rsidR="000546DA" w:rsidRPr="00F242DD">
        <w:rPr>
          <w:szCs w:val="24"/>
          <w:lang w:eastAsia="ru-RU"/>
        </w:rPr>
        <w:t xml:space="preserve"> недели (всего 6 доз)</w:t>
      </w:r>
    </w:p>
    <w:p w14:paraId="06E9F1B3" w14:textId="693AA94C" w:rsidR="000546DA" w:rsidRPr="00F242DD" w:rsidRDefault="00600D60" w:rsidP="004E2C44">
      <w:pPr>
        <w:pStyle w:val="a6"/>
        <w:tabs>
          <w:tab w:val="left" w:pos="709"/>
          <w:tab w:val="left" w:pos="851"/>
        </w:tabs>
        <w:autoSpaceDE w:val="0"/>
        <w:autoSpaceDN w:val="0"/>
        <w:adjustRightInd w:val="0"/>
        <w:spacing w:before="0" w:after="0"/>
        <w:ind w:left="284"/>
        <w:rPr>
          <w:szCs w:val="24"/>
          <w:lang w:eastAsia="ru-RU"/>
        </w:rPr>
      </w:pPr>
      <w:r>
        <w:rPr>
          <w:szCs w:val="24"/>
          <w:lang w:eastAsia="ru-RU"/>
        </w:rPr>
        <w:t>-</w:t>
      </w:r>
      <w:r w:rsidR="000546DA" w:rsidRPr="00F242DD">
        <w:rPr>
          <w:szCs w:val="24"/>
          <w:lang w:eastAsia="ru-RU"/>
        </w:rPr>
        <w:t>1 раз в 3 недели в 7</w:t>
      </w:r>
      <w:r w:rsidR="006312BA" w:rsidRPr="00F242DD">
        <w:rPr>
          <w:szCs w:val="24"/>
          <w:lang w:eastAsia="ru-RU"/>
        </w:rPr>
        <w:t>‒</w:t>
      </w:r>
      <w:r w:rsidR="000546DA" w:rsidRPr="00F242DD">
        <w:rPr>
          <w:szCs w:val="24"/>
          <w:lang w:eastAsia="ru-RU"/>
        </w:rPr>
        <w:t>54</w:t>
      </w:r>
      <w:r w:rsidR="006312BA" w:rsidRPr="00F242DD">
        <w:rPr>
          <w:szCs w:val="24"/>
          <w:lang w:eastAsia="ru-RU"/>
        </w:rPr>
        <w:t>-ю</w:t>
      </w:r>
      <w:r w:rsidR="000546DA" w:rsidRPr="00F242DD">
        <w:rPr>
          <w:szCs w:val="24"/>
          <w:lang w:eastAsia="ru-RU"/>
        </w:rPr>
        <w:t xml:space="preserve"> недели (всего 16 доз)   </w:t>
      </w:r>
    </w:p>
    <w:p w14:paraId="57EA1DEB" w14:textId="0A7DBABB" w:rsidR="000546DA" w:rsidRPr="00F242DD" w:rsidRDefault="00600D60" w:rsidP="004E2C44">
      <w:pPr>
        <w:pStyle w:val="a6"/>
        <w:tabs>
          <w:tab w:val="left" w:pos="709"/>
          <w:tab w:val="left" w:pos="851"/>
        </w:tabs>
        <w:autoSpaceDE w:val="0"/>
        <w:autoSpaceDN w:val="0"/>
        <w:adjustRightInd w:val="0"/>
        <w:spacing w:before="0" w:after="0"/>
        <w:ind w:left="284"/>
        <w:rPr>
          <w:szCs w:val="24"/>
          <w:lang w:eastAsia="ru-RU"/>
        </w:rPr>
      </w:pPr>
      <w:r>
        <w:rPr>
          <w:szCs w:val="24"/>
          <w:lang w:eastAsia="ru-RU"/>
        </w:rPr>
        <w:t>-</w:t>
      </w:r>
      <w:r w:rsidR="000546DA" w:rsidRPr="00F242DD">
        <w:rPr>
          <w:szCs w:val="24"/>
          <w:lang w:eastAsia="ru-RU"/>
        </w:rPr>
        <w:t>1 раз в 4 недели с 55</w:t>
      </w:r>
      <w:r w:rsidR="006312BA" w:rsidRPr="00F242DD">
        <w:rPr>
          <w:szCs w:val="24"/>
          <w:lang w:eastAsia="ru-RU"/>
        </w:rPr>
        <w:t>-й</w:t>
      </w:r>
      <w:r w:rsidR="000546DA" w:rsidRPr="00F242DD">
        <w:rPr>
          <w:szCs w:val="24"/>
          <w:lang w:eastAsia="ru-RU"/>
        </w:rPr>
        <w:t xml:space="preserve"> недели до прогрессии</w:t>
      </w:r>
    </w:p>
    <w:p w14:paraId="4B8A9B8F" w14:textId="77777777" w:rsidR="000546DA" w:rsidRPr="00F242DD" w:rsidRDefault="000546DA" w:rsidP="00397664">
      <w:pPr>
        <w:pStyle w:val="a6"/>
        <w:numPr>
          <w:ilvl w:val="0"/>
          <w:numId w:val="16"/>
        </w:numPr>
        <w:tabs>
          <w:tab w:val="left" w:pos="284"/>
        </w:tabs>
        <w:autoSpaceDE w:val="0"/>
        <w:autoSpaceDN w:val="0"/>
        <w:adjustRightInd w:val="0"/>
        <w:spacing w:before="0" w:after="0"/>
        <w:ind w:left="0" w:firstLine="0"/>
        <w:rPr>
          <w:szCs w:val="24"/>
          <w:lang w:eastAsia="ru-RU"/>
        </w:rPr>
      </w:pPr>
      <w:r w:rsidRPr="00F242DD">
        <w:rPr>
          <w:szCs w:val="24"/>
          <w:lang w:eastAsia="ru-RU"/>
        </w:rPr>
        <w:t>Бортезомиб</w:t>
      </w:r>
      <w:r w:rsidRPr="00F242DD">
        <w:rPr>
          <w:rFonts w:eastAsia="Times New Roman"/>
          <w:szCs w:val="24"/>
          <w:lang w:eastAsia="ru-RU"/>
        </w:rPr>
        <w:t>**</w:t>
      </w:r>
      <w:r w:rsidRPr="00F242DD">
        <w:rPr>
          <w:szCs w:val="24"/>
          <w:lang w:eastAsia="ru-RU"/>
        </w:rPr>
        <w:t xml:space="preserve"> 1,3 мг/м</w:t>
      </w:r>
      <w:r w:rsidRPr="00F242DD">
        <w:rPr>
          <w:szCs w:val="24"/>
          <w:vertAlign w:val="superscript"/>
          <w:lang w:eastAsia="ru-RU"/>
        </w:rPr>
        <w:t>2</w:t>
      </w:r>
      <w:r w:rsidRPr="00F242DD">
        <w:rPr>
          <w:szCs w:val="24"/>
          <w:lang w:eastAsia="ru-RU"/>
        </w:rPr>
        <w:t xml:space="preserve"> п/к </w:t>
      </w:r>
    </w:p>
    <w:p w14:paraId="1F7E98F7" w14:textId="14713D8D" w:rsidR="000546DA" w:rsidRPr="00F242DD" w:rsidRDefault="00600D60" w:rsidP="004E2C44">
      <w:pPr>
        <w:pStyle w:val="a6"/>
        <w:autoSpaceDE w:val="0"/>
        <w:autoSpaceDN w:val="0"/>
        <w:adjustRightInd w:val="0"/>
        <w:spacing w:before="0" w:after="0"/>
        <w:ind w:left="284"/>
        <w:rPr>
          <w:szCs w:val="24"/>
          <w:lang w:eastAsia="ru-RU"/>
        </w:rPr>
      </w:pPr>
      <w:r>
        <w:rPr>
          <w:szCs w:val="24"/>
          <w:lang w:eastAsia="ru-RU"/>
        </w:rPr>
        <w:t>-</w:t>
      </w:r>
      <w:r w:rsidR="000546DA" w:rsidRPr="00F242DD">
        <w:rPr>
          <w:szCs w:val="24"/>
          <w:lang w:eastAsia="ru-RU"/>
        </w:rPr>
        <w:t>2 раза в неделю на 1, 2</w:t>
      </w:r>
      <w:r w:rsidR="006312BA" w:rsidRPr="00F242DD">
        <w:rPr>
          <w:szCs w:val="24"/>
          <w:lang w:eastAsia="ru-RU"/>
        </w:rPr>
        <w:t>,</w:t>
      </w:r>
      <w:r w:rsidR="000546DA" w:rsidRPr="00F242DD">
        <w:rPr>
          <w:szCs w:val="24"/>
          <w:lang w:eastAsia="ru-RU"/>
        </w:rPr>
        <w:t xml:space="preserve"> 4 и 5</w:t>
      </w:r>
      <w:r w:rsidR="006312BA" w:rsidRPr="00F242DD">
        <w:rPr>
          <w:szCs w:val="24"/>
          <w:lang w:eastAsia="ru-RU"/>
        </w:rPr>
        <w:t>-й</w:t>
      </w:r>
      <w:r w:rsidR="000546DA" w:rsidRPr="00F242DD">
        <w:rPr>
          <w:szCs w:val="24"/>
          <w:lang w:eastAsia="ru-RU"/>
        </w:rPr>
        <w:t xml:space="preserve"> неделях первого шестинедельного цикла (цикл 1, 8 доз) </w:t>
      </w:r>
    </w:p>
    <w:p w14:paraId="56BEF14E" w14:textId="1795C4EC" w:rsidR="000546DA" w:rsidRPr="00F242DD" w:rsidRDefault="00600D60" w:rsidP="004E2C44">
      <w:pPr>
        <w:pStyle w:val="a6"/>
        <w:autoSpaceDE w:val="0"/>
        <w:autoSpaceDN w:val="0"/>
        <w:adjustRightInd w:val="0"/>
        <w:spacing w:before="0" w:after="0"/>
        <w:ind w:left="284"/>
        <w:rPr>
          <w:szCs w:val="24"/>
          <w:lang w:eastAsia="ru-RU"/>
        </w:rPr>
      </w:pPr>
      <w:r>
        <w:rPr>
          <w:szCs w:val="24"/>
          <w:lang w:eastAsia="ru-RU"/>
        </w:rPr>
        <w:t>-</w:t>
      </w:r>
      <w:r w:rsidR="000546DA" w:rsidRPr="00F242DD">
        <w:rPr>
          <w:szCs w:val="24"/>
          <w:lang w:eastAsia="ru-RU"/>
        </w:rPr>
        <w:t>далее 1 раз в неделю на 1, 2, 4 и 5</w:t>
      </w:r>
      <w:r w:rsidR="006312BA" w:rsidRPr="00F242DD">
        <w:rPr>
          <w:szCs w:val="24"/>
          <w:lang w:eastAsia="ru-RU"/>
        </w:rPr>
        <w:t>-й</w:t>
      </w:r>
      <w:r w:rsidR="000546DA" w:rsidRPr="00F242DD">
        <w:rPr>
          <w:szCs w:val="24"/>
          <w:lang w:eastAsia="ru-RU"/>
        </w:rPr>
        <w:t xml:space="preserve"> неделях следующи</w:t>
      </w:r>
      <w:r w:rsidR="00827D7D">
        <w:rPr>
          <w:szCs w:val="24"/>
          <w:lang w:eastAsia="ru-RU"/>
        </w:rPr>
        <w:t>е</w:t>
      </w:r>
      <w:r w:rsidR="000546DA" w:rsidRPr="00F242DD">
        <w:rPr>
          <w:szCs w:val="24"/>
          <w:lang w:eastAsia="ru-RU"/>
        </w:rPr>
        <w:t xml:space="preserve"> 8 шестинедельных циклов (циклы 2</w:t>
      </w:r>
      <w:r w:rsidR="006312BA" w:rsidRPr="00F242DD">
        <w:rPr>
          <w:szCs w:val="24"/>
          <w:lang w:eastAsia="ru-RU"/>
        </w:rPr>
        <w:t>‒</w:t>
      </w:r>
      <w:r w:rsidR="000546DA" w:rsidRPr="00F242DD">
        <w:rPr>
          <w:szCs w:val="24"/>
          <w:lang w:eastAsia="ru-RU"/>
        </w:rPr>
        <w:t>9, 4 дозы на цикл)</w:t>
      </w:r>
    </w:p>
    <w:p w14:paraId="763C124D" w14:textId="50418E0C" w:rsidR="000546DA" w:rsidRPr="00F242DD" w:rsidRDefault="000546DA" w:rsidP="00397664">
      <w:pPr>
        <w:pStyle w:val="a6"/>
        <w:numPr>
          <w:ilvl w:val="0"/>
          <w:numId w:val="16"/>
        </w:numPr>
        <w:tabs>
          <w:tab w:val="left" w:pos="284"/>
        </w:tabs>
        <w:autoSpaceDE w:val="0"/>
        <w:autoSpaceDN w:val="0"/>
        <w:adjustRightInd w:val="0"/>
        <w:spacing w:before="0" w:after="0"/>
        <w:ind w:left="0" w:firstLine="0"/>
        <w:rPr>
          <w:szCs w:val="24"/>
          <w:lang w:eastAsia="ru-RU"/>
        </w:rPr>
      </w:pPr>
      <w:r w:rsidRPr="00F242DD">
        <w:rPr>
          <w:szCs w:val="24"/>
          <w:lang w:eastAsia="ru-RU"/>
        </w:rPr>
        <w:t>Мелфалан</w:t>
      </w:r>
      <w:r w:rsidRPr="00F242DD">
        <w:rPr>
          <w:rFonts w:eastAsia="Times New Roman"/>
          <w:szCs w:val="24"/>
          <w:lang w:eastAsia="ru-RU"/>
        </w:rPr>
        <w:t>**</w:t>
      </w:r>
      <w:r w:rsidRPr="00F242DD">
        <w:rPr>
          <w:szCs w:val="24"/>
          <w:lang w:eastAsia="ru-RU"/>
        </w:rPr>
        <w:t xml:space="preserve"> 9 мг/м</w:t>
      </w:r>
      <w:r w:rsidRPr="00F242DD">
        <w:rPr>
          <w:szCs w:val="24"/>
          <w:vertAlign w:val="superscript"/>
          <w:lang w:eastAsia="ru-RU"/>
        </w:rPr>
        <w:t>2</w:t>
      </w:r>
      <w:r w:rsidRPr="00F242DD">
        <w:rPr>
          <w:szCs w:val="24"/>
          <w:lang w:eastAsia="ru-RU"/>
        </w:rPr>
        <w:t xml:space="preserve"> и преднизолон</w:t>
      </w:r>
      <w:r w:rsidR="009A138D" w:rsidRPr="00F242DD">
        <w:rPr>
          <w:szCs w:val="24"/>
          <w:lang w:eastAsia="ru-RU"/>
        </w:rPr>
        <w:t>**</w:t>
      </w:r>
      <w:r w:rsidRPr="00F242DD">
        <w:rPr>
          <w:szCs w:val="24"/>
          <w:lang w:eastAsia="ru-RU"/>
        </w:rPr>
        <w:t xml:space="preserve"> 60 мг/м</w:t>
      </w:r>
      <w:r w:rsidRPr="00F242DD">
        <w:rPr>
          <w:szCs w:val="24"/>
          <w:vertAlign w:val="superscript"/>
          <w:lang w:eastAsia="ru-RU"/>
        </w:rPr>
        <w:t>2</w:t>
      </w:r>
      <w:r w:rsidR="00616CC3">
        <w:rPr>
          <w:szCs w:val="24"/>
          <w:vertAlign w:val="superscript"/>
          <w:lang w:eastAsia="ru-RU"/>
        </w:rPr>
        <w:t xml:space="preserve"> </w:t>
      </w:r>
      <w:r w:rsidR="004C0C25">
        <w:rPr>
          <w:szCs w:val="24"/>
          <w:lang w:eastAsia="ru-RU"/>
        </w:rPr>
        <w:t>энтерально в дни 1</w:t>
      </w:r>
      <w:r w:rsidR="00521D08">
        <w:rPr>
          <w:szCs w:val="24"/>
          <w:lang w:eastAsia="ru-RU"/>
        </w:rPr>
        <w:t>-</w:t>
      </w:r>
      <w:r w:rsidRPr="00F242DD">
        <w:rPr>
          <w:szCs w:val="24"/>
          <w:lang w:eastAsia="ru-RU"/>
        </w:rPr>
        <w:t>4</w:t>
      </w:r>
      <w:r w:rsidR="006312BA" w:rsidRPr="00F242DD">
        <w:rPr>
          <w:szCs w:val="24"/>
          <w:lang w:eastAsia="ru-RU"/>
        </w:rPr>
        <w:t>-й</w:t>
      </w:r>
      <w:r w:rsidRPr="00F242DD">
        <w:rPr>
          <w:szCs w:val="24"/>
          <w:lang w:eastAsia="ru-RU"/>
        </w:rPr>
        <w:t xml:space="preserve"> </w:t>
      </w:r>
      <w:r w:rsidR="006312BA" w:rsidRPr="00F242DD">
        <w:rPr>
          <w:szCs w:val="24"/>
          <w:lang w:eastAsia="ru-RU"/>
        </w:rPr>
        <w:t>9</w:t>
      </w:r>
      <w:r w:rsidRPr="00F242DD">
        <w:rPr>
          <w:szCs w:val="24"/>
          <w:lang w:eastAsia="ru-RU"/>
        </w:rPr>
        <w:t xml:space="preserve"> шестинедельных циклов (циклы 1</w:t>
      </w:r>
      <w:r w:rsidR="006312BA" w:rsidRPr="00F242DD">
        <w:rPr>
          <w:szCs w:val="24"/>
          <w:lang w:eastAsia="ru-RU"/>
        </w:rPr>
        <w:t>‒</w:t>
      </w:r>
      <w:r w:rsidRPr="00F242DD">
        <w:rPr>
          <w:szCs w:val="24"/>
          <w:lang w:eastAsia="ru-RU"/>
        </w:rPr>
        <w:t>9)</w:t>
      </w:r>
    </w:p>
    <w:p w14:paraId="26E9C18B" w14:textId="77777777" w:rsidR="00600D60" w:rsidRDefault="00600D60" w:rsidP="002431B5">
      <w:pPr>
        <w:spacing w:before="0" w:after="0"/>
        <w:contextualSpacing/>
        <w:rPr>
          <w:rFonts w:eastAsia="Times New Roman"/>
          <w:b/>
          <w:szCs w:val="24"/>
          <w:lang w:eastAsia="ru-RU"/>
        </w:rPr>
      </w:pPr>
    </w:p>
    <w:p w14:paraId="7997136C"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t>VD</w:t>
      </w:r>
    </w:p>
    <w:p w14:paraId="33D11564" w14:textId="77777777" w:rsidR="00BF55DF" w:rsidRPr="00F242DD" w:rsidRDefault="00BF55DF" w:rsidP="00397664">
      <w:pPr>
        <w:numPr>
          <w:ilvl w:val="0"/>
          <w:numId w:val="13"/>
        </w:numPr>
        <w:tabs>
          <w:tab w:val="left" w:pos="284"/>
        </w:tabs>
        <w:spacing w:before="0" w:after="0"/>
        <w:ind w:left="0" w:firstLine="0"/>
        <w:contextualSpacing/>
        <w:jc w:val="left"/>
        <w:rPr>
          <w:rFonts w:eastAsia="Times New Roman"/>
          <w:szCs w:val="24"/>
          <w:lang w:eastAsia="ru-RU"/>
        </w:rPr>
      </w:pPr>
      <w:r w:rsidRPr="00F242DD">
        <w:rPr>
          <w:rFonts w:eastAsia="Times New Roman"/>
          <w:szCs w:val="24"/>
          <w:lang w:eastAsia="ru-RU"/>
        </w:rPr>
        <w:t>1‒4-й курсы:</w:t>
      </w:r>
    </w:p>
    <w:p w14:paraId="772E5A3E" w14:textId="77777777" w:rsidR="00BF55DF" w:rsidRPr="00F242DD" w:rsidRDefault="00BF55DF"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11-й</w:t>
      </w:r>
    </w:p>
    <w:p w14:paraId="4848F036" w14:textId="77777777" w:rsidR="00BF55DF" w:rsidRPr="00F242DD" w:rsidRDefault="00BF55DF"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 xml:space="preserve">Дексаметазон** </w:t>
      </w:r>
      <w:r w:rsidR="00705691" w:rsidRPr="00F242DD">
        <w:rPr>
          <w:rFonts w:eastAsia="Times New Roman"/>
          <w:szCs w:val="24"/>
          <w:lang w:eastAsia="ru-RU"/>
        </w:rPr>
        <w:t xml:space="preserve">40 </w:t>
      </w:r>
      <w:r w:rsidRPr="00F242DD">
        <w:rPr>
          <w:rFonts w:eastAsia="Times New Roman"/>
          <w:szCs w:val="24"/>
          <w:lang w:eastAsia="ru-RU"/>
        </w:rPr>
        <w:t>мг внутрь, дни 1</w:t>
      </w:r>
      <w:r w:rsidR="00705691" w:rsidRPr="00F242DD">
        <w:rPr>
          <w:rFonts w:eastAsia="Times New Roman"/>
          <w:szCs w:val="24"/>
          <w:lang w:eastAsia="ru-RU"/>
        </w:rPr>
        <w:t xml:space="preserve">-4 и 9-12 (циклы 1, 2) и дни 1-4 (циклы 3, 4) </w:t>
      </w:r>
      <w:r w:rsidRPr="00F242DD">
        <w:rPr>
          <w:rFonts w:eastAsia="Times New Roman"/>
          <w:szCs w:val="24"/>
          <w:lang w:eastAsia="ru-RU"/>
        </w:rPr>
        <w:t xml:space="preserve"> </w:t>
      </w:r>
    </w:p>
    <w:p w14:paraId="313432D7" w14:textId="77777777" w:rsidR="00BF55DF" w:rsidRPr="00F242DD" w:rsidRDefault="00BF55DF" w:rsidP="00600D60">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22-й день.</w:t>
      </w:r>
    </w:p>
    <w:p w14:paraId="3A8F392C" w14:textId="77777777" w:rsidR="00BF55DF" w:rsidRPr="00F242DD" w:rsidRDefault="00BF55DF" w:rsidP="00397664">
      <w:pPr>
        <w:numPr>
          <w:ilvl w:val="0"/>
          <w:numId w:val="13"/>
        </w:numPr>
        <w:tabs>
          <w:tab w:val="left" w:pos="284"/>
        </w:tabs>
        <w:spacing w:before="0" w:after="0"/>
        <w:ind w:left="0" w:firstLine="0"/>
        <w:contextualSpacing/>
        <w:jc w:val="left"/>
        <w:rPr>
          <w:rFonts w:eastAsia="Times New Roman"/>
          <w:szCs w:val="24"/>
          <w:lang w:eastAsia="ru-RU"/>
        </w:rPr>
      </w:pPr>
      <w:r w:rsidRPr="00F242DD">
        <w:rPr>
          <w:rFonts w:eastAsia="Times New Roman"/>
          <w:szCs w:val="24"/>
          <w:lang w:eastAsia="ru-RU"/>
        </w:rPr>
        <w:t>5‒8-й курсы:</w:t>
      </w:r>
    </w:p>
    <w:p w14:paraId="2391295F" w14:textId="77777777" w:rsidR="00BF55DF" w:rsidRPr="00F242DD" w:rsidRDefault="00BF55DF"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11-й</w:t>
      </w:r>
    </w:p>
    <w:p w14:paraId="12ECF9EE" w14:textId="77777777" w:rsidR="00BF55DF" w:rsidRPr="00F242DD" w:rsidRDefault="00BF55DF" w:rsidP="00397664">
      <w:pPr>
        <w:numPr>
          <w:ilvl w:val="1"/>
          <w:numId w:val="13"/>
        </w:numPr>
        <w:spacing w:before="0" w:after="0"/>
        <w:ind w:left="284" w:firstLine="0"/>
        <w:contextualSpacing/>
        <w:jc w:val="left"/>
        <w:rPr>
          <w:rFonts w:eastAsia="Times New Roman"/>
          <w:szCs w:val="24"/>
          <w:lang w:eastAsia="ru-RU"/>
        </w:rPr>
      </w:pPr>
      <w:r w:rsidRPr="00F242DD">
        <w:rPr>
          <w:rFonts w:eastAsia="Times New Roman"/>
          <w:szCs w:val="24"/>
          <w:lang w:eastAsia="ru-RU"/>
        </w:rPr>
        <w:t xml:space="preserve">Дексаметазон** 20 мг внутрь, дни 1, 2, 4, 5-й </w:t>
      </w:r>
    </w:p>
    <w:p w14:paraId="283CDFD3" w14:textId="77777777" w:rsidR="00BF55DF" w:rsidRPr="00F242DD" w:rsidRDefault="00BF55DF" w:rsidP="00600D60">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22-й день.</w:t>
      </w:r>
    </w:p>
    <w:p w14:paraId="16178786" w14:textId="77777777" w:rsidR="00600D60" w:rsidRDefault="00600D60" w:rsidP="002431B5">
      <w:pPr>
        <w:spacing w:before="0" w:after="0"/>
        <w:contextualSpacing/>
        <w:rPr>
          <w:rFonts w:eastAsia="Times New Roman"/>
          <w:b/>
          <w:szCs w:val="24"/>
          <w:lang w:eastAsia="ru-RU"/>
        </w:rPr>
      </w:pPr>
    </w:p>
    <w:p w14:paraId="42637C9E" w14:textId="77777777" w:rsidR="000546DA" w:rsidRPr="00F242DD" w:rsidRDefault="000546DA" w:rsidP="002431B5">
      <w:pPr>
        <w:spacing w:before="0" w:after="0"/>
        <w:contextualSpacing/>
        <w:rPr>
          <w:rFonts w:eastAsia="Times New Roman"/>
          <w:szCs w:val="24"/>
          <w:lang w:eastAsia="ru-RU"/>
        </w:rPr>
      </w:pPr>
      <w:r w:rsidRPr="00F242DD">
        <w:rPr>
          <w:rFonts w:eastAsia="Times New Roman"/>
          <w:b/>
          <w:szCs w:val="24"/>
          <w:lang w:eastAsia="ru-RU"/>
        </w:rPr>
        <w:t>VCP</w:t>
      </w:r>
      <w:r w:rsidRPr="00F242DD">
        <w:rPr>
          <w:rFonts w:eastAsia="Times New Roman"/>
          <w:szCs w:val="24"/>
          <w:lang w:eastAsia="ru-RU"/>
        </w:rPr>
        <w:t xml:space="preserve"> (для пациентов </w:t>
      </w:r>
      <w:r w:rsidR="006312BA" w:rsidRPr="00F242DD">
        <w:rPr>
          <w:rFonts w:eastAsia="Times New Roman"/>
          <w:szCs w:val="24"/>
          <w:lang w:eastAsia="ru-RU"/>
        </w:rPr>
        <w:t>с ММ</w:t>
      </w:r>
      <w:r w:rsidRPr="00F242DD">
        <w:rPr>
          <w:rFonts w:eastAsia="Times New Roman"/>
          <w:szCs w:val="24"/>
          <w:lang w:eastAsia="ru-RU"/>
        </w:rPr>
        <w:t xml:space="preserve"> старше 75 лет)</w:t>
      </w:r>
    </w:p>
    <w:p w14:paraId="7DB08080" w14:textId="77777777" w:rsidR="000546DA" w:rsidRPr="00F242DD" w:rsidRDefault="000546DA" w:rsidP="00397664">
      <w:pPr>
        <w:numPr>
          <w:ilvl w:val="0"/>
          <w:numId w:val="17"/>
        </w:numPr>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8, 15, 22</w:t>
      </w:r>
      <w:r w:rsidR="006312BA" w:rsidRPr="00F242DD">
        <w:rPr>
          <w:rFonts w:eastAsia="Times New Roman"/>
          <w:szCs w:val="24"/>
          <w:lang w:eastAsia="ru-RU"/>
        </w:rPr>
        <w:t>-й</w:t>
      </w:r>
    </w:p>
    <w:p w14:paraId="773EBD29" w14:textId="77777777" w:rsidR="000546DA" w:rsidRPr="00F242DD" w:rsidRDefault="000546DA" w:rsidP="00397664">
      <w:pPr>
        <w:numPr>
          <w:ilvl w:val="0"/>
          <w:numId w:val="17"/>
        </w:numPr>
        <w:spacing w:before="0" w:after="0"/>
        <w:ind w:left="284" w:firstLine="0"/>
        <w:contextualSpacing/>
        <w:jc w:val="left"/>
        <w:rPr>
          <w:rFonts w:eastAsia="Times New Roman"/>
          <w:szCs w:val="24"/>
          <w:lang w:eastAsia="ru-RU"/>
        </w:rPr>
      </w:pPr>
      <w:r w:rsidRPr="00F242DD">
        <w:rPr>
          <w:rFonts w:eastAsia="Times New Roman"/>
          <w:szCs w:val="24"/>
          <w:lang w:eastAsia="ru-RU"/>
        </w:rPr>
        <w:t>Преднизолон** 30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3CEBC81A" w14:textId="77777777" w:rsidR="000546DA" w:rsidRPr="00F242DD" w:rsidRDefault="000546DA" w:rsidP="00397664">
      <w:pPr>
        <w:numPr>
          <w:ilvl w:val="0"/>
          <w:numId w:val="17"/>
        </w:numPr>
        <w:spacing w:before="0" w:after="0"/>
        <w:ind w:left="284" w:firstLine="0"/>
        <w:contextualSpacing/>
        <w:jc w:val="left"/>
        <w:rPr>
          <w:rFonts w:eastAsia="Times New Roman"/>
          <w:szCs w:val="24"/>
          <w:lang w:eastAsia="ru-RU"/>
        </w:rPr>
      </w:pPr>
      <w:r w:rsidRPr="00F242DD">
        <w:rPr>
          <w:rFonts w:eastAsia="Times New Roman"/>
          <w:szCs w:val="24"/>
          <w:lang w:eastAsia="ru-RU"/>
        </w:rPr>
        <w:t>Циклофосфамид** 50 мг внутрь, дни 1</w:t>
      </w:r>
      <w:r w:rsidR="006312BA" w:rsidRPr="00F242DD">
        <w:rPr>
          <w:rFonts w:eastAsia="Times New Roman"/>
          <w:szCs w:val="24"/>
          <w:lang w:eastAsia="ru-RU"/>
        </w:rPr>
        <w:t>‒</w:t>
      </w:r>
      <w:r w:rsidRPr="00F242DD">
        <w:rPr>
          <w:rFonts w:eastAsia="Times New Roman"/>
          <w:szCs w:val="24"/>
          <w:lang w:eastAsia="ru-RU"/>
        </w:rPr>
        <w:t>21</w:t>
      </w:r>
      <w:r w:rsidR="006312BA" w:rsidRPr="00F242DD">
        <w:rPr>
          <w:rFonts w:eastAsia="Times New Roman"/>
          <w:szCs w:val="24"/>
          <w:lang w:eastAsia="ru-RU"/>
        </w:rPr>
        <w:t>-й</w:t>
      </w:r>
    </w:p>
    <w:p w14:paraId="3C68712D" w14:textId="77777777" w:rsidR="000546DA" w:rsidRPr="00F242DD" w:rsidRDefault="000546DA" w:rsidP="00600D60">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36</w:t>
      </w:r>
      <w:r w:rsidR="006312BA" w:rsidRPr="00F242DD">
        <w:rPr>
          <w:rFonts w:eastAsia="Times New Roman"/>
          <w:szCs w:val="24"/>
          <w:lang w:eastAsia="ru-RU"/>
        </w:rPr>
        <w:t>-й</w:t>
      </w:r>
      <w:r w:rsidRPr="00F242DD">
        <w:rPr>
          <w:rFonts w:eastAsia="Times New Roman"/>
          <w:szCs w:val="24"/>
          <w:lang w:eastAsia="ru-RU"/>
        </w:rPr>
        <w:t xml:space="preserve"> день</w:t>
      </w:r>
      <w:r w:rsidR="00E86459" w:rsidRPr="00F242DD">
        <w:rPr>
          <w:rFonts w:eastAsia="Times New Roman"/>
          <w:szCs w:val="24"/>
          <w:lang w:eastAsia="ru-RU"/>
        </w:rPr>
        <w:t>.</w:t>
      </w:r>
    </w:p>
    <w:p w14:paraId="0DCA9C20" w14:textId="77777777" w:rsidR="000546DA" w:rsidRDefault="000546DA" w:rsidP="00600D60">
      <w:pPr>
        <w:spacing w:before="0" w:after="0"/>
        <w:ind w:left="709"/>
        <w:contextualSpacing/>
        <w:rPr>
          <w:rFonts w:eastAsia="Times New Roman"/>
          <w:szCs w:val="24"/>
          <w:lang w:eastAsia="ru-RU"/>
        </w:rPr>
      </w:pPr>
      <w:r w:rsidRPr="00F242DD">
        <w:rPr>
          <w:rFonts w:eastAsia="Times New Roman"/>
          <w:szCs w:val="24"/>
          <w:lang w:eastAsia="ru-RU"/>
        </w:rPr>
        <w:t>Проводят 8</w:t>
      </w:r>
      <w:r w:rsidR="006312BA" w:rsidRPr="00F242DD">
        <w:rPr>
          <w:rFonts w:eastAsia="Times New Roman"/>
          <w:szCs w:val="24"/>
          <w:lang w:eastAsia="ru-RU"/>
        </w:rPr>
        <w:t>‒</w:t>
      </w:r>
      <w:r w:rsidRPr="00F242DD">
        <w:rPr>
          <w:rFonts w:eastAsia="Times New Roman"/>
          <w:szCs w:val="24"/>
          <w:lang w:eastAsia="ru-RU"/>
        </w:rPr>
        <w:t>9 курсов</w:t>
      </w:r>
    </w:p>
    <w:p w14:paraId="1FB6D8ED" w14:textId="77777777" w:rsidR="00600D60" w:rsidRPr="00F242DD" w:rsidRDefault="00600D60" w:rsidP="00600D60">
      <w:pPr>
        <w:spacing w:before="0" w:after="0"/>
        <w:ind w:left="709"/>
        <w:contextualSpacing/>
        <w:rPr>
          <w:rFonts w:eastAsia="Times New Roman"/>
          <w:szCs w:val="24"/>
          <w:lang w:eastAsia="ru-RU"/>
        </w:rPr>
      </w:pPr>
    </w:p>
    <w:p w14:paraId="30D423C2" w14:textId="015176C6" w:rsidR="000546DA" w:rsidRPr="00F242DD" w:rsidRDefault="000546DA" w:rsidP="002431B5">
      <w:pPr>
        <w:spacing w:before="0" w:after="0"/>
        <w:contextualSpacing/>
        <w:rPr>
          <w:rFonts w:eastAsia="Times New Roman"/>
          <w:b/>
          <w:szCs w:val="24"/>
        </w:rPr>
      </w:pPr>
      <w:r w:rsidRPr="00F242DD">
        <w:rPr>
          <w:rFonts w:eastAsia="Times New Roman"/>
          <w:b/>
          <w:szCs w:val="24"/>
        </w:rPr>
        <w:t>Rd</w:t>
      </w:r>
      <w:r w:rsidR="00F74B6B" w:rsidRPr="00F242DD">
        <w:rPr>
          <w:rFonts w:eastAsia="Times New Roman"/>
          <w:b/>
          <w:szCs w:val="24"/>
        </w:rPr>
        <w:t xml:space="preserve"> </w:t>
      </w:r>
      <w:r w:rsidR="00F74B6B" w:rsidRPr="00F242DD">
        <w:rPr>
          <w:rFonts w:eastAsia="Times New Roman"/>
          <w:b/>
          <w:szCs w:val="24"/>
        </w:rPr>
        <w:fldChar w:fldCharType="begin" w:fldLock="1"/>
      </w:r>
      <w:r w:rsidR="00E430FD">
        <w:rPr>
          <w:rFonts w:eastAsia="Times New Roman"/>
          <w:b/>
          <w:szCs w:val="24"/>
        </w:rPr>
        <w:instrText>ADDIN CSL_CITATION {"citationItems":[{"id":"ITEM-1","itemData":{"DOI":"10.1016/S1470-2045(09)70284-0","ISSN":"14702045","abstract":"Background: High-dose dexamethasone is a mainstay of therapy for multiple myeloma. We studied whether low-dose dexamethasone in combination with lenalidomide is non-inferior to and has lower toxicity than high-dose dexamethasone plus lenalidomide. Methods: Patients with untreated symptomatic myeloma were randomly assigned in this open-label non-inferiority trial to lenalidomide 25 mg on days 1-21 plus dexamethasone 40 mg on days 1-4, 9-12, and 17-20 of a 28-day cycle (high dose), or lenalidomide given on the same schedule with dexamethasone 40 mg on days 1, 8, 15, and 22 of a 28-day cycle (low dose). After four cycles, patients could discontinue therapy to pursue stem-cell transplantation or continue treatment until disease progression. The primary endpoint was response rate after four cycles assessed with European Group for Blood and Bone Marrow Transplant criteria. The non-inferiority margin was an absolute difference of 15% in response rate. Analysis was by modified intention to treat. This trial is registered with ClinicalTrials.gov, number NCT00098475. Findings: 445 patients were randomly assigned: 223 to high-dose and 222 to low-dose regimens. 169 (79%) of 214 patients receiving high-dose therapy and 142 (68%) of 205 patients on low-dose therapy had complete or partial response within four cycles (odds ratio 1·75, 80% CI 1·30-2·32; p=0·008). However, at the second interim analysis at 1 year, overall survival was 96% (95% CI 94-99) in the low-dose dexamethasone group compared with 87% (82-92) in the high-dose group (p=0·0002). As a result, the trial was stopped and patients on high-dose therapy were crossed over to low-dose therapy. 117 patients (52%) on the high-dose regimen had grade three or worse toxic effects in the first 4 months, compared with 76 (35%) of the 220 on the low-dose regimen for whom toxicity data were available (p=0·0001), 12 of 222 on high dose and one of 220 on low-dose dexamethasone died in the first 4 months (p=0·003). The three most common grade three or higher toxicities were deep-vein thrombosis, 57 (26%) of 223 versus 27 (12%) of 220 (p=0·0003); infections including pneumonia, 35 (16%) of 223 versus 20 (9%) of 220 (p=0·04), and fatigue 33 (15%) of 223 versus 20 (9%) of 220 (p=0·08), respectively. Interpretation: Lenalidomide plus low-dose dexamethasone is associated with better short-term overall survival and with lower toxicity than lenalidomide plus high-dose dexamethasone in patients with newly diagnosed myeloma. Fund…","author":[{"dropping-particle":"","family":"Rajkumar","given":"S. Vincent","non-dropping-particle":"","parse-names":false,"suffix":""},{"dropping-particle":"","family":"Jacobus","given":"Susanna","non-dropping-particle":"","parse-names":false,"suffix":""},{"dropping-particle":"","family":"Callander","given":"Natalie S.","non-dropping-particle":"","parse-names":false,"suffix":""},{"dropping-particle":"","family":"Fonseca","given":"Rafael","non-dropping-particle":"","parse-names":false,"suffix":""},{"dropping-particle":"","family":"Vesole","given":"David H.","non-dropping-particle":"","parse-names":false,"suffix":""},{"dropping-particle":"","family":"Williams","given":"Michael E.","non-dropping-particle":"","parse-names":false,"suffix":""},{"dropping-particle":"","family":"Abonour","given":"Rafat","non-dropping-particle":"","parse-names":false,"suffix":""},{"dropping-particle":"","family":"Siegel","given":"David S.","non-dropping-particle":"","parse-names":false,"suffix":""},{"dropping-particle":"","family":"Katz","given":"Michael","non-dropping-particle":"","parse-names":false,"suffix":""},{"dropping-particle":"","family":"Greipp","given":"Philip R.","non-dropping-particle":"","parse-names":false,"suffix":""}],"container-title":"The Lancet Oncology","id":"ITEM-1","issue":"1","issued":{"date-parts":[["2010"]]},"page":"29-37","publisher":"Lancet Publishing Group","title":"Lenalidomide plus high-dose dexamethasone versus lenalidomide plus low-dose dexamethasone as initial therapy for newly diagnosed multiple myeloma: an open-label randomised controlled trial","type":"article-journal","volume":"11"},"uris":["http://www.mendeley.com/documents/?uuid=f61bdf50-959d-3819-8498-c167642ffdfb"]}],"mendeley":{"formattedCitation":"[90]","plainTextFormattedCitation":"[90]","previouslyFormattedCitation":"[90]"},"properties":{"noteIndex":0},"schema":"https://github.com/citation-style-language/schema/raw/master/csl-citation.json"}</w:instrText>
      </w:r>
      <w:r w:rsidR="00F74B6B" w:rsidRPr="00F242DD">
        <w:rPr>
          <w:rFonts w:eastAsia="Times New Roman"/>
          <w:b/>
          <w:szCs w:val="24"/>
        </w:rPr>
        <w:fldChar w:fldCharType="separate"/>
      </w:r>
      <w:r w:rsidR="00E430FD" w:rsidRPr="00E430FD">
        <w:rPr>
          <w:rFonts w:eastAsia="Times New Roman"/>
          <w:noProof/>
          <w:szCs w:val="24"/>
        </w:rPr>
        <w:t>[90]</w:t>
      </w:r>
      <w:r w:rsidR="00F74B6B" w:rsidRPr="00F242DD">
        <w:rPr>
          <w:rFonts w:eastAsia="Times New Roman"/>
          <w:b/>
          <w:szCs w:val="24"/>
        </w:rPr>
        <w:fldChar w:fldCharType="end"/>
      </w:r>
    </w:p>
    <w:p w14:paraId="556CA2CA" w14:textId="77777777" w:rsidR="00BF55DF" w:rsidRPr="00F242DD" w:rsidRDefault="00BF55DF" w:rsidP="00397664">
      <w:pPr>
        <w:pStyle w:val="31"/>
        <w:numPr>
          <w:ilvl w:val="0"/>
          <w:numId w:val="18"/>
        </w:numPr>
        <w:tabs>
          <w:tab w:val="left" w:pos="720"/>
        </w:tabs>
        <w:suppressAutoHyphens/>
        <w:spacing w:line="360" w:lineRule="auto"/>
        <w:ind w:left="284" w:firstLine="0"/>
        <w:contextualSpacing/>
        <w:jc w:val="left"/>
        <w:rPr>
          <w:rFonts w:eastAsia="Times New Roman"/>
        </w:rPr>
      </w:pPr>
      <w:r w:rsidRPr="00F242DD">
        <w:rPr>
          <w:rFonts w:eastAsia="Times New Roman"/>
        </w:rPr>
        <w:t>Леналидомид** 25 мг внутрь, дни 1‒21-й</w:t>
      </w:r>
    </w:p>
    <w:p w14:paraId="43AE0D01" w14:textId="77777777" w:rsidR="00BF55DF" w:rsidRPr="00F242DD" w:rsidRDefault="00BF55DF" w:rsidP="00397664">
      <w:pPr>
        <w:pStyle w:val="31"/>
        <w:numPr>
          <w:ilvl w:val="0"/>
          <w:numId w:val="18"/>
        </w:numPr>
        <w:tabs>
          <w:tab w:val="left" w:pos="720"/>
        </w:tabs>
        <w:suppressAutoHyphens/>
        <w:spacing w:line="360" w:lineRule="auto"/>
        <w:ind w:left="284" w:firstLine="0"/>
        <w:contextualSpacing/>
        <w:jc w:val="left"/>
        <w:rPr>
          <w:rFonts w:eastAsia="Times New Roman"/>
        </w:rPr>
      </w:pPr>
      <w:r w:rsidRPr="00F242DD">
        <w:rPr>
          <w:rFonts w:eastAsia="Times New Roman"/>
        </w:rPr>
        <w:t>Дексаметазон** 40 мг внутрь, дни 1, 8, 15, 22-й</w:t>
      </w:r>
    </w:p>
    <w:p w14:paraId="319082C4" w14:textId="24DB014F" w:rsidR="00BF55DF" w:rsidRDefault="00BF55DF" w:rsidP="0078283C">
      <w:pPr>
        <w:spacing w:before="0" w:after="0"/>
        <w:ind w:left="709"/>
        <w:contextualSpacing/>
        <w:rPr>
          <w:rFonts w:eastAsia="Times New Roman"/>
          <w:szCs w:val="24"/>
        </w:rPr>
      </w:pPr>
      <w:r w:rsidRPr="00F242DD">
        <w:rPr>
          <w:rFonts w:eastAsia="Times New Roman"/>
          <w:szCs w:val="24"/>
        </w:rPr>
        <w:t>Лечение возобновляется на 29-й день.</w:t>
      </w:r>
      <w:r w:rsidR="004E2C44">
        <w:rPr>
          <w:rFonts w:eastAsia="Times New Roman"/>
          <w:szCs w:val="24"/>
        </w:rPr>
        <w:t xml:space="preserve"> </w:t>
      </w:r>
      <w:r w:rsidRPr="00F242DD">
        <w:rPr>
          <w:rFonts w:eastAsia="Times New Roman"/>
          <w:szCs w:val="24"/>
        </w:rPr>
        <w:t>Лечение продолжают до прогрессирования или развития неприемлемой токсичности.</w:t>
      </w:r>
    </w:p>
    <w:p w14:paraId="0DCBCD73" w14:textId="77777777" w:rsidR="00AF2D69" w:rsidRPr="005F2CC7" w:rsidRDefault="00AF2D69" w:rsidP="00AF2D69">
      <w:pPr>
        <w:spacing w:before="0" w:after="0"/>
        <w:contextualSpacing/>
        <w:jc w:val="left"/>
        <w:rPr>
          <w:rFonts w:eastAsia="Times New Roman"/>
          <w:b/>
          <w:szCs w:val="24"/>
          <w:lang w:eastAsia="ru-RU"/>
        </w:rPr>
      </w:pPr>
      <w:r w:rsidRPr="00F242DD">
        <w:rPr>
          <w:rFonts w:eastAsia="Times New Roman"/>
          <w:b/>
          <w:szCs w:val="24"/>
          <w:lang w:val="en-US" w:eastAsia="ru-RU"/>
        </w:rPr>
        <w:lastRenderedPageBreak/>
        <w:t>Dara</w:t>
      </w:r>
      <w:r w:rsidRPr="005F2CC7">
        <w:rPr>
          <w:rFonts w:eastAsia="Times New Roman"/>
          <w:b/>
          <w:szCs w:val="24"/>
          <w:lang w:eastAsia="ru-RU"/>
        </w:rPr>
        <w:t>-</w:t>
      </w:r>
      <w:r w:rsidRPr="00F242DD">
        <w:rPr>
          <w:rFonts w:eastAsia="Times New Roman"/>
          <w:b/>
          <w:szCs w:val="24"/>
          <w:lang w:val="en-US" w:eastAsia="ru-RU"/>
        </w:rPr>
        <w:t>Rd</w:t>
      </w:r>
    </w:p>
    <w:p w14:paraId="5E9578A9" w14:textId="13D2122C" w:rsidR="00AF2D69" w:rsidRPr="00F242DD" w:rsidRDefault="00AF2D69" w:rsidP="00893452">
      <w:pPr>
        <w:numPr>
          <w:ilvl w:val="0"/>
          <w:numId w:val="44"/>
        </w:numPr>
        <w:autoSpaceDE w:val="0"/>
        <w:autoSpaceDN w:val="0"/>
        <w:adjustRightInd w:val="0"/>
        <w:spacing w:before="0" w:after="0"/>
        <w:ind w:left="284" w:firstLine="0"/>
        <w:contextualSpacing/>
        <w:jc w:val="left"/>
        <w:rPr>
          <w:szCs w:val="24"/>
          <w:lang w:eastAsia="ru-RU"/>
        </w:rPr>
      </w:pPr>
      <w:r w:rsidRPr="00F242DD">
        <w:rPr>
          <w:szCs w:val="24"/>
          <w:lang w:eastAsia="ru-RU"/>
        </w:rPr>
        <w:t>Даратумумаб</w:t>
      </w:r>
      <w:r w:rsidRPr="00F242DD">
        <w:rPr>
          <w:rFonts w:eastAsia="Times New Roman"/>
          <w:szCs w:val="24"/>
          <w:lang w:eastAsia="ru-RU"/>
        </w:rPr>
        <w:t>**</w:t>
      </w:r>
      <w:r>
        <w:rPr>
          <w:szCs w:val="24"/>
          <w:lang w:eastAsia="ru-RU"/>
        </w:rPr>
        <w:t xml:space="preserve"> 16 мг/кг в/в</w:t>
      </w:r>
    </w:p>
    <w:p w14:paraId="2742DAF7" w14:textId="77777777" w:rsidR="00AF2D69" w:rsidRPr="00F242DD" w:rsidRDefault="00AF2D69" w:rsidP="00AF2D69">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1 раз в неделю в 1‒8</w:t>
      </w:r>
      <w:r w:rsidRPr="00F242DD">
        <w:rPr>
          <w:rFonts w:eastAsia="Times New Roman"/>
          <w:szCs w:val="24"/>
          <w:lang w:eastAsia="ru-RU"/>
        </w:rPr>
        <w:t>-ю</w:t>
      </w:r>
      <w:r w:rsidRPr="00F242DD">
        <w:rPr>
          <w:szCs w:val="24"/>
          <w:lang w:eastAsia="ru-RU"/>
        </w:rPr>
        <w:t xml:space="preserve"> недели (всего 8 доз) </w:t>
      </w:r>
    </w:p>
    <w:p w14:paraId="4AD6FAF7" w14:textId="77777777" w:rsidR="00AF2D69" w:rsidRPr="00F242DD" w:rsidRDefault="00AF2D69" w:rsidP="00AF2D69">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1 раз в 2 недели в 9‒24-ю недели (всего 8 доз)</w:t>
      </w:r>
    </w:p>
    <w:p w14:paraId="3466A947" w14:textId="77777777" w:rsidR="00AF2D69" w:rsidRPr="00F242DD" w:rsidRDefault="00AF2D69" w:rsidP="00AF2D69">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1 раз в 4 недели с 25</w:t>
      </w:r>
      <w:r w:rsidRPr="00F242DD">
        <w:rPr>
          <w:rFonts w:eastAsia="Times New Roman"/>
          <w:szCs w:val="24"/>
          <w:lang w:eastAsia="ru-RU"/>
        </w:rPr>
        <w:t>-й</w:t>
      </w:r>
      <w:r w:rsidRPr="00F242DD">
        <w:rPr>
          <w:szCs w:val="24"/>
          <w:lang w:eastAsia="ru-RU"/>
        </w:rPr>
        <w:t xml:space="preserve"> недели до прогрессирования</w:t>
      </w:r>
    </w:p>
    <w:p w14:paraId="6178D093" w14:textId="1338DBA4" w:rsidR="00AF2D69" w:rsidRPr="00F242DD" w:rsidRDefault="00AF2D69" w:rsidP="00893452">
      <w:pPr>
        <w:pStyle w:val="a6"/>
        <w:numPr>
          <w:ilvl w:val="0"/>
          <w:numId w:val="44"/>
        </w:numPr>
        <w:autoSpaceDE w:val="0"/>
        <w:autoSpaceDN w:val="0"/>
        <w:adjustRightInd w:val="0"/>
        <w:spacing w:before="0" w:after="0"/>
        <w:ind w:left="284" w:firstLine="0"/>
        <w:rPr>
          <w:szCs w:val="24"/>
          <w:lang w:eastAsia="ru-RU"/>
        </w:rPr>
      </w:pPr>
      <w:r w:rsidRPr="00F242DD">
        <w:rPr>
          <w:szCs w:val="24"/>
          <w:lang w:eastAsia="ru-RU"/>
        </w:rPr>
        <w:t>Леналидомид</w:t>
      </w:r>
      <w:r w:rsidRPr="00F242DD">
        <w:rPr>
          <w:rFonts w:eastAsia="Times New Roman"/>
          <w:szCs w:val="24"/>
          <w:lang w:eastAsia="ru-RU"/>
        </w:rPr>
        <w:t>**</w:t>
      </w:r>
      <w:r w:rsidRPr="00F242DD">
        <w:rPr>
          <w:szCs w:val="24"/>
          <w:lang w:eastAsia="ru-RU"/>
        </w:rPr>
        <w:t xml:space="preserve"> по 25 мг </w:t>
      </w:r>
      <w:r w:rsidR="00D16550">
        <w:rPr>
          <w:szCs w:val="24"/>
          <w:lang w:eastAsia="ru-RU"/>
        </w:rPr>
        <w:t>внутрь</w:t>
      </w:r>
      <w:r w:rsidRPr="00F242DD">
        <w:rPr>
          <w:szCs w:val="24"/>
          <w:lang w:eastAsia="ru-RU"/>
        </w:rPr>
        <w:t xml:space="preserve"> в дни 1‒21</w:t>
      </w:r>
      <w:r w:rsidRPr="00F242DD">
        <w:rPr>
          <w:rFonts w:eastAsia="Times New Roman"/>
          <w:szCs w:val="24"/>
          <w:lang w:eastAsia="ru-RU"/>
        </w:rPr>
        <w:t>-й</w:t>
      </w:r>
      <w:r w:rsidRPr="00F242DD">
        <w:rPr>
          <w:szCs w:val="24"/>
          <w:lang w:eastAsia="ru-RU"/>
        </w:rPr>
        <w:t xml:space="preserve"> повторяющихся 4-недельных циклов</w:t>
      </w:r>
    </w:p>
    <w:p w14:paraId="72E671B0" w14:textId="77777777" w:rsidR="00AF2D69" w:rsidRPr="00F242DD" w:rsidRDefault="00AF2D69" w:rsidP="00893452">
      <w:pPr>
        <w:pStyle w:val="a6"/>
        <w:numPr>
          <w:ilvl w:val="0"/>
          <w:numId w:val="44"/>
        </w:numPr>
        <w:spacing w:before="0" w:after="0"/>
        <w:ind w:left="284" w:firstLine="0"/>
        <w:jc w:val="left"/>
        <w:rPr>
          <w:rFonts w:eastAsia="Times New Roman"/>
          <w:szCs w:val="24"/>
          <w:lang w:eastAsia="ru-RU"/>
        </w:rPr>
      </w:pPr>
      <w:r w:rsidRPr="00F242DD">
        <w:rPr>
          <w:rFonts w:eastAsia="Times New Roman"/>
          <w:szCs w:val="24"/>
          <w:lang w:eastAsia="ru-RU"/>
        </w:rPr>
        <w:t xml:space="preserve">Дексаметазон** по 40 мг 1 раз в неделю </w:t>
      </w:r>
    </w:p>
    <w:p w14:paraId="7DF34E2D" w14:textId="77777777" w:rsidR="00616CC3" w:rsidRDefault="00616CC3" w:rsidP="002431B5">
      <w:pPr>
        <w:spacing w:before="0" w:after="0"/>
        <w:contextualSpacing/>
        <w:rPr>
          <w:rFonts w:eastAsia="Times New Roman"/>
          <w:b/>
          <w:szCs w:val="24"/>
          <w:lang w:eastAsia="ru-RU"/>
        </w:rPr>
      </w:pPr>
    </w:p>
    <w:p w14:paraId="0FF5573F" w14:textId="77777777" w:rsidR="00BF55DF" w:rsidRPr="00F242DD" w:rsidRDefault="00BF55DF" w:rsidP="002431B5">
      <w:pPr>
        <w:spacing w:before="0" w:after="0"/>
        <w:contextualSpacing/>
        <w:rPr>
          <w:rFonts w:eastAsia="Times New Roman"/>
          <w:b/>
          <w:szCs w:val="24"/>
          <w:lang w:eastAsia="ru-RU"/>
        </w:rPr>
      </w:pPr>
      <w:r w:rsidRPr="00F242DD">
        <w:rPr>
          <w:rFonts w:eastAsia="Times New Roman"/>
          <w:b/>
          <w:szCs w:val="24"/>
          <w:lang w:eastAsia="ru-RU"/>
        </w:rPr>
        <w:t>MP</w:t>
      </w:r>
      <w:r w:rsidRPr="00F242DD">
        <w:rPr>
          <w:rFonts w:eastAsia="Times New Roman"/>
          <w:b/>
          <w:szCs w:val="24"/>
          <w:lang w:val="en-US" w:eastAsia="ru-RU"/>
        </w:rPr>
        <w:t>R</w:t>
      </w:r>
    </w:p>
    <w:p w14:paraId="5220CEA6" w14:textId="77777777" w:rsidR="00BF55DF" w:rsidRPr="00F242DD" w:rsidRDefault="00BF55DF" w:rsidP="00616CC3">
      <w:pPr>
        <w:pStyle w:val="a6"/>
        <w:numPr>
          <w:ilvl w:val="0"/>
          <w:numId w:val="19"/>
        </w:numPr>
        <w:spacing w:before="0" w:after="0"/>
        <w:ind w:left="284" w:firstLine="0"/>
        <w:jc w:val="left"/>
        <w:rPr>
          <w:rFonts w:eastAsia="Times New Roman"/>
          <w:szCs w:val="24"/>
          <w:lang w:eastAsia="ru-RU"/>
        </w:rPr>
      </w:pPr>
      <w:r w:rsidRPr="00F242DD">
        <w:rPr>
          <w:rFonts w:eastAsia="Times New Roman"/>
          <w:szCs w:val="24"/>
          <w:lang w:eastAsia="ru-RU"/>
        </w:rPr>
        <w:t>Мелфалан** 0,18 мг/кг внутрь, дни 1‒4-й</w:t>
      </w:r>
    </w:p>
    <w:p w14:paraId="4FA48A13" w14:textId="77777777" w:rsidR="00BF55DF" w:rsidRPr="00F242DD" w:rsidRDefault="00BF55DF" w:rsidP="00616CC3">
      <w:pPr>
        <w:pStyle w:val="a6"/>
        <w:numPr>
          <w:ilvl w:val="0"/>
          <w:numId w:val="19"/>
        </w:numPr>
        <w:spacing w:before="0" w:after="0"/>
        <w:ind w:left="284" w:firstLine="0"/>
        <w:jc w:val="left"/>
        <w:rPr>
          <w:rFonts w:eastAsia="Times New Roman"/>
          <w:szCs w:val="24"/>
          <w:lang w:eastAsia="ru-RU"/>
        </w:rPr>
      </w:pPr>
      <w:r w:rsidRPr="00F242DD">
        <w:rPr>
          <w:rFonts w:eastAsia="Times New Roman"/>
          <w:szCs w:val="24"/>
          <w:lang w:eastAsia="ru-RU"/>
        </w:rPr>
        <w:t>Преднизолон** 2 мг/кг внутрь, дни 1‒4-й</w:t>
      </w:r>
    </w:p>
    <w:p w14:paraId="7651D796" w14:textId="77777777" w:rsidR="00BF55DF" w:rsidRPr="00F242DD" w:rsidRDefault="00BF55DF" w:rsidP="00616CC3">
      <w:pPr>
        <w:pStyle w:val="a6"/>
        <w:numPr>
          <w:ilvl w:val="0"/>
          <w:numId w:val="19"/>
        </w:numPr>
        <w:spacing w:before="0" w:after="0"/>
        <w:ind w:left="284" w:firstLine="0"/>
        <w:jc w:val="left"/>
        <w:rPr>
          <w:rFonts w:eastAsia="Times New Roman"/>
          <w:szCs w:val="24"/>
          <w:lang w:eastAsia="ru-RU"/>
        </w:rPr>
      </w:pPr>
      <w:r w:rsidRPr="00F242DD">
        <w:rPr>
          <w:rFonts w:eastAsia="Times New Roman"/>
          <w:szCs w:val="24"/>
          <w:lang w:eastAsia="ru-RU"/>
        </w:rPr>
        <w:t>Леналидомид** 10 мг внутрь, дни 1‒21-й</w:t>
      </w:r>
    </w:p>
    <w:p w14:paraId="3CC889C8" w14:textId="77777777" w:rsidR="00BF55DF" w:rsidRPr="00F242DD" w:rsidRDefault="00BF55DF" w:rsidP="00616CC3">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29-й день.</w:t>
      </w:r>
    </w:p>
    <w:p w14:paraId="745A93E5" w14:textId="3744FCF0" w:rsidR="00BF55DF" w:rsidRPr="00F242DD" w:rsidRDefault="00BF55DF" w:rsidP="00616CC3">
      <w:pPr>
        <w:spacing w:before="0" w:after="0"/>
        <w:ind w:left="709"/>
        <w:contextualSpacing/>
        <w:rPr>
          <w:rFonts w:eastAsia="Times New Roman"/>
          <w:szCs w:val="24"/>
          <w:lang w:eastAsia="ru-RU"/>
        </w:rPr>
      </w:pPr>
      <w:r w:rsidRPr="00F242DD">
        <w:rPr>
          <w:rFonts w:eastAsia="Times New Roman"/>
          <w:szCs w:val="24"/>
          <w:lang w:eastAsia="ru-RU"/>
        </w:rPr>
        <w:t>После 9 курсов продолжается терапия леналидомидом</w:t>
      </w:r>
      <w:r w:rsidR="003F4253">
        <w:rPr>
          <w:rFonts w:eastAsia="Times New Roman"/>
          <w:szCs w:val="24"/>
          <w:lang w:eastAsia="ru-RU"/>
        </w:rPr>
        <w:t>**</w:t>
      </w:r>
      <w:r w:rsidRPr="00F242DD">
        <w:rPr>
          <w:rFonts w:eastAsia="Times New Roman"/>
          <w:szCs w:val="24"/>
          <w:lang w:eastAsia="ru-RU"/>
        </w:rPr>
        <w:t xml:space="preserve"> в монорежиме в дозе 10 мг/сут с 1-го по 21-й дни 28-дневного цикла.</w:t>
      </w:r>
    </w:p>
    <w:p w14:paraId="7DDD493C" w14:textId="77777777" w:rsidR="0041774E" w:rsidRDefault="0041774E" w:rsidP="0041774E">
      <w:pPr>
        <w:spacing w:before="0" w:after="0"/>
        <w:contextualSpacing/>
        <w:rPr>
          <w:rFonts w:eastAsia="Times New Roman"/>
          <w:b/>
          <w:szCs w:val="24"/>
          <w:lang w:eastAsia="ru-RU"/>
        </w:rPr>
      </w:pPr>
    </w:p>
    <w:p w14:paraId="3C0C3035" w14:textId="4A1DAA9F" w:rsidR="0041774E" w:rsidRPr="00AB1657" w:rsidRDefault="0041774E" w:rsidP="0041774E">
      <w:pPr>
        <w:spacing w:before="0" w:after="0"/>
        <w:contextualSpacing/>
        <w:rPr>
          <w:rFonts w:eastAsia="Times New Roman"/>
          <w:b/>
          <w:szCs w:val="24"/>
          <w:lang w:eastAsia="ru-RU"/>
        </w:rPr>
      </w:pPr>
      <w:r w:rsidRPr="00F242DD">
        <w:rPr>
          <w:rFonts w:eastAsia="Times New Roman"/>
          <w:b/>
          <w:szCs w:val="24"/>
          <w:lang w:eastAsia="ru-RU"/>
        </w:rPr>
        <w:t>VR</w:t>
      </w:r>
      <w:r w:rsidR="00801A08">
        <w:rPr>
          <w:rFonts w:eastAsia="Times New Roman"/>
          <w:b/>
          <w:szCs w:val="24"/>
          <w:lang w:val="en-US" w:eastAsia="ru-RU"/>
        </w:rPr>
        <w:t>D</w:t>
      </w:r>
      <w:r w:rsidR="00801A08" w:rsidRPr="00C9448D">
        <w:rPr>
          <w:rFonts w:eastAsia="Times New Roman"/>
          <w:b/>
          <w:szCs w:val="24"/>
          <w:lang w:eastAsia="ru-RU"/>
        </w:rPr>
        <w:t xml:space="preserve"> </w:t>
      </w:r>
      <w:r w:rsidR="00836298" w:rsidRPr="00836298">
        <w:rPr>
          <w:rFonts w:eastAsia="Times New Roman"/>
          <w:b/>
          <w:szCs w:val="24"/>
          <w:lang w:eastAsia="ru-RU"/>
        </w:rPr>
        <w:fldChar w:fldCharType="begin" w:fldLock="1"/>
      </w:r>
      <w:r w:rsidR="00A14090">
        <w:rPr>
          <w:rFonts w:eastAsia="Times New Roman"/>
          <w:b/>
          <w:szCs w:val="24"/>
          <w:lang w:eastAsia="ru-RU"/>
        </w:rPr>
        <w:instrText>ADDIN CSL_CITATION {"citationItems":[{"id":"ITEM-1","itemData":{"DOI":"10.1016/S0140-6736(16)31594-X","ISSN":"1474547X","PMID":"28017406","abstract":"Background Lenalidomide plus dexamethasone is a reference treatment for patients with newly diagnosed myeloma. The combination of the proteasome inhibitor bortezomib with lenalidomide and dexamethasone has shown significant efficacy in the setting of newly diagnosed myeloma. We aimed to study whether the addition of bortezomib to lenalidomide and dexamethasone would improve progression-free survival and provide better response rates in patients with previously untreated multiple myeloma who were not planned for immediate autologous stem-cell transplant. Methods In this randomised, open-label, phase 3 trial, we recruited patients with newly diagnosed multiple myeloma aged 18 years and older from participating Southwest Oncology Group (SWOG) and National Clinical Trial Network (NCTN) institutions (both inpatient and outpatient settings). Key inclusion criteria were presence of CRAB (C=calcium elevation; R=renal impairment; A=anaemia; B=bone involvement) criteria with measurable disease (measured by assessment of free light chains), Eastern Cooperative Oncology Group (ECOG) performance status of 0–3, haemoglobin concentration 9 g/dL or higher, absolute neutrophil count 1 × 103 cells per mm3 or higher, and a platelet count of 80 000/mm3 or higher. We randomly assigned (1:1) patients to receive either an initial treatment of bortezomib with lenalidomide and dexamethasone (VRd group) or lenalidomide and dexamethasone alone (Rd group). Randomisation was stratified based on International Staging System stage (I, II, or III) and intent to transplant (yes vs no). The VRd regimen was given as eight 21-day cycles. Bortezomib was given at 1·3 mg/m2 intravenously on days 1, 4, 8, and 11, combined with oral lenalidomide 25 mg daily on days 1–14 plus oral dexamethasone 20 mg daily on days 1, 2, 4, 5, 8, 9, 11, and 12. The Rd regimen was given as six 28-day cycles. The standard Rd regimen consisted of 25 mg oral lenalidomide once a day for days 1–21 plus 40 mg oral dexamethasone once a day on days 1, 8, 15, and 22. The primary endpoint was progression-free survival using a prespecified one-sided stratified log rank test at a significance level of 0·02. Analyses were intention to treat. This trial is registered with ClinicalTrials.gov, number NCT00644228. Findings Between April, 2008, and February, 2012, we randomly assigned 525 patients at 139 participating institutions (264 to VRd and 261 to Rd). In the randomly assigned patients, 21 patients in the VRd group and 31 in…","author":[{"dropping-particle":"","family":"Durie","given":"Brian G.M.","non-dropping-particle":"","parse-names":false,"suffix":""},{"dropping-particle":"","family":"Hoering","given":"Antje","non-dropping-particle":"","parse-names":false,"suffix":""},{"dropping-particle":"","family":"Abidi","given":"Muneer H.","non-dropping-particle":"","parse-names":false,"suffix":""},{"dropping-particle":"","family":"Rajkumar","given":"S. Vincent","non-dropping-particle":"","parse-names":false,"suffix":""},{"dropping-particle":"","family":"Epstein","given":"Joshua","non-dropping-particle":"","parse-names":false,"suffix":""},{"dropping-particle":"","family":"Kahanic","given":"Stephen P.","non-dropping-particle":"","parse-names":false,"suffix":""},{"dropping-particle":"","family":"Thakuri","given":"Mohan","non-dropping-particle":"","parse-names":false,"suffix":""},{"dropping-particle":"","family":"Reu","given":"Frederic","non-dropping-particle":"","parse-names":false,"suffix":""},{"dropping-particle":"","family":"Reynolds","given":"Christopher M.","non-dropping-particle":"","parse-names":false,"suffix":""},{"dropping-particle":"","family":"Sexton","given":"Rachael","non-dropping-particle":"","parse-names":false,"suffix":""},{"dropping-particle":"","family":"Orlowski","given":"Robert Z.","non-dropping-particle":"","parse-names":false,"suffix":""},{"dropping-particle":"","family":"Barlogie","given":"Bart","non-dropping-particle":"","parse-names":false,"suffix":""},{"dropping-particle":"","family":"Dispenzieri","given":"Angela","non-dropping-particle":"","parse-names":false,"suffix":""}],"container-title":"The Lancet","id":"ITEM-1","issue":"10068","issued":{"date-parts":[["2017","2"]]},"page":"519-527","publisher":"Lancet Publishing Group","title":"Bortezomib with lenalidomide and dexamethasone versus lenalidomide and dexamethasone alone in patients with newly diagnosed myeloma without intent for immediate autologous stem-cell transplant (SWOG S0777): a randomised, open-label, phase 3 trial","type":"article-journal","volume":"389"},"uris":["http://www.mendeley.com/documents/?uuid=532bfcb5-48d4-423d-acb7-9baa12174b46"]},{"id":"ITEM-2","itemData":{"DOI":"10.1038/s41408-020-0311-8","ISSN":"20445385","PMID":"32393732","abstract":"SWOG S0777, a randomized phase III trial, compared bortezomib, lenalidomide and dexamethasone (VRd) with lenalidomide and dexamethasone (Rd). This updated analysis includes 460 patients evaluable for survival endpoints: 225 eligible and analyzable patients were randomized to Rd and 235 to VRd. The 6-month induction was six 28-day cycles of Rd and eight 21-day cycles of VRd followed by Rd maintenance for all patients. Median follow up is 84 months. Median PFS is 41 months for VRd and 29 months for Rd: stratified hazard ratio (96% Wald Confidence Interval) was 0.742 (0.594, 0.928) and one-sided stratified log-rank P-value 0.003. Median OS for VRd is still not reached with median OS for Rd being 69 months: stratified hazard ratio (96% Wald Confidence Interval) was 0.709 (0.543, 0.926) and stratified two-sided P-value was 0.0114. Both PFS and OS were improved with VRd versus Rd adjusting for age (P-values: 0.013 [PFS]; 0.033 [OS])). Median duration of Rd maintenance was 17.1 months. The addition of bortezomib to lenalidomide dexamethasone for induction therapy results in a statistically significant and clinically meaningful improvement in PFS as well as better OS. VRd continues to represent an appropriate standard of care irrespective of age.","author":[{"dropping-particle":"","family":"Durie","given":"Brian G.M.","non-dropping-particle":"","parse-names":false,"suffix":""},{"dropping-particle":"","family":"Hoering","given":"Antje","non-dropping-particle":"","parse-names":false,"suffix":""},{"dropping-particle":"","family":"Sexton","given":"Rachael","non-dropping-particle":"","parse-names":false,"suffix":""},{"dropping-particle":"","family":"Abidi","given":"Muneer H.","non-dropping-particle":"","parse-names":false,"suffix":""},{"dropping-particle":"","family":"Epstein","given":"Joshua","non-dropping-particle":"","parse-names":false,"suffix":""},{"dropping-particle":"","family":"Rajkumar","given":"S. Vincent","non-dropping-particle":"","parse-names":false,"suffix":""},{"dropping-particle":"","family":"Dispenzieri","given":"Angela","non-dropping-particle":"","parse-names":false,"suffix":""},{"dropping-particle":"","family":"Kahanic","given":"Stephen P.","non-dropping-particle":"","parse-names":false,"suffix":""},{"dropping-particle":"","family":"Thakuri","given":"Mohan C.","non-dropping-particle":"","parse-names":false,"suffix":""},{"dropping-particle":"","family":"Reu","given":"Frederic J.","non-dropping-particle":"","parse-names":false,"suffix":""},{"dropping-particle":"","family":"Reynolds","given":"Christopher M.","non-dropping-particle":"","parse-names":false,"suffix":""},{"dropping-particle":"","family":"Orlowski","given":"Robert Z.","non-dropping-particle":"","parse-names":false,"suffix":""},{"dropping-particle":"","family":"Barlogie","given":"Bart","non-dropping-particle":"","parse-names":false,"suffix":""}],"container-title":"Blood Cancer Journal","id":"ITEM-2","issue":"5","issued":{"date-parts":[["2020","5"]]},"publisher":"Springer Nature","title":"Longer term follow-up of the randomized phase III trial SWOG S0777: bortezomib, lenalidomide and dexamethasone vs. lenalidomide and dexamethasone in patients (Pts) with previously untreated multiple myeloma without an intent for immediate autologous stem ","type":"article-journal","volume":"10"},"uris":["http://www.mendeley.com/documents/?uuid=3c488069-7a6c-49e5-8175-c675b38a102a"]}],"mendeley":{"formattedCitation":"[36,37]","plainTextFormattedCitation":"[36,37]","previouslyFormattedCitation":"[36,37]"},"properties":{"noteIndex":0},"schema":"https://github.com/citation-style-language/schema/raw/master/csl-citation.json"}</w:instrText>
      </w:r>
      <w:r w:rsidR="00836298" w:rsidRPr="00836298">
        <w:rPr>
          <w:rFonts w:eastAsia="Times New Roman"/>
          <w:b/>
          <w:szCs w:val="24"/>
          <w:lang w:eastAsia="ru-RU"/>
        </w:rPr>
        <w:fldChar w:fldCharType="separate"/>
      </w:r>
      <w:r w:rsidR="00500F37" w:rsidRPr="00500F37">
        <w:rPr>
          <w:rFonts w:eastAsia="Times New Roman"/>
          <w:noProof/>
          <w:szCs w:val="24"/>
          <w:lang w:eastAsia="ru-RU"/>
        </w:rPr>
        <w:t>[36,37]</w:t>
      </w:r>
      <w:r w:rsidR="00836298" w:rsidRPr="00836298">
        <w:rPr>
          <w:rFonts w:eastAsia="Times New Roman"/>
          <w:b/>
          <w:szCs w:val="24"/>
          <w:lang w:eastAsia="ru-RU"/>
        </w:rPr>
        <w:fldChar w:fldCharType="end"/>
      </w:r>
    </w:p>
    <w:p w14:paraId="3292BA49" w14:textId="21E97039" w:rsidR="00AB1657" w:rsidRPr="00AB1657" w:rsidRDefault="00AB1657" w:rsidP="00AB1657">
      <w:pPr>
        <w:pStyle w:val="a6"/>
        <w:numPr>
          <w:ilvl w:val="0"/>
          <w:numId w:val="19"/>
        </w:numPr>
        <w:spacing w:before="0" w:after="0"/>
        <w:ind w:left="709" w:hanging="425"/>
        <w:jc w:val="left"/>
        <w:rPr>
          <w:rFonts w:eastAsia="Times New Roman"/>
          <w:szCs w:val="24"/>
          <w:lang w:eastAsia="ru-RU"/>
        </w:rPr>
      </w:pPr>
      <w:r w:rsidRPr="00AB1657">
        <w:rPr>
          <w:rFonts w:eastAsia="Times New Roman"/>
          <w:szCs w:val="24"/>
          <w:lang w:eastAsia="ru-RU"/>
        </w:rPr>
        <w:t>Бортезомиб** 1,3 мг/м</w:t>
      </w:r>
      <w:r w:rsidRPr="00AB1657">
        <w:rPr>
          <w:rFonts w:eastAsia="Times New Roman"/>
          <w:szCs w:val="24"/>
          <w:vertAlign w:val="superscript"/>
          <w:lang w:eastAsia="ru-RU"/>
        </w:rPr>
        <w:t xml:space="preserve">2 </w:t>
      </w:r>
      <w:r w:rsidRPr="00AB1657">
        <w:rPr>
          <w:rFonts w:eastAsia="Times New Roman"/>
          <w:szCs w:val="24"/>
          <w:lang w:eastAsia="ru-RU"/>
        </w:rPr>
        <w:t>п/к</w:t>
      </w:r>
      <w:r>
        <w:rPr>
          <w:rFonts w:eastAsia="Times New Roman"/>
          <w:szCs w:val="24"/>
          <w:lang w:eastAsia="ru-RU"/>
        </w:rPr>
        <w:t xml:space="preserve"> </w:t>
      </w:r>
      <w:r w:rsidRPr="00AB1657">
        <w:rPr>
          <w:rFonts w:eastAsia="Times New Roman"/>
          <w:szCs w:val="24"/>
          <w:lang w:eastAsia="ru-RU"/>
        </w:rPr>
        <w:t>в 1, 4, 8 и 11 дни каждого 21-</w:t>
      </w:r>
      <w:r w:rsidR="00D16550" w:rsidRPr="00D16550">
        <w:rPr>
          <w:rFonts w:eastAsia="Times New Roman"/>
          <w:szCs w:val="24"/>
          <w:lang w:eastAsia="ru-RU"/>
        </w:rPr>
        <w:t xml:space="preserve"> </w:t>
      </w:r>
      <w:r w:rsidR="00D16550" w:rsidRPr="00AB1657">
        <w:rPr>
          <w:rFonts w:eastAsia="Times New Roman"/>
          <w:szCs w:val="24"/>
          <w:lang w:eastAsia="ru-RU"/>
        </w:rPr>
        <w:t>дневного</w:t>
      </w:r>
      <w:r w:rsidRPr="00AB1657">
        <w:rPr>
          <w:rFonts w:eastAsia="Times New Roman"/>
          <w:szCs w:val="24"/>
          <w:lang w:eastAsia="ru-RU"/>
        </w:rPr>
        <w:t xml:space="preserve"> или 28-дневного цикла.</w:t>
      </w:r>
    </w:p>
    <w:p w14:paraId="7BB0C5AC" w14:textId="0E62F8F5" w:rsidR="0041774E" w:rsidRPr="00AB1657" w:rsidRDefault="0041774E" w:rsidP="00AB1657">
      <w:pPr>
        <w:pStyle w:val="a6"/>
        <w:numPr>
          <w:ilvl w:val="0"/>
          <w:numId w:val="19"/>
        </w:numPr>
        <w:spacing w:before="0" w:after="0"/>
        <w:ind w:left="709" w:hanging="425"/>
        <w:jc w:val="left"/>
        <w:rPr>
          <w:rFonts w:eastAsia="Times New Roman"/>
          <w:szCs w:val="24"/>
          <w:lang w:eastAsia="ru-RU"/>
        </w:rPr>
      </w:pPr>
      <w:r w:rsidRPr="00F242DD">
        <w:rPr>
          <w:rFonts w:eastAsia="Times New Roman"/>
          <w:szCs w:val="24"/>
          <w:lang w:eastAsia="ru-RU"/>
        </w:rPr>
        <w:t xml:space="preserve">Леналидомид** 25 мг внутрь, </w:t>
      </w:r>
      <w:r w:rsidR="00AB1657" w:rsidRPr="00AB1657">
        <w:rPr>
          <w:rFonts w:eastAsia="Times New Roman"/>
          <w:szCs w:val="24"/>
          <w:lang w:eastAsia="ru-RU"/>
        </w:rPr>
        <w:t>с 1 по 14 день каждого 21-дневного цикла, или</w:t>
      </w:r>
      <w:r w:rsidR="00AB1657">
        <w:rPr>
          <w:rFonts w:eastAsia="Times New Roman"/>
          <w:szCs w:val="24"/>
          <w:lang w:eastAsia="ru-RU"/>
        </w:rPr>
        <w:t xml:space="preserve"> </w:t>
      </w:r>
      <w:r w:rsidR="00AB1657" w:rsidRPr="00AB1657">
        <w:rPr>
          <w:rFonts w:eastAsia="Times New Roman"/>
          <w:szCs w:val="24"/>
          <w:lang w:eastAsia="ru-RU"/>
        </w:rPr>
        <w:t>с 1 по 21 день каждого 28-дневного цикла лечения.</w:t>
      </w:r>
    </w:p>
    <w:p w14:paraId="07DCA444" w14:textId="797AEF17" w:rsidR="00AB1657" w:rsidRPr="00AB1657" w:rsidRDefault="0041774E" w:rsidP="00AB1657">
      <w:pPr>
        <w:pStyle w:val="a6"/>
        <w:numPr>
          <w:ilvl w:val="0"/>
          <w:numId w:val="19"/>
        </w:numPr>
        <w:spacing w:before="0" w:after="0"/>
        <w:ind w:left="284" w:firstLine="0"/>
        <w:jc w:val="left"/>
        <w:rPr>
          <w:rFonts w:eastAsia="Times New Roman"/>
          <w:szCs w:val="24"/>
          <w:lang w:eastAsia="ru-RU"/>
        </w:rPr>
      </w:pPr>
      <w:r w:rsidRPr="00AB1657">
        <w:rPr>
          <w:rFonts w:eastAsia="Times New Roman"/>
          <w:szCs w:val="24"/>
          <w:lang w:eastAsia="ru-RU"/>
        </w:rPr>
        <w:t xml:space="preserve">Дексаметазон** </w:t>
      </w:r>
      <w:r w:rsidR="00AB1657" w:rsidRPr="00AB1657">
        <w:rPr>
          <w:rFonts w:eastAsia="Times New Roman"/>
          <w:szCs w:val="24"/>
          <w:lang w:eastAsia="ru-RU"/>
        </w:rPr>
        <w:t xml:space="preserve">20 мг в дни 1, 2, 4, 5, 8, </w:t>
      </w:r>
      <w:r w:rsidR="0082557F">
        <w:rPr>
          <w:rFonts w:eastAsia="Times New Roman"/>
          <w:szCs w:val="24"/>
          <w:lang w:eastAsia="ru-RU"/>
        </w:rPr>
        <w:t xml:space="preserve">9, 11 и 12 </w:t>
      </w:r>
      <w:r w:rsidR="00AB1657" w:rsidRPr="00AB1657">
        <w:rPr>
          <w:rFonts w:eastAsia="Times New Roman"/>
          <w:szCs w:val="24"/>
          <w:lang w:eastAsia="ru-RU"/>
        </w:rPr>
        <w:t>д</w:t>
      </w:r>
      <w:r w:rsidR="0082557F">
        <w:rPr>
          <w:rFonts w:eastAsia="Times New Roman"/>
          <w:szCs w:val="24"/>
          <w:lang w:eastAsia="ru-RU"/>
        </w:rPr>
        <w:t xml:space="preserve">ни </w:t>
      </w:r>
      <w:r w:rsidR="00AB1657" w:rsidRPr="00AB1657">
        <w:rPr>
          <w:rFonts w:eastAsia="Times New Roman"/>
          <w:szCs w:val="24"/>
          <w:lang w:eastAsia="ru-RU"/>
        </w:rPr>
        <w:t>каждого цикла.</w:t>
      </w:r>
    </w:p>
    <w:p w14:paraId="251FE2E6" w14:textId="77777777" w:rsidR="00D16550" w:rsidRDefault="00D16550" w:rsidP="00AB1657">
      <w:pPr>
        <w:pStyle w:val="a6"/>
        <w:spacing w:before="0" w:after="0"/>
        <w:ind w:left="709"/>
        <w:jc w:val="left"/>
        <w:rPr>
          <w:rFonts w:eastAsia="Times New Roman"/>
          <w:szCs w:val="24"/>
          <w:lang w:eastAsia="ru-RU"/>
        </w:rPr>
      </w:pPr>
      <w:r w:rsidRPr="00AB1657">
        <w:rPr>
          <w:rFonts w:eastAsia="Times New Roman"/>
          <w:szCs w:val="24"/>
          <w:lang w:eastAsia="ru-RU"/>
        </w:rPr>
        <w:t xml:space="preserve">Лечение возобновляется на 22-й </w:t>
      </w:r>
      <w:r>
        <w:rPr>
          <w:rFonts w:eastAsia="Times New Roman"/>
          <w:szCs w:val="24"/>
          <w:lang w:eastAsia="ru-RU"/>
        </w:rPr>
        <w:t xml:space="preserve">или 29-й </w:t>
      </w:r>
      <w:r w:rsidRPr="00AB1657">
        <w:rPr>
          <w:rFonts w:eastAsia="Times New Roman"/>
          <w:szCs w:val="24"/>
          <w:lang w:eastAsia="ru-RU"/>
        </w:rPr>
        <w:t>день</w:t>
      </w:r>
      <w:r>
        <w:rPr>
          <w:rFonts w:eastAsia="Times New Roman"/>
          <w:szCs w:val="24"/>
          <w:lang w:eastAsia="ru-RU"/>
        </w:rPr>
        <w:t>, соответственно.</w:t>
      </w:r>
    </w:p>
    <w:p w14:paraId="54F95FCE" w14:textId="5AFA4A2E" w:rsidR="0041774E" w:rsidRPr="00AB1657" w:rsidRDefault="00AB1657" w:rsidP="00AB1657">
      <w:pPr>
        <w:pStyle w:val="a6"/>
        <w:spacing w:before="0" w:after="0"/>
        <w:ind w:left="709"/>
        <w:jc w:val="left"/>
        <w:rPr>
          <w:rFonts w:eastAsia="Times New Roman"/>
          <w:szCs w:val="24"/>
          <w:lang w:eastAsia="ru-RU"/>
        </w:rPr>
      </w:pPr>
      <w:r w:rsidRPr="00AB1657">
        <w:rPr>
          <w:rFonts w:eastAsia="Times New Roman"/>
          <w:szCs w:val="24"/>
          <w:lang w:eastAsia="ru-RU"/>
        </w:rPr>
        <w:t>Рекомендуется до 8</w:t>
      </w:r>
      <w:r w:rsidR="00D16550">
        <w:rPr>
          <w:rFonts w:eastAsia="Times New Roman"/>
          <w:szCs w:val="24"/>
          <w:lang w:eastAsia="ru-RU"/>
        </w:rPr>
        <w:t xml:space="preserve"> последовательных </w:t>
      </w:r>
      <w:r w:rsidRPr="00AB1657">
        <w:rPr>
          <w:rFonts w:eastAsia="Times New Roman"/>
          <w:szCs w:val="24"/>
          <w:lang w:eastAsia="ru-RU"/>
        </w:rPr>
        <w:t xml:space="preserve">21-дневных или 6 </w:t>
      </w:r>
      <w:r w:rsidR="00D16550">
        <w:rPr>
          <w:rFonts w:eastAsia="Times New Roman"/>
          <w:szCs w:val="24"/>
          <w:lang w:eastAsia="ru-RU"/>
        </w:rPr>
        <w:t xml:space="preserve">последовательных </w:t>
      </w:r>
      <w:r w:rsidRPr="00AB1657">
        <w:rPr>
          <w:rFonts w:eastAsia="Times New Roman"/>
          <w:szCs w:val="24"/>
          <w:lang w:eastAsia="ru-RU"/>
        </w:rPr>
        <w:t>28-дневных циклов</w:t>
      </w:r>
      <w:r w:rsidR="009A5697">
        <w:rPr>
          <w:rFonts w:eastAsia="Times New Roman"/>
          <w:szCs w:val="24"/>
          <w:lang w:eastAsia="ru-RU"/>
        </w:rPr>
        <w:t xml:space="preserve">. </w:t>
      </w:r>
    </w:p>
    <w:p w14:paraId="765625CE" w14:textId="77777777" w:rsidR="00D16550" w:rsidRDefault="00D16550" w:rsidP="002431B5">
      <w:pPr>
        <w:spacing w:before="0" w:after="0"/>
        <w:contextualSpacing/>
        <w:rPr>
          <w:rFonts w:eastAsia="Times New Roman"/>
          <w:b/>
          <w:szCs w:val="24"/>
          <w:lang w:eastAsia="ru-RU"/>
        </w:rPr>
      </w:pPr>
    </w:p>
    <w:p w14:paraId="51E8BB04"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t>MP (7-дневная)</w:t>
      </w:r>
    </w:p>
    <w:p w14:paraId="685B67FC" w14:textId="77777777" w:rsidR="000546DA" w:rsidRPr="00F242DD" w:rsidRDefault="000546DA" w:rsidP="00616CC3">
      <w:pPr>
        <w:numPr>
          <w:ilvl w:val="0"/>
          <w:numId w:val="20"/>
        </w:numPr>
        <w:spacing w:before="0" w:after="0"/>
        <w:ind w:left="284" w:firstLine="0"/>
        <w:contextualSpacing/>
        <w:jc w:val="left"/>
        <w:rPr>
          <w:rFonts w:eastAsia="Times New Roman"/>
          <w:szCs w:val="24"/>
          <w:lang w:eastAsia="ru-RU"/>
        </w:rPr>
      </w:pPr>
      <w:r w:rsidRPr="00F242DD">
        <w:rPr>
          <w:rFonts w:eastAsia="Times New Roman"/>
          <w:szCs w:val="24"/>
          <w:lang w:eastAsia="ru-RU"/>
        </w:rPr>
        <w:t>Мелфалан** 8</w:t>
      </w:r>
      <w:r w:rsidR="006312BA" w:rsidRPr="00F242DD">
        <w:rPr>
          <w:rFonts w:eastAsia="Times New Roman"/>
          <w:szCs w:val="24"/>
          <w:lang w:eastAsia="ru-RU"/>
        </w:rPr>
        <w:t>‒</w:t>
      </w:r>
      <w:r w:rsidRPr="00F242DD">
        <w:rPr>
          <w:rFonts w:eastAsia="Times New Roman"/>
          <w:szCs w:val="24"/>
          <w:lang w:eastAsia="ru-RU"/>
        </w:rPr>
        <w:t>10 мг внутрь, дни 1</w:t>
      </w:r>
      <w:r w:rsidR="006312BA" w:rsidRPr="00F242DD">
        <w:rPr>
          <w:rFonts w:eastAsia="Times New Roman"/>
          <w:szCs w:val="24"/>
          <w:lang w:eastAsia="ru-RU"/>
        </w:rPr>
        <w:t>‒</w:t>
      </w:r>
      <w:r w:rsidRPr="00F242DD">
        <w:rPr>
          <w:rFonts w:eastAsia="Times New Roman"/>
          <w:szCs w:val="24"/>
          <w:lang w:eastAsia="ru-RU"/>
        </w:rPr>
        <w:t>7</w:t>
      </w:r>
      <w:r w:rsidR="006312BA" w:rsidRPr="00F242DD">
        <w:rPr>
          <w:rFonts w:eastAsia="Times New Roman"/>
          <w:szCs w:val="24"/>
          <w:lang w:eastAsia="ru-RU"/>
        </w:rPr>
        <w:t>-й</w:t>
      </w:r>
    </w:p>
    <w:p w14:paraId="15B11F18" w14:textId="77777777" w:rsidR="000546DA" w:rsidRPr="00F242DD" w:rsidRDefault="000546DA" w:rsidP="00616CC3">
      <w:pPr>
        <w:numPr>
          <w:ilvl w:val="0"/>
          <w:numId w:val="20"/>
        </w:numPr>
        <w:spacing w:before="0" w:after="0"/>
        <w:ind w:left="284" w:firstLine="0"/>
        <w:contextualSpacing/>
        <w:jc w:val="left"/>
        <w:rPr>
          <w:rFonts w:eastAsia="Times New Roman"/>
          <w:szCs w:val="24"/>
          <w:lang w:eastAsia="ru-RU"/>
        </w:rPr>
      </w:pPr>
      <w:r w:rsidRPr="00F242DD">
        <w:rPr>
          <w:rFonts w:eastAsia="Times New Roman"/>
          <w:szCs w:val="24"/>
          <w:lang w:eastAsia="ru-RU"/>
        </w:rPr>
        <w:t>Преднизолон** 60 мг внутрь, дни 1</w:t>
      </w:r>
      <w:r w:rsidR="006312BA" w:rsidRPr="00F242DD">
        <w:rPr>
          <w:rFonts w:eastAsia="Times New Roman"/>
          <w:szCs w:val="24"/>
          <w:lang w:eastAsia="ru-RU"/>
        </w:rPr>
        <w:t>‒</w:t>
      </w:r>
      <w:r w:rsidRPr="00F242DD">
        <w:rPr>
          <w:rFonts w:eastAsia="Times New Roman"/>
          <w:szCs w:val="24"/>
          <w:lang w:eastAsia="ru-RU"/>
        </w:rPr>
        <w:t>7</w:t>
      </w:r>
      <w:r w:rsidR="006312BA" w:rsidRPr="00F242DD">
        <w:rPr>
          <w:rFonts w:eastAsia="Times New Roman"/>
          <w:szCs w:val="24"/>
          <w:lang w:eastAsia="ru-RU"/>
        </w:rPr>
        <w:t>-й</w:t>
      </w:r>
    </w:p>
    <w:p w14:paraId="47028873" w14:textId="77777777" w:rsidR="000546DA" w:rsidRPr="00F242DD"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43</w:t>
      </w:r>
      <w:r w:rsidR="006312BA" w:rsidRPr="00F242DD">
        <w:rPr>
          <w:rFonts w:eastAsia="Times New Roman"/>
          <w:szCs w:val="24"/>
          <w:lang w:eastAsia="ru-RU"/>
        </w:rPr>
        <w:t>-й</w:t>
      </w:r>
      <w:r w:rsidRPr="00F242DD">
        <w:rPr>
          <w:rFonts w:eastAsia="Times New Roman"/>
          <w:szCs w:val="24"/>
          <w:lang w:eastAsia="ru-RU"/>
        </w:rPr>
        <w:t xml:space="preserve"> день</w:t>
      </w:r>
      <w:r w:rsidR="00E86459" w:rsidRPr="00F242DD">
        <w:rPr>
          <w:rFonts w:eastAsia="Times New Roman"/>
          <w:szCs w:val="24"/>
          <w:lang w:eastAsia="ru-RU"/>
        </w:rPr>
        <w:t>.</w:t>
      </w:r>
    </w:p>
    <w:p w14:paraId="47398E7A" w14:textId="77777777" w:rsidR="000546DA"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Проводят до достижения фазы плато</w:t>
      </w:r>
      <w:r w:rsidR="00E86459" w:rsidRPr="00F242DD">
        <w:rPr>
          <w:rFonts w:eastAsia="Times New Roman"/>
          <w:szCs w:val="24"/>
          <w:lang w:eastAsia="ru-RU"/>
        </w:rPr>
        <w:t>.</w:t>
      </w:r>
    </w:p>
    <w:p w14:paraId="074EE186" w14:textId="77777777" w:rsidR="00D16550" w:rsidRDefault="00D16550" w:rsidP="00616CC3">
      <w:pPr>
        <w:spacing w:before="0" w:after="0"/>
        <w:ind w:left="709"/>
        <w:contextualSpacing/>
        <w:rPr>
          <w:rFonts w:eastAsia="Times New Roman"/>
          <w:szCs w:val="24"/>
          <w:lang w:eastAsia="ru-RU"/>
        </w:rPr>
      </w:pPr>
    </w:p>
    <w:p w14:paraId="61F5592E" w14:textId="77777777" w:rsidR="00D16550" w:rsidRDefault="00D16550" w:rsidP="00616CC3">
      <w:pPr>
        <w:spacing w:before="0" w:after="0"/>
        <w:ind w:left="709"/>
        <w:contextualSpacing/>
        <w:rPr>
          <w:rFonts w:eastAsia="Times New Roman"/>
          <w:szCs w:val="24"/>
          <w:lang w:eastAsia="ru-RU"/>
        </w:rPr>
      </w:pPr>
    </w:p>
    <w:p w14:paraId="7C334BB3" w14:textId="77777777" w:rsidR="0009651E" w:rsidRPr="00F242DD" w:rsidRDefault="0009651E" w:rsidP="00616CC3">
      <w:pPr>
        <w:spacing w:before="0" w:after="0"/>
        <w:ind w:left="709"/>
        <w:contextualSpacing/>
        <w:rPr>
          <w:rFonts w:eastAsia="Times New Roman"/>
          <w:szCs w:val="24"/>
          <w:lang w:eastAsia="ru-RU"/>
        </w:rPr>
      </w:pPr>
    </w:p>
    <w:p w14:paraId="061BAAFA"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lastRenderedPageBreak/>
        <w:t>MP (4-дневная)</w:t>
      </w:r>
    </w:p>
    <w:p w14:paraId="6E7AE553" w14:textId="77777777" w:rsidR="000546DA" w:rsidRPr="00F242DD" w:rsidRDefault="000546DA" w:rsidP="00616CC3">
      <w:pPr>
        <w:pStyle w:val="a6"/>
        <w:numPr>
          <w:ilvl w:val="0"/>
          <w:numId w:val="21"/>
        </w:numPr>
        <w:spacing w:before="0" w:after="0"/>
        <w:ind w:left="284" w:firstLine="0"/>
        <w:jc w:val="left"/>
        <w:rPr>
          <w:rFonts w:eastAsia="Times New Roman"/>
          <w:szCs w:val="24"/>
          <w:lang w:eastAsia="ru-RU"/>
        </w:rPr>
      </w:pPr>
      <w:r w:rsidRPr="00F242DD">
        <w:rPr>
          <w:rFonts w:eastAsia="Times New Roman"/>
          <w:szCs w:val="24"/>
          <w:lang w:eastAsia="ru-RU"/>
        </w:rPr>
        <w:t>Мелфалан** 9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7BBC9D4E" w14:textId="77777777" w:rsidR="000546DA" w:rsidRPr="00F242DD" w:rsidRDefault="000546DA" w:rsidP="00616CC3">
      <w:pPr>
        <w:pStyle w:val="a6"/>
        <w:numPr>
          <w:ilvl w:val="0"/>
          <w:numId w:val="21"/>
        </w:numPr>
        <w:spacing w:before="0" w:after="0"/>
        <w:ind w:left="284" w:firstLine="0"/>
        <w:jc w:val="left"/>
        <w:rPr>
          <w:rFonts w:eastAsia="Times New Roman"/>
          <w:szCs w:val="24"/>
          <w:lang w:eastAsia="ru-RU"/>
        </w:rPr>
      </w:pPr>
      <w:r w:rsidRPr="00F242DD">
        <w:rPr>
          <w:rFonts w:eastAsia="Times New Roman"/>
          <w:szCs w:val="24"/>
          <w:lang w:eastAsia="ru-RU"/>
        </w:rPr>
        <w:t>Преднизолон** 100 мг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0DEBB8CB" w14:textId="77777777" w:rsidR="000546DA" w:rsidRPr="00F242DD"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43</w:t>
      </w:r>
      <w:r w:rsidR="006312BA" w:rsidRPr="00F242DD">
        <w:rPr>
          <w:rFonts w:eastAsia="Times New Roman"/>
          <w:szCs w:val="24"/>
          <w:lang w:eastAsia="ru-RU"/>
        </w:rPr>
        <w:t>-й</w:t>
      </w:r>
      <w:r w:rsidRPr="00F242DD">
        <w:rPr>
          <w:rFonts w:eastAsia="Times New Roman"/>
          <w:szCs w:val="24"/>
          <w:lang w:eastAsia="ru-RU"/>
        </w:rPr>
        <w:t xml:space="preserve"> день</w:t>
      </w:r>
      <w:r w:rsidR="00E86459" w:rsidRPr="00F242DD">
        <w:rPr>
          <w:rFonts w:eastAsia="Times New Roman"/>
          <w:szCs w:val="24"/>
          <w:lang w:eastAsia="ru-RU"/>
        </w:rPr>
        <w:t>.</w:t>
      </w:r>
    </w:p>
    <w:p w14:paraId="271CF62D" w14:textId="77777777" w:rsidR="000546DA" w:rsidRPr="00F242DD"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Проводят до достижения фазы плато</w:t>
      </w:r>
      <w:r w:rsidR="00E86459" w:rsidRPr="00F242DD">
        <w:rPr>
          <w:rFonts w:eastAsia="Times New Roman"/>
          <w:szCs w:val="24"/>
          <w:lang w:eastAsia="ru-RU"/>
        </w:rPr>
        <w:t>.</w:t>
      </w:r>
    </w:p>
    <w:p w14:paraId="1D1CD931"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t>СР</w:t>
      </w:r>
    </w:p>
    <w:p w14:paraId="76C4F328" w14:textId="0E4E3206" w:rsidR="000546DA" w:rsidRPr="00F242DD" w:rsidRDefault="000546DA" w:rsidP="00616CC3">
      <w:pPr>
        <w:pStyle w:val="a6"/>
        <w:numPr>
          <w:ilvl w:val="0"/>
          <w:numId w:val="22"/>
        </w:numPr>
        <w:spacing w:before="0" w:after="0"/>
        <w:ind w:left="284" w:firstLine="0"/>
        <w:jc w:val="left"/>
        <w:rPr>
          <w:rFonts w:eastAsia="Times New Roman"/>
          <w:szCs w:val="24"/>
          <w:lang w:eastAsia="ru-RU"/>
        </w:rPr>
      </w:pPr>
      <w:r w:rsidRPr="00F242DD">
        <w:rPr>
          <w:rFonts w:eastAsia="Times New Roman"/>
          <w:szCs w:val="24"/>
          <w:lang w:eastAsia="ru-RU"/>
        </w:rPr>
        <w:t>Циклофосфамид** 200 мг в/м ежедневно или 400 мг в/м через день под контролем показателей кр</w:t>
      </w:r>
      <w:r w:rsidR="006312BA" w:rsidRPr="00F242DD">
        <w:rPr>
          <w:rFonts w:eastAsia="Times New Roman"/>
          <w:szCs w:val="24"/>
          <w:lang w:eastAsia="ru-RU"/>
        </w:rPr>
        <w:t>ови. Прервать при нейтрофилах &lt;</w:t>
      </w:r>
      <w:r w:rsidRPr="00F242DD">
        <w:rPr>
          <w:rFonts w:eastAsia="Times New Roman"/>
          <w:szCs w:val="24"/>
          <w:lang w:eastAsia="ru-RU"/>
        </w:rPr>
        <w:t>1</w:t>
      </w:r>
      <w:r w:rsidR="006312BA" w:rsidRPr="00F242DD">
        <w:rPr>
          <w:rFonts w:eastAsia="Times New Roman"/>
          <w:szCs w:val="24"/>
          <w:lang w:eastAsia="ru-RU"/>
        </w:rPr>
        <w:t xml:space="preserve"> × </w:t>
      </w:r>
      <w:r w:rsidRPr="00F242DD">
        <w:rPr>
          <w:rFonts w:eastAsia="Times New Roman"/>
          <w:szCs w:val="24"/>
          <w:lang w:eastAsia="ru-RU"/>
        </w:rPr>
        <w:t>10</w:t>
      </w:r>
      <w:r w:rsidRPr="00F242DD">
        <w:rPr>
          <w:rFonts w:eastAsia="Times New Roman"/>
          <w:szCs w:val="24"/>
          <w:vertAlign w:val="superscript"/>
          <w:lang w:eastAsia="ru-RU"/>
        </w:rPr>
        <w:t>9</w:t>
      </w:r>
      <w:r w:rsidRPr="00F242DD">
        <w:rPr>
          <w:rFonts w:eastAsia="Times New Roman"/>
          <w:szCs w:val="24"/>
          <w:lang w:eastAsia="ru-RU"/>
        </w:rPr>
        <w:t xml:space="preserve">/л, тромбоцитах </w:t>
      </w:r>
      <w:r w:rsidR="003F4253" w:rsidRPr="00F242DD">
        <w:rPr>
          <w:rFonts w:eastAsia="Times New Roman"/>
          <w:szCs w:val="24"/>
          <w:lang w:eastAsia="ru-RU"/>
        </w:rPr>
        <w:t>&lt;75</w:t>
      </w:r>
      <w:r w:rsidR="006312BA" w:rsidRPr="00F242DD">
        <w:rPr>
          <w:rFonts w:eastAsia="Times New Roman"/>
          <w:szCs w:val="24"/>
          <w:lang w:eastAsia="ru-RU"/>
        </w:rPr>
        <w:t xml:space="preserve"> × </w:t>
      </w:r>
      <w:r w:rsidRPr="00F242DD">
        <w:rPr>
          <w:rFonts w:eastAsia="Times New Roman"/>
          <w:szCs w:val="24"/>
          <w:lang w:eastAsia="ru-RU"/>
        </w:rPr>
        <w:t>10</w:t>
      </w:r>
      <w:r w:rsidRPr="00F242DD">
        <w:rPr>
          <w:rFonts w:eastAsia="Times New Roman"/>
          <w:szCs w:val="24"/>
          <w:vertAlign w:val="superscript"/>
          <w:lang w:eastAsia="ru-RU"/>
        </w:rPr>
        <w:t>9</w:t>
      </w:r>
      <w:r w:rsidRPr="00F242DD">
        <w:rPr>
          <w:rFonts w:eastAsia="Times New Roman"/>
          <w:szCs w:val="24"/>
          <w:lang w:eastAsia="ru-RU"/>
        </w:rPr>
        <w:t>/л</w:t>
      </w:r>
      <w:r w:rsidR="006312BA" w:rsidRPr="00F242DD">
        <w:rPr>
          <w:rFonts w:eastAsia="Times New Roman"/>
          <w:szCs w:val="24"/>
          <w:lang w:eastAsia="ru-RU"/>
        </w:rPr>
        <w:t>.</w:t>
      </w:r>
      <w:r w:rsidRPr="00F242DD">
        <w:rPr>
          <w:rFonts w:eastAsia="Times New Roman"/>
          <w:szCs w:val="24"/>
          <w:lang w:eastAsia="ru-RU"/>
        </w:rPr>
        <w:t xml:space="preserve"> Средняя суммарная доза составляет 6</w:t>
      </w:r>
      <w:r w:rsidR="006312BA" w:rsidRPr="00F242DD">
        <w:rPr>
          <w:rFonts w:eastAsia="Times New Roman"/>
          <w:szCs w:val="24"/>
          <w:lang w:eastAsia="ru-RU"/>
        </w:rPr>
        <w:t>‒</w:t>
      </w:r>
      <w:r w:rsidRPr="00F242DD">
        <w:rPr>
          <w:rFonts w:eastAsia="Times New Roman"/>
          <w:szCs w:val="24"/>
          <w:lang w:eastAsia="ru-RU"/>
        </w:rPr>
        <w:t xml:space="preserve">8 г. </w:t>
      </w:r>
      <w:r w:rsidR="006312BA" w:rsidRPr="00F242DD">
        <w:rPr>
          <w:rFonts w:eastAsia="Times New Roman"/>
          <w:szCs w:val="24"/>
          <w:lang w:eastAsia="ru-RU"/>
        </w:rPr>
        <w:t xml:space="preserve"> </w:t>
      </w:r>
    </w:p>
    <w:p w14:paraId="7CB134DF" w14:textId="77777777" w:rsidR="000546DA" w:rsidRPr="00F242DD" w:rsidRDefault="000546DA" w:rsidP="00616CC3">
      <w:pPr>
        <w:pStyle w:val="a6"/>
        <w:numPr>
          <w:ilvl w:val="0"/>
          <w:numId w:val="22"/>
        </w:numPr>
        <w:spacing w:before="0" w:after="0"/>
        <w:ind w:left="284" w:firstLine="0"/>
        <w:jc w:val="left"/>
        <w:rPr>
          <w:rFonts w:eastAsia="Times New Roman"/>
          <w:szCs w:val="24"/>
          <w:lang w:eastAsia="ru-RU"/>
        </w:rPr>
      </w:pPr>
      <w:r w:rsidRPr="00F242DD">
        <w:rPr>
          <w:rFonts w:eastAsia="Times New Roman"/>
          <w:szCs w:val="24"/>
          <w:lang w:eastAsia="ru-RU"/>
        </w:rPr>
        <w:t>Преднизолон** 40</w:t>
      </w:r>
      <w:r w:rsidR="006312BA" w:rsidRPr="00F242DD">
        <w:rPr>
          <w:rFonts w:eastAsia="Times New Roman"/>
          <w:szCs w:val="24"/>
          <w:lang w:eastAsia="ru-RU"/>
        </w:rPr>
        <w:t>‒</w:t>
      </w:r>
      <w:r w:rsidRPr="00F242DD">
        <w:rPr>
          <w:rFonts w:eastAsia="Times New Roman"/>
          <w:szCs w:val="24"/>
          <w:lang w:eastAsia="ru-RU"/>
        </w:rPr>
        <w:t>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7</w:t>
      </w:r>
      <w:r w:rsidR="006312BA" w:rsidRPr="00F242DD">
        <w:rPr>
          <w:rFonts w:eastAsia="Times New Roman"/>
          <w:szCs w:val="24"/>
          <w:lang w:eastAsia="ru-RU"/>
        </w:rPr>
        <w:t>-й</w:t>
      </w:r>
      <w:r w:rsidRPr="00F242DD">
        <w:rPr>
          <w:rFonts w:eastAsia="Times New Roman"/>
          <w:szCs w:val="24"/>
          <w:lang w:eastAsia="ru-RU"/>
        </w:rPr>
        <w:t xml:space="preserve"> </w:t>
      </w:r>
    </w:p>
    <w:p w14:paraId="35464C38" w14:textId="77777777" w:rsidR="000546DA" w:rsidRPr="00F242DD"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21</w:t>
      </w:r>
      <w:r w:rsidR="006312BA" w:rsidRPr="00F242DD">
        <w:rPr>
          <w:rFonts w:eastAsia="Times New Roman"/>
          <w:szCs w:val="24"/>
          <w:lang w:eastAsia="ru-RU"/>
        </w:rPr>
        <w:t>‒</w:t>
      </w:r>
      <w:r w:rsidRPr="00F242DD">
        <w:rPr>
          <w:rFonts w:eastAsia="Times New Roman"/>
          <w:szCs w:val="24"/>
          <w:lang w:eastAsia="ru-RU"/>
        </w:rPr>
        <w:t>28</w:t>
      </w:r>
      <w:r w:rsidR="006312BA" w:rsidRPr="00F242DD">
        <w:rPr>
          <w:rFonts w:eastAsia="Times New Roman"/>
          <w:szCs w:val="24"/>
          <w:lang w:eastAsia="ru-RU"/>
        </w:rPr>
        <w:t>-й</w:t>
      </w:r>
      <w:r w:rsidRPr="00F242DD">
        <w:rPr>
          <w:rFonts w:eastAsia="Times New Roman"/>
          <w:szCs w:val="24"/>
          <w:lang w:eastAsia="ru-RU"/>
        </w:rPr>
        <w:t xml:space="preserve"> день после восстановления показателей крови.</w:t>
      </w:r>
    </w:p>
    <w:p w14:paraId="64E6C7E6" w14:textId="77777777" w:rsidR="000546DA" w:rsidRPr="00F242DD" w:rsidRDefault="000546DA" w:rsidP="002431B5">
      <w:pPr>
        <w:spacing w:before="0" w:after="0"/>
        <w:contextualSpacing/>
        <w:rPr>
          <w:rFonts w:eastAsia="Times New Roman"/>
          <w:szCs w:val="24"/>
        </w:rPr>
      </w:pPr>
      <w:r w:rsidRPr="00F242DD">
        <w:rPr>
          <w:rFonts w:eastAsia="Times New Roman"/>
          <w:b/>
          <w:szCs w:val="24"/>
        </w:rPr>
        <w:t xml:space="preserve">BP </w:t>
      </w:r>
    </w:p>
    <w:p w14:paraId="048FAE4E" w14:textId="77777777" w:rsidR="000546DA" w:rsidRPr="00F242DD" w:rsidRDefault="000546DA" w:rsidP="00616CC3">
      <w:pPr>
        <w:pStyle w:val="a6"/>
        <w:numPr>
          <w:ilvl w:val="0"/>
          <w:numId w:val="23"/>
        </w:numPr>
        <w:suppressAutoHyphens/>
        <w:spacing w:before="0" w:after="0"/>
        <w:ind w:left="284" w:firstLine="0"/>
        <w:jc w:val="left"/>
        <w:rPr>
          <w:rFonts w:eastAsia="Times New Roman"/>
          <w:szCs w:val="24"/>
        </w:rPr>
      </w:pPr>
      <w:r w:rsidRPr="00F242DD">
        <w:rPr>
          <w:rFonts w:eastAsia="Times New Roman"/>
          <w:szCs w:val="24"/>
        </w:rPr>
        <w:t>Бендамустин</w:t>
      </w:r>
      <w:r w:rsidRPr="00F242DD">
        <w:rPr>
          <w:rFonts w:eastAsia="Times New Roman"/>
          <w:szCs w:val="24"/>
          <w:lang w:eastAsia="ru-RU"/>
        </w:rPr>
        <w:t>**</w:t>
      </w:r>
      <w:r w:rsidRPr="00F242DD">
        <w:rPr>
          <w:rFonts w:eastAsia="Times New Roman"/>
          <w:szCs w:val="24"/>
        </w:rPr>
        <w:t xml:space="preserve"> 100</w:t>
      </w:r>
      <w:r w:rsidR="00E86459" w:rsidRPr="00F242DD">
        <w:rPr>
          <w:rFonts w:eastAsia="Times New Roman"/>
          <w:szCs w:val="24"/>
        </w:rPr>
        <w:t>‒</w:t>
      </w:r>
      <w:r w:rsidRPr="00F242DD">
        <w:rPr>
          <w:rFonts w:eastAsia="Times New Roman"/>
          <w:szCs w:val="24"/>
        </w:rPr>
        <w:t>150 мг/м</w:t>
      </w:r>
      <w:r w:rsidRPr="00F242DD">
        <w:rPr>
          <w:rFonts w:eastAsia="Times New Roman"/>
          <w:szCs w:val="24"/>
          <w:vertAlign w:val="superscript"/>
        </w:rPr>
        <w:t>2</w:t>
      </w:r>
      <w:r w:rsidRPr="00F242DD">
        <w:rPr>
          <w:rFonts w:eastAsia="Times New Roman"/>
          <w:szCs w:val="24"/>
        </w:rPr>
        <w:t xml:space="preserve"> в/в в дни 1, 2</w:t>
      </w:r>
      <w:r w:rsidR="00E86459" w:rsidRPr="00F242DD">
        <w:rPr>
          <w:rFonts w:eastAsia="Times New Roman"/>
          <w:szCs w:val="24"/>
        </w:rPr>
        <w:t>-й</w:t>
      </w:r>
    </w:p>
    <w:p w14:paraId="171EA175" w14:textId="77777777" w:rsidR="000546DA" w:rsidRPr="00F242DD" w:rsidRDefault="000546DA" w:rsidP="00616CC3">
      <w:pPr>
        <w:pStyle w:val="a6"/>
        <w:numPr>
          <w:ilvl w:val="0"/>
          <w:numId w:val="23"/>
        </w:numPr>
        <w:suppressAutoHyphens/>
        <w:spacing w:before="0" w:after="0"/>
        <w:ind w:left="284" w:firstLine="0"/>
        <w:jc w:val="left"/>
        <w:rPr>
          <w:rFonts w:eastAsia="Times New Roman"/>
          <w:szCs w:val="24"/>
        </w:rPr>
      </w:pPr>
      <w:r w:rsidRPr="00F242DD">
        <w:rPr>
          <w:rFonts w:eastAsia="Times New Roman"/>
          <w:szCs w:val="24"/>
        </w:rPr>
        <w:t>Преднизолон</w:t>
      </w:r>
      <w:r w:rsidRPr="00F242DD">
        <w:rPr>
          <w:rFonts w:eastAsia="Times New Roman"/>
          <w:szCs w:val="24"/>
          <w:lang w:eastAsia="ru-RU"/>
        </w:rPr>
        <w:t>**</w:t>
      </w:r>
      <w:r w:rsidRPr="00F242DD">
        <w:rPr>
          <w:rFonts w:eastAsia="Times New Roman"/>
          <w:szCs w:val="24"/>
        </w:rPr>
        <w:t xml:space="preserve"> 60 мг/м</w:t>
      </w:r>
      <w:r w:rsidRPr="00F242DD">
        <w:rPr>
          <w:rFonts w:eastAsia="Times New Roman"/>
          <w:szCs w:val="24"/>
          <w:vertAlign w:val="superscript"/>
        </w:rPr>
        <w:t>2</w:t>
      </w:r>
      <w:r w:rsidRPr="00F242DD">
        <w:rPr>
          <w:rFonts w:eastAsia="Times New Roman"/>
          <w:szCs w:val="24"/>
        </w:rPr>
        <w:t xml:space="preserve"> внутрь в дни 1</w:t>
      </w:r>
      <w:r w:rsidR="00E86459" w:rsidRPr="00F242DD">
        <w:rPr>
          <w:rFonts w:eastAsia="Times New Roman"/>
          <w:szCs w:val="24"/>
        </w:rPr>
        <w:t>‒</w:t>
      </w:r>
      <w:r w:rsidRPr="00F242DD">
        <w:rPr>
          <w:rFonts w:eastAsia="Times New Roman"/>
          <w:szCs w:val="24"/>
        </w:rPr>
        <w:t>7</w:t>
      </w:r>
      <w:r w:rsidR="00E86459" w:rsidRPr="00F242DD">
        <w:rPr>
          <w:rFonts w:eastAsia="Times New Roman"/>
          <w:szCs w:val="24"/>
          <w:lang w:eastAsia="ru-RU"/>
        </w:rPr>
        <w:t>-й</w:t>
      </w:r>
    </w:p>
    <w:p w14:paraId="0D24C50C" w14:textId="77777777" w:rsidR="000546DA" w:rsidRPr="00F242DD" w:rsidRDefault="000546DA" w:rsidP="00616CC3">
      <w:pPr>
        <w:spacing w:before="0" w:after="0"/>
        <w:ind w:left="709"/>
        <w:contextualSpacing/>
        <w:rPr>
          <w:rFonts w:eastAsia="Times New Roman"/>
          <w:szCs w:val="24"/>
        </w:rPr>
      </w:pPr>
      <w:r w:rsidRPr="00F242DD">
        <w:rPr>
          <w:rFonts w:eastAsia="Times New Roman"/>
          <w:szCs w:val="24"/>
        </w:rPr>
        <w:t>Лечение возобновляется на 29</w:t>
      </w:r>
      <w:r w:rsidR="00E86459" w:rsidRPr="00F242DD">
        <w:rPr>
          <w:rFonts w:eastAsia="Times New Roman"/>
          <w:szCs w:val="24"/>
          <w:lang w:eastAsia="ru-RU"/>
        </w:rPr>
        <w:t>-й</w:t>
      </w:r>
      <w:r w:rsidRPr="00F242DD">
        <w:rPr>
          <w:rFonts w:eastAsia="Times New Roman"/>
          <w:szCs w:val="24"/>
        </w:rPr>
        <w:t xml:space="preserve"> день</w:t>
      </w:r>
      <w:r w:rsidR="00E86459" w:rsidRPr="00F242DD">
        <w:rPr>
          <w:rFonts w:eastAsia="Times New Roman"/>
          <w:szCs w:val="24"/>
        </w:rPr>
        <w:t>.</w:t>
      </w:r>
    </w:p>
    <w:p w14:paraId="56A81208" w14:textId="46CA6DCC" w:rsidR="000546DA" w:rsidRPr="00E47ED5" w:rsidRDefault="000546DA" w:rsidP="002431B5">
      <w:pPr>
        <w:spacing w:before="0" w:after="0"/>
        <w:contextualSpacing/>
        <w:rPr>
          <w:rFonts w:eastAsia="Times New Roman"/>
          <w:b/>
          <w:szCs w:val="24"/>
          <w:lang w:eastAsia="ru-RU"/>
        </w:rPr>
      </w:pPr>
      <w:r w:rsidRPr="00F242DD">
        <w:rPr>
          <w:rFonts w:eastAsia="Times New Roman"/>
          <w:b/>
          <w:szCs w:val="24"/>
          <w:lang w:eastAsia="ru-RU"/>
        </w:rPr>
        <w:t>Монотерапия дексаметазоном</w:t>
      </w:r>
      <w:r w:rsidR="009A5697" w:rsidRPr="00E47ED5">
        <w:rPr>
          <w:rFonts w:eastAsia="Times New Roman"/>
          <w:b/>
          <w:szCs w:val="24"/>
          <w:lang w:eastAsia="ru-RU"/>
        </w:rPr>
        <w:t>**</w:t>
      </w:r>
    </w:p>
    <w:p w14:paraId="08C8B159" w14:textId="77777777" w:rsidR="000546DA" w:rsidRPr="00F242DD" w:rsidRDefault="000546DA" w:rsidP="00616CC3">
      <w:pPr>
        <w:pStyle w:val="a6"/>
        <w:numPr>
          <w:ilvl w:val="0"/>
          <w:numId w:val="24"/>
        </w:numPr>
        <w:spacing w:before="0" w:after="0"/>
        <w:ind w:left="284" w:firstLine="0"/>
        <w:jc w:val="left"/>
        <w:rPr>
          <w:rFonts w:eastAsia="Times New Roman"/>
          <w:szCs w:val="24"/>
          <w:lang w:eastAsia="ru-RU"/>
        </w:rPr>
      </w:pPr>
      <w:r w:rsidRPr="00F242DD">
        <w:rPr>
          <w:rFonts w:eastAsia="Times New Roman"/>
          <w:szCs w:val="24"/>
          <w:lang w:eastAsia="ru-RU"/>
        </w:rPr>
        <w:t>Дексаметазон** 40 мг внутрь, дни 1</w:t>
      </w:r>
      <w:r w:rsidR="00E86459" w:rsidRPr="00F242DD">
        <w:rPr>
          <w:rFonts w:eastAsia="Times New Roman"/>
          <w:szCs w:val="24"/>
          <w:lang w:eastAsia="ru-RU"/>
        </w:rPr>
        <w:t>‒</w:t>
      </w:r>
      <w:r w:rsidRPr="00F242DD">
        <w:rPr>
          <w:rFonts w:eastAsia="Times New Roman"/>
          <w:szCs w:val="24"/>
          <w:lang w:eastAsia="ru-RU"/>
        </w:rPr>
        <w:t>4</w:t>
      </w:r>
      <w:r w:rsidR="00E86459" w:rsidRPr="00F242DD">
        <w:rPr>
          <w:rFonts w:eastAsia="Times New Roman"/>
          <w:szCs w:val="24"/>
          <w:lang w:eastAsia="ru-RU"/>
        </w:rPr>
        <w:t>-й</w:t>
      </w:r>
      <w:r w:rsidRPr="00F242DD">
        <w:rPr>
          <w:rFonts w:eastAsia="Times New Roman"/>
          <w:szCs w:val="24"/>
          <w:lang w:eastAsia="ru-RU"/>
        </w:rPr>
        <w:t>, 9</w:t>
      </w:r>
      <w:r w:rsidR="00E86459" w:rsidRPr="00F242DD">
        <w:rPr>
          <w:rFonts w:eastAsia="Times New Roman"/>
          <w:szCs w:val="24"/>
          <w:lang w:eastAsia="ru-RU"/>
        </w:rPr>
        <w:t>‒</w:t>
      </w:r>
      <w:r w:rsidRPr="00F242DD">
        <w:rPr>
          <w:rFonts w:eastAsia="Times New Roman"/>
          <w:szCs w:val="24"/>
          <w:lang w:eastAsia="ru-RU"/>
        </w:rPr>
        <w:t>12</w:t>
      </w:r>
      <w:r w:rsidR="00E86459" w:rsidRPr="00F242DD">
        <w:rPr>
          <w:rFonts w:eastAsia="Times New Roman"/>
          <w:szCs w:val="24"/>
          <w:lang w:eastAsia="ru-RU"/>
        </w:rPr>
        <w:t>-й</w:t>
      </w:r>
      <w:r w:rsidRPr="00F242DD">
        <w:rPr>
          <w:rFonts w:eastAsia="Times New Roman"/>
          <w:szCs w:val="24"/>
          <w:lang w:eastAsia="ru-RU"/>
        </w:rPr>
        <w:t>, 17</w:t>
      </w:r>
      <w:r w:rsidR="00E86459" w:rsidRPr="00F242DD">
        <w:rPr>
          <w:rFonts w:eastAsia="Times New Roman"/>
          <w:szCs w:val="24"/>
          <w:lang w:eastAsia="ru-RU"/>
        </w:rPr>
        <w:t>‒</w:t>
      </w:r>
      <w:r w:rsidRPr="00F242DD">
        <w:rPr>
          <w:rFonts w:eastAsia="Times New Roman"/>
          <w:szCs w:val="24"/>
          <w:lang w:eastAsia="ru-RU"/>
        </w:rPr>
        <w:t>20</w:t>
      </w:r>
      <w:r w:rsidR="00E86459" w:rsidRPr="00F242DD">
        <w:rPr>
          <w:rFonts w:eastAsia="Times New Roman"/>
          <w:szCs w:val="24"/>
          <w:lang w:eastAsia="ru-RU"/>
        </w:rPr>
        <w:t>-й</w:t>
      </w:r>
    </w:p>
    <w:p w14:paraId="16486127" w14:textId="77777777" w:rsidR="000546DA" w:rsidRPr="00F242DD"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29</w:t>
      </w:r>
      <w:r w:rsidR="00E86459" w:rsidRPr="00F242DD">
        <w:rPr>
          <w:rFonts w:eastAsia="Times New Roman"/>
          <w:szCs w:val="24"/>
          <w:lang w:eastAsia="ru-RU"/>
        </w:rPr>
        <w:t>‒</w:t>
      </w:r>
      <w:r w:rsidRPr="00F242DD">
        <w:rPr>
          <w:rFonts w:eastAsia="Times New Roman"/>
          <w:szCs w:val="24"/>
          <w:lang w:eastAsia="ru-RU"/>
        </w:rPr>
        <w:t>35</w:t>
      </w:r>
      <w:r w:rsidR="00E86459" w:rsidRPr="00F242DD">
        <w:rPr>
          <w:rFonts w:eastAsia="Times New Roman"/>
          <w:szCs w:val="24"/>
          <w:lang w:eastAsia="ru-RU"/>
        </w:rPr>
        <w:t>-й</w:t>
      </w:r>
      <w:r w:rsidRPr="00F242DD">
        <w:rPr>
          <w:rFonts w:eastAsia="Times New Roman"/>
          <w:szCs w:val="24"/>
          <w:lang w:eastAsia="ru-RU"/>
        </w:rPr>
        <w:t xml:space="preserve"> день</w:t>
      </w:r>
    </w:p>
    <w:p w14:paraId="388082EA" w14:textId="77777777" w:rsidR="00521D08" w:rsidRDefault="00521D08" w:rsidP="002431B5">
      <w:pPr>
        <w:spacing w:before="0" w:after="0"/>
        <w:contextualSpacing/>
        <w:rPr>
          <w:rFonts w:eastAsia="Times New Roman"/>
          <w:b/>
          <w:i/>
          <w:szCs w:val="24"/>
          <w:lang w:eastAsia="ru-RU"/>
        </w:rPr>
      </w:pPr>
    </w:p>
    <w:p w14:paraId="71C3C305" w14:textId="77777777" w:rsidR="000546DA" w:rsidRDefault="000546DA" w:rsidP="00616CC3">
      <w:pPr>
        <w:spacing w:before="0" w:after="0"/>
        <w:contextualSpacing/>
        <w:jc w:val="center"/>
        <w:rPr>
          <w:rFonts w:eastAsia="Times New Roman"/>
          <w:b/>
          <w:i/>
          <w:szCs w:val="24"/>
          <w:lang w:eastAsia="ru-RU"/>
        </w:rPr>
      </w:pPr>
      <w:r w:rsidRPr="00F242DD">
        <w:rPr>
          <w:rFonts w:eastAsia="Times New Roman"/>
          <w:b/>
          <w:i/>
          <w:szCs w:val="24"/>
          <w:lang w:eastAsia="ru-RU"/>
        </w:rPr>
        <w:t>Схемы индукционной терапии первичных пациентов – кандидатов на аутологичную трансплантацию</w:t>
      </w:r>
    </w:p>
    <w:p w14:paraId="7E1D9D4F"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t>PAD</w:t>
      </w:r>
    </w:p>
    <w:p w14:paraId="5128E1B3" w14:textId="77777777" w:rsidR="000546DA" w:rsidRPr="00F242DD" w:rsidRDefault="000546DA" w:rsidP="00616CC3">
      <w:pPr>
        <w:pStyle w:val="a6"/>
        <w:numPr>
          <w:ilvl w:val="0"/>
          <w:numId w:val="24"/>
        </w:numPr>
        <w:spacing w:before="0" w:after="0"/>
        <w:ind w:left="284" w:firstLine="0"/>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w:t>
      </w:r>
      <w:r w:rsidR="00E86459" w:rsidRPr="00F242DD">
        <w:rPr>
          <w:rFonts w:eastAsia="Times New Roman"/>
          <w:szCs w:val="24"/>
          <w:lang w:eastAsia="ru-RU"/>
        </w:rPr>
        <w:t>-й</w:t>
      </w:r>
    </w:p>
    <w:p w14:paraId="28676F90" w14:textId="77777777" w:rsidR="000546DA" w:rsidRPr="00F242DD" w:rsidRDefault="000546DA" w:rsidP="00616CC3">
      <w:pPr>
        <w:pStyle w:val="a6"/>
        <w:numPr>
          <w:ilvl w:val="0"/>
          <w:numId w:val="24"/>
        </w:numPr>
        <w:spacing w:before="0" w:after="0"/>
        <w:ind w:left="284" w:firstLine="0"/>
        <w:jc w:val="left"/>
        <w:rPr>
          <w:rFonts w:eastAsia="Times New Roman"/>
          <w:szCs w:val="24"/>
          <w:lang w:eastAsia="ru-RU"/>
        </w:rPr>
      </w:pPr>
      <w:r w:rsidRPr="00F242DD">
        <w:rPr>
          <w:rFonts w:eastAsia="Times New Roman"/>
          <w:szCs w:val="24"/>
          <w:lang w:eastAsia="ru-RU"/>
        </w:rPr>
        <w:t>Доксорубицин** 9 мг/м</w:t>
      </w:r>
      <w:r w:rsidRPr="00F242DD">
        <w:rPr>
          <w:rFonts w:eastAsia="Times New Roman"/>
          <w:szCs w:val="24"/>
          <w:vertAlign w:val="superscript"/>
          <w:lang w:eastAsia="ru-RU"/>
        </w:rPr>
        <w:t>2</w:t>
      </w:r>
      <w:r w:rsidRPr="00F242DD">
        <w:rPr>
          <w:rFonts w:eastAsia="Times New Roman"/>
          <w:szCs w:val="24"/>
          <w:lang w:eastAsia="ru-RU"/>
        </w:rPr>
        <w:t xml:space="preserve"> в виде постоянной инфузии или ежедневно болюсно, дни 1</w:t>
      </w:r>
      <w:r w:rsidR="00E86459" w:rsidRPr="00F242DD">
        <w:rPr>
          <w:rFonts w:eastAsia="Times New Roman"/>
          <w:szCs w:val="24"/>
          <w:lang w:eastAsia="ru-RU"/>
        </w:rPr>
        <w:t>‒</w:t>
      </w:r>
      <w:r w:rsidRPr="00F242DD">
        <w:rPr>
          <w:rFonts w:eastAsia="Times New Roman"/>
          <w:szCs w:val="24"/>
          <w:lang w:eastAsia="ru-RU"/>
        </w:rPr>
        <w:t>4</w:t>
      </w:r>
      <w:r w:rsidR="00E86459" w:rsidRPr="00F242DD">
        <w:rPr>
          <w:rFonts w:eastAsia="Times New Roman"/>
          <w:szCs w:val="24"/>
          <w:lang w:eastAsia="ru-RU"/>
        </w:rPr>
        <w:t>-й</w:t>
      </w:r>
    </w:p>
    <w:p w14:paraId="232FB17E" w14:textId="77777777" w:rsidR="000546DA" w:rsidRPr="00F242DD" w:rsidRDefault="000546DA" w:rsidP="00616CC3">
      <w:pPr>
        <w:pStyle w:val="a6"/>
        <w:numPr>
          <w:ilvl w:val="0"/>
          <w:numId w:val="24"/>
        </w:numPr>
        <w:spacing w:before="0" w:after="0"/>
        <w:ind w:left="284" w:firstLine="0"/>
        <w:jc w:val="left"/>
        <w:rPr>
          <w:rFonts w:eastAsia="Times New Roman"/>
          <w:szCs w:val="24"/>
          <w:lang w:eastAsia="ru-RU"/>
        </w:rPr>
      </w:pPr>
      <w:r w:rsidRPr="00F242DD">
        <w:rPr>
          <w:rFonts w:eastAsia="Times New Roman"/>
          <w:szCs w:val="24"/>
          <w:lang w:eastAsia="ru-RU"/>
        </w:rPr>
        <w:t>Дексаметазон** 40 мг в/в кап</w:t>
      </w:r>
      <w:r w:rsidR="00E86459" w:rsidRPr="00F242DD">
        <w:rPr>
          <w:rFonts w:eastAsia="Times New Roman"/>
          <w:szCs w:val="24"/>
          <w:lang w:eastAsia="ru-RU"/>
        </w:rPr>
        <w:t>ельно</w:t>
      </w:r>
      <w:r w:rsidRPr="00F242DD">
        <w:rPr>
          <w:rFonts w:eastAsia="Times New Roman"/>
          <w:szCs w:val="24"/>
          <w:lang w:eastAsia="ru-RU"/>
        </w:rPr>
        <w:t xml:space="preserve"> или внутрь, 1 цикл – дни 1</w:t>
      </w:r>
      <w:r w:rsidR="00E86459" w:rsidRPr="00F242DD">
        <w:rPr>
          <w:rFonts w:eastAsia="Times New Roman"/>
          <w:szCs w:val="24"/>
          <w:lang w:eastAsia="ru-RU"/>
        </w:rPr>
        <w:t>‒</w:t>
      </w:r>
      <w:r w:rsidRPr="00F242DD">
        <w:rPr>
          <w:rFonts w:eastAsia="Times New Roman"/>
          <w:szCs w:val="24"/>
          <w:lang w:eastAsia="ru-RU"/>
        </w:rPr>
        <w:t>4</w:t>
      </w:r>
      <w:r w:rsidR="00E86459" w:rsidRPr="00F242DD">
        <w:rPr>
          <w:rFonts w:eastAsia="Times New Roman"/>
          <w:szCs w:val="24"/>
          <w:lang w:eastAsia="ru-RU"/>
        </w:rPr>
        <w:t>-й</w:t>
      </w:r>
      <w:r w:rsidRPr="00F242DD">
        <w:rPr>
          <w:rFonts w:eastAsia="Times New Roman"/>
          <w:szCs w:val="24"/>
          <w:lang w:eastAsia="ru-RU"/>
        </w:rPr>
        <w:t xml:space="preserve"> и 8</w:t>
      </w:r>
      <w:r w:rsidR="00E86459" w:rsidRPr="00F242DD">
        <w:rPr>
          <w:rFonts w:eastAsia="Times New Roman"/>
          <w:szCs w:val="24"/>
          <w:lang w:eastAsia="ru-RU"/>
        </w:rPr>
        <w:t>‒</w:t>
      </w:r>
      <w:r w:rsidRPr="00F242DD">
        <w:rPr>
          <w:rFonts w:eastAsia="Times New Roman"/>
          <w:szCs w:val="24"/>
          <w:lang w:eastAsia="ru-RU"/>
        </w:rPr>
        <w:t>11</w:t>
      </w:r>
      <w:r w:rsidR="00E86459" w:rsidRPr="00F242DD">
        <w:rPr>
          <w:rFonts w:eastAsia="Times New Roman"/>
          <w:szCs w:val="24"/>
          <w:lang w:eastAsia="ru-RU"/>
        </w:rPr>
        <w:t>-й</w:t>
      </w:r>
      <w:r w:rsidRPr="00F242DD">
        <w:rPr>
          <w:rFonts w:eastAsia="Times New Roman"/>
          <w:szCs w:val="24"/>
          <w:lang w:eastAsia="ru-RU"/>
        </w:rPr>
        <w:t>, далее – дни 1</w:t>
      </w:r>
      <w:r w:rsidR="00E86459" w:rsidRPr="00F242DD">
        <w:rPr>
          <w:rFonts w:eastAsia="Times New Roman"/>
          <w:szCs w:val="24"/>
          <w:lang w:eastAsia="ru-RU"/>
        </w:rPr>
        <w:t>‒</w:t>
      </w:r>
      <w:r w:rsidRPr="00F242DD">
        <w:rPr>
          <w:rFonts w:eastAsia="Times New Roman"/>
          <w:szCs w:val="24"/>
          <w:lang w:eastAsia="ru-RU"/>
        </w:rPr>
        <w:t>4</w:t>
      </w:r>
      <w:r w:rsidR="00E86459" w:rsidRPr="00F242DD">
        <w:rPr>
          <w:rFonts w:eastAsia="Times New Roman"/>
          <w:szCs w:val="24"/>
          <w:lang w:eastAsia="ru-RU"/>
        </w:rPr>
        <w:t>-й</w:t>
      </w:r>
    </w:p>
    <w:p w14:paraId="77B901DE" w14:textId="77777777" w:rsidR="000546DA"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22</w:t>
      </w:r>
      <w:r w:rsidR="004204B1" w:rsidRPr="00F242DD">
        <w:rPr>
          <w:rFonts w:eastAsia="Times New Roman"/>
          <w:szCs w:val="24"/>
          <w:lang w:eastAsia="ru-RU"/>
        </w:rPr>
        <w:t>-й</w:t>
      </w:r>
      <w:r w:rsidRPr="00F242DD">
        <w:rPr>
          <w:rFonts w:eastAsia="Times New Roman"/>
          <w:szCs w:val="24"/>
          <w:lang w:eastAsia="ru-RU"/>
        </w:rPr>
        <w:t xml:space="preserve"> день</w:t>
      </w:r>
      <w:r w:rsidR="00E86459" w:rsidRPr="00F242DD">
        <w:rPr>
          <w:rFonts w:eastAsia="Times New Roman"/>
          <w:szCs w:val="24"/>
          <w:lang w:eastAsia="ru-RU"/>
        </w:rPr>
        <w:t>.</w:t>
      </w:r>
    </w:p>
    <w:p w14:paraId="528F1D42" w14:textId="77777777" w:rsidR="00D16550" w:rsidRDefault="00D16550" w:rsidP="002431B5">
      <w:pPr>
        <w:spacing w:before="0" w:after="0"/>
        <w:contextualSpacing/>
        <w:rPr>
          <w:rFonts w:eastAsia="Times New Roman"/>
          <w:b/>
          <w:szCs w:val="24"/>
          <w:lang w:eastAsia="ru-RU"/>
        </w:rPr>
      </w:pPr>
    </w:p>
    <w:p w14:paraId="0F898C59"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t>VCD</w:t>
      </w:r>
    </w:p>
    <w:p w14:paraId="2AD9FEFC" w14:textId="77777777" w:rsidR="000546DA" w:rsidRPr="00F242DD" w:rsidRDefault="000546DA" w:rsidP="00616CC3">
      <w:pPr>
        <w:pStyle w:val="a6"/>
        <w:numPr>
          <w:ilvl w:val="0"/>
          <w:numId w:val="25"/>
        </w:numPr>
        <w:spacing w:before="0" w:after="0"/>
        <w:ind w:left="284" w:firstLine="0"/>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w:t>
      </w:r>
      <w:r w:rsidR="004204B1" w:rsidRPr="00F242DD">
        <w:rPr>
          <w:rFonts w:eastAsia="Times New Roman"/>
          <w:szCs w:val="24"/>
          <w:lang w:eastAsia="ru-RU"/>
        </w:rPr>
        <w:t>-й</w:t>
      </w:r>
    </w:p>
    <w:p w14:paraId="59BEB4C5" w14:textId="4AD72741" w:rsidR="000546DA" w:rsidRPr="00616CC3" w:rsidRDefault="000546DA" w:rsidP="00616CC3">
      <w:pPr>
        <w:pStyle w:val="a6"/>
        <w:numPr>
          <w:ilvl w:val="0"/>
          <w:numId w:val="25"/>
        </w:numPr>
        <w:spacing w:before="0" w:after="0"/>
        <w:ind w:left="284" w:firstLine="0"/>
        <w:jc w:val="left"/>
        <w:rPr>
          <w:rFonts w:eastAsia="Times New Roman"/>
          <w:szCs w:val="24"/>
          <w:lang w:eastAsia="ru-RU"/>
        </w:rPr>
      </w:pPr>
      <w:r w:rsidRPr="00616CC3">
        <w:rPr>
          <w:rFonts w:eastAsia="Times New Roman"/>
          <w:szCs w:val="24"/>
          <w:lang w:eastAsia="ru-RU"/>
        </w:rPr>
        <w:t>Циклофосфамид** 400 мг/м</w:t>
      </w:r>
      <w:r w:rsidRPr="00616CC3">
        <w:rPr>
          <w:rFonts w:eastAsia="Times New Roman"/>
          <w:szCs w:val="24"/>
          <w:vertAlign w:val="superscript"/>
          <w:lang w:eastAsia="ru-RU"/>
        </w:rPr>
        <w:t>2</w:t>
      </w:r>
      <w:r w:rsidRPr="00616CC3">
        <w:rPr>
          <w:rFonts w:eastAsia="Times New Roman"/>
          <w:szCs w:val="24"/>
          <w:lang w:eastAsia="ru-RU"/>
        </w:rPr>
        <w:t>, в/в кап</w:t>
      </w:r>
      <w:r w:rsidR="004204B1" w:rsidRPr="00616CC3">
        <w:rPr>
          <w:rFonts w:eastAsia="Times New Roman"/>
          <w:szCs w:val="24"/>
          <w:lang w:eastAsia="ru-RU"/>
        </w:rPr>
        <w:t>ельно</w:t>
      </w:r>
      <w:r w:rsidRPr="00616CC3">
        <w:rPr>
          <w:rFonts w:eastAsia="Times New Roman"/>
          <w:szCs w:val="24"/>
          <w:lang w:eastAsia="ru-RU"/>
        </w:rPr>
        <w:t>, дни 1, 8</w:t>
      </w:r>
      <w:r w:rsidR="004204B1" w:rsidRPr="00616CC3">
        <w:rPr>
          <w:rFonts w:eastAsia="Times New Roman"/>
          <w:szCs w:val="24"/>
          <w:lang w:eastAsia="ru-RU"/>
        </w:rPr>
        <w:t>-й</w:t>
      </w:r>
      <w:r w:rsidRPr="00616CC3">
        <w:rPr>
          <w:rFonts w:eastAsia="Times New Roman"/>
          <w:szCs w:val="24"/>
          <w:lang w:eastAsia="ru-RU"/>
        </w:rPr>
        <w:t xml:space="preserve"> или 200 мг в/в кап</w:t>
      </w:r>
      <w:r w:rsidR="004204B1" w:rsidRPr="00616CC3">
        <w:rPr>
          <w:rFonts w:eastAsia="Times New Roman"/>
          <w:szCs w:val="24"/>
          <w:lang w:eastAsia="ru-RU"/>
        </w:rPr>
        <w:t>ельно</w:t>
      </w:r>
      <w:r w:rsidRPr="00616CC3">
        <w:rPr>
          <w:rFonts w:eastAsia="Times New Roman"/>
          <w:szCs w:val="24"/>
          <w:lang w:eastAsia="ru-RU"/>
        </w:rPr>
        <w:t>, дни 1, 4, 8, 11</w:t>
      </w:r>
      <w:r w:rsidR="004204B1" w:rsidRPr="00616CC3">
        <w:rPr>
          <w:rFonts w:eastAsia="Times New Roman"/>
          <w:szCs w:val="24"/>
          <w:lang w:eastAsia="ru-RU"/>
        </w:rPr>
        <w:t>-й</w:t>
      </w:r>
      <w:r w:rsidRPr="00616CC3">
        <w:rPr>
          <w:rFonts w:eastAsia="Times New Roman"/>
          <w:szCs w:val="24"/>
          <w:lang w:eastAsia="ru-RU"/>
        </w:rPr>
        <w:t xml:space="preserve"> или 50 мг внутрь, дни 1</w:t>
      </w:r>
      <w:r w:rsidR="004204B1" w:rsidRPr="00616CC3">
        <w:rPr>
          <w:rFonts w:eastAsia="Times New Roman"/>
          <w:szCs w:val="24"/>
          <w:lang w:eastAsia="ru-RU"/>
        </w:rPr>
        <w:t>‒</w:t>
      </w:r>
      <w:r w:rsidRPr="00616CC3">
        <w:rPr>
          <w:rFonts w:eastAsia="Times New Roman"/>
          <w:szCs w:val="24"/>
          <w:lang w:eastAsia="ru-RU"/>
        </w:rPr>
        <w:t>14</w:t>
      </w:r>
      <w:r w:rsidR="004204B1" w:rsidRPr="00616CC3">
        <w:rPr>
          <w:rFonts w:eastAsia="Times New Roman"/>
          <w:szCs w:val="24"/>
          <w:lang w:eastAsia="ru-RU"/>
        </w:rPr>
        <w:t>-й</w:t>
      </w:r>
    </w:p>
    <w:p w14:paraId="55C38A34" w14:textId="3D52C862" w:rsidR="000546DA" w:rsidRPr="00616CC3" w:rsidRDefault="000546DA" w:rsidP="00616CC3">
      <w:pPr>
        <w:pStyle w:val="a6"/>
        <w:numPr>
          <w:ilvl w:val="0"/>
          <w:numId w:val="26"/>
        </w:numPr>
        <w:spacing w:before="0" w:after="0"/>
        <w:ind w:left="284" w:firstLine="0"/>
        <w:jc w:val="left"/>
        <w:rPr>
          <w:rFonts w:eastAsia="Times New Roman"/>
          <w:szCs w:val="24"/>
          <w:lang w:eastAsia="ru-RU"/>
        </w:rPr>
      </w:pPr>
      <w:r w:rsidRPr="00616CC3">
        <w:rPr>
          <w:rFonts w:eastAsia="Times New Roman"/>
          <w:szCs w:val="24"/>
          <w:lang w:eastAsia="ru-RU"/>
        </w:rPr>
        <w:lastRenderedPageBreak/>
        <w:t>Дексаметазон** 40 мг в/в кап</w:t>
      </w:r>
      <w:r w:rsidR="004204B1" w:rsidRPr="00616CC3">
        <w:rPr>
          <w:rFonts w:eastAsia="Times New Roman"/>
          <w:szCs w:val="24"/>
          <w:lang w:eastAsia="ru-RU"/>
        </w:rPr>
        <w:t>ельно</w:t>
      </w:r>
      <w:r w:rsidRPr="00616CC3">
        <w:rPr>
          <w:rFonts w:eastAsia="Times New Roman"/>
          <w:szCs w:val="24"/>
          <w:lang w:eastAsia="ru-RU"/>
        </w:rPr>
        <w:t xml:space="preserve"> или внутрь, 1 цикл – дни 1</w:t>
      </w:r>
      <w:r w:rsidR="004204B1" w:rsidRPr="00616CC3">
        <w:rPr>
          <w:rFonts w:eastAsia="Times New Roman"/>
          <w:szCs w:val="24"/>
          <w:lang w:eastAsia="ru-RU"/>
        </w:rPr>
        <w:t>‒</w:t>
      </w:r>
      <w:r w:rsidRPr="00616CC3">
        <w:rPr>
          <w:rFonts w:eastAsia="Times New Roman"/>
          <w:szCs w:val="24"/>
          <w:lang w:eastAsia="ru-RU"/>
        </w:rPr>
        <w:t>4</w:t>
      </w:r>
      <w:r w:rsidR="004204B1" w:rsidRPr="00616CC3">
        <w:rPr>
          <w:rFonts w:eastAsia="Times New Roman"/>
          <w:szCs w:val="24"/>
          <w:lang w:eastAsia="ru-RU"/>
        </w:rPr>
        <w:t>-й</w:t>
      </w:r>
      <w:r w:rsidRPr="00616CC3">
        <w:rPr>
          <w:rFonts w:eastAsia="Times New Roman"/>
          <w:szCs w:val="24"/>
          <w:lang w:eastAsia="ru-RU"/>
        </w:rPr>
        <w:t xml:space="preserve"> и 8</w:t>
      </w:r>
      <w:r w:rsidR="004204B1" w:rsidRPr="00616CC3">
        <w:rPr>
          <w:rFonts w:eastAsia="Times New Roman"/>
          <w:szCs w:val="24"/>
          <w:lang w:eastAsia="ru-RU"/>
        </w:rPr>
        <w:t>‒</w:t>
      </w:r>
      <w:r w:rsidRPr="00616CC3">
        <w:rPr>
          <w:rFonts w:eastAsia="Times New Roman"/>
          <w:szCs w:val="24"/>
          <w:lang w:eastAsia="ru-RU"/>
        </w:rPr>
        <w:t>11</w:t>
      </w:r>
      <w:r w:rsidR="004204B1" w:rsidRPr="00616CC3">
        <w:rPr>
          <w:rFonts w:eastAsia="Times New Roman"/>
          <w:szCs w:val="24"/>
          <w:lang w:eastAsia="ru-RU"/>
        </w:rPr>
        <w:t>-й</w:t>
      </w:r>
      <w:r w:rsidRPr="00616CC3">
        <w:rPr>
          <w:rFonts w:eastAsia="Times New Roman"/>
          <w:szCs w:val="24"/>
          <w:lang w:eastAsia="ru-RU"/>
        </w:rPr>
        <w:t>, далее – дни 1</w:t>
      </w:r>
      <w:r w:rsidR="004204B1" w:rsidRPr="00616CC3">
        <w:rPr>
          <w:rFonts w:eastAsia="Times New Roman"/>
          <w:szCs w:val="24"/>
          <w:lang w:eastAsia="ru-RU"/>
        </w:rPr>
        <w:t>‒</w:t>
      </w:r>
      <w:r w:rsidRPr="00616CC3">
        <w:rPr>
          <w:rFonts w:eastAsia="Times New Roman"/>
          <w:szCs w:val="24"/>
          <w:lang w:eastAsia="ru-RU"/>
        </w:rPr>
        <w:t>4</w:t>
      </w:r>
      <w:r w:rsidR="004204B1" w:rsidRPr="00616CC3">
        <w:rPr>
          <w:rFonts w:eastAsia="Times New Roman"/>
          <w:szCs w:val="24"/>
          <w:lang w:eastAsia="ru-RU"/>
        </w:rPr>
        <w:t>-й</w:t>
      </w:r>
      <w:r w:rsidRPr="00616CC3">
        <w:rPr>
          <w:rFonts w:eastAsia="Times New Roman"/>
          <w:szCs w:val="24"/>
          <w:lang w:eastAsia="ru-RU"/>
        </w:rPr>
        <w:t xml:space="preserve"> или 20 мг внутрь, дни 1, 2, 4, 5, 8, 9, 11, 12</w:t>
      </w:r>
      <w:r w:rsidR="004204B1" w:rsidRPr="00616CC3">
        <w:rPr>
          <w:rFonts w:eastAsia="Times New Roman"/>
          <w:szCs w:val="24"/>
          <w:lang w:eastAsia="ru-RU"/>
        </w:rPr>
        <w:t>-й</w:t>
      </w:r>
    </w:p>
    <w:p w14:paraId="4999DD5C" w14:textId="77777777" w:rsidR="000546DA" w:rsidRPr="00F242DD"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22</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4627172B" w14:textId="0089D372" w:rsidR="006F294C" w:rsidRPr="0058100B" w:rsidRDefault="00AB1657" w:rsidP="006F294C">
      <w:pPr>
        <w:spacing w:after="0"/>
        <w:rPr>
          <w:rFonts w:eastAsia="Times New Roman"/>
          <w:b/>
          <w:szCs w:val="24"/>
          <w:lang w:eastAsia="ru-RU"/>
        </w:rPr>
      </w:pPr>
      <w:r w:rsidRPr="00AB1657">
        <w:rPr>
          <w:rFonts w:eastAsia="Times New Roman"/>
          <w:b/>
          <w:szCs w:val="24"/>
          <w:lang w:val="en-US" w:eastAsia="ru-RU"/>
        </w:rPr>
        <w:t>VR</w:t>
      </w:r>
      <w:r w:rsidR="00801A08">
        <w:rPr>
          <w:rFonts w:eastAsia="Times New Roman"/>
          <w:b/>
          <w:szCs w:val="24"/>
          <w:lang w:val="en-US" w:eastAsia="ru-RU"/>
        </w:rPr>
        <w:t>D</w:t>
      </w:r>
      <w:r w:rsidR="00836298">
        <w:rPr>
          <w:rFonts w:eastAsia="Times New Roman"/>
          <w:b/>
          <w:szCs w:val="24"/>
          <w:lang w:eastAsia="ru-RU"/>
        </w:rPr>
        <w:t xml:space="preserve"> </w:t>
      </w:r>
      <w:r w:rsidR="00836298">
        <w:rPr>
          <w:rFonts w:eastAsia="Times New Roman"/>
          <w:b/>
          <w:szCs w:val="24"/>
          <w:lang w:val="en-US" w:eastAsia="ru-RU"/>
        </w:rPr>
        <w:fldChar w:fldCharType="begin" w:fldLock="1"/>
      </w:r>
      <w:r w:rsidR="00A14090">
        <w:rPr>
          <w:rFonts w:eastAsia="Times New Roman"/>
          <w:b/>
          <w:szCs w:val="24"/>
          <w:lang w:val="en-US" w:eastAsia="ru-RU"/>
        </w:rPr>
        <w:instrText>ADDIN CSL_CITATION {"citationItems":[{"id":"ITEM-1","itemData":{"DOI":"10.1056/nejmoa1611750","ISSN":"0028-4793","PMID":"28379796","abstract":"High-dose chemotherapy plus autologous stem-cell transplantation has been the standard treatment for newly diagnosed multiple myeloma in adults up to 65 years of age. However, promising data on the use of combination therapy with lenalidomide, bortezomib, and dexamethasone (RVD) in this population have raised questions about the role and timing of transplantation. We randomly assigned 700 patients with multiple myeloma to receive induction therapy with three cycles of RVD and then consolidation therapy with either five additional cycles of RVD (350 patients) or high-dose melphalan plus stem-cell transplantation followed by two additional cycles of RVD (350 patients). Patients in both groups received maintenance therapy with lenalidomide for 1 year. The primary end point was progression-free survival. Median progression-free survival was significantly longer in the group that underwent transplantation than in the group that received RVD alone (50 months vs. 36 months; adjusted hazard ratio for disease progression or death, 0.65; P&lt;0.001). This benefit was observed across all patient subgroups, including those stratified according to International Staging System stage and cytogenetic risk. The percentage of patients with a complete response was higher in the transplantation group than in the RVD-alone group (59% vs. 48%, P=0.03), as was the percentage of patients in whom minimal residual disease was not detected (79% vs. 65%, P&lt;0.001). Overall survival at 4 years did not differ significantly between the transplantation group and the RVD-alone group (81% and 82%, respectively). The rate of grade 3 or 4 neutropenia was significantly higher in the transplantation group than in the RVD-alone group (92% vs. 47%), as were the rates of grade 3 or 4 gastrointestinal disorders (28% vs. 7%) and infections (20% vs. 9%). No significant between-group differences were observed in the rates of treatment-related deaths, second primary cancers, thromboembolic events, and peripheral neuropathy. Among adults with multiple myeloma, RVD therapy plus transplantation was associated with significantly longer progression-free survival than RVD therapy alone, but overall survival did not differ significantly between the two approaches. (Supported by Celgene and others; IFM 2009 Study ClinicalTrials.gov number, NCT01191060 .).","author":[{"dropping-particle":"","family":"Attal","given":"Michel","non-dropping-particle":"","parse-names":false,"suffix":""},{"dropping-particle":"","family":"Lauwers-Cances","given":"Valerie","non-dropping-particle":"","parse-names":false,"suffix":""},{"dropping-particle":"","family":"Hulin","given":"Cyrille","non-dropping-particle":"","parse-names":false,"suffix":""},{"dropping-particle":"","family":"Leleu","given":"Xavier","non-dropping-particle":"","parse-names":false,"suffix":""},{"dropping-particle":"","family":"Caillot","given":"Denis","non-dropping-particle":"","parse-names":false,"suffix":""},{"dropping-particle":"","family":"Escoffre","given":"Martine","non-dropping-particle":"","parse-names":false,"suffix":""},{"dropping-particle":"","family":"Arnulf","given":"Bertrand","non-dropping-particle":"","parse-names":false,"suffix":""},{"dropping-particle":"","family":"Macro","given":"Margaret","non-dropping-particle":"","parse-names":false,"suffix":""},{"dropping-particle":"","family":"Belhadj","given":"Karim","non-dropping-particle":"","parse-names":false,"suffix":""},{"dropping-particle":"","family":"Garderet","given":"Laurent","non-dropping-particle":"","parse-names":false,"suffix":""},{"dropping-particle":"","family":"Roussel","given":"Murielle","non-dropping-particle":"","parse-names":false,"suffix":""},{"dropping-particle":"","family":"Payen","given":"Catherine","non-dropping-particle":"","parse-names":false,"suffix":""},{"dropping-particle":"","family":"Mathiot","given":"Claire","non-dropping-particle":"","parse-names":false,"suffix":""},{"dropping-particle":"","family":"Fermand","given":"Jean P.","non-dropping-particle":"","parse-names":false,"suffix":""},{"dropping-particle":"","family":"Meuleman","given":"Nathalie","non-dropping-particle":"","parse-names":false,"suffix":""},{"dropping-particle":"","family":"Rollet","given":"Sandrine","non-dropping-particle":"","parse-names":false,"suffix":""},{"dropping-particle":"","family":"Maglio","given":"Michelle E.","non-dropping-particle":"","parse-names":false,"suffix":""},{"dropping-particle":"","family":"Zeytoonjian","given":"Andrea A.","non-dropping-particle":"","parse-names":false,"suffix":""},{"dropping-particle":"","family":"Weller","given":"Edie A.","non-dropping-particle":"","parse-names":false,"suffix":""},{"dropping-particle":"","family":"Munshi","given":"Nikhil","non-dropping-particle":"","parse-names":false,"suffix":""},{"dropping-particle":"","family":"Anderson","given":"Kenneth C.","non-dropping-particle":"","parse-names":false,"suffix":""},{"dropping-particle":"","family":"Richardson","given":"Paul G.","non-dropping-particle":"","parse-names":false,"suffix":""},{"dropping-particle":"","family":"Facon","given":"Thierry","non-dropping-particle":"","parse-names":false,"suffix":""},{"dropping-particle":"","family":"Avet-Loiseau","given":"Hervé","non-dropping-particle":"","parse-names":false,"suffix":""},{"dropping-particle":"","family":"Harousseau","given":"Jean-Luc","non-dropping-particle":"","parse-names":false,"suffix":""},{"dropping-particle":"","family":"Moreau","given":"Philippe","non-dropping-particle":"","parse-names":false,"suffix":""}],"container-title":"New England Journal of Medicine","id":"ITEM-1","issue":"14","issued":{"date-parts":[["2017","4"]]},"page":"1311-1320","publisher":"New England Journal of Medicine (NEJM/MMS)","title":"Lenalidomide, Bortezomib, and Dexamethasone with Transplantation for Myeloma","type":"article-journal","volume":"376"},"uris":["http://www.mendeley.com/documents/?uuid=fa73918e-e00b-4bf3-bc9c-9608b6247b75"]},{"id":"ITEM-2","itemData":{"DOI":"10.1182/blood.2019000241","ISSN":"15280020","PMID":"31484647","abstract":"Achieving and maintaining a high-quality response is the treatment goal for patients with newly diagnosed multiple myeloma (NDMM). The phase 3 PETHEMA/GEM2012 study, in 458 patients aged £65 years with NDMM, is evaluating bortezomib (subcutaneous) 1 lenalidomide 1 dexamethasone (VRD) for 6 cycles followed by autologous stem cell transplant (ASCT) conditioned with IV busulfan 1 melphalan vs melphalan and posttransplant consolidation with 2 cycles of VRD. We present grouped response analysis of induction, transplant, and consolidation. Responses deepened over time; in patients who initiated cycle 6 of induction (n = 426), the rates of a very good partial response or better were 55.6%by cycle 3, 63.8%by cycle 4, 68.3% by cycle 5, and 70.4%after induction. The complete response rate of 33.4% after induction in the intent-to-treat (ITT) population, which was similar in the 92 patients with high-risk cytogenetics (34.8%), also deepened with further treatment (44.1% after ASCT and 50.2% after consolidation). Rates of undetectable minimal residual disease (median 3 × 10-6 sensitivity) in the ITT population also increased from induction (28.8%) to transplant (42.1%) and consolidation (45.2%). The most common grade ≥3 treatment-emergent adverse events during induction were neutropenia (12.9%) and infection (9.2%). Grade ≥2 peripheral neuropathy (grouped term) during induction was 17.0%, with a low frequency of grade 3 (3.7%) and grade 4 (0.2%) events. VRD is an effective and well-tolerated regimen for induction in NDMM with deepening response throughout induction and over the course of treatment. This trial was registered at www.clinicaltrials.gov as #NCT01916252 and EudraCT as #2012-005683-10.","author":[{"dropping-particle":"","family":"Rosiñol","given":"Laura","non-dropping-particle":"","parse-names":false,"suffix":""},{"dropping-particle":"","family":"Oriol","given":"Albert","non-dropping-particle":"","parse-names":false,"suffix":""},{"dropping-particle":"","family":"Rios","given":"Rafael","non-dropping-particle":"","parse-names":false,"suffix":""},{"dropping-particle":"","family":"Sureda","given":"Anna","non-dropping-particle":"","parse-names":false,"suffix":""},{"dropping-particle":"","family":"Blanchard","given":"María Jesús","non-dropping-particle":"","parse-names":false,"suffix":""},{"dropping-particle":"","family":"Hernández","given":"Miguel Teodoro","non-dropping-particle":"","parse-names":false,"suffix":""},{"dropping-particle":"","family":"Martínez-Martínez","given":"Rafael","non-dropping-particle":"","parse-names":false,"suffix":""},{"dropping-particle":"","family":"Moraleda","given":"Jose M.","non-dropping-particle":"","parse-names":false,"suffix":""},{"dropping-particle":"","family":"Jarque","given":"Isidro","non-dropping-particle":"","parse-names":false,"suffix":""},{"dropping-particle":"","family":"Bargay","given":"Juan","non-dropping-particle":"","parse-names":false,"suffix":""},{"dropping-particle":"","family":"Gironella","given":"Mercedes","non-dropping-particle":"","parse-names":false,"suffix":""},{"dropping-particle":"","family":"Arriba","given":"Felipe","non-dropping-particle":"De","parse-names":false,"suffix":""},{"dropping-particle":"","family":"Palomera","given":"Luis","non-dropping-particle":"","parse-names":false,"suffix":""},{"dropping-particle":"","family":"González-Montes","given":"Yolanda","non-dropping-particle":"","parse-names":false,"suffix":""},{"dropping-particle":"","family":"Martí","given":"Josep M.","non-dropping-particle":"","parse-names":false,"suffix":""},{"dropping-particle":"","family":"Krsnik","given":"Isabel","non-dropping-particle":"","parse-names":false,"suffix":""},{"dropping-particle":"","family":"Arguiñano","given":"Jose M.","non-dropping-particle":"","parse-names":false,"suffix":""},{"dropping-particle":"","family":"González","given":"Maria Esther","non-dropping-particle":"","parse-names":false,"suffix":""},{"dropping-particle":"","family":"González","given":"Ana Pilar","non-dropping-particle":"","parse-names":false,"suffix":""},{"dropping-particle</w:instrText>
      </w:r>
      <w:r w:rsidR="00A14090" w:rsidRPr="001A50CB">
        <w:rPr>
          <w:rFonts w:eastAsia="Times New Roman"/>
          <w:b/>
          <w:szCs w:val="24"/>
          <w:lang w:eastAsia="ru-RU"/>
        </w:rPr>
        <w:instrText>":"","</w:instrText>
      </w:r>
      <w:r w:rsidR="00A14090">
        <w:rPr>
          <w:rFonts w:eastAsia="Times New Roman"/>
          <w:b/>
          <w:szCs w:val="24"/>
          <w:lang w:val="en-US" w:eastAsia="ru-RU"/>
        </w:rPr>
        <w:instrText>family</w:instrText>
      </w:r>
      <w:r w:rsidR="00A14090" w:rsidRPr="001A50CB">
        <w:rPr>
          <w:rFonts w:eastAsia="Times New Roman"/>
          <w:b/>
          <w:szCs w:val="24"/>
          <w:lang w:eastAsia="ru-RU"/>
        </w:rPr>
        <w:instrText>":"</w:instrText>
      </w:r>
      <w:r w:rsidR="00A14090">
        <w:rPr>
          <w:rFonts w:eastAsia="Times New Roman"/>
          <w:b/>
          <w:szCs w:val="24"/>
          <w:lang w:val="en-US" w:eastAsia="ru-RU"/>
        </w:rPr>
        <w:instrText>Casado</w:instrText>
      </w:r>
      <w:r w:rsidR="00A14090" w:rsidRPr="001A50CB">
        <w:rPr>
          <w:rFonts w:eastAsia="Times New Roman"/>
          <w:b/>
          <w:szCs w:val="24"/>
          <w:lang w:eastAsia="ru-RU"/>
        </w:rPr>
        <w:instrText>","</w:instrText>
      </w:r>
      <w:r w:rsidR="00A14090">
        <w:rPr>
          <w:rFonts w:eastAsia="Times New Roman"/>
          <w:b/>
          <w:szCs w:val="24"/>
          <w:lang w:val="en-US" w:eastAsia="ru-RU"/>
        </w:rPr>
        <w:instrText>given</w:instrText>
      </w:r>
      <w:r w:rsidR="00A14090" w:rsidRPr="001A50CB">
        <w:rPr>
          <w:rFonts w:eastAsia="Times New Roman"/>
          <w:b/>
          <w:szCs w:val="24"/>
          <w:lang w:eastAsia="ru-RU"/>
        </w:rPr>
        <w:instrText>":"</w:instrText>
      </w:r>
      <w:r w:rsidR="00A14090">
        <w:rPr>
          <w:rFonts w:eastAsia="Times New Roman"/>
          <w:b/>
          <w:szCs w:val="24"/>
          <w:lang w:val="en-US" w:eastAsia="ru-RU"/>
        </w:rPr>
        <w:instrText>Luis</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Felipe</w:instrText>
      </w:r>
      <w:r w:rsidR="00A14090" w:rsidRPr="001A50CB">
        <w:rPr>
          <w:rFonts w:eastAsia="Times New Roman"/>
          <w:b/>
          <w:szCs w:val="24"/>
          <w:lang w:eastAsia="ru-RU"/>
        </w:rPr>
        <w:instrText>","</w:instrText>
      </w:r>
      <w:r w:rsidR="00A14090">
        <w:rPr>
          <w:rFonts w:eastAsia="Times New Roman"/>
          <w:b/>
          <w:szCs w:val="24"/>
          <w:lang w:val="en-US" w:eastAsia="ru-RU"/>
        </w:rPr>
        <w:instrText>non</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parse</w:instrText>
      </w:r>
      <w:r w:rsidR="00A14090" w:rsidRPr="001A50CB">
        <w:rPr>
          <w:rFonts w:eastAsia="Times New Roman"/>
          <w:b/>
          <w:szCs w:val="24"/>
          <w:lang w:eastAsia="ru-RU"/>
        </w:rPr>
        <w:instrText>-</w:instrText>
      </w:r>
      <w:r w:rsidR="00A14090">
        <w:rPr>
          <w:rFonts w:eastAsia="Times New Roman"/>
          <w:b/>
          <w:szCs w:val="24"/>
          <w:lang w:val="en-US" w:eastAsia="ru-RU"/>
        </w:rPr>
        <w:instrText>names</w:instrText>
      </w:r>
      <w:r w:rsidR="00A14090" w:rsidRPr="001A50CB">
        <w:rPr>
          <w:rFonts w:eastAsia="Times New Roman"/>
          <w:b/>
          <w:szCs w:val="24"/>
          <w:lang w:eastAsia="ru-RU"/>
        </w:rPr>
        <w:instrText>":</w:instrText>
      </w:r>
      <w:r w:rsidR="00A14090">
        <w:rPr>
          <w:rFonts w:eastAsia="Times New Roman"/>
          <w:b/>
          <w:szCs w:val="24"/>
          <w:lang w:val="en-US" w:eastAsia="ru-RU"/>
        </w:rPr>
        <w:instrText>false</w:instrText>
      </w:r>
      <w:r w:rsidR="00A14090" w:rsidRPr="001A50CB">
        <w:rPr>
          <w:rFonts w:eastAsia="Times New Roman"/>
          <w:b/>
          <w:szCs w:val="24"/>
          <w:lang w:eastAsia="ru-RU"/>
        </w:rPr>
        <w:instrText>,"</w:instrText>
      </w:r>
      <w:r w:rsidR="00A14090">
        <w:rPr>
          <w:rFonts w:eastAsia="Times New Roman"/>
          <w:b/>
          <w:szCs w:val="24"/>
          <w:lang w:val="en-US" w:eastAsia="ru-RU"/>
        </w:rPr>
        <w:instrText>suffix</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family</w:instrText>
      </w:r>
      <w:r w:rsidR="00A14090" w:rsidRPr="001A50CB">
        <w:rPr>
          <w:rFonts w:eastAsia="Times New Roman"/>
          <w:b/>
          <w:szCs w:val="24"/>
          <w:lang w:eastAsia="ru-RU"/>
        </w:rPr>
        <w:instrText>":"</w:instrText>
      </w:r>
      <w:r w:rsidR="00A14090">
        <w:rPr>
          <w:rFonts w:eastAsia="Times New Roman"/>
          <w:b/>
          <w:szCs w:val="24"/>
          <w:lang w:val="en-US" w:eastAsia="ru-RU"/>
        </w:rPr>
        <w:instrText>L</w:instrText>
      </w:r>
      <w:r w:rsidR="00A14090" w:rsidRPr="001A50CB">
        <w:rPr>
          <w:rFonts w:eastAsia="Times New Roman"/>
          <w:b/>
          <w:szCs w:val="24"/>
          <w:lang w:eastAsia="ru-RU"/>
        </w:rPr>
        <w:instrText>ó</w:instrText>
      </w:r>
      <w:r w:rsidR="00A14090">
        <w:rPr>
          <w:rFonts w:eastAsia="Times New Roman"/>
          <w:b/>
          <w:szCs w:val="24"/>
          <w:lang w:val="en-US" w:eastAsia="ru-RU"/>
        </w:rPr>
        <w:instrText>pez</w:instrText>
      </w:r>
      <w:r w:rsidR="00A14090" w:rsidRPr="001A50CB">
        <w:rPr>
          <w:rFonts w:eastAsia="Times New Roman"/>
          <w:b/>
          <w:szCs w:val="24"/>
          <w:lang w:eastAsia="ru-RU"/>
        </w:rPr>
        <w:instrText>-</w:instrText>
      </w:r>
      <w:r w:rsidR="00A14090">
        <w:rPr>
          <w:rFonts w:eastAsia="Times New Roman"/>
          <w:b/>
          <w:szCs w:val="24"/>
          <w:lang w:val="en-US" w:eastAsia="ru-RU"/>
        </w:rPr>
        <w:instrText>Anglada</w:instrText>
      </w:r>
      <w:r w:rsidR="00A14090" w:rsidRPr="001A50CB">
        <w:rPr>
          <w:rFonts w:eastAsia="Times New Roman"/>
          <w:b/>
          <w:szCs w:val="24"/>
          <w:lang w:eastAsia="ru-RU"/>
        </w:rPr>
        <w:instrText>","</w:instrText>
      </w:r>
      <w:r w:rsidR="00A14090">
        <w:rPr>
          <w:rFonts w:eastAsia="Times New Roman"/>
          <w:b/>
          <w:szCs w:val="24"/>
          <w:lang w:val="en-US" w:eastAsia="ru-RU"/>
        </w:rPr>
        <w:instrText>given</w:instrText>
      </w:r>
      <w:r w:rsidR="00A14090" w:rsidRPr="001A50CB">
        <w:rPr>
          <w:rFonts w:eastAsia="Times New Roman"/>
          <w:b/>
          <w:szCs w:val="24"/>
          <w:lang w:eastAsia="ru-RU"/>
        </w:rPr>
        <w:instrText>":"</w:instrText>
      </w:r>
      <w:r w:rsidR="00A14090">
        <w:rPr>
          <w:rFonts w:eastAsia="Times New Roman"/>
          <w:b/>
          <w:szCs w:val="24"/>
          <w:lang w:val="en-US" w:eastAsia="ru-RU"/>
        </w:rPr>
        <w:instrText>Lucia</w:instrText>
      </w:r>
      <w:r w:rsidR="00A14090" w:rsidRPr="001A50CB">
        <w:rPr>
          <w:rFonts w:eastAsia="Times New Roman"/>
          <w:b/>
          <w:szCs w:val="24"/>
          <w:lang w:eastAsia="ru-RU"/>
        </w:rPr>
        <w:instrText>","</w:instrText>
      </w:r>
      <w:r w:rsidR="00A14090">
        <w:rPr>
          <w:rFonts w:eastAsia="Times New Roman"/>
          <w:b/>
          <w:szCs w:val="24"/>
          <w:lang w:val="en-US" w:eastAsia="ru-RU"/>
        </w:rPr>
        <w:instrText>non</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parse</w:instrText>
      </w:r>
      <w:r w:rsidR="00A14090" w:rsidRPr="001A50CB">
        <w:rPr>
          <w:rFonts w:eastAsia="Times New Roman"/>
          <w:b/>
          <w:szCs w:val="24"/>
          <w:lang w:eastAsia="ru-RU"/>
        </w:rPr>
        <w:instrText>-</w:instrText>
      </w:r>
      <w:r w:rsidR="00A14090">
        <w:rPr>
          <w:rFonts w:eastAsia="Times New Roman"/>
          <w:b/>
          <w:szCs w:val="24"/>
          <w:lang w:val="en-US" w:eastAsia="ru-RU"/>
        </w:rPr>
        <w:instrText>names</w:instrText>
      </w:r>
      <w:r w:rsidR="00A14090" w:rsidRPr="001A50CB">
        <w:rPr>
          <w:rFonts w:eastAsia="Times New Roman"/>
          <w:b/>
          <w:szCs w:val="24"/>
          <w:lang w:eastAsia="ru-RU"/>
        </w:rPr>
        <w:instrText>":</w:instrText>
      </w:r>
      <w:r w:rsidR="00A14090">
        <w:rPr>
          <w:rFonts w:eastAsia="Times New Roman"/>
          <w:b/>
          <w:szCs w:val="24"/>
          <w:lang w:val="en-US" w:eastAsia="ru-RU"/>
        </w:rPr>
        <w:instrText>false</w:instrText>
      </w:r>
      <w:r w:rsidR="00A14090" w:rsidRPr="001A50CB">
        <w:rPr>
          <w:rFonts w:eastAsia="Times New Roman"/>
          <w:b/>
          <w:szCs w:val="24"/>
          <w:lang w:eastAsia="ru-RU"/>
        </w:rPr>
        <w:instrText>,"</w:instrText>
      </w:r>
      <w:r w:rsidR="00A14090">
        <w:rPr>
          <w:rFonts w:eastAsia="Times New Roman"/>
          <w:b/>
          <w:szCs w:val="24"/>
          <w:lang w:val="en-US" w:eastAsia="ru-RU"/>
        </w:rPr>
        <w:instrText>suffix</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family</w:instrText>
      </w:r>
      <w:r w:rsidR="00A14090" w:rsidRPr="001A50CB">
        <w:rPr>
          <w:rFonts w:eastAsia="Times New Roman"/>
          <w:b/>
          <w:szCs w:val="24"/>
          <w:lang w:eastAsia="ru-RU"/>
        </w:rPr>
        <w:instrText>":"</w:instrText>
      </w:r>
      <w:r w:rsidR="00A14090">
        <w:rPr>
          <w:rFonts w:eastAsia="Times New Roman"/>
          <w:b/>
          <w:szCs w:val="24"/>
          <w:lang w:val="en-US" w:eastAsia="ru-RU"/>
        </w:rPr>
        <w:instrText>Paiva</w:instrText>
      </w:r>
      <w:r w:rsidR="00A14090" w:rsidRPr="001A50CB">
        <w:rPr>
          <w:rFonts w:eastAsia="Times New Roman"/>
          <w:b/>
          <w:szCs w:val="24"/>
          <w:lang w:eastAsia="ru-RU"/>
        </w:rPr>
        <w:instrText>","</w:instrText>
      </w:r>
      <w:r w:rsidR="00A14090">
        <w:rPr>
          <w:rFonts w:eastAsia="Times New Roman"/>
          <w:b/>
          <w:szCs w:val="24"/>
          <w:lang w:val="en-US" w:eastAsia="ru-RU"/>
        </w:rPr>
        <w:instrText>given</w:instrText>
      </w:r>
      <w:r w:rsidR="00A14090" w:rsidRPr="001A50CB">
        <w:rPr>
          <w:rFonts w:eastAsia="Times New Roman"/>
          <w:b/>
          <w:szCs w:val="24"/>
          <w:lang w:eastAsia="ru-RU"/>
        </w:rPr>
        <w:instrText>":"</w:instrText>
      </w:r>
      <w:r w:rsidR="00A14090">
        <w:rPr>
          <w:rFonts w:eastAsia="Times New Roman"/>
          <w:b/>
          <w:szCs w:val="24"/>
          <w:lang w:val="en-US" w:eastAsia="ru-RU"/>
        </w:rPr>
        <w:instrText>Bruno</w:instrText>
      </w:r>
      <w:r w:rsidR="00A14090" w:rsidRPr="001A50CB">
        <w:rPr>
          <w:rFonts w:eastAsia="Times New Roman"/>
          <w:b/>
          <w:szCs w:val="24"/>
          <w:lang w:eastAsia="ru-RU"/>
        </w:rPr>
        <w:instrText>","</w:instrText>
      </w:r>
      <w:r w:rsidR="00A14090">
        <w:rPr>
          <w:rFonts w:eastAsia="Times New Roman"/>
          <w:b/>
          <w:szCs w:val="24"/>
          <w:lang w:val="en-US" w:eastAsia="ru-RU"/>
        </w:rPr>
        <w:instrText>non</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parse</w:instrText>
      </w:r>
      <w:r w:rsidR="00A14090" w:rsidRPr="001A50CB">
        <w:rPr>
          <w:rFonts w:eastAsia="Times New Roman"/>
          <w:b/>
          <w:szCs w:val="24"/>
          <w:lang w:eastAsia="ru-RU"/>
        </w:rPr>
        <w:instrText>-</w:instrText>
      </w:r>
      <w:r w:rsidR="00A14090">
        <w:rPr>
          <w:rFonts w:eastAsia="Times New Roman"/>
          <w:b/>
          <w:szCs w:val="24"/>
          <w:lang w:val="en-US" w:eastAsia="ru-RU"/>
        </w:rPr>
        <w:instrText>names</w:instrText>
      </w:r>
      <w:r w:rsidR="00A14090" w:rsidRPr="001A50CB">
        <w:rPr>
          <w:rFonts w:eastAsia="Times New Roman"/>
          <w:b/>
          <w:szCs w:val="24"/>
          <w:lang w:eastAsia="ru-RU"/>
        </w:rPr>
        <w:instrText>":</w:instrText>
      </w:r>
      <w:r w:rsidR="00A14090">
        <w:rPr>
          <w:rFonts w:eastAsia="Times New Roman"/>
          <w:b/>
          <w:szCs w:val="24"/>
          <w:lang w:val="en-US" w:eastAsia="ru-RU"/>
        </w:rPr>
        <w:instrText>false</w:instrText>
      </w:r>
      <w:r w:rsidR="00A14090" w:rsidRPr="001A50CB">
        <w:rPr>
          <w:rFonts w:eastAsia="Times New Roman"/>
          <w:b/>
          <w:szCs w:val="24"/>
          <w:lang w:eastAsia="ru-RU"/>
        </w:rPr>
        <w:instrText>,"</w:instrText>
      </w:r>
      <w:r w:rsidR="00A14090">
        <w:rPr>
          <w:rFonts w:eastAsia="Times New Roman"/>
          <w:b/>
          <w:szCs w:val="24"/>
          <w:lang w:val="en-US" w:eastAsia="ru-RU"/>
        </w:rPr>
        <w:instrText>suffix</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family</w:instrText>
      </w:r>
      <w:r w:rsidR="00A14090" w:rsidRPr="001A50CB">
        <w:rPr>
          <w:rFonts w:eastAsia="Times New Roman"/>
          <w:b/>
          <w:szCs w:val="24"/>
          <w:lang w:eastAsia="ru-RU"/>
        </w:rPr>
        <w:instrText>":"</w:instrText>
      </w:r>
      <w:r w:rsidR="00A14090">
        <w:rPr>
          <w:rFonts w:eastAsia="Times New Roman"/>
          <w:b/>
          <w:szCs w:val="24"/>
          <w:lang w:val="en-US" w:eastAsia="ru-RU"/>
        </w:rPr>
        <w:instrText>Mateos</w:instrText>
      </w:r>
      <w:r w:rsidR="00A14090" w:rsidRPr="001A50CB">
        <w:rPr>
          <w:rFonts w:eastAsia="Times New Roman"/>
          <w:b/>
          <w:szCs w:val="24"/>
          <w:lang w:eastAsia="ru-RU"/>
        </w:rPr>
        <w:instrText>","</w:instrText>
      </w:r>
      <w:r w:rsidR="00A14090">
        <w:rPr>
          <w:rFonts w:eastAsia="Times New Roman"/>
          <w:b/>
          <w:szCs w:val="24"/>
          <w:lang w:val="en-US" w:eastAsia="ru-RU"/>
        </w:rPr>
        <w:instrText>given</w:instrText>
      </w:r>
      <w:r w:rsidR="00A14090" w:rsidRPr="001A50CB">
        <w:rPr>
          <w:rFonts w:eastAsia="Times New Roman"/>
          <w:b/>
          <w:szCs w:val="24"/>
          <w:lang w:eastAsia="ru-RU"/>
        </w:rPr>
        <w:instrText>":"</w:instrText>
      </w:r>
      <w:r w:rsidR="00A14090">
        <w:rPr>
          <w:rFonts w:eastAsia="Times New Roman"/>
          <w:b/>
          <w:szCs w:val="24"/>
          <w:lang w:val="en-US" w:eastAsia="ru-RU"/>
        </w:rPr>
        <w:instrText>Maria</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Victoria</w:instrText>
      </w:r>
      <w:r w:rsidR="00A14090" w:rsidRPr="001A50CB">
        <w:rPr>
          <w:rFonts w:eastAsia="Times New Roman"/>
          <w:b/>
          <w:szCs w:val="24"/>
          <w:lang w:eastAsia="ru-RU"/>
        </w:rPr>
        <w:instrText>","</w:instrText>
      </w:r>
      <w:r w:rsidR="00A14090">
        <w:rPr>
          <w:rFonts w:eastAsia="Times New Roman"/>
          <w:b/>
          <w:szCs w:val="24"/>
          <w:lang w:val="en-US" w:eastAsia="ru-RU"/>
        </w:rPr>
        <w:instrText>non</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parse</w:instrText>
      </w:r>
      <w:r w:rsidR="00A14090" w:rsidRPr="001A50CB">
        <w:rPr>
          <w:rFonts w:eastAsia="Times New Roman"/>
          <w:b/>
          <w:szCs w:val="24"/>
          <w:lang w:eastAsia="ru-RU"/>
        </w:rPr>
        <w:instrText>-</w:instrText>
      </w:r>
      <w:r w:rsidR="00A14090">
        <w:rPr>
          <w:rFonts w:eastAsia="Times New Roman"/>
          <w:b/>
          <w:szCs w:val="24"/>
          <w:lang w:val="en-US" w:eastAsia="ru-RU"/>
        </w:rPr>
        <w:instrText>names</w:instrText>
      </w:r>
      <w:r w:rsidR="00A14090" w:rsidRPr="001A50CB">
        <w:rPr>
          <w:rFonts w:eastAsia="Times New Roman"/>
          <w:b/>
          <w:szCs w:val="24"/>
          <w:lang w:eastAsia="ru-RU"/>
        </w:rPr>
        <w:instrText>":</w:instrText>
      </w:r>
      <w:r w:rsidR="00A14090">
        <w:rPr>
          <w:rFonts w:eastAsia="Times New Roman"/>
          <w:b/>
          <w:szCs w:val="24"/>
          <w:lang w:val="en-US" w:eastAsia="ru-RU"/>
        </w:rPr>
        <w:instrText>false</w:instrText>
      </w:r>
      <w:r w:rsidR="00A14090" w:rsidRPr="001A50CB">
        <w:rPr>
          <w:rFonts w:eastAsia="Times New Roman"/>
          <w:b/>
          <w:szCs w:val="24"/>
          <w:lang w:eastAsia="ru-RU"/>
        </w:rPr>
        <w:instrText>,"</w:instrText>
      </w:r>
      <w:r w:rsidR="00A14090">
        <w:rPr>
          <w:rFonts w:eastAsia="Times New Roman"/>
          <w:b/>
          <w:szCs w:val="24"/>
          <w:lang w:val="en-US" w:eastAsia="ru-RU"/>
        </w:rPr>
        <w:instrText>suffix</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family</w:instrText>
      </w:r>
      <w:r w:rsidR="00A14090" w:rsidRPr="001A50CB">
        <w:rPr>
          <w:rFonts w:eastAsia="Times New Roman"/>
          <w:b/>
          <w:szCs w:val="24"/>
          <w:lang w:eastAsia="ru-RU"/>
        </w:rPr>
        <w:instrText>":"</w:instrText>
      </w:r>
      <w:r w:rsidR="00A14090">
        <w:rPr>
          <w:rFonts w:eastAsia="Times New Roman"/>
          <w:b/>
          <w:szCs w:val="24"/>
          <w:lang w:val="en-US" w:eastAsia="ru-RU"/>
        </w:rPr>
        <w:instrText>Miguel</w:instrText>
      </w:r>
      <w:r w:rsidR="00A14090" w:rsidRPr="001A50CB">
        <w:rPr>
          <w:rFonts w:eastAsia="Times New Roman"/>
          <w:b/>
          <w:szCs w:val="24"/>
          <w:lang w:eastAsia="ru-RU"/>
        </w:rPr>
        <w:instrText>","</w:instrText>
      </w:r>
      <w:r w:rsidR="00A14090">
        <w:rPr>
          <w:rFonts w:eastAsia="Times New Roman"/>
          <w:b/>
          <w:szCs w:val="24"/>
          <w:lang w:val="en-US" w:eastAsia="ru-RU"/>
        </w:rPr>
        <w:instrText>given</w:instrText>
      </w:r>
      <w:r w:rsidR="00A14090" w:rsidRPr="001A50CB">
        <w:rPr>
          <w:rFonts w:eastAsia="Times New Roman"/>
          <w:b/>
          <w:szCs w:val="24"/>
          <w:lang w:eastAsia="ru-RU"/>
        </w:rPr>
        <w:instrText>":"</w:instrText>
      </w:r>
      <w:r w:rsidR="00A14090">
        <w:rPr>
          <w:rFonts w:eastAsia="Times New Roman"/>
          <w:b/>
          <w:szCs w:val="24"/>
          <w:lang w:val="en-US" w:eastAsia="ru-RU"/>
        </w:rPr>
        <w:instrText>Jesus</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F</w:instrText>
      </w:r>
      <w:r w:rsidR="00A14090" w:rsidRPr="001A50CB">
        <w:rPr>
          <w:rFonts w:eastAsia="Times New Roman"/>
          <w:b/>
          <w:szCs w:val="24"/>
          <w:lang w:eastAsia="ru-RU"/>
        </w:rPr>
        <w:instrText>.</w:instrText>
      </w:r>
      <w:r w:rsidR="00A14090">
        <w:rPr>
          <w:rFonts w:eastAsia="Times New Roman"/>
          <w:b/>
          <w:szCs w:val="24"/>
          <w:lang w:val="en-US" w:eastAsia="ru-RU"/>
        </w:rPr>
        <w:instrText>San</w:instrText>
      </w:r>
      <w:r w:rsidR="00A14090" w:rsidRPr="001A50CB">
        <w:rPr>
          <w:rFonts w:eastAsia="Times New Roman"/>
          <w:b/>
          <w:szCs w:val="24"/>
          <w:lang w:eastAsia="ru-RU"/>
        </w:rPr>
        <w:instrText>","</w:instrText>
      </w:r>
      <w:r w:rsidR="00A14090">
        <w:rPr>
          <w:rFonts w:eastAsia="Times New Roman"/>
          <w:b/>
          <w:szCs w:val="24"/>
          <w:lang w:val="en-US" w:eastAsia="ru-RU"/>
        </w:rPr>
        <w:instrText>non</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parse</w:instrText>
      </w:r>
      <w:r w:rsidR="00A14090" w:rsidRPr="001A50CB">
        <w:rPr>
          <w:rFonts w:eastAsia="Times New Roman"/>
          <w:b/>
          <w:szCs w:val="24"/>
          <w:lang w:eastAsia="ru-RU"/>
        </w:rPr>
        <w:instrText>-</w:instrText>
      </w:r>
      <w:r w:rsidR="00A14090">
        <w:rPr>
          <w:rFonts w:eastAsia="Times New Roman"/>
          <w:b/>
          <w:szCs w:val="24"/>
          <w:lang w:val="en-US" w:eastAsia="ru-RU"/>
        </w:rPr>
        <w:instrText>names</w:instrText>
      </w:r>
      <w:r w:rsidR="00A14090" w:rsidRPr="001A50CB">
        <w:rPr>
          <w:rFonts w:eastAsia="Times New Roman"/>
          <w:b/>
          <w:szCs w:val="24"/>
          <w:lang w:eastAsia="ru-RU"/>
        </w:rPr>
        <w:instrText>":</w:instrText>
      </w:r>
      <w:r w:rsidR="00A14090">
        <w:rPr>
          <w:rFonts w:eastAsia="Times New Roman"/>
          <w:b/>
          <w:szCs w:val="24"/>
          <w:lang w:val="en-US" w:eastAsia="ru-RU"/>
        </w:rPr>
        <w:instrText>false</w:instrText>
      </w:r>
      <w:r w:rsidR="00A14090" w:rsidRPr="001A50CB">
        <w:rPr>
          <w:rFonts w:eastAsia="Times New Roman"/>
          <w:b/>
          <w:szCs w:val="24"/>
          <w:lang w:eastAsia="ru-RU"/>
        </w:rPr>
        <w:instrText>,"</w:instrText>
      </w:r>
      <w:r w:rsidR="00A14090">
        <w:rPr>
          <w:rFonts w:eastAsia="Times New Roman"/>
          <w:b/>
          <w:szCs w:val="24"/>
          <w:lang w:val="en-US" w:eastAsia="ru-RU"/>
        </w:rPr>
        <w:instrText>suffix</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family</w:instrText>
      </w:r>
      <w:r w:rsidR="00A14090" w:rsidRPr="001A50CB">
        <w:rPr>
          <w:rFonts w:eastAsia="Times New Roman"/>
          <w:b/>
          <w:szCs w:val="24"/>
          <w:lang w:eastAsia="ru-RU"/>
        </w:rPr>
        <w:instrText>":"</w:instrText>
      </w:r>
      <w:r w:rsidR="00A14090">
        <w:rPr>
          <w:rFonts w:eastAsia="Times New Roman"/>
          <w:b/>
          <w:szCs w:val="24"/>
          <w:lang w:val="en-US" w:eastAsia="ru-RU"/>
        </w:rPr>
        <w:instrText>Lahuerta</w:instrText>
      </w:r>
      <w:r w:rsidR="00A14090" w:rsidRPr="001A50CB">
        <w:rPr>
          <w:rFonts w:eastAsia="Times New Roman"/>
          <w:b/>
          <w:szCs w:val="24"/>
          <w:lang w:eastAsia="ru-RU"/>
        </w:rPr>
        <w:instrText>","</w:instrText>
      </w:r>
      <w:r w:rsidR="00A14090">
        <w:rPr>
          <w:rFonts w:eastAsia="Times New Roman"/>
          <w:b/>
          <w:szCs w:val="24"/>
          <w:lang w:val="en-US" w:eastAsia="ru-RU"/>
        </w:rPr>
        <w:instrText>given</w:instrText>
      </w:r>
      <w:r w:rsidR="00A14090" w:rsidRPr="001A50CB">
        <w:rPr>
          <w:rFonts w:eastAsia="Times New Roman"/>
          <w:b/>
          <w:szCs w:val="24"/>
          <w:lang w:eastAsia="ru-RU"/>
        </w:rPr>
        <w:instrText>":"</w:instrText>
      </w:r>
      <w:r w:rsidR="00A14090">
        <w:rPr>
          <w:rFonts w:eastAsia="Times New Roman"/>
          <w:b/>
          <w:szCs w:val="24"/>
          <w:lang w:val="en-US" w:eastAsia="ru-RU"/>
        </w:rPr>
        <w:instrText>Juan</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Jos</w:instrText>
      </w:r>
      <w:r w:rsidR="00A14090" w:rsidRPr="001A50CB">
        <w:rPr>
          <w:rFonts w:eastAsia="Times New Roman"/>
          <w:b/>
          <w:szCs w:val="24"/>
          <w:lang w:eastAsia="ru-RU"/>
        </w:rPr>
        <w:instrText>é","</w:instrText>
      </w:r>
      <w:r w:rsidR="00A14090">
        <w:rPr>
          <w:rFonts w:eastAsia="Times New Roman"/>
          <w:b/>
          <w:szCs w:val="24"/>
          <w:lang w:val="en-US" w:eastAsia="ru-RU"/>
        </w:rPr>
        <w:instrText>non</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parse</w:instrText>
      </w:r>
      <w:r w:rsidR="00A14090" w:rsidRPr="001A50CB">
        <w:rPr>
          <w:rFonts w:eastAsia="Times New Roman"/>
          <w:b/>
          <w:szCs w:val="24"/>
          <w:lang w:eastAsia="ru-RU"/>
        </w:rPr>
        <w:instrText>-</w:instrText>
      </w:r>
      <w:r w:rsidR="00A14090">
        <w:rPr>
          <w:rFonts w:eastAsia="Times New Roman"/>
          <w:b/>
          <w:szCs w:val="24"/>
          <w:lang w:val="en-US" w:eastAsia="ru-RU"/>
        </w:rPr>
        <w:instrText>names</w:instrText>
      </w:r>
      <w:r w:rsidR="00A14090" w:rsidRPr="001A50CB">
        <w:rPr>
          <w:rFonts w:eastAsia="Times New Roman"/>
          <w:b/>
          <w:szCs w:val="24"/>
          <w:lang w:eastAsia="ru-RU"/>
        </w:rPr>
        <w:instrText>":</w:instrText>
      </w:r>
      <w:r w:rsidR="00A14090">
        <w:rPr>
          <w:rFonts w:eastAsia="Times New Roman"/>
          <w:b/>
          <w:szCs w:val="24"/>
          <w:lang w:val="en-US" w:eastAsia="ru-RU"/>
        </w:rPr>
        <w:instrText>false</w:instrText>
      </w:r>
      <w:r w:rsidR="00A14090" w:rsidRPr="001A50CB">
        <w:rPr>
          <w:rFonts w:eastAsia="Times New Roman"/>
          <w:b/>
          <w:szCs w:val="24"/>
          <w:lang w:eastAsia="ru-RU"/>
        </w:rPr>
        <w:instrText>,"</w:instrText>
      </w:r>
      <w:r w:rsidR="00A14090">
        <w:rPr>
          <w:rFonts w:eastAsia="Times New Roman"/>
          <w:b/>
          <w:szCs w:val="24"/>
          <w:lang w:val="en-US" w:eastAsia="ru-RU"/>
        </w:rPr>
        <w:instrText>suffix</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family</w:instrText>
      </w:r>
      <w:r w:rsidR="00A14090" w:rsidRPr="001A50CB">
        <w:rPr>
          <w:rFonts w:eastAsia="Times New Roman"/>
          <w:b/>
          <w:szCs w:val="24"/>
          <w:lang w:eastAsia="ru-RU"/>
        </w:rPr>
        <w:instrText>":"</w:instrText>
      </w:r>
      <w:r w:rsidR="00A14090">
        <w:rPr>
          <w:rFonts w:eastAsia="Times New Roman"/>
          <w:b/>
          <w:szCs w:val="24"/>
          <w:lang w:val="en-US" w:eastAsia="ru-RU"/>
        </w:rPr>
        <w:instrText>Blad</w:instrText>
      </w:r>
      <w:r w:rsidR="00A14090" w:rsidRPr="001A50CB">
        <w:rPr>
          <w:rFonts w:eastAsia="Times New Roman"/>
          <w:b/>
          <w:szCs w:val="24"/>
          <w:lang w:eastAsia="ru-RU"/>
        </w:rPr>
        <w:instrText>é","</w:instrText>
      </w:r>
      <w:r w:rsidR="00A14090">
        <w:rPr>
          <w:rFonts w:eastAsia="Times New Roman"/>
          <w:b/>
          <w:szCs w:val="24"/>
          <w:lang w:val="en-US" w:eastAsia="ru-RU"/>
        </w:rPr>
        <w:instrText>given</w:instrText>
      </w:r>
      <w:r w:rsidR="00A14090" w:rsidRPr="001A50CB">
        <w:rPr>
          <w:rFonts w:eastAsia="Times New Roman"/>
          <w:b/>
          <w:szCs w:val="24"/>
          <w:lang w:eastAsia="ru-RU"/>
        </w:rPr>
        <w:instrText>":"</w:instrText>
      </w:r>
      <w:r w:rsidR="00A14090">
        <w:rPr>
          <w:rFonts w:eastAsia="Times New Roman"/>
          <w:b/>
          <w:szCs w:val="24"/>
          <w:lang w:val="en-US" w:eastAsia="ru-RU"/>
        </w:rPr>
        <w:instrText>Joan</w:instrText>
      </w:r>
      <w:r w:rsidR="00A14090" w:rsidRPr="001A50CB">
        <w:rPr>
          <w:rFonts w:eastAsia="Times New Roman"/>
          <w:b/>
          <w:szCs w:val="24"/>
          <w:lang w:eastAsia="ru-RU"/>
        </w:rPr>
        <w:instrText>","</w:instrText>
      </w:r>
      <w:r w:rsidR="00A14090">
        <w:rPr>
          <w:rFonts w:eastAsia="Times New Roman"/>
          <w:b/>
          <w:szCs w:val="24"/>
          <w:lang w:val="en-US" w:eastAsia="ru-RU"/>
        </w:rPr>
        <w:instrText>non</w:instrText>
      </w:r>
      <w:r w:rsidR="00A14090" w:rsidRPr="001A50CB">
        <w:rPr>
          <w:rFonts w:eastAsia="Times New Roman"/>
          <w:b/>
          <w:szCs w:val="24"/>
          <w:lang w:eastAsia="ru-RU"/>
        </w:rPr>
        <w:instrText>-</w:instrText>
      </w:r>
      <w:r w:rsidR="00A14090">
        <w:rPr>
          <w:rFonts w:eastAsia="Times New Roman"/>
          <w:b/>
          <w:szCs w:val="24"/>
          <w:lang w:val="en-US" w:eastAsia="ru-RU"/>
        </w:rPr>
        <w:instrText>dropping</w:instrText>
      </w:r>
      <w:r w:rsidR="00A14090" w:rsidRPr="001A50CB">
        <w:rPr>
          <w:rFonts w:eastAsia="Times New Roman"/>
          <w:b/>
          <w:szCs w:val="24"/>
          <w:lang w:eastAsia="ru-RU"/>
        </w:rPr>
        <w:instrText>-</w:instrText>
      </w:r>
      <w:r w:rsidR="00A14090">
        <w:rPr>
          <w:rFonts w:eastAsia="Times New Roman"/>
          <w:b/>
          <w:szCs w:val="24"/>
          <w:lang w:val="en-US" w:eastAsia="ru-RU"/>
        </w:rPr>
        <w:instrText>particle</w:instrText>
      </w:r>
      <w:r w:rsidR="00A14090" w:rsidRPr="001A50CB">
        <w:rPr>
          <w:rFonts w:eastAsia="Times New Roman"/>
          <w:b/>
          <w:szCs w:val="24"/>
          <w:lang w:eastAsia="ru-RU"/>
        </w:rPr>
        <w:instrText>":"","</w:instrText>
      </w:r>
      <w:r w:rsidR="00A14090">
        <w:rPr>
          <w:rFonts w:eastAsia="Times New Roman"/>
          <w:b/>
          <w:szCs w:val="24"/>
          <w:lang w:val="en-US" w:eastAsia="ru-RU"/>
        </w:rPr>
        <w:instrText>parse</w:instrText>
      </w:r>
      <w:r w:rsidR="00A14090" w:rsidRPr="001A50CB">
        <w:rPr>
          <w:rFonts w:eastAsia="Times New Roman"/>
          <w:b/>
          <w:szCs w:val="24"/>
          <w:lang w:eastAsia="ru-RU"/>
        </w:rPr>
        <w:instrText>-</w:instrText>
      </w:r>
      <w:r w:rsidR="00A14090">
        <w:rPr>
          <w:rFonts w:eastAsia="Times New Roman"/>
          <w:b/>
          <w:szCs w:val="24"/>
          <w:lang w:val="en-US" w:eastAsia="ru-RU"/>
        </w:rPr>
        <w:instrText>names</w:instrText>
      </w:r>
      <w:r w:rsidR="00A14090" w:rsidRPr="001A50CB">
        <w:rPr>
          <w:rFonts w:eastAsia="Times New Roman"/>
          <w:b/>
          <w:szCs w:val="24"/>
          <w:lang w:eastAsia="ru-RU"/>
        </w:rPr>
        <w:instrText>":</w:instrText>
      </w:r>
      <w:r w:rsidR="00A14090">
        <w:rPr>
          <w:rFonts w:eastAsia="Times New Roman"/>
          <w:b/>
          <w:szCs w:val="24"/>
          <w:lang w:val="en-US" w:eastAsia="ru-RU"/>
        </w:rPr>
        <w:instrText>false</w:instrText>
      </w:r>
      <w:r w:rsidR="00A14090" w:rsidRPr="001A50CB">
        <w:rPr>
          <w:rFonts w:eastAsia="Times New Roman"/>
          <w:b/>
          <w:szCs w:val="24"/>
          <w:lang w:eastAsia="ru-RU"/>
        </w:rPr>
        <w:instrText>,"</w:instrText>
      </w:r>
      <w:r w:rsidR="00A14090">
        <w:rPr>
          <w:rFonts w:eastAsia="Times New Roman"/>
          <w:b/>
          <w:szCs w:val="24"/>
          <w:lang w:val="en-US" w:eastAsia="ru-RU"/>
        </w:rPr>
        <w:instrText>suffix</w:instrText>
      </w:r>
      <w:r w:rsidR="00A14090" w:rsidRPr="001A50CB">
        <w:rPr>
          <w:rFonts w:eastAsia="Times New Roman"/>
          <w:b/>
          <w:szCs w:val="24"/>
          <w:lang w:eastAsia="ru-RU"/>
        </w:rPr>
        <w:instrText>":""}],"</w:instrText>
      </w:r>
      <w:r w:rsidR="00A14090">
        <w:rPr>
          <w:rFonts w:eastAsia="Times New Roman"/>
          <w:b/>
          <w:szCs w:val="24"/>
          <w:lang w:val="en-US" w:eastAsia="ru-RU"/>
        </w:rPr>
        <w:instrText>container</w:instrText>
      </w:r>
      <w:r w:rsidR="00A14090" w:rsidRPr="001A50CB">
        <w:rPr>
          <w:rFonts w:eastAsia="Times New Roman"/>
          <w:b/>
          <w:szCs w:val="24"/>
          <w:lang w:eastAsia="ru-RU"/>
        </w:rPr>
        <w:instrText>-</w:instrText>
      </w:r>
      <w:r w:rsidR="00A14090">
        <w:rPr>
          <w:rFonts w:eastAsia="Times New Roman"/>
          <w:b/>
          <w:szCs w:val="24"/>
          <w:lang w:val="en-US" w:eastAsia="ru-RU"/>
        </w:rPr>
        <w:instrText>title</w:instrText>
      </w:r>
      <w:r w:rsidR="00A14090" w:rsidRPr="001A50CB">
        <w:rPr>
          <w:rFonts w:eastAsia="Times New Roman"/>
          <w:b/>
          <w:szCs w:val="24"/>
          <w:lang w:eastAsia="ru-RU"/>
        </w:rPr>
        <w:instrText>":"</w:instrText>
      </w:r>
      <w:r w:rsidR="00A14090">
        <w:rPr>
          <w:rFonts w:eastAsia="Times New Roman"/>
          <w:b/>
          <w:szCs w:val="24"/>
          <w:lang w:val="en-US" w:eastAsia="ru-RU"/>
        </w:rPr>
        <w:instrText>Blood</w:instrText>
      </w:r>
      <w:r w:rsidR="00A14090" w:rsidRPr="001A50CB">
        <w:rPr>
          <w:rFonts w:eastAsia="Times New Roman"/>
          <w:b/>
          <w:szCs w:val="24"/>
          <w:lang w:eastAsia="ru-RU"/>
        </w:rPr>
        <w:instrText>","</w:instrText>
      </w:r>
      <w:r w:rsidR="00A14090">
        <w:rPr>
          <w:rFonts w:eastAsia="Times New Roman"/>
          <w:b/>
          <w:szCs w:val="24"/>
          <w:lang w:val="en-US" w:eastAsia="ru-RU"/>
        </w:rPr>
        <w:instrText>id</w:instrText>
      </w:r>
      <w:r w:rsidR="00A14090" w:rsidRPr="001A50CB">
        <w:rPr>
          <w:rFonts w:eastAsia="Times New Roman"/>
          <w:b/>
          <w:szCs w:val="24"/>
          <w:lang w:eastAsia="ru-RU"/>
        </w:rPr>
        <w:instrText>":"</w:instrText>
      </w:r>
      <w:r w:rsidR="00A14090">
        <w:rPr>
          <w:rFonts w:eastAsia="Times New Roman"/>
          <w:b/>
          <w:szCs w:val="24"/>
          <w:lang w:val="en-US" w:eastAsia="ru-RU"/>
        </w:rPr>
        <w:instrText>ITEM</w:instrText>
      </w:r>
      <w:r w:rsidR="00A14090" w:rsidRPr="001A50CB">
        <w:rPr>
          <w:rFonts w:eastAsia="Times New Roman"/>
          <w:b/>
          <w:szCs w:val="24"/>
          <w:lang w:eastAsia="ru-RU"/>
        </w:rPr>
        <w:instrText>-2","</w:instrText>
      </w:r>
      <w:r w:rsidR="00A14090">
        <w:rPr>
          <w:rFonts w:eastAsia="Times New Roman"/>
          <w:b/>
          <w:szCs w:val="24"/>
          <w:lang w:val="en-US" w:eastAsia="ru-RU"/>
        </w:rPr>
        <w:instrText>issue</w:instrText>
      </w:r>
      <w:r w:rsidR="00A14090" w:rsidRPr="001A50CB">
        <w:rPr>
          <w:rFonts w:eastAsia="Times New Roman"/>
          <w:b/>
          <w:szCs w:val="24"/>
          <w:lang w:eastAsia="ru-RU"/>
        </w:rPr>
        <w:instrText>":"16","</w:instrText>
      </w:r>
      <w:r w:rsidR="00A14090">
        <w:rPr>
          <w:rFonts w:eastAsia="Times New Roman"/>
          <w:b/>
          <w:szCs w:val="24"/>
          <w:lang w:val="en-US" w:eastAsia="ru-RU"/>
        </w:rPr>
        <w:instrText>issued</w:instrText>
      </w:r>
      <w:r w:rsidR="00A14090" w:rsidRPr="001A50CB">
        <w:rPr>
          <w:rFonts w:eastAsia="Times New Roman"/>
          <w:b/>
          <w:szCs w:val="24"/>
          <w:lang w:eastAsia="ru-RU"/>
        </w:rPr>
        <w:instrText>":{"</w:instrText>
      </w:r>
      <w:r w:rsidR="00A14090">
        <w:rPr>
          <w:rFonts w:eastAsia="Times New Roman"/>
          <w:b/>
          <w:szCs w:val="24"/>
          <w:lang w:val="en-US" w:eastAsia="ru-RU"/>
        </w:rPr>
        <w:instrText>date</w:instrText>
      </w:r>
      <w:r w:rsidR="00A14090" w:rsidRPr="001A50CB">
        <w:rPr>
          <w:rFonts w:eastAsia="Times New Roman"/>
          <w:b/>
          <w:szCs w:val="24"/>
          <w:lang w:eastAsia="ru-RU"/>
        </w:rPr>
        <w:instrText>-</w:instrText>
      </w:r>
      <w:r w:rsidR="00A14090">
        <w:rPr>
          <w:rFonts w:eastAsia="Times New Roman"/>
          <w:b/>
          <w:szCs w:val="24"/>
          <w:lang w:val="en-US" w:eastAsia="ru-RU"/>
        </w:rPr>
        <w:instrText>parts</w:instrText>
      </w:r>
      <w:r w:rsidR="00A14090" w:rsidRPr="001A50CB">
        <w:rPr>
          <w:rFonts w:eastAsia="Times New Roman"/>
          <w:b/>
          <w:szCs w:val="24"/>
          <w:lang w:eastAsia="ru-RU"/>
        </w:rPr>
        <w:instrText>":[["2019","10"]]},"</w:instrText>
      </w:r>
      <w:r w:rsidR="00A14090">
        <w:rPr>
          <w:rFonts w:eastAsia="Times New Roman"/>
          <w:b/>
          <w:szCs w:val="24"/>
          <w:lang w:val="en-US" w:eastAsia="ru-RU"/>
        </w:rPr>
        <w:instrText>page</w:instrText>
      </w:r>
      <w:r w:rsidR="00A14090" w:rsidRPr="001A50CB">
        <w:rPr>
          <w:rFonts w:eastAsia="Times New Roman"/>
          <w:b/>
          <w:szCs w:val="24"/>
          <w:lang w:eastAsia="ru-RU"/>
        </w:rPr>
        <w:instrText>":"1337-1345","</w:instrText>
      </w:r>
      <w:r w:rsidR="00A14090">
        <w:rPr>
          <w:rFonts w:eastAsia="Times New Roman"/>
          <w:b/>
          <w:szCs w:val="24"/>
          <w:lang w:val="en-US" w:eastAsia="ru-RU"/>
        </w:rPr>
        <w:instrText>publisher</w:instrText>
      </w:r>
      <w:r w:rsidR="00A14090" w:rsidRPr="001A50CB">
        <w:rPr>
          <w:rFonts w:eastAsia="Times New Roman"/>
          <w:b/>
          <w:szCs w:val="24"/>
          <w:lang w:eastAsia="ru-RU"/>
        </w:rPr>
        <w:instrText>":"</w:instrText>
      </w:r>
      <w:r w:rsidR="00A14090">
        <w:rPr>
          <w:rFonts w:eastAsia="Times New Roman"/>
          <w:b/>
          <w:szCs w:val="24"/>
          <w:lang w:val="en-US" w:eastAsia="ru-RU"/>
        </w:rPr>
        <w:instrText>American</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Society</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of</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Hematology</w:instrText>
      </w:r>
      <w:r w:rsidR="00A14090" w:rsidRPr="001A50CB">
        <w:rPr>
          <w:rFonts w:eastAsia="Times New Roman"/>
          <w:b/>
          <w:szCs w:val="24"/>
          <w:lang w:eastAsia="ru-RU"/>
        </w:rPr>
        <w:instrText>","</w:instrText>
      </w:r>
      <w:r w:rsidR="00A14090">
        <w:rPr>
          <w:rFonts w:eastAsia="Times New Roman"/>
          <w:b/>
          <w:szCs w:val="24"/>
          <w:lang w:val="en-US" w:eastAsia="ru-RU"/>
        </w:rPr>
        <w:instrText>title</w:instrText>
      </w:r>
      <w:r w:rsidR="00A14090" w:rsidRPr="001A50CB">
        <w:rPr>
          <w:rFonts w:eastAsia="Times New Roman"/>
          <w:b/>
          <w:szCs w:val="24"/>
          <w:lang w:eastAsia="ru-RU"/>
        </w:rPr>
        <w:instrText>":"</w:instrText>
      </w:r>
      <w:r w:rsidR="00A14090">
        <w:rPr>
          <w:rFonts w:eastAsia="Times New Roman"/>
          <w:b/>
          <w:szCs w:val="24"/>
          <w:lang w:val="en-US" w:eastAsia="ru-RU"/>
        </w:rPr>
        <w:instrText>Bortezomib</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lenalidomide</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and</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dexamethasone</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as</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induction</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therapy</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prior</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to</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autologous</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transplant</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in</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multiple</w:instrText>
      </w:r>
      <w:r w:rsidR="00A14090" w:rsidRPr="001A50CB">
        <w:rPr>
          <w:rFonts w:eastAsia="Times New Roman"/>
          <w:b/>
          <w:szCs w:val="24"/>
          <w:lang w:eastAsia="ru-RU"/>
        </w:rPr>
        <w:instrText xml:space="preserve"> </w:instrText>
      </w:r>
      <w:r w:rsidR="00A14090">
        <w:rPr>
          <w:rFonts w:eastAsia="Times New Roman"/>
          <w:b/>
          <w:szCs w:val="24"/>
          <w:lang w:val="en-US" w:eastAsia="ru-RU"/>
        </w:rPr>
        <w:instrText>myeloma</w:instrText>
      </w:r>
      <w:r w:rsidR="00A14090" w:rsidRPr="001A50CB">
        <w:rPr>
          <w:rFonts w:eastAsia="Times New Roman"/>
          <w:b/>
          <w:szCs w:val="24"/>
          <w:lang w:eastAsia="ru-RU"/>
        </w:rPr>
        <w:instrText>","</w:instrText>
      </w:r>
      <w:r w:rsidR="00A14090">
        <w:rPr>
          <w:rFonts w:eastAsia="Times New Roman"/>
          <w:b/>
          <w:szCs w:val="24"/>
          <w:lang w:val="en-US" w:eastAsia="ru-RU"/>
        </w:rPr>
        <w:instrText>type</w:instrText>
      </w:r>
      <w:r w:rsidR="00A14090" w:rsidRPr="001A50CB">
        <w:rPr>
          <w:rFonts w:eastAsia="Times New Roman"/>
          <w:b/>
          <w:szCs w:val="24"/>
          <w:lang w:eastAsia="ru-RU"/>
        </w:rPr>
        <w:instrText>":"</w:instrText>
      </w:r>
      <w:r w:rsidR="00A14090">
        <w:rPr>
          <w:rFonts w:eastAsia="Times New Roman"/>
          <w:b/>
          <w:szCs w:val="24"/>
          <w:lang w:val="en-US" w:eastAsia="ru-RU"/>
        </w:rPr>
        <w:instrText>article</w:instrText>
      </w:r>
      <w:r w:rsidR="00A14090" w:rsidRPr="001A50CB">
        <w:rPr>
          <w:rFonts w:eastAsia="Times New Roman"/>
          <w:b/>
          <w:szCs w:val="24"/>
          <w:lang w:eastAsia="ru-RU"/>
        </w:rPr>
        <w:instrText>-</w:instrText>
      </w:r>
      <w:r w:rsidR="00A14090">
        <w:rPr>
          <w:rFonts w:eastAsia="Times New Roman"/>
          <w:b/>
          <w:szCs w:val="24"/>
          <w:lang w:val="en-US" w:eastAsia="ru-RU"/>
        </w:rPr>
        <w:instrText>journal</w:instrText>
      </w:r>
      <w:r w:rsidR="00A14090" w:rsidRPr="001A50CB">
        <w:rPr>
          <w:rFonts w:eastAsia="Times New Roman"/>
          <w:b/>
          <w:szCs w:val="24"/>
          <w:lang w:eastAsia="ru-RU"/>
        </w:rPr>
        <w:instrText>","</w:instrText>
      </w:r>
      <w:r w:rsidR="00A14090">
        <w:rPr>
          <w:rFonts w:eastAsia="Times New Roman"/>
          <w:b/>
          <w:szCs w:val="24"/>
          <w:lang w:val="en-US" w:eastAsia="ru-RU"/>
        </w:rPr>
        <w:instrText>volume</w:instrText>
      </w:r>
      <w:r w:rsidR="00A14090" w:rsidRPr="001A50CB">
        <w:rPr>
          <w:rFonts w:eastAsia="Times New Roman"/>
          <w:b/>
          <w:szCs w:val="24"/>
          <w:lang w:eastAsia="ru-RU"/>
        </w:rPr>
        <w:instrText>":"134"},"</w:instrText>
      </w:r>
      <w:r w:rsidR="00A14090">
        <w:rPr>
          <w:rFonts w:eastAsia="Times New Roman"/>
          <w:b/>
          <w:szCs w:val="24"/>
          <w:lang w:val="en-US" w:eastAsia="ru-RU"/>
        </w:rPr>
        <w:instrText>uris</w:instrText>
      </w:r>
      <w:r w:rsidR="00A14090" w:rsidRPr="001A50CB">
        <w:rPr>
          <w:rFonts w:eastAsia="Times New Roman"/>
          <w:b/>
          <w:szCs w:val="24"/>
          <w:lang w:eastAsia="ru-RU"/>
        </w:rPr>
        <w:instrText>":["</w:instrText>
      </w:r>
      <w:r w:rsidR="00A14090">
        <w:rPr>
          <w:rFonts w:eastAsia="Times New Roman"/>
          <w:b/>
          <w:szCs w:val="24"/>
          <w:lang w:val="en-US" w:eastAsia="ru-RU"/>
        </w:rPr>
        <w:instrText>http</w:instrText>
      </w:r>
      <w:r w:rsidR="00A14090" w:rsidRPr="001A50CB">
        <w:rPr>
          <w:rFonts w:eastAsia="Times New Roman"/>
          <w:b/>
          <w:szCs w:val="24"/>
          <w:lang w:eastAsia="ru-RU"/>
        </w:rPr>
        <w:instrText>://</w:instrText>
      </w:r>
      <w:r w:rsidR="00A14090">
        <w:rPr>
          <w:rFonts w:eastAsia="Times New Roman"/>
          <w:b/>
          <w:szCs w:val="24"/>
          <w:lang w:val="en-US" w:eastAsia="ru-RU"/>
        </w:rPr>
        <w:instrText>www</w:instrText>
      </w:r>
      <w:r w:rsidR="00A14090" w:rsidRPr="001A50CB">
        <w:rPr>
          <w:rFonts w:eastAsia="Times New Roman"/>
          <w:b/>
          <w:szCs w:val="24"/>
          <w:lang w:eastAsia="ru-RU"/>
        </w:rPr>
        <w:instrText>.</w:instrText>
      </w:r>
      <w:r w:rsidR="00A14090">
        <w:rPr>
          <w:rFonts w:eastAsia="Times New Roman"/>
          <w:b/>
          <w:szCs w:val="24"/>
          <w:lang w:val="en-US" w:eastAsia="ru-RU"/>
        </w:rPr>
        <w:instrText>mendeley</w:instrText>
      </w:r>
      <w:r w:rsidR="00A14090" w:rsidRPr="001A50CB">
        <w:rPr>
          <w:rFonts w:eastAsia="Times New Roman"/>
          <w:b/>
          <w:szCs w:val="24"/>
          <w:lang w:eastAsia="ru-RU"/>
        </w:rPr>
        <w:instrText>.</w:instrText>
      </w:r>
      <w:r w:rsidR="00A14090">
        <w:rPr>
          <w:rFonts w:eastAsia="Times New Roman"/>
          <w:b/>
          <w:szCs w:val="24"/>
          <w:lang w:val="en-US" w:eastAsia="ru-RU"/>
        </w:rPr>
        <w:instrText>com</w:instrText>
      </w:r>
      <w:r w:rsidR="00A14090" w:rsidRPr="001A50CB">
        <w:rPr>
          <w:rFonts w:eastAsia="Times New Roman"/>
          <w:b/>
          <w:szCs w:val="24"/>
          <w:lang w:eastAsia="ru-RU"/>
        </w:rPr>
        <w:instrText>/</w:instrText>
      </w:r>
      <w:r w:rsidR="00A14090">
        <w:rPr>
          <w:rFonts w:eastAsia="Times New Roman"/>
          <w:b/>
          <w:szCs w:val="24"/>
          <w:lang w:val="en-US" w:eastAsia="ru-RU"/>
        </w:rPr>
        <w:instrText>documents</w:instrText>
      </w:r>
      <w:r w:rsidR="00A14090" w:rsidRPr="001A50CB">
        <w:rPr>
          <w:rFonts w:eastAsia="Times New Roman"/>
          <w:b/>
          <w:szCs w:val="24"/>
          <w:lang w:eastAsia="ru-RU"/>
        </w:rPr>
        <w:instrText>/?</w:instrText>
      </w:r>
      <w:r w:rsidR="00A14090">
        <w:rPr>
          <w:rFonts w:eastAsia="Times New Roman"/>
          <w:b/>
          <w:szCs w:val="24"/>
          <w:lang w:val="en-US" w:eastAsia="ru-RU"/>
        </w:rPr>
        <w:instrText>uuid</w:instrText>
      </w:r>
      <w:r w:rsidR="00A14090" w:rsidRPr="001A50CB">
        <w:rPr>
          <w:rFonts w:eastAsia="Times New Roman"/>
          <w:b/>
          <w:szCs w:val="24"/>
          <w:lang w:eastAsia="ru-RU"/>
        </w:rPr>
        <w:instrText>=</w:instrText>
      </w:r>
      <w:r w:rsidR="00A14090">
        <w:rPr>
          <w:rFonts w:eastAsia="Times New Roman"/>
          <w:b/>
          <w:szCs w:val="24"/>
          <w:lang w:val="en-US" w:eastAsia="ru-RU"/>
        </w:rPr>
        <w:instrText>acb</w:instrText>
      </w:r>
      <w:r w:rsidR="00A14090" w:rsidRPr="001A50CB">
        <w:rPr>
          <w:rFonts w:eastAsia="Times New Roman"/>
          <w:b/>
          <w:szCs w:val="24"/>
          <w:lang w:eastAsia="ru-RU"/>
        </w:rPr>
        <w:instrText>22</w:instrText>
      </w:r>
      <w:r w:rsidR="00A14090">
        <w:rPr>
          <w:rFonts w:eastAsia="Times New Roman"/>
          <w:b/>
          <w:szCs w:val="24"/>
          <w:lang w:val="en-US" w:eastAsia="ru-RU"/>
        </w:rPr>
        <w:instrText>fa</w:instrText>
      </w:r>
      <w:r w:rsidR="00A14090" w:rsidRPr="001A50CB">
        <w:rPr>
          <w:rFonts w:eastAsia="Times New Roman"/>
          <w:b/>
          <w:szCs w:val="24"/>
          <w:lang w:eastAsia="ru-RU"/>
        </w:rPr>
        <w:instrText>3-5</w:instrText>
      </w:r>
      <w:r w:rsidR="00A14090">
        <w:rPr>
          <w:rFonts w:eastAsia="Times New Roman"/>
          <w:b/>
          <w:szCs w:val="24"/>
          <w:lang w:val="en-US" w:eastAsia="ru-RU"/>
        </w:rPr>
        <w:instrText>a</w:instrText>
      </w:r>
      <w:r w:rsidR="00A14090" w:rsidRPr="001A50CB">
        <w:rPr>
          <w:rFonts w:eastAsia="Times New Roman"/>
          <w:b/>
          <w:szCs w:val="24"/>
          <w:lang w:eastAsia="ru-RU"/>
        </w:rPr>
        <w:instrText>77-46</w:instrText>
      </w:r>
      <w:r w:rsidR="00A14090">
        <w:rPr>
          <w:rFonts w:eastAsia="Times New Roman"/>
          <w:b/>
          <w:szCs w:val="24"/>
          <w:lang w:val="en-US" w:eastAsia="ru-RU"/>
        </w:rPr>
        <w:instrText>a</w:instrText>
      </w:r>
      <w:r w:rsidR="00A14090" w:rsidRPr="001A50CB">
        <w:rPr>
          <w:rFonts w:eastAsia="Times New Roman"/>
          <w:b/>
          <w:szCs w:val="24"/>
          <w:lang w:eastAsia="ru-RU"/>
        </w:rPr>
        <w:instrText>5-8</w:instrText>
      </w:r>
      <w:r w:rsidR="00A14090">
        <w:rPr>
          <w:rFonts w:eastAsia="Times New Roman"/>
          <w:b/>
          <w:szCs w:val="24"/>
          <w:lang w:val="en-US" w:eastAsia="ru-RU"/>
        </w:rPr>
        <w:instrText>cd</w:instrText>
      </w:r>
      <w:r w:rsidR="00A14090" w:rsidRPr="001A50CB">
        <w:rPr>
          <w:rFonts w:eastAsia="Times New Roman"/>
          <w:b/>
          <w:szCs w:val="24"/>
          <w:lang w:eastAsia="ru-RU"/>
        </w:rPr>
        <w:instrText>1-61</w:instrText>
      </w:r>
      <w:r w:rsidR="00A14090">
        <w:rPr>
          <w:rFonts w:eastAsia="Times New Roman"/>
          <w:b/>
          <w:szCs w:val="24"/>
          <w:lang w:val="en-US" w:eastAsia="ru-RU"/>
        </w:rPr>
        <w:instrText>d</w:instrText>
      </w:r>
      <w:r w:rsidR="00A14090" w:rsidRPr="001A50CB">
        <w:rPr>
          <w:rFonts w:eastAsia="Times New Roman"/>
          <w:b/>
          <w:szCs w:val="24"/>
          <w:lang w:eastAsia="ru-RU"/>
        </w:rPr>
        <w:instrText>639</w:instrText>
      </w:r>
      <w:r w:rsidR="00A14090">
        <w:rPr>
          <w:rFonts w:eastAsia="Times New Roman"/>
          <w:b/>
          <w:szCs w:val="24"/>
          <w:lang w:val="en-US" w:eastAsia="ru-RU"/>
        </w:rPr>
        <w:instrText>feab</w:instrText>
      </w:r>
      <w:r w:rsidR="00A14090" w:rsidRPr="001A50CB">
        <w:rPr>
          <w:rFonts w:eastAsia="Times New Roman"/>
          <w:b/>
          <w:szCs w:val="24"/>
          <w:lang w:eastAsia="ru-RU"/>
        </w:rPr>
        <w:instrText>0</w:instrText>
      </w:r>
      <w:r w:rsidR="00A14090">
        <w:rPr>
          <w:rFonts w:eastAsia="Times New Roman"/>
          <w:b/>
          <w:szCs w:val="24"/>
          <w:lang w:val="en-US" w:eastAsia="ru-RU"/>
        </w:rPr>
        <w:instrText>f</w:instrText>
      </w:r>
      <w:r w:rsidR="00A14090" w:rsidRPr="001A50CB">
        <w:rPr>
          <w:rFonts w:eastAsia="Times New Roman"/>
          <w:b/>
          <w:szCs w:val="24"/>
          <w:lang w:eastAsia="ru-RU"/>
        </w:rPr>
        <w:instrText>"]}],"</w:instrText>
      </w:r>
      <w:r w:rsidR="00A14090">
        <w:rPr>
          <w:rFonts w:eastAsia="Times New Roman"/>
          <w:b/>
          <w:szCs w:val="24"/>
          <w:lang w:val="en-US" w:eastAsia="ru-RU"/>
        </w:rPr>
        <w:instrText>mendeley</w:instrText>
      </w:r>
      <w:r w:rsidR="00A14090" w:rsidRPr="001A50CB">
        <w:rPr>
          <w:rFonts w:eastAsia="Times New Roman"/>
          <w:b/>
          <w:szCs w:val="24"/>
          <w:lang w:eastAsia="ru-RU"/>
        </w:rPr>
        <w:instrText>":{"</w:instrText>
      </w:r>
      <w:r w:rsidR="00A14090">
        <w:rPr>
          <w:rFonts w:eastAsia="Times New Roman"/>
          <w:b/>
          <w:szCs w:val="24"/>
          <w:lang w:val="en-US" w:eastAsia="ru-RU"/>
        </w:rPr>
        <w:instrText>formattedCitation</w:instrText>
      </w:r>
      <w:r w:rsidR="00A14090" w:rsidRPr="001A50CB">
        <w:rPr>
          <w:rFonts w:eastAsia="Times New Roman"/>
          <w:b/>
          <w:szCs w:val="24"/>
          <w:lang w:eastAsia="ru-RU"/>
        </w:rPr>
        <w:instrText>":"[42,43]","</w:instrText>
      </w:r>
      <w:r w:rsidR="00A14090">
        <w:rPr>
          <w:rFonts w:eastAsia="Times New Roman"/>
          <w:b/>
          <w:szCs w:val="24"/>
          <w:lang w:val="en-US" w:eastAsia="ru-RU"/>
        </w:rPr>
        <w:instrText>plainTextFormattedCitation</w:instrText>
      </w:r>
      <w:r w:rsidR="00A14090" w:rsidRPr="001A50CB">
        <w:rPr>
          <w:rFonts w:eastAsia="Times New Roman"/>
          <w:b/>
          <w:szCs w:val="24"/>
          <w:lang w:eastAsia="ru-RU"/>
        </w:rPr>
        <w:instrText>":"[42,43]","</w:instrText>
      </w:r>
      <w:r w:rsidR="00A14090">
        <w:rPr>
          <w:rFonts w:eastAsia="Times New Roman"/>
          <w:b/>
          <w:szCs w:val="24"/>
          <w:lang w:val="en-US" w:eastAsia="ru-RU"/>
        </w:rPr>
        <w:instrText>previouslyFormattedCitation</w:instrText>
      </w:r>
      <w:r w:rsidR="00A14090" w:rsidRPr="001A50CB">
        <w:rPr>
          <w:rFonts w:eastAsia="Times New Roman"/>
          <w:b/>
          <w:szCs w:val="24"/>
          <w:lang w:eastAsia="ru-RU"/>
        </w:rPr>
        <w:instrText>":"[42,43]"},"</w:instrText>
      </w:r>
      <w:r w:rsidR="00A14090">
        <w:rPr>
          <w:rFonts w:eastAsia="Times New Roman"/>
          <w:b/>
          <w:szCs w:val="24"/>
          <w:lang w:val="en-US" w:eastAsia="ru-RU"/>
        </w:rPr>
        <w:instrText>properties</w:instrText>
      </w:r>
      <w:r w:rsidR="00A14090" w:rsidRPr="001A50CB">
        <w:rPr>
          <w:rFonts w:eastAsia="Times New Roman"/>
          <w:b/>
          <w:szCs w:val="24"/>
          <w:lang w:eastAsia="ru-RU"/>
        </w:rPr>
        <w:instrText>":{"</w:instrText>
      </w:r>
      <w:r w:rsidR="00A14090">
        <w:rPr>
          <w:rFonts w:eastAsia="Times New Roman"/>
          <w:b/>
          <w:szCs w:val="24"/>
          <w:lang w:val="en-US" w:eastAsia="ru-RU"/>
        </w:rPr>
        <w:instrText>noteIndex</w:instrText>
      </w:r>
      <w:r w:rsidR="00A14090" w:rsidRPr="001A50CB">
        <w:rPr>
          <w:rFonts w:eastAsia="Times New Roman"/>
          <w:b/>
          <w:szCs w:val="24"/>
          <w:lang w:eastAsia="ru-RU"/>
        </w:rPr>
        <w:instrText>":0},"</w:instrText>
      </w:r>
      <w:r w:rsidR="00A14090">
        <w:rPr>
          <w:rFonts w:eastAsia="Times New Roman"/>
          <w:b/>
          <w:szCs w:val="24"/>
          <w:lang w:val="en-US" w:eastAsia="ru-RU"/>
        </w:rPr>
        <w:instrText>schema</w:instrText>
      </w:r>
      <w:r w:rsidR="00A14090" w:rsidRPr="001A50CB">
        <w:rPr>
          <w:rFonts w:eastAsia="Times New Roman"/>
          <w:b/>
          <w:szCs w:val="24"/>
          <w:lang w:eastAsia="ru-RU"/>
        </w:rPr>
        <w:instrText>":"</w:instrText>
      </w:r>
      <w:r w:rsidR="00A14090">
        <w:rPr>
          <w:rFonts w:eastAsia="Times New Roman"/>
          <w:b/>
          <w:szCs w:val="24"/>
          <w:lang w:val="en-US" w:eastAsia="ru-RU"/>
        </w:rPr>
        <w:instrText>https</w:instrText>
      </w:r>
      <w:r w:rsidR="00A14090" w:rsidRPr="001A50CB">
        <w:rPr>
          <w:rFonts w:eastAsia="Times New Roman"/>
          <w:b/>
          <w:szCs w:val="24"/>
          <w:lang w:eastAsia="ru-RU"/>
        </w:rPr>
        <w:instrText>://</w:instrText>
      </w:r>
      <w:r w:rsidR="00A14090">
        <w:rPr>
          <w:rFonts w:eastAsia="Times New Roman"/>
          <w:b/>
          <w:szCs w:val="24"/>
          <w:lang w:val="en-US" w:eastAsia="ru-RU"/>
        </w:rPr>
        <w:instrText>github</w:instrText>
      </w:r>
      <w:r w:rsidR="00A14090" w:rsidRPr="001A50CB">
        <w:rPr>
          <w:rFonts w:eastAsia="Times New Roman"/>
          <w:b/>
          <w:szCs w:val="24"/>
          <w:lang w:eastAsia="ru-RU"/>
        </w:rPr>
        <w:instrText>.</w:instrText>
      </w:r>
      <w:r w:rsidR="00A14090">
        <w:rPr>
          <w:rFonts w:eastAsia="Times New Roman"/>
          <w:b/>
          <w:szCs w:val="24"/>
          <w:lang w:val="en-US" w:eastAsia="ru-RU"/>
        </w:rPr>
        <w:instrText>com</w:instrText>
      </w:r>
      <w:r w:rsidR="00A14090" w:rsidRPr="001A50CB">
        <w:rPr>
          <w:rFonts w:eastAsia="Times New Roman"/>
          <w:b/>
          <w:szCs w:val="24"/>
          <w:lang w:eastAsia="ru-RU"/>
        </w:rPr>
        <w:instrText>/</w:instrText>
      </w:r>
      <w:r w:rsidR="00A14090">
        <w:rPr>
          <w:rFonts w:eastAsia="Times New Roman"/>
          <w:b/>
          <w:szCs w:val="24"/>
          <w:lang w:val="en-US" w:eastAsia="ru-RU"/>
        </w:rPr>
        <w:instrText>citation</w:instrText>
      </w:r>
      <w:r w:rsidR="00A14090" w:rsidRPr="001A50CB">
        <w:rPr>
          <w:rFonts w:eastAsia="Times New Roman"/>
          <w:b/>
          <w:szCs w:val="24"/>
          <w:lang w:eastAsia="ru-RU"/>
        </w:rPr>
        <w:instrText>-</w:instrText>
      </w:r>
      <w:r w:rsidR="00A14090">
        <w:rPr>
          <w:rFonts w:eastAsia="Times New Roman"/>
          <w:b/>
          <w:szCs w:val="24"/>
          <w:lang w:val="en-US" w:eastAsia="ru-RU"/>
        </w:rPr>
        <w:instrText>style</w:instrText>
      </w:r>
      <w:r w:rsidR="00A14090" w:rsidRPr="001A50CB">
        <w:rPr>
          <w:rFonts w:eastAsia="Times New Roman"/>
          <w:b/>
          <w:szCs w:val="24"/>
          <w:lang w:eastAsia="ru-RU"/>
        </w:rPr>
        <w:instrText>-</w:instrText>
      </w:r>
      <w:r w:rsidR="00A14090">
        <w:rPr>
          <w:rFonts w:eastAsia="Times New Roman"/>
          <w:b/>
          <w:szCs w:val="24"/>
          <w:lang w:val="en-US" w:eastAsia="ru-RU"/>
        </w:rPr>
        <w:instrText>language</w:instrText>
      </w:r>
      <w:r w:rsidR="00A14090" w:rsidRPr="001A50CB">
        <w:rPr>
          <w:rFonts w:eastAsia="Times New Roman"/>
          <w:b/>
          <w:szCs w:val="24"/>
          <w:lang w:eastAsia="ru-RU"/>
        </w:rPr>
        <w:instrText>/</w:instrText>
      </w:r>
      <w:r w:rsidR="00A14090">
        <w:rPr>
          <w:rFonts w:eastAsia="Times New Roman"/>
          <w:b/>
          <w:szCs w:val="24"/>
          <w:lang w:val="en-US" w:eastAsia="ru-RU"/>
        </w:rPr>
        <w:instrText>schema</w:instrText>
      </w:r>
      <w:r w:rsidR="00A14090" w:rsidRPr="001A50CB">
        <w:rPr>
          <w:rFonts w:eastAsia="Times New Roman"/>
          <w:b/>
          <w:szCs w:val="24"/>
          <w:lang w:eastAsia="ru-RU"/>
        </w:rPr>
        <w:instrText>/</w:instrText>
      </w:r>
      <w:r w:rsidR="00A14090">
        <w:rPr>
          <w:rFonts w:eastAsia="Times New Roman"/>
          <w:b/>
          <w:szCs w:val="24"/>
          <w:lang w:val="en-US" w:eastAsia="ru-RU"/>
        </w:rPr>
        <w:instrText>raw</w:instrText>
      </w:r>
      <w:r w:rsidR="00A14090" w:rsidRPr="001A50CB">
        <w:rPr>
          <w:rFonts w:eastAsia="Times New Roman"/>
          <w:b/>
          <w:szCs w:val="24"/>
          <w:lang w:eastAsia="ru-RU"/>
        </w:rPr>
        <w:instrText>/</w:instrText>
      </w:r>
      <w:r w:rsidR="00A14090">
        <w:rPr>
          <w:rFonts w:eastAsia="Times New Roman"/>
          <w:b/>
          <w:szCs w:val="24"/>
          <w:lang w:val="en-US" w:eastAsia="ru-RU"/>
        </w:rPr>
        <w:instrText>master</w:instrText>
      </w:r>
      <w:r w:rsidR="00A14090" w:rsidRPr="001A50CB">
        <w:rPr>
          <w:rFonts w:eastAsia="Times New Roman"/>
          <w:b/>
          <w:szCs w:val="24"/>
          <w:lang w:eastAsia="ru-RU"/>
        </w:rPr>
        <w:instrText>/</w:instrText>
      </w:r>
      <w:r w:rsidR="00A14090">
        <w:rPr>
          <w:rFonts w:eastAsia="Times New Roman"/>
          <w:b/>
          <w:szCs w:val="24"/>
          <w:lang w:val="en-US" w:eastAsia="ru-RU"/>
        </w:rPr>
        <w:instrText>csl</w:instrText>
      </w:r>
      <w:r w:rsidR="00A14090" w:rsidRPr="001A50CB">
        <w:rPr>
          <w:rFonts w:eastAsia="Times New Roman"/>
          <w:b/>
          <w:szCs w:val="24"/>
          <w:lang w:eastAsia="ru-RU"/>
        </w:rPr>
        <w:instrText>-</w:instrText>
      </w:r>
      <w:r w:rsidR="00A14090">
        <w:rPr>
          <w:rFonts w:eastAsia="Times New Roman"/>
          <w:b/>
          <w:szCs w:val="24"/>
          <w:lang w:val="en-US" w:eastAsia="ru-RU"/>
        </w:rPr>
        <w:instrText>citation</w:instrText>
      </w:r>
      <w:r w:rsidR="00A14090" w:rsidRPr="001A50CB">
        <w:rPr>
          <w:rFonts w:eastAsia="Times New Roman"/>
          <w:b/>
          <w:szCs w:val="24"/>
          <w:lang w:eastAsia="ru-RU"/>
        </w:rPr>
        <w:instrText>.</w:instrText>
      </w:r>
      <w:r w:rsidR="00A14090">
        <w:rPr>
          <w:rFonts w:eastAsia="Times New Roman"/>
          <w:b/>
          <w:szCs w:val="24"/>
          <w:lang w:val="en-US" w:eastAsia="ru-RU"/>
        </w:rPr>
        <w:instrText>json</w:instrText>
      </w:r>
      <w:r w:rsidR="00A14090" w:rsidRPr="001A50CB">
        <w:rPr>
          <w:rFonts w:eastAsia="Times New Roman"/>
          <w:b/>
          <w:szCs w:val="24"/>
          <w:lang w:eastAsia="ru-RU"/>
        </w:rPr>
        <w:instrText>"}</w:instrText>
      </w:r>
      <w:r w:rsidR="00836298">
        <w:rPr>
          <w:rFonts w:eastAsia="Times New Roman"/>
          <w:b/>
          <w:szCs w:val="24"/>
          <w:lang w:val="en-US" w:eastAsia="ru-RU"/>
        </w:rPr>
        <w:fldChar w:fldCharType="separate"/>
      </w:r>
      <w:r w:rsidR="00500F37" w:rsidRPr="00500F37">
        <w:rPr>
          <w:rFonts w:eastAsia="Times New Roman"/>
          <w:noProof/>
          <w:szCs w:val="24"/>
          <w:lang w:eastAsia="ru-RU"/>
        </w:rPr>
        <w:t>[42,43]</w:t>
      </w:r>
      <w:r w:rsidR="00836298">
        <w:rPr>
          <w:rFonts w:eastAsia="Times New Roman"/>
          <w:b/>
          <w:szCs w:val="24"/>
          <w:lang w:val="en-US" w:eastAsia="ru-RU"/>
        </w:rPr>
        <w:fldChar w:fldCharType="end"/>
      </w:r>
      <w:r w:rsidRPr="0058100B">
        <w:rPr>
          <w:rFonts w:eastAsia="Times New Roman"/>
          <w:b/>
          <w:szCs w:val="24"/>
          <w:lang w:eastAsia="ru-RU"/>
        </w:rPr>
        <w:t xml:space="preserve"> </w:t>
      </w:r>
    </w:p>
    <w:p w14:paraId="3F093B20" w14:textId="5EDC97E2" w:rsidR="00AB1657" w:rsidRPr="0058100B" w:rsidRDefault="00AB1657" w:rsidP="00AB1657">
      <w:pPr>
        <w:pStyle w:val="a6"/>
        <w:numPr>
          <w:ilvl w:val="0"/>
          <w:numId w:val="19"/>
        </w:numPr>
        <w:spacing w:before="0" w:after="0"/>
        <w:ind w:left="709" w:hanging="425"/>
        <w:jc w:val="left"/>
        <w:rPr>
          <w:rFonts w:eastAsia="Times New Roman"/>
          <w:szCs w:val="24"/>
          <w:lang w:eastAsia="ru-RU"/>
        </w:rPr>
      </w:pPr>
      <w:r w:rsidRPr="00AB1657">
        <w:rPr>
          <w:rFonts w:eastAsia="Times New Roman"/>
          <w:szCs w:val="24"/>
          <w:lang w:eastAsia="ru-RU"/>
        </w:rPr>
        <w:t>Бортезомиб</w:t>
      </w:r>
      <w:r w:rsidRPr="0058100B">
        <w:rPr>
          <w:rFonts w:eastAsia="Times New Roman"/>
          <w:szCs w:val="24"/>
          <w:lang w:eastAsia="ru-RU"/>
        </w:rPr>
        <w:t xml:space="preserve">** 1,3 </w:t>
      </w:r>
      <w:r w:rsidRPr="00AB1657">
        <w:rPr>
          <w:rFonts w:eastAsia="Times New Roman"/>
          <w:szCs w:val="24"/>
          <w:lang w:eastAsia="ru-RU"/>
        </w:rPr>
        <w:t>мг</w:t>
      </w:r>
      <w:r w:rsidRPr="0058100B">
        <w:rPr>
          <w:rFonts w:eastAsia="Times New Roman"/>
          <w:szCs w:val="24"/>
          <w:lang w:eastAsia="ru-RU"/>
        </w:rPr>
        <w:t>/</w:t>
      </w:r>
      <w:r w:rsidRPr="00AB1657">
        <w:rPr>
          <w:rFonts w:eastAsia="Times New Roman"/>
          <w:szCs w:val="24"/>
          <w:lang w:eastAsia="ru-RU"/>
        </w:rPr>
        <w:t>м</w:t>
      </w:r>
      <w:r w:rsidRPr="0058100B">
        <w:rPr>
          <w:rFonts w:eastAsia="Times New Roman"/>
          <w:szCs w:val="24"/>
          <w:vertAlign w:val="superscript"/>
          <w:lang w:eastAsia="ru-RU"/>
        </w:rPr>
        <w:t xml:space="preserve">2 </w:t>
      </w:r>
      <w:r w:rsidRPr="00AB1657">
        <w:rPr>
          <w:rFonts w:eastAsia="Times New Roman"/>
          <w:szCs w:val="24"/>
          <w:lang w:eastAsia="ru-RU"/>
        </w:rPr>
        <w:t>п</w:t>
      </w:r>
      <w:r w:rsidRPr="0058100B">
        <w:rPr>
          <w:rFonts w:eastAsia="Times New Roman"/>
          <w:szCs w:val="24"/>
          <w:lang w:eastAsia="ru-RU"/>
        </w:rPr>
        <w:t>/</w:t>
      </w:r>
      <w:r w:rsidRPr="00AB1657">
        <w:rPr>
          <w:rFonts w:eastAsia="Times New Roman"/>
          <w:szCs w:val="24"/>
          <w:lang w:eastAsia="ru-RU"/>
        </w:rPr>
        <w:t>к</w:t>
      </w:r>
      <w:r w:rsidRPr="0058100B">
        <w:rPr>
          <w:rFonts w:eastAsia="Times New Roman"/>
          <w:szCs w:val="24"/>
          <w:lang w:eastAsia="ru-RU"/>
        </w:rPr>
        <w:t xml:space="preserve"> </w:t>
      </w:r>
      <w:r w:rsidR="006F294C">
        <w:rPr>
          <w:rFonts w:eastAsia="Times New Roman"/>
          <w:szCs w:val="24"/>
          <w:lang w:eastAsia="ru-RU"/>
        </w:rPr>
        <w:t>в</w:t>
      </w:r>
      <w:r w:rsidR="006F294C" w:rsidRPr="0058100B">
        <w:rPr>
          <w:rFonts w:eastAsia="Times New Roman"/>
          <w:szCs w:val="24"/>
          <w:lang w:eastAsia="ru-RU"/>
        </w:rPr>
        <w:t xml:space="preserve"> 1, 4, 8 </w:t>
      </w:r>
      <w:r w:rsidR="006F294C">
        <w:rPr>
          <w:rFonts w:eastAsia="Times New Roman"/>
          <w:szCs w:val="24"/>
          <w:lang w:eastAsia="ru-RU"/>
        </w:rPr>
        <w:t>и</w:t>
      </w:r>
      <w:r w:rsidR="006F294C" w:rsidRPr="0058100B">
        <w:rPr>
          <w:rFonts w:eastAsia="Times New Roman"/>
          <w:szCs w:val="24"/>
          <w:lang w:eastAsia="ru-RU"/>
        </w:rPr>
        <w:t xml:space="preserve"> 11-</w:t>
      </w:r>
      <w:r w:rsidR="006F294C">
        <w:rPr>
          <w:rFonts w:eastAsia="Times New Roman"/>
          <w:szCs w:val="24"/>
          <w:lang w:eastAsia="ru-RU"/>
        </w:rPr>
        <w:t>й</w:t>
      </w:r>
      <w:r w:rsidR="006F294C" w:rsidRPr="0058100B">
        <w:rPr>
          <w:rFonts w:eastAsia="Times New Roman"/>
          <w:szCs w:val="24"/>
          <w:lang w:eastAsia="ru-RU"/>
        </w:rPr>
        <w:t xml:space="preserve"> </w:t>
      </w:r>
      <w:r w:rsidR="006F294C">
        <w:rPr>
          <w:rFonts w:eastAsia="Times New Roman"/>
          <w:szCs w:val="24"/>
          <w:lang w:eastAsia="ru-RU"/>
        </w:rPr>
        <w:t>дни</w:t>
      </w:r>
      <w:r w:rsidRPr="0058100B">
        <w:rPr>
          <w:rFonts w:eastAsia="Times New Roman"/>
          <w:szCs w:val="24"/>
          <w:lang w:eastAsia="ru-RU"/>
        </w:rPr>
        <w:t>.</w:t>
      </w:r>
    </w:p>
    <w:p w14:paraId="602E16C9" w14:textId="4FBBA3B9" w:rsidR="00AB1657" w:rsidRPr="0058100B" w:rsidRDefault="00AB1657" w:rsidP="00AB1657">
      <w:pPr>
        <w:pStyle w:val="a6"/>
        <w:numPr>
          <w:ilvl w:val="0"/>
          <w:numId w:val="19"/>
        </w:numPr>
        <w:spacing w:before="0" w:after="0"/>
        <w:ind w:left="709" w:hanging="425"/>
        <w:jc w:val="left"/>
        <w:rPr>
          <w:rFonts w:eastAsia="Times New Roman"/>
          <w:szCs w:val="24"/>
          <w:lang w:eastAsia="ru-RU"/>
        </w:rPr>
      </w:pPr>
      <w:r w:rsidRPr="00F242DD">
        <w:rPr>
          <w:rFonts w:eastAsia="Times New Roman"/>
          <w:szCs w:val="24"/>
          <w:lang w:eastAsia="ru-RU"/>
        </w:rPr>
        <w:t>Леналидомид</w:t>
      </w:r>
      <w:r w:rsidRPr="0058100B">
        <w:rPr>
          <w:rFonts w:eastAsia="Times New Roman"/>
          <w:szCs w:val="24"/>
          <w:lang w:eastAsia="ru-RU"/>
        </w:rPr>
        <w:t xml:space="preserve">** 25 </w:t>
      </w:r>
      <w:r w:rsidRPr="00F242DD">
        <w:rPr>
          <w:rFonts w:eastAsia="Times New Roman"/>
          <w:szCs w:val="24"/>
          <w:lang w:eastAsia="ru-RU"/>
        </w:rPr>
        <w:t>мг</w:t>
      </w:r>
      <w:r w:rsidRPr="0058100B">
        <w:rPr>
          <w:rFonts w:eastAsia="Times New Roman"/>
          <w:szCs w:val="24"/>
          <w:lang w:eastAsia="ru-RU"/>
        </w:rPr>
        <w:t xml:space="preserve"> </w:t>
      </w:r>
      <w:r w:rsidRPr="00F242DD">
        <w:rPr>
          <w:rFonts w:eastAsia="Times New Roman"/>
          <w:szCs w:val="24"/>
          <w:lang w:eastAsia="ru-RU"/>
        </w:rPr>
        <w:t>внутрь</w:t>
      </w:r>
      <w:r w:rsidRPr="0058100B">
        <w:rPr>
          <w:rFonts w:eastAsia="Times New Roman"/>
          <w:szCs w:val="24"/>
          <w:lang w:eastAsia="ru-RU"/>
        </w:rPr>
        <w:t xml:space="preserve">, </w:t>
      </w:r>
      <w:r w:rsidRPr="00AB1657">
        <w:rPr>
          <w:rFonts w:eastAsia="Times New Roman"/>
          <w:szCs w:val="24"/>
          <w:lang w:eastAsia="ru-RU"/>
        </w:rPr>
        <w:t>с</w:t>
      </w:r>
      <w:r w:rsidRPr="0058100B">
        <w:rPr>
          <w:rFonts w:eastAsia="Times New Roman"/>
          <w:szCs w:val="24"/>
          <w:lang w:eastAsia="ru-RU"/>
        </w:rPr>
        <w:t xml:space="preserve"> 1 </w:t>
      </w:r>
      <w:r w:rsidRPr="00AB1657">
        <w:rPr>
          <w:rFonts w:eastAsia="Times New Roman"/>
          <w:szCs w:val="24"/>
          <w:lang w:eastAsia="ru-RU"/>
        </w:rPr>
        <w:t>по</w:t>
      </w:r>
      <w:r w:rsidRPr="0058100B">
        <w:rPr>
          <w:rFonts w:eastAsia="Times New Roman"/>
          <w:szCs w:val="24"/>
          <w:lang w:eastAsia="ru-RU"/>
        </w:rPr>
        <w:t xml:space="preserve"> 14 </w:t>
      </w:r>
      <w:r w:rsidRPr="00AB1657">
        <w:rPr>
          <w:rFonts w:eastAsia="Times New Roman"/>
          <w:szCs w:val="24"/>
          <w:lang w:eastAsia="ru-RU"/>
        </w:rPr>
        <w:t>день</w:t>
      </w:r>
      <w:r w:rsidRPr="0058100B">
        <w:rPr>
          <w:rFonts w:eastAsia="Times New Roman"/>
          <w:szCs w:val="24"/>
          <w:lang w:eastAsia="ru-RU"/>
        </w:rPr>
        <w:t>.</w:t>
      </w:r>
    </w:p>
    <w:p w14:paraId="632D06E4" w14:textId="6C84DC40" w:rsidR="00AB1657" w:rsidRPr="0058100B" w:rsidRDefault="00AB1657" w:rsidP="00AB1657">
      <w:pPr>
        <w:pStyle w:val="a6"/>
        <w:numPr>
          <w:ilvl w:val="0"/>
          <w:numId w:val="19"/>
        </w:numPr>
        <w:spacing w:before="0" w:after="0"/>
        <w:ind w:left="284" w:firstLine="0"/>
        <w:jc w:val="left"/>
        <w:rPr>
          <w:rFonts w:eastAsia="Times New Roman"/>
          <w:szCs w:val="24"/>
          <w:lang w:eastAsia="ru-RU"/>
        </w:rPr>
      </w:pPr>
      <w:r w:rsidRPr="00AB1657">
        <w:rPr>
          <w:rFonts w:eastAsia="Times New Roman"/>
          <w:szCs w:val="24"/>
          <w:lang w:eastAsia="ru-RU"/>
        </w:rPr>
        <w:t>Дексаметазон</w:t>
      </w:r>
      <w:r w:rsidRPr="0058100B">
        <w:rPr>
          <w:rFonts w:eastAsia="Times New Roman"/>
          <w:szCs w:val="24"/>
          <w:lang w:eastAsia="ru-RU"/>
        </w:rPr>
        <w:t xml:space="preserve">** 20 </w:t>
      </w:r>
      <w:r w:rsidRPr="00AB1657">
        <w:rPr>
          <w:rFonts w:eastAsia="Times New Roman"/>
          <w:szCs w:val="24"/>
          <w:lang w:eastAsia="ru-RU"/>
        </w:rPr>
        <w:t>мг</w:t>
      </w:r>
      <w:r w:rsidRPr="0058100B">
        <w:rPr>
          <w:rFonts w:eastAsia="Times New Roman"/>
          <w:szCs w:val="24"/>
          <w:lang w:eastAsia="ru-RU"/>
        </w:rPr>
        <w:t xml:space="preserve"> </w:t>
      </w:r>
      <w:r w:rsidRPr="00AB1657">
        <w:rPr>
          <w:rFonts w:eastAsia="Times New Roman"/>
          <w:szCs w:val="24"/>
          <w:lang w:eastAsia="ru-RU"/>
        </w:rPr>
        <w:t>в</w:t>
      </w:r>
      <w:r w:rsidRPr="0058100B">
        <w:rPr>
          <w:rFonts w:eastAsia="Times New Roman"/>
          <w:szCs w:val="24"/>
          <w:lang w:eastAsia="ru-RU"/>
        </w:rPr>
        <w:t xml:space="preserve"> </w:t>
      </w:r>
      <w:r w:rsidRPr="00AB1657">
        <w:rPr>
          <w:rFonts w:eastAsia="Times New Roman"/>
          <w:szCs w:val="24"/>
          <w:lang w:eastAsia="ru-RU"/>
        </w:rPr>
        <w:t>дни</w:t>
      </w:r>
      <w:r w:rsidRPr="0058100B">
        <w:rPr>
          <w:rFonts w:eastAsia="Times New Roman"/>
          <w:szCs w:val="24"/>
          <w:lang w:eastAsia="ru-RU"/>
        </w:rPr>
        <w:t xml:space="preserve"> 1, 2, 4, 5, 8, 9, 11 </w:t>
      </w:r>
      <w:r w:rsidRPr="00AB1657">
        <w:rPr>
          <w:rFonts w:eastAsia="Times New Roman"/>
          <w:szCs w:val="24"/>
          <w:lang w:eastAsia="ru-RU"/>
        </w:rPr>
        <w:t>и</w:t>
      </w:r>
      <w:r w:rsidRPr="0058100B">
        <w:rPr>
          <w:rFonts w:eastAsia="Times New Roman"/>
          <w:szCs w:val="24"/>
          <w:lang w:eastAsia="ru-RU"/>
        </w:rPr>
        <w:t xml:space="preserve"> 12 </w:t>
      </w:r>
      <w:r w:rsidRPr="00AB1657">
        <w:rPr>
          <w:rFonts w:eastAsia="Times New Roman"/>
          <w:szCs w:val="24"/>
          <w:lang w:eastAsia="ru-RU"/>
        </w:rPr>
        <w:t>каждого</w:t>
      </w:r>
      <w:r w:rsidRPr="0058100B">
        <w:rPr>
          <w:rFonts w:eastAsia="Times New Roman"/>
          <w:szCs w:val="24"/>
          <w:lang w:eastAsia="ru-RU"/>
        </w:rPr>
        <w:t xml:space="preserve"> </w:t>
      </w:r>
      <w:r w:rsidRPr="00AB1657">
        <w:rPr>
          <w:rFonts w:eastAsia="Times New Roman"/>
          <w:szCs w:val="24"/>
          <w:lang w:eastAsia="ru-RU"/>
        </w:rPr>
        <w:t>цикла</w:t>
      </w:r>
      <w:r w:rsidRPr="0058100B">
        <w:rPr>
          <w:rFonts w:eastAsia="Times New Roman"/>
          <w:szCs w:val="24"/>
          <w:lang w:eastAsia="ru-RU"/>
        </w:rPr>
        <w:t>.</w:t>
      </w:r>
    </w:p>
    <w:p w14:paraId="516E4BEB" w14:textId="4002809B" w:rsidR="00AB1657" w:rsidRPr="0058100B" w:rsidRDefault="00AB1657" w:rsidP="00AB1657">
      <w:pPr>
        <w:pStyle w:val="a6"/>
        <w:spacing w:before="0" w:after="0"/>
        <w:ind w:left="709"/>
        <w:jc w:val="left"/>
        <w:rPr>
          <w:rFonts w:eastAsia="Times New Roman"/>
          <w:szCs w:val="24"/>
          <w:lang w:eastAsia="ru-RU"/>
        </w:rPr>
      </w:pPr>
      <w:r w:rsidRPr="00AB1657">
        <w:rPr>
          <w:rFonts w:eastAsia="Times New Roman"/>
          <w:szCs w:val="24"/>
          <w:lang w:eastAsia="ru-RU"/>
        </w:rPr>
        <w:t>Лечение</w:t>
      </w:r>
      <w:r w:rsidRPr="0058100B">
        <w:rPr>
          <w:rFonts w:eastAsia="Times New Roman"/>
          <w:szCs w:val="24"/>
          <w:lang w:eastAsia="ru-RU"/>
        </w:rPr>
        <w:t xml:space="preserve"> </w:t>
      </w:r>
      <w:r w:rsidRPr="00AB1657">
        <w:rPr>
          <w:rFonts w:eastAsia="Times New Roman"/>
          <w:szCs w:val="24"/>
          <w:lang w:eastAsia="ru-RU"/>
        </w:rPr>
        <w:t>возобновляется</w:t>
      </w:r>
      <w:r w:rsidRPr="0058100B">
        <w:rPr>
          <w:rFonts w:eastAsia="Times New Roman"/>
          <w:szCs w:val="24"/>
          <w:lang w:eastAsia="ru-RU"/>
        </w:rPr>
        <w:t xml:space="preserve"> </w:t>
      </w:r>
      <w:r w:rsidRPr="00AB1657">
        <w:rPr>
          <w:rFonts w:eastAsia="Times New Roman"/>
          <w:szCs w:val="24"/>
          <w:lang w:eastAsia="ru-RU"/>
        </w:rPr>
        <w:t>на</w:t>
      </w:r>
      <w:r w:rsidRPr="0058100B">
        <w:rPr>
          <w:rFonts w:eastAsia="Times New Roman"/>
          <w:szCs w:val="24"/>
          <w:lang w:eastAsia="ru-RU"/>
        </w:rPr>
        <w:t xml:space="preserve"> 22-</w:t>
      </w:r>
      <w:r>
        <w:rPr>
          <w:rFonts w:eastAsia="Times New Roman"/>
          <w:szCs w:val="24"/>
          <w:lang w:eastAsia="ru-RU"/>
        </w:rPr>
        <w:t>й</w:t>
      </w:r>
      <w:r w:rsidRPr="0058100B">
        <w:rPr>
          <w:rFonts w:eastAsia="Times New Roman"/>
          <w:szCs w:val="24"/>
          <w:lang w:eastAsia="ru-RU"/>
        </w:rPr>
        <w:t xml:space="preserve"> </w:t>
      </w:r>
      <w:r w:rsidRPr="00AB1657">
        <w:rPr>
          <w:rFonts w:eastAsia="Times New Roman"/>
          <w:szCs w:val="24"/>
          <w:lang w:eastAsia="ru-RU"/>
        </w:rPr>
        <w:t>день</w:t>
      </w:r>
      <w:r w:rsidR="006F294C" w:rsidRPr="0058100B">
        <w:rPr>
          <w:rFonts w:eastAsia="Times New Roman"/>
          <w:szCs w:val="24"/>
          <w:lang w:eastAsia="ru-RU"/>
        </w:rPr>
        <w:t>.</w:t>
      </w:r>
    </w:p>
    <w:p w14:paraId="2ECDDE8D" w14:textId="77777777" w:rsidR="000546DA" w:rsidRPr="0058100B" w:rsidRDefault="000546DA" w:rsidP="00616CC3">
      <w:pPr>
        <w:spacing w:before="0" w:after="0"/>
        <w:contextualSpacing/>
        <w:jc w:val="center"/>
        <w:rPr>
          <w:rFonts w:eastAsia="Times New Roman"/>
          <w:b/>
          <w:i/>
          <w:szCs w:val="24"/>
          <w:lang w:eastAsia="ru-RU"/>
        </w:rPr>
      </w:pPr>
      <w:r w:rsidRPr="00F242DD">
        <w:rPr>
          <w:rFonts w:eastAsia="Times New Roman"/>
          <w:b/>
          <w:i/>
          <w:szCs w:val="24"/>
          <w:lang w:eastAsia="ru-RU"/>
        </w:rPr>
        <w:t>Схемы</w:t>
      </w:r>
      <w:r w:rsidRPr="0058100B">
        <w:rPr>
          <w:rFonts w:eastAsia="Times New Roman"/>
          <w:b/>
          <w:i/>
          <w:szCs w:val="24"/>
          <w:lang w:eastAsia="ru-RU"/>
        </w:rPr>
        <w:t xml:space="preserve"> </w:t>
      </w:r>
      <w:r w:rsidRPr="00F242DD">
        <w:rPr>
          <w:rFonts w:eastAsia="Times New Roman"/>
          <w:b/>
          <w:i/>
          <w:szCs w:val="24"/>
          <w:lang w:eastAsia="ru-RU"/>
        </w:rPr>
        <w:t>лечения</w:t>
      </w:r>
      <w:r w:rsidRPr="0058100B">
        <w:rPr>
          <w:rFonts w:eastAsia="Times New Roman"/>
          <w:b/>
          <w:i/>
          <w:szCs w:val="24"/>
          <w:lang w:eastAsia="ru-RU"/>
        </w:rPr>
        <w:t xml:space="preserve"> </w:t>
      </w:r>
      <w:r w:rsidRPr="00F242DD">
        <w:rPr>
          <w:rFonts w:eastAsia="Times New Roman"/>
          <w:b/>
          <w:i/>
          <w:szCs w:val="24"/>
          <w:lang w:eastAsia="ru-RU"/>
        </w:rPr>
        <w:t>рецидивов</w:t>
      </w:r>
    </w:p>
    <w:p w14:paraId="2ADF8FAE" w14:textId="68E1D8A2" w:rsidR="000546DA" w:rsidRPr="0058100B" w:rsidRDefault="000546DA" w:rsidP="002431B5">
      <w:pPr>
        <w:spacing w:before="0" w:after="0"/>
        <w:contextualSpacing/>
        <w:rPr>
          <w:rFonts w:eastAsia="Times New Roman"/>
          <w:b/>
          <w:szCs w:val="24"/>
          <w:lang w:eastAsia="ru-RU"/>
        </w:rPr>
      </w:pPr>
      <w:r w:rsidRPr="00F242DD">
        <w:rPr>
          <w:rFonts w:eastAsia="Times New Roman"/>
          <w:b/>
          <w:szCs w:val="24"/>
          <w:lang w:eastAsia="ru-RU"/>
        </w:rPr>
        <w:t>Монотерапия</w:t>
      </w:r>
      <w:r w:rsidRPr="0058100B">
        <w:rPr>
          <w:rFonts w:eastAsia="Times New Roman"/>
          <w:b/>
          <w:szCs w:val="24"/>
          <w:lang w:eastAsia="ru-RU"/>
        </w:rPr>
        <w:t xml:space="preserve"> </w:t>
      </w:r>
      <w:r w:rsidRPr="00F242DD">
        <w:rPr>
          <w:rFonts w:eastAsia="Times New Roman"/>
          <w:b/>
          <w:szCs w:val="24"/>
          <w:lang w:eastAsia="ru-RU"/>
        </w:rPr>
        <w:t>бортезомибом</w:t>
      </w:r>
      <w:r w:rsidR="003F4253" w:rsidRPr="0058100B">
        <w:rPr>
          <w:rFonts w:eastAsia="Times New Roman"/>
          <w:b/>
          <w:szCs w:val="24"/>
          <w:lang w:eastAsia="ru-RU"/>
        </w:rPr>
        <w:t>**</w:t>
      </w:r>
    </w:p>
    <w:p w14:paraId="5D97D27D" w14:textId="77777777" w:rsidR="000546DA" w:rsidRPr="0058100B" w:rsidRDefault="000546DA" w:rsidP="00616CC3">
      <w:pPr>
        <w:numPr>
          <w:ilvl w:val="0"/>
          <w:numId w:val="14"/>
        </w:numPr>
        <w:tabs>
          <w:tab w:val="left" w:pos="284"/>
        </w:tabs>
        <w:spacing w:before="0" w:after="0"/>
        <w:ind w:left="0" w:firstLine="0"/>
        <w:contextualSpacing/>
        <w:jc w:val="left"/>
        <w:rPr>
          <w:rFonts w:eastAsia="Times New Roman"/>
          <w:szCs w:val="24"/>
          <w:lang w:eastAsia="ru-RU"/>
        </w:rPr>
      </w:pPr>
      <w:r w:rsidRPr="0058100B">
        <w:rPr>
          <w:rFonts w:eastAsia="Times New Roman"/>
          <w:szCs w:val="24"/>
          <w:lang w:eastAsia="ru-RU"/>
        </w:rPr>
        <w:t>1</w:t>
      </w:r>
      <w:r w:rsidR="004204B1" w:rsidRPr="0058100B">
        <w:rPr>
          <w:rFonts w:eastAsia="Times New Roman"/>
          <w:szCs w:val="24"/>
          <w:lang w:eastAsia="ru-RU"/>
        </w:rPr>
        <w:t>‒</w:t>
      </w:r>
      <w:r w:rsidRPr="0058100B">
        <w:rPr>
          <w:rFonts w:eastAsia="Times New Roman"/>
          <w:szCs w:val="24"/>
          <w:lang w:eastAsia="ru-RU"/>
        </w:rPr>
        <w:t>8</w:t>
      </w:r>
      <w:r w:rsidR="004204B1" w:rsidRPr="0058100B">
        <w:rPr>
          <w:rFonts w:eastAsia="Times New Roman"/>
          <w:szCs w:val="24"/>
          <w:lang w:eastAsia="ru-RU"/>
        </w:rPr>
        <w:t>-</w:t>
      </w:r>
      <w:r w:rsidR="004204B1" w:rsidRPr="00F242DD">
        <w:rPr>
          <w:rFonts w:eastAsia="Times New Roman"/>
          <w:szCs w:val="24"/>
          <w:lang w:eastAsia="ru-RU"/>
        </w:rPr>
        <w:t>й</w:t>
      </w:r>
      <w:r w:rsidRPr="0058100B">
        <w:rPr>
          <w:rFonts w:eastAsia="Times New Roman"/>
          <w:szCs w:val="24"/>
          <w:lang w:eastAsia="ru-RU"/>
        </w:rPr>
        <w:t xml:space="preserve"> </w:t>
      </w:r>
      <w:r w:rsidRPr="00F242DD">
        <w:rPr>
          <w:rFonts w:eastAsia="Times New Roman"/>
          <w:szCs w:val="24"/>
          <w:lang w:eastAsia="ru-RU"/>
        </w:rPr>
        <w:t>курсы</w:t>
      </w:r>
      <w:r w:rsidRPr="0058100B">
        <w:rPr>
          <w:rFonts w:eastAsia="Times New Roman"/>
          <w:szCs w:val="24"/>
          <w:lang w:eastAsia="ru-RU"/>
        </w:rPr>
        <w:t>:</w:t>
      </w:r>
    </w:p>
    <w:p w14:paraId="2472DBCE" w14:textId="77777777" w:rsidR="000546DA" w:rsidRPr="0058100B" w:rsidRDefault="000546DA" w:rsidP="00616CC3">
      <w:pPr>
        <w:numPr>
          <w:ilvl w:val="1"/>
          <w:numId w:val="14"/>
        </w:numPr>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w:t>
      </w:r>
      <w:r w:rsidRPr="0058100B">
        <w:rPr>
          <w:rFonts w:eastAsia="Times New Roman"/>
          <w:szCs w:val="24"/>
          <w:lang w:eastAsia="ru-RU"/>
        </w:rPr>
        <w:t xml:space="preserve">** 1,3 </w:t>
      </w:r>
      <w:r w:rsidRPr="00F242DD">
        <w:rPr>
          <w:rFonts w:eastAsia="Times New Roman"/>
          <w:szCs w:val="24"/>
          <w:lang w:eastAsia="ru-RU"/>
        </w:rPr>
        <w:t>мг</w:t>
      </w:r>
      <w:r w:rsidRPr="0058100B">
        <w:rPr>
          <w:rFonts w:eastAsia="Times New Roman"/>
          <w:szCs w:val="24"/>
          <w:lang w:eastAsia="ru-RU"/>
        </w:rPr>
        <w:t>/</w:t>
      </w:r>
      <w:r w:rsidRPr="00F242DD">
        <w:rPr>
          <w:rFonts w:eastAsia="Times New Roman"/>
          <w:szCs w:val="24"/>
          <w:lang w:eastAsia="ru-RU"/>
        </w:rPr>
        <w:t>м</w:t>
      </w:r>
      <w:r w:rsidRPr="0058100B">
        <w:rPr>
          <w:rFonts w:eastAsia="Times New Roman"/>
          <w:szCs w:val="24"/>
          <w:vertAlign w:val="superscript"/>
          <w:lang w:eastAsia="ru-RU"/>
        </w:rPr>
        <w:t>2</w:t>
      </w:r>
      <w:r w:rsidRPr="0058100B">
        <w:rPr>
          <w:rFonts w:eastAsia="Times New Roman"/>
          <w:szCs w:val="24"/>
          <w:lang w:eastAsia="ru-RU"/>
        </w:rPr>
        <w:t xml:space="preserve"> </w:t>
      </w:r>
      <w:r w:rsidRPr="00F242DD">
        <w:rPr>
          <w:rFonts w:eastAsia="Times New Roman"/>
          <w:szCs w:val="24"/>
          <w:lang w:eastAsia="ru-RU"/>
        </w:rPr>
        <w:t>п</w:t>
      </w:r>
      <w:r w:rsidRPr="0058100B">
        <w:rPr>
          <w:rFonts w:eastAsia="Times New Roman"/>
          <w:szCs w:val="24"/>
          <w:lang w:eastAsia="ru-RU"/>
        </w:rPr>
        <w:t>/</w:t>
      </w:r>
      <w:r w:rsidRPr="00F242DD">
        <w:rPr>
          <w:rFonts w:eastAsia="Times New Roman"/>
          <w:szCs w:val="24"/>
          <w:lang w:eastAsia="ru-RU"/>
        </w:rPr>
        <w:t>к</w:t>
      </w:r>
      <w:r w:rsidRPr="0058100B">
        <w:rPr>
          <w:rFonts w:eastAsia="Times New Roman"/>
          <w:szCs w:val="24"/>
          <w:lang w:eastAsia="ru-RU"/>
        </w:rPr>
        <w:t xml:space="preserve"> </w:t>
      </w:r>
      <w:r w:rsidRPr="00F242DD">
        <w:rPr>
          <w:rFonts w:eastAsia="Times New Roman"/>
          <w:szCs w:val="24"/>
          <w:lang w:eastAsia="ru-RU"/>
        </w:rPr>
        <w:t>или</w:t>
      </w:r>
      <w:r w:rsidRPr="0058100B">
        <w:rPr>
          <w:rFonts w:eastAsia="Times New Roman"/>
          <w:szCs w:val="24"/>
          <w:lang w:eastAsia="ru-RU"/>
        </w:rPr>
        <w:t xml:space="preserve"> </w:t>
      </w:r>
      <w:r w:rsidRPr="00F242DD">
        <w:rPr>
          <w:rFonts w:eastAsia="Times New Roman"/>
          <w:szCs w:val="24"/>
          <w:lang w:eastAsia="ru-RU"/>
        </w:rPr>
        <w:t>в</w:t>
      </w:r>
      <w:r w:rsidRPr="0058100B">
        <w:rPr>
          <w:rFonts w:eastAsia="Times New Roman"/>
          <w:szCs w:val="24"/>
          <w:lang w:eastAsia="ru-RU"/>
        </w:rPr>
        <w:t>/</w:t>
      </w:r>
      <w:r w:rsidRPr="00F242DD">
        <w:rPr>
          <w:rFonts w:eastAsia="Times New Roman"/>
          <w:szCs w:val="24"/>
          <w:lang w:eastAsia="ru-RU"/>
        </w:rPr>
        <w:t>в</w:t>
      </w:r>
      <w:r w:rsidRPr="0058100B">
        <w:rPr>
          <w:rFonts w:eastAsia="Times New Roman"/>
          <w:szCs w:val="24"/>
          <w:lang w:eastAsia="ru-RU"/>
        </w:rPr>
        <w:t xml:space="preserve">, </w:t>
      </w:r>
      <w:r w:rsidRPr="00F242DD">
        <w:rPr>
          <w:rFonts w:eastAsia="Times New Roman"/>
          <w:szCs w:val="24"/>
          <w:lang w:eastAsia="ru-RU"/>
        </w:rPr>
        <w:t>дни</w:t>
      </w:r>
      <w:r w:rsidRPr="0058100B">
        <w:rPr>
          <w:rFonts w:eastAsia="Times New Roman"/>
          <w:szCs w:val="24"/>
          <w:lang w:eastAsia="ru-RU"/>
        </w:rPr>
        <w:t xml:space="preserve"> 1, 4, 8, 11</w:t>
      </w:r>
      <w:r w:rsidR="004204B1" w:rsidRPr="0058100B">
        <w:rPr>
          <w:rFonts w:eastAsia="Times New Roman"/>
          <w:szCs w:val="24"/>
          <w:lang w:eastAsia="ru-RU"/>
        </w:rPr>
        <w:t>-</w:t>
      </w:r>
      <w:r w:rsidR="004204B1" w:rsidRPr="00F242DD">
        <w:rPr>
          <w:rFonts w:eastAsia="Times New Roman"/>
          <w:szCs w:val="24"/>
          <w:lang w:eastAsia="ru-RU"/>
        </w:rPr>
        <w:t>й</w:t>
      </w:r>
    </w:p>
    <w:p w14:paraId="656731DE" w14:textId="77777777" w:rsidR="000546DA" w:rsidRPr="0058100B"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w:t>
      </w:r>
      <w:r w:rsidRPr="0058100B">
        <w:rPr>
          <w:rFonts w:eastAsia="Times New Roman"/>
          <w:szCs w:val="24"/>
          <w:lang w:eastAsia="ru-RU"/>
        </w:rPr>
        <w:t xml:space="preserve"> </w:t>
      </w:r>
      <w:r w:rsidRPr="00F242DD">
        <w:rPr>
          <w:rFonts w:eastAsia="Times New Roman"/>
          <w:szCs w:val="24"/>
          <w:lang w:eastAsia="ru-RU"/>
        </w:rPr>
        <w:t>возобновляется</w:t>
      </w:r>
      <w:r w:rsidRPr="0058100B">
        <w:rPr>
          <w:rFonts w:eastAsia="Times New Roman"/>
          <w:szCs w:val="24"/>
          <w:lang w:eastAsia="ru-RU"/>
        </w:rPr>
        <w:t xml:space="preserve"> </w:t>
      </w:r>
      <w:r w:rsidRPr="00F242DD">
        <w:rPr>
          <w:rFonts w:eastAsia="Times New Roman"/>
          <w:szCs w:val="24"/>
          <w:lang w:eastAsia="ru-RU"/>
        </w:rPr>
        <w:t>на</w:t>
      </w:r>
      <w:r w:rsidRPr="0058100B">
        <w:rPr>
          <w:rFonts w:eastAsia="Times New Roman"/>
          <w:szCs w:val="24"/>
          <w:lang w:eastAsia="ru-RU"/>
        </w:rPr>
        <w:t xml:space="preserve"> 22</w:t>
      </w:r>
      <w:r w:rsidR="004204B1" w:rsidRPr="0058100B">
        <w:rPr>
          <w:rFonts w:eastAsia="Times New Roman"/>
          <w:szCs w:val="24"/>
          <w:lang w:eastAsia="ru-RU"/>
        </w:rPr>
        <w:t>-</w:t>
      </w:r>
      <w:r w:rsidR="004204B1" w:rsidRPr="00F242DD">
        <w:rPr>
          <w:rFonts w:eastAsia="Times New Roman"/>
          <w:szCs w:val="24"/>
          <w:lang w:eastAsia="ru-RU"/>
        </w:rPr>
        <w:t>й</w:t>
      </w:r>
      <w:r w:rsidRPr="0058100B">
        <w:rPr>
          <w:rFonts w:eastAsia="Times New Roman"/>
          <w:szCs w:val="24"/>
          <w:lang w:eastAsia="ru-RU"/>
        </w:rPr>
        <w:t xml:space="preserve"> </w:t>
      </w:r>
      <w:r w:rsidRPr="00F242DD">
        <w:rPr>
          <w:rFonts w:eastAsia="Times New Roman"/>
          <w:szCs w:val="24"/>
          <w:lang w:eastAsia="ru-RU"/>
        </w:rPr>
        <w:t>день</w:t>
      </w:r>
      <w:r w:rsidR="004204B1" w:rsidRPr="0058100B">
        <w:rPr>
          <w:rFonts w:eastAsia="Times New Roman"/>
          <w:szCs w:val="24"/>
          <w:lang w:eastAsia="ru-RU"/>
        </w:rPr>
        <w:t>.</w:t>
      </w:r>
    </w:p>
    <w:p w14:paraId="42F10F27" w14:textId="77777777" w:rsidR="000546DA" w:rsidRPr="0058100B" w:rsidRDefault="000546DA" w:rsidP="00616CC3">
      <w:pPr>
        <w:numPr>
          <w:ilvl w:val="0"/>
          <w:numId w:val="14"/>
        </w:numPr>
        <w:tabs>
          <w:tab w:val="left" w:pos="284"/>
        </w:tabs>
        <w:spacing w:before="0" w:after="0"/>
        <w:ind w:left="0" w:firstLine="0"/>
        <w:contextualSpacing/>
        <w:jc w:val="left"/>
        <w:rPr>
          <w:rFonts w:eastAsia="Times New Roman"/>
          <w:szCs w:val="24"/>
          <w:lang w:eastAsia="ru-RU"/>
        </w:rPr>
      </w:pPr>
      <w:r w:rsidRPr="0058100B">
        <w:rPr>
          <w:rFonts w:eastAsia="Times New Roman"/>
          <w:szCs w:val="24"/>
          <w:lang w:eastAsia="ru-RU"/>
        </w:rPr>
        <w:t>9</w:t>
      </w:r>
      <w:r w:rsidR="004204B1" w:rsidRPr="0058100B">
        <w:rPr>
          <w:rFonts w:eastAsia="Times New Roman"/>
          <w:szCs w:val="24"/>
          <w:lang w:eastAsia="ru-RU"/>
        </w:rPr>
        <w:t>‒</w:t>
      </w:r>
      <w:r w:rsidRPr="0058100B">
        <w:rPr>
          <w:rFonts w:eastAsia="Times New Roman"/>
          <w:szCs w:val="24"/>
          <w:lang w:eastAsia="ru-RU"/>
        </w:rPr>
        <w:t>11</w:t>
      </w:r>
      <w:r w:rsidR="004204B1" w:rsidRPr="0058100B">
        <w:rPr>
          <w:rFonts w:eastAsia="Times New Roman"/>
          <w:szCs w:val="24"/>
          <w:lang w:eastAsia="ru-RU"/>
        </w:rPr>
        <w:t>-</w:t>
      </w:r>
      <w:r w:rsidR="004204B1" w:rsidRPr="00F242DD">
        <w:rPr>
          <w:rFonts w:eastAsia="Times New Roman"/>
          <w:szCs w:val="24"/>
          <w:lang w:eastAsia="ru-RU"/>
        </w:rPr>
        <w:t>й</w:t>
      </w:r>
      <w:r w:rsidRPr="0058100B">
        <w:rPr>
          <w:rFonts w:eastAsia="Times New Roman"/>
          <w:szCs w:val="24"/>
          <w:lang w:eastAsia="ru-RU"/>
        </w:rPr>
        <w:t xml:space="preserve"> </w:t>
      </w:r>
      <w:r w:rsidRPr="00F242DD">
        <w:rPr>
          <w:rFonts w:eastAsia="Times New Roman"/>
          <w:szCs w:val="24"/>
          <w:lang w:eastAsia="ru-RU"/>
        </w:rPr>
        <w:t>курсы</w:t>
      </w:r>
      <w:r w:rsidRPr="0058100B">
        <w:rPr>
          <w:rFonts w:eastAsia="Times New Roman"/>
          <w:szCs w:val="24"/>
          <w:lang w:eastAsia="ru-RU"/>
        </w:rPr>
        <w:t>:</w:t>
      </w:r>
    </w:p>
    <w:p w14:paraId="34DF2E86" w14:textId="77777777" w:rsidR="000546DA" w:rsidRPr="0058100B" w:rsidRDefault="000546DA" w:rsidP="00616CC3">
      <w:pPr>
        <w:numPr>
          <w:ilvl w:val="1"/>
          <w:numId w:val="14"/>
        </w:numPr>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w:t>
      </w:r>
      <w:r w:rsidRPr="0058100B">
        <w:rPr>
          <w:rFonts w:eastAsia="Times New Roman"/>
          <w:szCs w:val="24"/>
          <w:lang w:eastAsia="ru-RU"/>
        </w:rPr>
        <w:t xml:space="preserve">** 1,3 </w:t>
      </w:r>
      <w:r w:rsidRPr="00F242DD">
        <w:rPr>
          <w:rFonts w:eastAsia="Times New Roman"/>
          <w:szCs w:val="24"/>
          <w:lang w:eastAsia="ru-RU"/>
        </w:rPr>
        <w:t>мг</w:t>
      </w:r>
      <w:r w:rsidRPr="0058100B">
        <w:rPr>
          <w:rFonts w:eastAsia="Times New Roman"/>
          <w:szCs w:val="24"/>
          <w:lang w:eastAsia="ru-RU"/>
        </w:rPr>
        <w:t>/</w:t>
      </w:r>
      <w:r w:rsidRPr="00F242DD">
        <w:rPr>
          <w:rFonts w:eastAsia="Times New Roman"/>
          <w:szCs w:val="24"/>
          <w:lang w:eastAsia="ru-RU"/>
        </w:rPr>
        <w:t>м</w:t>
      </w:r>
      <w:r w:rsidRPr="0058100B">
        <w:rPr>
          <w:rFonts w:eastAsia="Times New Roman"/>
          <w:szCs w:val="24"/>
          <w:vertAlign w:val="superscript"/>
          <w:lang w:eastAsia="ru-RU"/>
        </w:rPr>
        <w:t>2</w:t>
      </w:r>
      <w:r w:rsidRPr="0058100B">
        <w:rPr>
          <w:rFonts w:eastAsia="Times New Roman"/>
          <w:szCs w:val="24"/>
          <w:lang w:eastAsia="ru-RU"/>
        </w:rPr>
        <w:t xml:space="preserve"> </w:t>
      </w:r>
      <w:r w:rsidRPr="00F242DD">
        <w:rPr>
          <w:rFonts w:eastAsia="Times New Roman"/>
          <w:szCs w:val="24"/>
          <w:lang w:eastAsia="ru-RU"/>
        </w:rPr>
        <w:t>п</w:t>
      </w:r>
      <w:r w:rsidRPr="0058100B">
        <w:rPr>
          <w:rFonts w:eastAsia="Times New Roman"/>
          <w:szCs w:val="24"/>
          <w:lang w:eastAsia="ru-RU"/>
        </w:rPr>
        <w:t>/</w:t>
      </w:r>
      <w:r w:rsidRPr="00F242DD">
        <w:rPr>
          <w:rFonts w:eastAsia="Times New Roman"/>
          <w:szCs w:val="24"/>
          <w:lang w:eastAsia="ru-RU"/>
        </w:rPr>
        <w:t>к</w:t>
      </w:r>
      <w:r w:rsidRPr="0058100B">
        <w:rPr>
          <w:rFonts w:eastAsia="Times New Roman"/>
          <w:szCs w:val="24"/>
          <w:lang w:eastAsia="ru-RU"/>
        </w:rPr>
        <w:t xml:space="preserve"> </w:t>
      </w:r>
      <w:r w:rsidRPr="00F242DD">
        <w:rPr>
          <w:rFonts w:eastAsia="Times New Roman"/>
          <w:szCs w:val="24"/>
          <w:lang w:eastAsia="ru-RU"/>
        </w:rPr>
        <w:t>или</w:t>
      </w:r>
      <w:r w:rsidRPr="0058100B">
        <w:rPr>
          <w:rFonts w:eastAsia="Times New Roman"/>
          <w:szCs w:val="24"/>
          <w:lang w:eastAsia="ru-RU"/>
        </w:rPr>
        <w:t xml:space="preserve"> </w:t>
      </w:r>
      <w:r w:rsidRPr="00F242DD">
        <w:rPr>
          <w:rFonts w:eastAsia="Times New Roman"/>
          <w:szCs w:val="24"/>
          <w:lang w:eastAsia="ru-RU"/>
        </w:rPr>
        <w:t>в</w:t>
      </w:r>
      <w:r w:rsidRPr="0058100B">
        <w:rPr>
          <w:rFonts w:eastAsia="Times New Roman"/>
          <w:szCs w:val="24"/>
          <w:lang w:eastAsia="ru-RU"/>
        </w:rPr>
        <w:t>/</w:t>
      </w:r>
      <w:r w:rsidRPr="00F242DD">
        <w:rPr>
          <w:rFonts w:eastAsia="Times New Roman"/>
          <w:szCs w:val="24"/>
          <w:lang w:eastAsia="ru-RU"/>
        </w:rPr>
        <w:t>в</w:t>
      </w:r>
      <w:r w:rsidRPr="0058100B">
        <w:rPr>
          <w:rFonts w:eastAsia="Times New Roman"/>
          <w:szCs w:val="24"/>
          <w:lang w:eastAsia="ru-RU"/>
        </w:rPr>
        <w:t xml:space="preserve">, </w:t>
      </w:r>
      <w:r w:rsidRPr="00F242DD">
        <w:rPr>
          <w:rFonts w:eastAsia="Times New Roman"/>
          <w:szCs w:val="24"/>
          <w:lang w:eastAsia="ru-RU"/>
        </w:rPr>
        <w:t>дни</w:t>
      </w:r>
      <w:r w:rsidRPr="0058100B">
        <w:rPr>
          <w:rFonts w:eastAsia="Times New Roman"/>
          <w:szCs w:val="24"/>
          <w:lang w:eastAsia="ru-RU"/>
        </w:rPr>
        <w:t xml:space="preserve"> 1, 8, 15, 22</w:t>
      </w:r>
      <w:r w:rsidR="004204B1" w:rsidRPr="0058100B">
        <w:rPr>
          <w:rFonts w:eastAsia="Times New Roman"/>
          <w:szCs w:val="24"/>
          <w:lang w:eastAsia="ru-RU"/>
        </w:rPr>
        <w:t>-</w:t>
      </w:r>
      <w:r w:rsidR="004204B1" w:rsidRPr="00F242DD">
        <w:rPr>
          <w:rFonts w:eastAsia="Times New Roman"/>
          <w:szCs w:val="24"/>
          <w:lang w:eastAsia="ru-RU"/>
        </w:rPr>
        <w:t>й</w:t>
      </w:r>
    </w:p>
    <w:p w14:paraId="71089EF9" w14:textId="77777777" w:rsidR="000546DA" w:rsidRPr="0058100B"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w:t>
      </w:r>
      <w:r w:rsidRPr="0058100B">
        <w:rPr>
          <w:rFonts w:eastAsia="Times New Roman"/>
          <w:szCs w:val="24"/>
          <w:lang w:eastAsia="ru-RU"/>
        </w:rPr>
        <w:t xml:space="preserve"> </w:t>
      </w:r>
      <w:r w:rsidRPr="00F242DD">
        <w:rPr>
          <w:rFonts w:eastAsia="Times New Roman"/>
          <w:szCs w:val="24"/>
          <w:lang w:eastAsia="ru-RU"/>
        </w:rPr>
        <w:t>возобновляется</w:t>
      </w:r>
      <w:r w:rsidRPr="0058100B">
        <w:rPr>
          <w:rFonts w:eastAsia="Times New Roman"/>
          <w:szCs w:val="24"/>
          <w:lang w:eastAsia="ru-RU"/>
        </w:rPr>
        <w:t xml:space="preserve"> </w:t>
      </w:r>
      <w:r w:rsidRPr="00F242DD">
        <w:rPr>
          <w:rFonts w:eastAsia="Times New Roman"/>
          <w:szCs w:val="24"/>
          <w:lang w:eastAsia="ru-RU"/>
        </w:rPr>
        <w:t>на</w:t>
      </w:r>
      <w:r w:rsidRPr="0058100B">
        <w:rPr>
          <w:rFonts w:eastAsia="Times New Roman"/>
          <w:szCs w:val="24"/>
          <w:lang w:eastAsia="ru-RU"/>
        </w:rPr>
        <w:t xml:space="preserve"> 36</w:t>
      </w:r>
      <w:r w:rsidR="004204B1" w:rsidRPr="0058100B">
        <w:rPr>
          <w:rFonts w:eastAsia="Times New Roman"/>
          <w:szCs w:val="24"/>
          <w:lang w:eastAsia="ru-RU"/>
        </w:rPr>
        <w:t>-</w:t>
      </w:r>
      <w:r w:rsidR="004204B1" w:rsidRPr="00F242DD">
        <w:rPr>
          <w:rFonts w:eastAsia="Times New Roman"/>
          <w:szCs w:val="24"/>
          <w:lang w:eastAsia="ru-RU"/>
        </w:rPr>
        <w:t>й</w:t>
      </w:r>
      <w:r w:rsidRPr="0058100B">
        <w:rPr>
          <w:rFonts w:eastAsia="Times New Roman"/>
          <w:szCs w:val="24"/>
          <w:lang w:eastAsia="ru-RU"/>
        </w:rPr>
        <w:t xml:space="preserve"> </w:t>
      </w:r>
      <w:r w:rsidRPr="00F242DD">
        <w:rPr>
          <w:rFonts w:eastAsia="Times New Roman"/>
          <w:szCs w:val="24"/>
          <w:lang w:eastAsia="ru-RU"/>
        </w:rPr>
        <w:t>день</w:t>
      </w:r>
      <w:r w:rsidR="004204B1" w:rsidRPr="0058100B">
        <w:rPr>
          <w:rFonts w:eastAsia="Times New Roman"/>
          <w:szCs w:val="24"/>
          <w:lang w:eastAsia="ru-RU"/>
        </w:rPr>
        <w:t>.</w:t>
      </w:r>
    </w:p>
    <w:p w14:paraId="72C79D8E" w14:textId="77777777" w:rsidR="000546DA" w:rsidRPr="0058100B" w:rsidRDefault="000546DA" w:rsidP="002431B5">
      <w:pPr>
        <w:spacing w:before="0" w:after="0"/>
        <w:contextualSpacing/>
        <w:rPr>
          <w:rFonts w:eastAsia="Times New Roman"/>
          <w:b/>
          <w:szCs w:val="24"/>
          <w:lang w:eastAsia="ru-RU"/>
        </w:rPr>
      </w:pPr>
      <w:r w:rsidRPr="0058100B">
        <w:rPr>
          <w:rFonts w:eastAsia="Times New Roman"/>
          <w:b/>
          <w:szCs w:val="24"/>
          <w:lang w:val="en-US" w:eastAsia="ru-RU"/>
        </w:rPr>
        <w:t>Vel</w:t>
      </w:r>
      <w:r w:rsidR="004204B1" w:rsidRPr="0058100B">
        <w:rPr>
          <w:rFonts w:eastAsia="Times New Roman"/>
          <w:b/>
          <w:szCs w:val="24"/>
          <w:lang w:eastAsia="ru-RU"/>
        </w:rPr>
        <w:t xml:space="preserve"> </w:t>
      </w:r>
      <w:r w:rsidRPr="0058100B">
        <w:rPr>
          <w:rFonts w:eastAsia="Times New Roman"/>
          <w:b/>
          <w:szCs w:val="24"/>
          <w:lang w:eastAsia="ru-RU"/>
        </w:rPr>
        <w:t>+</w:t>
      </w:r>
      <w:r w:rsidR="004204B1" w:rsidRPr="0058100B">
        <w:rPr>
          <w:rFonts w:eastAsia="Times New Roman"/>
          <w:b/>
          <w:szCs w:val="24"/>
          <w:lang w:eastAsia="ru-RU"/>
        </w:rPr>
        <w:t xml:space="preserve"> </w:t>
      </w:r>
      <w:r w:rsidRPr="0058100B">
        <w:rPr>
          <w:rFonts w:eastAsia="Times New Roman"/>
          <w:b/>
          <w:szCs w:val="24"/>
          <w:lang w:val="en-US" w:eastAsia="ru-RU"/>
        </w:rPr>
        <w:t>PLD</w:t>
      </w:r>
    </w:p>
    <w:p w14:paraId="6EF44E63" w14:textId="77777777" w:rsidR="000546DA" w:rsidRPr="0058100B" w:rsidRDefault="000546DA" w:rsidP="00616CC3">
      <w:pPr>
        <w:pStyle w:val="a6"/>
        <w:numPr>
          <w:ilvl w:val="0"/>
          <w:numId w:val="26"/>
        </w:numPr>
        <w:spacing w:before="0" w:after="0"/>
        <w:ind w:left="284" w:firstLine="0"/>
        <w:jc w:val="left"/>
        <w:rPr>
          <w:rFonts w:eastAsia="Times New Roman"/>
          <w:szCs w:val="24"/>
          <w:lang w:eastAsia="ru-RU"/>
        </w:rPr>
      </w:pPr>
      <w:r w:rsidRPr="00F242DD">
        <w:rPr>
          <w:rFonts w:eastAsia="Times New Roman"/>
          <w:szCs w:val="24"/>
          <w:lang w:eastAsia="ru-RU"/>
        </w:rPr>
        <w:t>Бортезомиб</w:t>
      </w:r>
      <w:r w:rsidRPr="0058100B">
        <w:rPr>
          <w:rFonts w:eastAsia="Times New Roman"/>
          <w:szCs w:val="24"/>
          <w:lang w:eastAsia="ru-RU"/>
        </w:rPr>
        <w:t xml:space="preserve">** 1,3 </w:t>
      </w:r>
      <w:r w:rsidRPr="00F242DD">
        <w:rPr>
          <w:rFonts w:eastAsia="Times New Roman"/>
          <w:szCs w:val="24"/>
          <w:lang w:eastAsia="ru-RU"/>
        </w:rPr>
        <w:t>мг</w:t>
      </w:r>
      <w:r w:rsidRPr="0058100B">
        <w:rPr>
          <w:rFonts w:eastAsia="Times New Roman"/>
          <w:szCs w:val="24"/>
          <w:lang w:eastAsia="ru-RU"/>
        </w:rPr>
        <w:t>/</w:t>
      </w:r>
      <w:r w:rsidRPr="00F242DD">
        <w:rPr>
          <w:rFonts w:eastAsia="Times New Roman"/>
          <w:szCs w:val="24"/>
          <w:lang w:eastAsia="ru-RU"/>
        </w:rPr>
        <w:t>м</w:t>
      </w:r>
      <w:r w:rsidRPr="0058100B">
        <w:rPr>
          <w:rFonts w:eastAsia="Times New Roman"/>
          <w:szCs w:val="24"/>
          <w:vertAlign w:val="superscript"/>
          <w:lang w:eastAsia="ru-RU"/>
        </w:rPr>
        <w:t>2</w:t>
      </w:r>
      <w:r w:rsidRPr="0058100B">
        <w:rPr>
          <w:rFonts w:eastAsia="Times New Roman"/>
          <w:szCs w:val="24"/>
          <w:lang w:eastAsia="ru-RU"/>
        </w:rPr>
        <w:t xml:space="preserve"> </w:t>
      </w:r>
      <w:r w:rsidRPr="00F242DD">
        <w:rPr>
          <w:rFonts w:eastAsia="Times New Roman"/>
          <w:szCs w:val="24"/>
          <w:lang w:eastAsia="ru-RU"/>
        </w:rPr>
        <w:t>п</w:t>
      </w:r>
      <w:r w:rsidRPr="0058100B">
        <w:rPr>
          <w:rFonts w:eastAsia="Times New Roman"/>
          <w:szCs w:val="24"/>
          <w:lang w:eastAsia="ru-RU"/>
        </w:rPr>
        <w:t>/</w:t>
      </w:r>
      <w:r w:rsidRPr="00F242DD">
        <w:rPr>
          <w:rFonts w:eastAsia="Times New Roman"/>
          <w:szCs w:val="24"/>
          <w:lang w:eastAsia="ru-RU"/>
        </w:rPr>
        <w:t>к</w:t>
      </w:r>
      <w:r w:rsidRPr="0058100B">
        <w:rPr>
          <w:rFonts w:eastAsia="Times New Roman"/>
          <w:szCs w:val="24"/>
          <w:lang w:eastAsia="ru-RU"/>
        </w:rPr>
        <w:t xml:space="preserve"> </w:t>
      </w:r>
      <w:r w:rsidRPr="00F242DD">
        <w:rPr>
          <w:rFonts w:eastAsia="Times New Roman"/>
          <w:szCs w:val="24"/>
          <w:lang w:eastAsia="ru-RU"/>
        </w:rPr>
        <w:t>или</w:t>
      </w:r>
      <w:r w:rsidRPr="0058100B">
        <w:rPr>
          <w:rFonts w:eastAsia="Times New Roman"/>
          <w:szCs w:val="24"/>
          <w:lang w:eastAsia="ru-RU"/>
        </w:rPr>
        <w:t xml:space="preserve"> </w:t>
      </w:r>
      <w:r w:rsidRPr="00F242DD">
        <w:rPr>
          <w:rFonts w:eastAsia="Times New Roman"/>
          <w:szCs w:val="24"/>
          <w:lang w:eastAsia="ru-RU"/>
        </w:rPr>
        <w:t>в</w:t>
      </w:r>
      <w:r w:rsidRPr="0058100B">
        <w:rPr>
          <w:rFonts w:eastAsia="Times New Roman"/>
          <w:szCs w:val="24"/>
          <w:lang w:eastAsia="ru-RU"/>
        </w:rPr>
        <w:t>/</w:t>
      </w:r>
      <w:r w:rsidRPr="00F242DD">
        <w:rPr>
          <w:rFonts w:eastAsia="Times New Roman"/>
          <w:szCs w:val="24"/>
          <w:lang w:eastAsia="ru-RU"/>
        </w:rPr>
        <w:t>в</w:t>
      </w:r>
      <w:r w:rsidRPr="0058100B">
        <w:rPr>
          <w:rFonts w:eastAsia="Times New Roman"/>
          <w:szCs w:val="24"/>
          <w:lang w:eastAsia="ru-RU"/>
        </w:rPr>
        <w:t xml:space="preserve">, </w:t>
      </w:r>
      <w:r w:rsidRPr="00F242DD">
        <w:rPr>
          <w:rFonts w:eastAsia="Times New Roman"/>
          <w:szCs w:val="24"/>
          <w:lang w:eastAsia="ru-RU"/>
        </w:rPr>
        <w:t>дни</w:t>
      </w:r>
      <w:r w:rsidRPr="0058100B">
        <w:rPr>
          <w:rFonts w:eastAsia="Times New Roman"/>
          <w:szCs w:val="24"/>
          <w:lang w:eastAsia="ru-RU"/>
        </w:rPr>
        <w:t xml:space="preserve"> 1, 4, 8, 11</w:t>
      </w:r>
      <w:r w:rsidR="004204B1" w:rsidRPr="0058100B">
        <w:rPr>
          <w:rFonts w:eastAsia="Times New Roman"/>
          <w:szCs w:val="24"/>
          <w:lang w:eastAsia="ru-RU"/>
        </w:rPr>
        <w:t>-</w:t>
      </w:r>
      <w:r w:rsidR="004204B1" w:rsidRPr="00F242DD">
        <w:rPr>
          <w:rFonts w:eastAsia="Times New Roman"/>
          <w:szCs w:val="24"/>
          <w:lang w:eastAsia="ru-RU"/>
        </w:rPr>
        <w:t>й</w:t>
      </w:r>
    </w:p>
    <w:p w14:paraId="2D702B45" w14:textId="77777777" w:rsidR="000546DA" w:rsidRPr="0058100B" w:rsidRDefault="000546DA" w:rsidP="00616CC3">
      <w:pPr>
        <w:pStyle w:val="a6"/>
        <w:numPr>
          <w:ilvl w:val="0"/>
          <w:numId w:val="26"/>
        </w:numPr>
        <w:spacing w:before="0" w:after="0"/>
        <w:ind w:left="284" w:firstLine="0"/>
        <w:jc w:val="left"/>
        <w:rPr>
          <w:rFonts w:eastAsia="Times New Roman"/>
          <w:szCs w:val="24"/>
          <w:lang w:eastAsia="ru-RU"/>
        </w:rPr>
      </w:pPr>
      <w:r w:rsidRPr="00F242DD">
        <w:rPr>
          <w:rFonts w:eastAsia="Times New Roman"/>
          <w:szCs w:val="24"/>
          <w:lang w:eastAsia="ru-RU"/>
        </w:rPr>
        <w:t>Доксорубицин</w:t>
      </w:r>
      <w:r w:rsidRPr="0058100B">
        <w:rPr>
          <w:rFonts w:eastAsia="Times New Roman"/>
          <w:szCs w:val="24"/>
          <w:lang w:eastAsia="ru-RU"/>
        </w:rPr>
        <w:t>** (</w:t>
      </w:r>
      <w:r w:rsidRPr="00F242DD">
        <w:rPr>
          <w:rFonts w:eastAsia="Times New Roman"/>
          <w:szCs w:val="24"/>
          <w:lang w:eastAsia="ru-RU"/>
        </w:rPr>
        <w:t>пегилированный</w:t>
      </w:r>
      <w:r w:rsidRPr="0058100B">
        <w:rPr>
          <w:rFonts w:eastAsia="Times New Roman"/>
          <w:szCs w:val="24"/>
          <w:lang w:eastAsia="ru-RU"/>
        </w:rPr>
        <w:t xml:space="preserve">, </w:t>
      </w:r>
      <w:r w:rsidRPr="00F242DD">
        <w:rPr>
          <w:rFonts w:eastAsia="Times New Roman"/>
          <w:szCs w:val="24"/>
          <w:lang w:eastAsia="ru-RU"/>
        </w:rPr>
        <w:t>липосомальный</w:t>
      </w:r>
      <w:r w:rsidRPr="0058100B">
        <w:rPr>
          <w:rFonts w:eastAsia="Times New Roman"/>
          <w:szCs w:val="24"/>
          <w:lang w:eastAsia="ru-RU"/>
        </w:rPr>
        <w:t xml:space="preserve">) 30 </w:t>
      </w:r>
      <w:r w:rsidRPr="00F242DD">
        <w:rPr>
          <w:rFonts w:eastAsia="Times New Roman"/>
          <w:szCs w:val="24"/>
          <w:lang w:eastAsia="ru-RU"/>
        </w:rPr>
        <w:t>мг</w:t>
      </w:r>
      <w:r w:rsidRPr="0058100B">
        <w:rPr>
          <w:rFonts w:eastAsia="Times New Roman"/>
          <w:szCs w:val="24"/>
          <w:lang w:eastAsia="ru-RU"/>
        </w:rPr>
        <w:t>/</w:t>
      </w:r>
      <w:r w:rsidRPr="00F242DD">
        <w:rPr>
          <w:rFonts w:eastAsia="Times New Roman"/>
          <w:szCs w:val="24"/>
          <w:lang w:eastAsia="ru-RU"/>
        </w:rPr>
        <w:t>м</w:t>
      </w:r>
      <w:r w:rsidRPr="0058100B">
        <w:rPr>
          <w:rFonts w:eastAsia="Times New Roman"/>
          <w:szCs w:val="24"/>
          <w:vertAlign w:val="superscript"/>
          <w:lang w:eastAsia="ru-RU"/>
        </w:rPr>
        <w:t>2</w:t>
      </w:r>
      <w:r w:rsidRPr="0058100B">
        <w:rPr>
          <w:rFonts w:eastAsia="Times New Roman"/>
          <w:szCs w:val="24"/>
          <w:lang w:eastAsia="ru-RU"/>
        </w:rPr>
        <w:t xml:space="preserve"> </w:t>
      </w:r>
      <w:r w:rsidRPr="00F242DD">
        <w:rPr>
          <w:rFonts w:eastAsia="Times New Roman"/>
          <w:szCs w:val="24"/>
          <w:lang w:eastAsia="ru-RU"/>
        </w:rPr>
        <w:t>в</w:t>
      </w:r>
      <w:r w:rsidRPr="0058100B">
        <w:rPr>
          <w:rFonts w:eastAsia="Times New Roman"/>
          <w:szCs w:val="24"/>
          <w:lang w:eastAsia="ru-RU"/>
        </w:rPr>
        <w:t>/</w:t>
      </w:r>
      <w:r w:rsidRPr="00F242DD">
        <w:rPr>
          <w:rFonts w:eastAsia="Times New Roman"/>
          <w:szCs w:val="24"/>
          <w:lang w:eastAsia="ru-RU"/>
        </w:rPr>
        <w:t>в</w:t>
      </w:r>
      <w:r w:rsidRPr="0058100B">
        <w:rPr>
          <w:rFonts w:eastAsia="Times New Roman"/>
          <w:szCs w:val="24"/>
          <w:lang w:eastAsia="ru-RU"/>
        </w:rPr>
        <w:t xml:space="preserve">, </w:t>
      </w:r>
      <w:r w:rsidRPr="00F242DD">
        <w:rPr>
          <w:rFonts w:eastAsia="Times New Roman"/>
          <w:szCs w:val="24"/>
          <w:lang w:eastAsia="ru-RU"/>
        </w:rPr>
        <w:t>день</w:t>
      </w:r>
      <w:r w:rsidRPr="0058100B">
        <w:rPr>
          <w:rFonts w:eastAsia="Times New Roman"/>
          <w:szCs w:val="24"/>
          <w:lang w:eastAsia="ru-RU"/>
        </w:rPr>
        <w:t xml:space="preserve"> 4</w:t>
      </w:r>
      <w:r w:rsidR="004204B1" w:rsidRPr="0058100B">
        <w:rPr>
          <w:rFonts w:eastAsia="Times New Roman"/>
          <w:szCs w:val="24"/>
          <w:lang w:eastAsia="ru-RU"/>
        </w:rPr>
        <w:t>-</w:t>
      </w:r>
      <w:r w:rsidR="004204B1" w:rsidRPr="00F242DD">
        <w:rPr>
          <w:rFonts w:eastAsia="Times New Roman"/>
          <w:szCs w:val="24"/>
          <w:lang w:eastAsia="ru-RU"/>
        </w:rPr>
        <w:t>й</w:t>
      </w:r>
    </w:p>
    <w:p w14:paraId="4338C0EB" w14:textId="77777777" w:rsidR="000546DA" w:rsidRPr="0058100B"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w:t>
      </w:r>
      <w:r w:rsidRPr="0058100B">
        <w:rPr>
          <w:rFonts w:eastAsia="Times New Roman"/>
          <w:szCs w:val="24"/>
          <w:lang w:eastAsia="ru-RU"/>
        </w:rPr>
        <w:t xml:space="preserve"> </w:t>
      </w:r>
      <w:r w:rsidRPr="00F242DD">
        <w:rPr>
          <w:rFonts w:eastAsia="Times New Roman"/>
          <w:szCs w:val="24"/>
          <w:lang w:eastAsia="ru-RU"/>
        </w:rPr>
        <w:t>возобновляется</w:t>
      </w:r>
      <w:r w:rsidRPr="0058100B">
        <w:rPr>
          <w:rFonts w:eastAsia="Times New Roman"/>
          <w:szCs w:val="24"/>
          <w:lang w:eastAsia="ru-RU"/>
        </w:rPr>
        <w:t xml:space="preserve"> </w:t>
      </w:r>
      <w:r w:rsidRPr="00F242DD">
        <w:rPr>
          <w:rFonts w:eastAsia="Times New Roman"/>
          <w:szCs w:val="24"/>
          <w:lang w:eastAsia="ru-RU"/>
        </w:rPr>
        <w:t>на</w:t>
      </w:r>
      <w:r w:rsidRPr="0058100B">
        <w:rPr>
          <w:rFonts w:eastAsia="Times New Roman"/>
          <w:szCs w:val="24"/>
          <w:lang w:eastAsia="ru-RU"/>
        </w:rPr>
        <w:t xml:space="preserve"> 22</w:t>
      </w:r>
      <w:r w:rsidR="004204B1" w:rsidRPr="0058100B">
        <w:rPr>
          <w:rFonts w:eastAsia="Times New Roman"/>
          <w:szCs w:val="24"/>
          <w:lang w:eastAsia="ru-RU"/>
        </w:rPr>
        <w:t>-</w:t>
      </w:r>
      <w:r w:rsidR="004204B1" w:rsidRPr="00F242DD">
        <w:rPr>
          <w:rFonts w:eastAsia="Times New Roman"/>
          <w:szCs w:val="24"/>
          <w:lang w:eastAsia="ru-RU"/>
        </w:rPr>
        <w:t>й</w:t>
      </w:r>
      <w:r w:rsidRPr="0058100B">
        <w:rPr>
          <w:rFonts w:eastAsia="Times New Roman"/>
          <w:szCs w:val="24"/>
          <w:lang w:eastAsia="ru-RU"/>
        </w:rPr>
        <w:t xml:space="preserve"> </w:t>
      </w:r>
      <w:r w:rsidRPr="00F242DD">
        <w:rPr>
          <w:rFonts w:eastAsia="Times New Roman"/>
          <w:szCs w:val="24"/>
          <w:lang w:eastAsia="ru-RU"/>
        </w:rPr>
        <w:t>день</w:t>
      </w:r>
      <w:r w:rsidR="004204B1" w:rsidRPr="0058100B">
        <w:rPr>
          <w:rFonts w:eastAsia="Times New Roman"/>
          <w:szCs w:val="24"/>
          <w:lang w:eastAsia="ru-RU"/>
        </w:rPr>
        <w:t>.</w:t>
      </w:r>
    </w:p>
    <w:p w14:paraId="734DE2D1" w14:textId="77777777" w:rsidR="000546DA" w:rsidRPr="0058100B"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Проводят</w:t>
      </w:r>
      <w:r w:rsidRPr="0058100B">
        <w:rPr>
          <w:rFonts w:eastAsia="Times New Roman"/>
          <w:szCs w:val="24"/>
          <w:lang w:eastAsia="ru-RU"/>
        </w:rPr>
        <w:t xml:space="preserve"> 8 </w:t>
      </w:r>
      <w:r w:rsidRPr="00F242DD">
        <w:rPr>
          <w:rFonts w:eastAsia="Times New Roman"/>
          <w:szCs w:val="24"/>
          <w:lang w:eastAsia="ru-RU"/>
        </w:rPr>
        <w:t>курсов</w:t>
      </w:r>
      <w:r w:rsidR="004204B1" w:rsidRPr="0058100B">
        <w:rPr>
          <w:rFonts w:eastAsia="Times New Roman"/>
          <w:szCs w:val="24"/>
          <w:lang w:eastAsia="ru-RU"/>
        </w:rPr>
        <w:t>.</w:t>
      </w:r>
    </w:p>
    <w:p w14:paraId="314FE2A7" w14:textId="444206F8" w:rsidR="000546DA" w:rsidRPr="0058100B" w:rsidRDefault="000546DA" w:rsidP="002431B5">
      <w:pPr>
        <w:spacing w:before="0" w:after="0"/>
        <w:contextualSpacing/>
        <w:rPr>
          <w:rFonts w:eastAsia="Times New Roman"/>
          <w:b/>
          <w:szCs w:val="24"/>
          <w:lang w:eastAsia="ru-RU"/>
        </w:rPr>
      </w:pPr>
      <w:r w:rsidRPr="0058100B">
        <w:rPr>
          <w:rFonts w:eastAsia="Times New Roman"/>
          <w:b/>
          <w:szCs w:val="24"/>
          <w:lang w:val="en-US" w:eastAsia="ru-RU"/>
        </w:rPr>
        <w:t>VCD</w:t>
      </w:r>
      <w:r w:rsidRPr="0058100B">
        <w:rPr>
          <w:rFonts w:eastAsia="Times New Roman"/>
          <w:b/>
          <w:szCs w:val="24"/>
          <w:lang w:eastAsia="ru-RU"/>
        </w:rPr>
        <w:t xml:space="preserve"> </w:t>
      </w:r>
      <w:r w:rsidRPr="00F242DD">
        <w:rPr>
          <w:rFonts w:eastAsia="Times New Roman"/>
          <w:b/>
          <w:szCs w:val="24"/>
          <w:lang w:eastAsia="ru-RU"/>
        </w:rPr>
        <w:t>с</w:t>
      </w:r>
      <w:r w:rsidRPr="0058100B">
        <w:rPr>
          <w:rFonts w:eastAsia="Times New Roman"/>
          <w:b/>
          <w:szCs w:val="24"/>
          <w:lang w:eastAsia="ru-RU"/>
        </w:rPr>
        <w:t xml:space="preserve"> </w:t>
      </w:r>
      <w:r w:rsidRPr="00F242DD">
        <w:rPr>
          <w:rFonts w:eastAsia="Times New Roman"/>
          <w:b/>
          <w:szCs w:val="24"/>
          <w:lang w:eastAsia="ru-RU"/>
        </w:rPr>
        <w:t>непрерывным</w:t>
      </w:r>
      <w:r w:rsidRPr="0058100B">
        <w:rPr>
          <w:rFonts w:eastAsia="Times New Roman"/>
          <w:b/>
          <w:szCs w:val="24"/>
          <w:lang w:eastAsia="ru-RU"/>
        </w:rPr>
        <w:t xml:space="preserve"> </w:t>
      </w:r>
      <w:r w:rsidRPr="00F242DD">
        <w:rPr>
          <w:rFonts w:eastAsia="Times New Roman"/>
          <w:b/>
          <w:szCs w:val="24"/>
          <w:lang w:eastAsia="ru-RU"/>
        </w:rPr>
        <w:t>приемом</w:t>
      </w:r>
      <w:r w:rsidRPr="0058100B">
        <w:rPr>
          <w:rFonts w:eastAsia="Times New Roman"/>
          <w:b/>
          <w:szCs w:val="24"/>
          <w:lang w:eastAsia="ru-RU"/>
        </w:rPr>
        <w:t xml:space="preserve"> </w:t>
      </w:r>
      <w:r w:rsidRPr="00F242DD">
        <w:rPr>
          <w:rFonts w:eastAsia="Times New Roman"/>
          <w:b/>
          <w:szCs w:val="24"/>
          <w:lang w:eastAsia="ru-RU"/>
        </w:rPr>
        <w:t>циклофосфамида</w:t>
      </w:r>
      <w:r w:rsidR="009A5697" w:rsidRPr="0058100B">
        <w:rPr>
          <w:rFonts w:eastAsia="Times New Roman"/>
          <w:b/>
          <w:szCs w:val="24"/>
          <w:lang w:eastAsia="ru-RU"/>
        </w:rPr>
        <w:t>**</w:t>
      </w:r>
    </w:p>
    <w:p w14:paraId="60B7012D" w14:textId="77777777" w:rsidR="000546DA" w:rsidRPr="0058100B" w:rsidRDefault="000546DA" w:rsidP="00616CC3">
      <w:pPr>
        <w:numPr>
          <w:ilvl w:val="0"/>
          <w:numId w:val="15"/>
        </w:numPr>
        <w:tabs>
          <w:tab w:val="left" w:pos="0"/>
          <w:tab w:val="left" w:pos="284"/>
        </w:tabs>
        <w:spacing w:before="0" w:after="0"/>
        <w:ind w:left="0" w:firstLine="0"/>
        <w:contextualSpacing/>
        <w:jc w:val="left"/>
        <w:rPr>
          <w:rFonts w:eastAsia="Times New Roman"/>
          <w:szCs w:val="24"/>
          <w:lang w:eastAsia="ru-RU"/>
        </w:rPr>
      </w:pPr>
      <w:r w:rsidRPr="0058100B">
        <w:rPr>
          <w:rFonts w:eastAsia="Times New Roman"/>
          <w:szCs w:val="24"/>
          <w:lang w:eastAsia="ru-RU"/>
        </w:rPr>
        <w:t>1</w:t>
      </w:r>
      <w:r w:rsidR="004204B1" w:rsidRPr="0058100B">
        <w:rPr>
          <w:rFonts w:eastAsia="Times New Roman"/>
          <w:szCs w:val="24"/>
          <w:lang w:eastAsia="ru-RU"/>
        </w:rPr>
        <w:t>‒</w:t>
      </w:r>
      <w:r w:rsidRPr="0058100B">
        <w:rPr>
          <w:rFonts w:eastAsia="Times New Roman"/>
          <w:szCs w:val="24"/>
          <w:lang w:eastAsia="ru-RU"/>
        </w:rPr>
        <w:t>8</w:t>
      </w:r>
      <w:r w:rsidR="004204B1" w:rsidRPr="0058100B">
        <w:rPr>
          <w:rFonts w:eastAsia="Times New Roman"/>
          <w:szCs w:val="24"/>
          <w:lang w:eastAsia="ru-RU"/>
        </w:rPr>
        <w:t>-</w:t>
      </w:r>
      <w:r w:rsidR="004204B1" w:rsidRPr="00F242DD">
        <w:rPr>
          <w:rFonts w:eastAsia="Times New Roman"/>
          <w:szCs w:val="24"/>
          <w:lang w:eastAsia="ru-RU"/>
        </w:rPr>
        <w:t>й</w:t>
      </w:r>
      <w:r w:rsidRPr="0058100B">
        <w:rPr>
          <w:rFonts w:eastAsia="Times New Roman"/>
          <w:szCs w:val="24"/>
          <w:lang w:eastAsia="ru-RU"/>
        </w:rPr>
        <w:t xml:space="preserve"> </w:t>
      </w:r>
      <w:r w:rsidRPr="00F242DD">
        <w:rPr>
          <w:rFonts w:eastAsia="Times New Roman"/>
          <w:szCs w:val="24"/>
          <w:lang w:eastAsia="ru-RU"/>
        </w:rPr>
        <w:t>курсы</w:t>
      </w:r>
      <w:r w:rsidRPr="0058100B">
        <w:rPr>
          <w:rFonts w:eastAsia="Times New Roman"/>
          <w:szCs w:val="24"/>
          <w:lang w:eastAsia="ru-RU"/>
        </w:rPr>
        <w:t>:</w:t>
      </w:r>
    </w:p>
    <w:p w14:paraId="67B4F363" w14:textId="77777777" w:rsidR="000546DA" w:rsidRPr="00F242DD" w:rsidRDefault="000546DA" w:rsidP="00616CC3">
      <w:pPr>
        <w:numPr>
          <w:ilvl w:val="1"/>
          <w:numId w:val="15"/>
        </w:numPr>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w:t>
      </w:r>
      <w:r w:rsidR="004204B1" w:rsidRPr="00F242DD">
        <w:rPr>
          <w:rFonts w:eastAsia="Times New Roman"/>
          <w:szCs w:val="24"/>
          <w:lang w:eastAsia="ru-RU"/>
        </w:rPr>
        <w:t>-й</w:t>
      </w:r>
    </w:p>
    <w:p w14:paraId="23EA0737" w14:textId="77777777" w:rsidR="000546DA" w:rsidRPr="00F242DD" w:rsidRDefault="000546DA" w:rsidP="00616CC3">
      <w:pPr>
        <w:numPr>
          <w:ilvl w:val="1"/>
          <w:numId w:val="15"/>
        </w:numPr>
        <w:spacing w:before="0" w:after="0"/>
        <w:ind w:left="284" w:firstLine="0"/>
        <w:contextualSpacing/>
        <w:jc w:val="left"/>
        <w:rPr>
          <w:rFonts w:eastAsia="Times New Roman"/>
          <w:szCs w:val="24"/>
          <w:lang w:eastAsia="ru-RU"/>
        </w:rPr>
      </w:pPr>
      <w:r w:rsidRPr="00F242DD">
        <w:rPr>
          <w:rFonts w:eastAsia="Times New Roman"/>
          <w:szCs w:val="24"/>
          <w:lang w:eastAsia="ru-RU"/>
        </w:rPr>
        <w:t>Циклофосфамид** 50 мг внутрь, дни 1</w:t>
      </w:r>
      <w:r w:rsidR="004204B1" w:rsidRPr="00F242DD">
        <w:rPr>
          <w:rFonts w:eastAsia="Times New Roman"/>
          <w:szCs w:val="24"/>
          <w:lang w:eastAsia="ru-RU"/>
        </w:rPr>
        <w:t>‒</w:t>
      </w:r>
      <w:r w:rsidRPr="00F242DD">
        <w:rPr>
          <w:rFonts w:eastAsia="Times New Roman"/>
          <w:szCs w:val="24"/>
          <w:lang w:eastAsia="ru-RU"/>
        </w:rPr>
        <w:t>21</w:t>
      </w:r>
      <w:r w:rsidR="004204B1" w:rsidRPr="00F242DD">
        <w:rPr>
          <w:rFonts w:eastAsia="Times New Roman"/>
          <w:szCs w:val="24"/>
          <w:lang w:eastAsia="ru-RU"/>
        </w:rPr>
        <w:t>-й</w:t>
      </w:r>
    </w:p>
    <w:p w14:paraId="6423922F" w14:textId="77777777" w:rsidR="000546DA" w:rsidRPr="00F242DD" w:rsidRDefault="000546DA" w:rsidP="00616CC3">
      <w:pPr>
        <w:numPr>
          <w:ilvl w:val="1"/>
          <w:numId w:val="15"/>
        </w:numPr>
        <w:spacing w:before="0" w:after="0"/>
        <w:ind w:left="284" w:firstLine="0"/>
        <w:contextualSpacing/>
        <w:jc w:val="left"/>
        <w:rPr>
          <w:rFonts w:eastAsia="Times New Roman"/>
          <w:szCs w:val="24"/>
          <w:lang w:eastAsia="ru-RU"/>
        </w:rPr>
      </w:pPr>
      <w:r w:rsidRPr="00F242DD">
        <w:rPr>
          <w:rFonts w:eastAsia="Times New Roman"/>
          <w:szCs w:val="24"/>
          <w:lang w:eastAsia="ru-RU"/>
        </w:rPr>
        <w:t>Дексаметазон** 20 мг внутрь, дни 1, 2, 4, 5, 8, 9, 11, 12</w:t>
      </w:r>
      <w:r w:rsidR="004204B1" w:rsidRPr="00F242DD">
        <w:rPr>
          <w:rFonts w:eastAsia="Times New Roman"/>
          <w:szCs w:val="24"/>
          <w:lang w:eastAsia="ru-RU"/>
        </w:rPr>
        <w:t>-й</w:t>
      </w:r>
    </w:p>
    <w:p w14:paraId="43AC00AC" w14:textId="77777777" w:rsidR="000546DA" w:rsidRPr="00F242DD"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22</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38A29A08" w14:textId="77777777" w:rsidR="000546DA" w:rsidRPr="00F242DD" w:rsidRDefault="000546DA" w:rsidP="00616CC3">
      <w:pPr>
        <w:numPr>
          <w:ilvl w:val="0"/>
          <w:numId w:val="15"/>
        </w:numPr>
        <w:tabs>
          <w:tab w:val="left" w:pos="284"/>
        </w:tabs>
        <w:spacing w:before="0" w:after="0"/>
        <w:ind w:left="0" w:firstLine="0"/>
        <w:contextualSpacing/>
        <w:jc w:val="left"/>
        <w:rPr>
          <w:rFonts w:eastAsia="Times New Roman"/>
          <w:szCs w:val="24"/>
          <w:lang w:eastAsia="ru-RU"/>
        </w:rPr>
      </w:pPr>
      <w:r w:rsidRPr="00F242DD">
        <w:rPr>
          <w:rFonts w:eastAsia="Times New Roman"/>
          <w:szCs w:val="24"/>
          <w:lang w:eastAsia="ru-RU"/>
        </w:rPr>
        <w:t>9</w:t>
      </w:r>
      <w:r w:rsidR="004204B1" w:rsidRPr="00F242DD">
        <w:rPr>
          <w:rFonts w:eastAsia="Times New Roman"/>
          <w:szCs w:val="24"/>
          <w:lang w:eastAsia="ru-RU"/>
        </w:rPr>
        <w:t>‒</w:t>
      </w:r>
      <w:r w:rsidRPr="00F242DD">
        <w:rPr>
          <w:rFonts w:eastAsia="Times New Roman"/>
          <w:szCs w:val="24"/>
          <w:lang w:eastAsia="ru-RU"/>
        </w:rPr>
        <w:t>11</w:t>
      </w:r>
      <w:r w:rsidR="004204B1" w:rsidRPr="00F242DD">
        <w:rPr>
          <w:rFonts w:eastAsia="Times New Roman"/>
          <w:szCs w:val="24"/>
          <w:lang w:eastAsia="ru-RU"/>
        </w:rPr>
        <w:t>-й</w:t>
      </w:r>
      <w:r w:rsidRPr="00F242DD">
        <w:rPr>
          <w:rFonts w:eastAsia="Times New Roman"/>
          <w:szCs w:val="24"/>
          <w:lang w:eastAsia="ru-RU"/>
        </w:rPr>
        <w:t xml:space="preserve"> курсы:</w:t>
      </w:r>
    </w:p>
    <w:p w14:paraId="50FBECB0" w14:textId="77777777" w:rsidR="000546DA" w:rsidRPr="00F242DD" w:rsidRDefault="000546DA" w:rsidP="00616CC3">
      <w:pPr>
        <w:numPr>
          <w:ilvl w:val="1"/>
          <w:numId w:val="15"/>
        </w:numPr>
        <w:spacing w:before="0" w:after="0"/>
        <w:ind w:left="284" w:firstLine="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8, 15, 22</w:t>
      </w:r>
      <w:r w:rsidR="004204B1" w:rsidRPr="00F242DD">
        <w:rPr>
          <w:rFonts w:eastAsia="Times New Roman"/>
          <w:szCs w:val="24"/>
          <w:lang w:eastAsia="ru-RU"/>
        </w:rPr>
        <w:t>-й</w:t>
      </w:r>
    </w:p>
    <w:p w14:paraId="6BB3F639" w14:textId="77777777" w:rsidR="000546DA" w:rsidRPr="00F242DD" w:rsidRDefault="000546DA" w:rsidP="00616CC3">
      <w:pPr>
        <w:numPr>
          <w:ilvl w:val="1"/>
          <w:numId w:val="15"/>
        </w:numPr>
        <w:spacing w:before="0" w:after="0"/>
        <w:ind w:left="284" w:firstLine="0"/>
        <w:contextualSpacing/>
        <w:jc w:val="left"/>
        <w:rPr>
          <w:rFonts w:eastAsia="Times New Roman"/>
          <w:szCs w:val="24"/>
          <w:lang w:eastAsia="ru-RU"/>
        </w:rPr>
      </w:pPr>
      <w:r w:rsidRPr="00F242DD">
        <w:rPr>
          <w:rFonts w:eastAsia="Times New Roman"/>
          <w:szCs w:val="24"/>
          <w:lang w:eastAsia="ru-RU"/>
        </w:rPr>
        <w:t>Циклофосфамид** 50 мг внутрь, дни 1</w:t>
      </w:r>
      <w:r w:rsidR="004204B1" w:rsidRPr="00F242DD">
        <w:rPr>
          <w:rFonts w:eastAsia="Times New Roman"/>
          <w:szCs w:val="24"/>
          <w:lang w:eastAsia="ru-RU"/>
        </w:rPr>
        <w:t>‒</w:t>
      </w:r>
      <w:r w:rsidRPr="00F242DD">
        <w:rPr>
          <w:rFonts w:eastAsia="Times New Roman"/>
          <w:szCs w:val="24"/>
          <w:lang w:eastAsia="ru-RU"/>
        </w:rPr>
        <w:t>35</w:t>
      </w:r>
      <w:r w:rsidR="004204B1" w:rsidRPr="00F242DD">
        <w:rPr>
          <w:rFonts w:eastAsia="Times New Roman"/>
          <w:szCs w:val="24"/>
          <w:lang w:eastAsia="ru-RU"/>
        </w:rPr>
        <w:t>-й</w:t>
      </w:r>
      <w:r w:rsidRPr="00F242DD">
        <w:rPr>
          <w:rFonts w:eastAsia="Times New Roman"/>
          <w:szCs w:val="24"/>
          <w:lang w:eastAsia="ru-RU"/>
        </w:rPr>
        <w:t xml:space="preserve"> </w:t>
      </w:r>
    </w:p>
    <w:p w14:paraId="71F9E430" w14:textId="77777777" w:rsidR="000546DA" w:rsidRPr="00F242DD" w:rsidRDefault="000546DA" w:rsidP="00616CC3">
      <w:pPr>
        <w:numPr>
          <w:ilvl w:val="1"/>
          <w:numId w:val="15"/>
        </w:numPr>
        <w:spacing w:before="0" w:after="0"/>
        <w:ind w:left="284" w:firstLine="0"/>
        <w:contextualSpacing/>
        <w:jc w:val="left"/>
        <w:rPr>
          <w:rFonts w:eastAsia="Times New Roman"/>
          <w:szCs w:val="24"/>
          <w:lang w:eastAsia="ru-RU"/>
        </w:rPr>
      </w:pPr>
      <w:r w:rsidRPr="00F242DD">
        <w:rPr>
          <w:rFonts w:eastAsia="Times New Roman"/>
          <w:szCs w:val="24"/>
          <w:lang w:eastAsia="ru-RU"/>
        </w:rPr>
        <w:t>Дексаметазон** 20 мг внутрь, дни 1, 2, 8, 9, 15, 16, 22, 23</w:t>
      </w:r>
      <w:r w:rsidR="004204B1" w:rsidRPr="00F242DD">
        <w:rPr>
          <w:rFonts w:eastAsia="Times New Roman"/>
          <w:szCs w:val="24"/>
          <w:lang w:eastAsia="ru-RU"/>
        </w:rPr>
        <w:t>-й</w:t>
      </w:r>
    </w:p>
    <w:p w14:paraId="1AB3EC77" w14:textId="77777777" w:rsidR="000546DA"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36</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244665D8" w14:textId="77777777" w:rsidR="00616CC3" w:rsidRPr="00F242DD" w:rsidRDefault="00616CC3" w:rsidP="00616CC3">
      <w:pPr>
        <w:spacing w:before="0" w:after="0"/>
        <w:ind w:left="709"/>
        <w:contextualSpacing/>
        <w:rPr>
          <w:rFonts w:eastAsia="Times New Roman"/>
          <w:szCs w:val="24"/>
          <w:lang w:eastAsia="ru-RU"/>
        </w:rPr>
      </w:pPr>
    </w:p>
    <w:p w14:paraId="038361C8"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lastRenderedPageBreak/>
        <w:t>CVD</w:t>
      </w:r>
    </w:p>
    <w:p w14:paraId="624AF33F" w14:textId="77777777" w:rsidR="000546DA" w:rsidRPr="00F242DD" w:rsidRDefault="000546DA" w:rsidP="00616CC3">
      <w:pPr>
        <w:pStyle w:val="a6"/>
        <w:numPr>
          <w:ilvl w:val="0"/>
          <w:numId w:val="27"/>
        </w:numPr>
        <w:spacing w:before="0" w:after="0"/>
        <w:ind w:left="284" w:firstLine="0"/>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w:t>
      </w:r>
      <w:r w:rsidR="004204B1" w:rsidRPr="00F242DD">
        <w:rPr>
          <w:rFonts w:eastAsia="Times New Roman"/>
          <w:szCs w:val="24"/>
          <w:lang w:eastAsia="ru-RU"/>
        </w:rPr>
        <w:t>-й</w:t>
      </w:r>
    </w:p>
    <w:p w14:paraId="70629D90" w14:textId="77777777" w:rsidR="000546DA" w:rsidRPr="00F242DD" w:rsidRDefault="000546DA" w:rsidP="00616CC3">
      <w:pPr>
        <w:pStyle w:val="a6"/>
        <w:numPr>
          <w:ilvl w:val="0"/>
          <w:numId w:val="27"/>
        </w:numPr>
        <w:spacing w:before="0" w:after="0"/>
        <w:ind w:left="284" w:firstLine="0"/>
        <w:jc w:val="left"/>
        <w:rPr>
          <w:rFonts w:eastAsia="Times New Roman"/>
          <w:szCs w:val="24"/>
          <w:lang w:eastAsia="ru-RU"/>
        </w:rPr>
      </w:pPr>
      <w:r w:rsidRPr="00F242DD">
        <w:rPr>
          <w:rFonts w:eastAsia="Times New Roman"/>
          <w:szCs w:val="24"/>
          <w:lang w:eastAsia="ru-RU"/>
        </w:rPr>
        <w:t>Циклофосфамид** 500 мг внутрь, дни 1, 8, 15</w:t>
      </w:r>
      <w:r w:rsidR="004204B1" w:rsidRPr="00F242DD">
        <w:rPr>
          <w:rFonts w:eastAsia="Times New Roman"/>
          <w:szCs w:val="24"/>
          <w:lang w:eastAsia="ru-RU"/>
        </w:rPr>
        <w:t>-й</w:t>
      </w:r>
    </w:p>
    <w:p w14:paraId="124389D0" w14:textId="77777777" w:rsidR="000546DA" w:rsidRPr="00F242DD" w:rsidRDefault="000546DA" w:rsidP="00616CC3">
      <w:pPr>
        <w:pStyle w:val="a6"/>
        <w:numPr>
          <w:ilvl w:val="0"/>
          <w:numId w:val="27"/>
        </w:numPr>
        <w:spacing w:before="0" w:after="0"/>
        <w:ind w:left="284" w:firstLine="0"/>
        <w:jc w:val="left"/>
        <w:rPr>
          <w:rFonts w:eastAsia="Times New Roman"/>
          <w:szCs w:val="24"/>
          <w:lang w:eastAsia="ru-RU"/>
        </w:rPr>
      </w:pPr>
      <w:r w:rsidRPr="00F242DD">
        <w:rPr>
          <w:rFonts w:eastAsia="Times New Roman"/>
          <w:szCs w:val="24"/>
          <w:lang w:eastAsia="ru-RU"/>
        </w:rPr>
        <w:t>Дексаметазон** 20 мг внутрь, дни 1, 2, 4, 5, 8, 9, 11, 12</w:t>
      </w:r>
      <w:r w:rsidR="004204B1" w:rsidRPr="00F242DD">
        <w:rPr>
          <w:rFonts w:eastAsia="Times New Roman"/>
          <w:szCs w:val="24"/>
          <w:lang w:eastAsia="ru-RU"/>
        </w:rPr>
        <w:t>-й</w:t>
      </w:r>
    </w:p>
    <w:p w14:paraId="440AA4A3" w14:textId="77777777" w:rsidR="000546DA" w:rsidRPr="00F242DD"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22</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675AE445" w14:textId="77777777" w:rsidR="000546DA" w:rsidRDefault="000546DA" w:rsidP="00616CC3">
      <w:pPr>
        <w:spacing w:before="0" w:after="0"/>
        <w:ind w:left="709"/>
        <w:contextualSpacing/>
        <w:rPr>
          <w:rFonts w:eastAsia="Times New Roman"/>
          <w:szCs w:val="24"/>
          <w:lang w:eastAsia="ru-RU"/>
        </w:rPr>
      </w:pPr>
      <w:r w:rsidRPr="00F242DD">
        <w:rPr>
          <w:rFonts w:eastAsia="Times New Roman"/>
          <w:szCs w:val="24"/>
          <w:lang w:eastAsia="ru-RU"/>
        </w:rPr>
        <w:t>Проводят 9 курсов</w:t>
      </w:r>
      <w:r w:rsidR="004204B1" w:rsidRPr="00F242DD">
        <w:rPr>
          <w:rFonts w:eastAsia="Times New Roman"/>
          <w:szCs w:val="24"/>
          <w:lang w:eastAsia="ru-RU"/>
        </w:rPr>
        <w:t>.</w:t>
      </w:r>
    </w:p>
    <w:p w14:paraId="3BBDD7B3" w14:textId="77777777" w:rsidR="00616CC3" w:rsidRPr="00F242DD" w:rsidRDefault="00616CC3" w:rsidP="00616CC3">
      <w:pPr>
        <w:spacing w:before="0" w:after="0"/>
        <w:ind w:left="709"/>
        <w:contextualSpacing/>
        <w:rPr>
          <w:rFonts w:eastAsia="Times New Roman"/>
          <w:szCs w:val="24"/>
          <w:lang w:eastAsia="ru-RU"/>
        </w:rPr>
      </w:pPr>
    </w:p>
    <w:p w14:paraId="24F409DA"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t>RD</w:t>
      </w:r>
    </w:p>
    <w:p w14:paraId="412AC16B" w14:textId="77777777" w:rsidR="000546DA" w:rsidRPr="00F242DD" w:rsidRDefault="000546DA" w:rsidP="00616CC3">
      <w:pPr>
        <w:pStyle w:val="a6"/>
        <w:numPr>
          <w:ilvl w:val="0"/>
          <w:numId w:val="28"/>
        </w:numPr>
        <w:spacing w:before="0" w:after="0"/>
        <w:ind w:left="284" w:firstLine="0"/>
        <w:jc w:val="left"/>
        <w:rPr>
          <w:rFonts w:eastAsia="Times New Roman"/>
          <w:szCs w:val="24"/>
          <w:lang w:eastAsia="ru-RU"/>
        </w:rPr>
      </w:pPr>
      <w:r w:rsidRPr="00F242DD">
        <w:rPr>
          <w:rFonts w:eastAsia="Times New Roman"/>
          <w:szCs w:val="24"/>
          <w:lang w:eastAsia="ru-RU"/>
        </w:rPr>
        <w:t>Леналидомид** 25 мг внутрь, дни 1</w:t>
      </w:r>
      <w:r w:rsidR="004204B1" w:rsidRPr="00F242DD">
        <w:rPr>
          <w:rFonts w:eastAsia="Times New Roman"/>
          <w:szCs w:val="24"/>
          <w:lang w:eastAsia="ru-RU"/>
        </w:rPr>
        <w:t>‒</w:t>
      </w:r>
      <w:r w:rsidRPr="00F242DD">
        <w:rPr>
          <w:rFonts w:eastAsia="Times New Roman"/>
          <w:szCs w:val="24"/>
          <w:lang w:eastAsia="ru-RU"/>
        </w:rPr>
        <w:t>21</w:t>
      </w:r>
      <w:r w:rsidR="004204B1" w:rsidRPr="00F242DD">
        <w:rPr>
          <w:rFonts w:eastAsia="Times New Roman"/>
          <w:szCs w:val="24"/>
          <w:lang w:eastAsia="ru-RU"/>
        </w:rPr>
        <w:t>-й</w:t>
      </w:r>
    </w:p>
    <w:p w14:paraId="204AFBD1" w14:textId="77777777" w:rsidR="000546DA" w:rsidRPr="00F242DD" w:rsidRDefault="000546DA" w:rsidP="00616CC3">
      <w:pPr>
        <w:pStyle w:val="a6"/>
        <w:numPr>
          <w:ilvl w:val="0"/>
          <w:numId w:val="28"/>
        </w:numPr>
        <w:spacing w:before="0" w:after="0"/>
        <w:ind w:left="284" w:firstLine="0"/>
        <w:jc w:val="left"/>
        <w:rPr>
          <w:rFonts w:eastAsia="Times New Roman"/>
          <w:szCs w:val="24"/>
          <w:lang w:eastAsia="ru-RU"/>
        </w:rPr>
      </w:pPr>
      <w:r w:rsidRPr="00F242DD">
        <w:rPr>
          <w:rFonts w:eastAsia="Times New Roman"/>
          <w:szCs w:val="24"/>
          <w:lang w:eastAsia="ru-RU"/>
        </w:rPr>
        <w:t>Дексаметазон** 40 мг внутрь, 1</w:t>
      </w:r>
      <w:r w:rsidR="004204B1" w:rsidRPr="00F242DD">
        <w:rPr>
          <w:rFonts w:eastAsia="Times New Roman"/>
          <w:szCs w:val="24"/>
          <w:lang w:eastAsia="ru-RU"/>
        </w:rPr>
        <w:t>‒</w:t>
      </w:r>
      <w:r w:rsidRPr="00F242DD">
        <w:rPr>
          <w:rFonts w:eastAsia="Times New Roman"/>
          <w:szCs w:val="24"/>
          <w:lang w:eastAsia="ru-RU"/>
        </w:rPr>
        <w:t>4</w:t>
      </w:r>
      <w:r w:rsidR="004204B1" w:rsidRPr="00F242DD">
        <w:rPr>
          <w:rFonts w:eastAsia="Times New Roman"/>
          <w:szCs w:val="24"/>
          <w:lang w:eastAsia="ru-RU"/>
        </w:rPr>
        <w:t>-й</w:t>
      </w:r>
      <w:r w:rsidRPr="00F242DD">
        <w:rPr>
          <w:rFonts w:eastAsia="Times New Roman"/>
          <w:szCs w:val="24"/>
          <w:lang w:eastAsia="ru-RU"/>
        </w:rPr>
        <w:t xml:space="preserve"> циклы – дни 1</w:t>
      </w:r>
      <w:r w:rsidR="004204B1" w:rsidRPr="00F242DD">
        <w:rPr>
          <w:rFonts w:eastAsia="Times New Roman"/>
          <w:szCs w:val="24"/>
          <w:lang w:eastAsia="ru-RU"/>
        </w:rPr>
        <w:t>‒</w:t>
      </w:r>
      <w:r w:rsidRPr="00F242DD">
        <w:rPr>
          <w:rFonts w:eastAsia="Times New Roman"/>
          <w:szCs w:val="24"/>
          <w:lang w:eastAsia="ru-RU"/>
        </w:rPr>
        <w:t>4</w:t>
      </w:r>
      <w:r w:rsidR="004204B1" w:rsidRPr="00F242DD">
        <w:rPr>
          <w:rFonts w:eastAsia="Times New Roman"/>
          <w:szCs w:val="24"/>
          <w:lang w:eastAsia="ru-RU"/>
        </w:rPr>
        <w:t>-й</w:t>
      </w:r>
      <w:r w:rsidRPr="00F242DD">
        <w:rPr>
          <w:rFonts w:eastAsia="Times New Roman"/>
          <w:szCs w:val="24"/>
          <w:lang w:eastAsia="ru-RU"/>
        </w:rPr>
        <w:t>, 9</w:t>
      </w:r>
      <w:r w:rsidR="004204B1" w:rsidRPr="00F242DD">
        <w:rPr>
          <w:rFonts w:eastAsia="Times New Roman"/>
          <w:szCs w:val="24"/>
          <w:lang w:eastAsia="ru-RU"/>
        </w:rPr>
        <w:t>‒</w:t>
      </w:r>
      <w:r w:rsidRPr="00F242DD">
        <w:rPr>
          <w:rFonts w:eastAsia="Times New Roman"/>
          <w:szCs w:val="24"/>
          <w:lang w:eastAsia="ru-RU"/>
        </w:rPr>
        <w:t>12</w:t>
      </w:r>
      <w:r w:rsidR="004204B1" w:rsidRPr="00F242DD">
        <w:rPr>
          <w:rFonts w:eastAsia="Times New Roman"/>
          <w:szCs w:val="24"/>
          <w:lang w:eastAsia="ru-RU"/>
        </w:rPr>
        <w:t>-й</w:t>
      </w:r>
      <w:r w:rsidRPr="00F242DD">
        <w:rPr>
          <w:rFonts w:eastAsia="Times New Roman"/>
          <w:szCs w:val="24"/>
          <w:lang w:eastAsia="ru-RU"/>
        </w:rPr>
        <w:t>, 17</w:t>
      </w:r>
      <w:r w:rsidR="004204B1" w:rsidRPr="00F242DD">
        <w:rPr>
          <w:rFonts w:eastAsia="Times New Roman"/>
          <w:szCs w:val="24"/>
          <w:lang w:eastAsia="ru-RU"/>
        </w:rPr>
        <w:t>‒</w:t>
      </w:r>
      <w:r w:rsidRPr="00F242DD">
        <w:rPr>
          <w:rFonts w:eastAsia="Times New Roman"/>
          <w:szCs w:val="24"/>
          <w:lang w:eastAsia="ru-RU"/>
        </w:rPr>
        <w:t>20</w:t>
      </w:r>
      <w:r w:rsidR="004204B1" w:rsidRPr="00F242DD">
        <w:rPr>
          <w:rFonts w:eastAsia="Times New Roman"/>
          <w:szCs w:val="24"/>
          <w:lang w:eastAsia="ru-RU"/>
        </w:rPr>
        <w:t>-й</w:t>
      </w:r>
      <w:r w:rsidRPr="00F242DD">
        <w:rPr>
          <w:rFonts w:eastAsia="Times New Roman"/>
          <w:szCs w:val="24"/>
          <w:lang w:eastAsia="ru-RU"/>
        </w:rPr>
        <w:t>, далее – только дни 1</w:t>
      </w:r>
      <w:r w:rsidR="004204B1" w:rsidRPr="00F242DD">
        <w:rPr>
          <w:rFonts w:eastAsia="Times New Roman"/>
          <w:szCs w:val="24"/>
          <w:lang w:eastAsia="ru-RU"/>
        </w:rPr>
        <w:t>‒</w:t>
      </w:r>
      <w:r w:rsidRPr="00F242DD">
        <w:rPr>
          <w:rFonts w:eastAsia="Times New Roman"/>
          <w:szCs w:val="24"/>
          <w:lang w:eastAsia="ru-RU"/>
        </w:rPr>
        <w:t>4</w:t>
      </w:r>
      <w:r w:rsidR="004204B1" w:rsidRPr="00F242DD">
        <w:rPr>
          <w:rFonts w:eastAsia="Times New Roman"/>
          <w:szCs w:val="24"/>
          <w:lang w:eastAsia="ru-RU"/>
        </w:rPr>
        <w:t>-й</w:t>
      </w:r>
    </w:p>
    <w:p w14:paraId="77AB4183" w14:textId="77777777" w:rsidR="000546DA" w:rsidRPr="00F242DD" w:rsidRDefault="000546DA" w:rsidP="007A4B9E">
      <w:pPr>
        <w:spacing w:before="0" w:after="0"/>
        <w:ind w:left="284" w:firstLine="425"/>
        <w:contextualSpacing/>
        <w:rPr>
          <w:rFonts w:eastAsia="Times New Roman"/>
          <w:szCs w:val="24"/>
          <w:lang w:eastAsia="ru-RU"/>
        </w:rPr>
      </w:pPr>
      <w:r w:rsidRPr="00F242DD">
        <w:rPr>
          <w:rFonts w:eastAsia="Times New Roman"/>
          <w:szCs w:val="24"/>
          <w:lang w:eastAsia="ru-RU"/>
        </w:rPr>
        <w:t>Лечение возобновляется на 29</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7FFD2E74" w14:textId="77777777" w:rsidR="000546DA" w:rsidRPr="00F242DD" w:rsidRDefault="000546DA" w:rsidP="007A4B9E">
      <w:pPr>
        <w:spacing w:before="0" w:after="0"/>
        <w:ind w:left="284" w:firstLine="425"/>
        <w:contextualSpacing/>
        <w:rPr>
          <w:rFonts w:eastAsia="Times New Roman"/>
          <w:szCs w:val="24"/>
          <w:lang w:eastAsia="ru-RU"/>
        </w:rPr>
      </w:pPr>
      <w:r w:rsidRPr="00F242DD">
        <w:rPr>
          <w:rFonts w:eastAsia="Times New Roman"/>
          <w:szCs w:val="24"/>
          <w:lang w:eastAsia="ru-RU"/>
        </w:rPr>
        <w:t>Лечение продолжают до прогрессирования или развития неприемлемой токсичности</w:t>
      </w:r>
      <w:r w:rsidR="004204B1" w:rsidRPr="00F242DD">
        <w:rPr>
          <w:rFonts w:eastAsia="Times New Roman"/>
          <w:szCs w:val="24"/>
          <w:lang w:eastAsia="ru-RU"/>
        </w:rPr>
        <w:t>.</w:t>
      </w:r>
    </w:p>
    <w:p w14:paraId="5AC89480" w14:textId="77777777" w:rsidR="00E47E7A" w:rsidRDefault="00E47E7A" w:rsidP="002431B5">
      <w:pPr>
        <w:spacing w:before="0" w:after="0"/>
        <w:contextualSpacing/>
        <w:rPr>
          <w:rFonts w:eastAsia="Times New Roman"/>
          <w:b/>
          <w:szCs w:val="24"/>
          <w:lang w:eastAsia="ru-RU"/>
        </w:rPr>
      </w:pPr>
    </w:p>
    <w:p w14:paraId="2EEC1FB0"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t>RD модифицированный</w:t>
      </w:r>
    </w:p>
    <w:p w14:paraId="33886D0B" w14:textId="77777777" w:rsidR="000546DA" w:rsidRPr="00F242DD" w:rsidRDefault="000546DA" w:rsidP="00E47E7A">
      <w:pPr>
        <w:pStyle w:val="a6"/>
        <w:numPr>
          <w:ilvl w:val="0"/>
          <w:numId w:val="29"/>
        </w:numPr>
        <w:spacing w:before="0" w:after="0"/>
        <w:ind w:left="284" w:firstLine="0"/>
        <w:jc w:val="left"/>
        <w:rPr>
          <w:rFonts w:eastAsia="Times New Roman"/>
          <w:szCs w:val="24"/>
          <w:lang w:eastAsia="ru-RU"/>
        </w:rPr>
      </w:pPr>
      <w:r w:rsidRPr="00F242DD">
        <w:rPr>
          <w:rFonts w:eastAsia="Times New Roman"/>
          <w:szCs w:val="24"/>
          <w:lang w:eastAsia="ru-RU"/>
        </w:rPr>
        <w:t>Леналидомид** 25 мг внутрь, дни 1</w:t>
      </w:r>
      <w:r w:rsidR="004204B1" w:rsidRPr="00F242DD">
        <w:rPr>
          <w:rFonts w:eastAsia="Times New Roman"/>
          <w:szCs w:val="24"/>
          <w:lang w:eastAsia="ru-RU"/>
        </w:rPr>
        <w:t>‒</w:t>
      </w:r>
      <w:r w:rsidRPr="00F242DD">
        <w:rPr>
          <w:rFonts w:eastAsia="Times New Roman"/>
          <w:szCs w:val="24"/>
          <w:lang w:eastAsia="ru-RU"/>
        </w:rPr>
        <w:t>21</w:t>
      </w:r>
      <w:r w:rsidR="004204B1" w:rsidRPr="00F242DD">
        <w:rPr>
          <w:rFonts w:eastAsia="Times New Roman"/>
          <w:szCs w:val="24"/>
          <w:lang w:eastAsia="ru-RU"/>
        </w:rPr>
        <w:t>-й</w:t>
      </w:r>
    </w:p>
    <w:p w14:paraId="13CC0B20" w14:textId="77777777" w:rsidR="000546DA" w:rsidRPr="00F242DD" w:rsidRDefault="000546DA" w:rsidP="00E47E7A">
      <w:pPr>
        <w:pStyle w:val="a6"/>
        <w:numPr>
          <w:ilvl w:val="0"/>
          <w:numId w:val="29"/>
        </w:numPr>
        <w:spacing w:before="0" w:after="0"/>
        <w:ind w:left="284" w:firstLine="0"/>
        <w:jc w:val="left"/>
        <w:rPr>
          <w:rFonts w:eastAsia="Times New Roman"/>
          <w:szCs w:val="24"/>
          <w:lang w:eastAsia="ru-RU"/>
        </w:rPr>
      </w:pPr>
      <w:r w:rsidRPr="00F242DD">
        <w:rPr>
          <w:rFonts w:eastAsia="Times New Roman"/>
          <w:szCs w:val="24"/>
          <w:lang w:eastAsia="ru-RU"/>
        </w:rPr>
        <w:t>Дексаметазон** 40 мг внутрь, 1</w:t>
      </w:r>
      <w:r w:rsidR="004204B1" w:rsidRPr="00F242DD">
        <w:rPr>
          <w:rFonts w:eastAsia="Times New Roman"/>
          <w:szCs w:val="24"/>
          <w:lang w:eastAsia="ru-RU"/>
        </w:rPr>
        <w:t>‒</w:t>
      </w:r>
      <w:r w:rsidRPr="00F242DD">
        <w:rPr>
          <w:rFonts w:eastAsia="Times New Roman"/>
          <w:szCs w:val="24"/>
          <w:lang w:eastAsia="ru-RU"/>
        </w:rPr>
        <w:t>4</w:t>
      </w:r>
      <w:r w:rsidR="004204B1" w:rsidRPr="00F242DD">
        <w:rPr>
          <w:rFonts w:eastAsia="Times New Roman"/>
          <w:szCs w:val="24"/>
          <w:lang w:eastAsia="ru-RU"/>
        </w:rPr>
        <w:t>-й</w:t>
      </w:r>
      <w:r w:rsidRPr="00F242DD">
        <w:rPr>
          <w:rFonts w:eastAsia="Times New Roman"/>
          <w:szCs w:val="24"/>
          <w:lang w:eastAsia="ru-RU"/>
        </w:rPr>
        <w:t xml:space="preserve"> циклы – дни 1</w:t>
      </w:r>
      <w:r w:rsidR="004204B1" w:rsidRPr="00F242DD">
        <w:rPr>
          <w:rFonts w:eastAsia="Times New Roman"/>
          <w:szCs w:val="24"/>
          <w:lang w:eastAsia="ru-RU"/>
        </w:rPr>
        <w:t>‒</w:t>
      </w:r>
      <w:r w:rsidRPr="00F242DD">
        <w:rPr>
          <w:rFonts w:eastAsia="Times New Roman"/>
          <w:szCs w:val="24"/>
          <w:lang w:eastAsia="ru-RU"/>
        </w:rPr>
        <w:t>4</w:t>
      </w:r>
      <w:r w:rsidR="004204B1" w:rsidRPr="00F242DD">
        <w:rPr>
          <w:rFonts w:eastAsia="Times New Roman"/>
          <w:szCs w:val="24"/>
          <w:lang w:eastAsia="ru-RU"/>
        </w:rPr>
        <w:t>-й</w:t>
      </w:r>
      <w:r w:rsidRPr="00F242DD">
        <w:rPr>
          <w:rFonts w:eastAsia="Times New Roman"/>
          <w:szCs w:val="24"/>
          <w:lang w:eastAsia="ru-RU"/>
        </w:rPr>
        <w:t>, 15</w:t>
      </w:r>
      <w:r w:rsidR="004204B1" w:rsidRPr="00F242DD">
        <w:rPr>
          <w:rFonts w:eastAsia="Times New Roman"/>
          <w:szCs w:val="24"/>
          <w:lang w:eastAsia="ru-RU"/>
        </w:rPr>
        <w:t>‒</w:t>
      </w:r>
      <w:r w:rsidRPr="00F242DD">
        <w:rPr>
          <w:rFonts w:eastAsia="Times New Roman"/>
          <w:szCs w:val="24"/>
          <w:lang w:eastAsia="ru-RU"/>
        </w:rPr>
        <w:t>18</w:t>
      </w:r>
      <w:r w:rsidR="004204B1" w:rsidRPr="00F242DD">
        <w:rPr>
          <w:rFonts w:eastAsia="Times New Roman"/>
          <w:szCs w:val="24"/>
          <w:lang w:eastAsia="ru-RU"/>
        </w:rPr>
        <w:t>-й</w:t>
      </w:r>
      <w:r w:rsidRPr="00F242DD">
        <w:rPr>
          <w:rFonts w:eastAsia="Times New Roman"/>
          <w:szCs w:val="24"/>
          <w:lang w:eastAsia="ru-RU"/>
        </w:rPr>
        <w:t>, далее – только дни 1, 8, 15, 22</w:t>
      </w:r>
      <w:r w:rsidR="004204B1" w:rsidRPr="00F242DD">
        <w:rPr>
          <w:rFonts w:eastAsia="Times New Roman"/>
          <w:szCs w:val="24"/>
          <w:lang w:eastAsia="ru-RU"/>
        </w:rPr>
        <w:t>-й</w:t>
      </w:r>
    </w:p>
    <w:p w14:paraId="15D39315" w14:textId="77777777" w:rsidR="000546DA" w:rsidRPr="00F242DD" w:rsidRDefault="000546DA" w:rsidP="00E47E7A">
      <w:pPr>
        <w:spacing w:before="0" w:after="0"/>
        <w:ind w:left="284"/>
        <w:contextualSpacing/>
        <w:rPr>
          <w:rFonts w:eastAsia="Times New Roman"/>
          <w:szCs w:val="24"/>
          <w:lang w:eastAsia="ru-RU"/>
        </w:rPr>
      </w:pPr>
      <w:r w:rsidRPr="00F242DD">
        <w:rPr>
          <w:rFonts w:eastAsia="Times New Roman"/>
          <w:szCs w:val="24"/>
          <w:lang w:eastAsia="ru-RU"/>
        </w:rPr>
        <w:t>Лечение возобновляется на 29</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70BE58E7" w14:textId="77777777" w:rsidR="000546DA" w:rsidRPr="00F242DD" w:rsidRDefault="000546DA" w:rsidP="00E47E7A">
      <w:pPr>
        <w:spacing w:before="0" w:after="0"/>
        <w:ind w:left="284"/>
        <w:contextualSpacing/>
        <w:rPr>
          <w:rFonts w:eastAsia="Times New Roman"/>
          <w:szCs w:val="24"/>
          <w:lang w:eastAsia="ru-RU"/>
        </w:rPr>
      </w:pPr>
      <w:r w:rsidRPr="00F242DD">
        <w:rPr>
          <w:rFonts w:eastAsia="Times New Roman"/>
          <w:szCs w:val="24"/>
          <w:lang w:eastAsia="ru-RU"/>
        </w:rPr>
        <w:t>Лечение продолжают до прогрессирования или развития неприемлемой токсичности</w:t>
      </w:r>
      <w:r w:rsidR="004204B1" w:rsidRPr="00F242DD">
        <w:rPr>
          <w:rFonts w:eastAsia="Times New Roman"/>
          <w:szCs w:val="24"/>
          <w:lang w:eastAsia="ru-RU"/>
        </w:rPr>
        <w:t>.</w:t>
      </w:r>
    </w:p>
    <w:p w14:paraId="5BF5DF38" w14:textId="77777777" w:rsidR="00E47E7A" w:rsidRDefault="00E47E7A" w:rsidP="002431B5">
      <w:pPr>
        <w:spacing w:before="0" w:after="0"/>
        <w:contextualSpacing/>
        <w:rPr>
          <w:rFonts w:eastAsia="Times New Roman"/>
          <w:b/>
          <w:szCs w:val="24"/>
        </w:rPr>
      </w:pPr>
    </w:p>
    <w:p w14:paraId="516592AC" w14:textId="77777777" w:rsidR="000546DA" w:rsidRPr="00F242DD" w:rsidRDefault="000546DA" w:rsidP="002431B5">
      <w:pPr>
        <w:spacing w:before="0" w:after="0"/>
        <w:contextualSpacing/>
        <w:rPr>
          <w:rFonts w:eastAsia="Times New Roman"/>
          <w:b/>
          <w:szCs w:val="24"/>
        </w:rPr>
      </w:pPr>
      <w:r w:rsidRPr="00F242DD">
        <w:rPr>
          <w:rFonts w:eastAsia="Times New Roman"/>
          <w:b/>
          <w:szCs w:val="24"/>
        </w:rPr>
        <w:t>Rd</w:t>
      </w:r>
    </w:p>
    <w:p w14:paraId="40B8BAF5" w14:textId="77777777" w:rsidR="000546DA" w:rsidRPr="00F242DD" w:rsidRDefault="000546DA" w:rsidP="00E47E7A">
      <w:pPr>
        <w:pStyle w:val="31"/>
        <w:numPr>
          <w:ilvl w:val="0"/>
          <w:numId w:val="30"/>
        </w:numPr>
        <w:tabs>
          <w:tab w:val="left" w:pos="720"/>
        </w:tabs>
        <w:suppressAutoHyphens/>
        <w:spacing w:line="360" w:lineRule="auto"/>
        <w:ind w:left="284" w:firstLine="0"/>
        <w:contextualSpacing/>
        <w:jc w:val="left"/>
        <w:rPr>
          <w:rFonts w:eastAsia="Times New Roman"/>
        </w:rPr>
      </w:pPr>
      <w:r w:rsidRPr="00F242DD">
        <w:rPr>
          <w:rFonts w:eastAsia="Times New Roman"/>
        </w:rPr>
        <w:t>Леналидомид** 25 мг внутрь, дни 1</w:t>
      </w:r>
      <w:r w:rsidR="004204B1" w:rsidRPr="00F242DD">
        <w:rPr>
          <w:rFonts w:eastAsia="Times New Roman"/>
        </w:rPr>
        <w:t>‒</w:t>
      </w:r>
      <w:r w:rsidRPr="00F242DD">
        <w:rPr>
          <w:rFonts w:eastAsia="Times New Roman"/>
        </w:rPr>
        <w:t>21</w:t>
      </w:r>
      <w:r w:rsidR="004204B1" w:rsidRPr="00F242DD">
        <w:rPr>
          <w:rFonts w:eastAsia="Times New Roman"/>
        </w:rPr>
        <w:t>-й</w:t>
      </w:r>
    </w:p>
    <w:p w14:paraId="09E9271E" w14:textId="77777777" w:rsidR="000546DA" w:rsidRPr="00F242DD" w:rsidRDefault="000546DA" w:rsidP="00E47E7A">
      <w:pPr>
        <w:pStyle w:val="31"/>
        <w:numPr>
          <w:ilvl w:val="0"/>
          <w:numId w:val="30"/>
        </w:numPr>
        <w:tabs>
          <w:tab w:val="left" w:pos="720"/>
        </w:tabs>
        <w:suppressAutoHyphens/>
        <w:spacing w:line="360" w:lineRule="auto"/>
        <w:ind w:left="284" w:firstLine="0"/>
        <w:contextualSpacing/>
        <w:jc w:val="left"/>
        <w:rPr>
          <w:rFonts w:eastAsia="Times New Roman"/>
        </w:rPr>
      </w:pPr>
      <w:r w:rsidRPr="00F242DD">
        <w:rPr>
          <w:rFonts w:eastAsia="Times New Roman"/>
        </w:rPr>
        <w:t>Дексаметазон** 40 мг внутрь, дни 1, 8, 15, 22</w:t>
      </w:r>
      <w:r w:rsidR="004204B1" w:rsidRPr="00F242DD">
        <w:rPr>
          <w:rFonts w:eastAsia="Times New Roman"/>
        </w:rPr>
        <w:t>-й</w:t>
      </w:r>
    </w:p>
    <w:p w14:paraId="508E62C5" w14:textId="77777777" w:rsidR="000546DA" w:rsidRPr="00F242DD" w:rsidRDefault="000546DA" w:rsidP="00E47E7A">
      <w:pPr>
        <w:spacing w:before="0" w:after="0"/>
        <w:ind w:left="284"/>
        <w:contextualSpacing/>
        <w:rPr>
          <w:rFonts w:eastAsia="Times New Roman"/>
          <w:szCs w:val="24"/>
        </w:rPr>
      </w:pPr>
      <w:r w:rsidRPr="00F242DD">
        <w:rPr>
          <w:rFonts w:eastAsia="Times New Roman"/>
          <w:szCs w:val="24"/>
        </w:rPr>
        <w:t>Лечение возобновляется на 29</w:t>
      </w:r>
      <w:r w:rsidR="004204B1" w:rsidRPr="00F242DD">
        <w:rPr>
          <w:rFonts w:eastAsia="Times New Roman"/>
          <w:szCs w:val="24"/>
          <w:lang w:eastAsia="ru-RU"/>
        </w:rPr>
        <w:t>-й</w:t>
      </w:r>
      <w:r w:rsidRPr="00F242DD">
        <w:rPr>
          <w:rFonts w:eastAsia="Times New Roman"/>
          <w:szCs w:val="24"/>
        </w:rPr>
        <w:t xml:space="preserve"> день</w:t>
      </w:r>
      <w:r w:rsidR="004204B1" w:rsidRPr="00F242DD">
        <w:rPr>
          <w:rFonts w:eastAsia="Times New Roman"/>
          <w:szCs w:val="24"/>
        </w:rPr>
        <w:t>.</w:t>
      </w:r>
    </w:p>
    <w:p w14:paraId="016FF43D" w14:textId="77777777" w:rsidR="000546DA" w:rsidRDefault="000546DA" w:rsidP="00E47E7A">
      <w:pPr>
        <w:spacing w:before="0" w:after="0"/>
        <w:ind w:left="284"/>
        <w:contextualSpacing/>
        <w:rPr>
          <w:rFonts w:eastAsia="Times New Roman"/>
          <w:szCs w:val="24"/>
        </w:rPr>
      </w:pPr>
      <w:r w:rsidRPr="00F242DD">
        <w:rPr>
          <w:rFonts w:eastAsia="Times New Roman"/>
          <w:szCs w:val="24"/>
        </w:rPr>
        <w:t>Лечение продолжают до прогрессирования или развития неприемлемой токсичности</w:t>
      </w:r>
      <w:r w:rsidR="004204B1" w:rsidRPr="00F242DD">
        <w:rPr>
          <w:rFonts w:eastAsia="Times New Roman"/>
          <w:szCs w:val="24"/>
        </w:rPr>
        <w:t>.</w:t>
      </w:r>
    </w:p>
    <w:p w14:paraId="028156B1" w14:textId="77777777" w:rsidR="00E47E7A" w:rsidRPr="00F242DD" w:rsidRDefault="00E47E7A" w:rsidP="00E47E7A">
      <w:pPr>
        <w:spacing w:before="0" w:after="0"/>
        <w:ind w:left="284"/>
        <w:contextualSpacing/>
        <w:rPr>
          <w:rFonts w:eastAsia="Times New Roman"/>
          <w:szCs w:val="24"/>
        </w:rPr>
      </w:pPr>
    </w:p>
    <w:p w14:paraId="3EF98561" w14:textId="1FE520D7" w:rsidR="000546DA" w:rsidRPr="00F242DD" w:rsidRDefault="000546DA" w:rsidP="002431B5">
      <w:pPr>
        <w:spacing w:before="0" w:after="0"/>
        <w:contextualSpacing/>
        <w:rPr>
          <w:rFonts w:eastAsia="Times New Roman"/>
          <w:b/>
          <w:szCs w:val="24"/>
          <w:lang w:val="en-US" w:eastAsia="ru-RU"/>
        </w:rPr>
      </w:pPr>
      <w:r w:rsidRPr="00F242DD">
        <w:rPr>
          <w:rFonts w:eastAsia="Times New Roman"/>
          <w:b/>
          <w:szCs w:val="24"/>
          <w:lang w:eastAsia="ru-RU"/>
        </w:rPr>
        <w:t>VR</w:t>
      </w:r>
      <w:r w:rsidR="00801A08">
        <w:rPr>
          <w:rFonts w:eastAsia="Times New Roman"/>
          <w:b/>
          <w:szCs w:val="24"/>
          <w:lang w:val="en-US" w:eastAsia="ru-RU"/>
        </w:rPr>
        <w:t>d</w:t>
      </w:r>
      <w:r w:rsidR="00626692" w:rsidRPr="00F242DD">
        <w:rPr>
          <w:rFonts w:eastAsia="Times New Roman"/>
          <w:b/>
          <w:szCs w:val="24"/>
          <w:lang w:val="en-US" w:eastAsia="ru-RU"/>
        </w:rPr>
        <w:t xml:space="preserve"> </w:t>
      </w:r>
      <w:r w:rsidR="00626692" w:rsidRPr="00F242DD">
        <w:rPr>
          <w:rFonts w:eastAsia="Times New Roman"/>
          <w:b/>
          <w:szCs w:val="24"/>
          <w:lang w:val="en-US" w:eastAsia="ru-RU"/>
        </w:rPr>
        <w:fldChar w:fldCharType="begin" w:fldLock="1"/>
      </w:r>
      <w:r w:rsidR="00E430FD">
        <w:rPr>
          <w:rFonts w:eastAsia="Times New Roman"/>
          <w:b/>
          <w:szCs w:val="24"/>
          <w:lang w:val="en-US" w:eastAsia="ru-RU"/>
        </w:rPr>
        <w:instrText>ADDIN CSL_CITATION {"citationItems":[{"id":"ITEM-1","itemData":{"DOI":"10.1310/hpj5201-27","ISSN":"19451253","abstract":"The complexity of cancer chemotherapy requires pharmacists be familiar with the complicated regimens and highly toxic agents used. This column reviews various issues related to preparation, dispensing, and administration of antineoplastic therapy, and the agents, both commercially available and investigational, used to treat malignant diseases. Questions or suggestions for topics should be addressed to Dominic A. Solimando, Jr, President, Oncology Pharmacy Services, Inc., 4201 Wilson Blvd #110-545, Arlington, VA 22203, OncRxSvc@comcast.net; or J. Aubrey Waddell, Professor, University of Tennessee College of Pharmacy; Oncology Pharmacist, Pharmacy Department, Blount Memorial Hospital, 907 E. Lamar Alexander Parkway, Maryville, TN 37804, Email: waddfour@charter.net. The information presented in this review is based on published data and clinical expertise and includes information not included in the product labeling. Incorporation of such published data provides a more robust assessment of the drugs and assists pharmacists in evaluation of orders for off-label use of these agents.","author":[{"dropping-particle":"","family":"Punke","given":"Alexandra P.","non-dropping-particle":"","parse-names":false,"suffix":""},{"dropping-particle":"","family":"Waddell","given":"J. Aubrey","non-dropping-particle":"","parse-names":false,"suffix":""},{"dropping-particle":"","family":"Solimando","given":"Dominic A.","non-dropping-particle":"","parse-names":false,"suffix":""}],"container-title":"Hospital Pharmacy","id":"ITEM-1","issue":"1","issued":{"date-parts":[["2017","1","1"]]},"page":"27-32","publisher":"SAGE Publications Ltd","title":"Lenalidomide, bortezomib, and dexamethasone (RVD) regimen for multiple myeloma","type":"article-journal","volume":"52"},"uris":["http://www.mendeley.com/documents/?uuid=cfe68f09-af24-3441-b51b-8e081d82c949"]}],"mendeley":{"formattedCitation":"[91]","plainTextFormattedCitation":"[91]","previouslyFormattedCitation":"[91]"},"properties":{"noteIndex":0},"schema":"https://github.com/citation-style-language/schema/raw/master/csl-citation.json"}</w:instrText>
      </w:r>
      <w:r w:rsidR="00626692" w:rsidRPr="00F242DD">
        <w:rPr>
          <w:rFonts w:eastAsia="Times New Roman"/>
          <w:b/>
          <w:szCs w:val="24"/>
          <w:lang w:val="en-US" w:eastAsia="ru-RU"/>
        </w:rPr>
        <w:fldChar w:fldCharType="separate"/>
      </w:r>
      <w:r w:rsidR="00E430FD" w:rsidRPr="00E430FD">
        <w:rPr>
          <w:rFonts w:eastAsia="Times New Roman"/>
          <w:noProof/>
          <w:szCs w:val="24"/>
          <w:lang w:val="en-US" w:eastAsia="ru-RU"/>
        </w:rPr>
        <w:t>[91]</w:t>
      </w:r>
      <w:r w:rsidR="00626692" w:rsidRPr="00F242DD">
        <w:rPr>
          <w:rFonts w:eastAsia="Times New Roman"/>
          <w:b/>
          <w:szCs w:val="24"/>
          <w:lang w:val="en-US" w:eastAsia="ru-RU"/>
        </w:rPr>
        <w:fldChar w:fldCharType="end"/>
      </w:r>
    </w:p>
    <w:p w14:paraId="057E9D14" w14:textId="77777777" w:rsidR="000546DA" w:rsidRPr="00F242DD" w:rsidRDefault="000546DA" w:rsidP="00E47E7A">
      <w:pPr>
        <w:pStyle w:val="a6"/>
        <w:numPr>
          <w:ilvl w:val="0"/>
          <w:numId w:val="31"/>
        </w:numPr>
        <w:spacing w:before="0" w:after="0"/>
        <w:ind w:left="284" w:firstLine="0"/>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w:t>
      </w:r>
      <w:r w:rsidR="00626692" w:rsidRPr="00F242DD">
        <w:rPr>
          <w:rFonts w:eastAsia="Times New Roman"/>
          <w:szCs w:val="24"/>
          <w:lang w:eastAsia="ru-RU"/>
        </w:rPr>
        <w:t>4</w:t>
      </w:r>
      <w:r w:rsidRPr="00F242DD">
        <w:rPr>
          <w:rFonts w:eastAsia="Times New Roman"/>
          <w:szCs w:val="24"/>
          <w:lang w:eastAsia="ru-RU"/>
        </w:rPr>
        <w:t xml:space="preserve">, </w:t>
      </w:r>
      <w:r w:rsidR="00626692" w:rsidRPr="00F242DD">
        <w:rPr>
          <w:rFonts w:eastAsia="Times New Roman"/>
          <w:szCs w:val="24"/>
          <w:lang w:eastAsia="ru-RU"/>
        </w:rPr>
        <w:t>8, 11</w:t>
      </w:r>
      <w:r w:rsidR="004204B1" w:rsidRPr="00F242DD">
        <w:rPr>
          <w:rFonts w:eastAsia="Times New Roman"/>
          <w:szCs w:val="24"/>
          <w:lang w:eastAsia="ru-RU"/>
        </w:rPr>
        <w:t>-й</w:t>
      </w:r>
    </w:p>
    <w:p w14:paraId="655CC81A" w14:textId="77777777" w:rsidR="000546DA" w:rsidRPr="00F242DD" w:rsidRDefault="000546DA" w:rsidP="00E47E7A">
      <w:pPr>
        <w:pStyle w:val="a6"/>
        <w:numPr>
          <w:ilvl w:val="0"/>
          <w:numId w:val="31"/>
        </w:numPr>
        <w:spacing w:before="0" w:after="0"/>
        <w:ind w:left="284" w:firstLine="0"/>
        <w:jc w:val="left"/>
        <w:rPr>
          <w:rFonts w:eastAsia="Times New Roman"/>
          <w:szCs w:val="24"/>
          <w:lang w:eastAsia="ru-RU"/>
        </w:rPr>
      </w:pPr>
      <w:r w:rsidRPr="00F242DD">
        <w:rPr>
          <w:rFonts w:eastAsia="Times New Roman"/>
          <w:szCs w:val="24"/>
          <w:lang w:eastAsia="ru-RU"/>
        </w:rPr>
        <w:t>Леналидомид** 25 мг внутрь, дни 1</w:t>
      </w:r>
      <w:r w:rsidR="004204B1" w:rsidRPr="00F242DD">
        <w:rPr>
          <w:rFonts w:eastAsia="Times New Roman"/>
          <w:szCs w:val="24"/>
          <w:lang w:eastAsia="ru-RU"/>
        </w:rPr>
        <w:t>‒</w:t>
      </w:r>
      <w:r w:rsidRPr="00F242DD">
        <w:rPr>
          <w:rFonts w:eastAsia="Times New Roman"/>
          <w:szCs w:val="24"/>
          <w:lang w:eastAsia="ru-RU"/>
        </w:rPr>
        <w:t>14</w:t>
      </w:r>
      <w:r w:rsidR="004204B1" w:rsidRPr="00F242DD">
        <w:rPr>
          <w:rFonts w:eastAsia="Times New Roman"/>
          <w:szCs w:val="24"/>
          <w:lang w:eastAsia="ru-RU"/>
        </w:rPr>
        <w:t>-й</w:t>
      </w:r>
    </w:p>
    <w:p w14:paraId="3375845C" w14:textId="6550A8D8" w:rsidR="000546DA" w:rsidRPr="00F242DD" w:rsidRDefault="000546DA" w:rsidP="00E47E7A">
      <w:pPr>
        <w:pStyle w:val="a6"/>
        <w:numPr>
          <w:ilvl w:val="0"/>
          <w:numId w:val="31"/>
        </w:numPr>
        <w:spacing w:before="0" w:after="0"/>
        <w:ind w:left="284" w:firstLine="0"/>
        <w:jc w:val="left"/>
        <w:rPr>
          <w:rFonts w:eastAsia="Times New Roman"/>
          <w:szCs w:val="24"/>
          <w:lang w:eastAsia="ru-RU"/>
        </w:rPr>
      </w:pPr>
      <w:r w:rsidRPr="00F242DD">
        <w:rPr>
          <w:rFonts w:eastAsia="Times New Roman"/>
          <w:szCs w:val="24"/>
          <w:lang w:eastAsia="ru-RU"/>
        </w:rPr>
        <w:t>Дексаметазон** 40 мг внутрь</w:t>
      </w:r>
      <w:r w:rsidR="00D17887">
        <w:rPr>
          <w:rFonts w:eastAsia="Times New Roman"/>
          <w:szCs w:val="24"/>
          <w:lang w:eastAsia="ru-RU"/>
        </w:rPr>
        <w:t xml:space="preserve"> или в/в</w:t>
      </w:r>
      <w:r w:rsidRPr="00F242DD">
        <w:rPr>
          <w:rFonts w:eastAsia="Times New Roman"/>
          <w:szCs w:val="24"/>
          <w:lang w:eastAsia="ru-RU"/>
        </w:rPr>
        <w:t>, дни 1, 8, 15</w:t>
      </w:r>
      <w:r w:rsidR="004204B1" w:rsidRPr="00F242DD">
        <w:rPr>
          <w:rFonts w:eastAsia="Times New Roman"/>
          <w:szCs w:val="24"/>
          <w:lang w:eastAsia="ru-RU"/>
        </w:rPr>
        <w:t>-й</w:t>
      </w:r>
      <w:r w:rsidR="00626692" w:rsidRPr="00F242DD">
        <w:rPr>
          <w:rFonts w:eastAsia="Times New Roman"/>
          <w:szCs w:val="24"/>
          <w:lang w:eastAsia="ru-RU"/>
        </w:rPr>
        <w:t xml:space="preserve"> </w:t>
      </w:r>
    </w:p>
    <w:p w14:paraId="3E637B03" w14:textId="77777777" w:rsidR="000546DA" w:rsidRDefault="000546DA" w:rsidP="00E47E7A">
      <w:pPr>
        <w:pStyle w:val="a6"/>
        <w:spacing w:before="0" w:after="0"/>
        <w:ind w:left="709"/>
        <w:jc w:val="left"/>
        <w:rPr>
          <w:rFonts w:eastAsia="Times New Roman"/>
          <w:szCs w:val="24"/>
          <w:lang w:eastAsia="ru-RU"/>
        </w:rPr>
      </w:pPr>
      <w:r w:rsidRPr="00F242DD">
        <w:rPr>
          <w:rFonts w:eastAsia="Times New Roman"/>
          <w:szCs w:val="24"/>
          <w:lang w:eastAsia="ru-RU"/>
        </w:rPr>
        <w:t>Лечение возобновляется на 22</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36E774A1" w14:textId="77777777" w:rsidR="00E47E7A" w:rsidRPr="00F242DD" w:rsidRDefault="00E47E7A" w:rsidP="00E47E7A">
      <w:pPr>
        <w:pStyle w:val="a6"/>
        <w:spacing w:before="0" w:after="0"/>
        <w:ind w:left="709"/>
        <w:jc w:val="left"/>
        <w:rPr>
          <w:rFonts w:eastAsia="Times New Roman"/>
          <w:szCs w:val="24"/>
          <w:lang w:eastAsia="ru-RU"/>
        </w:rPr>
      </w:pPr>
    </w:p>
    <w:p w14:paraId="097307C5" w14:textId="77777777" w:rsidR="000546DA" w:rsidRPr="00F242DD" w:rsidRDefault="000546DA" w:rsidP="002431B5">
      <w:pPr>
        <w:spacing w:before="0" w:after="0"/>
        <w:contextualSpacing/>
        <w:rPr>
          <w:rFonts w:eastAsia="Times New Roman"/>
          <w:b/>
          <w:szCs w:val="24"/>
        </w:rPr>
      </w:pPr>
      <w:r w:rsidRPr="00F242DD">
        <w:rPr>
          <w:rFonts w:eastAsia="Times New Roman"/>
          <w:b/>
          <w:szCs w:val="24"/>
        </w:rPr>
        <w:lastRenderedPageBreak/>
        <w:t>RAD</w:t>
      </w:r>
    </w:p>
    <w:p w14:paraId="1CFDD6B4" w14:textId="77777777" w:rsidR="000546DA" w:rsidRPr="00F242DD" w:rsidRDefault="000546DA" w:rsidP="00E47E7A">
      <w:pPr>
        <w:pStyle w:val="a6"/>
        <w:numPr>
          <w:ilvl w:val="0"/>
          <w:numId w:val="32"/>
        </w:numPr>
        <w:tabs>
          <w:tab w:val="clear" w:pos="0"/>
          <w:tab w:val="num" w:pos="284"/>
        </w:tabs>
        <w:suppressAutoHyphens/>
        <w:spacing w:before="0" w:after="0"/>
        <w:ind w:left="284" w:firstLine="0"/>
        <w:jc w:val="left"/>
        <w:rPr>
          <w:rFonts w:eastAsia="Times New Roman"/>
          <w:szCs w:val="24"/>
        </w:rPr>
      </w:pPr>
      <w:r w:rsidRPr="00F242DD">
        <w:rPr>
          <w:rFonts w:eastAsia="Times New Roman"/>
          <w:szCs w:val="24"/>
        </w:rPr>
        <w:t>Леналидомид</w:t>
      </w:r>
      <w:r w:rsidRPr="00F242DD">
        <w:rPr>
          <w:rFonts w:eastAsia="Times New Roman"/>
          <w:szCs w:val="24"/>
          <w:lang w:eastAsia="ru-RU"/>
        </w:rPr>
        <w:t>**</w:t>
      </w:r>
      <w:r w:rsidRPr="00F242DD">
        <w:rPr>
          <w:rFonts w:eastAsia="Times New Roman"/>
          <w:szCs w:val="24"/>
        </w:rPr>
        <w:t xml:space="preserve"> 25 мг внутрь, дни 1</w:t>
      </w:r>
      <w:r w:rsidR="004204B1" w:rsidRPr="00F242DD">
        <w:rPr>
          <w:rFonts w:eastAsia="Times New Roman"/>
          <w:szCs w:val="24"/>
        </w:rPr>
        <w:t>‒</w:t>
      </w:r>
      <w:r w:rsidRPr="00F242DD">
        <w:rPr>
          <w:rFonts w:eastAsia="Times New Roman"/>
          <w:szCs w:val="24"/>
        </w:rPr>
        <w:t>21</w:t>
      </w:r>
      <w:r w:rsidR="004204B1" w:rsidRPr="00F242DD">
        <w:rPr>
          <w:rFonts w:eastAsia="Times New Roman"/>
          <w:szCs w:val="24"/>
          <w:lang w:eastAsia="ru-RU"/>
        </w:rPr>
        <w:t>-й</w:t>
      </w:r>
    </w:p>
    <w:p w14:paraId="51226B77" w14:textId="77777777" w:rsidR="000546DA" w:rsidRPr="00F242DD" w:rsidRDefault="000546DA" w:rsidP="00E47E7A">
      <w:pPr>
        <w:pStyle w:val="a6"/>
        <w:numPr>
          <w:ilvl w:val="0"/>
          <w:numId w:val="32"/>
        </w:numPr>
        <w:tabs>
          <w:tab w:val="clear" w:pos="0"/>
          <w:tab w:val="num" w:pos="284"/>
        </w:tabs>
        <w:suppressAutoHyphens/>
        <w:spacing w:before="0" w:after="0"/>
        <w:ind w:left="284" w:firstLine="0"/>
        <w:jc w:val="left"/>
        <w:rPr>
          <w:rFonts w:eastAsia="Times New Roman"/>
          <w:szCs w:val="24"/>
        </w:rPr>
      </w:pPr>
      <w:r w:rsidRPr="00F242DD">
        <w:rPr>
          <w:rFonts w:eastAsia="Times New Roman"/>
          <w:szCs w:val="24"/>
        </w:rPr>
        <w:t>Доксорубицин</w:t>
      </w:r>
      <w:r w:rsidRPr="00F242DD">
        <w:rPr>
          <w:rFonts w:eastAsia="Times New Roman"/>
          <w:szCs w:val="24"/>
          <w:lang w:eastAsia="ru-RU"/>
        </w:rPr>
        <w:t>**</w:t>
      </w:r>
      <w:r w:rsidRPr="00F242DD">
        <w:rPr>
          <w:rFonts w:eastAsia="Times New Roman"/>
          <w:szCs w:val="24"/>
        </w:rPr>
        <w:t xml:space="preserve"> 9 мг/м</w:t>
      </w:r>
      <w:r w:rsidRPr="00F242DD">
        <w:rPr>
          <w:rFonts w:eastAsia="Times New Roman"/>
          <w:szCs w:val="24"/>
          <w:vertAlign w:val="superscript"/>
        </w:rPr>
        <w:t>2</w:t>
      </w:r>
      <w:r w:rsidRPr="00F242DD">
        <w:rPr>
          <w:rFonts w:eastAsia="Times New Roman"/>
          <w:szCs w:val="24"/>
        </w:rPr>
        <w:t xml:space="preserve"> в виде постоянной инфузии или ежедневно болюсно, дни 1</w:t>
      </w:r>
      <w:r w:rsidR="004204B1" w:rsidRPr="00F242DD">
        <w:rPr>
          <w:rFonts w:eastAsia="Times New Roman"/>
          <w:szCs w:val="24"/>
        </w:rPr>
        <w:t>‒</w:t>
      </w:r>
      <w:r w:rsidRPr="00F242DD">
        <w:rPr>
          <w:rFonts w:eastAsia="Times New Roman"/>
          <w:szCs w:val="24"/>
        </w:rPr>
        <w:t>4</w:t>
      </w:r>
      <w:r w:rsidR="004204B1" w:rsidRPr="00F242DD">
        <w:rPr>
          <w:rFonts w:eastAsia="Times New Roman"/>
          <w:szCs w:val="24"/>
          <w:lang w:eastAsia="ru-RU"/>
        </w:rPr>
        <w:t>-й</w:t>
      </w:r>
    </w:p>
    <w:p w14:paraId="30819749" w14:textId="3B40B17E" w:rsidR="000546DA" w:rsidRPr="00F242DD" w:rsidRDefault="000546DA" w:rsidP="00E47E7A">
      <w:pPr>
        <w:pStyle w:val="a6"/>
        <w:numPr>
          <w:ilvl w:val="0"/>
          <w:numId w:val="32"/>
        </w:numPr>
        <w:tabs>
          <w:tab w:val="clear" w:pos="0"/>
          <w:tab w:val="num" w:pos="284"/>
        </w:tabs>
        <w:suppressAutoHyphens/>
        <w:spacing w:before="0" w:after="0"/>
        <w:ind w:left="284" w:firstLine="0"/>
        <w:jc w:val="left"/>
        <w:rPr>
          <w:rFonts w:eastAsia="Times New Roman"/>
          <w:szCs w:val="24"/>
        </w:rPr>
      </w:pPr>
      <w:r w:rsidRPr="00F242DD">
        <w:rPr>
          <w:rFonts w:eastAsia="Times New Roman"/>
          <w:szCs w:val="24"/>
        </w:rPr>
        <w:t>Дексаметазон</w:t>
      </w:r>
      <w:r w:rsidR="003F4253">
        <w:rPr>
          <w:rFonts w:eastAsia="Times New Roman"/>
          <w:szCs w:val="24"/>
        </w:rPr>
        <w:t>**</w:t>
      </w:r>
      <w:r w:rsidRPr="00F242DD">
        <w:rPr>
          <w:rFonts w:eastAsia="Times New Roman"/>
          <w:szCs w:val="24"/>
        </w:rPr>
        <w:t xml:space="preserve"> 40 мг </w:t>
      </w:r>
      <w:r w:rsidR="004204B1" w:rsidRPr="00F242DD">
        <w:rPr>
          <w:rFonts w:eastAsia="Times New Roman"/>
          <w:szCs w:val="24"/>
        </w:rPr>
        <w:t>в/в</w:t>
      </w:r>
      <w:r w:rsidRPr="00F242DD">
        <w:rPr>
          <w:rFonts w:eastAsia="Times New Roman"/>
          <w:szCs w:val="24"/>
        </w:rPr>
        <w:t xml:space="preserve"> или внутрь в дни 1</w:t>
      </w:r>
      <w:r w:rsidR="004204B1" w:rsidRPr="00F242DD">
        <w:rPr>
          <w:rFonts w:eastAsia="Times New Roman"/>
          <w:szCs w:val="24"/>
        </w:rPr>
        <w:t>‒</w:t>
      </w:r>
      <w:r w:rsidRPr="00F242DD">
        <w:rPr>
          <w:rFonts w:eastAsia="Times New Roman"/>
          <w:szCs w:val="24"/>
        </w:rPr>
        <w:t>4</w:t>
      </w:r>
      <w:r w:rsidR="004204B1" w:rsidRPr="00F242DD">
        <w:rPr>
          <w:rFonts w:eastAsia="Times New Roman"/>
          <w:szCs w:val="24"/>
          <w:lang w:eastAsia="ru-RU"/>
        </w:rPr>
        <w:t>-й</w:t>
      </w:r>
      <w:r w:rsidRPr="00F242DD">
        <w:rPr>
          <w:rFonts w:eastAsia="Times New Roman"/>
          <w:szCs w:val="24"/>
        </w:rPr>
        <w:t>, 17</w:t>
      </w:r>
      <w:r w:rsidR="004204B1" w:rsidRPr="00F242DD">
        <w:rPr>
          <w:rFonts w:eastAsia="Times New Roman"/>
          <w:szCs w:val="24"/>
        </w:rPr>
        <w:t>‒</w:t>
      </w:r>
      <w:r w:rsidRPr="00F242DD">
        <w:rPr>
          <w:rFonts w:eastAsia="Times New Roman"/>
          <w:szCs w:val="24"/>
        </w:rPr>
        <w:t>20</w:t>
      </w:r>
      <w:r w:rsidR="004204B1" w:rsidRPr="00F242DD">
        <w:rPr>
          <w:rFonts w:eastAsia="Times New Roman"/>
          <w:szCs w:val="24"/>
          <w:lang w:eastAsia="ru-RU"/>
        </w:rPr>
        <w:t>-й</w:t>
      </w:r>
    </w:p>
    <w:p w14:paraId="7695AA4D" w14:textId="77777777" w:rsidR="000546DA" w:rsidRDefault="000546DA" w:rsidP="00E47E7A">
      <w:pPr>
        <w:tabs>
          <w:tab w:val="num" w:pos="709"/>
        </w:tabs>
        <w:spacing w:before="0" w:after="0"/>
        <w:ind w:left="709"/>
        <w:contextualSpacing/>
        <w:rPr>
          <w:rFonts w:eastAsia="Times New Roman"/>
          <w:szCs w:val="24"/>
        </w:rPr>
      </w:pPr>
      <w:r w:rsidRPr="00F242DD">
        <w:rPr>
          <w:rFonts w:eastAsia="Times New Roman"/>
          <w:szCs w:val="24"/>
        </w:rPr>
        <w:t>Лечение возобновляется на 29</w:t>
      </w:r>
      <w:r w:rsidR="004204B1" w:rsidRPr="00F242DD">
        <w:rPr>
          <w:rFonts w:eastAsia="Times New Roman"/>
          <w:szCs w:val="24"/>
          <w:lang w:eastAsia="ru-RU"/>
        </w:rPr>
        <w:t>-й</w:t>
      </w:r>
      <w:r w:rsidRPr="00F242DD">
        <w:rPr>
          <w:rFonts w:eastAsia="Times New Roman"/>
          <w:szCs w:val="24"/>
        </w:rPr>
        <w:t xml:space="preserve"> день</w:t>
      </w:r>
      <w:r w:rsidR="004204B1" w:rsidRPr="00F242DD">
        <w:rPr>
          <w:rFonts w:eastAsia="Times New Roman"/>
          <w:szCs w:val="24"/>
        </w:rPr>
        <w:t>.</w:t>
      </w:r>
    </w:p>
    <w:p w14:paraId="68722466" w14:textId="77777777" w:rsidR="00E47E7A" w:rsidRPr="00F242DD" w:rsidRDefault="00E47E7A" w:rsidP="00E47E7A">
      <w:pPr>
        <w:tabs>
          <w:tab w:val="num" w:pos="709"/>
        </w:tabs>
        <w:spacing w:before="0" w:after="0"/>
        <w:ind w:left="709"/>
        <w:contextualSpacing/>
        <w:rPr>
          <w:rFonts w:eastAsia="Times New Roman"/>
          <w:szCs w:val="24"/>
        </w:rPr>
      </w:pPr>
    </w:p>
    <w:p w14:paraId="66B3438E" w14:textId="77777777" w:rsidR="000546DA" w:rsidRPr="00F242DD" w:rsidRDefault="000546DA" w:rsidP="002431B5">
      <w:pPr>
        <w:spacing w:before="0" w:after="0"/>
        <w:contextualSpacing/>
        <w:rPr>
          <w:rFonts w:eastAsia="Times New Roman"/>
          <w:b/>
          <w:szCs w:val="24"/>
        </w:rPr>
      </w:pPr>
      <w:r w:rsidRPr="00F242DD">
        <w:rPr>
          <w:rFonts w:eastAsia="Times New Roman"/>
          <w:b/>
          <w:szCs w:val="24"/>
        </w:rPr>
        <w:t>RCD</w:t>
      </w:r>
    </w:p>
    <w:p w14:paraId="06339AE5" w14:textId="77777777" w:rsidR="000546DA" w:rsidRPr="00F242DD" w:rsidRDefault="000546DA" w:rsidP="00E47E7A">
      <w:pPr>
        <w:pStyle w:val="a6"/>
        <w:numPr>
          <w:ilvl w:val="0"/>
          <w:numId w:val="33"/>
        </w:numPr>
        <w:tabs>
          <w:tab w:val="clear" w:pos="0"/>
          <w:tab w:val="num" w:pos="284"/>
        </w:tabs>
        <w:suppressAutoHyphens/>
        <w:spacing w:before="0" w:after="0"/>
        <w:ind w:left="284" w:firstLine="0"/>
        <w:jc w:val="left"/>
        <w:rPr>
          <w:rFonts w:eastAsia="Times New Roman"/>
          <w:szCs w:val="24"/>
        </w:rPr>
      </w:pPr>
      <w:r w:rsidRPr="00F242DD">
        <w:rPr>
          <w:rFonts w:eastAsia="Times New Roman"/>
          <w:szCs w:val="24"/>
        </w:rPr>
        <w:t>Леналидомид</w:t>
      </w:r>
      <w:r w:rsidRPr="00F242DD">
        <w:rPr>
          <w:rFonts w:eastAsia="Times New Roman"/>
          <w:szCs w:val="24"/>
          <w:lang w:eastAsia="ru-RU"/>
        </w:rPr>
        <w:t>**</w:t>
      </w:r>
      <w:r w:rsidRPr="00F242DD">
        <w:rPr>
          <w:rFonts w:eastAsia="Times New Roman"/>
          <w:szCs w:val="24"/>
        </w:rPr>
        <w:t xml:space="preserve"> 25 мг внутрь, дни 1</w:t>
      </w:r>
      <w:r w:rsidR="004204B1" w:rsidRPr="00F242DD">
        <w:rPr>
          <w:rFonts w:eastAsia="Times New Roman"/>
          <w:szCs w:val="24"/>
        </w:rPr>
        <w:t>‒</w:t>
      </w:r>
      <w:r w:rsidRPr="00F242DD">
        <w:rPr>
          <w:rFonts w:eastAsia="Times New Roman"/>
          <w:szCs w:val="24"/>
        </w:rPr>
        <w:t>21</w:t>
      </w:r>
      <w:r w:rsidR="004204B1" w:rsidRPr="00F242DD">
        <w:rPr>
          <w:rFonts w:eastAsia="Times New Roman"/>
          <w:szCs w:val="24"/>
          <w:lang w:eastAsia="ru-RU"/>
        </w:rPr>
        <w:t>-й</w:t>
      </w:r>
    </w:p>
    <w:p w14:paraId="04CA03C9" w14:textId="77777777" w:rsidR="000546DA" w:rsidRPr="00F242DD" w:rsidRDefault="000546DA" w:rsidP="00E47E7A">
      <w:pPr>
        <w:pStyle w:val="a6"/>
        <w:numPr>
          <w:ilvl w:val="0"/>
          <w:numId w:val="33"/>
        </w:numPr>
        <w:tabs>
          <w:tab w:val="clear" w:pos="0"/>
          <w:tab w:val="num" w:pos="284"/>
        </w:tabs>
        <w:suppressAutoHyphens/>
        <w:spacing w:before="0" w:after="0"/>
        <w:ind w:left="284" w:firstLine="0"/>
        <w:jc w:val="left"/>
        <w:rPr>
          <w:rFonts w:eastAsia="Times New Roman"/>
          <w:szCs w:val="24"/>
        </w:rPr>
      </w:pPr>
      <w:r w:rsidRPr="00F242DD">
        <w:rPr>
          <w:rFonts w:eastAsia="Times New Roman"/>
          <w:szCs w:val="24"/>
        </w:rPr>
        <w:t>Циклофосфамид</w:t>
      </w:r>
      <w:r w:rsidRPr="00F242DD">
        <w:rPr>
          <w:rFonts w:eastAsia="Times New Roman"/>
          <w:szCs w:val="24"/>
          <w:lang w:eastAsia="ru-RU"/>
        </w:rPr>
        <w:t>**</w:t>
      </w:r>
      <w:r w:rsidRPr="00F242DD">
        <w:rPr>
          <w:rFonts w:eastAsia="Times New Roman"/>
          <w:szCs w:val="24"/>
        </w:rPr>
        <w:t xml:space="preserve"> 500 мг внутрь в дни 1,</w:t>
      </w:r>
      <w:r w:rsidR="004204B1" w:rsidRPr="00F242DD">
        <w:rPr>
          <w:rFonts w:eastAsia="Times New Roman"/>
          <w:szCs w:val="24"/>
        </w:rPr>
        <w:t xml:space="preserve"> </w:t>
      </w:r>
      <w:r w:rsidRPr="00F242DD">
        <w:rPr>
          <w:rFonts w:eastAsia="Times New Roman"/>
          <w:szCs w:val="24"/>
        </w:rPr>
        <w:t>8,</w:t>
      </w:r>
      <w:r w:rsidR="004204B1" w:rsidRPr="00F242DD">
        <w:rPr>
          <w:rFonts w:eastAsia="Times New Roman"/>
          <w:szCs w:val="24"/>
        </w:rPr>
        <w:t xml:space="preserve"> </w:t>
      </w:r>
      <w:r w:rsidRPr="00F242DD">
        <w:rPr>
          <w:rFonts w:eastAsia="Times New Roman"/>
          <w:szCs w:val="24"/>
        </w:rPr>
        <w:t>15,</w:t>
      </w:r>
      <w:r w:rsidR="004204B1" w:rsidRPr="00F242DD">
        <w:rPr>
          <w:rFonts w:eastAsia="Times New Roman"/>
          <w:szCs w:val="24"/>
        </w:rPr>
        <w:t xml:space="preserve"> </w:t>
      </w:r>
      <w:r w:rsidRPr="00F242DD">
        <w:rPr>
          <w:rFonts w:eastAsia="Times New Roman"/>
          <w:szCs w:val="24"/>
        </w:rPr>
        <w:t>21</w:t>
      </w:r>
      <w:r w:rsidR="004204B1" w:rsidRPr="00F242DD">
        <w:rPr>
          <w:rFonts w:eastAsia="Times New Roman"/>
          <w:szCs w:val="24"/>
          <w:lang w:eastAsia="ru-RU"/>
        </w:rPr>
        <w:t>-й</w:t>
      </w:r>
    </w:p>
    <w:p w14:paraId="54FFD929" w14:textId="77777777" w:rsidR="000546DA" w:rsidRPr="00F242DD" w:rsidRDefault="000546DA" w:rsidP="00E47E7A">
      <w:pPr>
        <w:pStyle w:val="a6"/>
        <w:numPr>
          <w:ilvl w:val="0"/>
          <w:numId w:val="33"/>
        </w:numPr>
        <w:tabs>
          <w:tab w:val="clear" w:pos="0"/>
          <w:tab w:val="num" w:pos="284"/>
        </w:tabs>
        <w:suppressAutoHyphens/>
        <w:spacing w:before="0" w:after="0"/>
        <w:ind w:left="284" w:firstLine="0"/>
        <w:jc w:val="left"/>
        <w:rPr>
          <w:rFonts w:eastAsia="Times New Roman"/>
          <w:szCs w:val="24"/>
        </w:rPr>
      </w:pPr>
      <w:r w:rsidRPr="00F242DD">
        <w:rPr>
          <w:rFonts w:eastAsia="Times New Roman"/>
          <w:szCs w:val="24"/>
        </w:rPr>
        <w:t>Дексаметазон</w:t>
      </w:r>
      <w:r w:rsidRPr="00F242DD">
        <w:rPr>
          <w:rFonts w:eastAsia="Times New Roman"/>
          <w:szCs w:val="24"/>
          <w:lang w:eastAsia="ru-RU"/>
        </w:rPr>
        <w:t>**</w:t>
      </w:r>
      <w:r w:rsidRPr="00F242DD">
        <w:rPr>
          <w:rFonts w:eastAsia="Times New Roman"/>
          <w:szCs w:val="24"/>
        </w:rPr>
        <w:t xml:space="preserve"> 20 мг </w:t>
      </w:r>
      <w:r w:rsidR="004204B1" w:rsidRPr="00F242DD">
        <w:rPr>
          <w:rFonts w:eastAsia="Times New Roman"/>
          <w:szCs w:val="24"/>
        </w:rPr>
        <w:t>в/в</w:t>
      </w:r>
      <w:r w:rsidRPr="00F242DD">
        <w:rPr>
          <w:rFonts w:eastAsia="Times New Roman"/>
          <w:szCs w:val="24"/>
        </w:rPr>
        <w:t xml:space="preserve"> или внутрь в дни 1</w:t>
      </w:r>
      <w:r w:rsidR="004204B1" w:rsidRPr="00F242DD">
        <w:rPr>
          <w:rFonts w:eastAsia="Times New Roman"/>
          <w:szCs w:val="24"/>
        </w:rPr>
        <w:t>‒</w:t>
      </w:r>
      <w:r w:rsidRPr="00F242DD">
        <w:rPr>
          <w:rFonts w:eastAsia="Times New Roman"/>
          <w:szCs w:val="24"/>
        </w:rPr>
        <w:t>4</w:t>
      </w:r>
      <w:r w:rsidR="004204B1" w:rsidRPr="00F242DD">
        <w:rPr>
          <w:rFonts w:eastAsia="Times New Roman"/>
          <w:szCs w:val="24"/>
          <w:lang w:eastAsia="ru-RU"/>
        </w:rPr>
        <w:t>-й</w:t>
      </w:r>
      <w:r w:rsidRPr="00F242DD">
        <w:rPr>
          <w:rFonts w:eastAsia="Times New Roman"/>
          <w:szCs w:val="24"/>
        </w:rPr>
        <w:t>, 8</w:t>
      </w:r>
      <w:r w:rsidR="004204B1" w:rsidRPr="00F242DD">
        <w:rPr>
          <w:rFonts w:eastAsia="Times New Roman"/>
          <w:szCs w:val="24"/>
        </w:rPr>
        <w:t>‒</w:t>
      </w:r>
      <w:r w:rsidRPr="00F242DD">
        <w:rPr>
          <w:rFonts w:eastAsia="Times New Roman"/>
          <w:szCs w:val="24"/>
        </w:rPr>
        <w:t>11</w:t>
      </w:r>
      <w:r w:rsidR="004204B1" w:rsidRPr="00F242DD">
        <w:rPr>
          <w:rFonts w:eastAsia="Times New Roman"/>
          <w:szCs w:val="24"/>
          <w:lang w:eastAsia="ru-RU"/>
        </w:rPr>
        <w:t>-й</w:t>
      </w:r>
    </w:p>
    <w:p w14:paraId="763ADB00" w14:textId="77777777" w:rsidR="000546DA" w:rsidRDefault="000546DA" w:rsidP="00E47E7A">
      <w:pPr>
        <w:tabs>
          <w:tab w:val="num" w:pos="709"/>
        </w:tabs>
        <w:spacing w:before="0" w:after="0"/>
        <w:ind w:left="709"/>
        <w:contextualSpacing/>
        <w:rPr>
          <w:rFonts w:eastAsia="Times New Roman"/>
          <w:szCs w:val="24"/>
        </w:rPr>
      </w:pPr>
      <w:r w:rsidRPr="00F242DD">
        <w:rPr>
          <w:rFonts w:eastAsia="Times New Roman"/>
          <w:szCs w:val="24"/>
        </w:rPr>
        <w:t>Лечение возобновляется на 29</w:t>
      </w:r>
      <w:r w:rsidR="004204B1" w:rsidRPr="00F242DD">
        <w:rPr>
          <w:rFonts w:eastAsia="Times New Roman"/>
          <w:szCs w:val="24"/>
          <w:lang w:eastAsia="ru-RU"/>
        </w:rPr>
        <w:t>-й</w:t>
      </w:r>
      <w:r w:rsidRPr="00F242DD">
        <w:rPr>
          <w:rFonts w:eastAsia="Times New Roman"/>
          <w:szCs w:val="24"/>
        </w:rPr>
        <w:t xml:space="preserve"> день</w:t>
      </w:r>
      <w:r w:rsidR="004204B1" w:rsidRPr="00F242DD">
        <w:rPr>
          <w:rFonts w:eastAsia="Times New Roman"/>
          <w:szCs w:val="24"/>
        </w:rPr>
        <w:t>.</w:t>
      </w:r>
    </w:p>
    <w:p w14:paraId="7DEB3AB6" w14:textId="77777777" w:rsidR="00E47E7A" w:rsidRPr="00F242DD" w:rsidRDefault="00E47E7A" w:rsidP="00E47E7A">
      <w:pPr>
        <w:tabs>
          <w:tab w:val="num" w:pos="709"/>
        </w:tabs>
        <w:spacing w:before="0" w:after="0"/>
        <w:ind w:left="709"/>
        <w:contextualSpacing/>
        <w:rPr>
          <w:rFonts w:eastAsia="Times New Roman"/>
          <w:szCs w:val="24"/>
        </w:rPr>
      </w:pPr>
    </w:p>
    <w:p w14:paraId="4AF0786C" w14:textId="77777777" w:rsidR="000546DA" w:rsidRPr="00F242DD" w:rsidRDefault="000546DA" w:rsidP="002431B5">
      <w:pPr>
        <w:spacing w:before="0" w:after="0"/>
        <w:contextualSpacing/>
        <w:rPr>
          <w:rFonts w:eastAsia="Times New Roman"/>
          <w:b/>
          <w:szCs w:val="24"/>
        </w:rPr>
      </w:pPr>
      <w:r w:rsidRPr="00F242DD">
        <w:rPr>
          <w:rFonts w:eastAsia="Times New Roman"/>
          <w:b/>
          <w:szCs w:val="24"/>
        </w:rPr>
        <w:t xml:space="preserve">RCP </w:t>
      </w:r>
    </w:p>
    <w:p w14:paraId="0648B6F5" w14:textId="77777777" w:rsidR="000546DA" w:rsidRPr="00F242DD" w:rsidRDefault="000546DA" w:rsidP="00E47E7A">
      <w:pPr>
        <w:pStyle w:val="a6"/>
        <w:numPr>
          <w:ilvl w:val="0"/>
          <w:numId w:val="34"/>
        </w:numPr>
        <w:tabs>
          <w:tab w:val="clear" w:pos="0"/>
          <w:tab w:val="num" w:pos="709"/>
        </w:tabs>
        <w:suppressAutoHyphens/>
        <w:spacing w:before="0" w:after="0"/>
        <w:ind w:left="284" w:firstLine="0"/>
        <w:jc w:val="left"/>
        <w:rPr>
          <w:rFonts w:eastAsia="Times New Roman"/>
          <w:szCs w:val="24"/>
        </w:rPr>
      </w:pPr>
      <w:r w:rsidRPr="00F242DD">
        <w:rPr>
          <w:rFonts w:eastAsia="Times New Roman"/>
          <w:szCs w:val="24"/>
        </w:rPr>
        <w:t>Леналидомид</w:t>
      </w:r>
      <w:r w:rsidRPr="00F242DD">
        <w:rPr>
          <w:rFonts w:eastAsia="Times New Roman"/>
          <w:szCs w:val="24"/>
          <w:lang w:eastAsia="ru-RU"/>
        </w:rPr>
        <w:t>**</w:t>
      </w:r>
      <w:r w:rsidRPr="00F242DD">
        <w:rPr>
          <w:rFonts w:eastAsia="Times New Roman"/>
          <w:szCs w:val="24"/>
        </w:rPr>
        <w:t xml:space="preserve"> 25 мг внутрь, дни 1</w:t>
      </w:r>
      <w:r w:rsidR="004204B1" w:rsidRPr="00F242DD">
        <w:rPr>
          <w:rFonts w:eastAsia="Times New Roman"/>
          <w:szCs w:val="24"/>
        </w:rPr>
        <w:t>‒</w:t>
      </w:r>
      <w:r w:rsidRPr="00F242DD">
        <w:rPr>
          <w:rFonts w:eastAsia="Times New Roman"/>
          <w:szCs w:val="24"/>
        </w:rPr>
        <w:t>21</w:t>
      </w:r>
      <w:r w:rsidR="004204B1" w:rsidRPr="00F242DD">
        <w:rPr>
          <w:rFonts w:eastAsia="Times New Roman"/>
          <w:szCs w:val="24"/>
          <w:lang w:eastAsia="ru-RU"/>
        </w:rPr>
        <w:t>-й</w:t>
      </w:r>
    </w:p>
    <w:p w14:paraId="2E9F81D0" w14:textId="77777777" w:rsidR="000546DA" w:rsidRPr="00F242DD" w:rsidRDefault="000546DA" w:rsidP="00E47E7A">
      <w:pPr>
        <w:pStyle w:val="a6"/>
        <w:numPr>
          <w:ilvl w:val="0"/>
          <w:numId w:val="34"/>
        </w:numPr>
        <w:tabs>
          <w:tab w:val="clear" w:pos="0"/>
          <w:tab w:val="num" w:pos="709"/>
        </w:tabs>
        <w:suppressAutoHyphens/>
        <w:spacing w:before="0" w:after="0"/>
        <w:ind w:left="284" w:firstLine="0"/>
        <w:jc w:val="left"/>
        <w:rPr>
          <w:rFonts w:eastAsia="Times New Roman"/>
          <w:szCs w:val="24"/>
        </w:rPr>
      </w:pPr>
      <w:r w:rsidRPr="00F242DD">
        <w:rPr>
          <w:rFonts w:eastAsia="Times New Roman"/>
          <w:szCs w:val="24"/>
        </w:rPr>
        <w:t>Циклофосфамид</w:t>
      </w:r>
      <w:r w:rsidRPr="00F242DD">
        <w:rPr>
          <w:rFonts w:eastAsia="Times New Roman"/>
          <w:szCs w:val="24"/>
          <w:lang w:eastAsia="ru-RU"/>
        </w:rPr>
        <w:t>**</w:t>
      </w:r>
      <w:r w:rsidRPr="00F242DD">
        <w:rPr>
          <w:rFonts w:eastAsia="Times New Roman"/>
          <w:szCs w:val="24"/>
        </w:rPr>
        <w:t xml:space="preserve"> 300 мг/м</w:t>
      </w:r>
      <w:r w:rsidRPr="00F242DD">
        <w:rPr>
          <w:rFonts w:eastAsia="Times New Roman"/>
          <w:szCs w:val="24"/>
          <w:vertAlign w:val="superscript"/>
        </w:rPr>
        <w:t>2</w:t>
      </w:r>
      <w:r w:rsidRPr="00F242DD">
        <w:rPr>
          <w:rFonts w:eastAsia="Times New Roman"/>
          <w:szCs w:val="24"/>
        </w:rPr>
        <w:t xml:space="preserve"> внутрь в дни 1, 8, 15</w:t>
      </w:r>
      <w:r w:rsidR="00522C92" w:rsidRPr="00F242DD">
        <w:rPr>
          <w:rFonts w:eastAsia="Times New Roman"/>
          <w:szCs w:val="24"/>
          <w:lang w:eastAsia="ru-RU"/>
        </w:rPr>
        <w:t>-й</w:t>
      </w:r>
    </w:p>
    <w:p w14:paraId="3843D3DE" w14:textId="77777777" w:rsidR="000546DA" w:rsidRPr="00F242DD" w:rsidRDefault="000546DA" w:rsidP="00E47E7A">
      <w:pPr>
        <w:pStyle w:val="a6"/>
        <w:numPr>
          <w:ilvl w:val="0"/>
          <w:numId w:val="34"/>
        </w:numPr>
        <w:tabs>
          <w:tab w:val="clear" w:pos="0"/>
          <w:tab w:val="num" w:pos="709"/>
        </w:tabs>
        <w:suppressAutoHyphens/>
        <w:spacing w:before="0" w:after="0"/>
        <w:ind w:left="284" w:firstLine="0"/>
        <w:jc w:val="left"/>
        <w:rPr>
          <w:rFonts w:eastAsia="Times New Roman"/>
          <w:szCs w:val="24"/>
        </w:rPr>
      </w:pPr>
      <w:r w:rsidRPr="00F242DD">
        <w:rPr>
          <w:rFonts w:eastAsia="Times New Roman"/>
          <w:szCs w:val="24"/>
        </w:rPr>
        <w:t>Преднизолон</w:t>
      </w:r>
      <w:r w:rsidRPr="00F242DD">
        <w:rPr>
          <w:rFonts w:eastAsia="Times New Roman"/>
          <w:szCs w:val="24"/>
          <w:lang w:eastAsia="ru-RU"/>
        </w:rPr>
        <w:t>**</w:t>
      </w:r>
      <w:r w:rsidRPr="00F242DD">
        <w:rPr>
          <w:rFonts w:eastAsia="Times New Roman"/>
          <w:szCs w:val="24"/>
        </w:rPr>
        <w:t xml:space="preserve"> 100 мг внутрь через день</w:t>
      </w:r>
    </w:p>
    <w:p w14:paraId="1D23B42E" w14:textId="77777777" w:rsidR="000546DA" w:rsidRDefault="000546DA" w:rsidP="00E47E7A">
      <w:pPr>
        <w:tabs>
          <w:tab w:val="num" w:pos="709"/>
        </w:tabs>
        <w:spacing w:before="0" w:after="0"/>
        <w:ind w:left="709"/>
        <w:contextualSpacing/>
        <w:rPr>
          <w:rFonts w:eastAsia="Times New Roman"/>
          <w:szCs w:val="24"/>
        </w:rPr>
      </w:pPr>
      <w:r w:rsidRPr="00F242DD">
        <w:rPr>
          <w:rFonts w:eastAsia="Times New Roman"/>
          <w:szCs w:val="24"/>
        </w:rPr>
        <w:t>Лечение возобновляется на 29</w:t>
      </w:r>
      <w:r w:rsidR="00522C92" w:rsidRPr="00F242DD">
        <w:rPr>
          <w:rFonts w:eastAsia="Times New Roman"/>
          <w:szCs w:val="24"/>
          <w:lang w:eastAsia="ru-RU"/>
        </w:rPr>
        <w:t>-й</w:t>
      </w:r>
      <w:r w:rsidRPr="00F242DD">
        <w:rPr>
          <w:rFonts w:eastAsia="Times New Roman"/>
          <w:szCs w:val="24"/>
        </w:rPr>
        <w:t xml:space="preserve"> день</w:t>
      </w:r>
      <w:r w:rsidR="00522C92" w:rsidRPr="00F242DD">
        <w:rPr>
          <w:rFonts w:eastAsia="Times New Roman"/>
          <w:szCs w:val="24"/>
        </w:rPr>
        <w:t>.</w:t>
      </w:r>
    </w:p>
    <w:p w14:paraId="44385A45" w14:textId="77777777" w:rsidR="00E47E7A" w:rsidRPr="00F242DD" w:rsidRDefault="00E47E7A" w:rsidP="00E47E7A">
      <w:pPr>
        <w:tabs>
          <w:tab w:val="num" w:pos="709"/>
        </w:tabs>
        <w:spacing w:before="0" w:after="0"/>
        <w:ind w:left="709"/>
        <w:contextualSpacing/>
        <w:rPr>
          <w:rFonts w:eastAsia="Times New Roman"/>
          <w:szCs w:val="24"/>
        </w:rPr>
      </w:pPr>
    </w:p>
    <w:p w14:paraId="7DC41BF4" w14:textId="77777777" w:rsidR="000546DA" w:rsidRPr="00F242DD" w:rsidRDefault="000546DA" w:rsidP="002431B5">
      <w:pPr>
        <w:spacing w:before="0" w:after="0"/>
        <w:contextualSpacing/>
        <w:rPr>
          <w:rFonts w:eastAsia="Times New Roman"/>
          <w:b/>
          <w:szCs w:val="24"/>
        </w:rPr>
      </w:pPr>
      <w:r w:rsidRPr="00F242DD">
        <w:rPr>
          <w:rFonts w:eastAsia="Times New Roman"/>
          <w:b/>
          <w:szCs w:val="24"/>
        </w:rPr>
        <w:t>BP</w:t>
      </w:r>
    </w:p>
    <w:p w14:paraId="67715846" w14:textId="77777777" w:rsidR="000546DA" w:rsidRPr="00F242DD" w:rsidRDefault="000546DA" w:rsidP="00E47E7A">
      <w:pPr>
        <w:pStyle w:val="a6"/>
        <w:numPr>
          <w:ilvl w:val="0"/>
          <w:numId w:val="35"/>
        </w:numPr>
        <w:tabs>
          <w:tab w:val="clear" w:pos="0"/>
          <w:tab w:val="num" w:pos="284"/>
        </w:tabs>
        <w:suppressAutoHyphens/>
        <w:spacing w:before="0" w:after="0"/>
        <w:ind w:left="284" w:firstLine="0"/>
        <w:jc w:val="left"/>
        <w:rPr>
          <w:rFonts w:eastAsia="Times New Roman"/>
          <w:szCs w:val="24"/>
        </w:rPr>
      </w:pPr>
      <w:r w:rsidRPr="00F242DD">
        <w:rPr>
          <w:rFonts w:eastAsia="Times New Roman"/>
          <w:szCs w:val="24"/>
        </w:rPr>
        <w:t>Бендамустин</w:t>
      </w:r>
      <w:r w:rsidRPr="00F242DD">
        <w:rPr>
          <w:rFonts w:eastAsia="Times New Roman"/>
          <w:szCs w:val="24"/>
          <w:lang w:eastAsia="ru-RU"/>
        </w:rPr>
        <w:t>**</w:t>
      </w:r>
      <w:r w:rsidRPr="00F242DD">
        <w:rPr>
          <w:rFonts w:eastAsia="Times New Roman"/>
          <w:szCs w:val="24"/>
        </w:rPr>
        <w:t xml:space="preserve">   100 мг/м</w:t>
      </w:r>
      <w:r w:rsidRPr="00F242DD">
        <w:rPr>
          <w:rFonts w:eastAsia="Times New Roman"/>
          <w:szCs w:val="24"/>
          <w:vertAlign w:val="superscript"/>
        </w:rPr>
        <w:t>2</w:t>
      </w:r>
      <w:r w:rsidRPr="00F242DD">
        <w:rPr>
          <w:rFonts w:eastAsia="Times New Roman"/>
          <w:szCs w:val="24"/>
        </w:rPr>
        <w:t xml:space="preserve"> в/в, дни 1, 2</w:t>
      </w:r>
      <w:r w:rsidR="00522C92" w:rsidRPr="00F242DD">
        <w:rPr>
          <w:rFonts w:eastAsia="Times New Roman"/>
          <w:szCs w:val="24"/>
          <w:lang w:eastAsia="ru-RU"/>
        </w:rPr>
        <w:t>-й</w:t>
      </w:r>
    </w:p>
    <w:p w14:paraId="0254605B" w14:textId="77777777" w:rsidR="000546DA" w:rsidRPr="00F242DD" w:rsidRDefault="000546DA" w:rsidP="00E47E7A">
      <w:pPr>
        <w:pStyle w:val="a6"/>
        <w:numPr>
          <w:ilvl w:val="0"/>
          <w:numId w:val="35"/>
        </w:numPr>
        <w:tabs>
          <w:tab w:val="clear" w:pos="0"/>
          <w:tab w:val="num" w:pos="284"/>
        </w:tabs>
        <w:suppressAutoHyphens/>
        <w:spacing w:before="0" w:after="0"/>
        <w:ind w:left="284" w:firstLine="0"/>
        <w:jc w:val="left"/>
        <w:rPr>
          <w:rFonts w:eastAsia="Times New Roman"/>
          <w:szCs w:val="24"/>
        </w:rPr>
      </w:pPr>
      <w:r w:rsidRPr="00F242DD">
        <w:rPr>
          <w:rFonts w:eastAsia="Times New Roman"/>
          <w:szCs w:val="24"/>
        </w:rPr>
        <w:t>Преднизолон</w:t>
      </w:r>
      <w:r w:rsidRPr="00F242DD">
        <w:rPr>
          <w:rFonts w:eastAsia="Times New Roman"/>
          <w:szCs w:val="24"/>
          <w:lang w:eastAsia="ru-RU"/>
        </w:rPr>
        <w:t>**</w:t>
      </w:r>
      <w:r w:rsidRPr="00F242DD">
        <w:rPr>
          <w:rFonts w:eastAsia="Times New Roman"/>
          <w:szCs w:val="24"/>
        </w:rPr>
        <w:t xml:space="preserve">   1 мг/кг внутрь, дни 1</w:t>
      </w:r>
      <w:r w:rsidR="00522C92" w:rsidRPr="00F242DD">
        <w:rPr>
          <w:rFonts w:eastAsia="Times New Roman"/>
          <w:szCs w:val="24"/>
        </w:rPr>
        <w:t>‒</w:t>
      </w:r>
      <w:r w:rsidRPr="00F242DD">
        <w:rPr>
          <w:rFonts w:eastAsia="Times New Roman"/>
          <w:szCs w:val="24"/>
        </w:rPr>
        <w:t>4</w:t>
      </w:r>
      <w:r w:rsidR="00522C92" w:rsidRPr="00F242DD">
        <w:rPr>
          <w:rFonts w:eastAsia="Times New Roman"/>
          <w:szCs w:val="24"/>
          <w:lang w:eastAsia="ru-RU"/>
        </w:rPr>
        <w:t>-й</w:t>
      </w:r>
    </w:p>
    <w:p w14:paraId="7A013E40" w14:textId="77777777" w:rsidR="000546DA" w:rsidRDefault="000546DA" w:rsidP="00E47E7A">
      <w:pPr>
        <w:tabs>
          <w:tab w:val="num" w:pos="709"/>
        </w:tabs>
        <w:spacing w:before="0" w:after="0"/>
        <w:ind w:left="709"/>
        <w:contextualSpacing/>
        <w:rPr>
          <w:rFonts w:eastAsia="Times New Roman"/>
          <w:szCs w:val="24"/>
        </w:rPr>
      </w:pPr>
      <w:r w:rsidRPr="00F242DD">
        <w:rPr>
          <w:rFonts w:eastAsia="Times New Roman"/>
          <w:szCs w:val="24"/>
        </w:rPr>
        <w:t>Лечение возобновляется на 29</w:t>
      </w:r>
      <w:r w:rsidR="00522C92" w:rsidRPr="00F242DD">
        <w:rPr>
          <w:rFonts w:eastAsia="Times New Roman"/>
          <w:szCs w:val="24"/>
          <w:lang w:eastAsia="ru-RU"/>
        </w:rPr>
        <w:t>-й</w:t>
      </w:r>
      <w:r w:rsidRPr="00F242DD">
        <w:rPr>
          <w:rFonts w:eastAsia="Times New Roman"/>
          <w:szCs w:val="24"/>
        </w:rPr>
        <w:t xml:space="preserve"> день</w:t>
      </w:r>
      <w:r w:rsidR="00522C92" w:rsidRPr="00F242DD">
        <w:rPr>
          <w:rFonts w:eastAsia="Times New Roman"/>
          <w:szCs w:val="24"/>
        </w:rPr>
        <w:t>.</w:t>
      </w:r>
    </w:p>
    <w:p w14:paraId="40EBD02C" w14:textId="77777777" w:rsidR="00E47E7A" w:rsidRPr="00F242DD" w:rsidRDefault="00E47E7A" w:rsidP="00E47E7A">
      <w:pPr>
        <w:tabs>
          <w:tab w:val="num" w:pos="709"/>
        </w:tabs>
        <w:spacing w:before="0" w:after="0"/>
        <w:ind w:left="709"/>
        <w:contextualSpacing/>
        <w:rPr>
          <w:rFonts w:eastAsia="Times New Roman"/>
          <w:szCs w:val="24"/>
        </w:rPr>
      </w:pPr>
    </w:p>
    <w:p w14:paraId="1CBE0A20" w14:textId="77777777" w:rsidR="000546DA" w:rsidRPr="00F242DD" w:rsidRDefault="000546DA" w:rsidP="002431B5">
      <w:pPr>
        <w:spacing w:before="0" w:after="0"/>
        <w:contextualSpacing/>
        <w:rPr>
          <w:rFonts w:eastAsia="Times New Roman"/>
          <w:szCs w:val="24"/>
        </w:rPr>
      </w:pPr>
      <w:r w:rsidRPr="00F242DD">
        <w:rPr>
          <w:rFonts w:eastAsia="Times New Roman"/>
          <w:b/>
          <w:szCs w:val="24"/>
        </w:rPr>
        <w:t>BBD</w:t>
      </w:r>
    </w:p>
    <w:p w14:paraId="4197352F" w14:textId="77777777" w:rsidR="000546DA" w:rsidRPr="00F242DD" w:rsidRDefault="000546DA" w:rsidP="00E47E7A">
      <w:pPr>
        <w:pStyle w:val="a6"/>
        <w:numPr>
          <w:ilvl w:val="0"/>
          <w:numId w:val="36"/>
        </w:numPr>
        <w:tabs>
          <w:tab w:val="clear" w:pos="0"/>
          <w:tab w:val="num" w:pos="142"/>
        </w:tabs>
        <w:suppressAutoHyphens/>
        <w:spacing w:before="0" w:after="0"/>
        <w:ind w:left="284" w:firstLine="0"/>
        <w:jc w:val="left"/>
        <w:rPr>
          <w:rFonts w:eastAsia="Times New Roman"/>
          <w:szCs w:val="24"/>
        </w:rPr>
      </w:pPr>
      <w:r w:rsidRPr="00F242DD">
        <w:rPr>
          <w:rFonts w:eastAsia="Times New Roman"/>
          <w:szCs w:val="24"/>
        </w:rPr>
        <w:t>Бендамустин</w:t>
      </w:r>
      <w:r w:rsidRPr="00F242DD">
        <w:rPr>
          <w:rFonts w:eastAsia="Times New Roman"/>
          <w:szCs w:val="24"/>
          <w:lang w:eastAsia="ru-RU"/>
        </w:rPr>
        <w:t>**</w:t>
      </w:r>
      <w:r w:rsidRPr="00F242DD">
        <w:rPr>
          <w:rFonts w:eastAsia="Times New Roman"/>
          <w:szCs w:val="24"/>
        </w:rPr>
        <w:t xml:space="preserve"> 70 мг/м</w:t>
      </w:r>
      <w:r w:rsidRPr="00F242DD">
        <w:rPr>
          <w:rFonts w:eastAsia="Times New Roman"/>
          <w:szCs w:val="24"/>
          <w:vertAlign w:val="superscript"/>
        </w:rPr>
        <w:t>2</w:t>
      </w:r>
      <w:r w:rsidRPr="00F242DD">
        <w:rPr>
          <w:rFonts w:eastAsia="Times New Roman"/>
          <w:szCs w:val="24"/>
        </w:rPr>
        <w:t xml:space="preserve"> в/в, дни 1, 4</w:t>
      </w:r>
      <w:r w:rsidR="00522C92" w:rsidRPr="00F242DD">
        <w:rPr>
          <w:rFonts w:eastAsia="Times New Roman"/>
          <w:szCs w:val="24"/>
          <w:lang w:eastAsia="ru-RU"/>
        </w:rPr>
        <w:t>-й</w:t>
      </w:r>
    </w:p>
    <w:p w14:paraId="60E01175" w14:textId="77777777" w:rsidR="000546DA" w:rsidRPr="00F242DD" w:rsidRDefault="000546DA" w:rsidP="00E47E7A">
      <w:pPr>
        <w:pStyle w:val="a6"/>
        <w:numPr>
          <w:ilvl w:val="0"/>
          <w:numId w:val="36"/>
        </w:numPr>
        <w:tabs>
          <w:tab w:val="clear" w:pos="0"/>
          <w:tab w:val="num" w:pos="142"/>
        </w:tabs>
        <w:suppressAutoHyphens/>
        <w:spacing w:before="0" w:after="0"/>
        <w:ind w:left="284" w:firstLine="0"/>
        <w:jc w:val="left"/>
        <w:rPr>
          <w:rFonts w:eastAsia="Times New Roman"/>
          <w:szCs w:val="24"/>
        </w:rPr>
      </w:pPr>
      <w:r w:rsidRPr="00F242DD">
        <w:rPr>
          <w:rFonts w:eastAsia="Times New Roman"/>
          <w:szCs w:val="24"/>
        </w:rPr>
        <w:t>Бортезомиб</w:t>
      </w:r>
      <w:r w:rsidRPr="00F242DD">
        <w:rPr>
          <w:rFonts w:eastAsia="Times New Roman"/>
          <w:szCs w:val="24"/>
          <w:lang w:eastAsia="ru-RU"/>
        </w:rPr>
        <w:t>**</w:t>
      </w:r>
      <w:r w:rsidRPr="00F242DD">
        <w:rPr>
          <w:rFonts w:eastAsia="Times New Roman"/>
          <w:szCs w:val="24"/>
        </w:rPr>
        <w:t xml:space="preserve"> 1,3 мг/м</w:t>
      </w:r>
      <w:r w:rsidRPr="00F242DD">
        <w:rPr>
          <w:rFonts w:eastAsia="Times New Roman"/>
          <w:szCs w:val="24"/>
          <w:vertAlign w:val="superscript"/>
        </w:rPr>
        <w:t>2</w:t>
      </w:r>
      <w:r w:rsidRPr="00F242DD">
        <w:rPr>
          <w:rFonts w:eastAsia="Times New Roman"/>
          <w:szCs w:val="24"/>
          <w:lang w:eastAsia="ru-RU"/>
        </w:rPr>
        <w:t xml:space="preserve">п/к или </w:t>
      </w:r>
      <w:r w:rsidRPr="00F242DD">
        <w:rPr>
          <w:rFonts w:eastAsia="Times New Roman"/>
          <w:szCs w:val="24"/>
        </w:rPr>
        <w:t>в/в, дни 1, 4, 8, 11</w:t>
      </w:r>
      <w:r w:rsidR="00522C92" w:rsidRPr="00F242DD">
        <w:rPr>
          <w:rFonts w:eastAsia="Times New Roman"/>
          <w:szCs w:val="24"/>
          <w:lang w:eastAsia="ru-RU"/>
        </w:rPr>
        <w:t>-й</w:t>
      </w:r>
    </w:p>
    <w:p w14:paraId="0F0A96FD" w14:textId="77777777" w:rsidR="000546DA" w:rsidRPr="00F242DD" w:rsidRDefault="000546DA" w:rsidP="00E47E7A">
      <w:pPr>
        <w:pStyle w:val="a6"/>
        <w:numPr>
          <w:ilvl w:val="0"/>
          <w:numId w:val="36"/>
        </w:numPr>
        <w:tabs>
          <w:tab w:val="clear" w:pos="0"/>
          <w:tab w:val="num" w:pos="142"/>
        </w:tabs>
        <w:suppressAutoHyphens/>
        <w:spacing w:before="0" w:after="0"/>
        <w:ind w:left="284" w:firstLine="0"/>
        <w:jc w:val="left"/>
        <w:rPr>
          <w:rFonts w:eastAsia="Times New Roman"/>
          <w:szCs w:val="24"/>
        </w:rPr>
      </w:pPr>
      <w:r w:rsidRPr="00F242DD">
        <w:rPr>
          <w:rFonts w:eastAsia="Times New Roman"/>
          <w:szCs w:val="24"/>
        </w:rPr>
        <w:t>Дексаметазон</w:t>
      </w:r>
      <w:r w:rsidRPr="00F242DD">
        <w:rPr>
          <w:rFonts w:eastAsia="Times New Roman"/>
          <w:szCs w:val="24"/>
          <w:lang w:eastAsia="ru-RU"/>
        </w:rPr>
        <w:t>**</w:t>
      </w:r>
      <w:r w:rsidRPr="00F242DD">
        <w:rPr>
          <w:rFonts w:eastAsia="Times New Roman"/>
          <w:szCs w:val="24"/>
        </w:rPr>
        <w:t xml:space="preserve"> 20 мг внутрь в дни 1, 4, 8, 11</w:t>
      </w:r>
      <w:r w:rsidR="00522C92" w:rsidRPr="00F242DD">
        <w:rPr>
          <w:rFonts w:eastAsia="Times New Roman"/>
          <w:szCs w:val="24"/>
          <w:lang w:eastAsia="ru-RU"/>
        </w:rPr>
        <w:t>-й</w:t>
      </w:r>
    </w:p>
    <w:p w14:paraId="244F2774" w14:textId="77777777" w:rsidR="000546DA" w:rsidRPr="00F242DD" w:rsidRDefault="000546DA" w:rsidP="00E47E7A">
      <w:pPr>
        <w:tabs>
          <w:tab w:val="num" w:pos="142"/>
        </w:tabs>
        <w:spacing w:before="0" w:after="0"/>
        <w:ind w:left="709"/>
        <w:contextualSpacing/>
        <w:rPr>
          <w:rFonts w:eastAsia="Times New Roman"/>
          <w:b/>
          <w:szCs w:val="24"/>
          <w:shd w:val="clear" w:color="auto" w:fill="FFFF00"/>
        </w:rPr>
      </w:pPr>
      <w:r w:rsidRPr="00F242DD">
        <w:rPr>
          <w:rFonts w:eastAsia="Times New Roman"/>
          <w:szCs w:val="24"/>
        </w:rPr>
        <w:t>Лечение возобновляется на 29</w:t>
      </w:r>
      <w:r w:rsidR="00522C92" w:rsidRPr="00F242DD">
        <w:rPr>
          <w:rFonts w:eastAsia="Times New Roman"/>
          <w:szCs w:val="24"/>
          <w:lang w:eastAsia="ru-RU"/>
        </w:rPr>
        <w:t>-й</w:t>
      </w:r>
      <w:r w:rsidRPr="00F242DD">
        <w:rPr>
          <w:rFonts w:eastAsia="Times New Roman"/>
          <w:szCs w:val="24"/>
        </w:rPr>
        <w:t xml:space="preserve"> день</w:t>
      </w:r>
      <w:r w:rsidR="00522C92" w:rsidRPr="00F242DD">
        <w:rPr>
          <w:rFonts w:eastAsia="Times New Roman"/>
          <w:szCs w:val="24"/>
        </w:rPr>
        <w:t>.</w:t>
      </w:r>
    </w:p>
    <w:p w14:paraId="0BA941D2" w14:textId="77777777" w:rsidR="000546DA" w:rsidRPr="00F242DD" w:rsidRDefault="000546DA" w:rsidP="002431B5">
      <w:pPr>
        <w:spacing w:before="0" w:after="0"/>
        <w:contextualSpacing/>
        <w:rPr>
          <w:rFonts w:eastAsia="Times New Roman"/>
          <w:b/>
          <w:szCs w:val="24"/>
        </w:rPr>
      </w:pPr>
      <w:r w:rsidRPr="00F242DD">
        <w:rPr>
          <w:rFonts w:eastAsia="Times New Roman"/>
          <w:b/>
          <w:szCs w:val="24"/>
        </w:rPr>
        <w:t>BRD</w:t>
      </w:r>
    </w:p>
    <w:p w14:paraId="774EBCFF" w14:textId="77777777" w:rsidR="000546DA" w:rsidRPr="00F242DD" w:rsidRDefault="000546DA" w:rsidP="00E47E7A">
      <w:pPr>
        <w:pStyle w:val="a6"/>
        <w:numPr>
          <w:ilvl w:val="0"/>
          <w:numId w:val="37"/>
        </w:numPr>
        <w:tabs>
          <w:tab w:val="clear" w:pos="0"/>
          <w:tab w:val="num" w:pos="142"/>
        </w:tabs>
        <w:suppressAutoHyphens/>
        <w:spacing w:before="0" w:after="0"/>
        <w:ind w:left="284" w:firstLine="0"/>
        <w:jc w:val="left"/>
        <w:rPr>
          <w:rFonts w:eastAsia="Times New Roman"/>
          <w:szCs w:val="24"/>
        </w:rPr>
      </w:pPr>
      <w:r w:rsidRPr="00F242DD">
        <w:rPr>
          <w:rFonts w:eastAsia="Times New Roman"/>
          <w:szCs w:val="24"/>
        </w:rPr>
        <w:t>Бендамустин</w:t>
      </w:r>
      <w:r w:rsidRPr="00F242DD">
        <w:rPr>
          <w:rFonts w:eastAsia="Times New Roman"/>
          <w:szCs w:val="24"/>
          <w:lang w:eastAsia="ru-RU"/>
        </w:rPr>
        <w:t>**</w:t>
      </w:r>
      <w:r w:rsidRPr="00F242DD">
        <w:rPr>
          <w:rFonts w:eastAsia="Times New Roman"/>
          <w:szCs w:val="24"/>
        </w:rPr>
        <w:t xml:space="preserve"> 75 мг/м</w:t>
      </w:r>
      <w:r w:rsidRPr="00F242DD">
        <w:rPr>
          <w:rFonts w:eastAsia="Times New Roman"/>
          <w:szCs w:val="24"/>
          <w:vertAlign w:val="superscript"/>
        </w:rPr>
        <w:t>2</w:t>
      </w:r>
      <w:r w:rsidRPr="00F242DD">
        <w:rPr>
          <w:rFonts w:eastAsia="Times New Roman"/>
          <w:szCs w:val="24"/>
        </w:rPr>
        <w:t xml:space="preserve"> в/в, дни 1, 2</w:t>
      </w:r>
      <w:r w:rsidR="00522C92" w:rsidRPr="00F242DD">
        <w:rPr>
          <w:rFonts w:eastAsia="Times New Roman"/>
          <w:szCs w:val="24"/>
          <w:lang w:eastAsia="ru-RU"/>
        </w:rPr>
        <w:t>-й</w:t>
      </w:r>
    </w:p>
    <w:p w14:paraId="22B58D2E" w14:textId="77777777" w:rsidR="000546DA" w:rsidRPr="00F242DD" w:rsidRDefault="000546DA" w:rsidP="00E47E7A">
      <w:pPr>
        <w:pStyle w:val="a6"/>
        <w:numPr>
          <w:ilvl w:val="0"/>
          <w:numId w:val="37"/>
        </w:numPr>
        <w:tabs>
          <w:tab w:val="clear" w:pos="0"/>
          <w:tab w:val="num" w:pos="142"/>
        </w:tabs>
        <w:suppressAutoHyphens/>
        <w:spacing w:before="0" w:after="0"/>
        <w:ind w:left="284" w:firstLine="0"/>
        <w:jc w:val="left"/>
        <w:rPr>
          <w:rFonts w:eastAsia="Times New Roman"/>
          <w:szCs w:val="24"/>
        </w:rPr>
      </w:pPr>
      <w:r w:rsidRPr="00F242DD">
        <w:rPr>
          <w:rFonts w:eastAsia="Times New Roman"/>
          <w:szCs w:val="24"/>
        </w:rPr>
        <w:t>Леналидомид</w:t>
      </w:r>
      <w:r w:rsidRPr="00F242DD">
        <w:rPr>
          <w:rFonts w:eastAsia="Times New Roman"/>
          <w:szCs w:val="24"/>
          <w:lang w:eastAsia="ru-RU"/>
        </w:rPr>
        <w:t>**</w:t>
      </w:r>
      <w:r w:rsidRPr="00F242DD">
        <w:rPr>
          <w:rFonts w:eastAsia="Times New Roman"/>
          <w:szCs w:val="24"/>
        </w:rPr>
        <w:t xml:space="preserve"> 10 мг внутрь, дни 1</w:t>
      </w:r>
      <w:r w:rsidR="00522C92" w:rsidRPr="00F242DD">
        <w:rPr>
          <w:rFonts w:eastAsia="Times New Roman"/>
          <w:szCs w:val="24"/>
        </w:rPr>
        <w:t>‒</w:t>
      </w:r>
      <w:r w:rsidRPr="00F242DD">
        <w:rPr>
          <w:rFonts w:eastAsia="Times New Roman"/>
          <w:szCs w:val="24"/>
        </w:rPr>
        <w:t>21</w:t>
      </w:r>
      <w:r w:rsidR="00522C92" w:rsidRPr="00F242DD">
        <w:rPr>
          <w:rFonts w:eastAsia="Times New Roman"/>
          <w:szCs w:val="24"/>
          <w:lang w:eastAsia="ru-RU"/>
        </w:rPr>
        <w:t>-й</w:t>
      </w:r>
    </w:p>
    <w:p w14:paraId="29F5F202" w14:textId="77777777" w:rsidR="000546DA" w:rsidRPr="00F242DD" w:rsidRDefault="000546DA" w:rsidP="00E47E7A">
      <w:pPr>
        <w:pStyle w:val="a6"/>
        <w:numPr>
          <w:ilvl w:val="0"/>
          <w:numId w:val="37"/>
        </w:numPr>
        <w:tabs>
          <w:tab w:val="clear" w:pos="0"/>
          <w:tab w:val="num" w:pos="142"/>
        </w:tabs>
        <w:suppressAutoHyphens/>
        <w:spacing w:before="0" w:after="0"/>
        <w:ind w:left="284" w:firstLine="0"/>
        <w:jc w:val="left"/>
        <w:rPr>
          <w:rFonts w:eastAsia="Times New Roman"/>
          <w:szCs w:val="24"/>
        </w:rPr>
      </w:pPr>
      <w:r w:rsidRPr="00F242DD">
        <w:rPr>
          <w:rFonts w:eastAsia="Times New Roman"/>
          <w:szCs w:val="24"/>
        </w:rPr>
        <w:t>Дексаметазон</w:t>
      </w:r>
      <w:r w:rsidRPr="00F242DD">
        <w:rPr>
          <w:rFonts w:eastAsia="Times New Roman"/>
          <w:szCs w:val="24"/>
          <w:lang w:eastAsia="ru-RU"/>
        </w:rPr>
        <w:t>**</w:t>
      </w:r>
      <w:r w:rsidRPr="00F242DD">
        <w:rPr>
          <w:rFonts w:eastAsia="Times New Roman"/>
          <w:szCs w:val="24"/>
        </w:rPr>
        <w:t xml:space="preserve"> 40 мг внутрь или в/в, дни 1, 8, 15, 22</w:t>
      </w:r>
      <w:r w:rsidR="00522C92" w:rsidRPr="00F242DD">
        <w:rPr>
          <w:rFonts w:eastAsia="Times New Roman"/>
          <w:szCs w:val="24"/>
          <w:lang w:eastAsia="ru-RU"/>
        </w:rPr>
        <w:t>-й</w:t>
      </w:r>
    </w:p>
    <w:p w14:paraId="5B51F777" w14:textId="77777777" w:rsidR="000546DA" w:rsidRPr="00F242DD" w:rsidRDefault="000546DA" w:rsidP="00E47E7A">
      <w:pPr>
        <w:tabs>
          <w:tab w:val="num" w:pos="142"/>
        </w:tabs>
        <w:spacing w:before="0" w:after="0"/>
        <w:ind w:left="709"/>
        <w:contextualSpacing/>
        <w:rPr>
          <w:rFonts w:eastAsia="Times New Roman"/>
          <w:szCs w:val="24"/>
        </w:rPr>
      </w:pPr>
      <w:r w:rsidRPr="00F242DD">
        <w:rPr>
          <w:rFonts w:eastAsia="Times New Roman"/>
          <w:szCs w:val="24"/>
        </w:rPr>
        <w:t>Лечение возобновляется на 29</w:t>
      </w:r>
      <w:r w:rsidR="00522C92" w:rsidRPr="00F242DD">
        <w:rPr>
          <w:rFonts w:eastAsia="Times New Roman"/>
          <w:szCs w:val="24"/>
          <w:lang w:eastAsia="ru-RU"/>
        </w:rPr>
        <w:t>-й</w:t>
      </w:r>
      <w:r w:rsidRPr="00F242DD">
        <w:rPr>
          <w:rFonts w:eastAsia="Times New Roman"/>
          <w:szCs w:val="24"/>
        </w:rPr>
        <w:t xml:space="preserve"> день</w:t>
      </w:r>
      <w:r w:rsidR="00522C92" w:rsidRPr="00F242DD">
        <w:rPr>
          <w:rFonts w:eastAsia="Times New Roman"/>
          <w:szCs w:val="24"/>
        </w:rPr>
        <w:t>.</w:t>
      </w:r>
    </w:p>
    <w:p w14:paraId="773422B7" w14:textId="77777777" w:rsidR="004E2C44" w:rsidRPr="005F2CC7" w:rsidRDefault="004E2C44" w:rsidP="002431B5">
      <w:pPr>
        <w:spacing w:before="0" w:after="0"/>
        <w:contextualSpacing/>
        <w:rPr>
          <w:rFonts w:eastAsia="Times New Roman"/>
          <w:b/>
          <w:szCs w:val="24"/>
        </w:rPr>
      </w:pPr>
    </w:p>
    <w:p w14:paraId="50ADD660" w14:textId="7CF28657" w:rsidR="000546DA" w:rsidRPr="00F242DD" w:rsidRDefault="000546DA" w:rsidP="002431B5">
      <w:pPr>
        <w:spacing w:before="0" w:after="0"/>
        <w:contextualSpacing/>
        <w:rPr>
          <w:rFonts w:eastAsia="Times New Roman"/>
          <w:b/>
          <w:szCs w:val="24"/>
        </w:rPr>
      </w:pPr>
      <w:r w:rsidRPr="00F242DD">
        <w:rPr>
          <w:rFonts w:eastAsia="Times New Roman"/>
          <w:b/>
          <w:szCs w:val="24"/>
        </w:rPr>
        <w:t>К</w:t>
      </w:r>
      <w:r w:rsidRPr="00F242DD">
        <w:rPr>
          <w:rFonts w:eastAsia="Times New Roman"/>
          <w:b/>
          <w:szCs w:val="24"/>
          <w:lang w:val="en-US"/>
        </w:rPr>
        <w:t>d</w:t>
      </w:r>
      <w:r w:rsidR="00315D6A" w:rsidRPr="00F242DD">
        <w:rPr>
          <w:rFonts w:eastAsia="Times New Roman"/>
          <w:b/>
          <w:szCs w:val="24"/>
        </w:rPr>
        <w:t xml:space="preserve"> </w:t>
      </w:r>
      <w:r w:rsidR="00315D6A" w:rsidRPr="00F242DD">
        <w:rPr>
          <w:rFonts w:eastAsia="Times New Roman"/>
          <w:b/>
          <w:szCs w:val="24"/>
        </w:rPr>
        <w:fldChar w:fldCharType="begin" w:fldLock="1"/>
      </w:r>
      <w:r w:rsidR="00500F37">
        <w:rPr>
          <w:rFonts w:eastAsia="Times New Roman"/>
          <w:b/>
          <w:szCs w:val="24"/>
        </w:rPr>
        <w:instrText>ADDIN CSL_CITATION {"citationItems":[{"id":"ITEM-1","itemData":{"DOI":"10.1016/S1470-2045(17)30578-8","ISSN":"14745488","abstract":"Background The phase 3 ENDEAVOR trial was a head-to-head comparison of two proteasome inhibitors in patients with relapsed or refractory multiple myeloma. Progression-free survival was previously reported to be significantly longer with carfilzomib administered in combination with dexamethasone than with bortezomib and dexamethasone in an interim analysis. The aim of this second interim analysis was to compare overall survival between the two treatment groups. Methods ENDEAVOR was a phase 3, open-label, randomised controlled trial in patients with relapsed or refractory multiple myeloma. Patients were recruited from 198 hospitals and outpatient clinics in 27 countries in Europe, North America, South America, and the Asia-Pacific region. Patients were aged 18 years or older, had relapsed or refractory multiple myeloma, and had received between one and three previous lines of therapy. Patients were randomly assigned (1:1) to receive carfilzomib and dexamethasone (carfilzomib group) or bortezomib and dexamethasone (bortezomib group) through a blocked randomisation scheme (block size of four), stratified by International Staging System stage, previous lines of treatment, previous proteasome inhibitor therapy, and planned route of bortezomib delivery if assigned to the bortezomib group. Carfilzomib (20 mg/m2 on days 1 and 2 of cycle 1; 56 mg/m2 thereafter) was given as a 30-min intravenous infusion on days 1, 2, 8, 9, 15, and 16 of 28-day cycles; bortezomib (1·3 mg/m2) was given as an intravenous bolus or subcutaneous injection on days 1, 4, 8, and 11 of 21-day cycles. Dexamethasone (20 mg oral or intravenous infusion) was given on days 1, 2, 8, 9, 15, 16, 22, and 23 in the carfilzomib group and on days 1, 2, 4, 5, 8, 9, 11, and 12 in the bortezomib group. The primary endpoint of ENDEAVOR, progression-free survival, has been previously reported. A stratified log-rank test was used to compare overall survival between treatment groups for this prospectively planned second interim analysis. Efficacy assessments were done in all randomly assigned patients (the intention-to-treat population) and the safety analysis included patients who received at least one dose of study treatment. This trial is registered with ClinicalTrials.gov, number NCT01568866, and is no longer enrolling patients. Findings Between June 20, 2012, and June 30, 2014, 1096 patients were assessed for eligibility, of whom 929 were randomly assigned (464 to the carfilzomib group and 465 to the bo…","author":[{"dropping-particle":"","family":"Dimopoulos","given":"Meletios A.","non-dropping-particle":"","parse-names":false,"suffix":""},{"dropping-particle":"","family":"Goldschmidt","given":"Hartmut","non-dropping-particle":"","parse-names":false,"suffix":""},{"dropping-particle":"","family":"Niesvizky","given":"Ruben","non-dropping-particle":"","parse-names":false,"suffix":""},{"dropping-particle":"","family":"Joshua","given":"Douglas","non-dropping-particle":"","parse-names":false,"suffix":""},{"dropping-particle":"","family":"Chng","given":"Wee Joo","non-dropping-particle":"","parse-names":false,"suffix":""},{"dropping-particle":"","family":"Oriol","given":"Albert","non-dropping-particle":"","parse-names":false,"suffix":""},{"dropping-particle":"","family":"Orlowski","given":"Robert Z.","non-dropping-particle":"","parse-names":false,"suffix":""},{"dropping-particle":"","family":"Ludwig","given":"Heinz","non-dropping-particle":"","parse-names":false,"suffix":""},{"dropping-particle":"","family":"Facon","given":"Thierry","non-dropping-particle":"","parse-names":false,"suffix":""},{"dropping-particle":"","family":"Hajek","given":"Roman","non-dropping-particle":"","parse-names":false,"suffix":""},{"dropping-particle":"","family":"Weisel","given":"Katja","non-dropping-particle":"","parse-names":false,"suffix":""},{"dropping-particle":"","family":"Hungria","given":"Vania","non-dropping-particle":"","parse-names":false,"suffix":""},{"dropping-particle":"","family":"Minuk","given":"Leonard","non-dropping-particle":"","parse-names":false,"suffix":""},{"dropping-particle":"","family":"Feng","given":"Shibao","non-dropping-particle":"","parse-names":false,"suffix":""},{"dropping-particle":"","family":"Zahlten-Kumeli","given":"Anita","non-dropping-particle":"","parse-names":false,"suffix":""},{"dropping-particle":"","family":"Kimball","given":"Amy S.","non-dropping-particle":"","parse-names":false,"suffix":""},{"dropping-particle":"","family":"Moreau","given":"Philippe","non-dropping-particle":"","parse-names":false,"suffix":""}],"container-title":"The Lancet Oncology","id":"ITEM-1","issue":"10","issued":{"date-parts":[["2017","10","1"]]},"page":"1327-1337","publisher":"Lancet Publishing Group","title":"Carfilzomib or bortezomib in relapsed or refractory multiple myeloma (ENDEAVOR): an interim overall survival analysis of an open-label, randomised, phase 3 trial","type":"article-journal","volume":"18"},"uris":["http://www.mendeley.com/documents/?uuid=976186ac-156b-337b-a43f-69fd2ae8697c"]}],"mendeley":{"formattedCitation":"[77]","plainTextFormattedCitation":"[77]","previouslyFormattedCitation":"[77]"},"properties":{"noteIndex":0},"schema":"https://github.com/citation-style-language/schema/raw/master/csl-citation.json"}</w:instrText>
      </w:r>
      <w:r w:rsidR="00315D6A" w:rsidRPr="00F242DD">
        <w:rPr>
          <w:rFonts w:eastAsia="Times New Roman"/>
          <w:b/>
          <w:szCs w:val="24"/>
        </w:rPr>
        <w:fldChar w:fldCharType="separate"/>
      </w:r>
      <w:r w:rsidR="00C15DA7" w:rsidRPr="00C15DA7">
        <w:rPr>
          <w:rFonts w:eastAsia="Times New Roman"/>
          <w:noProof/>
          <w:szCs w:val="24"/>
        </w:rPr>
        <w:t>[77]</w:t>
      </w:r>
      <w:r w:rsidR="00315D6A" w:rsidRPr="00F242DD">
        <w:rPr>
          <w:rFonts w:eastAsia="Times New Roman"/>
          <w:b/>
          <w:szCs w:val="24"/>
        </w:rPr>
        <w:fldChar w:fldCharType="end"/>
      </w:r>
    </w:p>
    <w:p w14:paraId="3805FD0A" w14:textId="77777777" w:rsidR="000546DA" w:rsidRPr="00F242DD" w:rsidRDefault="000546DA" w:rsidP="00E47E7A">
      <w:pPr>
        <w:pStyle w:val="a6"/>
        <w:numPr>
          <w:ilvl w:val="0"/>
          <w:numId w:val="39"/>
        </w:numPr>
        <w:tabs>
          <w:tab w:val="clear" w:pos="0"/>
          <w:tab w:val="num" w:pos="709"/>
        </w:tabs>
        <w:suppressAutoHyphens/>
        <w:spacing w:before="0" w:after="0"/>
        <w:ind w:left="284" w:firstLine="0"/>
        <w:jc w:val="left"/>
        <w:rPr>
          <w:rFonts w:eastAsia="Times New Roman"/>
          <w:szCs w:val="24"/>
        </w:rPr>
      </w:pPr>
      <w:r w:rsidRPr="00F242DD">
        <w:rPr>
          <w:rFonts w:eastAsia="Times New Roman"/>
          <w:szCs w:val="24"/>
        </w:rPr>
        <w:t>Карфилзомиб</w:t>
      </w:r>
      <w:r w:rsidRPr="00F242DD">
        <w:rPr>
          <w:rFonts w:eastAsia="Times New Roman"/>
          <w:szCs w:val="24"/>
          <w:lang w:eastAsia="ru-RU"/>
        </w:rPr>
        <w:t>**</w:t>
      </w:r>
      <w:r w:rsidRPr="00F242DD">
        <w:rPr>
          <w:rFonts w:eastAsia="Times New Roman"/>
          <w:szCs w:val="24"/>
        </w:rPr>
        <w:t xml:space="preserve"> 56 мг/м</w:t>
      </w:r>
      <w:r w:rsidRPr="00F242DD">
        <w:rPr>
          <w:rFonts w:eastAsia="Times New Roman"/>
          <w:szCs w:val="24"/>
          <w:vertAlign w:val="superscript"/>
        </w:rPr>
        <w:t>2</w:t>
      </w:r>
      <w:r w:rsidRPr="00F242DD">
        <w:rPr>
          <w:rFonts w:eastAsia="Times New Roman"/>
          <w:szCs w:val="24"/>
        </w:rPr>
        <w:t xml:space="preserve"> в/в, дни 1, 2, 8, 9, 15, 16</w:t>
      </w:r>
      <w:r w:rsidR="00522C92" w:rsidRPr="00F242DD">
        <w:rPr>
          <w:rFonts w:eastAsia="Times New Roman"/>
          <w:szCs w:val="24"/>
          <w:lang w:eastAsia="ru-RU"/>
        </w:rPr>
        <w:t>-й</w:t>
      </w:r>
      <w:r w:rsidRPr="00F242DD">
        <w:rPr>
          <w:rFonts w:eastAsia="Times New Roman"/>
          <w:szCs w:val="24"/>
        </w:rPr>
        <w:t xml:space="preserve"> (20 мг/м</w:t>
      </w:r>
      <w:r w:rsidRPr="00F242DD">
        <w:rPr>
          <w:rFonts w:eastAsia="Times New Roman"/>
          <w:szCs w:val="24"/>
          <w:vertAlign w:val="superscript"/>
        </w:rPr>
        <w:t xml:space="preserve">2 </w:t>
      </w:r>
      <w:r w:rsidRPr="00F242DD">
        <w:rPr>
          <w:rFonts w:eastAsia="Times New Roman"/>
          <w:szCs w:val="24"/>
        </w:rPr>
        <w:t>в дни 1,</w:t>
      </w:r>
      <w:r w:rsidR="00522C92" w:rsidRPr="00F242DD">
        <w:rPr>
          <w:rFonts w:eastAsia="Times New Roman"/>
          <w:szCs w:val="24"/>
        </w:rPr>
        <w:t xml:space="preserve"> </w:t>
      </w:r>
      <w:r w:rsidRPr="00F242DD">
        <w:rPr>
          <w:rFonts w:eastAsia="Times New Roman"/>
          <w:szCs w:val="24"/>
        </w:rPr>
        <w:t>2</w:t>
      </w:r>
      <w:r w:rsidR="00522C92" w:rsidRPr="00F242DD">
        <w:rPr>
          <w:rFonts w:eastAsia="Times New Roman"/>
          <w:szCs w:val="24"/>
        </w:rPr>
        <w:t>-й</w:t>
      </w:r>
      <w:r w:rsidRPr="00F242DD">
        <w:rPr>
          <w:rFonts w:eastAsia="Times New Roman"/>
          <w:szCs w:val="24"/>
        </w:rPr>
        <w:t xml:space="preserve"> </w:t>
      </w:r>
      <w:r w:rsidR="00522C92" w:rsidRPr="00F242DD">
        <w:rPr>
          <w:rFonts w:eastAsia="Times New Roman"/>
          <w:szCs w:val="24"/>
        </w:rPr>
        <w:t>1-</w:t>
      </w:r>
      <w:r w:rsidRPr="00F242DD">
        <w:rPr>
          <w:rFonts w:eastAsia="Times New Roman"/>
          <w:szCs w:val="24"/>
        </w:rPr>
        <w:t xml:space="preserve">го цикла) </w:t>
      </w:r>
    </w:p>
    <w:p w14:paraId="58C92C24" w14:textId="77777777" w:rsidR="000546DA" w:rsidRPr="00F242DD" w:rsidRDefault="000546DA" w:rsidP="00E47E7A">
      <w:pPr>
        <w:pStyle w:val="a6"/>
        <w:numPr>
          <w:ilvl w:val="0"/>
          <w:numId w:val="39"/>
        </w:numPr>
        <w:tabs>
          <w:tab w:val="clear" w:pos="0"/>
          <w:tab w:val="num" w:pos="709"/>
        </w:tabs>
        <w:suppressAutoHyphens/>
        <w:spacing w:before="0" w:after="0"/>
        <w:ind w:left="284" w:firstLine="0"/>
        <w:jc w:val="left"/>
        <w:rPr>
          <w:rFonts w:eastAsia="Times New Roman"/>
          <w:szCs w:val="24"/>
        </w:rPr>
      </w:pPr>
      <w:r w:rsidRPr="00F242DD">
        <w:rPr>
          <w:rFonts w:eastAsia="Times New Roman"/>
          <w:szCs w:val="24"/>
        </w:rPr>
        <w:t>Дексаметазон</w:t>
      </w:r>
      <w:r w:rsidRPr="00F242DD">
        <w:rPr>
          <w:rFonts w:eastAsia="Times New Roman"/>
          <w:szCs w:val="24"/>
          <w:lang w:eastAsia="ru-RU"/>
        </w:rPr>
        <w:t>**</w:t>
      </w:r>
      <w:r w:rsidRPr="00F242DD">
        <w:rPr>
          <w:rFonts w:eastAsia="Times New Roman"/>
          <w:szCs w:val="24"/>
        </w:rPr>
        <w:t xml:space="preserve"> 20 мг в дни 1, 2, 8, 9, 15, 16, 22, 23</w:t>
      </w:r>
      <w:r w:rsidR="00522C92" w:rsidRPr="00F242DD">
        <w:rPr>
          <w:rFonts w:eastAsia="Times New Roman"/>
          <w:szCs w:val="24"/>
          <w:lang w:eastAsia="ru-RU"/>
        </w:rPr>
        <w:t>-й</w:t>
      </w:r>
    </w:p>
    <w:p w14:paraId="38AF542B" w14:textId="77777777" w:rsidR="000546DA" w:rsidRPr="00F242DD" w:rsidRDefault="000546DA" w:rsidP="00E47E7A">
      <w:pPr>
        <w:tabs>
          <w:tab w:val="num" w:pos="709"/>
        </w:tabs>
        <w:suppressAutoHyphens/>
        <w:spacing w:before="0" w:after="0"/>
        <w:ind w:left="709" w:hanging="425"/>
        <w:contextualSpacing/>
        <w:rPr>
          <w:rFonts w:eastAsia="Times New Roman"/>
          <w:szCs w:val="24"/>
        </w:rPr>
      </w:pPr>
      <w:r w:rsidRPr="00F242DD">
        <w:rPr>
          <w:rFonts w:eastAsia="Times New Roman"/>
          <w:szCs w:val="24"/>
        </w:rPr>
        <w:t>Лечение возобновляется на 29</w:t>
      </w:r>
      <w:r w:rsidR="00522C92" w:rsidRPr="00F242DD">
        <w:rPr>
          <w:rFonts w:eastAsia="Times New Roman"/>
          <w:szCs w:val="24"/>
          <w:lang w:eastAsia="ru-RU"/>
        </w:rPr>
        <w:t>-й</w:t>
      </w:r>
      <w:r w:rsidRPr="00F242DD">
        <w:rPr>
          <w:rFonts w:eastAsia="Times New Roman"/>
          <w:szCs w:val="24"/>
        </w:rPr>
        <w:t xml:space="preserve"> день.</w:t>
      </w:r>
    </w:p>
    <w:p w14:paraId="393CCF76" w14:textId="77777777" w:rsidR="000546DA" w:rsidRPr="00F242DD" w:rsidRDefault="000546DA" w:rsidP="00E47E7A">
      <w:pPr>
        <w:tabs>
          <w:tab w:val="num" w:pos="709"/>
        </w:tabs>
        <w:suppressAutoHyphens/>
        <w:spacing w:before="0" w:after="0"/>
        <w:ind w:left="709" w:hanging="425"/>
        <w:contextualSpacing/>
        <w:rPr>
          <w:rFonts w:eastAsia="Times New Roman"/>
          <w:szCs w:val="24"/>
        </w:rPr>
      </w:pPr>
      <w:r w:rsidRPr="00F242DD">
        <w:rPr>
          <w:rFonts w:eastAsia="Times New Roman"/>
          <w:szCs w:val="24"/>
        </w:rPr>
        <w:t>Лечение продолжают до прогрессирования или развития неприемлемой токсичности</w:t>
      </w:r>
      <w:r w:rsidR="00522C92" w:rsidRPr="00F242DD">
        <w:rPr>
          <w:rFonts w:eastAsia="Times New Roman"/>
          <w:szCs w:val="24"/>
        </w:rPr>
        <w:t>.</w:t>
      </w:r>
    </w:p>
    <w:p w14:paraId="2A2B6D91" w14:textId="77777777" w:rsidR="00E47E7A" w:rsidRDefault="00E47E7A" w:rsidP="002431B5">
      <w:pPr>
        <w:spacing w:before="0" w:after="0"/>
        <w:contextualSpacing/>
        <w:rPr>
          <w:rFonts w:eastAsia="Times New Roman"/>
          <w:b/>
          <w:szCs w:val="24"/>
        </w:rPr>
      </w:pPr>
    </w:p>
    <w:p w14:paraId="6CEFB389" w14:textId="77777777" w:rsidR="000546DA" w:rsidRPr="00F242DD" w:rsidRDefault="000546DA" w:rsidP="002431B5">
      <w:pPr>
        <w:spacing w:before="0" w:after="0"/>
        <w:contextualSpacing/>
        <w:rPr>
          <w:rFonts w:eastAsia="Times New Roman"/>
          <w:b/>
          <w:szCs w:val="24"/>
        </w:rPr>
      </w:pPr>
      <w:r w:rsidRPr="00F242DD">
        <w:rPr>
          <w:rFonts w:eastAsia="Times New Roman"/>
          <w:b/>
          <w:szCs w:val="24"/>
        </w:rPr>
        <w:t>KRd</w:t>
      </w:r>
    </w:p>
    <w:p w14:paraId="0C3507E8" w14:textId="412C21DD" w:rsidR="000546DA" w:rsidRPr="00E47E7A" w:rsidRDefault="000546DA" w:rsidP="00E47E7A">
      <w:pPr>
        <w:pStyle w:val="a6"/>
        <w:numPr>
          <w:ilvl w:val="0"/>
          <w:numId w:val="40"/>
        </w:numPr>
        <w:tabs>
          <w:tab w:val="clear" w:pos="0"/>
          <w:tab w:val="num" w:pos="284"/>
        </w:tabs>
        <w:suppressAutoHyphens/>
        <w:spacing w:before="0" w:after="0"/>
        <w:ind w:left="284" w:firstLine="0"/>
        <w:jc w:val="left"/>
        <w:rPr>
          <w:rFonts w:eastAsia="Times New Roman"/>
          <w:szCs w:val="24"/>
        </w:rPr>
      </w:pPr>
      <w:r w:rsidRPr="00E47E7A">
        <w:rPr>
          <w:rFonts w:eastAsia="Times New Roman"/>
          <w:szCs w:val="24"/>
        </w:rPr>
        <w:t>Карфилзомиб</w:t>
      </w:r>
      <w:r w:rsidRPr="00E47E7A">
        <w:rPr>
          <w:rFonts w:eastAsia="Times New Roman"/>
          <w:szCs w:val="24"/>
          <w:lang w:eastAsia="ru-RU"/>
        </w:rPr>
        <w:t>**</w:t>
      </w:r>
      <w:r w:rsidRPr="00E47E7A">
        <w:rPr>
          <w:rFonts w:eastAsia="Times New Roman"/>
          <w:szCs w:val="24"/>
        </w:rPr>
        <w:t xml:space="preserve">     20 мг/м</w:t>
      </w:r>
      <w:r w:rsidRPr="00E47E7A">
        <w:rPr>
          <w:rFonts w:eastAsia="Times New Roman"/>
          <w:szCs w:val="24"/>
          <w:vertAlign w:val="superscript"/>
        </w:rPr>
        <w:t>2</w:t>
      </w:r>
      <w:r w:rsidRPr="00E47E7A">
        <w:rPr>
          <w:rFonts w:eastAsia="Times New Roman"/>
          <w:szCs w:val="24"/>
        </w:rPr>
        <w:t xml:space="preserve"> в/в, дни 1, 2</w:t>
      </w:r>
      <w:r w:rsidR="00522C92" w:rsidRPr="00E47E7A">
        <w:rPr>
          <w:rFonts w:eastAsia="Times New Roman"/>
          <w:szCs w:val="24"/>
          <w:lang w:eastAsia="ru-RU"/>
        </w:rPr>
        <w:t>-й</w:t>
      </w:r>
      <w:r w:rsidRPr="00E47E7A">
        <w:rPr>
          <w:rFonts w:eastAsia="Times New Roman"/>
          <w:szCs w:val="24"/>
        </w:rPr>
        <w:t>, далее в дозе 27 мг/м</w:t>
      </w:r>
      <w:r w:rsidRPr="00E47E7A">
        <w:rPr>
          <w:rFonts w:eastAsia="Times New Roman"/>
          <w:szCs w:val="24"/>
          <w:vertAlign w:val="superscript"/>
        </w:rPr>
        <w:t>2</w:t>
      </w:r>
      <w:r w:rsidRPr="00E47E7A">
        <w:rPr>
          <w:rFonts w:eastAsia="Times New Roman"/>
          <w:szCs w:val="24"/>
        </w:rPr>
        <w:t>, дни 8, 9, 15, 16</w:t>
      </w:r>
      <w:r w:rsidR="00522C92" w:rsidRPr="00E47E7A">
        <w:rPr>
          <w:rFonts w:eastAsia="Times New Roman"/>
          <w:szCs w:val="24"/>
          <w:lang w:eastAsia="ru-RU"/>
        </w:rPr>
        <w:t>-й</w:t>
      </w:r>
      <w:r w:rsidRPr="00E47E7A">
        <w:rPr>
          <w:rFonts w:eastAsia="Times New Roman"/>
          <w:szCs w:val="24"/>
        </w:rPr>
        <w:t xml:space="preserve"> только в 1-</w:t>
      </w:r>
      <w:r w:rsidR="00522C92" w:rsidRPr="00E47E7A">
        <w:rPr>
          <w:rFonts w:eastAsia="Times New Roman"/>
          <w:szCs w:val="24"/>
        </w:rPr>
        <w:t>м цикле</w:t>
      </w:r>
      <w:r w:rsidR="00E47E7A" w:rsidRPr="00E47E7A">
        <w:rPr>
          <w:rFonts w:eastAsia="Times New Roman"/>
          <w:szCs w:val="24"/>
        </w:rPr>
        <w:t xml:space="preserve">, </w:t>
      </w:r>
      <w:r w:rsidRPr="00E47E7A">
        <w:rPr>
          <w:rFonts w:eastAsia="Times New Roman"/>
          <w:szCs w:val="24"/>
        </w:rPr>
        <w:t>в дозе 27 мг/м</w:t>
      </w:r>
      <w:r w:rsidRPr="00E47E7A">
        <w:rPr>
          <w:rFonts w:eastAsia="Times New Roman"/>
          <w:szCs w:val="24"/>
          <w:vertAlign w:val="superscript"/>
        </w:rPr>
        <w:t>2</w:t>
      </w:r>
      <w:r w:rsidRPr="00E47E7A">
        <w:rPr>
          <w:rFonts w:eastAsia="Times New Roman"/>
          <w:szCs w:val="24"/>
        </w:rPr>
        <w:t xml:space="preserve"> в дни 1, 2, 8, 9, 15, 16</w:t>
      </w:r>
      <w:r w:rsidR="00522C92" w:rsidRPr="00E47E7A">
        <w:rPr>
          <w:rFonts w:eastAsia="Times New Roman"/>
          <w:szCs w:val="24"/>
          <w:lang w:eastAsia="ru-RU"/>
        </w:rPr>
        <w:t>-й</w:t>
      </w:r>
      <w:r w:rsidRPr="00E47E7A">
        <w:rPr>
          <w:rFonts w:eastAsia="Times New Roman"/>
          <w:szCs w:val="24"/>
        </w:rPr>
        <w:t xml:space="preserve"> в циклах 2</w:t>
      </w:r>
      <w:r w:rsidR="00522C92" w:rsidRPr="00E47E7A">
        <w:rPr>
          <w:rFonts w:eastAsia="Times New Roman"/>
          <w:szCs w:val="24"/>
        </w:rPr>
        <w:t>‒</w:t>
      </w:r>
      <w:r w:rsidR="00E47E7A">
        <w:rPr>
          <w:rFonts w:eastAsia="Times New Roman"/>
          <w:szCs w:val="24"/>
        </w:rPr>
        <w:t>12,</w:t>
      </w:r>
      <w:r w:rsidRPr="00E47E7A">
        <w:rPr>
          <w:rFonts w:eastAsia="Times New Roman"/>
          <w:szCs w:val="24"/>
        </w:rPr>
        <w:t xml:space="preserve"> </w:t>
      </w:r>
      <w:r w:rsidR="00E47E7A">
        <w:rPr>
          <w:rFonts w:eastAsia="Times New Roman"/>
          <w:szCs w:val="24"/>
        </w:rPr>
        <w:t>н</w:t>
      </w:r>
      <w:r w:rsidRPr="00E47E7A">
        <w:rPr>
          <w:rFonts w:eastAsia="Times New Roman"/>
          <w:szCs w:val="24"/>
        </w:rPr>
        <w:t>ачиная с цикла 13</w:t>
      </w:r>
      <w:r w:rsidR="00522C92" w:rsidRPr="00E47E7A">
        <w:rPr>
          <w:rFonts w:eastAsia="Times New Roman"/>
          <w:szCs w:val="24"/>
        </w:rPr>
        <w:t>-го</w:t>
      </w:r>
      <w:r w:rsidRPr="00E47E7A">
        <w:rPr>
          <w:rFonts w:eastAsia="Times New Roman"/>
          <w:szCs w:val="24"/>
        </w:rPr>
        <w:t xml:space="preserve"> в дозе 27 мг/м</w:t>
      </w:r>
      <w:r w:rsidRPr="00E47E7A">
        <w:rPr>
          <w:rFonts w:eastAsia="Times New Roman"/>
          <w:szCs w:val="24"/>
          <w:vertAlign w:val="superscript"/>
        </w:rPr>
        <w:t>2</w:t>
      </w:r>
      <w:r w:rsidRPr="00E47E7A">
        <w:rPr>
          <w:rFonts w:eastAsia="Times New Roman"/>
          <w:szCs w:val="24"/>
        </w:rPr>
        <w:t xml:space="preserve"> в дни 1, 2, 15, 16</w:t>
      </w:r>
      <w:r w:rsidR="00522C92" w:rsidRPr="00E47E7A">
        <w:rPr>
          <w:rFonts w:eastAsia="Times New Roman"/>
          <w:szCs w:val="24"/>
          <w:lang w:eastAsia="ru-RU"/>
        </w:rPr>
        <w:t>-й</w:t>
      </w:r>
      <w:r w:rsidRPr="00E47E7A">
        <w:rPr>
          <w:rFonts w:eastAsia="Times New Roman"/>
          <w:szCs w:val="24"/>
        </w:rPr>
        <w:t xml:space="preserve">. </w:t>
      </w:r>
    </w:p>
    <w:p w14:paraId="697D1723" w14:textId="77777777" w:rsidR="000546DA" w:rsidRPr="00F242DD" w:rsidRDefault="000546DA" w:rsidP="00E47E7A">
      <w:pPr>
        <w:pStyle w:val="a6"/>
        <w:numPr>
          <w:ilvl w:val="0"/>
          <w:numId w:val="40"/>
        </w:numPr>
        <w:tabs>
          <w:tab w:val="clear" w:pos="0"/>
          <w:tab w:val="num" w:pos="284"/>
        </w:tabs>
        <w:suppressAutoHyphens/>
        <w:spacing w:before="0" w:after="0"/>
        <w:ind w:left="284" w:firstLine="0"/>
        <w:jc w:val="left"/>
        <w:rPr>
          <w:rFonts w:eastAsia="Times New Roman"/>
          <w:szCs w:val="24"/>
        </w:rPr>
      </w:pPr>
      <w:r w:rsidRPr="00F242DD">
        <w:rPr>
          <w:rFonts w:eastAsia="Times New Roman"/>
          <w:szCs w:val="24"/>
        </w:rPr>
        <w:t>Леналидомид</w:t>
      </w:r>
      <w:r w:rsidRPr="00F242DD">
        <w:rPr>
          <w:rFonts w:eastAsia="Times New Roman"/>
          <w:szCs w:val="24"/>
          <w:lang w:eastAsia="ru-RU"/>
        </w:rPr>
        <w:t>**</w:t>
      </w:r>
      <w:r w:rsidRPr="00F242DD">
        <w:rPr>
          <w:rFonts w:eastAsia="Times New Roman"/>
          <w:szCs w:val="24"/>
        </w:rPr>
        <w:t xml:space="preserve">   25 мг внутрь, дни 1</w:t>
      </w:r>
      <w:r w:rsidR="00522C92" w:rsidRPr="00F242DD">
        <w:rPr>
          <w:rFonts w:eastAsia="Times New Roman"/>
          <w:szCs w:val="24"/>
        </w:rPr>
        <w:t>‒</w:t>
      </w:r>
      <w:r w:rsidRPr="00F242DD">
        <w:rPr>
          <w:rFonts w:eastAsia="Times New Roman"/>
          <w:szCs w:val="24"/>
        </w:rPr>
        <w:t>21</w:t>
      </w:r>
      <w:r w:rsidR="00522C92" w:rsidRPr="00F242DD">
        <w:rPr>
          <w:rFonts w:eastAsia="Times New Roman"/>
          <w:szCs w:val="24"/>
          <w:lang w:eastAsia="ru-RU"/>
        </w:rPr>
        <w:t>-й</w:t>
      </w:r>
    </w:p>
    <w:p w14:paraId="7EED7AF8" w14:textId="77777777" w:rsidR="000546DA" w:rsidRPr="00F242DD" w:rsidRDefault="000546DA" w:rsidP="00E47E7A">
      <w:pPr>
        <w:pStyle w:val="31"/>
        <w:numPr>
          <w:ilvl w:val="0"/>
          <w:numId w:val="40"/>
        </w:numPr>
        <w:tabs>
          <w:tab w:val="clear" w:pos="0"/>
          <w:tab w:val="num" w:pos="284"/>
        </w:tabs>
        <w:suppressAutoHyphens/>
        <w:spacing w:line="360" w:lineRule="auto"/>
        <w:ind w:left="284" w:firstLine="0"/>
        <w:contextualSpacing/>
        <w:jc w:val="left"/>
        <w:rPr>
          <w:rFonts w:eastAsia="Times New Roman"/>
        </w:rPr>
      </w:pPr>
      <w:r w:rsidRPr="00F242DD">
        <w:rPr>
          <w:rFonts w:eastAsia="Times New Roman"/>
        </w:rPr>
        <w:t>Дексаметазон** 40 мг внутрь или в/в, дни 1, 8, 15, 22</w:t>
      </w:r>
      <w:r w:rsidR="00522C92" w:rsidRPr="00F242DD">
        <w:rPr>
          <w:rFonts w:eastAsia="Times New Roman"/>
        </w:rPr>
        <w:t>-й</w:t>
      </w:r>
    </w:p>
    <w:p w14:paraId="77937374" w14:textId="77777777" w:rsidR="000546DA" w:rsidRPr="00F242DD" w:rsidRDefault="000546DA" w:rsidP="00E47E7A">
      <w:pPr>
        <w:tabs>
          <w:tab w:val="num" w:pos="284"/>
        </w:tabs>
        <w:spacing w:before="0" w:after="0"/>
        <w:ind w:left="284"/>
        <w:contextualSpacing/>
        <w:rPr>
          <w:rFonts w:eastAsia="Times New Roman"/>
          <w:szCs w:val="24"/>
        </w:rPr>
      </w:pPr>
      <w:r w:rsidRPr="00F242DD">
        <w:rPr>
          <w:rFonts w:eastAsia="Times New Roman"/>
          <w:szCs w:val="24"/>
        </w:rPr>
        <w:t>Лечение возобновляется на 29</w:t>
      </w:r>
      <w:r w:rsidR="00522C92" w:rsidRPr="00F242DD">
        <w:rPr>
          <w:rFonts w:eastAsia="Times New Roman"/>
          <w:szCs w:val="24"/>
          <w:lang w:eastAsia="ru-RU"/>
        </w:rPr>
        <w:t>-й</w:t>
      </w:r>
      <w:r w:rsidRPr="00F242DD">
        <w:rPr>
          <w:rFonts w:eastAsia="Times New Roman"/>
          <w:szCs w:val="24"/>
        </w:rPr>
        <w:t xml:space="preserve"> день</w:t>
      </w:r>
      <w:r w:rsidR="00522C92" w:rsidRPr="00F242DD">
        <w:rPr>
          <w:rFonts w:eastAsia="Times New Roman"/>
          <w:szCs w:val="24"/>
        </w:rPr>
        <w:t>.</w:t>
      </w:r>
    </w:p>
    <w:p w14:paraId="6EC1109D" w14:textId="77777777" w:rsidR="000546DA" w:rsidRPr="00F242DD" w:rsidRDefault="000546DA" w:rsidP="00E47E7A">
      <w:pPr>
        <w:pStyle w:val="a6"/>
        <w:tabs>
          <w:tab w:val="num" w:pos="284"/>
        </w:tabs>
        <w:spacing w:before="0" w:after="0"/>
        <w:ind w:left="284"/>
        <w:rPr>
          <w:rFonts w:eastAsia="Times New Roman"/>
          <w:szCs w:val="24"/>
        </w:rPr>
      </w:pPr>
      <w:r w:rsidRPr="00F242DD">
        <w:rPr>
          <w:rFonts w:eastAsia="Times New Roman"/>
          <w:szCs w:val="24"/>
        </w:rPr>
        <w:t>Лечение продолжают до прогрессирования или развития неприемлемой токсичности</w:t>
      </w:r>
      <w:r w:rsidR="00522C92" w:rsidRPr="00F242DD">
        <w:rPr>
          <w:rFonts w:eastAsia="Times New Roman"/>
          <w:szCs w:val="24"/>
        </w:rPr>
        <w:t>.</w:t>
      </w:r>
    </w:p>
    <w:p w14:paraId="551BFC77" w14:textId="77777777" w:rsidR="00E47E7A" w:rsidRDefault="00E47E7A" w:rsidP="002431B5">
      <w:pPr>
        <w:spacing w:before="0" w:after="0"/>
        <w:contextualSpacing/>
        <w:rPr>
          <w:rFonts w:eastAsia="Times New Roman"/>
          <w:b/>
          <w:szCs w:val="24"/>
        </w:rPr>
      </w:pPr>
    </w:p>
    <w:p w14:paraId="7FA75164" w14:textId="77777777" w:rsidR="000546DA" w:rsidRPr="00F242DD" w:rsidRDefault="000546DA" w:rsidP="002431B5">
      <w:pPr>
        <w:spacing w:before="0" w:after="0"/>
        <w:contextualSpacing/>
        <w:rPr>
          <w:rFonts w:eastAsia="Times New Roman"/>
          <w:b/>
          <w:szCs w:val="24"/>
        </w:rPr>
      </w:pPr>
      <w:r w:rsidRPr="00F242DD">
        <w:rPr>
          <w:rFonts w:eastAsia="Times New Roman"/>
          <w:b/>
          <w:szCs w:val="24"/>
        </w:rPr>
        <w:t>IxaRd</w:t>
      </w:r>
    </w:p>
    <w:p w14:paraId="50EA5AFE" w14:textId="77777777" w:rsidR="000546DA" w:rsidRPr="00F242DD" w:rsidRDefault="000546DA" w:rsidP="00E47E7A">
      <w:pPr>
        <w:pStyle w:val="af7"/>
        <w:numPr>
          <w:ilvl w:val="0"/>
          <w:numId w:val="41"/>
        </w:numPr>
        <w:tabs>
          <w:tab w:val="clear" w:pos="0"/>
          <w:tab w:val="num" w:pos="284"/>
        </w:tabs>
        <w:spacing w:after="0" w:line="360" w:lineRule="auto"/>
        <w:ind w:left="284" w:firstLine="0"/>
        <w:contextualSpacing/>
      </w:pPr>
      <w:r w:rsidRPr="00F242DD">
        <w:t>Иксазомиб</w:t>
      </w:r>
      <w:r w:rsidRPr="00F242DD">
        <w:rPr>
          <w:lang w:eastAsia="ru-RU"/>
        </w:rPr>
        <w:t>**</w:t>
      </w:r>
      <w:r w:rsidRPr="00F242DD">
        <w:t xml:space="preserve"> 4 мг внутрь, дни 1,</w:t>
      </w:r>
      <w:r w:rsidR="00522C92" w:rsidRPr="00F242DD">
        <w:t xml:space="preserve"> </w:t>
      </w:r>
      <w:r w:rsidRPr="00F242DD">
        <w:t>8,</w:t>
      </w:r>
      <w:r w:rsidR="00522C92" w:rsidRPr="00F242DD">
        <w:t xml:space="preserve"> </w:t>
      </w:r>
      <w:r w:rsidRPr="00F242DD">
        <w:t>15</w:t>
      </w:r>
      <w:r w:rsidR="00522C92" w:rsidRPr="00F242DD">
        <w:rPr>
          <w:lang w:eastAsia="ru-RU"/>
        </w:rPr>
        <w:t>-й</w:t>
      </w:r>
    </w:p>
    <w:p w14:paraId="49B1B13E" w14:textId="77777777" w:rsidR="000546DA" w:rsidRPr="00F242DD" w:rsidRDefault="000546DA" w:rsidP="00E47E7A">
      <w:pPr>
        <w:pStyle w:val="af7"/>
        <w:numPr>
          <w:ilvl w:val="0"/>
          <w:numId w:val="41"/>
        </w:numPr>
        <w:tabs>
          <w:tab w:val="clear" w:pos="0"/>
          <w:tab w:val="num" w:pos="284"/>
        </w:tabs>
        <w:spacing w:after="0" w:line="360" w:lineRule="auto"/>
        <w:ind w:left="284" w:firstLine="0"/>
        <w:contextualSpacing/>
      </w:pPr>
      <w:r w:rsidRPr="00F242DD">
        <w:t>Леналидомид</w:t>
      </w:r>
      <w:r w:rsidRPr="00F242DD">
        <w:rPr>
          <w:lang w:eastAsia="ru-RU"/>
        </w:rPr>
        <w:t>**</w:t>
      </w:r>
      <w:r w:rsidRPr="00F242DD">
        <w:t xml:space="preserve"> 25 мг внутрь, дни 1</w:t>
      </w:r>
      <w:r w:rsidR="00522C92" w:rsidRPr="00F242DD">
        <w:t>‒</w:t>
      </w:r>
      <w:r w:rsidRPr="00F242DD">
        <w:t>21</w:t>
      </w:r>
      <w:r w:rsidR="00522C92" w:rsidRPr="00F242DD">
        <w:rPr>
          <w:lang w:eastAsia="ru-RU"/>
        </w:rPr>
        <w:t>-й</w:t>
      </w:r>
    </w:p>
    <w:p w14:paraId="40E971BD" w14:textId="77777777" w:rsidR="000546DA" w:rsidRPr="00F242DD" w:rsidRDefault="000546DA" w:rsidP="00E47E7A">
      <w:pPr>
        <w:pStyle w:val="af7"/>
        <w:numPr>
          <w:ilvl w:val="0"/>
          <w:numId w:val="41"/>
        </w:numPr>
        <w:tabs>
          <w:tab w:val="clear" w:pos="0"/>
          <w:tab w:val="num" w:pos="284"/>
        </w:tabs>
        <w:spacing w:after="0" w:line="360" w:lineRule="auto"/>
        <w:ind w:left="284" w:firstLine="0"/>
        <w:contextualSpacing/>
      </w:pPr>
      <w:r w:rsidRPr="00F242DD">
        <w:t>Дексаметазон</w:t>
      </w:r>
      <w:r w:rsidRPr="00F242DD">
        <w:rPr>
          <w:lang w:eastAsia="ru-RU"/>
        </w:rPr>
        <w:t>**</w:t>
      </w:r>
      <w:r w:rsidRPr="00F242DD">
        <w:t xml:space="preserve"> 40 мг внутрь, дни 1,</w:t>
      </w:r>
      <w:r w:rsidR="00522C92" w:rsidRPr="00F242DD">
        <w:t xml:space="preserve"> </w:t>
      </w:r>
      <w:r w:rsidRPr="00F242DD">
        <w:t>8,</w:t>
      </w:r>
      <w:r w:rsidR="00522C92" w:rsidRPr="00F242DD">
        <w:t xml:space="preserve"> </w:t>
      </w:r>
      <w:r w:rsidRPr="00F242DD">
        <w:t>15,</w:t>
      </w:r>
      <w:r w:rsidR="00522C92" w:rsidRPr="00F242DD">
        <w:t xml:space="preserve"> </w:t>
      </w:r>
      <w:r w:rsidRPr="00F242DD">
        <w:t>22</w:t>
      </w:r>
      <w:r w:rsidR="00522C92" w:rsidRPr="00F242DD">
        <w:rPr>
          <w:lang w:eastAsia="ru-RU"/>
        </w:rPr>
        <w:t>-й</w:t>
      </w:r>
    </w:p>
    <w:p w14:paraId="56BD2DCF" w14:textId="77777777" w:rsidR="000546DA" w:rsidRPr="00F242DD" w:rsidRDefault="000546DA" w:rsidP="00E47E7A">
      <w:pPr>
        <w:pStyle w:val="af7"/>
        <w:tabs>
          <w:tab w:val="num" w:pos="567"/>
        </w:tabs>
        <w:spacing w:after="0" w:line="360" w:lineRule="auto"/>
        <w:ind w:left="709" w:firstLine="0"/>
        <w:contextualSpacing/>
      </w:pPr>
      <w:r w:rsidRPr="00F242DD">
        <w:t>Лечение возобновляется на 29</w:t>
      </w:r>
      <w:r w:rsidR="00522C92" w:rsidRPr="00F242DD">
        <w:rPr>
          <w:lang w:eastAsia="ru-RU"/>
        </w:rPr>
        <w:t>-й</w:t>
      </w:r>
      <w:r w:rsidRPr="00F242DD">
        <w:t xml:space="preserve"> день.</w:t>
      </w:r>
    </w:p>
    <w:p w14:paraId="2DB151A0" w14:textId="77777777" w:rsidR="00E47E7A" w:rsidRDefault="00E47E7A" w:rsidP="002431B5">
      <w:pPr>
        <w:pStyle w:val="af7"/>
        <w:tabs>
          <w:tab w:val="left" w:pos="0"/>
        </w:tabs>
        <w:spacing w:after="0" w:line="360" w:lineRule="auto"/>
        <w:ind w:firstLine="0"/>
        <w:contextualSpacing/>
        <w:rPr>
          <w:b/>
        </w:rPr>
      </w:pPr>
    </w:p>
    <w:p w14:paraId="32934959" w14:textId="23D0B919" w:rsidR="000546DA" w:rsidRPr="00F242DD" w:rsidRDefault="000546DA" w:rsidP="002431B5">
      <w:pPr>
        <w:pStyle w:val="af7"/>
        <w:tabs>
          <w:tab w:val="left" w:pos="0"/>
        </w:tabs>
        <w:spacing w:after="0" w:line="360" w:lineRule="auto"/>
        <w:ind w:firstLine="0"/>
        <w:contextualSpacing/>
        <w:rPr>
          <w:b/>
        </w:rPr>
      </w:pPr>
      <w:r w:rsidRPr="00F242DD">
        <w:rPr>
          <w:b/>
        </w:rPr>
        <w:t>El</w:t>
      </w:r>
      <w:r w:rsidR="00E47E7A">
        <w:rPr>
          <w:b/>
        </w:rPr>
        <w:t>oRd</w:t>
      </w:r>
    </w:p>
    <w:p w14:paraId="5771AB6E" w14:textId="77777777" w:rsidR="000546DA" w:rsidRPr="00F242DD" w:rsidRDefault="000546DA" w:rsidP="00E47E7A">
      <w:pPr>
        <w:pStyle w:val="a6"/>
        <w:numPr>
          <w:ilvl w:val="0"/>
          <w:numId w:val="42"/>
        </w:numPr>
        <w:tabs>
          <w:tab w:val="clear" w:pos="0"/>
          <w:tab w:val="num" w:pos="142"/>
        </w:tabs>
        <w:autoSpaceDE w:val="0"/>
        <w:autoSpaceDN w:val="0"/>
        <w:adjustRightInd w:val="0"/>
        <w:spacing w:before="0" w:after="0"/>
        <w:ind w:left="284" w:firstLine="0"/>
        <w:jc w:val="left"/>
        <w:rPr>
          <w:szCs w:val="24"/>
          <w:lang w:eastAsia="ru-RU"/>
        </w:rPr>
      </w:pPr>
      <w:r w:rsidRPr="00F242DD">
        <w:rPr>
          <w:szCs w:val="24"/>
          <w:lang w:eastAsia="ru-RU"/>
        </w:rPr>
        <w:t>Элотузумаб</w:t>
      </w:r>
      <w:r w:rsidR="000A0A61" w:rsidRPr="00F242DD">
        <w:rPr>
          <w:szCs w:val="24"/>
          <w:lang w:eastAsia="ru-RU"/>
        </w:rPr>
        <w:t>**</w:t>
      </w:r>
      <w:r w:rsidRPr="00F242DD">
        <w:rPr>
          <w:szCs w:val="24"/>
          <w:lang w:eastAsia="ru-RU"/>
        </w:rPr>
        <w:t xml:space="preserve"> 10 мг/кг в/в, дни 1, 8, 15, 22</w:t>
      </w:r>
      <w:r w:rsidR="00522C92" w:rsidRPr="00F242DD">
        <w:rPr>
          <w:rFonts w:eastAsia="Times New Roman"/>
          <w:szCs w:val="24"/>
          <w:lang w:eastAsia="ru-RU"/>
        </w:rPr>
        <w:t>-й</w:t>
      </w:r>
      <w:r w:rsidRPr="00F242DD">
        <w:rPr>
          <w:szCs w:val="24"/>
          <w:lang w:eastAsia="ru-RU"/>
        </w:rPr>
        <w:t xml:space="preserve"> в 1 и 2-м циклах.  Дни 1,</w:t>
      </w:r>
      <w:r w:rsidR="00522C92" w:rsidRPr="00F242DD">
        <w:rPr>
          <w:szCs w:val="24"/>
          <w:lang w:eastAsia="ru-RU"/>
        </w:rPr>
        <w:t xml:space="preserve"> </w:t>
      </w:r>
      <w:r w:rsidRPr="00F242DD">
        <w:rPr>
          <w:szCs w:val="24"/>
          <w:lang w:eastAsia="ru-RU"/>
        </w:rPr>
        <w:t>15</w:t>
      </w:r>
      <w:r w:rsidR="00522C92" w:rsidRPr="00F242DD">
        <w:rPr>
          <w:rFonts w:eastAsia="Times New Roman"/>
          <w:szCs w:val="24"/>
          <w:lang w:eastAsia="ru-RU"/>
        </w:rPr>
        <w:t>-й ‒</w:t>
      </w:r>
      <w:r w:rsidRPr="00F242DD">
        <w:rPr>
          <w:szCs w:val="24"/>
          <w:lang w:eastAsia="ru-RU"/>
        </w:rPr>
        <w:t xml:space="preserve"> в последующих циклах </w:t>
      </w:r>
    </w:p>
    <w:p w14:paraId="3ECA7B78" w14:textId="77777777" w:rsidR="000546DA" w:rsidRPr="00F242DD" w:rsidRDefault="000546DA" w:rsidP="00E47E7A">
      <w:pPr>
        <w:pStyle w:val="a6"/>
        <w:numPr>
          <w:ilvl w:val="0"/>
          <w:numId w:val="42"/>
        </w:numPr>
        <w:tabs>
          <w:tab w:val="clear" w:pos="0"/>
          <w:tab w:val="num" w:pos="142"/>
        </w:tabs>
        <w:autoSpaceDE w:val="0"/>
        <w:autoSpaceDN w:val="0"/>
        <w:adjustRightInd w:val="0"/>
        <w:spacing w:before="0" w:after="0"/>
        <w:ind w:left="284" w:firstLine="0"/>
        <w:jc w:val="left"/>
        <w:rPr>
          <w:szCs w:val="24"/>
          <w:lang w:eastAsia="ru-RU"/>
        </w:rPr>
      </w:pPr>
      <w:r w:rsidRPr="00F242DD">
        <w:rPr>
          <w:szCs w:val="24"/>
          <w:lang w:eastAsia="ru-RU"/>
        </w:rPr>
        <w:t>Леналидомид</w:t>
      </w:r>
      <w:r w:rsidRPr="00F242DD">
        <w:rPr>
          <w:rFonts w:eastAsia="Times New Roman"/>
          <w:szCs w:val="24"/>
          <w:lang w:eastAsia="ru-RU"/>
        </w:rPr>
        <w:t>**</w:t>
      </w:r>
      <w:r w:rsidRPr="00F242DD">
        <w:rPr>
          <w:szCs w:val="24"/>
          <w:lang w:eastAsia="ru-RU"/>
        </w:rPr>
        <w:t xml:space="preserve"> 25 мг внутрь, дни 1</w:t>
      </w:r>
      <w:r w:rsidR="00522C92" w:rsidRPr="00F242DD">
        <w:rPr>
          <w:szCs w:val="24"/>
          <w:lang w:eastAsia="ru-RU"/>
        </w:rPr>
        <w:t>‒</w:t>
      </w:r>
      <w:r w:rsidRPr="00F242DD">
        <w:rPr>
          <w:szCs w:val="24"/>
          <w:lang w:eastAsia="ru-RU"/>
        </w:rPr>
        <w:t>21</w:t>
      </w:r>
      <w:r w:rsidR="00522C92" w:rsidRPr="00F242DD">
        <w:rPr>
          <w:rFonts w:eastAsia="Times New Roman"/>
          <w:szCs w:val="24"/>
          <w:lang w:eastAsia="ru-RU"/>
        </w:rPr>
        <w:t>-й</w:t>
      </w:r>
    </w:p>
    <w:p w14:paraId="78EF82A2" w14:textId="77777777" w:rsidR="000546DA" w:rsidRPr="00F242DD" w:rsidRDefault="000546DA" w:rsidP="00E47E7A">
      <w:pPr>
        <w:pStyle w:val="a6"/>
        <w:numPr>
          <w:ilvl w:val="0"/>
          <w:numId w:val="42"/>
        </w:numPr>
        <w:tabs>
          <w:tab w:val="clear" w:pos="0"/>
          <w:tab w:val="num" w:pos="142"/>
        </w:tabs>
        <w:autoSpaceDE w:val="0"/>
        <w:autoSpaceDN w:val="0"/>
        <w:adjustRightInd w:val="0"/>
        <w:spacing w:before="0" w:after="0"/>
        <w:ind w:left="284" w:firstLine="0"/>
        <w:jc w:val="left"/>
        <w:rPr>
          <w:szCs w:val="24"/>
          <w:lang w:eastAsia="ru-RU"/>
        </w:rPr>
      </w:pPr>
      <w:r w:rsidRPr="00F242DD">
        <w:rPr>
          <w:szCs w:val="24"/>
          <w:lang w:eastAsia="ru-RU"/>
        </w:rPr>
        <w:t>Дексаметазон</w:t>
      </w:r>
      <w:r w:rsidRPr="00F242DD">
        <w:rPr>
          <w:rFonts w:eastAsia="Times New Roman"/>
          <w:szCs w:val="24"/>
          <w:lang w:eastAsia="ru-RU"/>
        </w:rPr>
        <w:t>**</w:t>
      </w:r>
      <w:r w:rsidRPr="00F242DD">
        <w:rPr>
          <w:szCs w:val="24"/>
          <w:lang w:eastAsia="ru-RU"/>
        </w:rPr>
        <w:t xml:space="preserve"> 40 мг внутрь или в/в дни 1, 8, 15, 22</w:t>
      </w:r>
      <w:r w:rsidR="00522C92" w:rsidRPr="00F242DD">
        <w:rPr>
          <w:rFonts w:eastAsia="Times New Roman"/>
          <w:szCs w:val="24"/>
          <w:lang w:eastAsia="ru-RU"/>
        </w:rPr>
        <w:t>-й</w:t>
      </w:r>
      <w:r w:rsidRPr="00F242DD">
        <w:rPr>
          <w:szCs w:val="24"/>
          <w:lang w:eastAsia="ru-RU"/>
        </w:rPr>
        <w:t>.</w:t>
      </w:r>
    </w:p>
    <w:p w14:paraId="17736B1A" w14:textId="77777777" w:rsidR="000546DA" w:rsidRPr="00F242DD" w:rsidRDefault="000546DA" w:rsidP="00E47E7A">
      <w:pPr>
        <w:tabs>
          <w:tab w:val="num" w:pos="142"/>
        </w:tabs>
        <w:autoSpaceDE w:val="0"/>
        <w:autoSpaceDN w:val="0"/>
        <w:adjustRightInd w:val="0"/>
        <w:spacing w:before="0" w:after="0"/>
        <w:ind w:left="709"/>
        <w:contextualSpacing/>
        <w:rPr>
          <w:szCs w:val="24"/>
          <w:lang w:eastAsia="ru-RU"/>
        </w:rPr>
      </w:pPr>
      <w:r w:rsidRPr="00F242DD">
        <w:rPr>
          <w:szCs w:val="24"/>
          <w:lang w:eastAsia="ru-RU"/>
        </w:rPr>
        <w:t>Лечение возобновляется на 29</w:t>
      </w:r>
      <w:r w:rsidR="00522C92" w:rsidRPr="00F242DD">
        <w:rPr>
          <w:rFonts w:eastAsia="Times New Roman"/>
          <w:szCs w:val="24"/>
          <w:lang w:eastAsia="ru-RU"/>
        </w:rPr>
        <w:t>-й</w:t>
      </w:r>
      <w:r w:rsidRPr="00F242DD">
        <w:rPr>
          <w:szCs w:val="24"/>
          <w:lang w:eastAsia="ru-RU"/>
        </w:rPr>
        <w:t xml:space="preserve"> день</w:t>
      </w:r>
      <w:r w:rsidR="00522C92" w:rsidRPr="00F242DD">
        <w:rPr>
          <w:szCs w:val="24"/>
          <w:lang w:eastAsia="ru-RU"/>
        </w:rPr>
        <w:t>.</w:t>
      </w:r>
    </w:p>
    <w:p w14:paraId="3694F535" w14:textId="77777777" w:rsidR="007A4B9E" w:rsidRDefault="007A4B9E" w:rsidP="004E2C44">
      <w:pPr>
        <w:autoSpaceDE w:val="0"/>
        <w:autoSpaceDN w:val="0"/>
        <w:adjustRightInd w:val="0"/>
        <w:spacing w:before="0" w:after="0"/>
        <w:contextualSpacing/>
        <w:rPr>
          <w:b/>
          <w:szCs w:val="24"/>
          <w:lang w:eastAsia="ru-RU"/>
        </w:rPr>
      </w:pPr>
    </w:p>
    <w:p w14:paraId="4D1E4AF4" w14:textId="77777777" w:rsidR="004E2C44" w:rsidRPr="00F242DD" w:rsidRDefault="004E2C44" w:rsidP="004E2C44">
      <w:pPr>
        <w:autoSpaceDE w:val="0"/>
        <w:autoSpaceDN w:val="0"/>
        <w:adjustRightInd w:val="0"/>
        <w:spacing w:before="0" w:after="0"/>
        <w:contextualSpacing/>
        <w:rPr>
          <w:b/>
          <w:szCs w:val="24"/>
          <w:lang w:eastAsia="ru-RU"/>
        </w:rPr>
      </w:pPr>
      <w:r w:rsidRPr="00F242DD">
        <w:rPr>
          <w:b/>
          <w:szCs w:val="24"/>
          <w:lang w:val="en-US" w:eastAsia="ru-RU"/>
        </w:rPr>
        <w:t>Dara</w:t>
      </w:r>
      <w:r w:rsidRPr="00F242DD">
        <w:rPr>
          <w:b/>
          <w:szCs w:val="24"/>
          <w:lang w:eastAsia="ru-RU"/>
        </w:rPr>
        <w:t>-</w:t>
      </w:r>
      <w:r w:rsidRPr="00F242DD">
        <w:rPr>
          <w:b/>
          <w:szCs w:val="24"/>
          <w:lang w:val="en-US" w:eastAsia="ru-RU"/>
        </w:rPr>
        <w:t>VD</w:t>
      </w:r>
    </w:p>
    <w:p w14:paraId="1E2E425E" w14:textId="77777777" w:rsidR="004E2C44" w:rsidRPr="00F242DD" w:rsidRDefault="004E2C44" w:rsidP="004E2C44">
      <w:pPr>
        <w:pStyle w:val="a6"/>
        <w:numPr>
          <w:ilvl w:val="0"/>
          <w:numId w:val="43"/>
        </w:numPr>
        <w:tabs>
          <w:tab w:val="clear" w:pos="0"/>
          <w:tab w:val="num" w:pos="284"/>
        </w:tabs>
        <w:spacing w:before="0" w:after="0"/>
        <w:ind w:left="284" w:firstLine="0"/>
        <w:jc w:val="left"/>
        <w:rPr>
          <w:rFonts w:eastAsia="Times New Roman"/>
          <w:b/>
          <w:szCs w:val="24"/>
          <w:u w:val="single"/>
          <w:lang w:eastAsia="ru-RU"/>
        </w:rPr>
      </w:pPr>
      <w:r w:rsidRPr="00F242DD">
        <w:rPr>
          <w:rFonts w:eastAsia="Times New Roman"/>
          <w:szCs w:val="24"/>
          <w:lang w:eastAsia="ru-RU"/>
        </w:rPr>
        <w:t>Да</w:t>
      </w:r>
      <w:r>
        <w:rPr>
          <w:rFonts w:eastAsia="Times New Roman"/>
          <w:szCs w:val="24"/>
          <w:lang w:eastAsia="ru-RU"/>
        </w:rPr>
        <w:t xml:space="preserve">ратумумаб** </w:t>
      </w:r>
      <w:r w:rsidRPr="00F242DD">
        <w:rPr>
          <w:rFonts w:eastAsia="Times New Roman"/>
          <w:szCs w:val="24"/>
          <w:lang w:eastAsia="ru-RU"/>
        </w:rPr>
        <w:t>16 мг/кг в/в</w:t>
      </w:r>
    </w:p>
    <w:p w14:paraId="6FB4CDD0" w14:textId="77777777" w:rsidR="004E2C44" w:rsidRPr="00F242DD" w:rsidRDefault="004E2C44" w:rsidP="004E2C44">
      <w:pPr>
        <w:pStyle w:val="a6"/>
        <w:spacing w:before="0" w:after="0"/>
        <w:ind w:left="284"/>
        <w:rPr>
          <w:rFonts w:eastAsia="Times New Roman"/>
          <w:b/>
          <w:szCs w:val="24"/>
          <w:u w:val="single"/>
          <w:lang w:eastAsia="ru-RU"/>
        </w:rPr>
      </w:pPr>
      <w:r>
        <w:rPr>
          <w:rFonts w:eastAsia="Times New Roman"/>
          <w:szCs w:val="24"/>
          <w:lang w:eastAsia="ru-RU"/>
        </w:rPr>
        <w:t>-</w:t>
      </w:r>
      <w:r w:rsidRPr="00F242DD">
        <w:rPr>
          <w:rFonts w:eastAsia="Times New Roman"/>
          <w:szCs w:val="24"/>
          <w:lang w:eastAsia="ru-RU"/>
        </w:rPr>
        <w:t>1 раз в неделю в 1‒9-ю недели (всего 9 доз)</w:t>
      </w:r>
    </w:p>
    <w:p w14:paraId="06489136" w14:textId="77777777" w:rsidR="004E2C44" w:rsidRPr="00F242DD" w:rsidRDefault="004E2C44" w:rsidP="004E2C44">
      <w:pPr>
        <w:pStyle w:val="a6"/>
        <w:spacing w:before="0" w:after="0"/>
        <w:ind w:left="284"/>
        <w:rPr>
          <w:rFonts w:eastAsia="Times New Roman"/>
          <w:b/>
          <w:szCs w:val="24"/>
          <w:u w:val="single"/>
          <w:lang w:eastAsia="ru-RU"/>
        </w:rPr>
      </w:pPr>
      <w:r>
        <w:rPr>
          <w:rFonts w:eastAsia="Times New Roman"/>
          <w:szCs w:val="24"/>
          <w:lang w:eastAsia="ru-RU"/>
        </w:rPr>
        <w:t>-</w:t>
      </w:r>
      <w:r w:rsidRPr="00F242DD">
        <w:rPr>
          <w:rFonts w:eastAsia="Times New Roman"/>
          <w:szCs w:val="24"/>
          <w:lang w:eastAsia="ru-RU"/>
        </w:rPr>
        <w:t>1 раз в 3 недели в 10‒24-ю недели (всего 5 доз)</w:t>
      </w:r>
    </w:p>
    <w:p w14:paraId="28F786A1" w14:textId="77777777" w:rsidR="004E2C44" w:rsidRPr="00F242DD" w:rsidRDefault="004E2C44" w:rsidP="004E2C44">
      <w:pPr>
        <w:pStyle w:val="a6"/>
        <w:spacing w:before="0" w:after="0"/>
        <w:ind w:left="284"/>
        <w:rPr>
          <w:rFonts w:eastAsia="Times New Roman"/>
          <w:b/>
          <w:szCs w:val="24"/>
          <w:u w:val="single"/>
          <w:lang w:eastAsia="ru-RU"/>
        </w:rPr>
      </w:pPr>
      <w:r>
        <w:rPr>
          <w:rFonts w:eastAsia="Times New Roman"/>
          <w:szCs w:val="24"/>
          <w:lang w:eastAsia="ru-RU"/>
        </w:rPr>
        <w:lastRenderedPageBreak/>
        <w:t>-</w:t>
      </w:r>
      <w:r w:rsidRPr="00F242DD">
        <w:rPr>
          <w:rFonts w:eastAsia="Times New Roman"/>
          <w:szCs w:val="24"/>
          <w:lang w:eastAsia="ru-RU"/>
        </w:rPr>
        <w:t>1 раз в 4 недели с 25-й недели до прогрессии</w:t>
      </w:r>
    </w:p>
    <w:p w14:paraId="3AF4A94D" w14:textId="77777777" w:rsidR="004E2C44" w:rsidRPr="00F242DD" w:rsidRDefault="004E2C44" w:rsidP="004E2C44">
      <w:pPr>
        <w:pStyle w:val="a6"/>
        <w:numPr>
          <w:ilvl w:val="0"/>
          <w:numId w:val="43"/>
        </w:numPr>
        <w:tabs>
          <w:tab w:val="clear" w:pos="0"/>
          <w:tab w:val="num" w:pos="284"/>
        </w:tabs>
        <w:spacing w:before="0" w:after="0"/>
        <w:ind w:left="284" w:firstLine="0"/>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в 1, 4, 8, 11-й дни повторяющихся 3-недельных циклов в течение 8 циклов</w:t>
      </w:r>
    </w:p>
    <w:p w14:paraId="570FCE81" w14:textId="77777777" w:rsidR="004E2C44" w:rsidRDefault="004E2C44" w:rsidP="004E2C44">
      <w:pPr>
        <w:pStyle w:val="a6"/>
        <w:numPr>
          <w:ilvl w:val="0"/>
          <w:numId w:val="43"/>
        </w:numPr>
        <w:tabs>
          <w:tab w:val="clear" w:pos="0"/>
          <w:tab w:val="num" w:pos="284"/>
        </w:tabs>
        <w:spacing w:before="0" w:after="0"/>
        <w:ind w:left="284" w:firstLine="0"/>
        <w:jc w:val="left"/>
        <w:rPr>
          <w:rFonts w:eastAsia="Times New Roman"/>
          <w:szCs w:val="24"/>
          <w:lang w:eastAsia="ru-RU"/>
        </w:rPr>
      </w:pPr>
      <w:r w:rsidRPr="00F242DD">
        <w:rPr>
          <w:rFonts w:eastAsia="Times New Roman"/>
          <w:szCs w:val="24"/>
          <w:lang w:eastAsia="ru-RU"/>
        </w:rPr>
        <w:t>Дексаметазон** 20 мг энтерально в 1, 2, 4, 5, 8, 9, 11, 12-й дни на протяжении 8 циклов терапии бортезомибом**</w:t>
      </w:r>
    </w:p>
    <w:p w14:paraId="14721B69" w14:textId="77777777" w:rsidR="004E2C44" w:rsidRPr="00F242DD" w:rsidRDefault="004E2C44" w:rsidP="004E2C44">
      <w:pPr>
        <w:pStyle w:val="a6"/>
        <w:spacing w:before="0" w:after="0"/>
        <w:ind w:left="284"/>
        <w:jc w:val="left"/>
        <w:rPr>
          <w:rFonts w:eastAsia="Times New Roman"/>
          <w:szCs w:val="24"/>
          <w:lang w:eastAsia="ru-RU"/>
        </w:rPr>
      </w:pPr>
    </w:p>
    <w:p w14:paraId="789237E0" w14:textId="77777777" w:rsidR="004E2C44" w:rsidRPr="00F242DD" w:rsidRDefault="004E2C44" w:rsidP="004E2C44">
      <w:pPr>
        <w:spacing w:before="0" w:after="0"/>
        <w:contextualSpacing/>
        <w:jc w:val="left"/>
        <w:rPr>
          <w:rFonts w:eastAsia="Times New Roman"/>
          <w:b/>
          <w:szCs w:val="24"/>
          <w:lang w:val="en-US" w:eastAsia="ru-RU"/>
        </w:rPr>
      </w:pPr>
      <w:r w:rsidRPr="00F242DD">
        <w:rPr>
          <w:rFonts w:eastAsia="Times New Roman"/>
          <w:b/>
          <w:szCs w:val="24"/>
          <w:lang w:val="en-US" w:eastAsia="ru-RU"/>
        </w:rPr>
        <w:t>Dara-Rd</w:t>
      </w:r>
    </w:p>
    <w:p w14:paraId="1C767713" w14:textId="77777777" w:rsidR="004E2C44" w:rsidRPr="00F242DD" w:rsidRDefault="004E2C44" w:rsidP="00893452">
      <w:pPr>
        <w:numPr>
          <w:ilvl w:val="0"/>
          <w:numId w:val="44"/>
        </w:numPr>
        <w:autoSpaceDE w:val="0"/>
        <w:autoSpaceDN w:val="0"/>
        <w:adjustRightInd w:val="0"/>
        <w:spacing w:before="0" w:after="0"/>
        <w:ind w:left="284" w:firstLine="0"/>
        <w:contextualSpacing/>
        <w:jc w:val="left"/>
        <w:rPr>
          <w:szCs w:val="24"/>
          <w:lang w:eastAsia="ru-RU"/>
        </w:rPr>
      </w:pPr>
      <w:r w:rsidRPr="00F242DD">
        <w:rPr>
          <w:szCs w:val="24"/>
          <w:lang w:eastAsia="ru-RU"/>
        </w:rPr>
        <w:t>Даратумумаб</w:t>
      </w:r>
      <w:r w:rsidRPr="00F242DD">
        <w:rPr>
          <w:rFonts w:eastAsia="Times New Roman"/>
          <w:szCs w:val="24"/>
          <w:lang w:eastAsia="ru-RU"/>
        </w:rPr>
        <w:t>**</w:t>
      </w:r>
      <w:r>
        <w:rPr>
          <w:szCs w:val="24"/>
          <w:lang w:eastAsia="ru-RU"/>
        </w:rPr>
        <w:t xml:space="preserve"> 16 мг/кг в/в</w:t>
      </w:r>
    </w:p>
    <w:p w14:paraId="07C2E08F" w14:textId="77777777" w:rsidR="004E2C44" w:rsidRPr="00F242DD" w:rsidRDefault="004E2C44" w:rsidP="004E2C44">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1 раз в неделю в 1‒8</w:t>
      </w:r>
      <w:r w:rsidRPr="00F242DD">
        <w:rPr>
          <w:rFonts w:eastAsia="Times New Roman"/>
          <w:szCs w:val="24"/>
          <w:lang w:eastAsia="ru-RU"/>
        </w:rPr>
        <w:t>-ю</w:t>
      </w:r>
      <w:r w:rsidRPr="00F242DD">
        <w:rPr>
          <w:szCs w:val="24"/>
          <w:lang w:eastAsia="ru-RU"/>
        </w:rPr>
        <w:t xml:space="preserve"> недели (всего 8 доз) </w:t>
      </w:r>
    </w:p>
    <w:p w14:paraId="5A2D7A75" w14:textId="77777777" w:rsidR="004E2C44" w:rsidRPr="00F242DD" w:rsidRDefault="004E2C44" w:rsidP="004E2C44">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1 раз в 2 недели в 9‒24-ю недели (всего 8 доз)</w:t>
      </w:r>
    </w:p>
    <w:p w14:paraId="1DBFB04D" w14:textId="77777777" w:rsidR="004E2C44" w:rsidRPr="00F242DD" w:rsidRDefault="004E2C44" w:rsidP="004E2C44">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1 раз в 4 недели с 25</w:t>
      </w:r>
      <w:r w:rsidRPr="00F242DD">
        <w:rPr>
          <w:rFonts w:eastAsia="Times New Roman"/>
          <w:szCs w:val="24"/>
          <w:lang w:eastAsia="ru-RU"/>
        </w:rPr>
        <w:t>-й</w:t>
      </w:r>
      <w:r w:rsidRPr="00F242DD">
        <w:rPr>
          <w:szCs w:val="24"/>
          <w:lang w:eastAsia="ru-RU"/>
        </w:rPr>
        <w:t xml:space="preserve"> недели до прогрессирования</w:t>
      </w:r>
    </w:p>
    <w:p w14:paraId="5DDB2C9F" w14:textId="77777777" w:rsidR="004E2C44" w:rsidRPr="00F242DD" w:rsidRDefault="004E2C44" w:rsidP="00893452">
      <w:pPr>
        <w:pStyle w:val="a6"/>
        <w:numPr>
          <w:ilvl w:val="0"/>
          <w:numId w:val="44"/>
        </w:numPr>
        <w:autoSpaceDE w:val="0"/>
        <w:autoSpaceDN w:val="0"/>
        <w:adjustRightInd w:val="0"/>
        <w:spacing w:before="0" w:after="0"/>
        <w:ind w:left="284" w:firstLine="0"/>
        <w:rPr>
          <w:szCs w:val="24"/>
          <w:lang w:eastAsia="ru-RU"/>
        </w:rPr>
      </w:pPr>
      <w:r w:rsidRPr="00F242DD">
        <w:rPr>
          <w:szCs w:val="24"/>
          <w:lang w:eastAsia="ru-RU"/>
        </w:rPr>
        <w:t>Леналидомид</w:t>
      </w:r>
      <w:r w:rsidRPr="00F242DD">
        <w:rPr>
          <w:rFonts w:eastAsia="Times New Roman"/>
          <w:szCs w:val="24"/>
          <w:lang w:eastAsia="ru-RU"/>
        </w:rPr>
        <w:t>**</w:t>
      </w:r>
      <w:r w:rsidRPr="00F242DD">
        <w:rPr>
          <w:szCs w:val="24"/>
          <w:lang w:eastAsia="ru-RU"/>
        </w:rPr>
        <w:t xml:space="preserve"> по 25 мг энтерально в дни 1‒21</w:t>
      </w:r>
      <w:r w:rsidRPr="00F242DD">
        <w:rPr>
          <w:rFonts w:eastAsia="Times New Roman"/>
          <w:szCs w:val="24"/>
          <w:lang w:eastAsia="ru-RU"/>
        </w:rPr>
        <w:t>-й</w:t>
      </w:r>
      <w:r w:rsidRPr="00F242DD">
        <w:rPr>
          <w:szCs w:val="24"/>
          <w:lang w:eastAsia="ru-RU"/>
        </w:rPr>
        <w:t xml:space="preserve"> повторяющихся 4-недельных циклов</w:t>
      </w:r>
    </w:p>
    <w:p w14:paraId="3C4BC7DF" w14:textId="77777777" w:rsidR="004E2C44" w:rsidRDefault="004E2C44" w:rsidP="00893452">
      <w:pPr>
        <w:pStyle w:val="a6"/>
        <w:numPr>
          <w:ilvl w:val="0"/>
          <w:numId w:val="44"/>
        </w:numPr>
        <w:spacing w:before="0" w:after="0"/>
        <w:ind w:left="284" w:firstLine="0"/>
        <w:jc w:val="left"/>
        <w:rPr>
          <w:rFonts w:eastAsia="Times New Roman"/>
          <w:szCs w:val="24"/>
          <w:lang w:eastAsia="ru-RU"/>
        </w:rPr>
      </w:pPr>
      <w:r w:rsidRPr="00F242DD">
        <w:rPr>
          <w:rFonts w:eastAsia="Times New Roman"/>
          <w:szCs w:val="24"/>
          <w:lang w:eastAsia="ru-RU"/>
        </w:rPr>
        <w:t xml:space="preserve">Дексаметазон** по 40 мг 1 раз в неделю </w:t>
      </w:r>
    </w:p>
    <w:p w14:paraId="055A1C3F" w14:textId="77777777" w:rsidR="006C0012" w:rsidRPr="006C0012" w:rsidRDefault="006C0012" w:rsidP="006C0012">
      <w:pPr>
        <w:spacing w:before="0" w:after="0"/>
        <w:ind w:left="284"/>
        <w:jc w:val="left"/>
        <w:rPr>
          <w:rFonts w:eastAsia="Times New Roman"/>
          <w:szCs w:val="24"/>
          <w:lang w:eastAsia="ru-RU"/>
        </w:rPr>
      </w:pPr>
    </w:p>
    <w:p w14:paraId="3FCCA376" w14:textId="316F558E" w:rsidR="006C0012" w:rsidRPr="006C0012" w:rsidRDefault="006C0012" w:rsidP="006C0012">
      <w:pPr>
        <w:spacing w:before="0" w:after="0"/>
        <w:contextualSpacing/>
        <w:jc w:val="left"/>
        <w:rPr>
          <w:rFonts w:eastAsia="Times New Roman"/>
          <w:b/>
          <w:szCs w:val="24"/>
          <w:lang w:eastAsia="ru-RU"/>
        </w:rPr>
      </w:pPr>
      <w:r>
        <w:rPr>
          <w:rFonts w:eastAsia="Times New Roman"/>
          <w:b/>
          <w:szCs w:val="24"/>
          <w:lang w:val="en-US" w:eastAsia="ru-RU"/>
        </w:rPr>
        <w:t>Dara</w:t>
      </w:r>
      <w:r w:rsidRPr="006C0012">
        <w:rPr>
          <w:rFonts w:eastAsia="Times New Roman"/>
          <w:b/>
          <w:szCs w:val="24"/>
          <w:lang w:eastAsia="ru-RU"/>
        </w:rPr>
        <w:t>-</w:t>
      </w:r>
      <w:r>
        <w:rPr>
          <w:rFonts w:eastAsia="Times New Roman"/>
          <w:b/>
          <w:szCs w:val="24"/>
          <w:lang w:val="en-US" w:eastAsia="ru-RU"/>
        </w:rPr>
        <w:t>K</w:t>
      </w:r>
      <w:r w:rsidRPr="00F242DD">
        <w:rPr>
          <w:rFonts w:eastAsia="Times New Roman"/>
          <w:b/>
          <w:szCs w:val="24"/>
          <w:lang w:val="en-US" w:eastAsia="ru-RU"/>
        </w:rPr>
        <w:t>d</w:t>
      </w:r>
    </w:p>
    <w:p w14:paraId="28A7C1F5" w14:textId="14EDD0E7" w:rsidR="006C0012" w:rsidRDefault="006C0012" w:rsidP="006C0012">
      <w:pPr>
        <w:numPr>
          <w:ilvl w:val="0"/>
          <w:numId w:val="44"/>
        </w:numPr>
        <w:autoSpaceDE w:val="0"/>
        <w:autoSpaceDN w:val="0"/>
        <w:adjustRightInd w:val="0"/>
        <w:spacing w:before="0" w:after="0"/>
        <w:ind w:left="284" w:firstLine="0"/>
        <w:contextualSpacing/>
        <w:jc w:val="left"/>
        <w:rPr>
          <w:szCs w:val="24"/>
          <w:lang w:eastAsia="ru-RU"/>
        </w:rPr>
      </w:pPr>
      <w:r>
        <w:rPr>
          <w:szCs w:val="24"/>
          <w:lang w:eastAsia="ru-RU"/>
        </w:rPr>
        <w:t>Даратумумаб</w:t>
      </w:r>
      <w:r w:rsidRPr="006C0012">
        <w:rPr>
          <w:rFonts w:eastAsia="Times New Roman"/>
          <w:szCs w:val="24"/>
          <w:lang w:eastAsia="ru-RU"/>
        </w:rPr>
        <w:t>**</w:t>
      </w:r>
      <w:r w:rsidRPr="006C0012">
        <w:rPr>
          <w:szCs w:val="24"/>
          <w:lang w:eastAsia="ru-RU"/>
        </w:rPr>
        <w:t xml:space="preserve"> 1</w:t>
      </w:r>
      <w:r>
        <w:rPr>
          <w:szCs w:val="24"/>
          <w:lang w:eastAsia="ru-RU"/>
        </w:rPr>
        <w:t>6</w:t>
      </w:r>
      <w:r w:rsidRPr="006C0012">
        <w:rPr>
          <w:szCs w:val="24"/>
          <w:lang w:eastAsia="ru-RU"/>
        </w:rPr>
        <w:t xml:space="preserve"> мг/кг в/в</w:t>
      </w:r>
      <w:r>
        <w:rPr>
          <w:szCs w:val="24"/>
          <w:lang w:eastAsia="ru-RU"/>
        </w:rPr>
        <w:t xml:space="preserve"> </w:t>
      </w:r>
    </w:p>
    <w:p w14:paraId="23A35CC9" w14:textId="77777777" w:rsidR="006C0012" w:rsidRPr="00F242DD" w:rsidRDefault="006C0012" w:rsidP="006C0012">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1 раз в неделю в 1‒8</w:t>
      </w:r>
      <w:r w:rsidRPr="00F242DD">
        <w:rPr>
          <w:rFonts w:eastAsia="Times New Roman"/>
          <w:szCs w:val="24"/>
          <w:lang w:eastAsia="ru-RU"/>
        </w:rPr>
        <w:t>-ю</w:t>
      </w:r>
      <w:r w:rsidRPr="00F242DD">
        <w:rPr>
          <w:szCs w:val="24"/>
          <w:lang w:eastAsia="ru-RU"/>
        </w:rPr>
        <w:t xml:space="preserve"> недели (всего 8 доз) </w:t>
      </w:r>
    </w:p>
    <w:p w14:paraId="4D2B61A3" w14:textId="77777777" w:rsidR="006C0012" w:rsidRPr="00F242DD" w:rsidRDefault="006C0012" w:rsidP="006C0012">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1 раз в 2 недели в 9‒24-ю недели (всего 8 доз)</w:t>
      </w:r>
    </w:p>
    <w:p w14:paraId="144D8328" w14:textId="77777777" w:rsidR="006C0012" w:rsidRPr="00F242DD" w:rsidRDefault="006C0012" w:rsidP="006C0012">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1 раз в 4 недели с 25</w:t>
      </w:r>
      <w:r w:rsidRPr="00F242DD">
        <w:rPr>
          <w:rFonts w:eastAsia="Times New Roman"/>
          <w:szCs w:val="24"/>
          <w:lang w:eastAsia="ru-RU"/>
        </w:rPr>
        <w:t>-й</w:t>
      </w:r>
      <w:r w:rsidRPr="00F242DD">
        <w:rPr>
          <w:szCs w:val="24"/>
          <w:lang w:eastAsia="ru-RU"/>
        </w:rPr>
        <w:t xml:space="preserve"> недели до прогрессирования</w:t>
      </w:r>
    </w:p>
    <w:p w14:paraId="46C8908C" w14:textId="64F93550" w:rsidR="006C0012" w:rsidRDefault="006C0012" w:rsidP="006C0012">
      <w:pPr>
        <w:numPr>
          <w:ilvl w:val="0"/>
          <w:numId w:val="44"/>
        </w:numPr>
        <w:autoSpaceDE w:val="0"/>
        <w:autoSpaceDN w:val="0"/>
        <w:adjustRightInd w:val="0"/>
        <w:spacing w:before="0" w:after="0"/>
        <w:ind w:left="284" w:firstLine="0"/>
        <w:contextualSpacing/>
        <w:jc w:val="left"/>
        <w:rPr>
          <w:szCs w:val="24"/>
          <w:lang w:eastAsia="ru-RU"/>
        </w:rPr>
      </w:pPr>
      <w:r>
        <w:rPr>
          <w:szCs w:val="24"/>
          <w:lang w:eastAsia="ru-RU"/>
        </w:rPr>
        <w:t>Карфилзомиб</w:t>
      </w:r>
      <w:r w:rsidRPr="006C0012">
        <w:rPr>
          <w:rFonts w:eastAsia="Times New Roman"/>
          <w:szCs w:val="24"/>
          <w:lang w:eastAsia="ru-RU"/>
        </w:rPr>
        <w:t>**</w:t>
      </w:r>
      <w:r>
        <w:rPr>
          <w:szCs w:val="24"/>
          <w:lang w:eastAsia="ru-RU"/>
        </w:rPr>
        <w:t xml:space="preserve"> </w:t>
      </w:r>
      <w:r w:rsidRPr="006C0012">
        <w:rPr>
          <w:szCs w:val="24"/>
          <w:lang w:eastAsia="ru-RU"/>
        </w:rPr>
        <w:t>56 мг/м</w:t>
      </w:r>
      <w:r w:rsidRPr="006C0012">
        <w:rPr>
          <w:szCs w:val="24"/>
          <w:vertAlign w:val="superscript"/>
          <w:lang w:eastAsia="ru-RU"/>
        </w:rPr>
        <w:t>2</w:t>
      </w:r>
      <w:r w:rsidRPr="006C0012">
        <w:rPr>
          <w:szCs w:val="24"/>
          <w:lang w:eastAsia="ru-RU"/>
        </w:rPr>
        <w:t xml:space="preserve"> в/в, в дни 1, 2, 8, 9, 15, 16-й (20 мг/м</w:t>
      </w:r>
      <w:r w:rsidRPr="006C0012">
        <w:rPr>
          <w:szCs w:val="24"/>
          <w:vertAlign w:val="superscript"/>
          <w:lang w:eastAsia="ru-RU"/>
        </w:rPr>
        <w:t>2</w:t>
      </w:r>
      <w:r w:rsidRPr="006C0012">
        <w:rPr>
          <w:szCs w:val="24"/>
          <w:lang w:eastAsia="ru-RU"/>
        </w:rPr>
        <w:t xml:space="preserve"> </w:t>
      </w:r>
      <w:r>
        <w:rPr>
          <w:szCs w:val="24"/>
          <w:lang w:eastAsia="ru-RU"/>
        </w:rPr>
        <w:t>в</w:t>
      </w:r>
      <w:r w:rsidRPr="006C0012">
        <w:rPr>
          <w:szCs w:val="24"/>
          <w:lang w:eastAsia="ru-RU"/>
        </w:rPr>
        <w:t xml:space="preserve"> 1, 2-й </w:t>
      </w:r>
      <w:r>
        <w:rPr>
          <w:szCs w:val="24"/>
          <w:lang w:eastAsia="ru-RU"/>
        </w:rPr>
        <w:t>день первого</w:t>
      </w:r>
      <w:r w:rsidRPr="006C0012">
        <w:rPr>
          <w:szCs w:val="24"/>
          <w:lang w:eastAsia="ru-RU"/>
        </w:rPr>
        <w:t xml:space="preserve"> цикл</w:t>
      </w:r>
      <w:r>
        <w:rPr>
          <w:szCs w:val="24"/>
          <w:lang w:eastAsia="ru-RU"/>
        </w:rPr>
        <w:t>а</w:t>
      </w:r>
      <w:r w:rsidRPr="006C0012">
        <w:rPr>
          <w:szCs w:val="24"/>
          <w:lang w:eastAsia="ru-RU"/>
        </w:rPr>
        <w:t>)</w:t>
      </w:r>
    </w:p>
    <w:p w14:paraId="175E1BB6" w14:textId="77777777" w:rsidR="006C0012" w:rsidRDefault="006C0012" w:rsidP="006C0012">
      <w:pPr>
        <w:numPr>
          <w:ilvl w:val="0"/>
          <w:numId w:val="44"/>
        </w:numPr>
        <w:autoSpaceDE w:val="0"/>
        <w:autoSpaceDN w:val="0"/>
        <w:adjustRightInd w:val="0"/>
        <w:spacing w:before="0" w:after="0"/>
        <w:ind w:left="284" w:firstLine="0"/>
        <w:contextualSpacing/>
        <w:jc w:val="left"/>
        <w:rPr>
          <w:szCs w:val="24"/>
          <w:lang w:eastAsia="ru-RU"/>
        </w:rPr>
      </w:pPr>
      <w:r w:rsidRPr="006C0012">
        <w:rPr>
          <w:szCs w:val="24"/>
          <w:lang w:eastAsia="ru-RU"/>
        </w:rPr>
        <w:t>Дексаметазон** 20 мг в 1, 2, 8, 9, 15, 16, 22, 23-й</w:t>
      </w:r>
      <w:r>
        <w:rPr>
          <w:szCs w:val="24"/>
          <w:lang w:eastAsia="ru-RU"/>
        </w:rPr>
        <w:t xml:space="preserve"> дни каждого цикла.</w:t>
      </w:r>
    </w:p>
    <w:p w14:paraId="1059C839" w14:textId="77777777" w:rsidR="006C0012" w:rsidRPr="006C0012" w:rsidRDefault="006C0012" w:rsidP="006C0012">
      <w:pPr>
        <w:tabs>
          <w:tab w:val="num" w:pos="142"/>
        </w:tabs>
        <w:autoSpaceDE w:val="0"/>
        <w:autoSpaceDN w:val="0"/>
        <w:adjustRightInd w:val="0"/>
        <w:spacing w:before="0" w:after="0"/>
        <w:rPr>
          <w:szCs w:val="24"/>
          <w:lang w:eastAsia="ru-RU"/>
        </w:rPr>
      </w:pPr>
      <w:r w:rsidRPr="006C0012">
        <w:rPr>
          <w:szCs w:val="24"/>
          <w:lang w:eastAsia="ru-RU"/>
        </w:rPr>
        <w:t>Лечение возобновляется на 29</w:t>
      </w:r>
      <w:r w:rsidRPr="006C0012">
        <w:rPr>
          <w:rFonts w:eastAsia="Times New Roman"/>
          <w:szCs w:val="24"/>
          <w:lang w:eastAsia="ru-RU"/>
        </w:rPr>
        <w:t>-й</w:t>
      </w:r>
      <w:r w:rsidRPr="006C0012">
        <w:rPr>
          <w:szCs w:val="24"/>
          <w:lang w:eastAsia="ru-RU"/>
        </w:rPr>
        <w:t xml:space="preserve"> день.</w:t>
      </w:r>
    </w:p>
    <w:p w14:paraId="72F518FD" w14:textId="77777777" w:rsidR="006C0012" w:rsidRPr="006C0012" w:rsidRDefault="006C0012" w:rsidP="006C0012">
      <w:pPr>
        <w:spacing w:before="0" w:after="0"/>
        <w:contextualSpacing/>
        <w:jc w:val="left"/>
        <w:rPr>
          <w:rFonts w:eastAsia="Times New Roman"/>
          <w:b/>
          <w:szCs w:val="24"/>
          <w:lang w:eastAsia="ru-RU"/>
        </w:rPr>
      </w:pPr>
    </w:p>
    <w:p w14:paraId="69811DDE" w14:textId="27BEE88B" w:rsidR="006C0012" w:rsidRPr="00F242DD" w:rsidRDefault="006C0012" w:rsidP="006C0012">
      <w:pPr>
        <w:spacing w:before="0" w:after="0"/>
        <w:contextualSpacing/>
        <w:jc w:val="left"/>
        <w:rPr>
          <w:rFonts w:eastAsia="Times New Roman"/>
          <w:b/>
          <w:szCs w:val="24"/>
          <w:lang w:val="en-US" w:eastAsia="ru-RU"/>
        </w:rPr>
      </w:pPr>
      <w:r>
        <w:rPr>
          <w:rFonts w:eastAsia="Times New Roman"/>
          <w:b/>
          <w:szCs w:val="24"/>
          <w:lang w:val="en-US" w:eastAsia="ru-RU"/>
        </w:rPr>
        <w:t>Isa-K</w:t>
      </w:r>
      <w:r w:rsidRPr="00F242DD">
        <w:rPr>
          <w:rFonts w:eastAsia="Times New Roman"/>
          <w:b/>
          <w:szCs w:val="24"/>
          <w:lang w:val="en-US" w:eastAsia="ru-RU"/>
        </w:rPr>
        <w:t>d</w:t>
      </w:r>
    </w:p>
    <w:p w14:paraId="6FFF2C6E" w14:textId="77777777" w:rsidR="006C0012" w:rsidRDefault="006C0012" w:rsidP="006C0012">
      <w:pPr>
        <w:numPr>
          <w:ilvl w:val="0"/>
          <w:numId w:val="44"/>
        </w:numPr>
        <w:autoSpaceDE w:val="0"/>
        <w:autoSpaceDN w:val="0"/>
        <w:adjustRightInd w:val="0"/>
        <w:spacing w:before="0" w:after="0"/>
        <w:ind w:left="284" w:firstLine="0"/>
        <w:contextualSpacing/>
        <w:jc w:val="left"/>
        <w:rPr>
          <w:szCs w:val="24"/>
          <w:lang w:eastAsia="ru-RU"/>
        </w:rPr>
      </w:pPr>
      <w:r w:rsidRPr="006C0012">
        <w:rPr>
          <w:szCs w:val="24"/>
          <w:lang w:eastAsia="ru-RU"/>
        </w:rPr>
        <w:t>Изатуксимаб</w:t>
      </w:r>
      <w:r w:rsidRPr="006C0012">
        <w:rPr>
          <w:rFonts w:eastAsia="Times New Roman"/>
          <w:szCs w:val="24"/>
          <w:lang w:eastAsia="ru-RU"/>
        </w:rPr>
        <w:t>**</w:t>
      </w:r>
      <w:r w:rsidRPr="006C0012">
        <w:rPr>
          <w:szCs w:val="24"/>
          <w:lang w:eastAsia="ru-RU"/>
        </w:rPr>
        <w:t xml:space="preserve"> 10 мг/кг в/в</w:t>
      </w:r>
      <w:r>
        <w:rPr>
          <w:szCs w:val="24"/>
          <w:lang w:eastAsia="ru-RU"/>
        </w:rPr>
        <w:t>, в</w:t>
      </w:r>
      <w:r w:rsidRPr="006C0012">
        <w:rPr>
          <w:szCs w:val="24"/>
          <w:lang w:eastAsia="ru-RU"/>
        </w:rPr>
        <w:t xml:space="preserve"> 1,8,15,22</w:t>
      </w:r>
      <w:r>
        <w:rPr>
          <w:szCs w:val="24"/>
          <w:lang w:eastAsia="ru-RU"/>
        </w:rPr>
        <w:t xml:space="preserve"> день первого </w:t>
      </w:r>
      <w:r w:rsidRPr="006C0012">
        <w:rPr>
          <w:szCs w:val="24"/>
          <w:lang w:eastAsia="ru-RU"/>
        </w:rPr>
        <w:t>цикл</w:t>
      </w:r>
      <w:r>
        <w:rPr>
          <w:szCs w:val="24"/>
          <w:lang w:eastAsia="ru-RU"/>
        </w:rPr>
        <w:t xml:space="preserve">а, </w:t>
      </w:r>
      <w:r w:rsidRPr="006C0012">
        <w:rPr>
          <w:szCs w:val="24"/>
          <w:lang w:eastAsia="ru-RU"/>
        </w:rPr>
        <w:t>в 1,15</w:t>
      </w:r>
      <w:r>
        <w:rPr>
          <w:szCs w:val="24"/>
          <w:lang w:eastAsia="ru-RU"/>
        </w:rPr>
        <w:t xml:space="preserve"> дни последующих циклов </w:t>
      </w:r>
    </w:p>
    <w:p w14:paraId="04B0D5EF" w14:textId="0426A98C" w:rsidR="006C0012" w:rsidRDefault="006C0012" w:rsidP="006C0012">
      <w:pPr>
        <w:numPr>
          <w:ilvl w:val="0"/>
          <w:numId w:val="44"/>
        </w:numPr>
        <w:autoSpaceDE w:val="0"/>
        <w:autoSpaceDN w:val="0"/>
        <w:adjustRightInd w:val="0"/>
        <w:spacing w:before="0" w:after="0"/>
        <w:ind w:left="284" w:firstLine="0"/>
        <w:contextualSpacing/>
        <w:jc w:val="left"/>
        <w:rPr>
          <w:szCs w:val="24"/>
          <w:lang w:eastAsia="ru-RU"/>
        </w:rPr>
      </w:pPr>
      <w:r>
        <w:rPr>
          <w:szCs w:val="24"/>
          <w:lang w:eastAsia="ru-RU"/>
        </w:rPr>
        <w:t>Карфилзомиб</w:t>
      </w:r>
      <w:r w:rsidRPr="006C0012">
        <w:rPr>
          <w:rFonts w:eastAsia="Times New Roman"/>
          <w:szCs w:val="24"/>
          <w:lang w:eastAsia="ru-RU"/>
        </w:rPr>
        <w:t>**</w:t>
      </w:r>
      <w:r>
        <w:rPr>
          <w:szCs w:val="24"/>
          <w:lang w:eastAsia="ru-RU"/>
        </w:rPr>
        <w:t xml:space="preserve"> </w:t>
      </w:r>
      <w:r w:rsidRPr="006C0012">
        <w:rPr>
          <w:szCs w:val="24"/>
          <w:lang w:eastAsia="ru-RU"/>
        </w:rPr>
        <w:t>56 мг/м</w:t>
      </w:r>
      <w:r w:rsidRPr="006C0012">
        <w:rPr>
          <w:szCs w:val="24"/>
          <w:vertAlign w:val="superscript"/>
          <w:lang w:eastAsia="ru-RU"/>
        </w:rPr>
        <w:t>2</w:t>
      </w:r>
      <w:r w:rsidRPr="006C0012">
        <w:rPr>
          <w:szCs w:val="24"/>
          <w:lang w:eastAsia="ru-RU"/>
        </w:rPr>
        <w:t xml:space="preserve"> в/в, в дни 1, 2, 8, 9, 15, 16-й (20 мг/м</w:t>
      </w:r>
      <w:r w:rsidRPr="006C0012">
        <w:rPr>
          <w:szCs w:val="24"/>
          <w:vertAlign w:val="superscript"/>
          <w:lang w:eastAsia="ru-RU"/>
        </w:rPr>
        <w:t>2</w:t>
      </w:r>
      <w:r w:rsidRPr="006C0012">
        <w:rPr>
          <w:szCs w:val="24"/>
          <w:lang w:eastAsia="ru-RU"/>
        </w:rPr>
        <w:t xml:space="preserve"> </w:t>
      </w:r>
      <w:r>
        <w:rPr>
          <w:szCs w:val="24"/>
          <w:lang w:eastAsia="ru-RU"/>
        </w:rPr>
        <w:t>в</w:t>
      </w:r>
      <w:r w:rsidRPr="006C0012">
        <w:rPr>
          <w:szCs w:val="24"/>
          <w:lang w:eastAsia="ru-RU"/>
        </w:rPr>
        <w:t xml:space="preserve"> 1, 2-й </w:t>
      </w:r>
      <w:r>
        <w:rPr>
          <w:szCs w:val="24"/>
          <w:lang w:eastAsia="ru-RU"/>
        </w:rPr>
        <w:t>день первого</w:t>
      </w:r>
      <w:r w:rsidRPr="006C0012">
        <w:rPr>
          <w:szCs w:val="24"/>
          <w:lang w:eastAsia="ru-RU"/>
        </w:rPr>
        <w:t xml:space="preserve"> цикл</w:t>
      </w:r>
      <w:r>
        <w:rPr>
          <w:szCs w:val="24"/>
          <w:lang w:eastAsia="ru-RU"/>
        </w:rPr>
        <w:t>а</w:t>
      </w:r>
      <w:r w:rsidRPr="006C0012">
        <w:rPr>
          <w:szCs w:val="24"/>
          <w:lang w:eastAsia="ru-RU"/>
        </w:rPr>
        <w:t>)</w:t>
      </w:r>
    </w:p>
    <w:p w14:paraId="5A4323BE" w14:textId="4AC268AF" w:rsidR="006C0012" w:rsidRDefault="006C0012" w:rsidP="006C0012">
      <w:pPr>
        <w:numPr>
          <w:ilvl w:val="0"/>
          <w:numId w:val="44"/>
        </w:numPr>
        <w:autoSpaceDE w:val="0"/>
        <w:autoSpaceDN w:val="0"/>
        <w:adjustRightInd w:val="0"/>
        <w:spacing w:before="0" w:after="0"/>
        <w:ind w:left="284" w:firstLine="0"/>
        <w:contextualSpacing/>
        <w:jc w:val="left"/>
        <w:rPr>
          <w:szCs w:val="24"/>
          <w:lang w:eastAsia="ru-RU"/>
        </w:rPr>
      </w:pPr>
      <w:r w:rsidRPr="006C0012">
        <w:rPr>
          <w:szCs w:val="24"/>
          <w:lang w:eastAsia="ru-RU"/>
        </w:rPr>
        <w:t>Дексаметазон** 20 мг в 1, 2, 8, 9, 15, 16, 22, 23-й</w:t>
      </w:r>
      <w:r>
        <w:rPr>
          <w:szCs w:val="24"/>
          <w:lang w:eastAsia="ru-RU"/>
        </w:rPr>
        <w:t xml:space="preserve"> дни каждого цикла.</w:t>
      </w:r>
    </w:p>
    <w:p w14:paraId="5A842D78" w14:textId="77777777" w:rsidR="006C0012" w:rsidRPr="006C0012" w:rsidRDefault="006C0012" w:rsidP="006C0012">
      <w:pPr>
        <w:tabs>
          <w:tab w:val="num" w:pos="142"/>
        </w:tabs>
        <w:autoSpaceDE w:val="0"/>
        <w:autoSpaceDN w:val="0"/>
        <w:adjustRightInd w:val="0"/>
        <w:spacing w:before="0" w:after="0"/>
        <w:rPr>
          <w:szCs w:val="24"/>
          <w:lang w:eastAsia="ru-RU"/>
        </w:rPr>
      </w:pPr>
      <w:r w:rsidRPr="006C0012">
        <w:rPr>
          <w:szCs w:val="24"/>
          <w:lang w:eastAsia="ru-RU"/>
        </w:rPr>
        <w:t>Лечение возобновляется на 29</w:t>
      </w:r>
      <w:r w:rsidRPr="006C0012">
        <w:rPr>
          <w:rFonts w:eastAsia="Times New Roman"/>
          <w:szCs w:val="24"/>
          <w:lang w:eastAsia="ru-RU"/>
        </w:rPr>
        <w:t>-й</w:t>
      </w:r>
      <w:r w:rsidRPr="006C0012">
        <w:rPr>
          <w:szCs w:val="24"/>
          <w:lang w:eastAsia="ru-RU"/>
        </w:rPr>
        <w:t xml:space="preserve"> день.</w:t>
      </w:r>
    </w:p>
    <w:p w14:paraId="111DFB90" w14:textId="77777777" w:rsidR="004E2C44" w:rsidRDefault="004E2C44" w:rsidP="004E2C44">
      <w:pPr>
        <w:autoSpaceDE w:val="0"/>
        <w:autoSpaceDN w:val="0"/>
        <w:adjustRightInd w:val="0"/>
        <w:spacing w:before="0" w:after="0"/>
        <w:contextualSpacing/>
        <w:rPr>
          <w:b/>
          <w:szCs w:val="24"/>
          <w:lang w:eastAsia="ru-RU"/>
        </w:rPr>
      </w:pPr>
    </w:p>
    <w:p w14:paraId="0273E631" w14:textId="77777777" w:rsidR="00AC2254" w:rsidRPr="005F2CC7" w:rsidRDefault="00AC2254" w:rsidP="004E2C44">
      <w:pPr>
        <w:autoSpaceDE w:val="0"/>
        <w:autoSpaceDN w:val="0"/>
        <w:adjustRightInd w:val="0"/>
        <w:spacing w:before="0" w:after="0"/>
        <w:contextualSpacing/>
        <w:rPr>
          <w:b/>
          <w:szCs w:val="24"/>
          <w:lang w:eastAsia="ru-RU"/>
        </w:rPr>
      </w:pPr>
    </w:p>
    <w:p w14:paraId="0EAA38D2" w14:textId="77777777" w:rsidR="004E2C44" w:rsidRPr="00F242DD" w:rsidRDefault="004E2C44" w:rsidP="004E2C44">
      <w:pPr>
        <w:autoSpaceDE w:val="0"/>
        <w:autoSpaceDN w:val="0"/>
        <w:adjustRightInd w:val="0"/>
        <w:spacing w:before="0" w:after="0"/>
        <w:contextualSpacing/>
        <w:rPr>
          <w:b/>
          <w:szCs w:val="24"/>
          <w:lang w:eastAsia="ru-RU"/>
        </w:rPr>
      </w:pPr>
      <w:r w:rsidRPr="00F242DD">
        <w:rPr>
          <w:b/>
          <w:szCs w:val="24"/>
          <w:lang w:eastAsia="ru-RU"/>
        </w:rPr>
        <w:lastRenderedPageBreak/>
        <w:t>Даратумумаб (монотерапия):</w:t>
      </w:r>
    </w:p>
    <w:p w14:paraId="33528617" w14:textId="77777777" w:rsidR="004E2C44" w:rsidRPr="00F242DD" w:rsidRDefault="004E2C44" w:rsidP="004E2C44">
      <w:pPr>
        <w:numPr>
          <w:ilvl w:val="0"/>
          <w:numId w:val="16"/>
        </w:numPr>
        <w:autoSpaceDE w:val="0"/>
        <w:autoSpaceDN w:val="0"/>
        <w:adjustRightInd w:val="0"/>
        <w:spacing w:before="0" w:after="0"/>
        <w:ind w:left="284" w:firstLine="0"/>
        <w:contextualSpacing/>
        <w:jc w:val="left"/>
        <w:rPr>
          <w:szCs w:val="24"/>
          <w:lang w:eastAsia="ru-RU"/>
        </w:rPr>
      </w:pPr>
      <w:r w:rsidRPr="00F242DD">
        <w:rPr>
          <w:szCs w:val="24"/>
          <w:lang w:eastAsia="ru-RU"/>
        </w:rPr>
        <w:t>Даратумумаб</w:t>
      </w:r>
      <w:r w:rsidRPr="00F242DD">
        <w:rPr>
          <w:rFonts w:eastAsia="Times New Roman"/>
          <w:szCs w:val="24"/>
          <w:lang w:eastAsia="ru-RU"/>
        </w:rPr>
        <w:t>**</w:t>
      </w:r>
      <w:r w:rsidRPr="00F242DD">
        <w:rPr>
          <w:szCs w:val="24"/>
          <w:lang w:eastAsia="ru-RU"/>
        </w:rPr>
        <w:t xml:space="preserve"> 16 мг/кг в/в </w:t>
      </w:r>
    </w:p>
    <w:p w14:paraId="7FEEE3DD" w14:textId="77777777" w:rsidR="004E2C44" w:rsidRPr="00F242DD" w:rsidRDefault="004E2C44" w:rsidP="004E2C44">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1 раз в неделю в 1‒8</w:t>
      </w:r>
      <w:r w:rsidRPr="00F242DD">
        <w:rPr>
          <w:rFonts w:eastAsia="Times New Roman"/>
          <w:szCs w:val="24"/>
          <w:lang w:eastAsia="ru-RU"/>
        </w:rPr>
        <w:t>-ю</w:t>
      </w:r>
      <w:r w:rsidRPr="00F242DD">
        <w:rPr>
          <w:szCs w:val="24"/>
          <w:lang w:eastAsia="ru-RU"/>
        </w:rPr>
        <w:t xml:space="preserve"> недели (всего 8 доз) </w:t>
      </w:r>
    </w:p>
    <w:p w14:paraId="0AA88861" w14:textId="77777777" w:rsidR="004E2C44" w:rsidRPr="00F242DD" w:rsidRDefault="004E2C44" w:rsidP="004E2C44">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1 раз в 2 недели в 9‒24</w:t>
      </w:r>
      <w:r w:rsidRPr="00F242DD">
        <w:rPr>
          <w:rFonts w:eastAsia="Times New Roman"/>
          <w:szCs w:val="24"/>
          <w:lang w:eastAsia="ru-RU"/>
        </w:rPr>
        <w:t>-ю</w:t>
      </w:r>
      <w:r w:rsidRPr="00F242DD">
        <w:rPr>
          <w:szCs w:val="24"/>
          <w:lang w:eastAsia="ru-RU"/>
        </w:rPr>
        <w:t xml:space="preserve"> недели (всего 8 доз)</w:t>
      </w:r>
    </w:p>
    <w:p w14:paraId="7E84A4B6" w14:textId="77777777" w:rsidR="004E2C44" w:rsidRPr="00F242DD" w:rsidRDefault="004E2C44" w:rsidP="004E2C44">
      <w:pPr>
        <w:autoSpaceDE w:val="0"/>
        <w:autoSpaceDN w:val="0"/>
        <w:adjustRightInd w:val="0"/>
        <w:spacing w:before="0" w:after="0"/>
        <w:ind w:left="284"/>
        <w:contextualSpacing/>
        <w:jc w:val="left"/>
        <w:rPr>
          <w:szCs w:val="24"/>
          <w:lang w:eastAsia="ru-RU"/>
        </w:rPr>
      </w:pPr>
      <w:r>
        <w:rPr>
          <w:szCs w:val="24"/>
          <w:lang w:eastAsia="ru-RU"/>
        </w:rPr>
        <w:t>-</w:t>
      </w:r>
      <w:r w:rsidRPr="00F242DD">
        <w:rPr>
          <w:szCs w:val="24"/>
          <w:lang w:eastAsia="ru-RU"/>
        </w:rPr>
        <w:t xml:space="preserve">1 раз в 4 недели с 25-й недели </w:t>
      </w:r>
    </w:p>
    <w:p w14:paraId="41AFD227" w14:textId="77777777" w:rsidR="004E2C44" w:rsidRPr="00F242DD" w:rsidRDefault="004E2C44" w:rsidP="004E2C44">
      <w:pPr>
        <w:autoSpaceDE w:val="0"/>
        <w:autoSpaceDN w:val="0"/>
        <w:adjustRightInd w:val="0"/>
        <w:spacing w:before="0" w:after="0"/>
        <w:ind w:left="284"/>
        <w:contextualSpacing/>
        <w:jc w:val="left"/>
        <w:rPr>
          <w:szCs w:val="24"/>
          <w:lang w:eastAsia="ru-RU"/>
        </w:rPr>
      </w:pPr>
      <w:r w:rsidRPr="00F242DD">
        <w:rPr>
          <w:szCs w:val="24"/>
          <w:lang w:eastAsia="ru-RU"/>
        </w:rPr>
        <w:t>Далее до прогрессирования или до развития непереносимости.</w:t>
      </w:r>
    </w:p>
    <w:p w14:paraId="4B329A17" w14:textId="77777777" w:rsidR="004E2C44" w:rsidRPr="005F2CC7" w:rsidRDefault="004E2C44" w:rsidP="004E2C44">
      <w:pPr>
        <w:spacing w:before="0" w:after="0"/>
        <w:contextualSpacing/>
        <w:rPr>
          <w:rFonts w:eastAsia="Times New Roman"/>
          <w:b/>
          <w:szCs w:val="24"/>
        </w:rPr>
      </w:pPr>
    </w:p>
    <w:p w14:paraId="2624CC31" w14:textId="77777777" w:rsidR="004E2C44" w:rsidRPr="00F242DD" w:rsidRDefault="004E2C44" w:rsidP="004E2C44">
      <w:pPr>
        <w:spacing w:before="0" w:after="0"/>
        <w:contextualSpacing/>
        <w:rPr>
          <w:rFonts w:eastAsia="Times New Roman"/>
          <w:b/>
          <w:szCs w:val="24"/>
        </w:rPr>
      </w:pPr>
      <w:r w:rsidRPr="00F242DD">
        <w:rPr>
          <w:rFonts w:eastAsia="Times New Roman"/>
          <w:b/>
          <w:szCs w:val="24"/>
        </w:rPr>
        <w:t>Pom+dex</w:t>
      </w:r>
    </w:p>
    <w:p w14:paraId="6CBA3FB3" w14:textId="77777777" w:rsidR="004E2C44" w:rsidRPr="00F242DD" w:rsidRDefault="004E2C44" w:rsidP="004E2C44">
      <w:pPr>
        <w:pStyle w:val="a6"/>
        <w:numPr>
          <w:ilvl w:val="0"/>
          <w:numId w:val="38"/>
        </w:numPr>
        <w:tabs>
          <w:tab w:val="clear" w:pos="0"/>
          <w:tab w:val="num" w:pos="426"/>
        </w:tabs>
        <w:suppressAutoHyphens/>
        <w:spacing w:before="0" w:after="0"/>
        <w:ind w:left="284" w:firstLine="0"/>
        <w:jc w:val="left"/>
        <w:rPr>
          <w:rFonts w:eastAsia="Times New Roman"/>
          <w:szCs w:val="24"/>
        </w:rPr>
      </w:pPr>
      <w:r w:rsidRPr="00F242DD">
        <w:rPr>
          <w:rFonts w:eastAsia="Times New Roman"/>
          <w:szCs w:val="24"/>
        </w:rPr>
        <w:t>Помалидомид 4 мг внутрь, дни 1‒</w:t>
      </w:r>
      <w:r w:rsidRPr="00F242DD">
        <w:rPr>
          <w:rFonts w:eastAsia="Times New Roman"/>
          <w:szCs w:val="24"/>
          <w:lang w:val="en-US"/>
        </w:rPr>
        <w:t>21</w:t>
      </w:r>
      <w:r w:rsidRPr="00F242DD">
        <w:rPr>
          <w:rFonts w:eastAsia="Times New Roman"/>
          <w:szCs w:val="24"/>
          <w:lang w:eastAsia="ru-RU"/>
        </w:rPr>
        <w:t>-й</w:t>
      </w:r>
    </w:p>
    <w:p w14:paraId="402AB64E" w14:textId="77777777" w:rsidR="004E2C44" w:rsidRPr="00F242DD" w:rsidRDefault="004E2C44" w:rsidP="004E2C44">
      <w:pPr>
        <w:pStyle w:val="a6"/>
        <w:numPr>
          <w:ilvl w:val="0"/>
          <w:numId w:val="38"/>
        </w:numPr>
        <w:tabs>
          <w:tab w:val="clear" w:pos="0"/>
          <w:tab w:val="num" w:pos="426"/>
        </w:tabs>
        <w:suppressAutoHyphens/>
        <w:spacing w:before="0" w:after="0"/>
        <w:ind w:left="284" w:firstLine="0"/>
        <w:jc w:val="left"/>
        <w:rPr>
          <w:rFonts w:eastAsia="Times New Roman"/>
          <w:szCs w:val="24"/>
        </w:rPr>
      </w:pPr>
      <w:r w:rsidRPr="00F242DD">
        <w:rPr>
          <w:rFonts w:eastAsia="Times New Roman"/>
          <w:szCs w:val="24"/>
        </w:rPr>
        <w:t>Дексаметазон</w:t>
      </w:r>
      <w:r w:rsidRPr="00F242DD">
        <w:rPr>
          <w:rFonts w:eastAsia="Times New Roman"/>
          <w:szCs w:val="24"/>
          <w:lang w:eastAsia="ru-RU"/>
        </w:rPr>
        <w:t>**</w:t>
      </w:r>
      <w:r w:rsidRPr="00F242DD">
        <w:rPr>
          <w:rFonts w:eastAsia="Times New Roman"/>
          <w:szCs w:val="24"/>
        </w:rPr>
        <w:t xml:space="preserve"> 40 мг внутрь, дни 1, 8, 15, 22</w:t>
      </w:r>
      <w:r w:rsidRPr="00F242DD">
        <w:rPr>
          <w:rFonts w:eastAsia="Times New Roman"/>
          <w:szCs w:val="24"/>
          <w:lang w:eastAsia="ru-RU"/>
        </w:rPr>
        <w:t>-й</w:t>
      </w:r>
    </w:p>
    <w:p w14:paraId="41A0A6FA" w14:textId="77777777" w:rsidR="004E2C44" w:rsidRPr="00F242DD" w:rsidRDefault="004E2C44" w:rsidP="004E2C44">
      <w:pPr>
        <w:tabs>
          <w:tab w:val="num" w:pos="426"/>
        </w:tabs>
        <w:spacing w:before="0" w:after="0"/>
        <w:ind w:left="709"/>
        <w:contextualSpacing/>
        <w:rPr>
          <w:rFonts w:eastAsia="Times New Roman"/>
          <w:szCs w:val="24"/>
        </w:rPr>
      </w:pPr>
      <w:r w:rsidRPr="00F242DD">
        <w:rPr>
          <w:rFonts w:eastAsia="Times New Roman"/>
          <w:szCs w:val="24"/>
        </w:rPr>
        <w:t>Лечение возобновляется на 29</w:t>
      </w:r>
      <w:r w:rsidRPr="00F242DD">
        <w:rPr>
          <w:rFonts w:eastAsia="Times New Roman"/>
          <w:szCs w:val="24"/>
          <w:lang w:eastAsia="ru-RU"/>
        </w:rPr>
        <w:t>-й</w:t>
      </w:r>
      <w:r w:rsidRPr="00F242DD">
        <w:rPr>
          <w:rFonts w:eastAsia="Times New Roman"/>
          <w:szCs w:val="24"/>
        </w:rPr>
        <w:t xml:space="preserve"> день.</w:t>
      </w:r>
    </w:p>
    <w:p w14:paraId="01622B05" w14:textId="77777777" w:rsidR="004E2C44" w:rsidRPr="004E2C44" w:rsidRDefault="004E2C44" w:rsidP="004E2C44">
      <w:pPr>
        <w:spacing w:before="0" w:after="0"/>
        <w:contextualSpacing/>
        <w:rPr>
          <w:rFonts w:eastAsia="Times New Roman"/>
          <w:b/>
          <w:szCs w:val="24"/>
        </w:rPr>
      </w:pPr>
    </w:p>
    <w:p w14:paraId="2844C353" w14:textId="7B6CC958" w:rsidR="004E2C44" w:rsidRPr="00F242DD" w:rsidRDefault="004E2C44" w:rsidP="004E2C44">
      <w:pPr>
        <w:spacing w:before="0" w:after="0"/>
        <w:contextualSpacing/>
        <w:rPr>
          <w:rFonts w:eastAsia="Times New Roman"/>
          <w:b/>
          <w:szCs w:val="24"/>
        </w:rPr>
      </w:pPr>
      <w:r w:rsidRPr="00F242DD">
        <w:rPr>
          <w:rFonts w:eastAsia="Times New Roman"/>
          <w:b/>
          <w:szCs w:val="24"/>
        </w:rPr>
        <w:t>Карфилзомиб</w:t>
      </w:r>
      <w:r w:rsidR="00E06A0A">
        <w:rPr>
          <w:rFonts w:eastAsia="Times New Roman"/>
          <w:b/>
          <w:szCs w:val="24"/>
          <w:lang w:val="en-US"/>
        </w:rPr>
        <w:t>**</w:t>
      </w:r>
      <w:r w:rsidRPr="00F242DD">
        <w:rPr>
          <w:rFonts w:eastAsia="Times New Roman"/>
          <w:b/>
          <w:szCs w:val="24"/>
        </w:rPr>
        <w:t xml:space="preserve"> (монотерапия)</w:t>
      </w:r>
    </w:p>
    <w:p w14:paraId="71062197" w14:textId="0A4FEAE6" w:rsidR="004E2C44" w:rsidRPr="00F242DD" w:rsidRDefault="004E2C44" w:rsidP="004E2C44">
      <w:pPr>
        <w:pStyle w:val="a6"/>
        <w:numPr>
          <w:ilvl w:val="0"/>
          <w:numId w:val="39"/>
        </w:numPr>
        <w:tabs>
          <w:tab w:val="clear" w:pos="0"/>
          <w:tab w:val="num" w:pos="142"/>
        </w:tabs>
        <w:spacing w:before="0" w:after="0"/>
        <w:ind w:left="284" w:firstLine="0"/>
        <w:jc w:val="left"/>
        <w:rPr>
          <w:rFonts w:eastAsia="Times New Roman"/>
          <w:szCs w:val="24"/>
        </w:rPr>
      </w:pPr>
      <w:r w:rsidRPr="00F242DD">
        <w:rPr>
          <w:rFonts w:eastAsia="Times New Roman"/>
          <w:szCs w:val="24"/>
        </w:rPr>
        <w:t>Карфилзомиб</w:t>
      </w:r>
      <w:r w:rsidRPr="00F242DD">
        <w:rPr>
          <w:rFonts w:eastAsia="Times New Roman"/>
          <w:szCs w:val="24"/>
          <w:lang w:eastAsia="ru-RU"/>
        </w:rPr>
        <w:t>**</w:t>
      </w:r>
      <w:r w:rsidR="00D074C4">
        <w:rPr>
          <w:rFonts w:eastAsia="Times New Roman"/>
          <w:szCs w:val="24"/>
        </w:rPr>
        <w:t xml:space="preserve"> </w:t>
      </w:r>
      <w:r w:rsidRPr="00F242DD">
        <w:rPr>
          <w:rFonts w:eastAsia="Times New Roman"/>
          <w:szCs w:val="24"/>
        </w:rPr>
        <w:t>20 мг/м</w:t>
      </w:r>
      <w:r w:rsidRPr="00F242DD">
        <w:rPr>
          <w:rFonts w:eastAsia="Times New Roman"/>
          <w:szCs w:val="24"/>
          <w:vertAlign w:val="superscript"/>
        </w:rPr>
        <w:t>2</w:t>
      </w:r>
      <w:r w:rsidRPr="00F242DD">
        <w:rPr>
          <w:rFonts w:eastAsia="Times New Roman"/>
          <w:szCs w:val="24"/>
        </w:rPr>
        <w:t xml:space="preserve"> в/в, дни 1, 2, 8, 9, 15, 16</w:t>
      </w:r>
      <w:r w:rsidRPr="00F242DD">
        <w:rPr>
          <w:rFonts w:eastAsia="Times New Roman"/>
          <w:szCs w:val="24"/>
          <w:lang w:eastAsia="ru-RU"/>
        </w:rPr>
        <w:t>-й</w:t>
      </w:r>
      <w:r w:rsidRPr="00F242DD">
        <w:rPr>
          <w:rFonts w:eastAsia="Times New Roman"/>
          <w:szCs w:val="24"/>
        </w:rPr>
        <w:t xml:space="preserve"> ‒ 1-й цикл,</w:t>
      </w:r>
    </w:p>
    <w:p w14:paraId="134380EA" w14:textId="77777777" w:rsidR="004E2C44" w:rsidRPr="00F242DD" w:rsidRDefault="004E2C44" w:rsidP="004E2C44">
      <w:pPr>
        <w:pStyle w:val="a6"/>
        <w:tabs>
          <w:tab w:val="num" w:pos="142"/>
        </w:tabs>
        <w:spacing w:before="0" w:after="0"/>
        <w:ind w:left="284"/>
        <w:rPr>
          <w:rFonts w:eastAsia="Times New Roman"/>
          <w:szCs w:val="24"/>
        </w:rPr>
      </w:pPr>
      <w:r w:rsidRPr="00F242DD">
        <w:rPr>
          <w:rFonts w:eastAsia="Times New Roman"/>
          <w:szCs w:val="24"/>
        </w:rPr>
        <w:t xml:space="preserve"> 27 мг/м</w:t>
      </w:r>
      <w:r w:rsidRPr="00F242DD">
        <w:rPr>
          <w:rFonts w:eastAsia="Times New Roman"/>
          <w:szCs w:val="24"/>
          <w:vertAlign w:val="superscript"/>
        </w:rPr>
        <w:t xml:space="preserve">2 </w:t>
      </w:r>
      <w:r w:rsidRPr="00F242DD">
        <w:rPr>
          <w:rFonts w:eastAsia="Times New Roman"/>
          <w:szCs w:val="24"/>
        </w:rPr>
        <w:t>в дни 1, 2, 8, 9, 15, 16</w:t>
      </w:r>
      <w:r w:rsidRPr="00F242DD">
        <w:rPr>
          <w:rFonts w:eastAsia="Times New Roman"/>
          <w:szCs w:val="24"/>
          <w:lang w:eastAsia="ru-RU"/>
        </w:rPr>
        <w:t xml:space="preserve">-й ‒ </w:t>
      </w:r>
      <w:r w:rsidRPr="00F242DD">
        <w:rPr>
          <w:rFonts w:eastAsia="Times New Roman"/>
          <w:szCs w:val="24"/>
        </w:rPr>
        <w:t>последующие циклы.</w:t>
      </w:r>
    </w:p>
    <w:p w14:paraId="1FB5496E" w14:textId="77777777" w:rsidR="004E2C44" w:rsidRPr="00F242DD" w:rsidRDefault="004E2C44" w:rsidP="004E2C44">
      <w:pPr>
        <w:tabs>
          <w:tab w:val="num" w:pos="142"/>
        </w:tabs>
        <w:spacing w:before="0" w:after="0"/>
        <w:ind w:left="284"/>
        <w:contextualSpacing/>
        <w:rPr>
          <w:rFonts w:eastAsia="Times New Roman"/>
          <w:szCs w:val="24"/>
        </w:rPr>
      </w:pPr>
      <w:r w:rsidRPr="00F242DD">
        <w:rPr>
          <w:rFonts w:eastAsia="Times New Roman"/>
          <w:szCs w:val="24"/>
        </w:rPr>
        <w:t>Лечение возобновляется на 29</w:t>
      </w:r>
      <w:r w:rsidRPr="00F242DD">
        <w:rPr>
          <w:rFonts w:eastAsia="Times New Roman"/>
          <w:szCs w:val="24"/>
          <w:lang w:eastAsia="ru-RU"/>
        </w:rPr>
        <w:t>-й</w:t>
      </w:r>
      <w:r w:rsidRPr="00F242DD">
        <w:rPr>
          <w:rFonts w:eastAsia="Times New Roman"/>
          <w:szCs w:val="24"/>
        </w:rPr>
        <w:t xml:space="preserve"> день.</w:t>
      </w:r>
    </w:p>
    <w:p w14:paraId="08CED230" w14:textId="77777777" w:rsidR="004E2C44" w:rsidRPr="00F242DD" w:rsidRDefault="004E2C44" w:rsidP="004E2C44">
      <w:pPr>
        <w:pStyle w:val="a6"/>
        <w:tabs>
          <w:tab w:val="num" w:pos="142"/>
        </w:tabs>
        <w:spacing w:before="0" w:after="0"/>
        <w:ind w:left="284"/>
        <w:rPr>
          <w:rFonts w:eastAsia="Times New Roman"/>
          <w:szCs w:val="24"/>
        </w:rPr>
      </w:pPr>
      <w:r w:rsidRPr="00F242DD">
        <w:rPr>
          <w:rFonts w:eastAsia="Times New Roman"/>
          <w:szCs w:val="24"/>
        </w:rPr>
        <w:t>Лечение продолжают до прогрессирования или развития неприемлемой токсичности.</w:t>
      </w:r>
    </w:p>
    <w:p w14:paraId="4ECBD5DC" w14:textId="77777777" w:rsidR="004E2C44" w:rsidRDefault="004E2C44" w:rsidP="004E2C44">
      <w:pPr>
        <w:spacing w:before="0" w:after="0"/>
        <w:contextualSpacing/>
        <w:rPr>
          <w:rFonts w:eastAsia="Times New Roman"/>
          <w:b/>
          <w:szCs w:val="24"/>
        </w:rPr>
      </w:pPr>
    </w:p>
    <w:p w14:paraId="0B8FB385" w14:textId="77777777" w:rsidR="007A4B9E" w:rsidRDefault="007A4B9E" w:rsidP="004E2C44">
      <w:pPr>
        <w:spacing w:before="0" w:after="0"/>
        <w:contextualSpacing/>
        <w:rPr>
          <w:rFonts w:eastAsia="Times New Roman"/>
          <w:b/>
          <w:szCs w:val="24"/>
        </w:rPr>
      </w:pPr>
    </w:p>
    <w:p w14:paraId="4C28E059" w14:textId="7DADB374" w:rsidR="004E2C44" w:rsidRPr="00F242DD" w:rsidRDefault="004E2C44" w:rsidP="004E2C44">
      <w:pPr>
        <w:spacing w:before="0" w:after="0"/>
        <w:contextualSpacing/>
        <w:rPr>
          <w:rFonts w:eastAsia="Times New Roman"/>
          <w:b/>
          <w:szCs w:val="24"/>
        </w:rPr>
      </w:pPr>
      <w:r>
        <w:rPr>
          <w:rFonts w:eastAsia="Times New Roman"/>
          <w:b/>
          <w:szCs w:val="24"/>
          <w:lang w:val="en-US"/>
        </w:rPr>
        <w:t>Elo</w:t>
      </w:r>
      <w:r w:rsidRPr="00F242DD">
        <w:rPr>
          <w:rFonts w:eastAsia="Times New Roman"/>
          <w:b/>
          <w:szCs w:val="24"/>
        </w:rPr>
        <w:t>Pd</w:t>
      </w:r>
    </w:p>
    <w:p w14:paraId="70ADD5E7" w14:textId="77777777" w:rsidR="004E2C44" w:rsidRPr="00F242DD" w:rsidRDefault="004E2C44" w:rsidP="004E2C44">
      <w:pPr>
        <w:pStyle w:val="a6"/>
        <w:numPr>
          <w:ilvl w:val="0"/>
          <w:numId w:val="38"/>
        </w:numPr>
        <w:autoSpaceDE w:val="0"/>
        <w:autoSpaceDN w:val="0"/>
        <w:adjustRightInd w:val="0"/>
        <w:spacing w:before="0" w:after="0"/>
        <w:jc w:val="left"/>
        <w:rPr>
          <w:szCs w:val="24"/>
          <w:lang w:eastAsia="ru-RU"/>
        </w:rPr>
      </w:pPr>
      <w:r w:rsidRPr="00F242DD">
        <w:rPr>
          <w:szCs w:val="24"/>
          <w:lang w:eastAsia="ru-RU"/>
        </w:rPr>
        <w:t>Элотузумаб** 10 мг/кг в/в, дни 1, 8, 15, 22</w:t>
      </w:r>
      <w:r w:rsidRPr="00F242DD">
        <w:rPr>
          <w:rFonts w:eastAsia="Times New Roman"/>
          <w:szCs w:val="24"/>
          <w:lang w:eastAsia="ru-RU"/>
        </w:rPr>
        <w:t>-й</w:t>
      </w:r>
      <w:r w:rsidRPr="00F242DD">
        <w:rPr>
          <w:szCs w:val="24"/>
          <w:lang w:eastAsia="ru-RU"/>
        </w:rPr>
        <w:t xml:space="preserve"> в 1 и 2-м циклах.  Дни 1, 15</w:t>
      </w:r>
      <w:r w:rsidRPr="00F242DD">
        <w:rPr>
          <w:rFonts w:eastAsia="Times New Roman"/>
          <w:szCs w:val="24"/>
          <w:lang w:eastAsia="ru-RU"/>
        </w:rPr>
        <w:t>-й ‒</w:t>
      </w:r>
      <w:r w:rsidRPr="00F242DD">
        <w:rPr>
          <w:szCs w:val="24"/>
          <w:lang w:eastAsia="ru-RU"/>
        </w:rPr>
        <w:t xml:space="preserve"> в последующих циклах </w:t>
      </w:r>
    </w:p>
    <w:p w14:paraId="5733939E" w14:textId="77777777" w:rsidR="004E2C44" w:rsidRPr="00F242DD" w:rsidRDefault="004E2C44" w:rsidP="004E2C44">
      <w:pPr>
        <w:pStyle w:val="a6"/>
        <w:numPr>
          <w:ilvl w:val="0"/>
          <w:numId w:val="38"/>
        </w:numPr>
        <w:tabs>
          <w:tab w:val="clear" w:pos="0"/>
          <w:tab w:val="num" w:pos="426"/>
        </w:tabs>
        <w:suppressAutoHyphens/>
        <w:spacing w:before="0" w:after="0"/>
        <w:ind w:left="284" w:firstLine="0"/>
        <w:jc w:val="left"/>
        <w:rPr>
          <w:rFonts w:eastAsia="Times New Roman"/>
          <w:szCs w:val="24"/>
        </w:rPr>
      </w:pPr>
      <w:r w:rsidRPr="00F242DD">
        <w:rPr>
          <w:rFonts w:eastAsia="Times New Roman"/>
          <w:szCs w:val="24"/>
        </w:rPr>
        <w:t>Помалидомид 4 мг внутрь, дни 1‒</w:t>
      </w:r>
      <w:r w:rsidRPr="004E2C44">
        <w:rPr>
          <w:rFonts w:eastAsia="Times New Roman"/>
          <w:szCs w:val="24"/>
        </w:rPr>
        <w:t>21</w:t>
      </w:r>
      <w:r w:rsidRPr="00F242DD">
        <w:rPr>
          <w:rFonts w:eastAsia="Times New Roman"/>
          <w:szCs w:val="24"/>
          <w:lang w:eastAsia="ru-RU"/>
        </w:rPr>
        <w:t>-й</w:t>
      </w:r>
    </w:p>
    <w:p w14:paraId="70B2F3B4" w14:textId="77777777" w:rsidR="004E2C44" w:rsidRPr="00F242DD" w:rsidRDefault="004E2C44" w:rsidP="004E2C44">
      <w:pPr>
        <w:pStyle w:val="a6"/>
        <w:numPr>
          <w:ilvl w:val="0"/>
          <w:numId w:val="38"/>
        </w:numPr>
        <w:tabs>
          <w:tab w:val="clear" w:pos="0"/>
          <w:tab w:val="num" w:pos="426"/>
        </w:tabs>
        <w:suppressAutoHyphens/>
        <w:spacing w:before="0" w:after="0"/>
        <w:ind w:left="284" w:firstLine="0"/>
        <w:jc w:val="left"/>
        <w:rPr>
          <w:rFonts w:eastAsia="Times New Roman"/>
          <w:szCs w:val="24"/>
        </w:rPr>
      </w:pPr>
      <w:r w:rsidRPr="00F242DD">
        <w:rPr>
          <w:rFonts w:eastAsia="Times New Roman"/>
          <w:szCs w:val="24"/>
        </w:rPr>
        <w:t>Дексаметазон</w:t>
      </w:r>
      <w:r w:rsidRPr="00F242DD">
        <w:rPr>
          <w:rFonts w:eastAsia="Times New Roman"/>
          <w:szCs w:val="24"/>
          <w:lang w:eastAsia="ru-RU"/>
        </w:rPr>
        <w:t>**</w:t>
      </w:r>
      <w:r w:rsidRPr="00F242DD">
        <w:rPr>
          <w:rFonts w:eastAsia="Times New Roman"/>
          <w:szCs w:val="24"/>
        </w:rPr>
        <w:t xml:space="preserve"> 40 мг внутрь, дни 1, 8, 15, 22</w:t>
      </w:r>
      <w:r w:rsidRPr="00F242DD">
        <w:rPr>
          <w:rFonts w:eastAsia="Times New Roman"/>
          <w:szCs w:val="24"/>
          <w:lang w:eastAsia="ru-RU"/>
        </w:rPr>
        <w:t>-й</w:t>
      </w:r>
    </w:p>
    <w:p w14:paraId="1C3C4265" w14:textId="77777777" w:rsidR="004E2C44" w:rsidRPr="00F242DD" w:rsidRDefault="004E2C44" w:rsidP="004E2C44">
      <w:pPr>
        <w:tabs>
          <w:tab w:val="num" w:pos="426"/>
        </w:tabs>
        <w:spacing w:before="0" w:after="0"/>
        <w:ind w:left="709"/>
        <w:contextualSpacing/>
        <w:rPr>
          <w:rFonts w:eastAsia="Times New Roman"/>
          <w:szCs w:val="24"/>
        </w:rPr>
      </w:pPr>
      <w:r w:rsidRPr="00F242DD">
        <w:rPr>
          <w:rFonts w:eastAsia="Times New Roman"/>
          <w:szCs w:val="24"/>
        </w:rPr>
        <w:t>Лечение возобновляется на 29</w:t>
      </w:r>
      <w:r w:rsidRPr="00F242DD">
        <w:rPr>
          <w:rFonts w:eastAsia="Times New Roman"/>
          <w:szCs w:val="24"/>
          <w:lang w:eastAsia="ru-RU"/>
        </w:rPr>
        <w:t>-й</w:t>
      </w:r>
      <w:r w:rsidRPr="00F242DD">
        <w:rPr>
          <w:rFonts w:eastAsia="Times New Roman"/>
          <w:szCs w:val="24"/>
        </w:rPr>
        <w:t xml:space="preserve"> день.</w:t>
      </w:r>
    </w:p>
    <w:p w14:paraId="7CD84976" w14:textId="77777777" w:rsidR="004E2C44" w:rsidRPr="005F2CC7" w:rsidRDefault="004E2C44" w:rsidP="002431B5">
      <w:pPr>
        <w:autoSpaceDE w:val="0"/>
        <w:autoSpaceDN w:val="0"/>
        <w:adjustRightInd w:val="0"/>
        <w:spacing w:before="0" w:after="0"/>
        <w:contextualSpacing/>
        <w:rPr>
          <w:b/>
          <w:szCs w:val="24"/>
          <w:lang w:eastAsia="ru-RU"/>
        </w:rPr>
      </w:pPr>
    </w:p>
    <w:p w14:paraId="12CC6A09" w14:textId="1AA42DFF" w:rsidR="004E2C44" w:rsidRPr="00F242DD" w:rsidRDefault="004E2C44" w:rsidP="004E2C44">
      <w:pPr>
        <w:spacing w:before="0" w:after="0"/>
        <w:contextualSpacing/>
        <w:rPr>
          <w:rFonts w:eastAsia="Times New Roman"/>
          <w:b/>
          <w:szCs w:val="24"/>
        </w:rPr>
      </w:pPr>
      <w:r>
        <w:rPr>
          <w:rFonts w:eastAsia="Times New Roman"/>
          <w:b/>
          <w:szCs w:val="24"/>
          <w:lang w:val="en-US"/>
        </w:rPr>
        <w:t>Isa</w:t>
      </w:r>
      <w:r w:rsidRPr="00F242DD">
        <w:rPr>
          <w:rFonts w:eastAsia="Times New Roman"/>
          <w:b/>
          <w:szCs w:val="24"/>
        </w:rPr>
        <w:t>Pd</w:t>
      </w:r>
    </w:p>
    <w:p w14:paraId="470C8EE5" w14:textId="2B967B04" w:rsidR="004E2C44" w:rsidRPr="00CF2E03" w:rsidRDefault="004E2C44" w:rsidP="004E2C44">
      <w:pPr>
        <w:pStyle w:val="a6"/>
        <w:numPr>
          <w:ilvl w:val="0"/>
          <w:numId w:val="38"/>
        </w:numPr>
        <w:autoSpaceDE w:val="0"/>
        <w:autoSpaceDN w:val="0"/>
        <w:adjustRightInd w:val="0"/>
        <w:spacing w:before="0" w:after="0"/>
        <w:jc w:val="left"/>
        <w:rPr>
          <w:szCs w:val="24"/>
          <w:lang w:eastAsia="ru-RU"/>
        </w:rPr>
      </w:pPr>
      <w:r w:rsidRPr="00CF2E03">
        <w:rPr>
          <w:szCs w:val="24"/>
          <w:lang w:eastAsia="ru-RU"/>
        </w:rPr>
        <w:t>Изатуксимаб** 10 мг/кг в/в, дни 1, 8, 15, 22</w:t>
      </w:r>
      <w:r w:rsidRPr="00CF2E03">
        <w:rPr>
          <w:rFonts w:eastAsia="Times New Roman"/>
          <w:szCs w:val="24"/>
          <w:lang w:eastAsia="ru-RU"/>
        </w:rPr>
        <w:t>-й</w:t>
      </w:r>
      <w:r w:rsidR="00CF2E03" w:rsidRPr="00CF2E03">
        <w:rPr>
          <w:szCs w:val="24"/>
          <w:lang w:eastAsia="ru-RU"/>
        </w:rPr>
        <w:t xml:space="preserve"> в 1-м цикле</w:t>
      </w:r>
      <w:r w:rsidRPr="00CF2E03">
        <w:rPr>
          <w:szCs w:val="24"/>
          <w:lang w:eastAsia="ru-RU"/>
        </w:rPr>
        <w:t>.  Дни 1, 15</w:t>
      </w:r>
      <w:r w:rsidRPr="00CF2E03">
        <w:rPr>
          <w:rFonts w:eastAsia="Times New Roman"/>
          <w:szCs w:val="24"/>
          <w:lang w:eastAsia="ru-RU"/>
        </w:rPr>
        <w:t>-й ‒</w:t>
      </w:r>
      <w:r w:rsidRPr="00CF2E03">
        <w:rPr>
          <w:szCs w:val="24"/>
          <w:lang w:eastAsia="ru-RU"/>
        </w:rPr>
        <w:t xml:space="preserve"> в последующих циклах </w:t>
      </w:r>
    </w:p>
    <w:p w14:paraId="47D2C6CD" w14:textId="77777777" w:rsidR="004E2C44" w:rsidRPr="00F242DD" w:rsidRDefault="004E2C44" w:rsidP="004E2C44">
      <w:pPr>
        <w:pStyle w:val="a6"/>
        <w:numPr>
          <w:ilvl w:val="0"/>
          <w:numId w:val="38"/>
        </w:numPr>
        <w:tabs>
          <w:tab w:val="clear" w:pos="0"/>
          <w:tab w:val="num" w:pos="426"/>
        </w:tabs>
        <w:suppressAutoHyphens/>
        <w:spacing w:before="0" w:after="0"/>
        <w:ind w:left="284" w:firstLine="0"/>
        <w:jc w:val="left"/>
        <w:rPr>
          <w:rFonts w:eastAsia="Times New Roman"/>
          <w:szCs w:val="24"/>
        </w:rPr>
      </w:pPr>
      <w:r w:rsidRPr="00F242DD">
        <w:rPr>
          <w:rFonts w:eastAsia="Times New Roman"/>
          <w:szCs w:val="24"/>
        </w:rPr>
        <w:t>Помалидомид 4 мг внутрь, дни 1‒</w:t>
      </w:r>
      <w:r w:rsidRPr="004E2C44">
        <w:rPr>
          <w:rFonts w:eastAsia="Times New Roman"/>
          <w:szCs w:val="24"/>
        </w:rPr>
        <w:t>21</w:t>
      </w:r>
      <w:r w:rsidRPr="00F242DD">
        <w:rPr>
          <w:rFonts w:eastAsia="Times New Roman"/>
          <w:szCs w:val="24"/>
          <w:lang w:eastAsia="ru-RU"/>
        </w:rPr>
        <w:t>-й</w:t>
      </w:r>
    </w:p>
    <w:p w14:paraId="7C21779E" w14:textId="77777777" w:rsidR="004E2C44" w:rsidRPr="00F242DD" w:rsidRDefault="004E2C44" w:rsidP="004E2C44">
      <w:pPr>
        <w:pStyle w:val="a6"/>
        <w:numPr>
          <w:ilvl w:val="0"/>
          <w:numId w:val="38"/>
        </w:numPr>
        <w:tabs>
          <w:tab w:val="clear" w:pos="0"/>
          <w:tab w:val="num" w:pos="426"/>
        </w:tabs>
        <w:suppressAutoHyphens/>
        <w:spacing w:before="0" w:after="0"/>
        <w:ind w:left="284" w:firstLine="0"/>
        <w:jc w:val="left"/>
        <w:rPr>
          <w:rFonts w:eastAsia="Times New Roman"/>
          <w:szCs w:val="24"/>
        </w:rPr>
      </w:pPr>
      <w:r w:rsidRPr="00F242DD">
        <w:rPr>
          <w:rFonts w:eastAsia="Times New Roman"/>
          <w:szCs w:val="24"/>
        </w:rPr>
        <w:t>Дексаметазон</w:t>
      </w:r>
      <w:r w:rsidRPr="00F242DD">
        <w:rPr>
          <w:rFonts w:eastAsia="Times New Roman"/>
          <w:szCs w:val="24"/>
          <w:lang w:eastAsia="ru-RU"/>
        </w:rPr>
        <w:t>**</w:t>
      </w:r>
      <w:r w:rsidRPr="00F242DD">
        <w:rPr>
          <w:rFonts w:eastAsia="Times New Roman"/>
          <w:szCs w:val="24"/>
        </w:rPr>
        <w:t xml:space="preserve"> 40 мг внутрь, дни 1, 8, 15, 22</w:t>
      </w:r>
      <w:r w:rsidRPr="00F242DD">
        <w:rPr>
          <w:rFonts w:eastAsia="Times New Roman"/>
          <w:szCs w:val="24"/>
          <w:lang w:eastAsia="ru-RU"/>
        </w:rPr>
        <w:t>-й</w:t>
      </w:r>
    </w:p>
    <w:p w14:paraId="2AF6DDBD" w14:textId="77777777" w:rsidR="004E2C44" w:rsidRPr="00F242DD" w:rsidRDefault="004E2C44" w:rsidP="004E2C44">
      <w:pPr>
        <w:tabs>
          <w:tab w:val="num" w:pos="426"/>
        </w:tabs>
        <w:spacing w:before="0" w:after="0"/>
        <w:ind w:left="709"/>
        <w:contextualSpacing/>
        <w:rPr>
          <w:rFonts w:eastAsia="Times New Roman"/>
          <w:szCs w:val="24"/>
        </w:rPr>
      </w:pPr>
      <w:r w:rsidRPr="00F242DD">
        <w:rPr>
          <w:rFonts w:eastAsia="Times New Roman"/>
          <w:szCs w:val="24"/>
        </w:rPr>
        <w:t>Лечение возобновляется на 29</w:t>
      </w:r>
      <w:r w:rsidRPr="00F242DD">
        <w:rPr>
          <w:rFonts w:eastAsia="Times New Roman"/>
          <w:szCs w:val="24"/>
          <w:lang w:eastAsia="ru-RU"/>
        </w:rPr>
        <w:t>-й</w:t>
      </w:r>
      <w:r w:rsidRPr="00F242DD">
        <w:rPr>
          <w:rFonts w:eastAsia="Times New Roman"/>
          <w:szCs w:val="24"/>
        </w:rPr>
        <w:t xml:space="preserve"> день.</w:t>
      </w:r>
    </w:p>
    <w:p w14:paraId="570FC383" w14:textId="77777777" w:rsidR="004E2C44" w:rsidRDefault="004E2C44" w:rsidP="002431B5">
      <w:pPr>
        <w:autoSpaceDE w:val="0"/>
        <w:autoSpaceDN w:val="0"/>
        <w:adjustRightInd w:val="0"/>
        <w:spacing w:before="0" w:after="0"/>
        <w:contextualSpacing/>
        <w:rPr>
          <w:b/>
          <w:szCs w:val="24"/>
          <w:lang w:eastAsia="ru-RU"/>
        </w:rPr>
      </w:pPr>
    </w:p>
    <w:p w14:paraId="3352A916" w14:textId="77777777" w:rsidR="00AC2254" w:rsidRPr="004E2C44" w:rsidRDefault="00AC2254" w:rsidP="002431B5">
      <w:pPr>
        <w:autoSpaceDE w:val="0"/>
        <w:autoSpaceDN w:val="0"/>
        <w:adjustRightInd w:val="0"/>
        <w:spacing w:before="0" w:after="0"/>
        <w:contextualSpacing/>
        <w:rPr>
          <w:b/>
          <w:szCs w:val="24"/>
          <w:lang w:eastAsia="ru-RU"/>
        </w:rPr>
      </w:pPr>
    </w:p>
    <w:p w14:paraId="5EF6433C"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lastRenderedPageBreak/>
        <w:t>VMCP</w:t>
      </w:r>
    </w:p>
    <w:p w14:paraId="287E32D5" w14:textId="77777777" w:rsidR="000546DA" w:rsidRPr="00F242DD" w:rsidRDefault="000546DA" w:rsidP="00893452">
      <w:pPr>
        <w:numPr>
          <w:ilvl w:val="0"/>
          <w:numId w:val="45"/>
        </w:numPr>
        <w:spacing w:before="0" w:after="0"/>
        <w:ind w:left="284" w:firstLine="0"/>
        <w:contextualSpacing/>
        <w:jc w:val="left"/>
        <w:rPr>
          <w:rFonts w:eastAsia="Times New Roman"/>
          <w:szCs w:val="24"/>
          <w:lang w:eastAsia="ru-RU"/>
        </w:rPr>
      </w:pPr>
      <w:r w:rsidRPr="00F242DD">
        <w:rPr>
          <w:rFonts w:eastAsia="Times New Roman"/>
          <w:szCs w:val="24"/>
          <w:lang w:eastAsia="ru-RU"/>
        </w:rPr>
        <w:t>Винкристин** 1 мг/м</w:t>
      </w:r>
      <w:r w:rsidRPr="00F242DD">
        <w:rPr>
          <w:rFonts w:eastAsia="Times New Roman"/>
          <w:szCs w:val="24"/>
          <w:vertAlign w:val="superscript"/>
          <w:lang w:eastAsia="ru-RU"/>
        </w:rPr>
        <w:t>2</w:t>
      </w:r>
      <w:r w:rsidRPr="00F242DD">
        <w:rPr>
          <w:rFonts w:eastAsia="Times New Roman"/>
          <w:szCs w:val="24"/>
          <w:lang w:eastAsia="ru-RU"/>
        </w:rPr>
        <w:t xml:space="preserve"> в/в, день 1</w:t>
      </w:r>
      <w:r w:rsidR="00522C92" w:rsidRPr="00F242DD">
        <w:rPr>
          <w:rFonts w:eastAsia="Times New Roman"/>
          <w:szCs w:val="24"/>
          <w:lang w:eastAsia="ru-RU"/>
        </w:rPr>
        <w:t>-й</w:t>
      </w:r>
    </w:p>
    <w:p w14:paraId="0C70EDA6" w14:textId="77777777" w:rsidR="000546DA" w:rsidRPr="00F242DD" w:rsidRDefault="000546DA" w:rsidP="00893452">
      <w:pPr>
        <w:numPr>
          <w:ilvl w:val="0"/>
          <w:numId w:val="45"/>
        </w:numPr>
        <w:spacing w:before="0" w:after="0"/>
        <w:ind w:left="284" w:firstLine="0"/>
        <w:contextualSpacing/>
        <w:jc w:val="left"/>
        <w:rPr>
          <w:rFonts w:eastAsia="Times New Roman"/>
          <w:szCs w:val="24"/>
          <w:lang w:eastAsia="ru-RU"/>
        </w:rPr>
      </w:pPr>
      <w:r w:rsidRPr="00F242DD">
        <w:rPr>
          <w:rFonts w:eastAsia="Times New Roman"/>
          <w:szCs w:val="24"/>
          <w:lang w:eastAsia="ru-RU"/>
        </w:rPr>
        <w:t>Мелфалан** 6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6359ABBB" w14:textId="77777777" w:rsidR="000546DA" w:rsidRPr="00F242DD" w:rsidRDefault="000546DA" w:rsidP="00893452">
      <w:pPr>
        <w:numPr>
          <w:ilvl w:val="0"/>
          <w:numId w:val="45"/>
        </w:numPr>
        <w:spacing w:before="0" w:after="0"/>
        <w:ind w:left="284" w:firstLine="0"/>
        <w:contextualSpacing/>
        <w:jc w:val="left"/>
        <w:rPr>
          <w:rFonts w:eastAsia="Times New Roman"/>
          <w:szCs w:val="24"/>
          <w:lang w:eastAsia="ru-RU"/>
        </w:rPr>
      </w:pPr>
      <w:r w:rsidRPr="00F242DD">
        <w:rPr>
          <w:rFonts w:eastAsia="Times New Roman"/>
          <w:szCs w:val="24"/>
          <w:lang w:eastAsia="ru-RU"/>
        </w:rPr>
        <w:t>Циклофосфамид** 125 мг/м</w:t>
      </w:r>
      <w:r w:rsidRPr="00F242DD">
        <w:rPr>
          <w:rFonts w:eastAsia="Times New Roman"/>
          <w:szCs w:val="24"/>
          <w:vertAlign w:val="superscript"/>
          <w:lang w:eastAsia="ru-RU"/>
        </w:rPr>
        <w:t>2</w:t>
      </w:r>
      <w:r w:rsidRPr="00F242DD">
        <w:rPr>
          <w:rFonts w:eastAsia="Times New Roman"/>
          <w:szCs w:val="24"/>
          <w:lang w:eastAsia="ru-RU"/>
        </w:rPr>
        <w:t xml:space="preserve"> в/в,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021E0825" w14:textId="77777777" w:rsidR="000546DA" w:rsidRPr="00F242DD" w:rsidRDefault="000546DA" w:rsidP="00893452">
      <w:pPr>
        <w:numPr>
          <w:ilvl w:val="0"/>
          <w:numId w:val="45"/>
        </w:numPr>
        <w:spacing w:before="0" w:after="0"/>
        <w:ind w:left="284" w:firstLine="0"/>
        <w:contextualSpacing/>
        <w:jc w:val="left"/>
        <w:rPr>
          <w:rFonts w:eastAsia="Times New Roman"/>
          <w:szCs w:val="24"/>
          <w:lang w:eastAsia="ru-RU"/>
        </w:rPr>
      </w:pPr>
      <w:r w:rsidRPr="00F242DD">
        <w:rPr>
          <w:rFonts w:eastAsia="Times New Roman"/>
          <w:szCs w:val="24"/>
          <w:lang w:eastAsia="ru-RU"/>
        </w:rPr>
        <w:t>Преднизолон** 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552B136F" w14:textId="77777777" w:rsidR="000546DA" w:rsidRPr="00F242DD" w:rsidRDefault="000546DA" w:rsidP="00E47E7A">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22</w:t>
      </w:r>
      <w:r w:rsidR="00522C92" w:rsidRPr="00F242DD">
        <w:rPr>
          <w:rFonts w:eastAsia="Times New Roman"/>
          <w:szCs w:val="24"/>
          <w:lang w:eastAsia="ru-RU"/>
        </w:rPr>
        <w:t>‒</w:t>
      </w:r>
      <w:r w:rsidRPr="00F242DD">
        <w:rPr>
          <w:rFonts w:eastAsia="Times New Roman"/>
          <w:szCs w:val="24"/>
          <w:lang w:eastAsia="ru-RU"/>
        </w:rPr>
        <w:t>29</w:t>
      </w:r>
      <w:r w:rsidR="00522C92" w:rsidRPr="00F242DD">
        <w:rPr>
          <w:rFonts w:eastAsia="Times New Roman"/>
          <w:szCs w:val="24"/>
          <w:lang w:eastAsia="ru-RU"/>
        </w:rPr>
        <w:t>-й</w:t>
      </w:r>
      <w:r w:rsidRPr="00F242DD">
        <w:rPr>
          <w:rFonts w:eastAsia="Times New Roman"/>
          <w:szCs w:val="24"/>
          <w:lang w:eastAsia="ru-RU"/>
        </w:rPr>
        <w:t xml:space="preserve"> день</w:t>
      </w:r>
      <w:r w:rsidR="00522C92" w:rsidRPr="00F242DD">
        <w:rPr>
          <w:rFonts w:eastAsia="Times New Roman"/>
          <w:szCs w:val="24"/>
          <w:lang w:eastAsia="ru-RU"/>
        </w:rPr>
        <w:t>.</w:t>
      </w:r>
    </w:p>
    <w:p w14:paraId="2E056F71" w14:textId="77777777" w:rsidR="00E47E7A" w:rsidRDefault="00E47E7A" w:rsidP="002431B5">
      <w:pPr>
        <w:spacing w:before="0" w:after="0"/>
        <w:contextualSpacing/>
        <w:rPr>
          <w:rFonts w:eastAsia="Times New Roman"/>
          <w:b/>
          <w:szCs w:val="24"/>
          <w:lang w:eastAsia="ru-RU"/>
        </w:rPr>
      </w:pPr>
    </w:p>
    <w:p w14:paraId="709578AB"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t>VBAP</w:t>
      </w:r>
    </w:p>
    <w:p w14:paraId="314325D1" w14:textId="77777777" w:rsidR="000546DA" w:rsidRPr="00F242DD" w:rsidRDefault="000546DA" w:rsidP="00893452">
      <w:pPr>
        <w:numPr>
          <w:ilvl w:val="0"/>
          <w:numId w:val="46"/>
        </w:numPr>
        <w:spacing w:before="0" w:after="0"/>
        <w:ind w:left="284" w:firstLine="0"/>
        <w:contextualSpacing/>
        <w:jc w:val="left"/>
        <w:rPr>
          <w:rFonts w:eastAsia="Times New Roman"/>
          <w:szCs w:val="24"/>
          <w:lang w:eastAsia="ru-RU"/>
        </w:rPr>
      </w:pPr>
      <w:r w:rsidRPr="00F242DD">
        <w:rPr>
          <w:rFonts w:eastAsia="Times New Roman"/>
          <w:szCs w:val="24"/>
          <w:lang w:eastAsia="ru-RU"/>
        </w:rPr>
        <w:t>Винкристин** 1 мг/м</w:t>
      </w:r>
      <w:r w:rsidRPr="00F242DD">
        <w:rPr>
          <w:rFonts w:eastAsia="Times New Roman"/>
          <w:szCs w:val="24"/>
          <w:vertAlign w:val="superscript"/>
          <w:lang w:eastAsia="ru-RU"/>
        </w:rPr>
        <w:t>2</w:t>
      </w:r>
      <w:r w:rsidRPr="00F242DD">
        <w:rPr>
          <w:rFonts w:eastAsia="Times New Roman"/>
          <w:szCs w:val="24"/>
          <w:lang w:eastAsia="ru-RU"/>
        </w:rPr>
        <w:t xml:space="preserve"> в/в, день 1</w:t>
      </w:r>
      <w:r w:rsidR="00522C92" w:rsidRPr="00F242DD">
        <w:rPr>
          <w:rFonts w:eastAsia="Times New Roman"/>
          <w:szCs w:val="24"/>
          <w:lang w:eastAsia="ru-RU"/>
        </w:rPr>
        <w:t>-й</w:t>
      </w:r>
    </w:p>
    <w:p w14:paraId="780E99C4" w14:textId="02F1DBBF" w:rsidR="000546DA" w:rsidRPr="00F242DD" w:rsidRDefault="000546DA" w:rsidP="00893452">
      <w:pPr>
        <w:numPr>
          <w:ilvl w:val="0"/>
          <w:numId w:val="46"/>
        </w:numPr>
        <w:spacing w:before="0" w:after="0"/>
        <w:ind w:left="284" w:firstLine="0"/>
        <w:contextualSpacing/>
        <w:jc w:val="left"/>
        <w:rPr>
          <w:rFonts w:eastAsia="Times New Roman"/>
          <w:szCs w:val="24"/>
          <w:lang w:eastAsia="ru-RU"/>
        </w:rPr>
      </w:pPr>
      <w:r w:rsidRPr="00F242DD">
        <w:rPr>
          <w:rFonts w:eastAsia="Times New Roman"/>
          <w:szCs w:val="24"/>
          <w:lang w:eastAsia="ru-RU"/>
        </w:rPr>
        <w:t>Кармустин** 30 мг/м</w:t>
      </w:r>
      <w:r w:rsidRPr="00F242DD">
        <w:rPr>
          <w:rFonts w:eastAsia="Times New Roman"/>
          <w:szCs w:val="24"/>
          <w:vertAlign w:val="superscript"/>
          <w:lang w:eastAsia="ru-RU"/>
        </w:rPr>
        <w:t>2</w:t>
      </w:r>
      <w:r w:rsidRPr="00F242DD">
        <w:rPr>
          <w:rFonts w:eastAsia="Times New Roman"/>
          <w:szCs w:val="24"/>
          <w:lang w:eastAsia="ru-RU"/>
        </w:rPr>
        <w:t xml:space="preserve"> в/в, день 1</w:t>
      </w:r>
      <w:r w:rsidR="00522C92" w:rsidRPr="00F242DD">
        <w:rPr>
          <w:rFonts w:eastAsia="Times New Roman"/>
          <w:szCs w:val="24"/>
          <w:lang w:eastAsia="ru-RU"/>
        </w:rPr>
        <w:t>-й</w:t>
      </w:r>
      <w:r w:rsidRPr="00F242DD">
        <w:rPr>
          <w:rFonts w:eastAsia="Times New Roman"/>
          <w:szCs w:val="24"/>
          <w:lang w:eastAsia="ru-RU"/>
        </w:rPr>
        <w:t xml:space="preserve"> (может быт</w:t>
      </w:r>
      <w:r w:rsidR="00522C92" w:rsidRPr="00F242DD">
        <w:rPr>
          <w:rFonts w:eastAsia="Times New Roman"/>
          <w:szCs w:val="24"/>
          <w:lang w:eastAsia="ru-RU"/>
        </w:rPr>
        <w:t>ь заменен на ломустин</w:t>
      </w:r>
      <w:r w:rsidR="00FE5516">
        <w:rPr>
          <w:rFonts w:eastAsia="Times New Roman"/>
          <w:szCs w:val="24"/>
          <w:lang w:eastAsia="ru-RU"/>
        </w:rPr>
        <w:t>**</w:t>
      </w:r>
      <w:r w:rsidR="00522C92" w:rsidRPr="00F242DD">
        <w:rPr>
          <w:rFonts w:eastAsia="Times New Roman"/>
          <w:szCs w:val="24"/>
          <w:lang w:eastAsia="ru-RU"/>
        </w:rPr>
        <w:t xml:space="preserve"> 80 мг/сут</w:t>
      </w:r>
      <w:r w:rsidRPr="00F242DD">
        <w:rPr>
          <w:rFonts w:eastAsia="Times New Roman"/>
          <w:szCs w:val="24"/>
          <w:lang w:eastAsia="ru-RU"/>
        </w:rPr>
        <w:t xml:space="preserve"> внутрь)</w:t>
      </w:r>
    </w:p>
    <w:p w14:paraId="632DE20C" w14:textId="77777777" w:rsidR="000546DA" w:rsidRPr="00F242DD" w:rsidRDefault="000546DA" w:rsidP="00893452">
      <w:pPr>
        <w:numPr>
          <w:ilvl w:val="0"/>
          <w:numId w:val="46"/>
        </w:numPr>
        <w:spacing w:before="0" w:after="0"/>
        <w:ind w:left="284" w:firstLine="0"/>
        <w:contextualSpacing/>
        <w:jc w:val="left"/>
        <w:rPr>
          <w:rFonts w:eastAsia="Times New Roman"/>
          <w:szCs w:val="24"/>
          <w:lang w:eastAsia="ru-RU"/>
        </w:rPr>
      </w:pPr>
      <w:r w:rsidRPr="00F242DD">
        <w:rPr>
          <w:rFonts w:eastAsia="Times New Roman"/>
          <w:szCs w:val="24"/>
          <w:lang w:eastAsia="ru-RU"/>
        </w:rPr>
        <w:t>Доксорубицин** 30 мг/м</w:t>
      </w:r>
      <w:r w:rsidRPr="00F242DD">
        <w:rPr>
          <w:rFonts w:eastAsia="Times New Roman"/>
          <w:szCs w:val="24"/>
          <w:vertAlign w:val="superscript"/>
          <w:lang w:eastAsia="ru-RU"/>
        </w:rPr>
        <w:t>2</w:t>
      </w:r>
      <w:r w:rsidRPr="00F242DD">
        <w:rPr>
          <w:rFonts w:eastAsia="Times New Roman"/>
          <w:szCs w:val="24"/>
          <w:lang w:eastAsia="ru-RU"/>
        </w:rPr>
        <w:t xml:space="preserve"> в/в, день 1</w:t>
      </w:r>
      <w:r w:rsidR="00522C92" w:rsidRPr="00F242DD">
        <w:rPr>
          <w:rFonts w:eastAsia="Times New Roman"/>
          <w:szCs w:val="24"/>
          <w:lang w:eastAsia="ru-RU"/>
        </w:rPr>
        <w:t>-й</w:t>
      </w:r>
    </w:p>
    <w:p w14:paraId="7245CB49" w14:textId="77777777" w:rsidR="000546DA" w:rsidRPr="00F242DD" w:rsidRDefault="000546DA" w:rsidP="00893452">
      <w:pPr>
        <w:numPr>
          <w:ilvl w:val="0"/>
          <w:numId w:val="46"/>
        </w:numPr>
        <w:spacing w:before="0" w:after="0"/>
        <w:ind w:left="284" w:firstLine="0"/>
        <w:contextualSpacing/>
        <w:jc w:val="left"/>
        <w:rPr>
          <w:rFonts w:eastAsia="Times New Roman"/>
          <w:szCs w:val="24"/>
          <w:lang w:eastAsia="ru-RU"/>
        </w:rPr>
      </w:pPr>
      <w:r w:rsidRPr="00F242DD">
        <w:rPr>
          <w:rFonts w:eastAsia="Times New Roman"/>
          <w:szCs w:val="24"/>
          <w:lang w:eastAsia="ru-RU"/>
        </w:rPr>
        <w:t>Преднизолон** 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7A94A30E" w14:textId="77777777" w:rsidR="000546DA" w:rsidRPr="00F242DD" w:rsidRDefault="000546DA" w:rsidP="00E47E7A">
      <w:pPr>
        <w:spacing w:before="0" w:after="0"/>
        <w:ind w:left="284"/>
        <w:contextualSpacing/>
        <w:rPr>
          <w:rFonts w:eastAsia="Times New Roman"/>
          <w:szCs w:val="24"/>
          <w:lang w:eastAsia="ru-RU"/>
        </w:rPr>
      </w:pPr>
      <w:r w:rsidRPr="00F242DD">
        <w:rPr>
          <w:rFonts w:eastAsia="Times New Roman"/>
          <w:szCs w:val="24"/>
          <w:lang w:eastAsia="ru-RU"/>
        </w:rPr>
        <w:t>Лечение возобновляется на 22</w:t>
      </w:r>
      <w:r w:rsidR="00522C92" w:rsidRPr="00F242DD">
        <w:rPr>
          <w:rFonts w:eastAsia="Times New Roman"/>
          <w:szCs w:val="24"/>
          <w:lang w:eastAsia="ru-RU"/>
        </w:rPr>
        <w:t>‒</w:t>
      </w:r>
      <w:r w:rsidRPr="00F242DD">
        <w:rPr>
          <w:rFonts w:eastAsia="Times New Roman"/>
          <w:szCs w:val="24"/>
          <w:lang w:eastAsia="ru-RU"/>
        </w:rPr>
        <w:t>29</w:t>
      </w:r>
      <w:r w:rsidR="00522C92" w:rsidRPr="00F242DD">
        <w:rPr>
          <w:rFonts w:eastAsia="Times New Roman"/>
          <w:szCs w:val="24"/>
          <w:lang w:eastAsia="ru-RU"/>
        </w:rPr>
        <w:t>-й</w:t>
      </w:r>
      <w:r w:rsidRPr="00F242DD">
        <w:rPr>
          <w:rFonts w:eastAsia="Times New Roman"/>
          <w:szCs w:val="24"/>
          <w:lang w:eastAsia="ru-RU"/>
        </w:rPr>
        <w:t xml:space="preserve"> день</w:t>
      </w:r>
      <w:r w:rsidR="00522C92" w:rsidRPr="00F242DD">
        <w:rPr>
          <w:rFonts w:eastAsia="Times New Roman"/>
          <w:szCs w:val="24"/>
          <w:lang w:eastAsia="ru-RU"/>
        </w:rPr>
        <w:t>.</w:t>
      </w:r>
    </w:p>
    <w:p w14:paraId="2191136D" w14:textId="77777777" w:rsidR="00E47E7A" w:rsidRDefault="00E47E7A" w:rsidP="002431B5">
      <w:pPr>
        <w:spacing w:before="0" w:after="0"/>
        <w:contextualSpacing/>
        <w:rPr>
          <w:rFonts w:eastAsia="Times New Roman"/>
          <w:b/>
          <w:szCs w:val="24"/>
          <w:lang w:eastAsia="ru-RU"/>
        </w:rPr>
      </w:pPr>
    </w:p>
    <w:p w14:paraId="334053E3"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t>VBMCP (M2)</w:t>
      </w:r>
    </w:p>
    <w:p w14:paraId="45DEF26C" w14:textId="77777777" w:rsidR="000546DA" w:rsidRPr="00F242DD" w:rsidRDefault="000546DA" w:rsidP="00893452">
      <w:pPr>
        <w:pStyle w:val="a6"/>
        <w:numPr>
          <w:ilvl w:val="0"/>
          <w:numId w:val="47"/>
        </w:numPr>
        <w:spacing w:before="0" w:after="0"/>
        <w:ind w:left="284" w:firstLine="0"/>
        <w:jc w:val="left"/>
        <w:rPr>
          <w:rFonts w:eastAsia="Times New Roman"/>
          <w:szCs w:val="24"/>
          <w:lang w:eastAsia="ru-RU"/>
        </w:rPr>
      </w:pPr>
      <w:r w:rsidRPr="00F242DD">
        <w:rPr>
          <w:rFonts w:eastAsia="Times New Roman"/>
          <w:szCs w:val="24"/>
          <w:lang w:eastAsia="ru-RU"/>
        </w:rPr>
        <w:t>Винкристин** 1,2 мг/м</w:t>
      </w:r>
      <w:r w:rsidRPr="00F242DD">
        <w:rPr>
          <w:rFonts w:eastAsia="Times New Roman"/>
          <w:szCs w:val="24"/>
          <w:vertAlign w:val="superscript"/>
          <w:lang w:eastAsia="ru-RU"/>
        </w:rPr>
        <w:t>2</w:t>
      </w:r>
      <w:r w:rsidRPr="00F242DD">
        <w:rPr>
          <w:rFonts w:eastAsia="Times New Roman"/>
          <w:szCs w:val="24"/>
          <w:lang w:eastAsia="ru-RU"/>
        </w:rPr>
        <w:t xml:space="preserve"> в/в, день 1</w:t>
      </w:r>
      <w:r w:rsidR="00522C92" w:rsidRPr="00F242DD">
        <w:rPr>
          <w:rFonts w:eastAsia="Times New Roman"/>
          <w:szCs w:val="24"/>
          <w:lang w:eastAsia="ru-RU"/>
        </w:rPr>
        <w:t>-й</w:t>
      </w:r>
    </w:p>
    <w:p w14:paraId="1506F39A" w14:textId="1387D2F4" w:rsidR="000546DA" w:rsidRPr="00F242DD" w:rsidRDefault="000546DA" w:rsidP="00893452">
      <w:pPr>
        <w:pStyle w:val="a6"/>
        <w:numPr>
          <w:ilvl w:val="0"/>
          <w:numId w:val="47"/>
        </w:numPr>
        <w:spacing w:before="0" w:after="0"/>
        <w:ind w:left="284" w:firstLine="0"/>
        <w:jc w:val="left"/>
        <w:rPr>
          <w:rFonts w:eastAsia="Times New Roman"/>
          <w:szCs w:val="24"/>
          <w:lang w:eastAsia="ru-RU"/>
        </w:rPr>
      </w:pPr>
      <w:r w:rsidRPr="00F242DD">
        <w:rPr>
          <w:rFonts w:eastAsia="Times New Roman"/>
          <w:szCs w:val="24"/>
          <w:lang w:eastAsia="ru-RU"/>
        </w:rPr>
        <w:t>Кармустин** 30 мг/м</w:t>
      </w:r>
      <w:r w:rsidRPr="00F242DD">
        <w:rPr>
          <w:rFonts w:eastAsia="Times New Roman"/>
          <w:szCs w:val="24"/>
          <w:vertAlign w:val="superscript"/>
          <w:lang w:eastAsia="ru-RU"/>
        </w:rPr>
        <w:t>2</w:t>
      </w:r>
      <w:r w:rsidRPr="00F242DD">
        <w:rPr>
          <w:rFonts w:eastAsia="Times New Roman"/>
          <w:szCs w:val="24"/>
          <w:lang w:eastAsia="ru-RU"/>
        </w:rPr>
        <w:t xml:space="preserve"> в/в, день 1</w:t>
      </w:r>
      <w:r w:rsidR="00522C92" w:rsidRPr="00F242DD">
        <w:rPr>
          <w:rFonts w:eastAsia="Times New Roman"/>
          <w:szCs w:val="24"/>
          <w:lang w:eastAsia="ru-RU"/>
        </w:rPr>
        <w:t>-й</w:t>
      </w:r>
      <w:r w:rsidRPr="00F242DD">
        <w:rPr>
          <w:rFonts w:eastAsia="Times New Roman"/>
          <w:szCs w:val="24"/>
          <w:lang w:eastAsia="ru-RU"/>
        </w:rPr>
        <w:t xml:space="preserve"> (может быть заменен на ломустин</w:t>
      </w:r>
      <w:r w:rsidR="00FE5516">
        <w:rPr>
          <w:rFonts w:eastAsia="Times New Roman"/>
          <w:szCs w:val="24"/>
          <w:lang w:eastAsia="ru-RU"/>
        </w:rPr>
        <w:t>**</w:t>
      </w:r>
      <w:r w:rsidRPr="00F242DD">
        <w:rPr>
          <w:rFonts w:eastAsia="Times New Roman"/>
          <w:szCs w:val="24"/>
          <w:lang w:eastAsia="ru-RU"/>
        </w:rPr>
        <w:t xml:space="preserve"> 80 мг/сут внутрь)</w:t>
      </w:r>
    </w:p>
    <w:p w14:paraId="46BC10AB" w14:textId="77777777" w:rsidR="000546DA" w:rsidRPr="00F242DD" w:rsidRDefault="000546DA" w:rsidP="00893452">
      <w:pPr>
        <w:pStyle w:val="a6"/>
        <w:numPr>
          <w:ilvl w:val="0"/>
          <w:numId w:val="47"/>
        </w:numPr>
        <w:spacing w:before="0" w:after="0"/>
        <w:ind w:left="284" w:firstLine="0"/>
        <w:jc w:val="left"/>
        <w:rPr>
          <w:rFonts w:eastAsia="Times New Roman"/>
          <w:szCs w:val="24"/>
          <w:lang w:eastAsia="ru-RU"/>
        </w:rPr>
      </w:pPr>
      <w:r w:rsidRPr="00F242DD">
        <w:rPr>
          <w:rFonts w:eastAsia="Times New Roman"/>
          <w:szCs w:val="24"/>
          <w:lang w:eastAsia="ru-RU"/>
        </w:rPr>
        <w:t>Мелфалан** 8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37D85307" w14:textId="77777777" w:rsidR="000546DA" w:rsidRPr="00F242DD" w:rsidRDefault="000546DA" w:rsidP="00893452">
      <w:pPr>
        <w:pStyle w:val="a6"/>
        <w:numPr>
          <w:ilvl w:val="0"/>
          <w:numId w:val="47"/>
        </w:numPr>
        <w:spacing w:before="0" w:after="0"/>
        <w:ind w:left="284" w:firstLine="0"/>
        <w:jc w:val="left"/>
        <w:rPr>
          <w:rFonts w:eastAsia="Times New Roman"/>
          <w:szCs w:val="24"/>
          <w:lang w:eastAsia="ru-RU"/>
        </w:rPr>
      </w:pPr>
      <w:r w:rsidRPr="00F242DD">
        <w:rPr>
          <w:rFonts w:eastAsia="Times New Roman"/>
          <w:szCs w:val="24"/>
          <w:lang w:eastAsia="ru-RU"/>
        </w:rPr>
        <w:t>Циклофосфамид** 400 мг/м</w:t>
      </w:r>
      <w:r w:rsidRPr="00F242DD">
        <w:rPr>
          <w:rFonts w:eastAsia="Times New Roman"/>
          <w:szCs w:val="24"/>
          <w:vertAlign w:val="superscript"/>
          <w:lang w:eastAsia="ru-RU"/>
        </w:rPr>
        <w:t>2</w:t>
      </w:r>
      <w:r w:rsidRPr="00F242DD">
        <w:rPr>
          <w:rFonts w:eastAsia="Times New Roman"/>
          <w:szCs w:val="24"/>
          <w:lang w:eastAsia="ru-RU"/>
        </w:rPr>
        <w:t xml:space="preserve"> в/в, день 1</w:t>
      </w:r>
      <w:r w:rsidR="00522C92" w:rsidRPr="00F242DD">
        <w:rPr>
          <w:rFonts w:eastAsia="Times New Roman"/>
          <w:szCs w:val="24"/>
          <w:lang w:eastAsia="ru-RU"/>
        </w:rPr>
        <w:t>-й</w:t>
      </w:r>
    </w:p>
    <w:p w14:paraId="00F60465" w14:textId="77777777" w:rsidR="000546DA" w:rsidRPr="00F242DD" w:rsidRDefault="000546DA" w:rsidP="00893452">
      <w:pPr>
        <w:pStyle w:val="a6"/>
        <w:numPr>
          <w:ilvl w:val="0"/>
          <w:numId w:val="47"/>
        </w:numPr>
        <w:spacing w:before="0" w:after="0"/>
        <w:ind w:left="284" w:firstLine="0"/>
        <w:jc w:val="left"/>
        <w:rPr>
          <w:rFonts w:eastAsia="Times New Roman"/>
          <w:szCs w:val="24"/>
          <w:lang w:eastAsia="ru-RU"/>
        </w:rPr>
      </w:pPr>
      <w:r w:rsidRPr="00F242DD">
        <w:rPr>
          <w:rFonts w:eastAsia="Times New Roman"/>
          <w:szCs w:val="24"/>
          <w:lang w:eastAsia="ru-RU"/>
        </w:rPr>
        <w:t>Преднизолон** 40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522C92" w:rsidRPr="00F242DD">
        <w:rPr>
          <w:rFonts w:eastAsia="Times New Roman"/>
          <w:szCs w:val="24"/>
          <w:lang w:eastAsia="ru-RU"/>
        </w:rPr>
        <w:t>‒</w:t>
      </w:r>
      <w:r w:rsidRPr="00F242DD">
        <w:rPr>
          <w:rFonts w:eastAsia="Times New Roman"/>
          <w:szCs w:val="24"/>
          <w:lang w:eastAsia="ru-RU"/>
        </w:rPr>
        <w:t>7</w:t>
      </w:r>
      <w:r w:rsidR="00522C92" w:rsidRPr="00F242DD">
        <w:rPr>
          <w:rFonts w:eastAsia="Times New Roman"/>
          <w:szCs w:val="24"/>
          <w:lang w:eastAsia="ru-RU"/>
        </w:rPr>
        <w:t>-й</w:t>
      </w:r>
    </w:p>
    <w:p w14:paraId="791349CA" w14:textId="77777777" w:rsidR="000546DA" w:rsidRPr="00F242DD" w:rsidRDefault="000546DA" w:rsidP="00E47E7A">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36</w:t>
      </w:r>
      <w:r w:rsidR="00522C92" w:rsidRPr="00F242DD">
        <w:rPr>
          <w:rFonts w:eastAsia="Times New Roman"/>
          <w:szCs w:val="24"/>
          <w:lang w:eastAsia="ru-RU"/>
        </w:rPr>
        <w:t>‒</w:t>
      </w:r>
      <w:r w:rsidRPr="00F242DD">
        <w:rPr>
          <w:rFonts w:eastAsia="Times New Roman"/>
          <w:szCs w:val="24"/>
          <w:lang w:eastAsia="ru-RU"/>
        </w:rPr>
        <w:t>43</w:t>
      </w:r>
      <w:r w:rsidR="00522C92" w:rsidRPr="00F242DD">
        <w:rPr>
          <w:rFonts w:eastAsia="Times New Roman"/>
          <w:szCs w:val="24"/>
          <w:lang w:eastAsia="ru-RU"/>
        </w:rPr>
        <w:t>-й</w:t>
      </w:r>
      <w:r w:rsidRPr="00F242DD">
        <w:rPr>
          <w:rFonts w:eastAsia="Times New Roman"/>
          <w:szCs w:val="24"/>
          <w:lang w:eastAsia="ru-RU"/>
        </w:rPr>
        <w:t xml:space="preserve"> день</w:t>
      </w:r>
      <w:r w:rsidR="00522C92" w:rsidRPr="00F242DD">
        <w:rPr>
          <w:rFonts w:eastAsia="Times New Roman"/>
          <w:szCs w:val="24"/>
          <w:lang w:eastAsia="ru-RU"/>
        </w:rPr>
        <w:t>.</w:t>
      </w:r>
    </w:p>
    <w:p w14:paraId="55A2FA1D" w14:textId="77777777" w:rsidR="00E47E7A" w:rsidRDefault="00E47E7A" w:rsidP="002431B5">
      <w:pPr>
        <w:spacing w:before="0" w:after="0"/>
        <w:contextualSpacing/>
        <w:rPr>
          <w:rFonts w:eastAsia="Times New Roman"/>
          <w:b/>
          <w:szCs w:val="24"/>
          <w:lang w:eastAsia="ru-RU"/>
        </w:rPr>
      </w:pPr>
    </w:p>
    <w:p w14:paraId="7402C5F0" w14:textId="77777777" w:rsidR="000546DA" w:rsidRPr="00F242DD" w:rsidRDefault="000546DA" w:rsidP="002431B5">
      <w:pPr>
        <w:spacing w:before="0" w:after="0"/>
        <w:contextualSpacing/>
        <w:rPr>
          <w:rFonts w:eastAsia="Times New Roman"/>
          <w:b/>
          <w:szCs w:val="24"/>
          <w:lang w:eastAsia="ru-RU"/>
        </w:rPr>
      </w:pPr>
      <w:r w:rsidRPr="00F242DD">
        <w:rPr>
          <w:rFonts w:eastAsia="Times New Roman"/>
          <w:b/>
          <w:szCs w:val="24"/>
          <w:lang w:eastAsia="ru-RU"/>
        </w:rPr>
        <w:t>CD</w:t>
      </w:r>
    </w:p>
    <w:p w14:paraId="297081CC" w14:textId="77777777" w:rsidR="000546DA" w:rsidRPr="00F242DD" w:rsidRDefault="000546DA" w:rsidP="00893452">
      <w:pPr>
        <w:pStyle w:val="a6"/>
        <w:numPr>
          <w:ilvl w:val="0"/>
          <w:numId w:val="48"/>
        </w:numPr>
        <w:spacing w:before="0" w:after="0"/>
        <w:ind w:left="284" w:firstLine="0"/>
        <w:jc w:val="left"/>
        <w:rPr>
          <w:rFonts w:eastAsia="Times New Roman"/>
          <w:szCs w:val="24"/>
          <w:lang w:eastAsia="ru-RU"/>
        </w:rPr>
      </w:pPr>
      <w:r w:rsidRPr="00F242DD">
        <w:rPr>
          <w:rFonts w:eastAsia="Times New Roman"/>
          <w:szCs w:val="24"/>
          <w:lang w:eastAsia="ru-RU"/>
        </w:rPr>
        <w:t>Циклофосфамид** 600 мг/м</w:t>
      </w:r>
      <w:r w:rsidRPr="00F242DD">
        <w:rPr>
          <w:rFonts w:eastAsia="Times New Roman"/>
          <w:szCs w:val="24"/>
          <w:vertAlign w:val="superscript"/>
          <w:lang w:eastAsia="ru-RU"/>
        </w:rPr>
        <w:t>2</w:t>
      </w:r>
      <w:r w:rsidRPr="00F242DD">
        <w:rPr>
          <w:rFonts w:eastAsia="Times New Roman"/>
          <w:szCs w:val="24"/>
          <w:lang w:eastAsia="ru-RU"/>
        </w:rPr>
        <w:t xml:space="preserve"> в/в,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5C304174" w14:textId="77777777" w:rsidR="000546DA" w:rsidRPr="00F242DD" w:rsidRDefault="000546DA" w:rsidP="00893452">
      <w:pPr>
        <w:pStyle w:val="a6"/>
        <w:numPr>
          <w:ilvl w:val="0"/>
          <w:numId w:val="48"/>
        </w:numPr>
        <w:spacing w:before="0" w:after="0"/>
        <w:ind w:left="284" w:firstLine="0"/>
        <w:jc w:val="left"/>
        <w:rPr>
          <w:rFonts w:eastAsia="Times New Roman"/>
          <w:szCs w:val="24"/>
          <w:lang w:eastAsia="ru-RU"/>
        </w:rPr>
      </w:pPr>
      <w:r w:rsidRPr="00F242DD">
        <w:rPr>
          <w:rFonts w:eastAsia="Times New Roman"/>
          <w:szCs w:val="24"/>
          <w:lang w:eastAsia="ru-RU"/>
        </w:rPr>
        <w:t>Дексаметазон** 40 мг внутрь,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424BF0E2" w14:textId="77777777" w:rsidR="000546DA" w:rsidRPr="00F242DD" w:rsidRDefault="000546DA" w:rsidP="00E47E7A">
      <w:pPr>
        <w:spacing w:before="0" w:after="0"/>
        <w:ind w:left="709"/>
        <w:contextualSpacing/>
        <w:rPr>
          <w:rFonts w:eastAsia="Times New Roman"/>
          <w:szCs w:val="24"/>
          <w:lang w:eastAsia="ru-RU"/>
        </w:rPr>
      </w:pPr>
      <w:r w:rsidRPr="00F242DD">
        <w:rPr>
          <w:rFonts w:eastAsia="Times New Roman"/>
          <w:szCs w:val="24"/>
          <w:lang w:eastAsia="ru-RU"/>
        </w:rPr>
        <w:t>Лечение возобновляется на 29</w:t>
      </w:r>
      <w:r w:rsidR="00522C92" w:rsidRPr="00F242DD">
        <w:rPr>
          <w:rFonts w:eastAsia="Times New Roman"/>
          <w:szCs w:val="24"/>
          <w:lang w:eastAsia="ru-RU"/>
        </w:rPr>
        <w:t>-й</w:t>
      </w:r>
      <w:r w:rsidRPr="00F242DD">
        <w:rPr>
          <w:rFonts w:eastAsia="Times New Roman"/>
          <w:szCs w:val="24"/>
          <w:lang w:eastAsia="ru-RU"/>
        </w:rPr>
        <w:t xml:space="preserve"> день</w:t>
      </w:r>
    </w:p>
    <w:p w14:paraId="6862093E" w14:textId="77777777" w:rsidR="00E47E7A" w:rsidRDefault="00E47E7A" w:rsidP="002431B5">
      <w:pPr>
        <w:spacing w:before="0" w:after="0"/>
        <w:contextualSpacing/>
        <w:rPr>
          <w:rFonts w:eastAsia="Times New Roman"/>
          <w:b/>
          <w:szCs w:val="24"/>
          <w:lang w:eastAsia="ru-RU"/>
        </w:rPr>
      </w:pPr>
    </w:p>
    <w:p w14:paraId="7664DD99" w14:textId="3E0EF284" w:rsidR="000546DA" w:rsidRPr="00F242DD" w:rsidRDefault="000546DA" w:rsidP="002431B5">
      <w:pPr>
        <w:spacing w:before="0" w:after="0"/>
        <w:contextualSpacing/>
        <w:rPr>
          <w:rFonts w:eastAsia="Times New Roman"/>
          <w:b/>
          <w:szCs w:val="24"/>
          <w:lang w:val="en-US" w:eastAsia="ru-RU"/>
        </w:rPr>
      </w:pPr>
      <w:r w:rsidRPr="00F242DD">
        <w:rPr>
          <w:rFonts w:eastAsia="Times New Roman"/>
          <w:b/>
          <w:szCs w:val="24"/>
          <w:lang w:eastAsia="ru-RU"/>
        </w:rPr>
        <w:t>DCEP</w:t>
      </w:r>
      <w:r w:rsidR="006A0AFE" w:rsidRPr="00F242DD">
        <w:rPr>
          <w:rFonts w:eastAsia="Times New Roman"/>
          <w:b/>
          <w:szCs w:val="24"/>
          <w:lang w:val="en-US" w:eastAsia="ru-RU"/>
        </w:rPr>
        <w:t xml:space="preserve"> </w:t>
      </w:r>
      <w:r w:rsidR="006A0AFE" w:rsidRPr="00F242DD">
        <w:rPr>
          <w:rFonts w:eastAsia="Times New Roman"/>
          <w:b/>
          <w:szCs w:val="24"/>
          <w:lang w:val="en-US" w:eastAsia="ru-RU"/>
        </w:rPr>
        <w:fldChar w:fldCharType="begin" w:fldLock="1"/>
      </w:r>
      <w:r w:rsidR="00E430FD">
        <w:rPr>
          <w:rFonts w:eastAsia="Times New Roman"/>
          <w:b/>
          <w:szCs w:val="24"/>
          <w:lang w:val="en-US" w:eastAsia="ru-RU"/>
        </w:rPr>
        <w:instrText>ADDIN CSL_CITATION {"citationItems":[{"id":"ITEM-1","itemData":{"ISSN":"1107-0625","PMID":"17436400","abstract":"PURPOSE The purpose of this study was to assess the efficacy and toxicity of DCEP (dexamethasone, cyclophosphamide, etoposide, cisplatin), as third-line regimen in relapsed or refractory multiple myeloma (MM) patients. PATIENTS AND METHODS Twelve patients (11 men, 1 woman, aged 38-73 years, median 58) with relapsed or refractory MM received 28 cycles of DCEP. Eleven out of 12 patients had already failed 4-6 cycles of VAD (vincristine, doxorubicin, dexamethasone), 7/12 had received 2 or more lines of prior therapy and one of them had high-dose therapy with stem cell support. Seven out of 12 patients were candidates for megatherapy with autologous peripheral blood stem cells transplantation (ASCT) either as consolidation or as salvage treatment. Each cycle of DCEP consisted of cyclophosphamide 400 mg/m(2)/daily, cisplatin 15 mg/m(2)/daily and etoposide 40 mg/m(2)/daily as a 24h infusion, all three drugs administered on days 1-4; plus dexamethasone i.v. bolus 40 mg daily, days 1-4. The dose of cisplatin was adjusted in case of renal impairment. G-CSF was administered daily from day +5 to recovery. The course was repeated every 28 days or was delayed 5-10 days according to the patient's clinical condition. RESULTS The regimen was well tolerated with no major adverse reactions, except for grade 3 or 4 myelotoxicity of short duration. Responses were assessed using the EBMT criteria after the second cycle. Two out of 12 patients achieved complete remission (CR) and 5/12 partial remission (PR), while 5/12 had no response (NR). The overall response (OR) was 58.3% with a median response duration 9 months (range 4-36). Four patients proceeded to successful peripheral blood stem cell mobilization and transplantation. CONCLUSIONS DCEP is an effective and safe salvage treatment for relapsed or refractory MM patients which also offers the possibility for a successful peripheral blood stem cells collection in patients eligible for high-dose therapy and ASCT.","author":[{"dropping-particle":"","family":"Dadacaridou","given":"M","non-dropping-particle":"","parse-names":false,"suffix":""},{"dropping-particle":"","family":"Papanicolaou","given":"X","non-dropping-particle":"","parse-names":false,"suffix":""},{"dropping-particle":"","family":"Maltesas","given":"D","non-dropping-particle":"","parse-names":false,"suffix":""},{"dropping-particle":"","family":"Megalakaki","given":"C","non-dropping-particle":"","parse-names":false,"suffix":""},{"dropping-particle":"","family":"Patos","given":"P","non-dropping-particle":"","parse-names":false,"suffix":""},{"dropping-particle":"","family":"Panteli","given":"K","non-dropping-particle":"","parse-names":false,"suffix":""},{"dropping-particle":"","family":"Repousis","given":"P","non-dropping-particle":"","parse-names":false,"suffix":""},{"dropping-particle":"","family":"Mitsouli-Mentzikof","given":"C","non-dropping-particle":"","parse-names":false,"suffix":""}],"container-title":"Journal of B.U.ON. : official journal of the Balkan Union of Oncology","id":"ITEM-1","issue":"1","issued":{"date-parts":[["0"]]},"page":"41-4","title":"Dexamethasone, cyclophosphamide, etoposide and cisplatin (DCEP) for relapsed or refractory multiple myeloma patients.","type":"article-journal","volume":"12"},"uris":["http://www.mendeley.com/documents/?uuid=167ef954-b010-300e-bee1-fe4103db4375"]}],"mendeley":{"formattedCitation":"[92]","plainTextFormattedCitation":"[92]","previouslyFormattedCitation":"[92]"},"properties":{"noteIndex":0},"schema":"https://github.com/citation-style-language/schema/raw/master/csl-citation.json"}</w:instrText>
      </w:r>
      <w:r w:rsidR="006A0AFE" w:rsidRPr="00F242DD">
        <w:rPr>
          <w:rFonts w:eastAsia="Times New Roman"/>
          <w:b/>
          <w:szCs w:val="24"/>
          <w:lang w:val="en-US" w:eastAsia="ru-RU"/>
        </w:rPr>
        <w:fldChar w:fldCharType="separate"/>
      </w:r>
      <w:r w:rsidR="00E430FD" w:rsidRPr="00E430FD">
        <w:rPr>
          <w:rFonts w:eastAsia="Times New Roman"/>
          <w:noProof/>
          <w:szCs w:val="24"/>
          <w:lang w:val="en-US" w:eastAsia="ru-RU"/>
        </w:rPr>
        <w:t>[92]</w:t>
      </w:r>
      <w:r w:rsidR="006A0AFE" w:rsidRPr="00F242DD">
        <w:rPr>
          <w:rFonts w:eastAsia="Times New Roman"/>
          <w:b/>
          <w:szCs w:val="24"/>
          <w:lang w:val="en-US" w:eastAsia="ru-RU"/>
        </w:rPr>
        <w:fldChar w:fldCharType="end"/>
      </w:r>
    </w:p>
    <w:p w14:paraId="16962C13" w14:textId="77777777" w:rsidR="000546DA" w:rsidRPr="00F242DD" w:rsidRDefault="000546DA" w:rsidP="00893452">
      <w:pPr>
        <w:pStyle w:val="a6"/>
        <w:numPr>
          <w:ilvl w:val="0"/>
          <w:numId w:val="49"/>
        </w:numPr>
        <w:spacing w:before="0" w:after="0"/>
        <w:ind w:left="284" w:firstLine="0"/>
        <w:jc w:val="left"/>
        <w:rPr>
          <w:rFonts w:eastAsia="Times New Roman"/>
          <w:szCs w:val="24"/>
          <w:lang w:eastAsia="ru-RU"/>
        </w:rPr>
      </w:pPr>
      <w:r w:rsidRPr="00F242DD">
        <w:rPr>
          <w:rFonts w:eastAsia="Times New Roman"/>
          <w:szCs w:val="24"/>
          <w:lang w:eastAsia="ru-RU"/>
        </w:rPr>
        <w:t>Дексаметазон** 40 мг в/в,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1A258130" w14:textId="77777777" w:rsidR="000546DA" w:rsidRPr="00F242DD" w:rsidRDefault="000546DA" w:rsidP="00893452">
      <w:pPr>
        <w:pStyle w:val="a6"/>
        <w:numPr>
          <w:ilvl w:val="0"/>
          <w:numId w:val="49"/>
        </w:numPr>
        <w:spacing w:before="0" w:after="0"/>
        <w:ind w:left="284" w:firstLine="0"/>
        <w:jc w:val="left"/>
        <w:rPr>
          <w:rFonts w:eastAsia="Times New Roman"/>
          <w:szCs w:val="24"/>
          <w:lang w:eastAsia="ru-RU"/>
        </w:rPr>
      </w:pPr>
      <w:r w:rsidRPr="00F242DD">
        <w:rPr>
          <w:rFonts w:eastAsia="Times New Roman"/>
          <w:szCs w:val="24"/>
          <w:lang w:eastAsia="ru-RU"/>
        </w:rPr>
        <w:t>Циклофосфамид** 400 мг/м</w:t>
      </w:r>
      <w:r w:rsidRPr="00F242DD">
        <w:rPr>
          <w:rFonts w:eastAsia="Times New Roman"/>
          <w:szCs w:val="24"/>
          <w:vertAlign w:val="superscript"/>
          <w:lang w:eastAsia="ru-RU"/>
        </w:rPr>
        <w:t>2</w:t>
      </w:r>
      <w:r w:rsidRPr="00F242DD">
        <w:rPr>
          <w:rFonts w:eastAsia="Times New Roman"/>
          <w:szCs w:val="24"/>
          <w:lang w:eastAsia="ru-RU"/>
        </w:rPr>
        <w:t xml:space="preserve"> в/в 24-часовая инфузия,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2BD9CF54" w14:textId="77777777" w:rsidR="000546DA" w:rsidRPr="00F242DD" w:rsidRDefault="000546DA" w:rsidP="00893452">
      <w:pPr>
        <w:pStyle w:val="a6"/>
        <w:numPr>
          <w:ilvl w:val="0"/>
          <w:numId w:val="49"/>
        </w:numPr>
        <w:spacing w:before="0" w:after="0"/>
        <w:ind w:left="284" w:firstLine="0"/>
        <w:jc w:val="left"/>
        <w:rPr>
          <w:rFonts w:eastAsia="Times New Roman"/>
          <w:szCs w:val="24"/>
          <w:lang w:eastAsia="ru-RU"/>
        </w:rPr>
      </w:pPr>
      <w:r w:rsidRPr="00F242DD">
        <w:rPr>
          <w:rFonts w:eastAsia="Times New Roman"/>
          <w:szCs w:val="24"/>
          <w:lang w:eastAsia="ru-RU"/>
        </w:rPr>
        <w:t>#Этопозид** 40 мг/м</w:t>
      </w:r>
      <w:r w:rsidRPr="00F242DD">
        <w:rPr>
          <w:rFonts w:eastAsia="Times New Roman"/>
          <w:szCs w:val="24"/>
          <w:vertAlign w:val="superscript"/>
          <w:lang w:eastAsia="ru-RU"/>
        </w:rPr>
        <w:t>2</w:t>
      </w:r>
      <w:r w:rsidRPr="00F242DD">
        <w:rPr>
          <w:rFonts w:eastAsia="Times New Roman"/>
          <w:szCs w:val="24"/>
          <w:lang w:eastAsia="ru-RU"/>
        </w:rPr>
        <w:t xml:space="preserve"> в/в 24-часовая инфузия,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5DF38887" w14:textId="77777777" w:rsidR="000546DA" w:rsidRPr="00F242DD" w:rsidRDefault="000546DA" w:rsidP="00893452">
      <w:pPr>
        <w:pStyle w:val="a6"/>
        <w:numPr>
          <w:ilvl w:val="0"/>
          <w:numId w:val="49"/>
        </w:numPr>
        <w:spacing w:before="0" w:after="0"/>
        <w:ind w:left="284" w:firstLine="0"/>
        <w:jc w:val="left"/>
        <w:rPr>
          <w:rFonts w:eastAsia="Times New Roman"/>
          <w:szCs w:val="24"/>
          <w:lang w:eastAsia="ru-RU"/>
        </w:rPr>
      </w:pPr>
      <w:r w:rsidRPr="00F242DD">
        <w:rPr>
          <w:rFonts w:eastAsia="Times New Roman"/>
          <w:szCs w:val="24"/>
          <w:lang w:eastAsia="ru-RU"/>
        </w:rPr>
        <w:lastRenderedPageBreak/>
        <w:t>#Цисплатин** 15 мг/м</w:t>
      </w:r>
      <w:r w:rsidRPr="00F242DD">
        <w:rPr>
          <w:rFonts w:eastAsia="Times New Roman"/>
          <w:szCs w:val="24"/>
          <w:vertAlign w:val="superscript"/>
          <w:lang w:eastAsia="ru-RU"/>
        </w:rPr>
        <w:t>2</w:t>
      </w:r>
      <w:r w:rsidRPr="00F242DD">
        <w:rPr>
          <w:rFonts w:eastAsia="Times New Roman"/>
          <w:szCs w:val="24"/>
          <w:lang w:eastAsia="ru-RU"/>
        </w:rPr>
        <w:t xml:space="preserve"> в/в 24-часовая инфузия,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r w:rsidRPr="00F242DD">
        <w:rPr>
          <w:rFonts w:eastAsia="Times New Roman"/>
          <w:szCs w:val="24"/>
          <w:lang w:eastAsia="ru-RU"/>
        </w:rPr>
        <w:t xml:space="preserve"> (доза снижается при почечной недостаточности)</w:t>
      </w:r>
    </w:p>
    <w:p w14:paraId="62C99A07" w14:textId="4BD6AF4A" w:rsidR="000546DA" w:rsidRPr="00F242DD" w:rsidRDefault="00221B7B" w:rsidP="00010ACF">
      <w:pPr>
        <w:pStyle w:val="a6"/>
        <w:numPr>
          <w:ilvl w:val="0"/>
          <w:numId w:val="49"/>
        </w:numPr>
        <w:spacing w:before="0" w:after="0"/>
        <w:ind w:left="284" w:firstLine="0"/>
        <w:rPr>
          <w:rFonts w:eastAsia="Times New Roman"/>
          <w:szCs w:val="24"/>
          <w:lang w:eastAsia="ru-RU"/>
        </w:rPr>
      </w:pPr>
      <w:r w:rsidRPr="00AE6C36">
        <w:rPr>
          <w:rFonts w:eastAsia="Times New Roman"/>
          <w:szCs w:val="24"/>
          <w:lang w:eastAsia="ru-RU"/>
        </w:rPr>
        <w:t>#</w:t>
      </w:r>
      <w:r w:rsidR="000546DA" w:rsidRPr="00AE6C36">
        <w:rPr>
          <w:rFonts w:eastAsia="Times New Roman"/>
          <w:szCs w:val="24"/>
          <w:lang w:eastAsia="ru-RU"/>
        </w:rPr>
        <w:t>Г-КСФ</w:t>
      </w:r>
      <w:r w:rsidR="00FE5516" w:rsidRPr="00AE6C36">
        <w:rPr>
          <w:rFonts w:eastAsia="Times New Roman"/>
          <w:szCs w:val="24"/>
          <w:lang w:eastAsia="ru-RU"/>
        </w:rPr>
        <w:t>**</w:t>
      </w:r>
      <w:r w:rsidR="000546DA" w:rsidRPr="00F242DD">
        <w:rPr>
          <w:rFonts w:eastAsia="Times New Roman"/>
          <w:szCs w:val="24"/>
          <w:lang w:eastAsia="ru-RU"/>
        </w:rPr>
        <w:t xml:space="preserve"> </w:t>
      </w:r>
      <w:r w:rsidR="00932AAB" w:rsidRPr="00932AAB">
        <w:rPr>
          <w:rFonts w:eastAsia="Times New Roman"/>
          <w:szCs w:val="24"/>
          <w:lang w:eastAsia="ru-RU"/>
        </w:rPr>
        <w:t xml:space="preserve">в дозировке согласно инструкции по применению препарата, с 5-го дня: </w:t>
      </w:r>
      <w:r w:rsidR="00010ACF" w:rsidRPr="00932AAB">
        <w:rPr>
          <w:rFonts w:eastAsia="Times New Roman"/>
          <w:szCs w:val="24"/>
          <w:lang w:eastAsia="ru-RU"/>
        </w:rPr>
        <w:t xml:space="preserve">филграстим </w:t>
      </w:r>
      <w:r w:rsidR="00932AAB" w:rsidRPr="00932AAB">
        <w:rPr>
          <w:rFonts w:eastAsia="Times New Roman"/>
          <w:szCs w:val="24"/>
          <w:lang w:eastAsia="ru-RU"/>
        </w:rPr>
        <w:t>5 мкг/кг подкожно (п/к) до восстановления нормального числа нейтрофилов после надира или пэгфилграстим в дозе 6 мг или эмпэгфилграстим в дозе 7,5 мг подкожно, однократно, не менее чем через 24 часа после окончания введения химиопрепаратов</w:t>
      </w:r>
    </w:p>
    <w:p w14:paraId="6B26E977" w14:textId="77777777" w:rsidR="000546DA" w:rsidRPr="00F242DD" w:rsidRDefault="000546DA" w:rsidP="00E47E7A">
      <w:pPr>
        <w:spacing w:before="0" w:after="0"/>
        <w:ind w:left="284"/>
        <w:contextualSpacing/>
        <w:rPr>
          <w:rFonts w:eastAsia="Times New Roman"/>
          <w:szCs w:val="24"/>
          <w:lang w:eastAsia="ru-RU"/>
        </w:rPr>
      </w:pPr>
      <w:r w:rsidRPr="00F242DD">
        <w:rPr>
          <w:rFonts w:eastAsia="Times New Roman"/>
          <w:szCs w:val="24"/>
          <w:lang w:eastAsia="ru-RU"/>
        </w:rPr>
        <w:t>Лечение возобновляется на 29</w:t>
      </w:r>
      <w:r w:rsidR="00522C92" w:rsidRPr="00F242DD">
        <w:rPr>
          <w:rFonts w:eastAsia="Times New Roman"/>
          <w:szCs w:val="24"/>
          <w:lang w:eastAsia="ru-RU"/>
        </w:rPr>
        <w:t>-й</w:t>
      </w:r>
      <w:r w:rsidRPr="00F242DD">
        <w:rPr>
          <w:rFonts w:eastAsia="Times New Roman"/>
          <w:szCs w:val="24"/>
          <w:lang w:eastAsia="ru-RU"/>
        </w:rPr>
        <w:t xml:space="preserve"> день или откладывается на 5</w:t>
      </w:r>
      <w:r w:rsidR="00522C92" w:rsidRPr="00F242DD">
        <w:rPr>
          <w:rFonts w:eastAsia="Times New Roman"/>
          <w:szCs w:val="24"/>
          <w:lang w:eastAsia="ru-RU"/>
        </w:rPr>
        <w:t>‒</w:t>
      </w:r>
      <w:r w:rsidRPr="00F242DD">
        <w:rPr>
          <w:rFonts w:eastAsia="Times New Roman"/>
          <w:szCs w:val="24"/>
          <w:lang w:eastAsia="ru-RU"/>
        </w:rPr>
        <w:t>10 дней по клиническим показаниям</w:t>
      </w:r>
      <w:r w:rsidR="00522C92" w:rsidRPr="00F242DD">
        <w:rPr>
          <w:rFonts w:eastAsia="Times New Roman"/>
          <w:szCs w:val="24"/>
          <w:lang w:eastAsia="ru-RU"/>
        </w:rPr>
        <w:t>.</w:t>
      </w:r>
    </w:p>
    <w:p w14:paraId="14098025" w14:textId="77777777" w:rsidR="00E47E7A" w:rsidRDefault="00E47E7A" w:rsidP="002431B5">
      <w:pPr>
        <w:spacing w:before="0" w:after="0"/>
        <w:contextualSpacing/>
        <w:rPr>
          <w:rFonts w:eastAsia="Times New Roman"/>
          <w:b/>
          <w:szCs w:val="24"/>
          <w:lang w:eastAsia="ru-RU"/>
        </w:rPr>
      </w:pPr>
    </w:p>
    <w:p w14:paraId="4ED75BC9" w14:textId="2CE784FE" w:rsidR="000546DA" w:rsidRPr="00EA7111" w:rsidRDefault="000546DA" w:rsidP="002431B5">
      <w:pPr>
        <w:spacing w:before="0" w:after="0"/>
        <w:contextualSpacing/>
        <w:rPr>
          <w:rFonts w:eastAsia="Times New Roman"/>
          <w:b/>
          <w:szCs w:val="24"/>
          <w:lang w:eastAsia="ru-RU"/>
        </w:rPr>
      </w:pPr>
      <w:r w:rsidRPr="00F242DD">
        <w:rPr>
          <w:rFonts w:eastAsia="Times New Roman"/>
          <w:b/>
          <w:szCs w:val="24"/>
          <w:lang w:eastAsia="ru-RU"/>
        </w:rPr>
        <w:t>VD-PACE</w:t>
      </w:r>
      <w:r w:rsidR="001E16F8" w:rsidRPr="00F242DD">
        <w:rPr>
          <w:rFonts w:eastAsia="Times New Roman"/>
          <w:b/>
          <w:szCs w:val="24"/>
          <w:lang w:val="en-US" w:eastAsia="ru-RU"/>
        </w:rPr>
        <w:t xml:space="preserve"> </w:t>
      </w:r>
      <w:r w:rsidR="001E16F8" w:rsidRPr="00F242DD">
        <w:rPr>
          <w:rFonts w:eastAsia="Times New Roman"/>
          <w:b/>
          <w:szCs w:val="24"/>
          <w:lang w:val="en-US" w:eastAsia="ru-RU"/>
        </w:rPr>
        <w:fldChar w:fldCharType="begin" w:fldLock="1"/>
      </w:r>
      <w:r w:rsidR="00E430FD">
        <w:rPr>
          <w:rFonts w:eastAsia="Times New Roman"/>
          <w:b/>
          <w:szCs w:val="24"/>
          <w:lang w:val="en-US" w:eastAsia="ru-RU"/>
        </w:rPr>
        <w:instrText>ADDIN CSL_CITATION {"citationItems":[{"id":"ITEM-1","itemData":{"DOI":"10.1002/ajh.24954","ISSN":"03618609","author":[{"dropping-particle":"","family":"Lakshman","given":"Arjun","non-dropping-particle":"","parse-names":false,"suffix":""},{"dropping-particle":"","family":"Singh","given":"Preet Paul","non-dropping-particle":"","parse-names":false,"suffix":""},{"dropping-particle":"","family":"Rajkumar","given":"S. Vincent","non-dropping-particle":"","parse-names":false,"suffix":""},{"dropping-particle":"","family":"Dispenzieri","given":"Angela","non-dropping-particle":"","parse-names":false,"suffix":""},{"dropping-particle":"","family":"Lacy","given":"Martha Q.","non-dropping-particle":"","parse-names":false,"suffix":""},{"dropping-particle":"","family":"Gertz","given":"Morie A.","non-dropping-particle":"","parse-names":false,"suffix":""},{"dropping-particle":"","family":"Buadi","given":"Francis K.","non-dropping-particle":"","parse-names":false,"suffix":""},{"dropping-particle":"","family":"Dingli","given":"David","non-dropping-particle":"","parse-names":false,"suffix":""},{"dropping-particle":"","family":"Hwa","given":"Yi Lisa","non-dropping-particle":"","parse-names":false,"suffix":""},{"dropping-particle":"","family":"Fonder","given":"Amie L.","non-dropping-particle":"","parse-names":false,"suffix":""},{"dropping-particle":"","family":"Hobbs","given":"Miriam","non-dropping-particle":"","parse-names":false,"suffix":""},{"dropping-particle":"","family":"Hayman","given":"Suzanne R.","non-dropping-particle":"","parse-names":false,"suffix":""},{"dropping-particle":"","family":"Zeldenrust","given":"Steven R.","non-dropping-particle":"","parse-names":false,"suffix":""},{"dropping-particle":"","family":"Lust","given":"John A.","non-dropping-particle":"","parse-names":false,"suffix":""},{"dropping-particle":"","family":"Russell","given":"Stephen J.","non-dropping-particle":"","parse-names":false,"suffix":""},{"dropping-particle":"","family":"Leung","given":"Nelson","non-dropping-particle":"","parse-names":false,"suffix":""},{"dropping-particle":"","family":"Kapoor","given":"Prashant</w:instrText>
      </w:r>
      <w:r w:rsidR="00E430FD" w:rsidRPr="00795E89">
        <w:rPr>
          <w:rFonts w:eastAsia="Times New Roman"/>
          <w:b/>
          <w:szCs w:val="24"/>
          <w:lang w:eastAsia="ru-RU"/>
        </w:rPr>
        <w:instrText>","</w:instrText>
      </w:r>
      <w:r w:rsidR="00E430FD">
        <w:rPr>
          <w:rFonts w:eastAsia="Times New Roman"/>
          <w:b/>
          <w:szCs w:val="24"/>
          <w:lang w:val="en-US" w:eastAsia="ru-RU"/>
        </w:rPr>
        <w:instrText>non</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parse</w:instrText>
      </w:r>
      <w:r w:rsidR="00E430FD" w:rsidRPr="00795E89">
        <w:rPr>
          <w:rFonts w:eastAsia="Times New Roman"/>
          <w:b/>
          <w:szCs w:val="24"/>
          <w:lang w:eastAsia="ru-RU"/>
        </w:rPr>
        <w:instrText>-</w:instrText>
      </w:r>
      <w:r w:rsidR="00E430FD">
        <w:rPr>
          <w:rFonts w:eastAsia="Times New Roman"/>
          <w:b/>
          <w:szCs w:val="24"/>
          <w:lang w:val="en-US" w:eastAsia="ru-RU"/>
        </w:rPr>
        <w:instrText>names</w:instrText>
      </w:r>
      <w:r w:rsidR="00E430FD" w:rsidRPr="00795E89">
        <w:rPr>
          <w:rFonts w:eastAsia="Times New Roman"/>
          <w:b/>
          <w:szCs w:val="24"/>
          <w:lang w:eastAsia="ru-RU"/>
        </w:rPr>
        <w:instrText>":</w:instrText>
      </w:r>
      <w:r w:rsidR="00E430FD">
        <w:rPr>
          <w:rFonts w:eastAsia="Times New Roman"/>
          <w:b/>
          <w:szCs w:val="24"/>
          <w:lang w:val="en-US" w:eastAsia="ru-RU"/>
        </w:rPr>
        <w:instrText>false</w:instrText>
      </w:r>
      <w:r w:rsidR="00E430FD" w:rsidRPr="00795E89">
        <w:rPr>
          <w:rFonts w:eastAsia="Times New Roman"/>
          <w:b/>
          <w:szCs w:val="24"/>
          <w:lang w:eastAsia="ru-RU"/>
        </w:rPr>
        <w:instrText>,"</w:instrText>
      </w:r>
      <w:r w:rsidR="00E430FD">
        <w:rPr>
          <w:rFonts w:eastAsia="Times New Roman"/>
          <w:b/>
          <w:szCs w:val="24"/>
          <w:lang w:val="en-US" w:eastAsia="ru-RU"/>
        </w:rPr>
        <w:instrText>suffix</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family</w:instrText>
      </w:r>
      <w:r w:rsidR="00E430FD" w:rsidRPr="00795E89">
        <w:rPr>
          <w:rFonts w:eastAsia="Times New Roman"/>
          <w:b/>
          <w:szCs w:val="24"/>
          <w:lang w:eastAsia="ru-RU"/>
        </w:rPr>
        <w:instrText>":"</w:instrText>
      </w:r>
      <w:r w:rsidR="00E430FD">
        <w:rPr>
          <w:rFonts w:eastAsia="Times New Roman"/>
          <w:b/>
          <w:szCs w:val="24"/>
          <w:lang w:val="en-US" w:eastAsia="ru-RU"/>
        </w:rPr>
        <w:instrText>Go</w:instrText>
      </w:r>
      <w:r w:rsidR="00E430FD" w:rsidRPr="00795E89">
        <w:rPr>
          <w:rFonts w:eastAsia="Times New Roman"/>
          <w:b/>
          <w:szCs w:val="24"/>
          <w:lang w:eastAsia="ru-RU"/>
        </w:rPr>
        <w:instrText>","</w:instrText>
      </w:r>
      <w:r w:rsidR="00E430FD">
        <w:rPr>
          <w:rFonts w:eastAsia="Times New Roman"/>
          <w:b/>
          <w:szCs w:val="24"/>
          <w:lang w:val="en-US" w:eastAsia="ru-RU"/>
        </w:rPr>
        <w:instrText>given</w:instrText>
      </w:r>
      <w:r w:rsidR="00E430FD" w:rsidRPr="00795E89">
        <w:rPr>
          <w:rFonts w:eastAsia="Times New Roman"/>
          <w:b/>
          <w:szCs w:val="24"/>
          <w:lang w:eastAsia="ru-RU"/>
        </w:rPr>
        <w:instrText>":"</w:instrText>
      </w:r>
      <w:r w:rsidR="00E430FD">
        <w:rPr>
          <w:rFonts w:eastAsia="Times New Roman"/>
          <w:b/>
          <w:szCs w:val="24"/>
          <w:lang w:val="en-US" w:eastAsia="ru-RU"/>
        </w:rPr>
        <w:instrText>Ronald</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S</w:instrText>
      </w:r>
      <w:r w:rsidR="00E430FD" w:rsidRPr="00795E89">
        <w:rPr>
          <w:rFonts w:eastAsia="Times New Roman"/>
          <w:b/>
          <w:szCs w:val="24"/>
          <w:lang w:eastAsia="ru-RU"/>
        </w:rPr>
        <w:instrText>.","</w:instrText>
      </w:r>
      <w:r w:rsidR="00E430FD">
        <w:rPr>
          <w:rFonts w:eastAsia="Times New Roman"/>
          <w:b/>
          <w:szCs w:val="24"/>
          <w:lang w:val="en-US" w:eastAsia="ru-RU"/>
        </w:rPr>
        <w:instrText>non</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parse</w:instrText>
      </w:r>
      <w:r w:rsidR="00E430FD" w:rsidRPr="00795E89">
        <w:rPr>
          <w:rFonts w:eastAsia="Times New Roman"/>
          <w:b/>
          <w:szCs w:val="24"/>
          <w:lang w:eastAsia="ru-RU"/>
        </w:rPr>
        <w:instrText>-</w:instrText>
      </w:r>
      <w:r w:rsidR="00E430FD">
        <w:rPr>
          <w:rFonts w:eastAsia="Times New Roman"/>
          <w:b/>
          <w:szCs w:val="24"/>
          <w:lang w:val="en-US" w:eastAsia="ru-RU"/>
        </w:rPr>
        <w:instrText>names</w:instrText>
      </w:r>
      <w:r w:rsidR="00E430FD" w:rsidRPr="00795E89">
        <w:rPr>
          <w:rFonts w:eastAsia="Times New Roman"/>
          <w:b/>
          <w:szCs w:val="24"/>
          <w:lang w:eastAsia="ru-RU"/>
        </w:rPr>
        <w:instrText>":</w:instrText>
      </w:r>
      <w:r w:rsidR="00E430FD">
        <w:rPr>
          <w:rFonts w:eastAsia="Times New Roman"/>
          <w:b/>
          <w:szCs w:val="24"/>
          <w:lang w:val="en-US" w:eastAsia="ru-RU"/>
        </w:rPr>
        <w:instrText>false</w:instrText>
      </w:r>
      <w:r w:rsidR="00E430FD" w:rsidRPr="00795E89">
        <w:rPr>
          <w:rFonts w:eastAsia="Times New Roman"/>
          <w:b/>
          <w:szCs w:val="24"/>
          <w:lang w:eastAsia="ru-RU"/>
        </w:rPr>
        <w:instrText>,"</w:instrText>
      </w:r>
      <w:r w:rsidR="00E430FD">
        <w:rPr>
          <w:rFonts w:eastAsia="Times New Roman"/>
          <w:b/>
          <w:szCs w:val="24"/>
          <w:lang w:val="en-US" w:eastAsia="ru-RU"/>
        </w:rPr>
        <w:instrText>suffix</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family</w:instrText>
      </w:r>
      <w:r w:rsidR="00E430FD" w:rsidRPr="00795E89">
        <w:rPr>
          <w:rFonts w:eastAsia="Times New Roman"/>
          <w:b/>
          <w:szCs w:val="24"/>
          <w:lang w:eastAsia="ru-RU"/>
        </w:rPr>
        <w:instrText>":"</w:instrText>
      </w:r>
      <w:r w:rsidR="00E430FD">
        <w:rPr>
          <w:rFonts w:eastAsia="Times New Roman"/>
          <w:b/>
          <w:szCs w:val="24"/>
          <w:lang w:val="en-US" w:eastAsia="ru-RU"/>
        </w:rPr>
        <w:instrText>Lin</w:instrText>
      </w:r>
      <w:r w:rsidR="00E430FD" w:rsidRPr="00795E89">
        <w:rPr>
          <w:rFonts w:eastAsia="Times New Roman"/>
          <w:b/>
          <w:szCs w:val="24"/>
          <w:lang w:eastAsia="ru-RU"/>
        </w:rPr>
        <w:instrText>","</w:instrText>
      </w:r>
      <w:r w:rsidR="00E430FD">
        <w:rPr>
          <w:rFonts w:eastAsia="Times New Roman"/>
          <w:b/>
          <w:szCs w:val="24"/>
          <w:lang w:val="en-US" w:eastAsia="ru-RU"/>
        </w:rPr>
        <w:instrText>given</w:instrText>
      </w:r>
      <w:r w:rsidR="00E430FD" w:rsidRPr="00795E89">
        <w:rPr>
          <w:rFonts w:eastAsia="Times New Roman"/>
          <w:b/>
          <w:szCs w:val="24"/>
          <w:lang w:eastAsia="ru-RU"/>
        </w:rPr>
        <w:instrText>":"</w:instrText>
      </w:r>
      <w:r w:rsidR="00E430FD">
        <w:rPr>
          <w:rFonts w:eastAsia="Times New Roman"/>
          <w:b/>
          <w:szCs w:val="24"/>
          <w:lang w:val="en-US" w:eastAsia="ru-RU"/>
        </w:rPr>
        <w:instrText>Yi</w:instrText>
      </w:r>
      <w:r w:rsidR="00E430FD" w:rsidRPr="00795E89">
        <w:rPr>
          <w:rFonts w:eastAsia="Times New Roman"/>
          <w:b/>
          <w:szCs w:val="24"/>
          <w:lang w:eastAsia="ru-RU"/>
        </w:rPr>
        <w:instrText>","</w:instrText>
      </w:r>
      <w:r w:rsidR="00E430FD">
        <w:rPr>
          <w:rFonts w:eastAsia="Times New Roman"/>
          <w:b/>
          <w:szCs w:val="24"/>
          <w:lang w:val="en-US" w:eastAsia="ru-RU"/>
        </w:rPr>
        <w:instrText>non</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parse</w:instrText>
      </w:r>
      <w:r w:rsidR="00E430FD" w:rsidRPr="00795E89">
        <w:rPr>
          <w:rFonts w:eastAsia="Times New Roman"/>
          <w:b/>
          <w:szCs w:val="24"/>
          <w:lang w:eastAsia="ru-RU"/>
        </w:rPr>
        <w:instrText>-</w:instrText>
      </w:r>
      <w:r w:rsidR="00E430FD">
        <w:rPr>
          <w:rFonts w:eastAsia="Times New Roman"/>
          <w:b/>
          <w:szCs w:val="24"/>
          <w:lang w:val="en-US" w:eastAsia="ru-RU"/>
        </w:rPr>
        <w:instrText>names</w:instrText>
      </w:r>
      <w:r w:rsidR="00E430FD" w:rsidRPr="00795E89">
        <w:rPr>
          <w:rFonts w:eastAsia="Times New Roman"/>
          <w:b/>
          <w:szCs w:val="24"/>
          <w:lang w:eastAsia="ru-RU"/>
        </w:rPr>
        <w:instrText>":</w:instrText>
      </w:r>
      <w:r w:rsidR="00E430FD">
        <w:rPr>
          <w:rFonts w:eastAsia="Times New Roman"/>
          <w:b/>
          <w:szCs w:val="24"/>
          <w:lang w:val="en-US" w:eastAsia="ru-RU"/>
        </w:rPr>
        <w:instrText>false</w:instrText>
      </w:r>
      <w:r w:rsidR="00E430FD" w:rsidRPr="00795E89">
        <w:rPr>
          <w:rFonts w:eastAsia="Times New Roman"/>
          <w:b/>
          <w:szCs w:val="24"/>
          <w:lang w:eastAsia="ru-RU"/>
        </w:rPr>
        <w:instrText>,"</w:instrText>
      </w:r>
      <w:r w:rsidR="00E430FD">
        <w:rPr>
          <w:rFonts w:eastAsia="Times New Roman"/>
          <w:b/>
          <w:szCs w:val="24"/>
          <w:lang w:val="en-US" w:eastAsia="ru-RU"/>
        </w:rPr>
        <w:instrText>suffix</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family</w:instrText>
      </w:r>
      <w:r w:rsidR="00E430FD" w:rsidRPr="00795E89">
        <w:rPr>
          <w:rFonts w:eastAsia="Times New Roman"/>
          <w:b/>
          <w:szCs w:val="24"/>
          <w:lang w:eastAsia="ru-RU"/>
        </w:rPr>
        <w:instrText>":"</w:instrText>
      </w:r>
      <w:r w:rsidR="00E430FD">
        <w:rPr>
          <w:rFonts w:eastAsia="Times New Roman"/>
          <w:b/>
          <w:szCs w:val="24"/>
          <w:lang w:val="en-US" w:eastAsia="ru-RU"/>
        </w:rPr>
        <w:instrText>Gonsalves</w:instrText>
      </w:r>
      <w:r w:rsidR="00E430FD" w:rsidRPr="00795E89">
        <w:rPr>
          <w:rFonts w:eastAsia="Times New Roman"/>
          <w:b/>
          <w:szCs w:val="24"/>
          <w:lang w:eastAsia="ru-RU"/>
        </w:rPr>
        <w:instrText>","</w:instrText>
      </w:r>
      <w:r w:rsidR="00E430FD">
        <w:rPr>
          <w:rFonts w:eastAsia="Times New Roman"/>
          <w:b/>
          <w:szCs w:val="24"/>
          <w:lang w:val="en-US" w:eastAsia="ru-RU"/>
        </w:rPr>
        <w:instrText>given</w:instrText>
      </w:r>
      <w:r w:rsidR="00E430FD" w:rsidRPr="00795E89">
        <w:rPr>
          <w:rFonts w:eastAsia="Times New Roman"/>
          <w:b/>
          <w:szCs w:val="24"/>
          <w:lang w:eastAsia="ru-RU"/>
        </w:rPr>
        <w:instrText>":"</w:instrText>
      </w:r>
      <w:r w:rsidR="00E430FD">
        <w:rPr>
          <w:rFonts w:eastAsia="Times New Roman"/>
          <w:b/>
          <w:szCs w:val="24"/>
          <w:lang w:val="en-US" w:eastAsia="ru-RU"/>
        </w:rPr>
        <w:instrText>Wilson</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I</w:instrText>
      </w:r>
      <w:r w:rsidR="00E430FD" w:rsidRPr="00795E89">
        <w:rPr>
          <w:rFonts w:eastAsia="Times New Roman"/>
          <w:b/>
          <w:szCs w:val="24"/>
          <w:lang w:eastAsia="ru-RU"/>
        </w:rPr>
        <w:instrText>.","</w:instrText>
      </w:r>
      <w:r w:rsidR="00E430FD">
        <w:rPr>
          <w:rFonts w:eastAsia="Times New Roman"/>
          <w:b/>
          <w:szCs w:val="24"/>
          <w:lang w:val="en-US" w:eastAsia="ru-RU"/>
        </w:rPr>
        <w:instrText>non</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parse</w:instrText>
      </w:r>
      <w:r w:rsidR="00E430FD" w:rsidRPr="00795E89">
        <w:rPr>
          <w:rFonts w:eastAsia="Times New Roman"/>
          <w:b/>
          <w:szCs w:val="24"/>
          <w:lang w:eastAsia="ru-RU"/>
        </w:rPr>
        <w:instrText>-</w:instrText>
      </w:r>
      <w:r w:rsidR="00E430FD">
        <w:rPr>
          <w:rFonts w:eastAsia="Times New Roman"/>
          <w:b/>
          <w:szCs w:val="24"/>
          <w:lang w:val="en-US" w:eastAsia="ru-RU"/>
        </w:rPr>
        <w:instrText>names</w:instrText>
      </w:r>
      <w:r w:rsidR="00E430FD" w:rsidRPr="00795E89">
        <w:rPr>
          <w:rFonts w:eastAsia="Times New Roman"/>
          <w:b/>
          <w:szCs w:val="24"/>
          <w:lang w:eastAsia="ru-RU"/>
        </w:rPr>
        <w:instrText>":</w:instrText>
      </w:r>
      <w:r w:rsidR="00E430FD">
        <w:rPr>
          <w:rFonts w:eastAsia="Times New Roman"/>
          <w:b/>
          <w:szCs w:val="24"/>
          <w:lang w:val="en-US" w:eastAsia="ru-RU"/>
        </w:rPr>
        <w:instrText>false</w:instrText>
      </w:r>
      <w:r w:rsidR="00E430FD" w:rsidRPr="00795E89">
        <w:rPr>
          <w:rFonts w:eastAsia="Times New Roman"/>
          <w:b/>
          <w:szCs w:val="24"/>
          <w:lang w:eastAsia="ru-RU"/>
        </w:rPr>
        <w:instrText>,"</w:instrText>
      </w:r>
      <w:r w:rsidR="00E430FD">
        <w:rPr>
          <w:rFonts w:eastAsia="Times New Roman"/>
          <w:b/>
          <w:szCs w:val="24"/>
          <w:lang w:val="en-US" w:eastAsia="ru-RU"/>
        </w:rPr>
        <w:instrText>suffix</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family</w:instrText>
      </w:r>
      <w:r w:rsidR="00E430FD" w:rsidRPr="00795E89">
        <w:rPr>
          <w:rFonts w:eastAsia="Times New Roman"/>
          <w:b/>
          <w:szCs w:val="24"/>
          <w:lang w:eastAsia="ru-RU"/>
        </w:rPr>
        <w:instrText>":"</w:instrText>
      </w:r>
      <w:r w:rsidR="00E430FD">
        <w:rPr>
          <w:rFonts w:eastAsia="Times New Roman"/>
          <w:b/>
          <w:szCs w:val="24"/>
          <w:lang w:val="en-US" w:eastAsia="ru-RU"/>
        </w:rPr>
        <w:instrText>Kourelis</w:instrText>
      </w:r>
      <w:r w:rsidR="00E430FD" w:rsidRPr="00795E89">
        <w:rPr>
          <w:rFonts w:eastAsia="Times New Roman"/>
          <w:b/>
          <w:szCs w:val="24"/>
          <w:lang w:eastAsia="ru-RU"/>
        </w:rPr>
        <w:instrText>","</w:instrText>
      </w:r>
      <w:r w:rsidR="00E430FD">
        <w:rPr>
          <w:rFonts w:eastAsia="Times New Roman"/>
          <w:b/>
          <w:szCs w:val="24"/>
          <w:lang w:val="en-US" w:eastAsia="ru-RU"/>
        </w:rPr>
        <w:instrText>given</w:instrText>
      </w:r>
      <w:r w:rsidR="00E430FD" w:rsidRPr="00795E89">
        <w:rPr>
          <w:rFonts w:eastAsia="Times New Roman"/>
          <w:b/>
          <w:szCs w:val="24"/>
          <w:lang w:eastAsia="ru-RU"/>
        </w:rPr>
        <w:instrText>":"</w:instrText>
      </w:r>
      <w:r w:rsidR="00E430FD">
        <w:rPr>
          <w:rFonts w:eastAsia="Times New Roman"/>
          <w:b/>
          <w:szCs w:val="24"/>
          <w:lang w:val="en-US" w:eastAsia="ru-RU"/>
        </w:rPr>
        <w:instrText>Taxiarchis</w:instrText>
      </w:r>
      <w:r w:rsidR="00E430FD" w:rsidRPr="00795E89">
        <w:rPr>
          <w:rFonts w:eastAsia="Times New Roman"/>
          <w:b/>
          <w:szCs w:val="24"/>
          <w:lang w:eastAsia="ru-RU"/>
        </w:rPr>
        <w:instrText>","</w:instrText>
      </w:r>
      <w:r w:rsidR="00E430FD">
        <w:rPr>
          <w:rFonts w:eastAsia="Times New Roman"/>
          <w:b/>
          <w:szCs w:val="24"/>
          <w:lang w:val="en-US" w:eastAsia="ru-RU"/>
        </w:rPr>
        <w:instrText>non</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parse</w:instrText>
      </w:r>
      <w:r w:rsidR="00E430FD" w:rsidRPr="00795E89">
        <w:rPr>
          <w:rFonts w:eastAsia="Times New Roman"/>
          <w:b/>
          <w:szCs w:val="24"/>
          <w:lang w:eastAsia="ru-RU"/>
        </w:rPr>
        <w:instrText>-</w:instrText>
      </w:r>
      <w:r w:rsidR="00E430FD">
        <w:rPr>
          <w:rFonts w:eastAsia="Times New Roman"/>
          <w:b/>
          <w:szCs w:val="24"/>
          <w:lang w:val="en-US" w:eastAsia="ru-RU"/>
        </w:rPr>
        <w:instrText>names</w:instrText>
      </w:r>
      <w:r w:rsidR="00E430FD" w:rsidRPr="00795E89">
        <w:rPr>
          <w:rFonts w:eastAsia="Times New Roman"/>
          <w:b/>
          <w:szCs w:val="24"/>
          <w:lang w:eastAsia="ru-RU"/>
        </w:rPr>
        <w:instrText>":</w:instrText>
      </w:r>
      <w:r w:rsidR="00E430FD">
        <w:rPr>
          <w:rFonts w:eastAsia="Times New Roman"/>
          <w:b/>
          <w:szCs w:val="24"/>
          <w:lang w:val="en-US" w:eastAsia="ru-RU"/>
        </w:rPr>
        <w:instrText>false</w:instrText>
      </w:r>
      <w:r w:rsidR="00E430FD" w:rsidRPr="00795E89">
        <w:rPr>
          <w:rFonts w:eastAsia="Times New Roman"/>
          <w:b/>
          <w:szCs w:val="24"/>
          <w:lang w:eastAsia="ru-RU"/>
        </w:rPr>
        <w:instrText>,"</w:instrText>
      </w:r>
      <w:r w:rsidR="00E430FD">
        <w:rPr>
          <w:rFonts w:eastAsia="Times New Roman"/>
          <w:b/>
          <w:szCs w:val="24"/>
          <w:lang w:val="en-US" w:eastAsia="ru-RU"/>
        </w:rPr>
        <w:instrText>suffix</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family</w:instrText>
      </w:r>
      <w:r w:rsidR="00E430FD" w:rsidRPr="00795E89">
        <w:rPr>
          <w:rFonts w:eastAsia="Times New Roman"/>
          <w:b/>
          <w:szCs w:val="24"/>
          <w:lang w:eastAsia="ru-RU"/>
        </w:rPr>
        <w:instrText>":"</w:instrText>
      </w:r>
      <w:r w:rsidR="00E430FD">
        <w:rPr>
          <w:rFonts w:eastAsia="Times New Roman"/>
          <w:b/>
          <w:szCs w:val="24"/>
          <w:lang w:val="en-US" w:eastAsia="ru-RU"/>
        </w:rPr>
        <w:instrText>Warsame</w:instrText>
      </w:r>
      <w:r w:rsidR="00E430FD" w:rsidRPr="00795E89">
        <w:rPr>
          <w:rFonts w:eastAsia="Times New Roman"/>
          <w:b/>
          <w:szCs w:val="24"/>
          <w:lang w:eastAsia="ru-RU"/>
        </w:rPr>
        <w:instrText>","</w:instrText>
      </w:r>
      <w:r w:rsidR="00E430FD">
        <w:rPr>
          <w:rFonts w:eastAsia="Times New Roman"/>
          <w:b/>
          <w:szCs w:val="24"/>
          <w:lang w:val="en-US" w:eastAsia="ru-RU"/>
        </w:rPr>
        <w:instrText>given</w:instrText>
      </w:r>
      <w:r w:rsidR="00E430FD" w:rsidRPr="00795E89">
        <w:rPr>
          <w:rFonts w:eastAsia="Times New Roman"/>
          <w:b/>
          <w:szCs w:val="24"/>
          <w:lang w:eastAsia="ru-RU"/>
        </w:rPr>
        <w:instrText>":"</w:instrText>
      </w:r>
      <w:r w:rsidR="00E430FD">
        <w:rPr>
          <w:rFonts w:eastAsia="Times New Roman"/>
          <w:b/>
          <w:szCs w:val="24"/>
          <w:lang w:val="en-US" w:eastAsia="ru-RU"/>
        </w:rPr>
        <w:instrText>Rahma</w:instrText>
      </w:r>
      <w:r w:rsidR="00E430FD" w:rsidRPr="00795E89">
        <w:rPr>
          <w:rFonts w:eastAsia="Times New Roman"/>
          <w:b/>
          <w:szCs w:val="24"/>
          <w:lang w:eastAsia="ru-RU"/>
        </w:rPr>
        <w:instrText>","</w:instrText>
      </w:r>
      <w:r w:rsidR="00E430FD">
        <w:rPr>
          <w:rFonts w:eastAsia="Times New Roman"/>
          <w:b/>
          <w:szCs w:val="24"/>
          <w:lang w:val="en-US" w:eastAsia="ru-RU"/>
        </w:rPr>
        <w:instrText>non</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parse</w:instrText>
      </w:r>
      <w:r w:rsidR="00E430FD" w:rsidRPr="00795E89">
        <w:rPr>
          <w:rFonts w:eastAsia="Times New Roman"/>
          <w:b/>
          <w:szCs w:val="24"/>
          <w:lang w:eastAsia="ru-RU"/>
        </w:rPr>
        <w:instrText>-</w:instrText>
      </w:r>
      <w:r w:rsidR="00E430FD">
        <w:rPr>
          <w:rFonts w:eastAsia="Times New Roman"/>
          <w:b/>
          <w:szCs w:val="24"/>
          <w:lang w:val="en-US" w:eastAsia="ru-RU"/>
        </w:rPr>
        <w:instrText>names</w:instrText>
      </w:r>
      <w:r w:rsidR="00E430FD" w:rsidRPr="00795E89">
        <w:rPr>
          <w:rFonts w:eastAsia="Times New Roman"/>
          <w:b/>
          <w:szCs w:val="24"/>
          <w:lang w:eastAsia="ru-RU"/>
        </w:rPr>
        <w:instrText>":</w:instrText>
      </w:r>
      <w:r w:rsidR="00E430FD">
        <w:rPr>
          <w:rFonts w:eastAsia="Times New Roman"/>
          <w:b/>
          <w:szCs w:val="24"/>
          <w:lang w:val="en-US" w:eastAsia="ru-RU"/>
        </w:rPr>
        <w:instrText>false</w:instrText>
      </w:r>
      <w:r w:rsidR="00E430FD" w:rsidRPr="00795E89">
        <w:rPr>
          <w:rFonts w:eastAsia="Times New Roman"/>
          <w:b/>
          <w:szCs w:val="24"/>
          <w:lang w:eastAsia="ru-RU"/>
        </w:rPr>
        <w:instrText>,"</w:instrText>
      </w:r>
      <w:r w:rsidR="00E430FD">
        <w:rPr>
          <w:rFonts w:eastAsia="Times New Roman"/>
          <w:b/>
          <w:szCs w:val="24"/>
          <w:lang w:val="en-US" w:eastAsia="ru-RU"/>
        </w:rPr>
        <w:instrText>suffix</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family</w:instrText>
      </w:r>
      <w:r w:rsidR="00E430FD" w:rsidRPr="00795E89">
        <w:rPr>
          <w:rFonts w:eastAsia="Times New Roman"/>
          <w:b/>
          <w:szCs w:val="24"/>
          <w:lang w:eastAsia="ru-RU"/>
        </w:rPr>
        <w:instrText>":"</w:instrText>
      </w:r>
      <w:r w:rsidR="00E430FD">
        <w:rPr>
          <w:rFonts w:eastAsia="Times New Roman"/>
          <w:b/>
          <w:szCs w:val="24"/>
          <w:lang w:val="en-US" w:eastAsia="ru-RU"/>
        </w:rPr>
        <w:instrText>Kyle</w:instrText>
      </w:r>
      <w:r w:rsidR="00E430FD" w:rsidRPr="00795E89">
        <w:rPr>
          <w:rFonts w:eastAsia="Times New Roman"/>
          <w:b/>
          <w:szCs w:val="24"/>
          <w:lang w:eastAsia="ru-RU"/>
        </w:rPr>
        <w:instrText>","</w:instrText>
      </w:r>
      <w:r w:rsidR="00E430FD">
        <w:rPr>
          <w:rFonts w:eastAsia="Times New Roman"/>
          <w:b/>
          <w:szCs w:val="24"/>
          <w:lang w:val="en-US" w:eastAsia="ru-RU"/>
        </w:rPr>
        <w:instrText>given</w:instrText>
      </w:r>
      <w:r w:rsidR="00E430FD" w:rsidRPr="00795E89">
        <w:rPr>
          <w:rFonts w:eastAsia="Times New Roman"/>
          <w:b/>
          <w:szCs w:val="24"/>
          <w:lang w:eastAsia="ru-RU"/>
        </w:rPr>
        <w:instrText>":"</w:instrText>
      </w:r>
      <w:r w:rsidR="00E430FD">
        <w:rPr>
          <w:rFonts w:eastAsia="Times New Roman"/>
          <w:b/>
          <w:szCs w:val="24"/>
          <w:lang w:val="en-US" w:eastAsia="ru-RU"/>
        </w:rPr>
        <w:instrText>Robert</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A</w:instrText>
      </w:r>
      <w:r w:rsidR="00E430FD" w:rsidRPr="00795E89">
        <w:rPr>
          <w:rFonts w:eastAsia="Times New Roman"/>
          <w:b/>
          <w:szCs w:val="24"/>
          <w:lang w:eastAsia="ru-RU"/>
        </w:rPr>
        <w:instrText>.","</w:instrText>
      </w:r>
      <w:r w:rsidR="00E430FD">
        <w:rPr>
          <w:rFonts w:eastAsia="Times New Roman"/>
          <w:b/>
          <w:szCs w:val="24"/>
          <w:lang w:val="en-US" w:eastAsia="ru-RU"/>
        </w:rPr>
        <w:instrText>non</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parse</w:instrText>
      </w:r>
      <w:r w:rsidR="00E430FD" w:rsidRPr="00795E89">
        <w:rPr>
          <w:rFonts w:eastAsia="Times New Roman"/>
          <w:b/>
          <w:szCs w:val="24"/>
          <w:lang w:eastAsia="ru-RU"/>
        </w:rPr>
        <w:instrText>-</w:instrText>
      </w:r>
      <w:r w:rsidR="00E430FD">
        <w:rPr>
          <w:rFonts w:eastAsia="Times New Roman"/>
          <w:b/>
          <w:szCs w:val="24"/>
          <w:lang w:val="en-US" w:eastAsia="ru-RU"/>
        </w:rPr>
        <w:instrText>names</w:instrText>
      </w:r>
      <w:r w:rsidR="00E430FD" w:rsidRPr="00795E89">
        <w:rPr>
          <w:rFonts w:eastAsia="Times New Roman"/>
          <w:b/>
          <w:szCs w:val="24"/>
          <w:lang w:eastAsia="ru-RU"/>
        </w:rPr>
        <w:instrText>":</w:instrText>
      </w:r>
      <w:r w:rsidR="00E430FD">
        <w:rPr>
          <w:rFonts w:eastAsia="Times New Roman"/>
          <w:b/>
          <w:szCs w:val="24"/>
          <w:lang w:val="en-US" w:eastAsia="ru-RU"/>
        </w:rPr>
        <w:instrText>false</w:instrText>
      </w:r>
      <w:r w:rsidR="00E430FD" w:rsidRPr="00795E89">
        <w:rPr>
          <w:rFonts w:eastAsia="Times New Roman"/>
          <w:b/>
          <w:szCs w:val="24"/>
          <w:lang w:eastAsia="ru-RU"/>
        </w:rPr>
        <w:instrText>,"</w:instrText>
      </w:r>
      <w:r w:rsidR="00E430FD">
        <w:rPr>
          <w:rFonts w:eastAsia="Times New Roman"/>
          <w:b/>
          <w:szCs w:val="24"/>
          <w:lang w:val="en-US" w:eastAsia="ru-RU"/>
        </w:rPr>
        <w:instrText>suffix</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family</w:instrText>
      </w:r>
      <w:r w:rsidR="00E430FD" w:rsidRPr="00795E89">
        <w:rPr>
          <w:rFonts w:eastAsia="Times New Roman"/>
          <w:b/>
          <w:szCs w:val="24"/>
          <w:lang w:eastAsia="ru-RU"/>
        </w:rPr>
        <w:instrText>":"</w:instrText>
      </w:r>
      <w:r w:rsidR="00E430FD">
        <w:rPr>
          <w:rFonts w:eastAsia="Times New Roman"/>
          <w:b/>
          <w:szCs w:val="24"/>
          <w:lang w:val="en-US" w:eastAsia="ru-RU"/>
        </w:rPr>
        <w:instrText>Kumar</w:instrText>
      </w:r>
      <w:r w:rsidR="00E430FD" w:rsidRPr="00795E89">
        <w:rPr>
          <w:rFonts w:eastAsia="Times New Roman"/>
          <w:b/>
          <w:szCs w:val="24"/>
          <w:lang w:eastAsia="ru-RU"/>
        </w:rPr>
        <w:instrText>","</w:instrText>
      </w:r>
      <w:r w:rsidR="00E430FD">
        <w:rPr>
          <w:rFonts w:eastAsia="Times New Roman"/>
          <w:b/>
          <w:szCs w:val="24"/>
          <w:lang w:val="en-US" w:eastAsia="ru-RU"/>
        </w:rPr>
        <w:instrText>given</w:instrText>
      </w:r>
      <w:r w:rsidR="00E430FD" w:rsidRPr="00795E89">
        <w:rPr>
          <w:rFonts w:eastAsia="Times New Roman"/>
          <w:b/>
          <w:szCs w:val="24"/>
          <w:lang w:eastAsia="ru-RU"/>
        </w:rPr>
        <w:instrText>":"</w:instrText>
      </w:r>
      <w:r w:rsidR="00E430FD">
        <w:rPr>
          <w:rFonts w:eastAsia="Times New Roman"/>
          <w:b/>
          <w:szCs w:val="24"/>
          <w:lang w:val="en-US" w:eastAsia="ru-RU"/>
        </w:rPr>
        <w:instrText>Shaji</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K</w:instrText>
      </w:r>
      <w:r w:rsidR="00E430FD" w:rsidRPr="00795E89">
        <w:rPr>
          <w:rFonts w:eastAsia="Times New Roman"/>
          <w:b/>
          <w:szCs w:val="24"/>
          <w:lang w:eastAsia="ru-RU"/>
        </w:rPr>
        <w:instrText>.","</w:instrText>
      </w:r>
      <w:r w:rsidR="00E430FD">
        <w:rPr>
          <w:rFonts w:eastAsia="Times New Roman"/>
          <w:b/>
          <w:szCs w:val="24"/>
          <w:lang w:val="en-US" w:eastAsia="ru-RU"/>
        </w:rPr>
        <w:instrText>non</w:instrText>
      </w:r>
      <w:r w:rsidR="00E430FD" w:rsidRPr="00795E89">
        <w:rPr>
          <w:rFonts w:eastAsia="Times New Roman"/>
          <w:b/>
          <w:szCs w:val="24"/>
          <w:lang w:eastAsia="ru-RU"/>
        </w:rPr>
        <w:instrText>-</w:instrText>
      </w:r>
      <w:r w:rsidR="00E430FD">
        <w:rPr>
          <w:rFonts w:eastAsia="Times New Roman"/>
          <w:b/>
          <w:szCs w:val="24"/>
          <w:lang w:val="en-US" w:eastAsia="ru-RU"/>
        </w:rPr>
        <w:instrText>dropping</w:instrText>
      </w:r>
      <w:r w:rsidR="00E430FD" w:rsidRPr="00795E89">
        <w:rPr>
          <w:rFonts w:eastAsia="Times New Roman"/>
          <w:b/>
          <w:szCs w:val="24"/>
          <w:lang w:eastAsia="ru-RU"/>
        </w:rPr>
        <w:instrText>-</w:instrText>
      </w:r>
      <w:r w:rsidR="00E430FD">
        <w:rPr>
          <w:rFonts w:eastAsia="Times New Roman"/>
          <w:b/>
          <w:szCs w:val="24"/>
          <w:lang w:val="en-US" w:eastAsia="ru-RU"/>
        </w:rPr>
        <w:instrText>particle</w:instrText>
      </w:r>
      <w:r w:rsidR="00E430FD" w:rsidRPr="00795E89">
        <w:rPr>
          <w:rFonts w:eastAsia="Times New Roman"/>
          <w:b/>
          <w:szCs w:val="24"/>
          <w:lang w:eastAsia="ru-RU"/>
        </w:rPr>
        <w:instrText>":"","</w:instrText>
      </w:r>
      <w:r w:rsidR="00E430FD">
        <w:rPr>
          <w:rFonts w:eastAsia="Times New Roman"/>
          <w:b/>
          <w:szCs w:val="24"/>
          <w:lang w:val="en-US" w:eastAsia="ru-RU"/>
        </w:rPr>
        <w:instrText>parse</w:instrText>
      </w:r>
      <w:r w:rsidR="00E430FD" w:rsidRPr="00795E89">
        <w:rPr>
          <w:rFonts w:eastAsia="Times New Roman"/>
          <w:b/>
          <w:szCs w:val="24"/>
          <w:lang w:eastAsia="ru-RU"/>
        </w:rPr>
        <w:instrText>-</w:instrText>
      </w:r>
      <w:r w:rsidR="00E430FD">
        <w:rPr>
          <w:rFonts w:eastAsia="Times New Roman"/>
          <w:b/>
          <w:szCs w:val="24"/>
          <w:lang w:val="en-US" w:eastAsia="ru-RU"/>
        </w:rPr>
        <w:instrText>names</w:instrText>
      </w:r>
      <w:r w:rsidR="00E430FD" w:rsidRPr="00795E89">
        <w:rPr>
          <w:rFonts w:eastAsia="Times New Roman"/>
          <w:b/>
          <w:szCs w:val="24"/>
          <w:lang w:eastAsia="ru-RU"/>
        </w:rPr>
        <w:instrText>":</w:instrText>
      </w:r>
      <w:r w:rsidR="00E430FD">
        <w:rPr>
          <w:rFonts w:eastAsia="Times New Roman"/>
          <w:b/>
          <w:szCs w:val="24"/>
          <w:lang w:val="en-US" w:eastAsia="ru-RU"/>
        </w:rPr>
        <w:instrText>false</w:instrText>
      </w:r>
      <w:r w:rsidR="00E430FD" w:rsidRPr="00795E89">
        <w:rPr>
          <w:rFonts w:eastAsia="Times New Roman"/>
          <w:b/>
          <w:szCs w:val="24"/>
          <w:lang w:eastAsia="ru-RU"/>
        </w:rPr>
        <w:instrText>,"</w:instrText>
      </w:r>
      <w:r w:rsidR="00E430FD">
        <w:rPr>
          <w:rFonts w:eastAsia="Times New Roman"/>
          <w:b/>
          <w:szCs w:val="24"/>
          <w:lang w:val="en-US" w:eastAsia="ru-RU"/>
        </w:rPr>
        <w:instrText>suffix</w:instrText>
      </w:r>
      <w:r w:rsidR="00E430FD" w:rsidRPr="00795E89">
        <w:rPr>
          <w:rFonts w:eastAsia="Times New Roman"/>
          <w:b/>
          <w:szCs w:val="24"/>
          <w:lang w:eastAsia="ru-RU"/>
        </w:rPr>
        <w:instrText>":""}],"</w:instrText>
      </w:r>
      <w:r w:rsidR="00E430FD">
        <w:rPr>
          <w:rFonts w:eastAsia="Times New Roman"/>
          <w:b/>
          <w:szCs w:val="24"/>
          <w:lang w:val="en-US" w:eastAsia="ru-RU"/>
        </w:rPr>
        <w:instrText>container</w:instrText>
      </w:r>
      <w:r w:rsidR="00E430FD" w:rsidRPr="00795E89">
        <w:rPr>
          <w:rFonts w:eastAsia="Times New Roman"/>
          <w:b/>
          <w:szCs w:val="24"/>
          <w:lang w:eastAsia="ru-RU"/>
        </w:rPr>
        <w:instrText>-</w:instrText>
      </w:r>
      <w:r w:rsidR="00E430FD">
        <w:rPr>
          <w:rFonts w:eastAsia="Times New Roman"/>
          <w:b/>
          <w:szCs w:val="24"/>
          <w:lang w:val="en-US" w:eastAsia="ru-RU"/>
        </w:rPr>
        <w:instrText>title</w:instrText>
      </w:r>
      <w:r w:rsidR="00E430FD" w:rsidRPr="00795E89">
        <w:rPr>
          <w:rFonts w:eastAsia="Times New Roman"/>
          <w:b/>
          <w:szCs w:val="24"/>
          <w:lang w:eastAsia="ru-RU"/>
        </w:rPr>
        <w:instrText>":"</w:instrText>
      </w:r>
      <w:r w:rsidR="00E430FD">
        <w:rPr>
          <w:rFonts w:eastAsia="Times New Roman"/>
          <w:b/>
          <w:szCs w:val="24"/>
          <w:lang w:val="en-US" w:eastAsia="ru-RU"/>
        </w:rPr>
        <w:instrText>American</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Journal</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of</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Hematology</w:instrText>
      </w:r>
      <w:r w:rsidR="00E430FD" w:rsidRPr="00795E89">
        <w:rPr>
          <w:rFonts w:eastAsia="Times New Roman"/>
          <w:b/>
          <w:szCs w:val="24"/>
          <w:lang w:eastAsia="ru-RU"/>
        </w:rPr>
        <w:instrText>","</w:instrText>
      </w:r>
      <w:r w:rsidR="00E430FD">
        <w:rPr>
          <w:rFonts w:eastAsia="Times New Roman"/>
          <w:b/>
          <w:szCs w:val="24"/>
          <w:lang w:val="en-US" w:eastAsia="ru-RU"/>
        </w:rPr>
        <w:instrText>id</w:instrText>
      </w:r>
      <w:r w:rsidR="00E430FD" w:rsidRPr="00795E89">
        <w:rPr>
          <w:rFonts w:eastAsia="Times New Roman"/>
          <w:b/>
          <w:szCs w:val="24"/>
          <w:lang w:eastAsia="ru-RU"/>
        </w:rPr>
        <w:instrText>":"</w:instrText>
      </w:r>
      <w:r w:rsidR="00E430FD">
        <w:rPr>
          <w:rFonts w:eastAsia="Times New Roman"/>
          <w:b/>
          <w:szCs w:val="24"/>
          <w:lang w:val="en-US" w:eastAsia="ru-RU"/>
        </w:rPr>
        <w:instrText>ITEM</w:instrText>
      </w:r>
      <w:r w:rsidR="00E430FD" w:rsidRPr="00795E89">
        <w:rPr>
          <w:rFonts w:eastAsia="Times New Roman"/>
          <w:b/>
          <w:szCs w:val="24"/>
          <w:lang w:eastAsia="ru-RU"/>
        </w:rPr>
        <w:instrText>-1","</w:instrText>
      </w:r>
      <w:r w:rsidR="00E430FD">
        <w:rPr>
          <w:rFonts w:eastAsia="Times New Roman"/>
          <w:b/>
          <w:szCs w:val="24"/>
          <w:lang w:val="en-US" w:eastAsia="ru-RU"/>
        </w:rPr>
        <w:instrText>issue</w:instrText>
      </w:r>
      <w:r w:rsidR="00E430FD" w:rsidRPr="00795E89">
        <w:rPr>
          <w:rFonts w:eastAsia="Times New Roman"/>
          <w:b/>
          <w:szCs w:val="24"/>
          <w:lang w:eastAsia="ru-RU"/>
        </w:rPr>
        <w:instrText>":"2","</w:instrText>
      </w:r>
      <w:r w:rsidR="00E430FD">
        <w:rPr>
          <w:rFonts w:eastAsia="Times New Roman"/>
          <w:b/>
          <w:szCs w:val="24"/>
          <w:lang w:val="en-US" w:eastAsia="ru-RU"/>
        </w:rPr>
        <w:instrText>issued</w:instrText>
      </w:r>
      <w:r w:rsidR="00E430FD" w:rsidRPr="00795E89">
        <w:rPr>
          <w:rFonts w:eastAsia="Times New Roman"/>
          <w:b/>
          <w:szCs w:val="24"/>
          <w:lang w:eastAsia="ru-RU"/>
        </w:rPr>
        <w:instrText>":{"</w:instrText>
      </w:r>
      <w:r w:rsidR="00E430FD">
        <w:rPr>
          <w:rFonts w:eastAsia="Times New Roman"/>
          <w:b/>
          <w:szCs w:val="24"/>
          <w:lang w:val="en-US" w:eastAsia="ru-RU"/>
        </w:rPr>
        <w:instrText>date</w:instrText>
      </w:r>
      <w:r w:rsidR="00E430FD" w:rsidRPr="00795E89">
        <w:rPr>
          <w:rFonts w:eastAsia="Times New Roman"/>
          <w:b/>
          <w:szCs w:val="24"/>
          <w:lang w:eastAsia="ru-RU"/>
        </w:rPr>
        <w:instrText>-</w:instrText>
      </w:r>
      <w:r w:rsidR="00E430FD">
        <w:rPr>
          <w:rFonts w:eastAsia="Times New Roman"/>
          <w:b/>
          <w:szCs w:val="24"/>
          <w:lang w:val="en-US" w:eastAsia="ru-RU"/>
        </w:rPr>
        <w:instrText>parts</w:instrText>
      </w:r>
      <w:r w:rsidR="00E430FD" w:rsidRPr="00795E89">
        <w:rPr>
          <w:rFonts w:eastAsia="Times New Roman"/>
          <w:b/>
          <w:szCs w:val="24"/>
          <w:lang w:eastAsia="ru-RU"/>
        </w:rPr>
        <w:instrText>":[["2018","2"]]},"</w:instrText>
      </w:r>
      <w:r w:rsidR="00E430FD">
        <w:rPr>
          <w:rFonts w:eastAsia="Times New Roman"/>
          <w:b/>
          <w:szCs w:val="24"/>
          <w:lang w:val="en-US" w:eastAsia="ru-RU"/>
        </w:rPr>
        <w:instrText>page</w:instrText>
      </w:r>
      <w:r w:rsidR="00E430FD" w:rsidRPr="00795E89">
        <w:rPr>
          <w:rFonts w:eastAsia="Times New Roman"/>
          <w:b/>
          <w:szCs w:val="24"/>
          <w:lang w:eastAsia="ru-RU"/>
        </w:rPr>
        <w:instrText>":"179-186","</w:instrText>
      </w:r>
      <w:r w:rsidR="00E430FD">
        <w:rPr>
          <w:rFonts w:eastAsia="Times New Roman"/>
          <w:b/>
          <w:szCs w:val="24"/>
          <w:lang w:val="en-US" w:eastAsia="ru-RU"/>
        </w:rPr>
        <w:instrText>title</w:instrText>
      </w:r>
      <w:r w:rsidR="00E430FD" w:rsidRPr="00795E89">
        <w:rPr>
          <w:rFonts w:eastAsia="Times New Roman"/>
          <w:b/>
          <w:szCs w:val="24"/>
          <w:lang w:eastAsia="ru-RU"/>
        </w:rPr>
        <w:instrText>":"</w:instrText>
      </w:r>
      <w:r w:rsidR="00E430FD">
        <w:rPr>
          <w:rFonts w:eastAsia="Times New Roman"/>
          <w:b/>
          <w:szCs w:val="24"/>
          <w:lang w:val="en-US" w:eastAsia="ru-RU"/>
        </w:rPr>
        <w:instrText>Efficacy</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of</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VDT</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PACE</w:instrText>
      </w:r>
      <w:r w:rsidR="00E430FD" w:rsidRPr="00795E89">
        <w:rPr>
          <w:rFonts w:eastAsia="Times New Roman"/>
          <w:b/>
          <w:szCs w:val="24"/>
          <w:lang w:eastAsia="ru-RU"/>
        </w:rPr>
        <w:instrText>-</w:instrText>
      </w:r>
      <w:r w:rsidR="00E430FD">
        <w:rPr>
          <w:rFonts w:eastAsia="Times New Roman"/>
          <w:b/>
          <w:szCs w:val="24"/>
          <w:lang w:val="en-US" w:eastAsia="ru-RU"/>
        </w:rPr>
        <w:instrText>like</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regimens</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in</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treatment</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of</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relapsed</w:instrText>
      </w:r>
      <w:r w:rsidR="00E430FD" w:rsidRPr="00795E89">
        <w:rPr>
          <w:rFonts w:eastAsia="Times New Roman"/>
          <w:b/>
          <w:szCs w:val="24"/>
          <w:lang w:eastAsia="ru-RU"/>
        </w:rPr>
        <w:instrText>/</w:instrText>
      </w:r>
      <w:r w:rsidR="00E430FD">
        <w:rPr>
          <w:rFonts w:eastAsia="Times New Roman"/>
          <w:b/>
          <w:szCs w:val="24"/>
          <w:lang w:val="en-US" w:eastAsia="ru-RU"/>
        </w:rPr>
        <w:instrText>refractory</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multiple</w:instrText>
      </w:r>
      <w:r w:rsidR="00E430FD" w:rsidRPr="00795E89">
        <w:rPr>
          <w:rFonts w:eastAsia="Times New Roman"/>
          <w:b/>
          <w:szCs w:val="24"/>
          <w:lang w:eastAsia="ru-RU"/>
        </w:rPr>
        <w:instrText xml:space="preserve"> </w:instrText>
      </w:r>
      <w:r w:rsidR="00E430FD">
        <w:rPr>
          <w:rFonts w:eastAsia="Times New Roman"/>
          <w:b/>
          <w:szCs w:val="24"/>
          <w:lang w:val="en-US" w:eastAsia="ru-RU"/>
        </w:rPr>
        <w:instrText>myeloma</w:instrText>
      </w:r>
      <w:r w:rsidR="00E430FD" w:rsidRPr="00795E89">
        <w:rPr>
          <w:rFonts w:eastAsia="Times New Roman"/>
          <w:b/>
          <w:szCs w:val="24"/>
          <w:lang w:eastAsia="ru-RU"/>
        </w:rPr>
        <w:instrText>","</w:instrText>
      </w:r>
      <w:r w:rsidR="00E430FD">
        <w:rPr>
          <w:rFonts w:eastAsia="Times New Roman"/>
          <w:b/>
          <w:szCs w:val="24"/>
          <w:lang w:val="en-US" w:eastAsia="ru-RU"/>
        </w:rPr>
        <w:instrText>type</w:instrText>
      </w:r>
      <w:r w:rsidR="00E430FD" w:rsidRPr="00795E89">
        <w:rPr>
          <w:rFonts w:eastAsia="Times New Roman"/>
          <w:b/>
          <w:szCs w:val="24"/>
          <w:lang w:eastAsia="ru-RU"/>
        </w:rPr>
        <w:instrText>":"</w:instrText>
      </w:r>
      <w:r w:rsidR="00E430FD">
        <w:rPr>
          <w:rFonts w:eastAsia="Times New Roman"/>
          <w:b/>
          <w:szCs w:val="24"/>
          <w:lang w:val="en-US" w:eastAsia="ru-RU"/>
        </w:rPr>
        <w:instrText>article</w:instrText>
      </w:r>
      <w:r w:rsidR="00E430FD" w:rsidRPr="00795E89">
        <w:rPr>
          <w:rFonts w:eastAsia="Times New Roman"/>
          <w:b/>
          <w:szCs w:val="24"/>
          <w:lang w:eastAsia="ru-RU"/>
        </w:rPr>
        <w:instrText>-</w:instrText>
      </w:r>
      <w:r w:rsidR="00E430FD">
        <w:rPr>
          <w:rFonts w:eastAsia="Times New Roman"/>
          <w:b/>
          <w:szCs w:val="24"/>
          <w:lang w:val="en-US" w:eastAsia="ru-RU"/>
        </w:rPr>
        <w:instrText>journal</w:instrText>
      </w:r>
      <w:r w:rsidR="00E430FD" w:rsidRPr="00795E89">
        <w:rPr>
          <w:rFonts w:eastAsia="Times New Roman"/>
          <w:b/>
          <w:szCs w:val="24"/>
          <w:lang w:eastAsia="ru-RU"/>
        </w:rPr>
        <w:instrText>","</w:instrText>
      </w:r>
      <w:r w:rsidR="00E430FD">
        <w:rPr>
          <w:rFonts w:eastAsia="Times New Roman"/>
          <w:b/>
          <w:szCs w:val="24"/>
          <w:lang w:val="en-US" w:eastAsia="ru-RU"/>
        </w:rPr>
        <w:instrText>volume</w:instrText>
      </w:r>
      <w:r w:rsidR="00E430FD" w:rsidRPr="00795E89">
        <w:rPr>
          <w:rFonts w:eastAsia="Times New Roman"/>
          <w:b/>
          <w:szCs w:val="24"/>
          <w:lang w:eastAsia="ru-RU"/>
        </w:rPr>
        <w:instrText>":"93"},"</w:instrText>
      </w:r>
      <w:r w:rsidR="00E430FD">
        <w:rPr>
          <w:rFonts w:eastAsia="Times New Roman"/>
          <w:b/>
          <w:szCs w:val="24"/>
          <w:lang w:val="en-US" w:eastAsia="ru-RU"/>
        </w:rPr>
        <w:instrText>uris</w:instrText>
      </w:r>
      <w:r w:rsidR="00E430FD" w:rsidRPr="00795E89">
        <w:rPr>
          <w:rFonts w:eastAsia="Times New Roman"/>
          <w:b/>
          <w:szCs w:val="24"/>
          <w:lang w:eastAsia="ru-RU"/>
        </w:rPr>
        <w:instrText>":["</w:instrText>
      </w:r>
      <w:r w:rsidR="00E430FD">
        <w:rPr>
          <w:rFonts w:eastAsia="Times New Roman"/>
          <w:b/>
          <w:szCs w:val="24"/>
          <w:lang w:val="en-US" w:eastAsia="ru-RU"/>
        </w:rPr>
        <w:instrText>http</w:instrText>
      </w:r>
      <w:r w:rsidR="00E430FD" w:rsidRPr="00795E89">
        <w:rPr>
          <w:rFonts w:eastAsia="Times New Roman"/>
          <w:b/>
          <w:szCs w:val="24"/>
          <w:lang w:eastAsia="ru-RU"/>
        </w:rPr>
        <w:instrText>://</w:instrText>
      </w:r>
      <w:r w:rsidR="00E430FD">
        <w:rPr>
          <w:rFonts w:eastAsia="Times New Roman"/>
          <w:b/>
          <w:szCs w:val="24"/>
          <w:lang w:val="en-US" w:eastAsia="ru-RU"/>
        </w:rPr>
        <w:instrText>www</w:instrText>
      </w:r>
      <w:r w:rsidR="00E430FD" w:rsidRPr="00795E89">
        <w:rPr>
          <w:rFonts w:eastAsia="Times New Roman"/>
          <w:b/>
          <w:szCs w:val="24"/>
          <w:lang w:eastAsia="ru-RU"/>
        </w:rPr>
        <w:instrText>.</w:instrText>
      </w:r>
      <w:r w:rsidR="00E430FD">
        <w:rPr>
          <w:rFonts w:eastAsia="Times New Roman"/>
          <w:b/>
          <w:szCs w:val="24"/>
          <w:lang w:val="en-US" w:eastAsia="ru-RU"/>
        </w:rPr>
        <w:instrText>mendeley</w:instrText>
      </w:r>
      <w:r w:rsidR="00E430FD" w:rsidRPr="00795E89">
        <w:rPr>
          <w:rFonts w:eastAsia="Times New Roman"/>
          <w:b/>
          <w:szCs w:val="24"/>
          <w:lang w:eastAsia="ru-RU"/>
        </w:rPr>
        <w:instrText>.</w:instrText>
      </w:r>
      <w:r w:rsidR="00E430FD">
        <w:rPr>
          <w:rFonts w:eastAsia="Times New Roman"/>
          <w:b/>
          <w:szCs w:val="24"/>
          <w:lang w:val="en-US" w:eastAsia="ru-RU"/>
        </w:rPr>
        <w:instrText>com</w:instrText>
      </w:r>
      <w:r w:rsidR="00E430FD" w:rsidRPr="00795E89">
        <w:rPr>
          <w:rFonts w:eastAsia="Times New Roman"/>
          <w:b/>
          <w:szCs w:val="24"/>
          <w:lang w:eastAsia="ru-RU"/>
        </w:rPr>
        <w:instrText>/</w:instrText>
      </w:r>
      <w:r w:rsidR="00E430FD">
        <w:rPr>
          <w:rFonts w:eastAsia="Times New Roman"/>
          <w:b/>
          <w:szCs w:val="24"/>
          <w:lang w:val="en-US" w:eastAsia="ru-RU"/>
        </w:rPr>
        <w:instrText>documents</w:instrText>
      </w:r>
      <w:r w:rsidR="00E430FD" w:rsidRPr="00795E89">
        <w:rPr>
          <w:rFonts w:eastAsia="Times New Roman"/>
          <w:b/>
          <w:szCs w:val="24"/>
          <w:lang w:eastAsia="ru-RU"/>
        </w:rPr>
        <w:instrText>/?</w:instrText>
      </w:r>
      <w:r w:rsidR="00E430FD">
        <w:rPr>
          <w:rFonts w:eastAsia="Times New Roman"/>
          <w:b/>
          <w:szCs w:val="24"/>
          <w:lang w:val="en-US" w:eastAsia="ru-RU"/>
        </w:rPr>
        <w:instrText>uuid</w:instrText>
      </w:r>
      <w:r w:rsidR="00E430FD" w:rsidRPr="00795E89">
        <w:rPr>
          <w:rFonts w:eastAsia="Times New Roman"/>
          <w:b/>
          <w:szCs w:val="24"/>
          <w:lang w:eastAsia="ru-RU"/>
        </w:rPr>
        <w:instrText>=50743</w:instrText>
      </w:r>
      <w:r w:rsidR="00E430FD">
        <w:rPr>
          <w:rFonts w:eastAsia="Times New Roman"/>
          <w:b/>
          <w:szCs w:val="24"/>
          <w:lang w:val="en-US" w:eastAsia="ru-RU"/>
        </w:rPr>
        <w:instrText>ed</w:instrText>
      </w:r>
      <w:r w:rsidR="00E430FD" w:rsidRPr="00795E89">
        <w:rPr>
          <w:rFonts w:eastAsia="Times New Roman"/>
          <w:b/>
          <w:szCs w:val="24"/>
          <w:lang w:eastAsia="ru-RU"/>
        </w:rPr>
        <w:instrText>5-</w:instrText>
      </w:r>
      <w:r w:rsidR="00E430FD">
        <w:rPr>
          <w:rFonts w:eastAsia="Times New Roman"/>
          <w:b/>
          <w:szCs w:val="24"/>
          <w:lang w:val="en-US" w:eastAsia="ru-RU"/>
        </w:rPr>
        <w:instrText>cabd</w:instrText>
      </w:r>
      <w:r w:rsidR="00E430FD" w:rsidRPr="00795E89">
        <w:rPr>
          <w:rFonts w:eastAsia="Times New Roman"/>
          <w:b/>
          <w:szCs w:val="24"/>
          <w:lang w:eastAsia="ru-RU"/>
        </w:rPr>
        <w:instrText>-3</w:instrText>
      </w:r>
      <w:r w:rsidR="00E430FD">
        <w:rPr>
          <w:rFonts w:eastAsia="Times New Roman"/>
          <w:b/>
          <w:szCs w:val="24"/>
          <w:lang w:val="en-US" w:eastAsia="ru-RU"/>
        </w:rPr>
        <w:instrText>f</w:instrText>
      </w:r>
      <w:r w:rsidR="00E430FD" w:rsidRPr="00795E89">
        <w:rPr>
          <w:rFonts w:eastAsia="Times New Roman"/>
          <w:b/>
          <w:szCs w:val="24"/>
          <w:lang w:eastAsia="ru-RU"/>
        </w:rPr>
        <w:instrText>80-</w:instrText>
      </w:r>
      <w:r w:rsidR="00E430FD">
        <w:rPr>
          <w:rFonts w:eastAsia="Times New Roman"/>
          <w:b/>
          <w:szCs w:val="24"/>
          <w:lang w:val="en-US" w:eastAsia="ru-RU"/>
        </w:rPr>
        <w:instrText>a</w:instrText>
      </w:r>
      <w:r w:rsidR="00E430FD" w:rsidRPr="00795E89">
        <w:rPr>
          <w:rFonts w:eastAsia="Times New Roman"/>
          <w:b/>
          <w:szCs w:val="24"/>
          <w:lang w:eastAsia="ru-RU"/>
        </w:rPr>
        <w:instrText>811-20</w:instrText>
      </w:r>
      <w:r w:rsidR="00E430FD">
        <w:rPr>
          <w:rFonts w:eastAsia="Times New Roman"/>
          <w:b/>
          <w:szCs w:val="24"/>
          <w:lang w:val="en-US" w:eastAsia="ru-RU"/>
        </w:rPr>
        <w:instrText>d</w:instrText>
      </w:r>
      <w:r w:rsidR="00E430FD" w:rsidRPr="00795E89">
        <w:rPr>
          <w:rFonts w:eastAsia="Times New Roman"/>
          <w:b/>
          <w:szCs w:val="24"/>
          <w:lang w:eastAsia="ru-RU"/>
        </w:rPr>
        <w:instrText>6</w:instrText>
      </w:r>
      <w:r w:rsidR="00E430FD">
        <w:rPr>
          <w:rFonts w:eastAsia="Times New Roman"/>
          <w:b/>
          <w:szCs w:val="24"/>
          <w:lang w:val="en-US" w:eastAsia="ru-RU"/>
        </w:rPr>
        <w:instrText>b</w:instrText>
      </w:r>
      <w:r w:rsidR="00E430FD" w:rsidRPr="00795E89">
        <w:rPr>
          <w:rFonts w:eastAsia="Times New Roman"/>
          <w:b/>
          <w:szCs w:val="24"/>
          <w:lang w:eastAsia="ru-RU"/>
        </w:rPr>
        <w:instrText>278</w:instrText>
      </w:r>
      <w:r w:rsidR="00E430FD">
        <w:rPr>
          <w:rFonts w:eastAsia="Times New Roman"/>
          <w:b/>
          <w:szCs w:val="24"/>
          <w:lang w:val="en-US" w:eastAsia="ru-RU"/>
        </w:rPr>
        <w:instrText>cc</w:instrText>
      </w:r>
      <w:r w:rsidR="00E430FD" w:rsidRPr="00795E89">
        <w:rPr>
          <w:rFonts w:eastAsia="Times New Roman"/>
          <w:b/>
          <w:szCs w:val="24"/>
          <w:lang w:eastAsia="ru-RU"/>
        </w:rPr>
        <w:instrText>20"]}],"</w:instrText>
      </w:r>
      <w:r w:rsidR="00E430FD">
        <w:rPr>
          <w:rFonts w:eastAsia="Times New Roman"/>
          <w:b/>
          <w:szCs w:val="24"/>
          <w:lang w:val="en-US" w:eastAsia="ru-RU"/>
        </w:rPr>
        <w:instrText>mendeley</w:instrText>
      </w:r>
      <w:r w:rsidR="00E430FD" w:rsidRPr="00795E89">
        <w:rPr>
          <w:rFonts w:eastAsia="Times New Roman"/>
          <w:b/>
          <w:szCs w:val="24"/>
          <w:lang w:eastAsia="ru-RU"/>
        </w:rPr>
        <w:instrText>":{"</w:instrText>
      </w:r>
      <w:r w:rsidR="00E430FD">
        <w:rPr>
          <w:rFonts w:eastAsia="Times New Roman"/>
          <w:b/>
          <w:szCs w:val="24"/>
          <w:lang w:val="en-US" w:eastAsia="ru-RU"/>
        </w:rPr>
        <w:instrText>formattedCitation</w:instrText>
      </w:r>
      <w:r w:rsidR="00E430FD" w:rsidRPr="00795E89">
        <w:rPr>
          <w:rFonts w:eastAsia="Times New Roman"/>
          <w:b/>
          <w:szCs w:val="24"/>
          <w:lang w:eastAsia="ru-RU"/>
        </w:rPr>
        <w:instrText>":"[93]","</w:instrText>
      </w:r>
      <w:r w:rsidR="00E430FD">
        <w:rPr>
          <w:rFonts w:eastAsia="Times New Roman"/>
          <w:b/>
          <w:szCs w:val="24"/>
          <w:lang w:val="en-US" w:eastAsia="ru-RU"/>
        </w:rPr>
        <w:instrText>plainTextFormattedCitation</w:instrText>
      </w:r>
      <w:r w:rsidR="00E430FD" w:rsidRPr="00795E89">
        <w:rPr>
          <w:rFonts w:eastAsia="Times New Roman"/>
          <w:b/>
          <w:szCs w:val="24"/>
          <w:lang w:eastAsia="ru-RU"/>
        </w:rPr>
        <w:instrText>":"[93]","</w:instrText>
      </w:r>
      <w:r w:rsidR="00E430FD">
        <w:rPr>
          <w:rFonts w:eastAsia="Times New Roman"/>
          <w:b/>
          <w:szCs w:val="24"/>
          <w:lang w:val="en-US" w:eastAsia="ru-RU"/>
        </w:rPr>
        <w:instrText>previouslyFormattedCitation</w:instrText>
      </w:r>
      <w:r w:rsidR="00E430FD" w:rsidRPr="00795E89">
        <w:rPr>
          <w:rFonts w:eastAsia="Times New Roman"/>
          <w:b/>
          <w:szCs w:val="24"/>
          <w:lang w:eastAsia="ru-RU"/>
        </w:rPr>
        <w:instrText>":"[93]"},"</w:instrText>
      </w:r>
      <w:r w:rsidR="00E430FD">
        <w:rPr>
          <w:rFonts w:eastAsia="Times New Roman"/>
          <w:b/>
          <w:szCs w:val="24"/>
          <w:lang w:val="en-US" w:eastAsia="ru-RU"/>
        </w:rPr>
        <w:instrText>properties</w:instrText>
      </w:r>
      <w:r w:rsidR="00E430FD" w:rsidRPr="00795E89">
        <w:rPr>
          <w:rFonts w:eastAsia="Times New Roman"/>
          <w:b/>
          <w:szCs w:val="24"/>
          <w:lang w:eastAsia="ru-RU"/>
        </w:rPr>
        <w:instrText>":{"</w:instrText>
      </w:r>
      <w:r w:rsidR="00E430FD">
        <w:rPr>
          <w:rFonts w:eastAsia="Times New Roman"/>
          <w:b/>
          <w:szCs w:val="24"/>
          <w:lang w:val="en-US" w:eastAsia="ru-RU"/>
        </w:rPr>
        <w:instrText>noteIndex</w:instrText>
      </w:r>
      <w:r w:rsidR="00E430FD" w:rsidRPr="00795E89">
        <w:rPr>
          <w:rFonts w:eastAsia="Times New Roman"/>
          <w:b/>
          <w:szCs w:val="24"/>
          <w:lang w:eastAsia="ru-RU"/>
        </w:rPr>
        <w:instrText>":0},"</w:instrText>
      </w:r>
      <w:r w:rsidR="00E430FD">
        <w:rPr>
          <w:rFonts w:eastAsia="Times New Roman"/>
          <w:b/>
          <w:szCs w:val="24"/>
          <w:lang w:val="en-US" w:eastAsia="ru-RU"/>
        </w:rPr>
        <w:instrText>schema</w:instrText>
      </w:r>
      <w:r w:rsidR="00E430FD" w:rsidRPr="00795E89">
        <w:rPr>
          <w:rFonts w:eastAsia="Times New Roman"/>
          <w:b/>
          <w:szCs w:val="24"/>
          <w:lang w:eastAsia="ru-RU"/>
        </w:rPr>
        <w:instrText>":"</w:instrText>
      </w:r>
      <w:r w:rsidR="00E430FD">
        <w:rPr>
          <w:rFonts w:eastAsia="Times New Roman"/>
          <w:b/>
          <w:szCs w:val="24"/>
          <w:lang w:val="en-US" w:eastAsia="ru-RU"/>
        </w:rPr>
        <w:instrText>https</w:instrText>
      </w:r>
      <w:r w:rsidR="00E430FD" w:rsidRPr="00795E89">
        <w:rPr>
          <w:rFonts w:eastAsia="Times New Roman"/>
          <w:b/>
          <w:szCs w:val="24"/>
          <w:lang w:eastAsia="ru-RU"/>
        </w:rPr>
        <w:instrText>://</w:instrText>
      </w:r>
      <w:r w:rsidR="00E430FD">
        <w:rPr>
          <w:rFonts w:eastAsia="Times New Roman"/>
          <w:b/>
          <w:szCs w:val="24"/>
          <w:lang w:val="en-US" w:eastAsia="ru-RU"/>
        </w:rPr>
        <w:instrText>github</w:instrText>
      </w:r>
      <w:r w:rsidR="00E430FD" w:rsidRPr="00795E89">
        <w:rPr>
          <w:rFonts w:eastAsia="Times New Roman"/>
          <w:b/>
          <w:szCs w:val="24"/>
          <w:lang w:eastAsia="ru-RU"/>
        </w:rPr>
        <w:instrText>.</w:instrText>
      </w:r>
      <w:r w:rsidR="00E430FD">
        <w:rPr>
          <w:rFonts w:eastAsia="Times New Roman"/>
          <w:b/>
          <w:szCs w:val="24"/>
          <w:lang w:val="en-US" w:eastAsia="ru-RU"/>
        </w:rPr>
        <w:instrText>com</w:instrText>
      </w:r>
      <w:r w:rsidR="00E430FD" w:rsidRPr="00795E89">
        <w:rPr>
          <w:rFonts w:eastAsia="Times New Roman"/>
          <w:b/>
          <w:szCs w:val="24"/>
          <w:lang w:eastAsia="ru-RU"/>
        </w:rPr>
        <w:instrText>/</w:instrText>
      </w:r>
      <w:r w:rsidR="00E430FD">
        <w:rPr>
          <w:rFonts w:eastAsia="Times New Roman"/>
          <w:b/>
          <w:szCs w:val="24"/>
          <w:lang w:val="en-US" w:eastAsia="ru-RU"/>
        </w:rPr>
        <w:instrText>citation</w:instrText>
      </w:r>
      <w:r w:rsidR="00E430FD" w:rsidRPr="00795E89">
        <w:rPr>
          <w:rFonts w:eastAsia="Times New Roman"/>
          <w:b/>
          <w:szCs w:val="24"/>
          <w:lang w:eastAsia="ru-RU"/>
        </w:rPr>
        <w:instrText>-</w:instrText>
      </w:r>
      <w:r w:rsidR="00E430FD">
        <w:rPr>
          <w:rFonts w:eastAsia="Times New Roman"/>
          <w:b/>
          <w:szCs w:val="24"/>
          <w:lang w:val="en-US" w:eastAsia="ru-RU"/>
        </w:rPr>
        <w:instrText>style</w:instrText>
      </w:r>
      <w:r w:rsidR="00E430FD" w:rsidRPr="00795E89">
        <w:rPr>
          <w:rFonts w:eastAsia="Times New Roman"/>
          <w:b/>
          <w:szCs w:val="24"/>
          <w:lang w:eastAsia="ru-RU"/>
        </w:rPr>
        <w:instrText>-</w:instrText>
      </w:r>
      <w:r w:rsidR="00E430FD">
        <w:rPr>
          <w:rFonts w:eastAsia="Times New Roman"/>
          <w:b/>
          <w:szCs w:val="24"/>
          <w:lang w:val="en-US" w:eastAsia="ru-RU"/>
        </w:rPr>
        <w:instrText>language</w:instrText>
      </w:r>
      <w:r w:rsidR="00E430FD" w:rsidRPr="00795E89">
        <w:rPr>
          <w:rFonts w:eastAsia="Times New Roman"/>
          <w:b/>
          <w:szCs w:val="24"/>
          <w:lang w:eastAsia="ru-RU"/>
        </w:rPr>
        <w:instrText>/</w:instrText>
      </w:r>
      <w:r w:rsidR="00E430FD">
        <w:rPr>
          <w:rFonts w:eastAsia="Times New Roman"/>
          <w:b/>
          <w:szCs w:val="24"/>
          <w:lang w:val="en-US" w:eastAsia="ru-RU"/>
        </w:rPr>
        <w:instrText>schema</w:instrText>
      </w:r>
      <w:r w:rsidR="00E430FD" w:rsidRPr="00795E89">
        <w:rPr>
          <w:rFonts w:eastAsia="Times New Roman"/>
          <w:b/>
          <w:szCs w:val="24"/>
          <w:lang w:eastAsia="ru-RU"/>
        </w:rPr>
        <w:instrText>/</w:instrText>
      </w:r>
      <w:r w:rsidR="00E430FD">
        <w:rPr>
          <w:rFonts w:eastAsia="Times New Roman"/>
          <w:b/>
          <w:szCs w:val="24"/>
          <w:lang w:val="en-US" w:eastAsia="ru-RU"/>
        </w:rPr>
        <w:instrText>raw</w:instrText>
      </w:r>
      <w:r w:rsidR="00E430FD" w:rsidRPr="00795E89">
        <w:rPr>
          <w:rFonts w:eastAsia="Times New Roman"/>
          <w:b/>
          <w:szCs w:val="24"/>
          <w:lang w:eastAsia="ru-RU"/>
        </w:rPr>
        <w:instrText>/</w:instrText>
      </w:r>
      <w:r w:rsidR="00E430FD">
        <w:rPr>
          <w:rFonts w:eastAsia="Times New Roman"/>
          <w:b/>
          <w:szCs w:val="24"/>
          <w:lang w:val="en-US" w:eastAsia="ru-RU"/>
        </w:rPr>
        <w:instrText>master</w:instrText>
      </w:r>
      <w:r w:rsidR="00E430FD" w:rsidRPr="00795E89">
        <w:rPr>
          <w:rFonts w:eastAsia="Times New Roman"/>
          <w:b/>
          <w:szCs w:val="24"/>
          <w:lang w:eastAsia="ru-RU"/>
        </w:rPr>
        <w:instrText>/</w:instrText>
      </w:r>
      <w:r w:rsidR="00E430FD">
        <w:rPr>
          <w:rFonts w:eastAsia="Times New Roman"/>
          <w:b/>
          <w:szCs w:val="24"/>
          <w:lang w:val="en-US" w:eastAsia="ru-RU"/>
        </w:rPr>
        <w:instrText>csl</w:instrText>
      </w:r>
      <w:r w:rsidR="00E430FD" w:rsidRPr="00795E89">
        <w:rPr>
          <w:rFonts w:eastAsia="Times New Roman"/>
          <w:b/>
          <w:szCs w:val="24"/>
          <w:lang w:eastAsia="ru-RU"/>
        </w:rPr>
        <w:instrText>-</w:instrText>
      </w:r>
      <w:r w:rsidR="00E430FD">
        <w:rPr>
          <w:rFonts w:eastAsia="Times New Roman"/>
          <w:b/>
          <w:szCs w:val="24"/>
          <w:lang w:val="en-US" w:eastAsia="ru-RU"/>
        </w:rPr>
        <w:instrText>citation</w:instrText>
      </w:r>
      <w:r w:rsidR="00E430FD" w:rsidRPr="00795E89">
        <w:rPr>
          <w:rFonts w:eastAsia="Times New Roman"/>
          <w:b/>
          <w:szCs w:val="24"/>
          <w:lang w:eastAsia="ru-RU"/>
        </w:rPr>
        <w:instrText>.</w:instrText>
      </w:r>
      <w:r w:rsidR="00E430FD">
        <w:rPr>
          <w:rFonts w:eastAsia="Times New Roman"/>
          <w:b/>
          <w:szCs w:val="24"/>
          <w:lang w:val="en-US" w:eastAsia="ru-RU"/>
        </w:rPr>
        <w:instrText>json</w:instrText>
      </w:r>
      <w:r w:rsidR="00E430FD" w:rsidRPr="00795E89">
        <w:rPr>
          <w:rFonts w:eastAsia="Times New Roman"/>
          <w:b/>
          <w:szCs w:val="24"/>
          <w:lang w:eastAsia="ru-RU"/>
        </w:rPr>
        <w:instrText>"}</w:instrText>
      </w:r>
      <w:r w:rsidR="001E16F8" w:rsidRPr="00F242DD">
        <w:rPr>
          <w:rFonts w:eastAsia="Times New Roman"/>
          <w:b/>
          <w:szCs w:val="24"/>
          <w:lang w:val="en-US" w:eastAsia="ru-RU"/>
        </w:rPr>
        <w:fldChar w:fldCharType="separate"/>
      </w:r>
      <w:r w:rsidR="00E430FD" w:rsidRPr="00E430FD">
        <w:rPr>
          <w:rFonts w:eastAsia="Times New Roman"/>
          <w:noProof/>
          <w:szCs w:val="24"/>
          <w:lang w:eastAsia="ru-RU"/>
        </w:rPr>
        <w:t>[93]</w:t>
      </w:r>
      <w:r w:rsidR="001E16F8" w:rsidRPr="00F242DD">
        <w:rPr>
          <w:rFonts w:eastAsia="Times New Roman"/>
          <w:b/>
          <w:szCs w:val="24"/>
          <w:lang w:val="en-US" w:eastAsia="ru-RU"/>
        </w:rPr>
        <w:fldChar w:fldCharType="end"/>
      </w:r>
    </w:p>
    <w:p w14:paraId="36E91B0B" w14:textId="77777777" w:rsidR="000546DA" w:rsidRPr="00EA7111" w:rsidRDefault="000546DA" w:rsidP="00893452">
      <w:pPr>
        <w:pStyle w:val="a6"/>
        <w:numPr>
          <w:ilvl w:val="0"/>
          <w:numId w:val="50"/>
        </w:numPr>
        <w:spacing w:before="0" w:after="0"/>
        <w:ind w:left="284" w:firstLine="0"/>
        <w:jc w:val="left"/>
        <w:rPr>
          <w:rFonts w:eastAsia="Times New Roman"/>
          <w:szCs w:val="24"/>
          <w:lang w:eastAsia="ru-RU"/>
        </w:rPr>
      </w:pPr>
      <w:r w:rsidRPr="00F242DD">
        <w:rPr>
          <w:rFonts w:eastAsia="Times New Roman"/>
          <w:szCs w:val="24"/>
          <w:lang w:eastAsia="ru-RU"/>
        </w:rPr>
        <w:t>Бортезомиб</w:t>
      </w:r>
      <w:r w:rsidRPr="00EA7111">
        <w:rPr>
          <w:rFonts w:eastAsia="Times New Roman"/>
          <w:szCs w:val="24"/>
          <w:lang w:eastAsia="ru-RU"/>
        </w:rPr>
        <w:t xml:space="preserve">** 1,3 </w:t>
      </w:r>
      <w:r w:rsidRPr="00F242DD">
        <w:rPr>
          <w:rFonts w:eastAsia="Times New Roman"/>
          <w:szCs w:val="24"/>
          <w:lang w:eastAsia="ru-RU"/>
        </w:rPr>
        <w:t>мг</w:t>
      </w:r>
      <w:r w:rsidRPr="00EA7111">
        <w:rPr>
          <w:rFonts w:eastAsia="Times New Roman"/>
          <w:szCs w:val="24"/>
          <w:lang w:eastAsia="ru-RU"/>
        </w:rPr>
        <w:t>/</w:t>
      </w:r>
      <w:r w:rsidRPr="00F242DD">
        <w:rPr>
          <w:rFonts w:eastAsia="Times New Roman"/>
          <w:szCs w:val="24"/>
          <w:lang w:eastAsia="ru-RU"/>
        </w:rPr>
        <w:t>м</w:t>
      </w:r>
      <w:r w:rsidRPr="00EA7111">
        <w:rPr>
          <w:rFonts w:eastAsia="Times New Roman"/>
          <w:szCs w:val="24"/>
          <w:vertAlign w:val="superscript"/>
          <w:lang w:eastAsia="ru-RU"/>
        </w:rPr>
        <w:t>2</w:t>
      </w:r>
      <w:r w:rsidRPr="00EA7111">
        <w:rPr>
          <w:rFonts w:eastAsia="Times New Roman"/>
          <w:szCs w:val="24"/>
          <w:lang w:eastAsia="ru-RU"/>
        </w:rPr>
        <w:t xml:space="preserve"> </w:t>
      </w:r>
      <w:r w:rsidRPr="00F242DD">
        <w:rPr>
          <w:rFonts w:eastAsia="Times New Roman"/>
          <w:szCs w:val="24"/>
          <w:lang w:eastAsia="ru-RU"/>
        </w:rPr>
        <w:t>в</w:t>
      </w:r>
      <w:r w:rsidRPr="00EA7111">
        <w:rPr>
          <w:rFonts w:eastAsia="Times New Roman"/>
          <w:szCs w:val="24"/>
          <w:lang w:eastAsia="ru-RU"/>
        </w:rPr>
        <w:t>/</w:t>
      </w:r>
      <w:r w:rsidRPr="00F242DD">
        <w:rPr>
          <w:rFonts w:eastAsia="Times New Roman"/>
          <w:szCs w:val="24"/>
          <w:lang w:eastAsia="ru-RU"/>
        </w:rPr>
        <w:t>в</w:t>
      </w:r>
      <w:r w:rsidRPr="00EA7111">
        <w:rPr>
          <w:rFonts w:eastAsia="Times New Roman"/>
          <w:szCs w:val="24"/>
          <w:lang w:eastAsia="ru-RU"/>
        </w:rPr>
        <w:t xml:space="preserve"> </w:t>
      </w:r>
      <w:r w:rsidRPr="00F242DD">
        <w:rPr>
          <w:rFonts w:eastAsia="Times New Roman"/>
          <w:szCs w:val="24"/>
          <w:lang w:eastAsia="ru-RU"/>
        </w:rPr>
        <w:t>струйно</w:t>
      </w:r>
      <w:r w:rsidRPr="00EA7111">
        <w:rPr>
          <w:rFonts w:eastAsia="Times New Roman"/>
          <w:szCs w:val="24"/>
          <w:lang w:eastAsia="ru-RU"/>
        </w:rPr>
        <w:t xml:space="preserve">, </w:t>
      </w:r>
      <w:r w:rsidRPr="00F242DD">
        <w:rPr>
          <w:rFonts w:eastAsia="Times New Roman"/>
          <w:szCs w:val="24"/>
          <w:lang w:eastAsia="ru-RU"/>
        </w:rPr>
        <w:t>дни</w:t>
      </w:r>
      <w:r w:rsidRPr="00EA7111">
        <w:rPr>
          <w:rFonts w:eastAsia="Times New Roman"/>
          <w:szCs w:val="24"/>
          <w:lang w:eastAsia="ru-RU"/>
        </w:rPr>
        <w:t xml:space="preserve"> 1, 4, 8, 11</w:t>
      </w:r>
      <w:r w:rsidR="00522C92" w:rsidRPr="00EA7111">
        <w:rPr>
          <w:rFonts w:eastAsia="Times New Roman"/>
          <w:szCs w:val="24"/>
          <w:lang w:eastAsia="ru-RU"/>
        </w:rPr>
        <w:t>-</w:t>
      </w:r>
      <w:r w:rsidR="00522C92" w:rsidRPr="00F242DD">
        <w:rPr>
          <w:rFonts w:eastAsia="Times New Roman"/>
          <w:szCs w:val="24"/>
          <w:lang w:eastAsia="ru-RU"/>
        </w:rPr>
        <w:t>й</w:t>
      </w:r>
      <w:r w:rsidRPr="00EA7111">
        <w:rPr>
          <w:rFonts w:eastAsia="Times New Roman"/>
          <w:szCs w:val="24"/>
          <w:lang w:eastAsia="ru-RU"/>
        </w:rPr>
        <w:t xml:space="preserve"> </w:t>
      </w:r>
    </w:p>
    <w:p w14:paraId="27BF337D" w14:textId="2E4E454F" w:rsidR="000546DA" w:rsidRPr="00EA7111" w:rsidRDefault="000546DA" w:rsidP="00893452">
      <w:pPr>
        <w:pStyle w:val="a6"/>
        <w:numPr>
          <w:ilvl w:val="0"/>
          <w:numId w:val="50"/>
        </w:numPr>
        <w:spacing w:before="0" w:after="0"/>
        <w:ind w:left="284" w:firstLine="0"/>
        <w:jc w:val="left"/>
        <w:rPr>
          <w:rFonts w:eastAsia="Times New Roman"/>
          <w:szCs w:val="24"/>
          <w:lang w:eastAsia="ru-RU"/>
        </w:rPr>
      </w:pPr>
      <w:r w:rsidRPr="00F242DD">
        <w:rPr>
          <w:rFonts w:eastAsia="Times New Roman"/>
          <w:szCs w:val="24"/>
          <w:lang w:eastAsia="ru-RU"/>
        </w:rPr>
        <w:t>Дексаметазон</w:t>
      </w:r>
      <w:r w:rsidRPr="00EA7111">
        <w:rPr>
          <w:rFonts w:eastAsia="Times New Roman"/>
          <w:szCs w:val="24"/>
          <w:lang w:eastAsia="ru-RU"/>
        </w:rPr>
        <w:t>**</w:t>
      </w:r>
      <w:r w:rsidR="00D9041C" w:rsidRPr="00EA7111">
        <w:rPr>
          <w:rFonts w:eastAsia="Times New Roman"/>
          <w:szCs w:val="24"/>
          <w:lang w:eastAsia="ru-RU"/>
        </w:rPr>
        <w:t xml:space="preserve"> </w:t>
      </w:r>
      <w:r w:rsidRPr="00EA7111">
        <w:rPr>
          <w:rFonts w:eastAsia="Times New Roman"/>
          <w:szCs w:val="24"/>
          <w:lang w:eastAsia="ru-RU"/>
        </w:rPr>
        <w:t xml:space="preserve">40 </w:t>
      </w:r>
      <w:r w:rsidRPr="00F242DD">
        <w:rPr>
          <w:rFonts w:eastAsia="Times New Roman"/>
          <w:szCs w:val="24"/>
          <w:lang w:eastAsia="ru-RU"/>
        </w:rPr>
        <w:t>мг</w:t>
      </w:r>
      <w:r w:rsidRPr="00EA7111">
        <w:rPr>
          <w:rFonts w:eastAsia="Times New Roman"/>
          <w:szCs w:val="24"/>
          <w:lang w:eastAsia="ru-RU"/>
        </w:rPr>
        <w:t xml:space="preserve"> </w:t>
      </w:r>
      <w:r w:rsidRPr="00F242DD">
        <w:rPr>
          <w:rFonts w:eastAsia="Times New Roman"/>
          <w:szCs w:val="24"/>
          <w:lang w:eastAsia="ru-RU"/>
        </w:rPr>
        <w:t>в</w:t>
      </w:r>
      <w:r w:rsidRPr="00EA7111">
        <w:rPr>
          <w:rFonts w:eastAsia="Times New Roman"/>
          <w:szCs w:val="24"/>
          <w:lang w:eastAsia="ru-RU"/>
        </w:rPr>
        <w:t>/</w:t>
      </w:r>
      <w:r w:rsidRPr="00F242DD">
        <w:rPr>
          <w:rFonts w:eastAsia="Times New Roman"/>
          <w:szCs w:val="24"/>
          <w:lang w:eastAsia="ru-RU"/>
        </w:rPr>
        <w:t>в</w:t>
      </w:r>
      <w:r w:rsidRPr="00EA7111">
        <w:rPr>
          <w:rFonts w:eastAsia="Times New Roman"/>
          <w:szCs w:val="24"/>
          <w:lang w:eastAsia="ru-RU"/>
        </w:rPr>
        <w:t xml:space="preserve"> </w:t>
      </w:r>
      <w:r w:rsidRPr="00F242DD">
        <w:rPr>
          <w:rFonts w:eastAsia="Times New Roman"/>
          <w:szCs w:val="24"/>
          <w:lang w:eastAsia="ru-RU"/>
        </w:rPr>
        <w:t>или</w:t>
      </w:r>
      <w:r w:rsidRPr="00EA7111">
        <w:rPr>
          <w:rFonts w:eastAsia="Times New Roman"/>
          <w:szCs w:val="24"/>
          <w:lang w:eastAsia="ru-RU"/>
        </w:rPr>
        <w:t xml:space="preserve"> </w:t>
      </w:r>
      <w:r w:rsidRPr="00F242DD">
        <w:rPr>
          <w:rFonts w:eastAsia="Times New Roman"/>
          <w:szCs w:val="24"/>
          <w:lang w:eastAsia="ru-RU"/>
        </w:rPr>
        <w:t>внутрь</w:t>
      </w:r>
      <w:r w:rsidRPr="00EA7111">
        <w:rPr>
          <w:rFonts w:eastAsia="Times New Roman"/>
          <w:szCs w:val="24"/>
          <w:lang w:eastAsia="ru-RU"/>
        </w:rPr>
        <w:t xml:space="preserve">, </w:t>
      </w:r>
      <w:r w:rsidRPr="00F242DD">
        <w:rPr>
          <w:rFonts w:eastAsia="Times New Roman"/>
          <w:szCs w:val="24"/>
          <w:lang w:eastAsia="ru-RU"/>
        </w:rPr>
        <w:t>дни</w:t>
      </w:r>
      <w:r w:rsidR="00C90E6C" w:rsidRPr="00EA7111">
        <w:rPr>
          <w:rFonts w:eastAsia="Times New Roman"/>
          <w:szCs w:val="24"/>
          <w:lang w:eastAsia="ru-RU"/>
        </w:rPr>
        <w:t xml:space="preserve"> 1‒4</w:t>
      </w:r>
      <w:r w:rsidR="00522C92" w:rsidRPr="00EA7111">
        <w:rPr>
          <w:rFonts w:eastAsia="Times New Roman"/>
          <w:szCs w:val="24"/>
          <w:lang w:eastAsia="ru-RU"/>
        </w:rPr>
        <w:t>-</w:t>
      </w:r>
      <w:r w:rsidR="00522C92" w:rsidRPr="00F242DD">
        <w:rPr>
          <w:rFonts w:eastAsia="Times New Roman"/>
          <w:szCs w:val="24"/>
          <w:lang w:eastAsia="ru-RU"/>
        </w:rPr>
        <w:t>й</w:t>
      </w:r>
      <w:r w:rsidRPr="00EA7111">
        <w:rPr>
          <w:rFonts w:eastAsia="Times New Roman"/>
          <w:szCs w:val="24"/>
          <w:lang w:eastAsia="ru-RU"/>
        </w:rPr>
        <w:t xml:space="preserve"> </w:t>
      </w:r>
    </w:p>
    <w:p w14:paraId="6D27089E" w14:textId="77777777" w:rsidR="000546DA" w:rsidRPr="00EA7111" w:rsidRDefault="000546DA" w:rsidP="00893452">
      <w:pPr>
        <w:pStyle w:val="a6"/>
        <w:numPr>
          <w:ilvl w:val="0"/>
          <w:numId w:val="50"/>
        </w:numPr>
        <w:spacing w:before="0" w:after="0"/>
        <w:ind w:left="284" w:firstLine="0"/>
        <w:jc w:val="left"/>
        <w:rPr>
          <w:rFonts w:eastAsia="Times New Roman"/>
          <w:szCs w:val="24"/>
          <w:lang w:eastAsia="ru-RU"/>
        </w:rPr>
      </w:pPr>
      <w:r w:rsidRPr="00EA7111">
        <w:rPr>
          <w:rFonts w:eastAsia="Times New Roman"/>
          <w:szCs w:val="24"/>
          <w:lang w:eastAsia="ru-RU"/>
        </w:rPr>
        <w:t>#</w:t>
      </w:r>
      <w:r w:rsidRPr="00F242DD">
        <w:rPr>
          <w:rFonts w:eastAsia="Times New Roman"/>
          <w:szCs w:val="24"/>
          <w:lang w:eastAsia="ru-RU"/>
        </w:rPr>
        <w:t>Цисплатин</w:t>
      </w:r>
      <w:r w:rsidRPr="00EA7111">
        <w:rPr>
          <w:rFonts w:eastAsia="Times New Roman"/>
          <w:szCs w:val="24"/>
          <w:lang w:eastAsia="ru-RU"/>
        </w:rPr>
        <w:t xml:space="preserve">** 10 </w:t>
      </w:r>
      <w:r w:rsidRPr="00F242DD">
        <w:rPr>
          <w:rFonts w:eastAsia="Times New Roman"/>
          <w:szCs w:val="24"/>
          <w:lang w:eastAsia="ru-RU"/>
        </w:rPr>
        <w:t>мг</w:t>
      </w:r>
      <w:r w:rsidRPr="00EA7111">
        <w:rPr>
          <w:rFonts w:eastAsia="Times New Roman"/>
          <w:szCs w:val="24"/>
          <w:lang w:eastAsia="ru-RU"/>
        </w:rPr>
        <w:t>/</w:t>
      </w:r>
      <w:r w:rsidRPr="00F242DD">
        <w:rPr>
          <w:rFonts w:eastAsia="Times New Roman"/>
          <w:szCs w:val="24"/>
          <w:lang w:eastAsia="ru-RU"/>
        </w:rPr>
        <w:t>м</w:t>
      </w:r>
      <w:r w:rsidRPr="00EA7111">
        <w:rPr>
          <w:rFonts w:eastAsia="Times New Roman"/>
          <w:szCs w:val="24"/>
          <w:vertAlign w:val="superscript"/>
          <w:lang w:eastAsia="ru-RU"/>
        </w:rPr>
        <w:t>2</w:t>
      </w:r>
      <w:r w:rsidRPr="00EA7111">
        <w:rPr>
          <w:rFonts w:eastAsia="Times New Roman"/>
          <w:szCs w:val="24"/>
          <w:lang w:eastAsia="ru-RU"/>
        </w:rPr>
        <w:t xml:space="preserve"> </w:t>
      </w:r>
      <w:r w:rsidRPr="00F242DD">
        <w:rPr>
          <w:rFonts w:eastAsia="Times New Roman"/>
          <w:szCs w:val="24"/>
          <w:lang w:eastAsia="ru-RU"/>
        </w:rPr>
        <w:t>в</w:t>
      </w:r>
      <w:r w:rsidRPr="00EA7111">
        <w:rPr>
          <w:rFonts w:eastAsia="Times New Roman"/>
          <w:szCs w:val="24"/>
          <w:lang w:eastAsia="ru-RU"/>
        </w:rPr>
        <w:t>/</w:t>
      </w:r>
      <w:r w:rsidRPr="00F242DD">
        <w:rPr>
          <w:rFonts w:eastAsia="Times New Roman"/>
          <w:szCs w:val="24"/>
          <w:lang w:eastAsia="ru-RU"/>
        </w:rPr>
        <w:t>в</w:t>
      </w:r>
      <w:r w:rsidRPr="00EA7111">
        <w:rPr>
          <w:rFonts w:eastAsia="Times New Roman"/>
          <w:szCs w:val="24"/>
          <w:lang w:eastAsia="ru-RU"/>
        </w:rPr>
        <w:t xml:space="preserve"> 24-</w:t>
      </w:r>
      <w:r w:rsidRPr="00F242DD">
        <w:rPr>
          <w:rFonts w:eastAsia="Times New Roman"/>
          <w:szCs w:val="24"/>
          <w:lang w:eastAsia="ru-RU"/>
        </w:rPr>
        <w:t>часовая</w:t>
      </w:r>
      <w:r w:rsidRPr="00EA7111">
        <w:rPr>
          <w:rFonts w:eastAsia="Times New Roman"/>
          <w:szCs w:val="24"/>
          <w:lang w:eastAsia="ru-RU"/>
        </w:rPr>
        <w:t xml:space="preserve"> </w:t>
      </w:r>
      <w:r w:rsidRPr="00F242DD">
        <w:rPr>
          <w:rFonts w:eastAsia="Times New Roman"/>
          <w:szCs w:val="24"/>
          <w:lang w:eastAsia="ru-RU"/>
        </w:rPr>
        <w:t>инфузия</w:t>
      </w:r>
      <w:r w:rsidRPr="00EA7111">
        <w:rPr>
          <w:rFonts w:eastAsia="Times New Roman"/>
          <w:szCs w:val="24"/>
          <w:lang w:eastAsia="ru-RU"/>
        </w:rPr>
        <w:t xml:space="preserve">, </w:t>
      </w:r>
      <w:r w:rsidRPr="00F242DD">
        <w:rPr>
          <w:rFonts w:eastAsia="Times New Roman"/>
          <w:szCs w:val="24"/>
          <w:lang w:eastAsia="ru-RU"/>
        </w:rPr>
        <w:t>дни</w:t>
      </w:r>
      <w:r w:rsidRPr="00EA7111">
        <w:rPr>
          <w:rFonts w:eastAsia="Times New Roman"/>
          <w:szCs w:val="24"/>
          <w:lang w:eastAsia="ru-RU"/>
        </w:rPr>
        <w:t xml:space="preserve"> 4</w:t>
      </w:r>
      <w:r w:rsidR="00522C92" w:rsidRPr="00EA7111">
        <w:rPr>
          <w:rFonts w:eastAsia="Times New Roman"/>
          <w:szCs w:val="24"/>
          <w:lang w:eastAsia="ru-RU"/>
        </w:rPr>
        <w:t>‒</w:t>
      </w:r>
      <w:r w:rsidRPr="00EA7111">
        <w:rPr>
          <w:rFonts w:eastAsia="Times New Roman"/>
          <w:szCs w:val="24"/>
          <w:lang w:eastAsia="ru-RU"/>
        </w:rPr>
        <w:t>7</w:t>
      </w:r>
      <w:r w:rsidR="00522C92" w:rsidRPr="00EA7111">
        <w:rPr>
          <w:rFonts w:eastAsia="Times New Roman"/>
          <w:szCs w:val="24"/>
          <w:lang w:eastAsia="ru-RU"/>
        </w:rPr>
        <w:t>-</w:t>
      </w:r>
      <w:r w:rsidR="00522C92" w:rsidRPr="00F242DD">
        <w:rPr>
          <w:rFonts w:eastAsia="Times New Roman"/>
          <w:szCs w:val="24"/>
          <w:lang w:eastAsia="ru-RU"/>
        </w:rPr>
        <w:t>й</w:t>
      </w:r>
      <w:r w:rsidRPr="00EA7111">
        <w:rPr>
          <w:rFonts w:eastAsia="Times New Roman"/>
          <w:szCs w:val="24"/>
          <w:lang w:eastAsia="ru-RU"/>
        </w:rPr>
        <w:t xml:space="preserve"> </w:t>
      </w:r>
    </w:p>
    <w:p w14:paraId="0D8276CF" w14:textId="77777777" w:rsidR="000546DA" w:rsidRPr="00EA7111" w:rsidRDefault="000546DA" w:rsidP="00893452">
      <w:pPr>
        <w:pStyle w:val="a6"/>
        <w:numPr>
          <w:ilvl w:val="0"/>
          <w:numId w:val="50"/>
        </w:numPr>
        <w:spacing w:before="0" w:after="0"/>
        <w:ind w:left="284" w:firstLine="0"/>
        <w:jc w:val="left"/>
        <w:rPr>
          <w:rFonts w:eastAsia="Times New Roman"/>
          <w:szCs w:val="24"/>
          <w:lang w:eastAsia="ru-RU"/>
        </w:rPr>
      </w:pPr>
      <w:r w:rsidRPr="00F242DD">
        <w:rPr>
          <w:rFonts w:eastAsia="Times New Roman"/>
          <w:szCs w:val="24"/>
          <w:lang w:eastAsia="ru-RU"/>
        </w:rPr>
        <w:t>Доксорубицин</w:t>
      </w:r>
      <w:r w:rsidRPr="00EA7111">
        <w:rPr>
          <w:rFonts w:eastAsia="Times New Roman"/>
          <w:szCs w:val="24"/>
          <w:lang w:eastAsia="ru-RU"/>
        </w:rPr>
        <w:t xml:space="preserve">** 10 </w:t>
      </w:r>
      <w:r w:rsidRPr="00F242DD">
        <w:rPr>
          <w:rFonts w:eastAsia="Times New Roman"/>
          <w:szCs w:val="24"/>
          <w:lang w:eastAsia="ru-RU"/>
        </w:rPr>
        <w:t>мг</w:t>
      </w:r>
      <w:r w:rsidRPr="00EA7111">
        <w:rPr>
          <w:rFonts w:eastAsia="Times New Roman"/>
          <w:szCs w:val="24"/>
          <w:lang w:eastAsia="ru-RU"/>
        </w:rPr>
        <w:t>/</w:t>
      </w:r>
      <w:r w:rsidRPr="00F242DD">
        <w:rPr>
          <w:rFonts w:eastAsia="Times New Roman"/>
          <w:szCs w:val="24"/>
          <w:lang w:eastAsia="ru-RU"/>
        </w:rPr>
        <w:t>м</w:t>
      </w:r>
      <w:r w:rsidRPr="00EA7111">
        <w:rPr>
          <w:rFonts w:eastAsia="Times New Roman"/>
          <w:szCs w:val="24"/>
          <w:vertAlign w:val="superscript"/>
          <w:lang w:eastAsia="ru-RU"/>
        </w:rPr>
        <w:t>2</w:t>
      </w:r>
      <w:r w:rsidRPr="00EA7111">
        <w:rPr>
          <w:rFonts w:eastAsia="Times New Roman"/>
          <w:szCs w:val="24"/>
          <w:lang w:eastAsia="ru-RU"/>
        </w:rPr>
        <w:t xml:space="preserve"> </w:t>
      </w:r>
      <w:r w:rsidRPr="00F242DD">
        <w:rPr>
          <w:rFonts w:eastAsia="Times New Roman"/>
          <w:szCs w:val="24"/>
          <w:lang w:eastAsia="ru-RU"/>
        </w:rPr>
        <w:t>в</w:t>
      </w:r>
      <w:r w:rsidRPr="00EA7111">
        <w:rPr>
          <w:rFonts w:eastAsia="Times New Roman"/>
          <w:szCs w:val="24"/>
          <w:lang w:eastAsia="ru-RU"/>
        </w:rPr>
        <w:t>/</w:t>
      </w:r>
      <w:r w:rsidRPr="00F242DD">
        <w:rPr>
          <w:rFonts w:eastAsia="Times New Roman"/>
          <w:szCs w:val="24"/>
          <w:lang w:eastAsia="ru-RU"/>
        </w:rPr>
        <w:t>в</w:t>
      </w:r>
      <w:r w:rsidRPr="00EA7111">
        <w:rPr>
          <w:rFonts w:eastAsia="Times New Roman"/>
          <w:szCs w:val="24"/>
          <w:lang w:eastAsia="ru-RU"/>
        </w:rPr>
        <w:t xml:space="preserve"> 24-</w:t>
      </w:r>
      <w:r w:rsidRPr="00F242DD">
        <w:rPr>
          <w:rFonts w:eastAsia="Times New Roman"/>
          <w:szCs w:val="24"/>
          <w:lang w:eastAsia="ru-RU"/>
        </w:rPr>
        <w:t>часовая</w:t>
      </w:r>
      <w:r w:rsidRPr="00EA7111">
        <w:rPr>
          <w:rFonts w:eastAsia="Times New Roman"/>
          <w:szCs w:val="24"/>
          <w:lang w:eastAsia="ru-RU"/>
        </w:rPr>
        <w:t xml:space="preserve"> </w:t>
      </w:r>
      <w:r w:rsidRPr="00F242DD">
        <w:rPr>
          <w:rFonts w:eastAsia="Times New Roman"/>
          <w:szCs w:val="24"/>
          <w:lang w:eastAsia="ru-RU"/>
        </w:rPr>
        <w:t>инфузия</w:t>
      </w:r>
      <w:r w:rsidRPr="00EA7111">
        <w:rPr>
          <w:rFonts w:eastAsia="Times New Roman"/>
          <w:szCs w:val="24"/>
          <w:lang w:eastAsia="ru-RU"/>
        </w:rPr>
        <w:t xml:space="preserve">, </w:t>
      </w:r>
      <w:r w:rsidRPr="00F242DD">
        <w:rPr>
          <w:rFonts w:eastAsia="Times New Roman"/>
          <w:szCs w:val="24"/>
          <w:lang w:eastAsia="ru-RU"/>
        </w:rPr>
        <w:t>дни</w:t>
      </w:r>
      <w:r w:rsidRPr="00EA7111">
        <w:rPr>
          <w:rFonts w:eastAsia="Times New Roman"/>
          <w:szCs w:val="24"/>
          <w:lang w:eastAsia="ru-RU"/>
        </w:rPr>
        <w:t xml:space="preserve"> 4</w:t>
      </w:r>
      <w:r w:rsidR="00522C92" w:rsidRPr="00EA7111">
        <w:rPr>
          <w:rFonts w:eastAsia="Times New Roman"/>
          <w:szCs w:val="24"/>
          <w:lang w:eastAsia="ru-RU"/>
        </w:rPr>
        <w:t>‒</w:t>
      </w:r>
      <w:r w:rsidRPr="00EA7111">
        <w:rPr>
          <w:rFonts w:eastAsia="Times New Roman"/>
          <w:szCs w:val="24"/>
          <w:lang w:eastAsia="ru-RU"/>
        </w:rPr>
        <w:t xml:space="preserve">7 </w:t>
      </w:r>
      <w:r w:rsidR="00522C92" w:rsidRPr="00EA7111">
        <w:rPr>
          <w:rFonts w:eastAsia="Times New Roman"/>
          <w:szCs w:val="24"/>
          <w:lang w:eastAsia="ru-RU"/>
        </w:rPr>
        <w:t>-</w:t>
      </w:r>
      <w:r w:rsidR="00522C92" w:rsidRPr="00F242DD">
        <w:rPr>
          <w:rFonts w:eastAsia="Times New Roman"/>
          <w:szCs w:val="24"/>
          <w:lang w:eastAsia="ru-RU"/>
        </w:rPr>
        <w:t>й</w:t>
      </w:r>
    </w:p>
    <w:p w14:paraId="61149BC5" w14:textId="77777777" w:rsidR="000546DA" w:rsidRPr="00EA7111" w:rsidRDefault="000546DA" w:rsidP="00893452">
      <w:pPr>
        <w:pStyle w:val="a6"/>
        <w:numPr>
          <w:ilvl w:val="0"/>
          <w:numId w:val="50"/>
        </w:numPr>
        <w:spacing w:before="0" w:after="0"/>
        <w:ind w:left="284" w:firstLine="0"/>
        <w:jc w:val="left"/>
        <w:rPr>
          <w:rFonts w:eastAsia="Times New Roman"/>
          <w:szCs w:val="24"/>
          <w:lang w:eastAsia="ru-RU"/>
        </w:rPr>
      </w:pPr>
      <w:r w:rsidRPr="00F242DD">
        <w:rPr>
          <w:rFonts w:eastAsia="Times New Roman"/>
          <w:szCs w:val="24"/>
          <w:lang w:eastAsia="ru-RU"/>
        </w:rPr>
        <w:t>Циклофосфамид</w:t>
      </w:r>
      <w:r w:rsidRPr="00EA7111">
        <w:rPr>
          <w:rFonts w:eastAsia="Times New Roman"/>
          <w:szCs w:val="24"/>
          <w:lang w:eastAsia="ru-RU"/>
        </w:rPr>
        <w:t xml:space="preserve">** 400 </w:t>
      </w:r>
      <w:r w:rsidRPr="00F242DD">
        <w:rPr>
          <w:rFonts w:eastAsia="Times New Roman"/>
          <w:szCs w:val="24"/>
          <w:lang w:eastAsia="ru-RU"/>
        </w:rPr>
        <w:t>мг</w:t>
      </w:r>
      <w:r w:rsidRPr="00EA7111">
        <w:rPr>
          <w:rFonts w:eastAsia="Times New Roman"/>
          <w:szCs w:val="24"/>
          <w:lang w:eastAsia="ru-RU"/>
        </w:rPr>
        <w:t>/</w:t>
      </w:r>
      <w:r w:rsidRPr="00F242DD">
        <w:rPr>
          <w:rFonts w:eastAsia="Times New Roman"/>
          <w:szCs w:val="24"/>
          <w:lang w:eastAsia="ru-RU"/>
        </w:rPr>
        <w:t>м</w:t>
      </w:r>
      <w:r w:rsidRPr="00EA7111">
        <w:rPr>
          <w:rFonts w:eastAsia="Times New Roman"/>
          <w:szCs w:val="24"/>
          <w:vertAlign w:val="superscript"/>
          <w:lang w:eastAsia="ru-RU"/>
        </w:rPr>
        <w:t>2</w:t>
      </w:r>
      <w:r w:rsidRPr="00EA7111">
        <w:rPr>
          <w:rFonts w:eastAsia="Times New Roman"/>
          <w:szCs w:val="24"/>
          <w:lang w:eastAsia="ru-RU"/>
        </w:rPr>
        <w:t xml:space="preserve"> </w:t>
      </w:r>
      <w:r w:rsidRPr="00F242DD">
        <w:rPr>
          <w:rFonts w:eastAsia="Times New Roman"/>
          <w:szCs w:val="24"/>
          <w:lang w:eastAsia="ru-RU"/>
        </w:rPr>
        <w:t>в</w:t>
      </w:r>
      <w:r w:rsidRPr="00EA7111">
        <w:rPr>
          <w:rFonts w:eastAsia="Times New Roman"/>
          <w:szCs w:val="24"/>
          <w:lang w:eastAsia="ru-RU"/>
        </w:rPr>
        <w:t>/</w:t>
      </w:r>
      <w:r w:rsidRPr="00F242DD">
        <w:rPr>
          <w:rFonts w:eastAsia="Times New Roman"/>
          <w:szCs w:val="24"/>
          <w:lang w:eastAsia="ru-RU"/>
        </w:rPr>
        <w:t>в</w:t>
      </w:r>
      <w:r w:rsidRPr="00EA7111">
        <w:rPr>
          <w:rFonts w:eastAsia="Times New Roman"/>
          <w:szCs w:val="24"/>
          <w:lang w:eastAsia="ru-RU"/>
        </w:rPr>
        <w:t xml:space="preserve"> 24-</w:t>
      </w:r>
      <w:r w:rsidRPr="00F242DD">
        <w:rPr>
          <w:rFonts w:eastAsia="Times New Roman"/>
          <w:szCs w:val="24"/>
          <w:lang w:eastAsia="ru-RU"/>
        </w:rPr>
        <w:t>часовая</w:t>
      </w:r>
      <w:r w:rsidRPr="00EA7111">
        <w:rPr>
          <w:rFonts w:eastAsia="Times New Roman"/>
          <w:szCs w:val="24"/>
          <w:lang w:eastAsia="ru-RU"/>
        </w:rPr>
        <w:t xml:space="preserve"> </w:t>
      </w:r>
      <w:r w:rsidRPr="00F242DD">
        <w:rPr>
          <w:rFonts w:eastAsia="Times New Roman"/>
          <w:szCs w:val="24"/>
          <w:lang w:eastAsia="ru-RU"/>
        </w:rPr>
        <w:t>инфузия</w:t>
      </w:r>
      <w:r w:rsidRPr="00EA7111">
        <w:rPr>
          <w:rFonts w:eastAsia="Times New Roman"/>
          <w:szCs w:val="24"/>
          <w:lang w:eastAsia="ru-RU"/>
        </w:rPr>
        <w:t xml:space="preserve">, </w:t>
      </w:r>
      <w:r w:rsidRPr="00F242DD">
        <w:rPr>
          <w:rFonts w:eastAsia="Times New Roman"/>
          <w:szCs w:val="24"/>
          <w:lang w:eastAsia="ru-RU"/>
        </w:rPr>
        <w:t>дни</w:t>
      </w:r>
      <w:r w:rsidRPr="00EA7111">
        <w:rPr>
          <w:rFonts w:eastAsia="Times New Roman"/>
          <w:szCs w:val="24"/>
          <w:lang w:eastAsia="ru-RU"/>
        </w:rPr>
        <w:t xml:space="preserve"> 4-7</w:t>
      </w:r>
    </w:p>
    <w:p w14:paraId="6EA8B3B9" w14:textId="77777777" w:rsidR="000546DA" w:rsidRPr="00EA7111" w:rsidRDefault="000546DA" w:rsidP="00893452">
      <w:pPr>
        <w:pStyle w:val="a6"/>
        <w:numPr>
          <w:ilvl w:val="0"/>
          <w:numId w:val="50"/>
        </w:numPr>
        <w:spacing w:before="0" w:after="0"/>
        <w:ind w:left="284" w:firstLine="0"/>
        <w:jc w:val="left"/>
        <w:rPr>
          <w:rFonts w:eastAsia="Times New Roman"/>
          <w:szCs w:val="24"/>
          <w:lang w:eastAsia="ru-RU"/>
        </w:rPr>
      </w:pPr>
      <w:r w:rsidRPr="00EA7111">
        <w:rPr>
          <w:rFonts w:eastAsia="Times New Roman"/>
          <w:szCs w:val="24"/>
          <w:lang w:eastAsia="ru-RU"/>
        </w:rPr>
        <w:t>#</w:t>
      </w:r>
      <w:r w:rsidRPr="00F242DD">
        <w:rPr>
          <w:rFonts w:eastAsia="Times New Roman"/>
          <w:szCs w:val="24"/>
          <w:lang w:eastAsia="ru-RU"/>
        </w:rPr>
        <w:t>Этопозид</w:t>
      </w:r>
      <w:r w:rsidRPr="00EA7111">
        <w:rPr>
          <w:rFonts w:eastAsia="Times New Roman"/>
          <w:szCs w:val="24"/>
          <w:lang w:eastAsia="ru-RU"/>
        </w:rPr>
        <w:t xml:space="preserve">** 40 </w:t>
      </w:r>
      <w:r w:rsidRPr="00F242DD">
        <w:rPr>
          <w:rFonts w:eastAsia="Times New Roman"/>
          <w:szCs w:val="24"/>
          <w:lang w:eastAsia="ru-RU"/>
        </w:rPr>
        <w:t>мг</w:t>
      </w:r>
      <w:r w:rsidRPr="00EA7111">
        <w:rPr>
          <w:rFonts w:eastAsia="Times New Roman"/>
          <w:szCs w:val="24"/>
          <w:lang w:eastAsia="ru-RU"/>
        </w:rPr>
        <w:t>/</w:t>
      </w:r>
      <w:r w:rsidRPr="00F242DD">
        <w:rPr>
          <w:rFonts w:eastAsia="Times New Roman"/>
          <w:szCs w:val="24"/>
          <w:lang w:eastAsia="ru-RU"/>
        </w:rPr>
        <w:t>м</w:t>
      </w:r>
      <w:r w:rsidRPr="00EA7111">
        <w:rPr>
          <w:rFonts w:eastAsia="Times New Roman"/>
          <w:szCs w:val="24"/>
          <w:vertAlign w:val="superscript"/>
          <w:lang w:eastAsia="ru-RU"/>
        </w:rPr>
        <w:t>2</w:t>
      </w:r>
      <w:r w:rsidRPr="00EA7111">
        <w:rPr>
          <w:rFonts w:eastAsia="Times New Roman"/>
          <w:szCs w:val="24"/>
          <w:lang w:eastAsia="ru-RU"/>
        </w:rPr>
        <w:t xml:space="preserve"> </w:t>
      </w:r>
      <w:r w:rsidRPr="00F242DD">
        <w:rPr>
          <w:rFonts w:eastAsia="Times New Roman"/>
          <w:szCs w:val="24"/>
          <w:lang w:eastAsia="ru-RU"/>
        </w:rPr>
        <w:t>в</w:t>
      </w:r>
      <w:r w:rsidRPr="00EA7111">
        <w:rPr>
          <w:rFonts w:eastAsia="Times New Roman"/>
          <w:szCs w:val="24"/>
          <w:lang w:eastAsia="ru-RU"/>
        </w:rPr>
        <w:t>/</w:t>
      </w:r>
      <w:r w:rsidRPr="00F242DD">
        <w:rPr>
          <w:rFonts w:eastAsia="Times New Roman"/>
          <w:szCs w:val="24"/>
          <w:lang w:eastAsia="ru-RU"/>
        </w:rPr>
        <w:t>в</w:t>
      </w:r>
      <w:r w:rsidRPr="00EA7111">
        <w:rPr>
          <w:rFonts w:eastAsia="Times New Roman"/>
          <w:szCs w:val="24"/>
          <w:lang w:eastAsia="ru-RU"/>
        </w:rPr>
        <w:t xml:space="preserve"> 24-</w:t>
      </w:r>
      <w:r w:rsidRPr="00F242DD">
        <w:rPr>
          <w:rFonts w:eastAsia="Times New Roman"/>
          <w:szCs w:val="24"/>
          <w:lang w:eastAsia="ru-RU"/>
        </w:rPr>
        <w:t>часовая</w:t>
      </w:r>
      <w:r w:rsidRPr="00EA7111">
        <w:rPr>
          <w:rFonts w:eastAsia="Times New Roman"/>
          <w:szCs w:val="24"/>
          <w:lang w:eastAsia="ru-RU"/>
        </w:rPr>
        <w:t xml:space="preserve"> </w:t>
      </w:r>
      <w:r w:rsidRPr="00F242DD">
        <w:rPr>
          <w:rFonts w:eastAsia="Times New Roman"/>
          <w:szCs w:val="24"/>
          <w:lang w:eastAsia="ru-RU"/>
        </w:rPr>
        <w:t>инфузия</w:t>
      </w:r>
      <w:r w:rsidRPr="00EA7111">
        <w:rPr>
          <w:rFonts w:eastAsia="Times New Roman"/>
          <w:szCs w:val="24"/>
          <w:lang w:eastAsia="ru-RU"/>
        </w:rPr>
        <w:t xml:space="preserve">, </w:t>
      </w:r>
      <w:r w:rsidRPr="00F242DD">
        <w:rPr>
          <w:rFonts w:eastAsia="Times New Roman"/>
          <w:szCs w:val="24"/>
          <w:lang w:eastAsia="ru-RU"/>
        </w:rPr>
        <w:t>дни</w:t>
      </w:r>
      <w:r w:rsidRPr="00EA7111">
        <w:rPr>
          <w:rFonts w:eastAsia="Times New Roman"/>
          <w:szCs w:val="24"/>
          <w:lang w:eastAsia="ru-RU"/>
        </w:rPr>
        <w:t xml:space="preserve"> 4</w:t>
      </w:r>
      <w:r w:rsidR="001E1461" w:rsidRPr="00EA7111">
        <w:rPr>
          <w:rFonts w:eastAsia="Times New Roman"/>
          <w:szCs w:val="24"/>
          <w:lang w:eastAsia="ru-RU"/>
        </w:rPr>
        <w:t>‒</w:t>
      </w:r>
      <w:r w:rsidRPr="00EA7111">
        <w:rPr>
          <w:rFonts w:eastAsia="Times New Roman"/>
          <w:szCs w:val="24"/>
          <w:lang w:eastAsia="ru-RU"/>
        </w:rPr>
        <w:t>7</w:t>
      </w:r>
      <w:r w:rsidR="001E1461" w:rsidRPr="00EA7111">
        <w:rPr>
          <w:rFonts w:eastAsia="Times New Roman"/>
          <w:szCs w:val="24"/>
          <w:lang w:eastAsia="ru-RU"/>
        </w:rPr>
        <w:t>-</w:t>
      </w:r>
      <w:r w:rsidR="001E1461" w:rsidRPr="00F242DD">
        <w:rPr>
          <w:rFonts w:eastAsia="Times New Roman"/>
          <w:szCs w:val="24"/>
          <w:lang w:eastAsia="ru-RU"/>
        </w:rPr>
        <w:t>й</w:t>
      </w:r>
    </w:p>
    <w:p w14:paraId="5903B445" w14:textId="38D98B3C" w:rsidR="000546DA" w:rsidRPr="00EA7111" w:rsidRDefault="000546DA" w:rsidP="00893452">
      <w:pPr>
        <w:pStyle w:val="a6"/>
        <w:numPr>
          <w:ilvl w:val="0"/>
          <w:numId w:val="50"/>
        </w:numPr>
        <w:spacing w:before="0" w:after="0"/>
        <w:ind w:left="284" w:firstLine="0"/>
        <w:jc w:val="left"/>
        <w:rPr>
          <w:rFonts w:eastAsia="Times New Roman"/>
          <w:szCs w:val="24"/>
          <w:lang w:eastAsia="ru-RU"/>
        </w:rPr>
      </w:pPr>
      <w:r w:rsidRPr="00AE6C36">
        <w:rPr>
          <w:rFonts w:eastAsia="Times New Roman"/>
          <w:szCs w:val="24"/>
          <w:lang w:eastAsia="ru-RU"/>
        </w:rPr>
        <w:t>Г</w:t>
      </w:r>
      <w:r w:rsidRPr="00EA7111">
        <w:rPr>
          <w:rFonts w:eastAsia="Times New Roman"/>
          <w:szCs w:val="24"/>
          <w:lang w:eastAsia="ru-RU"/>
        </w:rPr>
        <w:t>-</w:t>
      </w:r>
      <w:r w:rsidRPr="00AE6C36">
        <w:rPr>
          <w:rFonts w:eastAsia="Times New Roman"/>
          <w:szCs w:val="24"/>
          <w:lang w:eastAsia="ru-RU"/>
        </w:rPr>
        <w:t>КСФ</w:t>
      </w:r>
      <w:r w:rsidR="00C80FBF" w:rsidRPr="00EA7111">
        <w:rPr>
          <w:rFonts w:eastAsia="Times New Roman"/>
          <w:szCs w:val="24"/>
          <w:lang w:eastAsia="ru-RU"/>
        </w:rPr>
        <w:t>**</w:t>
      </w:r>
      <w:r w:rsidRPr="00EA7111">
        <w:rPr>
          <w:rFonts w:eastAsia="Times New Roman"/>
          <w:szCs w:val="24"/>
          <w:lang w:eastAsia="ru-RU"/>
        </w:rPr>
        <w:t xml:space="preserve"> </w:t>
      </w:r>
      <w:r w:rsidRPr="00F242DD">
        <w:rPr>
          <w:rFonts w:eastAsia="Times New Roman"/>
          <w:szCs w:val="24"/>
          <w:lang w:eastAsia="ru-RU"/>
        </w:rPr>
        <w:t>при</w:t>
      </w:r>
      <w:r w:rsidRPr="00EA7111">
        <w:rPr>
          <w:rFonts w:eastAsia="Times New Roman"/>
          <w:szCs w:val="24"/>
          <w:lang w:eastAsia="ru-RU"/>
        </w:rPr>
        <w:t xml:space="preserve"> </w:t>
      </w:r>
      <w:r w:rsidRPr="00F242DD">
        <w:rPr>
          <w:rFonts w:eastAsia="Times New Roman"/>
          <w:szCs w:val="24"/>
          <w:lang w:eastAsia="ru-RU"/>
        </w:rPr>
        <w:t>снижении</w:t>
      </w:r>
      <w:r w:rsidRPr="00EA7111">
        <w:rPr>
          <w:rFonts w:eastAsia="Times New Roman"/>
          <w:szCs w:val="24"/>
          <w:lang w:eastAsia="ru-RU"/>
        </w:rPr>
        <w:t xml:space="preserve"> </w:t>
      </w:r>
      <w:r w:rsidRPr="00F242DD">
        <w:rPr>
          <w:rFonts w:eastAsia="Times New Roman"/>
          <w:szCs w:val="24"/>
          <w:lang w:eastAsia="ru-RU"/>
        </w:rPr>
        <w:t>числа</w:t>
      </w:r>
      <w:r w:rsidRPr="00EA7111">
        <w:rPr>
          <w:rFonts w:eastAsia="Times New Roman"/>
          <w:szCs w:val="24"/>
          <w:lang w:eastAsia="ru-RU"/>
        </w:rPr>
        <w:t xml:space="preserve"> </w:t>
      </w:r>
      <w:r w:rsidRPr="00F242DD">
        <w:rPr>
          <w:rFonts w:eastAsia="Times New Roman"/>
          <w:szCs w:val="24"/>
          <w:lang w:eastAsia="ru-RU"/>
        </w:rPr>
        <w:t>лейкоцитов</w:t>
      </w:r>
      <w:r w:rsidRPr="00EA7111">
        <w:rPr>
          <w:rFonts w:eastAsia="Times New Roman"/>
          <w:szCs w:val="24"/>
          <w:lang w:eastAsia="ru-RU"/>
        </w:rPr>
        <w:t xml:space="preserve"> </w:t>
      </w:r>
      <w:r w:rsidR="001E1461" w:rsidRPr="00EA7111">
        <w:rPr>
          <w:rFonts w:eastAsia="Times New Roman"/>
          <w:szCs w:val="24"/>
          <w:lang w:eastAsia="ru-RU"/>
        </w:rPr>
        <w:t>&lt;</w:t>
      </w:r>
      <w:r w:rsidRPr="00EA7111">
        <w:rPr>
          <w:rFonts w:eastAsia="Times New Roman"/>
          <w:szCs w:val="24"/>
          <w:lang w:eastAsia="ru-RU"/>
        </w:rPr>
        <w:t xml:space="preserve">1 </w:t>
      </w:r>
      <w:r w:rsidR="001E1461" w:rsidRPr="00EA7111">
        <w:rPr>
          <w:rFonts w:eastAsia="Times New Roman"/>
          <w:szCs w:val="24"/>
          <w:lang w:eastAsia="ru-RU"/>
        </w:rPr>
        <w:t xml:space="preserve">× </w:t>
      </w:r>
      <w:r w:rsidRPr="00EA7111">
        <w:rPr>
          <w:rFonts w:eastAsia="Times New Roman"/>
          <w:szCs w:val="24"/>
          <w:lang w:eastAsia="ru-RU"/>
        </w:rPr>
        <w:t>10</w:t>
      </w:r>
      <w:r w:rsidRPr="00EA7111">
        <w:rPr>
          <w:rFonts w:eastAsia="Times New Roman"/>
          <w:szCs w:val="24"/>
          <w:vertAlign w:val="superscript"/>
          <w:lang w:eastAsia="ru-RU"/>
        </w:rPr>
        <w:t>9</w:t>
      </w:r>
      <w:r w:rsidRPr="00EA7111">
        <w:rPr>
          <w:rFonts w:eastAsia="Times New Roman"/>
          <w:szCs w:val="24"/>
          <w:lang w:eastAsia="ru-RU"/>
        </w:rPr>
        <w:t>/</w:t>
      </w:r>
      <w:r w:rsidRPr="00F242DD">
        <w:rPr>
          <w:rFonts w:eastAsia="Times New Roman"/>
          <w:szCs w:val="24"/>
          <w:lang w:eastAsia="ru-RU"/>
        </w:rPr>
        <w:t>л</w:t>
      </w:r>
      <w:r w:rsidRPr="00EA7111">
        <w:rPr>
          <w:rFonts w:eastAsia="Times New Roman"/>
          <w:szCs w:val="24"/>
          <w:lang w:eastAsia="ru-RU"/>
        </w:rPr>
        <w:t xml:space="preserve"> </w:t>
      </w:r>
      <w:r w:rsidRPr="00F242DD">
        <w:rPr>
          <w:rFonts w:eastAsia="Times New Roman"/>
          <w:szCs w:val="24"/>
          <w:lang w:eastAsia="ru-RU"/>
        </w:rPr>
        <w:t>до</w:t>
      </w:r>
      <w:r w:rsidRPr="00EA7111">
        <w:rPr>
          <w:rFonts w:eastAsia="Times New Roman"/>
          <w:szCs w:val="24"/>
          <w:lang w:eastAsia="ru-RU"/>
        </w:rPr>
        <w:t xml:space="preserve"> </w:t>
      </w:r>
      <w:r w:rsidRPr="00F242DD">
        <w:rPr>
          <w:rFonts w:eastAsia="Times New Roman"/>
          <w:szCs w:val="24"/>
          <w:lang w:eastAsia="ru-RU"/>
        </w:rPr>
        <w:t>восстановления</w:t>
      </w:r>
      <w:r w:rsidRPr="00EA7111">
        <w:rPr>
          <w:rFonts w:eastAsia="Times New Roman"/>
          <w:szCs w:val="24"/>
          <w:lang w:eastAsia="ru-RU"/>
        </w:rPr>
        <w:t xml:space="preserve"> </w:t>
      </w:r>
      <w:r w:rsidRPr="00F242DD">
        <w:rPr>
          <w:rFonts w:eastAsia="Times New Roman"/>
          <w:szCs w:val="24"/>
          <w:lang w:eastAsia="ru-RU"/>
        </w:rPr>
        <w:t>уровня</w:t>
      </w:r>
      <w:r w:rsidRPr="00EA7111">
        <w:rPr>
          <w:rFonts w:eastAsia="Times New Roman"/>
          <w:szCs w:val="24"/>
          <w:lang w:eastAsia="ru-RU"/>
        </w:rPr>
        <w:t xml:space="preserve"> </w:t>
      </w:r>
      <w:r w:rsidRPr="00F242DD">
        <w:rPr>
          <w:rFonts w:eastAsia="Times New Roman"/>
          <w:szCs w:val="24"/>
          <w:lang w:eastAsia="ru-RU"/>
        </w:rPr>
        <w:t>нейтрофилов</w:t>
      </w:r>
    </w:p>
    <w:p w14:paraId="7E27A2D7" w14:textId="77777777" w:rsidR="000546DA" w:rsidRPr="00EA7111" w:rsidRDefault="000546DA" w:rsidP="00E47E7A">
      <w:pPr>
        <w:spacing w:before="0" w:after="0"/>
        <w:ind w:left="284"/>
        <w:contextualSpacing/>
        <w:rPr>
          <w:rFonts w:eastAsia="Times New Roman"/>
          <w:szCs w:val="24"/>
          <w:lang w:eastAsia="ru-RU"/>
        </w:rPr>
      </w:pPr>
      <w:r w:rsidRPr="00F242DD">
        <w:rPr>
          <w:rFonts w:eastAsia="Times New Roman"/>
          <w:szCs w:val="24"/>
          <w:lang w:eastAsia="ru-RU"/>
        </w:rPr>
        <w:t>Лечение</w:t>
      </w:r>
      <w:r w:rsidRPr="00EA7111">
        <w:rPr>
          <w:rFonts w:eastAsia="Times New Roman"/>
          <w:szCs w:val="24"/>
          <w:lang w:eastAsia="ru-RU"/>
        </w:rPr>
        <w:t xml:space="preserve"> </w:t>
      </w:r>
      <w:r w:rsidRPr="00F242DD">
        <w:rPr>
          <w:rFonts w:eastAsia="Times New Roman"/>
          <w:szCs w:val="24"/>
          <w:lang w:eastAsia="ru-RU"/>
        </w:rPr>
        <w:t>возобновляется</w:t>
      </w:r>
      <w:r w:rsidRPr="00EA7111">
        <w:rPr>
          <w:rFonts w:eastAsia="Times New Roman"/>
          <w:szCs w:val="24"/>
          <w:lang w:eastAsia="ru-RU"/>
        </w:rPr>
        <w:t xml:space="preserve"> </w:t>
      </w:r>
      <w:r w:rsidRPr="00F242DD">
        <w:rPr>
          <w:rFonts w:eastAsia="Times New Roman"/>
          <w:szCs w:val="24"/>
          <w:lang w:eastAsia="ru-RU"/>
        </w:rPr>
        <w:t>при</w:t>
      </w:r>
      <w:r w:rsidRPr="00EA7111">
        <w:rPr>
          <w:rFonts w:eastAsia="Times New Roman"/>
          <w:szCs w:val="24"/>
          <w:lang w:eastAsia="ru-RU"/>
        </w:rPr>
        <w:t xml:space="preserve"> </w:t>
      </w:r>
      <w:r w:rsidRPr="00F242DD">
        <w:rPr>
          <w:rFonts w:eastAsia="Times New Roman"/>
          <w:szCs w:val="24"/>
          <w:lang w:eastAsia="ru-RU"/>
        </w:rPr>
        <w:t>полном</w:t>
      </w:r>
      <w:r w:rsidRPr="00EA7111">
        <w:rPr>
          <w:rFonts w:eastAsia="Times New Roman"/>
          <w:szCs w:val="24"/>
          <w:lang w:eastAsia="ru-RU"/>
        </w:rPr>
        <w:t xml:space="preserve"> </w:t>
      </w:r>
      <w:r w:rsidRPr="00F242DD">
        <w:rPr>
          <w:rFonts w:eastAsia="Times New Roman"/>
          <w:szCs w:val="24"/>
          <w:lang w:eastAsia="ru-RU"/>
        </w:rPr>
        <w:t>восстановлении</w:t>
      </w:r>
      <w:r w:rsidRPr="00EA7111">
        <w:rPr>
          <w:rFonts w:eastAsia="Times New Roman"/>
          <w:szCs w:val="24"/>
          <w:lang w:eastAsia="ru-RU"/>
        </w:rPr>
        <w:t xml:space="preserve"> </w:t>
      </w:r>
      <w:r w:rsidRPr="00F242DD">
        <w:rPr>
          <w:rFonts w:eastAsia="Times New Roman"/>
          <w:szCs w:val="24"/>
          <w:lang w:eastAsia="ru-RU"/>
        </w:rPr>
        <w:t>показателей</w:t>
      </w:r>
      <w:r w:rsidRPr="00EA7111">
        <w:rPr>
          <w:rFonts w:eastAsia="Times New Roman"/>
          <w:szCs w:val="24"/>
          <w:lang w:eastAsia="ru-RU"/>
        </w:rPr>
        <w:t xml:space="preserve"> </w:t>
      </w:r>
      <w:r w:rsidRPr="00F242DD">
        <w:rPr>
          <w:rFonts w:eastAsia="Times New Roman"/>
          <w:szCs w:val="24"/>
          <w:lang w:eastAsia="ru-RU"/>
        </w:rPr>
        <w:t>крови</w:t>
      </w:r>
      <w:r w:rsidRPr="00EA7111">
        <w:rPr>
          <w:rFonts w:eastAsia="Times New Roman"/>
          <w:szCs w:val="24"/>
          <w:lang w:eastAsia="ru-RU"/>
        </w:rPr>
        <w:t xml:space="preserve"> </w:t>
      </w:r>
      <w:r w:rsidRPr="00F242DD">
        <w:rPr>
          <w:rFonts w:eastAsia="Times New Roman"/>
          <w:szCs w:val="24"/>
          <w:lang w:eastAsia="ru-RU"/>
        </w:rPr>
        <w:t>на</w:t>
      </w:r>
      <w:r w:rsidRPr="00EA7111">
        <w:rPr>
          <w:rFonts w:eastAsia="Times New Roman"/>
          <w:szCs w:val="24"/>
          <w:lang w:eastAsia="ru-RU"/>
        </w:rPr>
        <w:t xml:space="preserve"> 29</w:t>
      </w:r>
      <w:r w:rsidR="001E1461" w:rsidRPr="00EA7111">
        <w:rPr>
          <w:rFonts w:eastAsia="Times New Roman"/>
          <w:szCs w:val="24"/>
          <w:lang w:eastAsia="ru-RU"/>
        </w:rPr>
        <w:t>‒</w:t>
      </w:r>
      <w:r w:rsidRPr="00EA7111">
        <w:rPr>
          <w:rFonts w:eastAsia="Times New Roman"/>
          <w:szCs w:val="24"/>
          <w:lang w:eastAsia="ru-RU"/>
        </w:rPr>
        <w:t>36</w:t>
      </w:r>
      <w:r w:rsidR="001E1461" w:rsidRPr="00EA7111">
        <w:rPr>
          <w:rFonts w:eastAsia="Times New Roman"/>
          <w:szCs w:val="24"/>
          <w:lang w:eastAsia="ru-RU"/>
        </w:rPr>
        <w:t>-</w:t>
      </w:r>
      <w:r w:rsidR="001E1461" w:rsidRPr="00F242DD">
        <w:rPr>
          <w:rFonts w:eastAsia="Times New Roman"/>
          <w:szCs w:val="24"/>
          <w:lang w:eastAsia="ru-RU"/>
        </w:rPr>
        <w:t>й</w:t>
      </w:r>
      <w:r w:rsidRPr="00EA7111">
        <w:rPr>
          <w:rFonts w:eastAsia="Times New Roman"/>
          <w:szCs w:val="24"/>
          <w:lang w:eastAsia="ru-RU"/>
        </w:rPr>
        <w:t xml:space="preserve"> </w:t>
      </w:r>
      <w:r w:rsidRPr="00F242DD">
        <w:rPr>
          <w:rFonts w:eastAsia="Times New Roman"/>
          <w:szCs w:val="24"/>
          <w:lang w:eastAsia="ru-RU"/>
        </w:rPr>
        <w:t>дни</w:t>
      </w:r>
      <w:r w:rsidR="001E1461" w:rsidRPr="00EA7111">
        <w:rPr>
          <w:rFonts w:eastAsia="Times New Roman"/>
          <w:szCs w:val="24"/>
          <w:lang w:eastAsia="ru-RU"/>
        </w:rPr>
        <w:t>.</w:t>
      </w:r>
    </w:p>
    <w:p w14:paraId="5C18AEB1" w14:textId="1F7DE12C" w:rsidR="000546DA" w:rsidRPr="00EA7111" w:rsidRDefault="000546DA" w:rsidP="002431B5">
      <w:pPr>
        <w:pStyle w:val="2"/>
        <w:rPr>
          <w:rStyle w:val="ac"/>
          <w:rFonts w:eastAsia="Calibri"/>
          <w:b/>
        </w:rPr>
      </w:pPr>
      <w:bookmarkStart w:id="67" w:name="_Toc2607873"/>
      <w:bookmarkStart w:id="68" w:name="_Toc97734647"/>
      <w:bookmarkEnd w:id="65"/>
      <w:r w:rsidRPr="00F242DD">
        <w:rPr>
          <w:rStyle w:val="ac"/>
          <w:b/>
        </w:rPr>
        <w:t>Приложение</w:t>
      </w:r>
      <w:r w:rsidRPr="00EA7111">
        <w:rPr>
          <w:rStyle w:val="ac"/>
          <w:b/>
        </w:rPr>
        <w:t xml:space="preserve"> </w:t>
      </w:r>
      <w:r w:rsidR="003F3D12" w:rsidRPr="00F242DD">
        <w:rPr>
          <w:rStyle w:val="ac"/>
          <w:b/>
        </w:rPr>
        <w:t>А</w:t>
      </w:r>
      <w:r w:rsidR="003F3D12" w:rsidRPr="00EA7111">
        <w:rPr>
          <w:rStyle w:val="ac"/>
          <w:b/>
        </w:rPr>
        <w:t>3.2</w:t>
      </w:r>
      <w:r w:rsidR="00805C9F">
        <w:rPr>
          <w:rStyle w:val="ac"/>
          <w:b/>
        </w:rPr>
        <w:t>.</w:t>
      </w:r>
      <w:r w:rsidR="003F3D12" w:rsidRPr="00EA7111">
        <w:rPr>
          <w:rStyle w:val="ac"/>
          <w:b/>
        </w:rPr>
        <w:t xml:space="preserve"> </w:t>
      </w:r>
      <w:bookmarkEnd w:id="67"/>
      <w:r w:rsidRPr="00F242DD">
        <w:rPr>
          <w:rStyle w:val="ac"/>
          <w:b/>
        </w:rPr>
        <w:t>Рекомендации</w:t>
      </w:r>
      <w:r w:rsidRPr="00EA7111">
        <w:rPr>
          <w:rStyle w:val="ac"/>
          <w:b/>
        </w:rPr>
        <w:t xml:space="preserve"> </w:t>
      </w:r>
      <w:r w:rsidRPr="00F242DD">
        <w:rPr>
          <w:rStyle w:val="ac"/>
          <w:b/>
        </w:rPr>
        <w:t>по</w:t>
      </w:r>
      <w:r w:rsidRPr="00EA7111">
        <w:rPr>
          <w:rStyle w:val="ac"/>
          <w:b/>
        </w:rPr>
        <w:t xml:space="preserve"> </w:t>
      </w:r>
      <w:r w:rsidRPr="00F242DD">
        <w:rPr>
          <w:rStyle w:val="ac"/>
          <w:b/>
        </w:rPr>
        <w:t>коррекции</w:t>
      </w:r>
      <w:r w:rsidRPr="00EA7111">
        <w:rPr>
          <w:rStyle w:val="ac"/>
          <w:b/>
        </w:rPr>
        <w:t xml:space="preserve"> </w:t>
      </w:r>
      <w:r w:rsidRPr="00F242DD">
        <w:rPr>
          <w:rStyle w:val="ac"/>
          <w:b/>
        </w:rPr>
        <w:t>дозы</w:t>
      </w:r>
      <w:r w:rsidRPr="00EA7111">
        <w:rPr>
          <w:rStyle w:val="ac"/>
          <w:b/>
        </w:rPr>
        <w:t xml:space="preserve"> </w:t>
      </w:r>
      <w:r w:rsidRPr="00F242DD">
        <w:rPr>
          <w:rStyle w:val="ac"/>
          <w:b/>
        </w:rPr>
        <w:t>леналидомида</w:t>
      </w:r>
      <w:r w:rsidR="00D9041C" w:rsidRPr="00EA7111">
        <w:rPr>
          <w:rStyle w:val="ac"/>
          <w:b/>
        </w:rPr>
        <w:t>**</w:t>
      </w:r>
      <w:r w:rsidRPr="00EA7111">
        <w:rPr>
          <w:rStyle w:val="ac"/>
          <w:b/>
        </w:rPr>
        <w:t xml:space="preserve"> </w:t>
      </w:r>
      <w:r w:rsidRPr="00F242DD">
        <w:rPr>
          <w:rStyle w:val="ac"/>
          <w:b/>
        </w:rPr>
        <w:t>в</w:t>
      </w:r>
      <w:r w:rsidRPr="00EA7111">
        <w:rPr>
          <w:rStyle w:val="ac"/>
          <w:b/>
        </w:rPr>
        <w:t xml:space="preserve"> </w:t>
      </w:r>
      <w:r w:rsidRPr="00F242DD">
        <w:rPr>
          <w:rStyle w:val="ac"/>
          <w:b/>
        </w:rPr>
        <w:t>зависимости</w:t>
      </w:r>
      <w:r w:rsidRPr="00EA7111">
        <w:rPr>
          <w:rStyle w:val="ac"/>
          <w:b/>
        </w:rPr>
        <w:t xml:space="preserve"> </w:t>
      </w:r>
      <w:r w:rsidRPr="00F242DD">
        <w:rPr>
          <w:rStyle w:val="ac"/>
          <w:b/>
        </w:rPr>
        <w:t>от</w:t>
      </w:r>
      <w:r w:rsidRPr="00EA7111">
        <w:rPr>
          <w:rStyle w:val="ac"/>
          <w:b/>
        </w:rPr>
        <w:t xml:space="preserve"> </w:t>
      </w:r>
      <w:r w:rsidRPr="00F242DD">
        <w:rPr>
          <w:rStyle w:val="ac"/>
          <w:b/>
        </w:rPr>
        <w:t>клиренса</w:t>
      </w:r>
      <w:r w:rsidRPr="00EA7111">
        <w:rPr>
          <w:rStyle w:val="ac"/>
          <w:b/>
        </w:rPr>
        <w:t xml:space="preserve"> </w:t>
      </w:r>
      <w:r w:rsidRPr="00F242DD">
        <w:rPr>
          <w:rStyle w:val="ac"/>
          <w:b/>
        </w:rPr>
        <w:t>креатинина</w:t>
      </w:r>
      <w:r w:rsidR="00805C9F">
        <w:rPr>
          <w:rStyle w:val="ac"/>
          <w:b/>
        </w:rPr>
        <w:t>.</w:t>
      </w:r>
      <w:bookmarkEnd w:id="68"/>
    </w:p>
    <w:tbl>
      <w:tblPr>
        <w:tblW w:w="0" w:type="auto"/>
        <w:tblLayout w:type="fixed"/>
        <w:tblLook w:val="0000" w:firstRow="0" w:lastRow="0" w:firstColumn="0" w:lastColumn="0" w:noHBand="0" w:noVBand="0"/>
      </w:tblPr>
      <w:tblGrid>
        <w:gridCol w:w="4839"/>
        <w:gridCol w:w="4660"/>
      </w:tblGrid>
      <w:tr w:rsidR="000546DA" w:rsidRPr="00EA7111" w14:paraId="5048AFA1" w14:textId="77777777" w:rsidTr="00E36DFA">
        <w:tc>
          <w:tcPr>
            <w:tcW w:w="4839" w:type="dxa"/>
            <w:tcBorders>
              <w:top w:val="single" w:sz="4" w:space="0" w:color="000000"/>
              <w:left w:val="single" w:sz="4" w:space="0" w:color="000000"/>
              <w:bottom w:val="single" w:sz="4" w:space="0" w:color="000000"/>
            </w:tcBorders>
            <w:shd w:val="clear" w:color="auto" w:fill="auto"/>
          </w:tcPr>
          <w:p w14:paraId="2D6AB2BD" w14:textId="77777777" w:rsidR="000546DA" w:rsidRPr="00EA7111" w:rsidRDefault="000546DA" w:rsidP="002431B5">
            <w:pPr>
              <w:tabs>
                <w:tab w:val="left" w:pos="0"/>
              </w:tabs>
              <w:snapToGrid w:val="0"/>
              <w:spacing w:before="0" w:after="0"/>
              <w:rPr>
                <w:rFonts w:eastAsia="Times New Roman"/>
                <w:b/>
              </w:rPr>
            </w:pPr>
            <w:r w:rsidRPr="00F242DD">
              <w:rPr>
                <w:rFonts w:eastAsia="Times New Roman"/>
                <w:b/>
              </w:rPr>
              <w:t>Клиренс</w:t>
            </w:r>
            <w:r w:rsidRPr="00EA7111">
              <w:rPr>
                <w:rFonts w:eastAsia="Times New Roman"/>
                <w:b/>
              </w:rPr>
              <w:t xml:space="preserve"> </w:t>
            </w:r>
            <w:r w:rsidRPr="00F242DD">
              <w:rPr>
                <w:rFonts w:eastAsia="Times New Roman"/>
                <w:b/>
              </w:rPr>
              <w:t>креатинина</w:t>
            </w:r>
            <w:r w:rsidRPr="00EA7111">
              <w:rPr>
                <w:rFonts w:eastAsia="Times New Roman"/>
                <w:b/>
              </w:rPr>
              <w:t xml:space="preserve"> (</w:t>
            </w:r>
            <w:r w:rsidRPr="00F242DD">
              <w:rPr>
                <w:rFonts w:eastAsia="Times New Roman"/>
                <w:b/>
              </w:rPr>
              <w:t>КК</w:t>
            </w:r>
            <w:r w:rsidRPr="00EA7111">
              <w:rPr>
                <w:rFonts w:eastAsia="Times New Roman"/>
                <w:b/>
              </w:rPr>
              <w:t xml:space="preserve">), </w:t>
            </w:r>
            <w:r w:rsidRPr="00F242DD">
              <w:rPr>
                <w:rFonts w:eastAsia="Times New Roman"/>
                <w:b/>
              </w:rPr>
              <w:t>мл</w:t>
            </w:r>
            <w:r w:rsidRPr="00EA7111">
              <w:rPr>
                <w:rFonts w:eastAsia="Times New Roman"/>
                <w:b/>
              </w:rPr>
              <w:t>/</w:t>
            </w:r>
            <w:r w:rsidRPr="00F242DD">
              <w:rPr>
                <w:rFonts w:eastAsia="Times New Roman"/>
                <w:b/>
              </w:rPr>
              <w:t>мин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157CC62" w14:textId="77777777" w:rsidR="000546DA" w:rsidRPr="00EA7111" w:rsidRDefault="000546DA" w:rsidP="002431B5">
            <w:pPr>
              <w:tabs>
                <w:tab w:val="left" w:pos="0"/>
              </w:tabs>
              <w:snapToGrid w:val="0"/>
              <w:spacing w:before="0" w:after="0"/>
              <w:rPr>
                <w:rFonts w:eastAsia="Times New Roman"/>
                <w:u w:val="single"/>
              </w:rPr>
            </w:pPr>
            <w:r w:rsidRPr="00F242DD">
              <w:rPr>
                <w:rFonts w:eastAsia="Times New Roman"/>
                <w:b/>
              </w:rPr>
              <w:t>Доза</w:t>
            </w:r>
            <w:r w:rsidRPr="00EA7111">
              <w:rPr>
                <w:rFonts w:eastAsia="Times New Roman"/>
                <w:b/>
              </w:rPr>
              <w:t xml:space="preserve"> </w:t>
            </w:r>
            <w:r w:rsidRPr="00F242DD">
              <w:rPr>
                <w:rFonts w:eastAsia="Times New Roman"/>
                <w:b/>
              </w:rPr>
              <w:t>леналидомида</w:t>
            </w:r>
            <w:r w:rsidRPr="00EA7111">
              <w:rPr>
                <w:rFonts w:eastAsia="Times New Roman"/>
                <w:b/>
              </w:rPr>
              <w:t>**</w:t>
            </w:r>
          </w:p>
        </w:tc>
      </w:tr>
      <w:tr w:rsidR="000546DA" w:rsidRPr="00EA7111" w14:paraId="7FCCC445" w14:textId="77777777" w:rsidTr="00E36DFA">
        <w:tc>
          <w:tcPr>
            <w:tcW w:w="4839" w:type="dxa"/>
            <w:tcBorders>
              <w:top w:val="single" w:sz="4" w:space="0" w:color="000000"/>
              <w:left w:val="single" w:sz="4" w:space="0" w:color="000000"/>
              <w:bottom w:val="single" w:sz="4" w:space="0" w:color="000000"/>
            </w:tcBorders>
            <w:shd w:val="clear" w:color="auto" w:fill="auto"/>
          </w:tcPr>
          <w:p w14:paraId="0F86A036" w14:textId="77777777" w:rsidR="000546DA" w:rsidRPr="00EA7111" w:rsidRDefault="000546DA" w:rsidP="002431B5">
            <w:pPr>
              <w:tabs>
                <w:tab w:val="left" w:pos="0"/>
              </w:tabs>
              <w:snapToGrid w:val="0"/>
              <w:spacing w:before="0" w:after="0"/>
              <w:rPr>
                <w:rFonts w:eastAsia="Times New Roman"/>
              </w:rPr>
            </w:pPr>
            <w:r w:rsidRPr="00EA7111">
              <w:rPr>
                <w:rFonts w:eastAsia="Times New Roman"/>
              </w:rPr>
              <w:t xml:space="preserve">≥50 </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ABD0099" w14:textId="77777777" w:rsidR="000546DA" w:rsidRPr="00EA7111" w:rsidRDefault="000546DA" w:rsidP="002431B5">
            <w:pPr>
              <w:tabs>
                <w:tab w:val="left" w:pos="0"/>
              </w:tabs>
              <w:snapToGrid w:val="0"/>
              <w:spacing w:before="0" w:after="0"/>
              <w:rPr>
                <w:rFonts w:eastAsia="Times New Roman"/>
              </w:rPr>
            </w:pPr>
            <w:r w:rsidRPr="00EA7111">
              <w:rPr>
                <w:rFonts w:eastAsia="Times New Roman"/>
              </w:rPr>
              <w:t xml:space="preserve">25 </w:t>
            </w:r>
            <w:r w:rsidRPr="00F242DD">
              <w:rPr>
                <w:rFonts w:eastAsia="Times New Roman"/>
              </w:rPr>
              <w:t>мг</w:t>
            </w:r>
            <w:r w:rsidRPr="00EA7111">
              <w:rPr>
                <w:rFonts w:eastAsia="Times New Roman"/>
              </w:rPr>
              <w:t xml:space="preserve"> 1 </w:t>
            </w:r>
            <w:r w:rsidRPr="00F242DD">
              <w:rPr>
                <w:rFonts w:eastAsia="Times New Roman"/>
              </w:rPr>
              <w:t>раз</w:t>
            </w:r>
            <w:r w:rsidRPr="00EA7111">
              <w:rPr>
                <w:rFonts w:eastAsia="Times New Roman"/>
              </w:rPr>
              <w:t xml:space="preserve"> </w:t>
            </w:r>
            <w:r w:rsidRPr="00F242DD">
              <w:rPr>
                <w:rFonts w:eastAsia="Times New Roman"/>
              </w:rPr>
              <w:t>в</w:t>
            </w:r>
            <w:r w:rsidRPr="00EA7111">
              <w:rPr>
                <w:rFonts w:eastAsia="Times New Roman"/>
              </w:rPr>
              <w:t xml:space="preserve"> </w:t>
            </w:r>
            <w:r w:rsidRPr="00F242DD">
              <w:rPr>
                <w:rFonts w:eastAsia="Times New Roman"/>
              </w:rPr>
              <w:t>день</w:t>
            </w:r>
          </w:p>
        </w:tc>
      </w:tr>
      <w:tr w:rsidR="000546DA" w:rsidRPr="00EA7111" w14:paraId="34785845" w14:textId="77777777" w:rsidTr="00E36DFA">
        <w:tc>
          <w:tcPr>
            <w:tcW w:w="4839" w:type="dxa"/>
            <w:tcBorders>
              <w:top w:val="single" w:sz="4" w:space="0" w:color="000000"/>
              <w:left w:val="single" w:sz="4" w:space="0" w:color="000000"/>
              <w:bottom w:val="single" w:sz="4" w:space="0" w:color="000000"/>
            </w:tcBorders>
            <w:shd w:val="clear" w:color="auto" w:fill="auto"/>
          </w:tcPr>
          <w:p w14:paraId="6D929156" w14:textId="77777777" w:rsidR="000546DA" w:rsidRPr="00EA7111" w:rsidRDefault="000546DA" w:rsidP="002431B5">
            <w:pPr>
              <w:tabs>
                <w:tab w:val="left" w:pos="0"/>
              </w:tabs>
              <w:snapToGrid w:val="0"/>
              <w:spacing w:before="0" w:after="0"/>
              <w:rPr>
                <w:rFonts w:eastAsia="Times New Roman"/>
              </w:rPr>
            </w:pPr>
            <w:r w:rsidRPr="00EA7111">
              <w:rPr>
                <w:rFonts w:eastAsia="Times New Roman"/>
              </w:rPr>
              <w:t>30 ≤</w:t>
            </w:r>
            <w:r w:rsidRPr="00F242DD">
              <w:rPr>
                <w:rFonts w:eastAsia="Times New Roman"/>
              </w:rPr>
              <w:t>КК</w:t>
            </w:r>
            <w:r w:rsidR="00974BA6" w:rsidRPr="00EA7111">
              <w:rPr>
                <w:rFonts w:eastAsia="Times New Roman"/>
              </w:rPr>
              <w:t xml:space="preserve"> </w:t>
            </w:r>
            <w:r w:rsidRPr="00EA7111">
              <w:rPr>
                <w:rFonts w:eastAsia="Times New Roman"/>
              </w:rPr>
              <w:t>&lt;50</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ADE7D44" w14:textId="77777777" w:rsidR="000546DA" w:rsidRPr="00EA7111" w:rsidRDefault="000546DA" w:rsidP="002431B5">
            <w:pPr>
              <w:tabs>
                <w:tab w:val="left" w:pos="0"/>
              </w:tabs>
              <w:snapToGrid w:val="0"/>
              <w:spacing w:before="0" w:after="0"/>
              <w:rPr>
                <w:rFonts w:eastAsia="Times New Roman"/>
              </w:rPr>
            </w:pPr>
            <w:r w:rsidRPr="00EA7111">
              <w:rPr>
                <w:rFonts w:eastAsia="Times New Roman"/>
              </w:rPr>
              <w:t xml:space="preserve">10 </w:t>
            </w:r>
            <w:r w:rsidRPr="00F242DD">
              <w:rPr>
                <w:rFonts w:eastAsia="Times New Roman"/>
              </w:rPr>
              <w:t>мг</w:t>
            </w:r>
            <w:r w:rsidRPr="00EA7111">
              <w:rPr>
                <w:rFonts w:eastAsia="Times New Roman"/>
              </w:rPr>
              <w:t xml:space="preserve"> 1 </w:t>
            </w:r>
            <w:r w:rsidRPr="00F242DD">
              <w:rPr>
                <w:rFonts w:eastAsia="Times New Roman"/>
              </w:rPr>
              <w:t>раз</w:t>
            </w:r>
            <w:r w:rsidRPr="00EA7111">
              <w:rPr>
                <w:rFonts w:eastAsia="Times New Roman"/>
              </w:rPr>
              <w:t xml:space="preserve"> </w:t>
            </w:r>
            <w:r w:rsidRPr="00F242DD">
              <w:rPr>
                <w:rFonts w:eastAsia="Times New Roman"/>
              </w:rPr>
              <w:t>в</w:t>
            </w:r>
            <w:r w:rsidRPr="00EA7111">
              <w:rPr>
                <w:rFonts w:eastAsia="Times New Roman"/>
              </w:rPr>
              <w:t xml:space="preserve"> </w:t>
            </w:r>
            <w:r w:rsidRPr="00F242DD">
              <w:rPr>
                <w:rFonts w:eastAsia="Times New Roman"/>
              </w:rPr>
              <w:t>день</w:t>
            </w:r>
          </w:p>
        </w:tc>
      </w:tr>
      <w:tr w:rsidR="000546DA" w:rsidRPr="00804BBA" w14:paraId="05DB0B83" w14:textId="77777777" w:rsidTr="00E36DFA">
        <w:tc>
          <w:tcPr>
            <w:tcW w:w="4839" w:type="dxa"/>
            <w:tcBorders>
              <w:top w:val="single" w:sz="4" w:space="0" w:color="000000"/>
              <w:left w:val="single" w:sz="4" w:space="0" w:color="000000"/>
              <w:bottom w:val="single" w:sz="4" w:space="0" w:color="000000"/>
            </w:tcBorders>
            <w:shd w:val="clear" w:color="auto" w:fill="auto"/>
          </w:tcPr>
          <w:p w14:paraId="07DF1C3F" w14:textId="77777777" w:rsidR="000546DA" w:rsidRPr="00EA7111" w:rsidRDefault="000546DA" w:rsidP="002431B5">
            <w:pPr>
              <w:tabs>
                <w:tab w:val="left" w:pos="0"/>
              </w:tabs>
              <w:snapToGrid w:val="0"/>
              <w:spacing w:before="0" w:after="0"/>
              <w:rPr>
                <w:rFonts w:eastAsia="Times New Roman"/>
              </w:rPr>
            </w:pPr>
            <w:r w:rsidRPr="00F242DD">
              <w:rPr>
                <w:rFonts w:eastAsia="Times New Roman"/>
              </w:rPr>
              <w:t>КК</w:t>
            </w:r>
            <w:r w:rsidRPr="00EA7111">
              <w:rPr>
                <w:rFonts w:eastAsia="Times New Roman"/>
              </w:rPr>
              <w:t xml:space="preserve"> &lt;30</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54B53D0" w14:textId="77777777" w:rsidR="000546DA" w:rsidRPr="00804BBA" w:rsidRDefault="000546DA" w:rsidP="002431B5">
            <w:pPr>
              <w:tabs>
                <w:tab w:val="left" w:pos="0"/>
              </w:tabs>
              <w:snapToGrid w:val="0"/>
              <w:spacing w:before="0" w:after="0"/>
              <w:rPr>
                <w:rFonts w:eastAsia="Times New Roman"/>
              </w:rPr>
            </w:pPr>
            <w:r w:rsidRPr="00EA7111">
              <w:rPr>
                <w:rFonts w:eastAsia="Times New Roman"/>
              </w:rPr>
              <w:t xml:space="preserve">15 </w:t>
            </w:r>
            <w:r w:rsidRPr="00F242DD">
              <w:rPr>
                <w:rFonts w:eastAsia="Times New Roman"/>
              </w:rPr>
              <w:t>мг</w:t>
            </w:r>
            <w:r w:rsidRPr="00804BBA">
              <w:rPr>
                <w:rFonts w:eastAsia="Times New Roman"/>
              </w:rPr>
              <w:t xml:space="preserve"> </w:t>
            </w:r>
            <w:r w:rsidRPr="00F242DD">
              <w:rPr>
                <w:rFonts w:eastAsia="Times New Roman"/>
              </w:rPr>
              <w:t>через</w:t>
            </w:r>
            <w:r w:rsidRPr="00804BBA">
              <w:rPr>
                <w:rFonts w:eastAsia="Times New Roman"/>
              </w:rPr>
              <w:t xml:space="preserve"> </w:t>
            </w:r>
            <w:r w:rsidRPr="00F242DD">
              <w:rPr>
                <w:rFonts w:eastAsia="Times New Roman"/>
              </w:rPr>
              <w:t>день</w:t>
            </w:r>
          </w:p>
        </w:tc>
      </w:tr>
      <w:tr w:rsidR="000546DA" w:rsidRPr="00804BBA" w14:paraId="732D0898" w14:textId="77777777" w:rsidTr="00E36DFA">
        <w:tc>
          <w:tcPr>
            <w:tcW w:w="4839" w:type="dxa"/>
            <w:tcBorders>
              <w:top w:val="single" w:sz="4" w:space="0" w:color="000000"/>
              <w:left w:val="single" w:sz="4" w:space="0" w:color="000000"/>
              <w:bottom w:val="single" w:sz="4" w:space="0" w:color="000000"/>
            </w:tcBorders>
            <w:shd w:val="clear" w:color="auto" w:fill="auto"/>
          </w:tcPr>
          <w:p w14:paraId="3F5555DD" w14:textId="77777777" w:rsidR="000546DA" w:rsidRPr="00804BBA" w:rsidRDefault="000546DA" w:rsidP="002431B5">
            <w:pPr>
              <w:tabs>
                <w:tab w:val="left" w:pos="0"/>
              </w:tabs>
              <w:snapToGrid w:val="0"/>
              <w:spacing w:before="0" w:after="0"/>
              <w:rPr>
                <w:rFonts w:eastAsia="Times New Roman"/>
                <w:shd w:val="clear" w:color="auto" w:fill="FFFF00"/>
              </w:rPr>
            </w:pPr>
            <w:r w:rsidRPr="00F242DD">
              <w:rPr>
                <w:rFonts w:eastAsia="Times New Roman"/>
              </w:rPr>
              <w:t>КК</w:t>
            </w:r>
            <w:r w:rsidRPr="00804BBA">
              <w:rPr>
                <w:rFonts w:eastAsia="Times New Roman"/>
              </w:rPr>
              <w:t xml:space="preserve"> &lt;15 (</w:t>
            </w:r>
            <w:r w:rsidRPr="00F242DD">
              <w:rPr>
                <w:rFonts w:eastAsia="Times New Roman"/>
              </w:rPr>
              <w:t>требуется</w:t>
            </w:r>
            <w:r w:rsidRPr="00804BBA">
              <w:rPr>
                <w:rFonts w:eastAsia="Times New Roman"/>
              </w:rPr>
              <w:t xml:space="preserve"> </w:t>
            </w:r>
            <w:r w:rsidRPr="00F242DD">
              <w:rPr>
                <w:rFonts w:eastAsia="Times New Roman"/>
              </w:rPr>
              <w:t>гемодиализ</w:t>
            </w:r>
            <w:r w:rsidRPr="00804BBA">
              <w:rPr>
                <w:rFonts w:eastAsia="Times New Roman"/>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7CBDEBE" w14:textId="77777777" w:rsidR="000546DA" w:rsidRPr="00804BBA" w:rsidRDefault="000546DA" w:rsidP="002431B5">
            <w:pPr>
              <w:tabs>
                <w:tab w:val="left" w:pos="0"/>
                <w:tab w:val="left" w:pos="900"/>
              </w:tabs>
              <w:spacing w:before="0" w:after="0"/>
              <w:jc w:val="left"/>
            </w:pPr>
            <w:r w:rsidRPr="00804BBA">
              <w:rPr>
                <w:rFonts w:eastAsia="Times New Roman"/>
              </w:rPr>
              <w:t xml:space="preserve">5 </w:t>
            </w:r>
            <w:r w:rsidRPr="00F242DD">
              <w:rPr>
                <w:rFonts w:eastAsia="Times New Roman"/>
              </w:rPr>
              <w:t>мг</w:t>
            </w:r>
            <w:r w:rsidRPr="00804BBA">
              <w:rPr>
                <w:rFonts w:eastAsia="Times New Roman"/>
              </w:rPr>
              <w:t xml:space="preserve"> 1 </w:t>
            </w:r>
            <w:r w:rsidRPr="00F242DD">
              <w:rPr>
                <w:rFonts w:eastAsia="Times New Roman"/>
              </w:rPr>
              <w:t>раз</w:t>
            </w:r>
            <w:r w:rsidRPr="00804BBA">
              <w:rPr>
                <w:rFonts w:eastAsia="Times New Roman"/>
              </w:rPr>
              <w:t xml:space="preserve"> </w:t>
            </w:r>
            <w:r w:rsidRPr="00F242DD">
              <w:rPr>
                <w:rFonts w:eastAsia="Times New Roman"/>
              </w:rPr>
              <w:t>в</w:t>
            </w:r>
            <w:r w:rsidRPr="00804BBA">
              <w:rPr>
                <w:rFonts w:eastAsia="Times New Roman"/>
              </w:rPr>
              <w:t xml:space="preserve"> </w:t>
            </w:r>
            <w:r w:rsidRPr="00F242DD">
              <w:rPr>
                <w:rFonts w:eastAsia="Times New Roman"/>
              </w:rPr>
              <w:t>день</w:t>
            </w:r>
            <w:r w:rsidRPr="00804BBA">
              <w:rPr>
                <w:rFonts w:eastAsia="Times New Roman"/>
              </w:rPr>
              <w:t xml:space="preserve"> (</w:t>
            </w:r>
            <w:r w:rsidRPr="00F242DD">
              <w:rPr>
                <w:rFonts w:eastAsia="Times New Roman"/>
              </w:rPr>
              <w:t>в</w:t>
            </w:r>
            <w:r w:rsidRPr="00804BBA">
              <w:rPr>
                <w:rFonts w:eastAsia="Times New Roman"/>
              </w:rPr>
              <w:t xml:space="preserve"> </w:t>
            </w:r>
            <w:r w:rsidRPr="00F242DD">
              <w:rPr>
                <w:rFonts w:eastAsia="Times New Roman"/>
              </w:rPr>
              <w:t>дни</w:t>
            </w:r>
            <w:r w:rsidRPr="00804BBA">
              <w:rPr>
                <w:rFonts w:eastAsia="Times New Roman"/>
              </w:rPr>
              <w:t xml:space="preserve"> </w:t>
            </w:r>
            <w:r w:rsidRPr="00F242DD">
              <w:rPr>
                <w:rFonts w:eastAsia="Times New Roman"/>
              </w:rPr>
              <w:t>гемодиализа</w:t>
            </w:r>
            <w:r w:rsidRPr="00804BBA">
              <w:rPr>
                <w:rFonts w:eastAsia="Times New Roman"/>
              </w:rPr>
              <w:t xml:space="preserve"> </w:t>
            </w:r>
            <w:r w:rsidRPr="00F242DD">
              <w:rPr>
                <w:rFonts w:eastAsia="Times New Roman"/>
              </w:rPr>
              <w:t>после</w:t>
            </w:r>
            <w:r w:rsidRPr="00804BBA">
              <w:rPr>
                <w:rFonts w:eastAsia="Times New Roman"/>
              </w:rPr>
              <w:t xml:space="preserve"> </w:t>
            </w:r>
            <w:r w:rsidRPr="00F242DD">
              <w:rPr>
                <w:rFonts w:eastAsia="Times New Roman"/>
              </w:rPr>
              <w:t>процедуры</w:t>
            </w:r>
            <w:r w:rsidRPr="00804BBA">
              <w:rPr>
                <w:rFonts w:eastAsia="Times New Roman"/>
              </w:rPr>
              <w:t xml:space="preserve"> </w:t>
            </w:r>
            <w:r w:rsidRPr="00F242DD">
              <w:rPr>
                <w:rFonts w:eastAsia="Times New Roman"/>
              </w:rPr>
              <w:t>гемодиализа</w:t>
            </w:r>
            <w:r w:rsidRPr="00804BBA">
              <w:rPr>
                <w:rFonts w:eastAsia="Times New Roman"/>
              </w:rPr>
              <w:t>)</w:t>
            </w:r>
          </w:p>
        </w:tc>
      </w:tr>
    </w:tbl>
    <w:p w14:paraId="2A396940" w14:textId="628E569E" w:rsidR="001E52F2" w:rsidRPr="00804BBA" w:rsidRDefault="001E52F2" w:rsidP="002431B5">
      <w:pPr>
        <w:pStyle w:val="2"/>
        <w:rPr>
          <w:rStyle w:val="ac"/>
        </w:rPr>
      </w:pPr>
      <w:bookmarkStart w:id="69" w:name="_Toc520213132"/>
    </w:p>
    <w:p w14:paraId="099DE47C" w14:textId="77777777" w:rsidR="001E52F2" w:rsidRPr="00804BBA" w:rsidRDefault="001E52F2" w:rsidP="002431B5">
      <w:pPr>
        <w:spacing w:before="0" w:after="0" w:line="240" w:lineRule="auto"/>
        <w:jc w:val="left"/>
        <w:rPr>
          <w:rStyle w:val="ac"/>
          <w:rFonts w:eastAsia="Times New Roman"/>
          <w:b w:val="0"/>
          <w:szCs w:val="26"/>
          <w:u w:val="single"/>
        </w:rPr>
      </w:pPr>
      <w:r w:rsidRPr="00804BBA">
        <w:rPr>
          <w:rStyle w:val="ac"/>
        </w:rPr>
        <w:br w:type="page"/>
      </w:r>
    </w:p>
    <w:p w14:paraId="5787EF2C" w14:textId="5DCA7806" w:rsidR="001E52F2" w:rsidRDefault="001E52F2" w:rsidP="002431B5">
      <w:pPr>
        <w:pStyle w:val="2"/>
        <w:rPr>
          <w:rStyle w:val="ac"/>
          <w:b/>
        </w:rPr>
      </w:pPr>
      <w:bookmarkStart w:id="70" w:name="_Toc97734648"/>
      <w:r w:rsidRPr="00F242DD">
        <w:rPr>
          <w:rStyle w:val="ac"/>
          <w:b/>
        </w:rPr>
        <w:lastRenderedPageBreak/>
        <w:t>Приложение</w:t>
      </w:r>
      <w:r w:rsidRPr="002C3401">
        <w:rPr>
          <w:rStyle w:val="ac"/>
          <w:b/>
        </w:rPr>
        <w:t xml:space="preserve"> </w:t>
      </w:r>
      <w:r w:rsidRPr="00F242DD">
        <w:rPr>
          <w:rStyle w:val="ac"/>
          <w:b/>
        </w:rPr>
        <w:t>А</w:t>
      </w:r>
      <w:r w:rsidRPr="002C3401">
        <w:rPr>
          <w:rStyle w:val="ac"/>
          <w:b/>
        </w:rPr>
        <w:t>3.3</w:t>
      </w:r>
      <w:r w:rsidR="00805C9F">
        <w:rPr>
          <w:rStyle w:val="ac"/>
          <w:b/>
        </w:rPr>
        <w:t xml:space="preserve">. </w:t>
      </w:r>
      <w:r>
        <w:rPr>
          <w:rStyle w:val="ac"/>
          <w:b/>
        </w:rPr>
        <w:t>Справочные</w:t>
      </w:r>
      <w:r w:rsidRPr="002C3401">
        <w:rPr>
          <w:rStyle w:val="ac"/>
          <w:b/>
        </w:rPr>
        <w:t xml:space="preserve"> </w:t>
      </w:r>
      <w:r>
        <w:rPr>
          <w:rStyle w:val="ac"/>
          <w:b/>
        </w:rPr>
        <w:t>материалы</w:t>
      </w:r>
      <w:r w:rsidRPr="002C3401">
        <w:rPr>
          <w:rStyle w:val="ac"/>
          <w:b/>
        </w:rPr>
        <w:t xml:space="preserve">, </w:t>
      </w:r>
      <w:r>
        <w:rPr>
          <w:rStyle w:val="ac"/>
          <w:b/>
        </w:rPr>
        <w:t>включающие</w:t>
      </w:r>
      <w:r w:rsidRPr="002C3401">
        <w:rPr>
          <w:rStyle w:val="ac"/>
          <w:b/>
        </w:rPr>
        <w:t xml:space="preserve"> </w:t>
      </w:r>
      <w:r>
        <w:rPr>
          <w:rStyle w:val="ac"/>
          <w:b/>
        </w:rPr>
        <w:t>сведения о выполнении трансплантации аутологичных стволовых клеток крови при множественной миеломе</w:t>
      </w:r>
      <w:bookmarkEnd w:id="70"/>
    </w:p>
    <w:p w14:paraId="00B7BAF8" w14:textId="2C8253CA" w:rsidR="00C44D05" w:rsidRPr="00C44D05" w:rsidRDefault="00C44D05" w:rsidP="002431B5">
      <w:pPr>
        <w:pStyle w:val="Autor"/>
        <w:jc w:val="center"/>
        <w:rPr>
          <w:b/>
          <w:i w:val="0"/>
          <w:lang w:val="ru-RU"/>
        </w:rPr>
      </w:pPr>
      <w:bookmarkStart w:id="71" w:name="_Toc44926599"/>
      <w:r w:rsidRPr="00C44D05">
        <w:rPr>
          <w:b/>
          <w:i w:val="0"/>
          <w:sz w:val="24"/>
          <w:lang w:val="ru-RU"/>
        </w:rPr>
        <w:t>Мобилизация и сбор гемопоэтических стволовых клеток крови</w:t>
      </w:r>
      <w:bookmarkEnd w:id="71"/>
    </w:p>
    <w:p w14:paraId="5DB244EF" w14:textId="77777777" w:rsidR="00C44D05" w:rsidRPr="0095427D" w:rsidRDefault="00C44D05" w:rsidP="005241D7">
      <w:pPr>
        <w:spacing w:after="0"/>
        <w:ind w:firstLine="709"/>
        <w:rPr>
          <w:szCs w:val="24"/>
        </w:rPr>
      </w:pPr>
      <w:r w:rsidRPr="0095427D">
        <w:rPr>
          <w:szCs w:val="24"/>
        </w:rPr>
        <w:t xml:space="preserve">Мобилизация </w:t>
      </w:r>
      <w:r>
        <w:rPr>
          <w:szCs w:val="24"/>
        </w:rPr>
        <w:t xml:space="preserve">– резкое увеличение количества </w:t>
      </w:r>
      <w:r w:rsidRPr="0095427D">
        <w:rPr>
          <w:szCs w:val="24"/>
        </w:rPr>
        <w:t xml:space="preserve">гемопоэтических стволовых клеток (ГСК) в периферической крови под </w:t>
      </w:r>
      <w:r>
        <w:rPr>
          <w:szCs w:val="24"/>
        </w:rPr>
        <w:t>воздействием ростовых факторов.</w:t>
      </w:r>
    </w:p>
    <w:p w14:paraId="591E1D42" w14:textId="77777777" w:rsidR="00C44D05" w:rsidRPr="0095427D" w:rsidRDefault="00C44D05" w:rsidP="005241D7">
      <w:pPr>
        <w:spacing w:before="0" w:after="0"/>
        <w:ind w:firstLine="709"/>
        <w:rPr>
          <w:szCs w:val="24"/>
        </w:rPr>
      </w:pPr>
      <w:r>
        <w:rPr>
          <w:szCs w:val="24"/>
        </w:rPr>
        <w:t>Разработано</w:t>
      </w:r>
      <w:r w:rsidRPr="0095427D">
        <w:rPr>
          <w:szCs w:val="24"/>
        </w:rPr>
        <w:t xml:space="preserve"> несколько схем мобилизации ГСК, используемых в онкогематологии, в каждой из </w:t>
      </w:r>
      <w:r>
        <w:rPr>
          <w:szCs w:val="24"/>
        </w:rPr>
        <w:t>которых</w:t>
      </w:r>
      <w:r w:rsidRPr="0095427D">
        <w:rPr>
          <w:szCs w:val="24"/>
        </w:rPr>
        <w:t xml:space="preserve"> применяется Г-КСФ. </w:t>
      </w:r>
    </w:p>
    <w:p w14:paraId="735554AD" w14:textId="27D0C14E" w:rsidR="00C44D05" w:rsidRPr="00C44D05" w:rsidRDefault="00C44D05" w:rsidP="002431B5">
      <w:pPr>
        <w:pStyle w:val="Autor"/>
        <w:jc w:val="center"/>
        <w:rPr>
          <w:b/>
          <w:i w:val="0"/>
          <w:sz w:val="24"/>
          <w:lang w:val="ru-RU"/>
        </w:rPr>
      </w:pPr>
      <w:bookmarkStart w:id="72" w:name="_Toc44926601"/>
      <w:r>
        <w:rPr>
          <w:b/>
          <w:i w:val="0"/>
          <w:sz w:val="24"/>
          <w:lang w:val="ru-RU"/>
        </w:rPr>
        <w:t xml:space="preserve">3.3.1 </w:t>
      </w:r>
      <w:r w:rsidRPr="00C44D05">
        <w:rPr>
          <w:b/>
          <w:i w:val="0"/>
          <w:sz w:val="24"/>
          <w:lang w:val="ru-RU"/>
        </w:rPr>
        <w:t>Алгоритм принятия решения перед мобилизацией ГСК</w:t>
      </w:r>
      <w:bookmarkEnd w:id="72"/>
    </w:p>
    <w:p w14:paraId="2B9E59AD" w14:textId="77777777" w:rsidR="00C44D05" w:rsidRPr="0095427D" w:rsidRDefault="00C44D05" w:rsidP="005241D7">
      <w:pPr>
        <w:tabs>
          <w:tab w:val="left" w:pos="284"/>
          <w:tab w:val="left" w:pos="426"/>
        </w:tabs>
        <w:spacing w:before="0" w:after="0"/>
        <w:rPr>
          <w:szCs w:val="24"/>
        </w:rPr>
      </w:pPr>
      <w:r w:rsidRPr="0095427D">
        <w:rPr>
          <w:szCs w:val="24"/>
        </w:rPr>
        <w:t>•</w:t>
      </w:r>
      <w:r w:rsidRPr="0095427D">
        <w:rPr>
          <w:szCs w:val="24"/>
        </w:rPr>
        <w:tab/>
        <w:t xml:space="preserve"> оценка статуса больного (наличие показаний для </w:t>
      </w:r>
      <w:r>
        <w:rPr>
          <w:szCs w:val="24"/>
        </w:rPr>
        <w:t>трансплантации аутологичных гемопоэтических стволовых клеток (</w:t>
      </w:r>
      <w:r w:rsidRPr="0095427D">
        <w:rPr>
          <w:szCs w:val="24"/>
        </w:rPr>
        <w:t>ауто-ТГСК</w:t>
      </w:r>
      <w:r>
        <w:rPr>
          <w:szCs w:val="24"/>
        </w:rPr>
        <w:t>)</w:t>
      </w:r>
      <w:r w:rsidRPr="0095427D">
        <w:rPr>
          <w:szCs w:val="24"/>
        </w:rPr>
        <w:t>, стандартное обследование для исключения факторов, препятствующих проведению высокодозного лечения, коморбидность, согласие больного, изучение предшествующей терапии -</w:t>
      </w:r>
      <w:r>
        <w:rPr>
          <w:szCs w:val="24"/>
        </w:rPr>
        <w:t xml:space="preserve"> </w:t>
      </w:r>
      <w:r w:rsidRPr="0095427D">
        <w:rPr>
          <w:szCs w:val="24"/>
        </w:rPr>
        <w:t>количество курсов и сроки окончания лечения, использование лучевой терапии)</w:t>
      </w:r>
    </w:p>
    <w:p w14:paraId="74E2F9D1" w14:textId="77777777" w:rsidR="00C44D05" w:rsidRPr="0095427D" w:rsidRDefault="00C44D05" w:rsidP="005241D7">
      <w:pPr>
        <w:tabs>
          <w:tab w:val="left" w:pos="284"/>
          <w:tab w:val="left" w:pos="426"/>
        </w:tabs>
        <w:spacing w:before="0" w:after="0"/>
        <w:rPr>
          <w:szCs w:val="24"/>
        </w:rPr>
      </w:pPr>
      <w:r w:rsidRPr="0095427D">
        <w:rPr>
          <w:szCs w:val="24"/>
        </w:rPr>
        <w:t>•</w:t>
      </w:r>
      <w:r w:rsidRPr="0095427D">
        <w:rPr>
          <w:szCs w:val="24"/>
        </w:rPr>
        <w:tab/>
        <w:t>оценка статуса болезни - глубина противоопухолевого ответа, наличие ремиссии, сроки ее достижения;</w:t>
      </w:r>
    </w:p>
    <w:p w14:paraId="4296BB11" w14:textId="5C40D1E8" w:rsidR="00C44D05" w:rsidRPr="0095427D" w:rsidRDefault="00C44D05" w:rsidP="005241D7">
      <w:pPr>
        <w:tabs>
          <w:tab w:val="left" w:pos="284"/>
          <w:tab w:val="left" w:pos="426"/>
        </w:tabs>
        <w:spacing w:before="0" w:after="0"/>
        <w:rPr>
          <w:szCs w:val="24"/>
        </w:rPr>
      </w:pPr>
      <w:r w:rsidRPr="0095427D">
        <w:rPr>
          <w:szCs w:val="24"/>
        </w:rPr>
        <w:t>•</w:t>
      </w:r>
      <w:r w:rsidRPr="0095427D">
        <w:rPr>
          <w:szCs w:val="24"/>
        </w:rPr>
        <w:tab/>
        <w:t xml:space="preserve"> оценка состояния кроветворения (</w:t>
      </w:r>
      <w:r w:rsidR="004F56A1" w:rsidRPr="004F56A1">
        <w:rPr>
          <w:szCs w:val="24"/>
        </w:rPr>
        <w:t>паталогоанатомическое исследование биопсийного материала костного мозга</w:t>
      </w:r>
      <w:r w:rsidR="004F56A1">
        <w:rPr>
          <w:szCs w:val="24"/>
        </w:rPr>
        <w:t>)</w:t>
      </w:r>
      <w:r w:rsidR="004F56A1" w:rsidRPr="004F56A1">
        <w:rPr>
          <w:szCs w:val="24"/>
        </w:rPr>
        <w:t xml:space="preserve"> </w:t>
      </w:r>
      <w:r w:rsidRPr="0095427D">
        <w:rPr>
          <w:szCs w:val="24"/>
        </w:rPr>
        <w:t xml:space="preserve">позволит выявить угнетение ростков кроветворения, </w:t>
      </w:r>
      <w:r>
        <w:rPr>
          <w:szCs w:val="24"/>
        </w:rPr>
        <w:t>а также инфильтрацию костного мозга опухолевыми клетками</w:t>
      </w:r>
      <w:r w:rsidRPr="0095427D">
        <w:rPr>
          <w:szCs w:val="24"/>
        </w:rPr>
        <w:t>)</w:t>
      </w:r>
    </w:p>
    <w:p w14:paraId="2B93437C" w14:textId="77777777" w:rsidR="00C44D05" w:rsidRDefault="00C44D05" w:rsidP="005241D7">
      <w:pPr>
        <w:spacing w:before="0" w:after="0"/>
        <w:ind w:firstLine="709"/>
        <w:rPr>
          <w:szCs w:val="24"/>
        </w:rPr>
      </w:pPr>
      <w:r w:rsidRPr="0095427D">
        <w:rPr>
          <w:szCs w:val="24"/>
        </w:rPr>
        <w:t>Наиболее доступным иммунологическим маркером кроветворных предшественников является экспрессия антигена СD34. Эта молекула присутствует как на наиболее примитивных стволовых клетках, так и на дифференцированных предшественниках, однако на зрелых гемопоэтическ</w:t>
      </w:r>
      <w:r>
        <w:rPr>
          <w:szCs w:val="24"/>
        </w:rPr>
        <w:t>их клетках экспрессии CD34 нет.</w:t>
      </w:r>
    </w:p>
    <w:p w14:paraId="4B90AA63" w14:textId="356037E9" w:rsidR="00C44D05" w:rsidRDefault="00C44D05" w:rsidP="005241D7">
      <w:pPr>
        <w:spacing w:before="0" w:after="0"/>
        <w:ind w:firstLine="709"/>
        <w:rPr>
          <w:szCs w:val="24"/>
        </w:rPr>
      </w:pPr>
      <w:r w:rsidRPr="0095427D">
        <w:rPr>
          <w:szCs w:val="24"/>
        </w:rPr>
        <w:t xml:space="preserve">Именно суммарный пул CD34+ клеток определяет сроки восстановления кроветворения после трансплантации </w:t>
      </w:r>
      <w:r w:rsidRPr="0095427D">
        <w:rPr>
          <w:szCs w:val="24"/>
        </w:rPr>
        <w:fldChar w:fldCharType="begin" w:fldLock="1"/>
      </w:r>
      <w:r w:rsidR="00E430FD">
        <w:rPr>
          <w:szCs w:val="24"/>
        </w:rPr>
        <w:instrText>ADDIN CSL_CITATION {"citationItems":[{"id":"ITEM-1","itemData":{"DOI":"10.1182/blood.v87.1.1.bloodjournal8711","ISSN":"00064971","PMID":"8547630","author":[{"dropping-particle":"","family":"Krause","given":"Diane S.","non-dropping-particle":"","parse-names":false,"suffix":""},{"dropping-particle":"","family":"Fackler","given":"Mary Jo","non-dropping-particle":"","parse-names":false,"suffix":""},{"dropping-particle":"","family":"Civin","given":"Curt I.","non-dropping-particle":"","parse-names":false,"suffix":""},{"dropping-particle":"","family":"May","given":"W. Stratford","non-dropping-particle":"","parse-names":false,"suffix":""}],"container-title":"Blood","id":"ITEM-1","issue":"1","issued":{"date-parts":[["1996","1"]]},"page":"1-13","publisher":"American Society of Hematology","title":"CD34: Structure, biology, and clinical utility","type":"article","volume":"87"},"uris":["http://www.mendeley.com/documents/?uuid=6bac5d54-b1f3-4ac8-a201-bb7356545600"]},{"id":"ITEM-2","itemData":{"DOI":"10.1016/j.bbmt.2013.10.013","ISSN":"10838791","abstract":"Autologous hematopoietic stem cell transplantation (aHSCT) is a well-established treatment for malignancies such as multiple myeloma (MM) and lymphomas. Various changes in the field over the past decade, including the frequent use of tandem aHSCT in MM, the advent of novel therapies for the treatment of MM and lymphoma, and the addition of new stem cell mobilization techniques, have led to the need to reassess current stem cell mobilization strategies. Mobilization failures with traditional strategies are common and result in delays in treatment and increased cost and resource utilization. Recently, plerixafor-containing strategies have been shown to significantly reduce mobilization failure rates, but the ideal method to maximize stem cell yields and minimize costs associated with collection has not yet been determined. A panel of experts convened to discuss the currently available data on autologous hematopoietic stem cell mobilization and transplantation and to devise guidelines to optimize mobilization strategies. Herein is a summary of their discussion and consensus. © 2014 American Society for Blood and Marrow Transplantation.","author":[{"dropping-particle":"","family":"Giralt","given":"Sergio","non-dropping-particle":"","parse-names":false,"suffix":""},{"dropping-particle":"","family":"Costa","given":"Luciano","non-dropping-particle":"","parse-names":false,"suffix":""},{"dropping-particle":"","family":"Schriber","given":"Jeffrey","non-dropping-particle":"","parse-names":false,"suffix":""},{"dropping-particle":"","family":"DiPersio","given":"John","non-dropping-particle":"","parse-names":false,"suffix":""},{"dropping-particle":"","family":"Maziarz","given":"Richard","non-dropping-particle":"","parse-names":false,"suffix":""},{"dropping-particle":"","family":"McCarty","given":"John","non-dropping-particle":"","parse-names":false,"suffix":""},{"dropping-particle":"","family":"Shaughnessy","given":"Paul","non-dropping-particle":"","parse-names":false,"suffix":""},{"dropping-particle":"","family":"Snyder","given":"Edward","non-dropping-particle":"","parse-names":false,"suffix":""},{"dropping-particle":"","family":"Bensinger","given":"William","non-dropping-particle":"","parse-names":false,"suffix":""},{"dropping-particle":"","family":"Copelan","given":"Edward","non-dropping-particle":"","parse-names":false,"suffix":""},{"dropping-particle":"","family":"Hosing","given":"Chitra","non-dropping-particle":"","parse-names":false,"suffix":""},{"dropping-particle":"","family":"Negrin","given":"Robert","non-dropping-particle":"","parse-names":false,"suffix":""},{"dropping-particle":"","family":"Petersen","given":"Finn Bo","non-dropping-particle":"","parse-names":false,"suffix":""},{"dropping-particle":"","family":"Rondelli","given":"Damiano","non-dropping-particle":"","parse-names":false,"suffix":""},{"dropping-particle":"","family":"Soiffer","given":"Robert","non-dropping-particle":"","parse-names":false,"suffix":""},{"dropping-particle":"","family":"Leather","given":"Helen","non-dropping-particle":"","parse-names":false,"suffix":""},{"dropping-particle":"","family":"Pazzalia","given":"Amy","non-dropping-particle":"","parse-names":false,"suffix":""},{"dropping-particle":"","family":"Devine","given":"Steven","non-dropping-particle":"","parse-names":false,"suffix":""}],"container-title":"Biology of Blood and Marrow Transplantation","id":"ITEM-2","issue":"3","issued":{"date-parts":[["2014","3"]]},"page":"295-308","publisher":"Elsevier","title":"Optimizing autologous stem cell mobilization strategies to improve patient outcomes: Consensus guidelines and recommendations","type":"article","volume":"20"},"uris":["http://www.mendeley.com/documents/?uuid=43ce11fb-9802-4761-b036-0d546f3d6abf"]}],"mendeley":{"formattedCitation":"[94,95]","plainTextFormattedCitation":"[94,95]","previouslyFormattedCitation":"[94,95]"},"properties":{"noteIndex":0},"schema":"https://github.com/citation-style-language/schema/raw/master/csl-citation.json"}</w:instrText>
      </w:r>
      <w:r w:rsidRPr="0095427D">
        <w:rPr>
          <w:szCs w:val="24"/>
        </w:rPr>
        <w:fldChar w:fldCharType="separate"/>
      </w:r>
      <w:r w:rsidR="00E430FD" w:rsidRPr="00E430FD">
        <w:rPr>
          <w:noProof/>
          <w:szCs w:val="24"/>
        </w:rPr>
        <w:t>[94,95]</w:t>
      </w:r>
      <w:r w:rsidRPr="0095427D">
        <w:rPr>
          <w:szCs w:val="24"/>
        </w:rPr>
        <w:fldChar w:fldCharType="end"/>
      </w:r>
      <w:r w:rsidRPr="0095427D">
        <w:rPr>
          <w:szCs w:val="24"/>
        </w:rPr>
        <w:t>. Неоднократно предпринимались попытки установить количество CD34+ клеток, необходимое для быстрого и успешного восстановления гемопоэза после трансплантации</w:t>
      </w:r>
      <w:r>
        <w:rPr>
          <w:szCs w:val="24"/>
        </w:rPr>
        <w:t xml:space="preserve"> </w:t>
      </w:r>
      <w:r w:rsidRPr="0095427D">
        <w:rPr>
          <w:szCs w:val="24"/>
        </w:rPr>
        <w:fldChar w:fldCharType="begin" w:fldLock="1"/>
      </w:r>
      <w:r w:rsidR="00E430FD">
        <w:rPr>
          <w:szCs w:val="24"/>
        </w:rPr>
        <w:instrText>ADDIN CSL_CITATION {"citationItems":[{"id":"ITEM-1","itemData":{"DOI":"10.1016/j.bbmt.2010.11.021","ISSN":"10838791","abstract":"Autologous hematopoietic stem cell transplantation (ASCT) is an established treatment for patients with hematologic malignancies, yet the impact of transplanted CD34 + cell dose on clinical outcomes is unresolved. We conducted post hoc analyses of transplanted CD34 + cell dose and hematopoietic recovery following ASCT in 438 patients with non-Hodgkin lymphoma (NHL) or multiple myeloma (MM), using data from 2 multicenter phase 3 clinical studies that compared plerixafor plus granulocyte-colony stimulating factor (G-CSF) versus placebo plus G-CSF as stem cell mobilization regimens. Days to engraftment and the proportion of patients who reached predetermined blood count thresholds were compared across 3 CD34 + cell dose levels: 2-4 × 10 6 cells/kg, 4-6 × 10 6 cells/kg, and &gt;6 × 10 6 cells/kg, regardless of mobilization treatment. Short-term neutrophil and platelet engraftment times were similar regardless of cell dose. A significant linear trend was observed between transplanted CD34 + cell dose and the proportion of patients with platelet count &gt;150 × 10 9/L at 100 days (P &lt; .001), 6 months (P = 026), and 12 months (P = 020) in patients with NHL, and at 100 days in patients with MM (P = 004). A linear trend was also observed between transplanted cell dose and the proportion of patients with platelet count &gt;100 × 10 9/L at 100 days (P &lt; .001) and 6 months (P = 023) in patients with NHL. A higher cell dose was associated with a lower percentage of NHL patients requiring red blood cell transfusions (P = 006). Our analyses confirm previous findings that transplanted CD34 + cell dose may be associated with better long-term platelet recovery after ASCT. © 2011 American Society for Blood and Marrow Transplantation.","author":[{"dropping-particle":"","family":"Stiff","given":"Patrick J.","non-dropping-particle":"","parse-names":false,"suffix":""},{"dropping-particle":"","family":"Micallef","given":"Ivana","non-dropping-particle":"","parse-names":false,"suffix":""},{"dropping-particle":"","family":"Nademanee","given":"Auayporn P.","non-dropping-particle":"","parse-names":false,"suffix":""},{"dropping-particle":"","family":"Stadtmauer","given":"Edward A.","non-dropping-particle":"","parse-names":false,"suffix":""},{"dropping-particle":"","family":"Maziarz","given":"Richard T.","non-dropping-particle":"","parse-names":false,"suffix":""},{"dropping-particle":"","family":"Bolwell","given":"Brian J.","non-dropping-particle":"","parse-names":false,"suffix":""},{"dropping-particle":"","family":"Bridger","given":"Gary","non-dropping-particle":"","parse-names":false,"suffix":""},{"dropping-particle":"","family":"Marulkar","given":"Sachin","non-dropping-particle":"","parse-names":false,"suffix":""},{"dropping-particle":"","family":"Hsu","given":"Frank J.","non-dropping-particle":"","parse-names":false,"suffix":""},{"dropping-particle":"","family":"DiPersio","given":"John F.","non-dropping-particle":"","parse-names":false,"suffix":""}],"container-title":"Biology of Blood and Marrow Transplantation","id":"ITEM-1","issue":"8","issued":{"date-parts":[["2011","8"]]},"page":"1146-1153","publisher":"Biol Blood Marrow Transplant","title":"Transplanted CD34 + Cell Dose Is Associated with Long-Term Platelet Count Recovery following Autologous Peripheral Blood Stem Cell Transplant in Patients with Non-Hodgkin Lymphoma or Multiple Myeloma","type":"article-journal","volume":"17"},"uris":["http://www.mendeley.com/documents/?uuid=aeec743f-aab0-4ef2-b5a9-bcb8a120b592"]},{"id":"ITEM-2","itemData":{"DOI":"10.1200/JCO.1995.13.3.705","ISSN":"0732183X","abstract":"Purpose: (1) To study the ability of mobilized peripheral-blood progenitor cells (PBPC) collected in a single large-volume leukapheresis performed on a predetermined date to accelerate engraftment after high-dose cyclophosphamide and thiotepa; (2) to establish the minimum dose of PBPC associated with early engraftment; and (3) to identify parameters predictive of collection of large numbers of PBPC. Patients and Methods: Twenty-three patients with breast cancer received cyclophosphamide (4 g/m2) and granulocyte-macrophage colony- stimulating factor ([GM-CSF] 5 μg/kg/d x 15 days) for PBPC mobilization. A single leukapheresis was performed 15 days after cyclophosphamide administration. Then, patients received high-dose cyclophosphamide and thiotepa followed by reinfusion of PBPC and 4-hydroperoxycyclophosphamide (4HC)-purged bone marrow. PBPC concentration was measured in serial peripheral-blood samples and in the leukapheresis product. Correlation analysis between PBPC dose and engraftment and between leukapheresis yield and patient characteristics was attempted. Results: A single leukapheresis processed a median 36 L (range, 24 to 46) blood and collected 5 x 106 CD34+ cells/kg (&lt; 0.3 to 24) and 6.2 x 105 colony-forming units granulocyte- macrophage (CFU-GM)/kg (&lt; 0.001 to 29). All sixteen patients (70%) reinfused with ≥ 2.9 x 106 CD34+ cells/kg reached a level of greater than 1,000 leukocytes/μL by day 13 and greater than 50,000 platelets/μL by day 15. All of these patients had a percentage of peripheral-blood CD34+ cells ≥ 0.5%, and all but one, a level of greater than 100,000 platelets/μL, on the day of leukapheresis. The bone marrow CD34+ cell percentage at study entry predicted the number of CD34+ cells collected after PBPC mobilization (R2 = .42, P = .002). All patients with ≥ 2.5% bone marrow CD34+ cells experienced early engraftment. Conclusion: Reinfusion of PBPC collected in a single leukapheresis accelerates engraftment in the majority of patients. Pretreatment bone marrow CD34+ cell content determines PBPC mobilization capacity and may help select hematopoietic rescue strategies.","author":[{"dropping-particle":"","family":"Passos-Coelho","given":"J. L.","non-dropping-particle":"","parse-names":false,"suffix":""},{"dropping-particle":"","family":"Braine","given":"H. G.","non-dropping-particle":"","parse-names":false,"suffix":""},{"dropping-particle":"","family":"Davis","given":"J. M.","non-dropping-particle":"","parse-names":false,"suffix":""},{"dropping-particle":"","family":"Huelskamp","given":"A. M.","non-dropping-particle":"","parse-names":false,"suffix":""},{"dropping-particle":"","family":"Schepers","given":"K. G.","non-dropping-particle":"","parse-names":false,"suffix":""},{"dropping-particle":"","family":"Ohly","given":"K.","non-dropping-particle":"","parse-names":false,"suffix":""},{"dropping-particle":"","family":"Clarke","given":"B.","non-dropping-particle":"","parse-names":false,"suffix":""},{"dropping-particle":"","family":"Wright","given":"S. K.","non-dropping-particle":"","parse-names":false,"suffix":""},{"dropping-particle":"","family":"Noga","given":"S. J.","non-dropping-particle":"","parse-names":false,"suffix":""},{"dropping-particle":"","family":"Davidson","given":"N. E.","non-dropping-particle":"","parse-names":false,"suffix":""},{"dropping-particle":"","family":"Kennedy","given":"M. J.","non-dropping-particle":"","parse-names":false,"suffix":""}],"container-title":"Journal of Clinical Oncology","id":"ITEM-2","issue":"3","issued":{"date-parts":[["1995"]]},"page":"705-714","publisher":"American Society of Clinical Oncology","title":"Predictive factors for peripheral-blood progenitor-cell collections using a single large-volume leukapheresis after cyclophosphamide and granulocyte- macrophage colony-stimulating factor mobilization","type":"article-journal","volume":"13"},"uris":["http://www.mendeley.com/documents/?uuid=0a886e27-4a35-4e92-a56e-e7808e952669"]},{"id":"ITEM-3","itemData":{"ISSN":"0301-472X","PMID":"7681782","abstract":"High-dose conditioning therapy followed by autografting with blood stem cells rather than bone marrow has become an increasingly used transplantation modality for patients with chemosensitive malignancies. We treated 10 patients with malignant lymphoma in sensitive relapse with recombinant human granulocyte colony-stimulating factor (rhG-CSF) following salvage therapy. rhG-CSF was given subcutaneously (5 micrograms/kg/day) starting 24 hours after chemotherapy and stem cell collection was performed by repeated leukaphereses during leukocyte recovery. The yield of myeloid progenitors varied between 0.79 and 38.36 x 10(4) CFU-GM/kg body weight (median 4.1 x 10(4). A strong correlation was found between the number of granulocyte-macrophage colony-forming cells (CFU-GM) plus blast-forming erythroid cells (BFU-E) and CD34-positive (CD34+) cells (R = 0.80; p &lt; 0.001). The majority of CD34+ cells (&gt; 95%) strongly coexpressed human lymphocyte antigen-DR (HLA-DR) and CD38, whereas CD33 varied between 20% and 94%. Costaining of CD34+ cells for CD19 above the control level could not be detected, suggesting that early B lymphoid progenitors are not expanded or released into the circulation by rhG-CSF. Following total body irradiation (TBI)/cyclophosphamide or the CBV regimen (cyclophosphamide, BCNU, VP-16), all patients achieved complete engraftment with a median of 14 days for 1.0 x 10(9)/L white blood cells (WBC), 15 days for 0.5 x 10(9)/L polymorphonuclear cells (PMN) and 22 days for 20 x 10(9)/L platelets. The quantity of CFU-GM/kg transplanted was predictive for neutrophil and platelet recovery. The strongest correlation, however, was found between the number of CD34+ cells/kg autografted and platelet recovery (R = -0.86; p &lt; 0.001). The patients transplanted with more than 5 x 10(6)/kg CD34+ cells reached an unsubstituted platelet count &gt; 20 x 10(9)/L within 8 to 12 days. Our data demonstrate that rapid and complete engraftment can be achieved following myeloablative conditioning therapy with rhG-CSF-exposed blood stem cells without the need for additional bone marrow support or growth factor administration posttransplantation.","author":[{"dropping-particle":"","family":"Hohaus","given":"S","non-dropping-particle":"","parse-names":false,"suffix":""},{"dropping-particle":"","family":"Goldschmidt","given":"H","non-dropping-particle":"","parse-names":false,"suffix":""},{"dropping-particle":"","family":"Ehrhardt","given":"R","non-dropping-particle":"","parse-names":false,"suffix":""},{"dropping-particle":"","family":"Haas","given":"R","non-dropping-particle":"","parse-names":false,"suffix":""}],"container-title":"Experimental hematology","id":"ITEM-3","issue":"4","issued":{"date-parts":[["1993","4"]]},"page":"508-14","title":"Successful autografting following myeloablative conditioning therapy with blood stem cells mobilized by chemotherapy plus rhG-CSF.","type":"article-journal","volume":"21"},"uris":["http://www.mendeley.com/documents/?uuid=841a47c1-56d9-4183-95e4-12fced0a860d"]},{"id":"ITEM-4","itemData":{"DOI":"10.1016/j.bbmt.2013.10.013","ISSN":"10838791","abstract":"Autologous hematopoietic stem cell transplantation (aHSCT) is a well-established treatment for malignancies such as multiple myeloma (MM) and lymphomas. Various changes in the field over the past decade, including the frequent use of tandem aHSCT in MM, the advent of novel therapies for the treatment of MM and lymphoma, and the addition of new stem cell mobilization techniques, have led to the need to reassess current stem cell mobilization strategies. Mobilization failures with traditional strategies are common and result in delays in treatment and increased cost and resource utilization. Recently, plerixafor-containing strategies have been shown to significantly reduce mobilization failure rates, but the ideal method to maximize stem cell yields and minimize costs associated with collection has not yet been determined. A panel of experts convened to discuss the currently available data on autologous hematopoietic stem cell mobilization and transplantation and to devise guidelines to optimize mobilization strategies. Herein is a summary of their discussion and consensus. © 2014 American Society for Blood and Marrow Transplantation.","author":[{"dropping-particle":"","family":"Giralt","given":"Sergio","non-dropping-particle":"","parse-names":false,"suffix":""},{"dropping-particle":"","family":"Costa","given":"Luciano","non-dropping-particle":"","parse-names":false,"suffix":""},{"dropping-particle":"","family":"Schriber","given":"Jeffrey","non-dropping-particle":"","parse-names":false,"suffix":""},{"dropping-particle":"","family":"DiPersio","given":"John","non-dropping-particle":"","parse-names":false,"suffix":""},{"dropping-particle":"","family":"Maziarz","given":"Richard","non-dropping-particle":"","parse-names":false,"suffix":""},{"dropping-particle":"","family":"McCarty","given":"John","non-dropping-particle":"","parse-names":false,"suffix":""},{"dropping-particle":"","family":"Shaughnessy","given":"Paul","non-dropping-particle":"","parse-names":false,"suffix":""},{"dropping-particle":"","family":"Snyder","given":"Edward","non-dropping-particle":"","parse-names":false,"suffix":""},{"dropping-particle":"","family":"Bensinger","given":"William","non-dropping-particle":"","parse-names":false,"suffix":""},{"dropping-particle":"","family":"Copelan","given":"Edward","non-dropping-particle":"","parse-names":false,"suffix":""},{"dropping-particle":"","family":"Hosing","given":"Chitra","non-dropping-particle":"","parse-names":false,"suffix":""},{"dropping-particle":"","family":"Negrin","given":"Robert","non-dropping-particle":"","parse-names":false,"suffix":""},{"dropping-particle":"","family":"Petersen","given":"Finn Bo","non-dropping-particle":"","parse-names":false,"suffix":""},{"dropping-particle":"","family":"Rondelli","given":"Damiano","non-dropping-particle":"","parse-names":false,"suffix":""},{"dropping-particle":"","family":"Soiffer","given":"Robert","non-dropping-particle":"","parse-names":false,"suffix":""},{"dropping-particle":"","family":"Leather","given":"Helen","non-dropping-particle":"","parse-names":false,"suffix":""},{"dropping-particle":"","family":"Pazzalia","given":"Amy","non-dropping-particle":"","parse-names":false,"suffix":""},{"dropping-particle":"","family":"Devine","given":"Steven","non-dropping-particle":"","parse-names":false,"suffix":""}],"container-title":"Biology of Blood and Marrow Transplantation","id":"ITEM-4","issue":"3","issued":{"date-parts":[["2014","3"]]},"page":"295-308","publisher":"Elsevier","title":"Optimizing autologous stem cell mobilization strategies to improve patient outcomes: Consensus guidelines and recommendations","type":"article","volume":"20"},"uris":["http://www.mendeley.com/documents/?uuid=43ce11fb-9802-4761-b036-0d546f3d6abf"]}],"mendeley":{"formattedCitation":"[95–98]","plainTextFormattedCitation":"[95–98]","previouslyFormattedCitation":"[95–98]"},"properties":{"noteIndex":0},"schema":"https://github.com/citation-style-language/schema/raw/master/csl-citation.json"}</w:instrText>
      </w:r>
      <w:r w:rsidRPr="0095427D">
        <w:rPr>
          <w:szCs w:val="24"/>
        </w:rPr>
        <w:fldChar w:fldCharType="separate"/>
      </w:r>
      <w:r w:rsidR="00E430FD" w:rsidRPr="00E430FD">
        <w:rPr>
          <w:noProof/>
          <w:szCs w:val="24"/>
        </w:rPr>
        <w:t>[95–98]</w:t>
      </w:r>
      <w:r w:rsidRPr="0095427D">
        <w:rPr>
          <w:szCs w:val="24"/>
        </w:rPr>
        <w:fldChar w:fldCharType="end"/>
      </w:r>
      <w:r w:rsidRPr="0095427D">
        <w:rPr>
          <w:szCs w:val="24"/>
        </w:rPr>
        <w:t xml:space="preserve">. </w:t>
      </w:r>
    </w:p>
    <w:p w14:paraId="07E5769A" w14:textId="77777777" w:rsidR="00C44D05" w:rsidRDefault="00C44D05" w:rsidP="005241D7">
      <w:pPr>
        <w:spacing w:before="0" w:after="0"/>
        <w:ind w:firstLine="709"/>
        <w:rPr>
          <w:szCs w:val="24"/>
        </w:rPr>
      </w:pPr>
      <w:r w:rsidRPr="0095427D">
        <w:rPr>
          <w:szCs w:val="24"/>
        </w:rPr>
        <w:t xml:space="preserve">В настоящее время принято считать, что минимальным количеством клеток, необходимым для проведения одной аутологичной трансплантации, </w:t>
      </w:r>
      <w:r w:rsidRPr="00B5291B">
        <w:rPr>
          <w:szCs w:val="24"/>
        </w:rPr>
        <w:t>является 2×10</w:t>
      </w:r>
      <w:r w:rsidRPr="00B5291B">
        <w:rPr>
          <w:szCs w:val="24"/>
          <w:vertAlign w:val="superscript"/>
        </w:rPr>
        <w:t xml:space="preserve">6 </w:t>
      </w:r>
      <w:r w:rsidRPr="00B5291B">
        <w:rPr>
          <w:szCs w:val="24"/>
        </w:rPr>
        <w:t>CD34+ клеток/кг веса больного, а оптимальным количеством – значение 3 – 5 × 10</w:t>
      </w:r>
      <w:r w:rsidRPr="00B5291B">
        <w:rPr>
          <w:szCs w:val="24"/>
          <w:vertAlign w:val="superscript"/>
        </w:rPr>
        <w:t xml:space="preserve">6 </w:t>
      </w:r>
      <w:r w:rsidRPr="00B5291B">
        <w:rPr>
          <w:szCs w:val="24"/>
        </w:rPr>
        <w:t>CD34+ клеток/кг. В некоторых работах представлено, что при использовании трансплантата, содержащего более 5х10</w:t>
      </w:r>
      <w:r w:rsidRPr="00B5291B">
        <w:rPr>
          <w:szCs w:val="24"/>
          <w:vertAlign w:val="superscript"/>
        </w:rPr>
        <w:t xml:space="preserve">6 </w:t>
      </w:r>
      <w:r w:rsidRPr="00B5291B">
        <w:rPr>
          <w:szCs w:val="24"/>
        </w:rPr>
        <w:t>CD34+клеток/кг, отмечается меньшая длительность</w:t>
      </w:r>
      <w:r w:rsidRPr="0095427D">
        <w:rPr>
          <w:szCs w:val="24"/>
        </w:rPr>
        <w:t xml:space="preserve"> нейтропении и тромбоцитопении. </w:t>
      </w:r>
    </w:p>
    <w:p w14:paraId="4B484B09" w14:textId="77777777" w:rsidR="00B83E40" w:rsidRDefault="00B83E40" w:rsidP="005241D7">
      <w:pPr>
        <w:spacing w:before="0" w:after="0"/>
        <w:ind w:firstLine="709"/>
        <w:rPr>
          <w:szCs w:val="24"/>
        </w:rPr>
      </w:pPr>
    </w:p>
    <w:p w14:paraId="6E4C769E" w14:textId="2AF0F637" w:rsidR="00C44D05" w:rsidRPr="00C44D05" w:rsidRDefault="00C44D05" w:rsidP="005241D7">
      <w:pPr>
        <w:pStyle w:val="Autor"/>
        <w:spacing w:after="240"/>
        <w:jc w:val="center"/>
        <w:rPr>
          <w:b/>
          <w:i w:val="0"/>
          <w:sz w:val="24"/>
          <w:lang w:val="ru-RU"/>
        </w:rPr>
      </w:pPr>
      <w:bookmarkStart w:id="73" w:name="_Toc44926602"/>
      <w:r>
        <w:rPr>
          <w:b/>
          <w:i w:val="0"/>
          <w:sz w:val="24"/>
          <w:lang w:val="ru-RU"/>
        </w:rPr>
        <w:lastRenderedPageBreak/>
        <w:t xml:space="preserve">3.3.2 </w:t>
      </w:r>
      <w:r w:rsidRPr="00C44D05">
        <w:rPr>
          <w:b/>
          <w:i w:val="0"/>
          <w:sz w:val="24"/>
          <w:lang w:val="ru-RU"/>
        </w:rPr>
        <w:t>Факторы риска неэффективной мобилизации ГСК</w:t>
      </w:r>
      <w:bookmarkEnd w:id="73"/>
    </w:p>
    <w:p w14:paraId="066F719B" w14:textId="4C15E8E4" w:rsidR="00C44D05" w:rsidRDefault="00C44D05" w:rsidP="005241D7">
      <w:pPr>
        <w:spacing w:before="0" w:after="0"/>
        <w:ind w:firstLine="851"/>
        <w:rPr>
          <w:szCs w:val="24"/>
        </w:rPr>
      </w:pPr>
      <w:r w:rsidRPr="0095427D">
        <w:rPr>
          <w:szCs w:val="24"/>
        </w:rPr>
        <w:t>Несмотря на совершенствование методик и появление новых препаратов, неудача мобилизации ГСК остается проблемой для пациентов с онкогематологическими заболеваниями</w:t>
      </w:r>
      <w:r>
        <w:rPr>
          <w:szCs w:val="24"/>
        </w:rPr>
        <w:t xml:space="preserve"> </w:t>
      </w:r>
      <w:r>
        <w:rPr>
          <w:szCs w:val="24"/>
        </w:rPr>
        <w:fldChar w:fldCharType="begin" w:fldLock="1"/>
      </w:r>
      <w:r w:rsidR="00E430FD">
        <w:rPr>
          <w:szCs w:val="24"/>
        </w:rPr>
        <w:instrText>ADDIN CSL_CITATION {"citationItems":[{"id":"ITEM-1","itemData":{"author":[{"dropping-particle":"","family":"Покровская О.С., Менделеева Л.П., Гальцева И.В., Варламова Е.Ю., Капланская И.Б., Воробьев И.А., Грецов Е.М., Калинин Н.Н., Варламова С.В., Клясова Г.А., Тихонова Л.Ю.","given":"Савченко В.Г.","non-dropping-particle":"","parse-names":false,"suffix":""}],"container-title":"Проблемы гематологии и переливания","id":"ITEM-1","issued":{"date-parts":[["2003"]]},"page":"55-56","title":"Мобилизация гемопоэтических клеток крови у больных миеломной болезнью","type":"article-journal"},"uris":["http://www.mendeley.com/documents/?uuid=8770f689-e379-4f05-bd8a-15cddd1006fb"]}],"mendeley":{"formattedCitation":"[99]","plainTextFormattedCitation":"[99]","previouslyFormattedCitation":"[99]"},"properties":{"noteIndex":0},"schema":"https://github.com/citation-style-language/schema/raw/master/csl-citation.json"}</w:instrText>
      </w:r>
      <w:r>
        <w:rPr>
          <w:szCs w:val="24"/>
        </w:rPr>
        <w:fldChar w:fldCharType="separate"/>
      </w:r>
      <w:r w:rsidR="00E430FD" w:rsidRPr="00E430FD">
        <w:rPr>
          <w:noProof/>
          <w:szCs w:val="24"/>
        </w:rPr>
        <w:t>[99]</w:t>
      </w:r>
      <w:r>
        <w:rPr>
          <w:szCs w:val="24"/>
        </w:rPr>
        <w:fldChar w:fldCharType="end"/>
      </w:r>
      <w:r w:rsidRPr="0095427D">
        <w:rPr>
          <w:szCs w:val="24"/>
        </w:rPr>
        <w:t>. Группа итальянских исследователей GITIMO определила критерии доказанного и вероятного риска неудачи мобилизации ГСК у больных ММ и НХЛ.</w:t>
      </w:r>
    </w:p>
    <w:p w14:paraId="7C65F17D" w14:textId="3309C477" w:rsidR="00C44D05" w:rsidRPr="00B5291B" w:rsidRDefault="00C44D05" w:rsidP="005241D7">
      <w:pPr>
        <w:spacing w:before="0" w:after="0"/>
        <w:ind w:firstLine="851"/>
        <w:rPr>
          <w:szCs w:val="24"/>
        </w:rPr>
      </w:pPr>
      <w:r w:rsidRPr="0095427D">
        <w:rPr>
          <w:szCs w:val="24"/>
        </w:rPr>
        <w:t xml:space="preserve">К факторам доказанного риска неудачи относятся два параметра: если показатели циркулирующих в крови СD34+ не </w:t>
      </w:r>
      <w:r w:rsidRPr="00B5291B">
        <w:rPr>
          <w:szCs w:val="24"/>
        </w:rPr>
        <w:t>достигают 20 клеток в 1 мкл. на 4-6-й дни после старта Г–КСФ</w:t>
      </w:r>
      <w:r w:rsidR="00F80320" w:rsidRPr="00F80320">
        <w:rPr>
          <w:szCs w:val="24"/>
        </w:rPr>
        <w:t>**</w:t>
      </w:r>
      <w:r w:rsidRPr="00B5291B">
        <w:rPr>
          <w:szCs w:val="24"/>
        </w:rPr>
        <w:t xml:space="preserve"> или же заготовлено менее 2х10</w:t>
      </w:r>
      <w:r w:rsidRPr="00B5291B">
        <w:rPr>
          <w:szCs w:val="24"/>
          <w:vertAlign w:val="superscript"/>
        </w:rPr>
        <w:t xml:space="preserve">6 </w:t>
      </w:r>
      <w:r w:rsidRPr="00B5291B">
        <w:rPr>
          <w:szCs w:val="24"/>
        </w:rPr>
        <w:t>CD34+ клеток/кг за 3 лейкафереза.</w:t>
      </w:r>
    </w:p>
    <w:p w14:paraId="6DEE52BA" w14:textId="560D77F8" w:rsidR="00C44D05" w:rsidRPr="0095427D" w:rsidRDefault="00C44D05" w:rsidP="005241D7">
      <w:pPr>
        <w:spacing w:before="0" w:after="0"/>
        <w:ind w:firstLine="851"/>
        <w:rPr>
          <w:szCs w:val="24"/>
        </w:rPr>
      </w:pPr>
      <w:r w:rsidRPr="00B5291B">
        <w:rPr>
          <w:szCs w:val="24"/>
        </w:rPr>
        <w:t>Критериями вероятного риска неудачи</w:t>
      </w:r>
      <w:r w:rsidRPr="0095427D">
        <w:rPr>
          <w:szCs w:val="24"/>
        </w:rPr>
        <w:t xml:space="preserve"> мобилизации ГСК является наличие предшествующей неэффективной мобилизации ГСК; длит</w:t>
      </w:r>
      <w:r>
        <w:rPr>
          <w:szCs w:val="24"/>
        </w:rPr>
        <w:t xml:space="preserve">ельной ХТ или лучевой терапии, </w:t>
      </w:r>
      <w:r w:rsidRPr="0095427D">
        <w:rPr>
          <w:szCs w:val="24"/>
        </w:rPr>
        <w:t>использование мелфалана</w:t>
      </w:r>
      <w:r w:rsidR="00F80320" w:rsidRPr="00F80320">
        <w:rPr>
          <w:szCs w:val="24"/>
        </w:rPr>
        <w:t>**</w:t>
      </w:r>
      <w:r w:rsidRPr="0095427D">
        <w:rPr>
          <w:szCs w:val="24"/>
        </w:rPr>
        <w:t>, леналидомида</w:t>
      </w:r>
      <w:r w:rsidR="00F80320" w:rsidRPr="00F80320">
        <w:rPr>
          <w:szCs w:val="24"/>
        </w:rPr>
        <w:t>**</w:t>
      </w:r>
      <w:r w:rsidRPr="0095427D">
        <w:rPr>
          <w:szCs w:val="24"/>
        </w:rPr>
        <w:t xml:space="preserve"> на предыдущих этапах лечения; продвинутая фаза болезни, потребовавшая проведения как минимум двух линий ХТ. Клеточность костного мозга менее 30% на момент мобилизации и возраст старше 65 лет также являются факторами риска неэффективной мобилизации </w:t>
      </w:r>
      <w:r w:rsidRPr="0095427D">
        <w:rPr>
          <w:szCs w:val="24"/>
        </w:rPr>
        <w:fldChar w:fldCharType="begin" w:fldLock="1"/>
      </w:r>
      <w:r w:rsidR="00E430FD">
        <w:rPr>
          <w:szCs w:val="24"/>
        </w:rPr>
        <w:instrText>ADDIN CSL_CITATION {"citationItems":[{"id":"ITEM-1","itemData":{"DOI":"10.1038/bmt.2011.82","ISSN":"02683369","abstract":"Many lymphoma and myeloma patients fail to undergo ASCT owing to poor mobilization. Identification of poor mobilizers (PMs) would provide a tool for early intervention with new mobilization agents. The Gruppo italianoTrapianto di Midollo Osseo working group proposed a definition of PMs applicable to clinical trials and clinical practice. The analytic hierarchy process, a method for group decision making, was used in setting prioritized criteria. Lymphoma or myeloma patients were defined as 'proven PM' when: (1) after adequate mobilization (G-CSF 10 μg/kg if used alone or ≥5 μg/kg after chemotherapy) circulating CD34 + cell peak is &lt;20/μL up to 6 days after mobilization with G-CSF or up to 20 days after chemotherapy and G-CSF or (2) they yielded &lt;2.0 × 10 6 CD34 + cells per kg in ≤3 apheresis. Patients were defined as predicted PMs if: (1) they failed a previous collection attempt (not otherwise specified); (2) they previously received extensive radiotherapy or full courses of therapy affecting SC mobilization; and (3) they met two of the following criteria: advanced disease (≥2 lines of chemotherapy), refractory disease, extensive BM involvement or cellularity &lt;30% at the time of mobilization; age ≥65 years. This definition of proven and predicted PMs should be validated in clinical trials and common clinical practice. © 2012 Macmillan Publishers Limited All rights reserved.","author":[{"dropping-particle":"","family":"Olivieri","given":"A.","non-dropping-particle":"","parse-names":false,"suffix":""},{"dropping-particle":"","family":"Marchetti","given":"M.","non-dropping-particle":"","parse-names":false,"suffix":""},{"dropping-particle":"","family":"Lemoli","given":"R.","non-dropping-particle":"","parse-names":false,"suffix":""},{"dropping-particle":"","family":"Tarella","given":"C.","non-dropping-particle":"","parse-names":false,"suffix":""},{"dropping-particle":"","family":"Iacone","given":"A.","non-dropping-particle":"","parse-names":false,"suffix":""},{"dropping-particle":"","family":"Lanza","given":"F.","non-dropping-particle":"","parse-names":false,"suffix":""},{"dropping-particle":"","family":"Rambaldi","given":"A.","non-dropping-particle":"","parse-names":false,"suffix":""},{"dropping-particle":"","family":"Bosi","given":"A.","non-dropping-particle":"","parse-names":false,"suffix":""}],"container-title":"Bone Marrow Transplantation","id":"ITEM-1","issue":"3","issued":{"date-parts":[["2012","3"]]},"page":"342-351","publisher":"Bone Marrow Transplant","title":"Proposed definition of 'poor mobilizer' in lymphoma and multiple myeloma: An analytic hierarchy process by ad hoc working group Gruppo ItalianoTrapianto di Midollo Osseo","type":"article-journal","volume":"47"},"uris":["http://www.mendeley.com/documents/?uuid=39d3b635-3780-462d-8abb-b71c080a2618"]}],"mendeley":{"formattedCitation":"[100]","plainTextFormattedCitation":"[100]","previouslyFormattedCitation":"[100]"},"properties":{"noteIndex":0},"schema":"https://github.com/citation-style-language/schema/raw/master/csl-citation.json"}</w:instrText>
      </w:r>
      <w:r w:rsidRPr="0095427D">
        <w:rPr>
          <w:szCs w:val="24"/>
        </w:rPr>
        <w:fldChar w:fldCharType="separate"/>
      </w:r>
      <w:r w:rsidR="00E430FD" w:rsidRPr="00E430FD">
        <w:rPr>
          <w:noProof/>
          <w:szCs w:val="24"/>
        </w:rPr>
        <w:t>[100]</w:t>
      </w:r>
      <w:r w:rsidRPr="0095427D">
        <w:rPr>
          <w:szCs w:val="24"/>
        </w:rPr>
        <w:fldChar w:fldCharType="end"/>
      </w:r>
      <w:r>
        <w:rPr>
          <w:szCs w:val="24"/>
        </w:rPr>
        <w:t>.</w:t>
      </w:r>
    </w:p>
    <w:p w14:paraId="6AE88F3F" w14:textId="243B7C85" w:rsidR="00C44D05" w:rsidRPr="0095427D" w:rsidRDefault="00C44D05" w:rsidP="005241D7">
      <w:pPr>
        <w:spacing w:before="0" w:after="0"/>
        <w:ind w:firstLine="851"/>
        <w:rPr>
          <w:szCs w:val="24"/>
        </w:rPr>
      </w:pPr>
      <w:r w:rsidRPr="0095427D">
        <w:rPr>
          <w:szCs w:val="24"/>
        </w:rPr>
        <w:t xml:space="preserve">В случае недостаточного количества заготовленных ГСК обсуждается вопрос об эскалации дозы ростового фактора, проведении повторной мобилизации по другой схеме, эксфузии костного мозга. </w:t>
      </w:r>
    </w:p>
    <w:p w14:paraId="76CC5074" w14:textId="77777777" w:rsidR="00C44D05" w:rsidRPr="0095427D" w:rsidRDefault="00C44D05" w:rsidP="005241D7">
      <w:pPr>
        <w:spacing w:before="0" w:after="0"/>
        <w:ind w:firstLine="851"/>
        <w:rPr>
          <w:szCs w:val="24"/>
        </w:rPr>
      </w:pPr>
      <w:r w:rsidRPr="0095427D">
        <w:rPr>
          <w:szCs w:val="24"/>
        </w:rPr>
        <w:t>Цель мобилизации – заготовка адекватного количества CD34+клеток, достаточного для выполнения одной или двух трансплантаций.</w:t>
      </w:r>
    </w:p>
    <w:p w14:paraId="173779FD" w14:textId="77777777" w:rsidR="00C44D05" w:rsidRPr="0095427D" w:rsidRDefault="00C44D05" w:rsidP="005241D7">
      <w:pPr>
        <w:spacing w:before="0" w:after="0"/>
        <w:ind w:firstLine="851"/>
        <w:rPr>
          <w:szCs w:val="24"/>
        </w:rPr>
      </w:pPr>
      <w:r w:rsidRPr="0095427D">
        <w:rPr>
          <w:szCs w:val="24"/>
        </w:rPr>
        <w:t>Далее представлена подробная характеристика препаратов, стимулирующих выброс ГСК в периферическую кровь.</w:t>
      </w:r>
    </w:p>
    <w:p w14:paraId="464F9E86" w14:textId="6A10FFD2" w:rsidR="00C44D05" w:rsidRPr="002431B5" w:rsidRDefault="002431B5" w:rsidP="002F6CE5">
      <w:pPr>
        <w:pStyle w:val="Autor"/>
        <w:spacing w:before="0" w:line="360" w:lineRule="auto"/>
        <w:jc w:val="center"/>
        <w:rPr>
          <w:b/>
          <w:i w:val="0"/>
          <w:sz w:val="24"/>
          <w:lang w:val="ru-RU"/>
        </w:rPr>
      </w:pPr>
      <w:bookmarkStart w:id="74" w:name="_Toc44926603"/>
      <w:r>
        <w:rPr>
          <w:b/>
          <w:i w:val="0"/>
          <w:sz w:val="24"/>
          <w:lang w:val="ru-RU"/>
        </w:rPr>
        <w:t xml:space="preserve">3.3.3 </w:t>
      </w:r>
      <w:r w:rsidR="00C44D05" w:rsidRPr="002431B5">
        <w:rPr>
          <w:b/>
          <w:i w:val="0"/>
          <w:sz w:val="24"/>
          <w:lang w:val="ru-RU"/>
        </w:rPr>
        <w:t>Препараты, используемые для мобилизации ГСК.</w:t>
      </w:r>
      <w:bookmarkEnd w:id="74"/>
    </w:p>
    <w:p w14:paraId="41FC3075" w14:textId="22036080" w:rsidR="00C44D05" w:rsidRPr="002431B5" w:rsidRDefault="002431B5" w:rsidP="005241D7">
      <w:pPr>
        <w:spacing w:before="0" w:after="0"/>
        <w:ind w:firstLine="851"/>
        <w:rPr>
          <w:b/>
          <w:iCs/>
          <w:lang w:eastAsia="ru-RU"/>
        </w:rPr>
      </w:pPr>
      <w:r w:rsidRPr="002431B5">
        <w:rPr>
          <w:iCs/>
          <w:lang w:eastAsia="ru-RU"/>
        </w:rPr>
        <w:t>Гранулоцитарный колониестимулирующий фактор</w:t>
      </w:r>
      <w:r>
        <w:rPr>
          <w:b/>
          <w:iCs/>
          <w:lang w:eastAsia="ru-RU"/>
        </w:rPr>
        <w:t xml:space="preserve"> (</w:t>
      </w:r>
      <w:r w:rsidR="00C44D05" w:rsidRPr="0095427D">
        <w:rPr>
          <w:szCs w:val="24"/>
        </w:rPr>
        <w:t>Г-КСФ</w:t>
      </w:r>
      <w:r w:rsidR="0057376B" w:rsidRPr="0057376B">
        <w:rPr>
          <w:szCs w:val="24"/>
        </w:rPr>
        <w:t>**</w:t>
      </w:r>
      <w:r>
        <w:rPr>
          <w:szCs w:val="24"/>
        </w:rPr>
        <w:t>)</w:t>
      </w:r>
      <w:r w:rsidR="0026380F" w:rsidRPr="0026380F">
        <w:rPr>
          <w:szCs w:val="24"/>
        </w:rPr>
        <w:t xml:space="preserve"> </w:t>
      </w:r>
      <w:r w:rsidR="00C44D05" w:rsidRPr="0095427D">
        <w:rPr>
          <w:szCs w:val="24"/>
        </w:rPr>
        <w:t>– гликопротеин, ускоряющий пролиферацию гранулоцитарных клеток-предшественников нейтрофильного ростка костного мозга, дифференцировку в направлении зрелых нейтрофилов и их выход из костного мозга в периферическую кровь. Применение Г-КСФ</w:t>
      </w:r>
      <w:r w:rsidR="0057376B" w:rsidRPr="0057376B">
        <w:rPr>
          <w:szCs w:val="24"/>
        </w:rPr>
        <w:t>**</w:t>
      </w:r>
      <w:r w:rsidR="00C44D05" w:rsidRPr="0095427D">
        <w:rPr>
          <w:szCs w:val="24"/>
        </w:rPr>
        <w:t xml:space="preserve"> как после курса химиотерапии (ХТ), так и независимо от нее, приводит к мобилизации в периферическую кровь клеток-предшественниц гемопоэза. </w:t>
      </w:r>
    </w:p>
    <w:p w14:paraId="02DBD02D" w14:textId="0760D7A9" w:rsidR="00C44D05" w:rsidRPr="0095427D" w:rsidRDefault="00C44D05" w:rsidP="005241D7">
      <w:pPr>
        <w:spacing w:before="0" w:after="0"/>
        <w:ind w:firstLine="851"/>
        <w:rPr>
          <w:szCs w:val="24"/>
        </w:rPr>
      </w:pPr>
      <w:r w:rsidRPr="0095427D">
        <w:rPr>
          <w:szCs w:val="24"/>
        </w:rPr>
        <w:t>Г-КСФ</w:t>
      </w:r>
      <w:r w:rsidR="0057376B" w:rsidRPr="0057376B">
        <w:rPr>
          <w:szCs w:val="24"/>
        </w:rPr>
        <w:t>**</w:t>
      </w:r>
      <w:r w:rsidRPr="0095427D">
        <w:rPr>
          <w:szCs w:val="24"/>
        </w:rPr>
        <w:t xml:space="preserve"> значительно увеличивает число нейтрофилов в периферической крови уже в первые 24 часа после введения. После окончания применения Г-КСФ</w:t>
      </w:r>
      <w:r w:rsidR="0057376B" w:rsidRPr="0057376B">
        <w:rPr>
          <w:szCs w:val="24"/>
        </w:rPr>
        <w:t>**</w:t>
      </w:r>
      <w:r w:rsidRPr="0095427D">
        <w:rPr>
          <w:szCs w:val="24"/>
        </w:rPr>
        <w:t xml:space="preserve"> число нейтрофилов в периферической крови снижается на 50% в течение 1-2 дней и возвращается к нормальным значениям в течение 1-7 дней. </w:t>
      </w:r>
    </w:p>
    <w:p w14:paraId="45CDEF64" w14:textId="7C070C96" w:rsidR="00C44D05" w:rsidRPr="0095427D" w:rsidRDefault="00C44D05" w:rsidP="005241D7">
      <w:pPr>
        <w:spacing w:before="0" w:after="0"/>
        <w:ind w:firstLine="851"/>
        <w:rPr>
          <w:szCs w:val="24"/>
        </w:rPr>
      </w:pPr>
      <w:r>
        <w:rPr>
          <w:szCs w:val="24"/>
        </w:rPr>
        <w:t>Изучение фармакокинетики Г-КСФ</w:t>
      </w:r>
      <w:r w:rsidR="0057376B" w:rsidRPr="0057376B">
        <w:rPr>
          <w:szCs w:val="24"/>
        </w:rPr>
        <w:t>**</w:t>
      </w:r>
      <w:r>
        <w:rPr>
          <w:szCs w:val="24"/>
        </w:rPr>
        <w:t xml:space="preserve"> </w:t>
      </w:r>
      <w:r w:rsidRPr="0095427D">
        <w:rPr>
          <w:szCs w:val="24"/>
        </w:rPr>
        <w:t xml:space="preserve">показало, что препарат быстро выводится из организма, что требует применения многократных инъекций. С целью пролонгации </w:t>
      </w:r>
      <w:r w:rsidRPr="0095427D">
        <w:rPr>
          <w:szCs w:val="24"/>
        </w:rPr>
        <w:lastRenderedPageBreak/>
        <w:t>действия разработана иммобилизованная на полиэтиленгликоле (ПЭГ) форма Г-КСФ</w:t>
      </w:r>
      <w:r w:rsidR="0057376B" w:rsidRPr="0057376B">
        <w:rPr>
          <w:szCs w:val="24"/>
        </w:rPr>
        <w:t>**</w:t>
      </w:r>
      <w:r w:rsidRPr="0095427D">
        <w:rPr>
          <w:szCs w:val="24"/>
        </w:rPr>
        <w:t xml:space="preserve">. В иммобилизованном препарате ПЭГ присоединяется ковалентной связью к N-концевому пептиду молекулы, увеличивая ее размер, что приводит к замедлению почечного клиренса. Время циркуляции в крови пэгилированной формы увеличивается с 3,5 ч. </w:t>
      </w:r>
      <w:r>
        <w:rPr>
          <w:szCs w:val="24"/>
        </w:rPr>
        <w:t>до 42</w:t>
      </w:r>
      <w:r w:rsidRPr="0095427D">
        <w:rPr>
          <w:szCs w:val="24"/>
        </w:rPr>
        <w:t xml:space="preserve">ч. После одной инъекции препарата высокий уровень нейтрофилов поддерживается в крови в течение 9 дней </w:t>
      </w:r>
      <w:r w:rsidRPr="0095427D">
        <w:rPr>
          <w:szCs w:val="24"/>
        </w:rPr>
        <w:fldChar w:fldCharType="begin" w:fldLock="1"/>
      </w:r>
      <w:r w:rsidR="00E430FD">
        <w:rPr>
          <w:szCs w:val="24"/>
        </w:rPr>
        <w:instrText>ADDIN CSL_CITATION {"citationItems":[{"id":"ITEM-1","itemData":{"DOI":"10.2165/11586040-000000000-00000","ISSN":"03125963","abstract":"Pegfilgrastim is a sustained-duration form of filgrastim, a recombinant methionyl form of human granulocyte colony-stimulating factor (G-CSF), to which a 20kDa polyethylene glycol molecule is covalently bound to the N-terminal methionine residue. Similar to filgrastim, pegfilgrastim increases the proliferation and differentiation of neutrophils from committed progenitor cells, induces maturation, and enhances the survival and function of mature neutrophils, resulting in dose-dependent increases in neutrophils.After subcutaneous administration, pegfilgrastim exhibits nonlinear pharmacokinetics and exposure to pegfilgrastim increases in more than a dose-proportional manner, suggesting that the clearance of pegfilgrastim decreases with increased dosing. Filgrastim is primarily eliminated by the kidney and neutrophilsneutrophil precursors; the latter presumably involves binding of the growth factor to the G-CSF receptor on the cell surface, internalization of the growth factor-receptor complexes via endocytosis, and subsequent degradation inside the cells. Pegylation of filgrastim renders renal clearance insignificant, which was demonstrated in bilaterally nephrectomized rats and confirmed in subjects with renal impairment. As a result, the neutrophil-mediated clearance is the predominant elimination pathway for pegfilgrastim.During chemotherapy-induced neutropenia, the clearance of pegfilgrastim is significantly reduced and the concentration of pegfilgrastim is sustained until onset of neutrophil recovery. Pegfilgrastim concentrations are sustained longer in patients with profound neutropenia. Evidence supports the use of a postnadir absolute neutrophil count (ANC) of ≥1×109/L as a surrogate marker threshold for the clearance of pegfilgrastim to subtherapeutic levels. After repeated administration of pegfilgrastim, the peak concentrations of pegfilgrastim decrease, likely due to increased neutrophil and neutrophil precursor mass.A pharmacokinetic-pharmacodynamic model was developed to describe the pharmacokinetic and ANC profiles of pegfilgrastim; the analysis supported that 100μgkg was an adequate weight-based dose of pegfilgrastim and predicted that 6mg would be an optimal fixed dose of pegfilgrastim to simplify treatment. Data from a pivotal study confirmed that a once-per-chemotherapy-cycle injection of pegfilgrastim at 6mg was as safe and effective as 11 daily injections of filgrastim at 5μgkg in reducing neutropenia and its complications in patients …","author":[{"dropping-particle":"","family":"Yang","given":"Bing Bing","non-dropping-particle":"","parse-names":false,"suffix":""},{"dropping-particle":"","family":"Kido","given":"Anna","non-dropping-particle":"","parse-names":false,"suffix":""}],"container-title":"Clinical Pharmacokinetics","id":"ITEM-1","issue":"5","issued":{"date-parts":[["2011"]]},"page":"295-306","publisher":"Clin Pharmacokinet","title":"Pharmacokinetics and pharmacodynamics of pegfilgrastim","type":"article","volume":"50"},"uris":["http://www.mendeley.com/documents/?uuid=ec9d7c0f-5da5-47cd-a932-c0af1a9d94a0"]}],"mendeley":{"formattedCitation":"[101]","plainTextFormattedCitation":"[101]","previouslyFormattedCitation":"[101]"},"properties":{"noteIndex":0},"schema":"https://github.com/citation-style-language/schema/raw/master/csl-citation.json"}</w:instrText>
      </w:r>
      <w:r w:rsidRPr="0095427D">
        <w:rPr>
          <w:szCs w:val="24"/>
        </w:rPr>
        <w:fldChar w:fldCharType="separate"/>
      </w:r>
      <w:r w:rsidR="00E430FD" w:rsidRPr="00E430FD">
        <w:rPr>
          <w:noProof/>
          <w:szCs w:val="24"/>
        </w:rPr>
        <w:t>[101]</w:t>
      </w:r>
      <w:r w:rsidRPr="0095427D">
        <w:rPr>
          <w:szCs w:val="24"/>
        </w:rPr>
        <w:fldChar w:fldCharType="end"/>
      </w:r>
      <w:r w:rsidRPr="0095427D">
        <w:rPr>
          <w:szCs w:val="24"/>
        </w:rPr>
        <w:t>.</w:t>
      </w:r>
    </w:p>
    <w:p w14:paraId="0865AD25" w14:textId="220F2B0A" w:rsidR="00C44D05" w:rsidRPr="005241D7" w:rsidRDefault="00C44D05" w:rsidP="008F161A">
      <w:pPr>
        <w:pStyle w:val="a6"/>
        <w:numPr>
          <w:ilvl w:val="0"/>
          <w:numId w:val="126"/>
        </w:numPr>
        <w:tabs>
          <w:tab w:val="left" w:pos="284"/>
        </w:tabs>
        <w:spacing w:before="0" w:after="0"/>
        <w:ind w:left="0" w:firstLine="0"/>
        <w:rPr>
          <w:b/>
          <w:iCs/>
          <w:lang w:eastAsia="ru-RU"/>
        </w:rPr>
      </w:pPr>
      <w:r w:rsidRPr="005241D7">
        <w:rPr>
          <w:b/>
          <w:iCs/>
          <w:lang w:eastAsia="ru-RU"/>
        </w:rPr>
        <w:t>Pежим дозирования Г-КСФ</w:t>
      </w:r>
      <w:r w:rsidR="0057376B" w:rsidRPr="0057376B">
        <w:rPr>
          <w:b/>
          <w:iCs/>
          <w:lang w:eastAsia="ru-RU"/>
        </w:rPr>
        <w:t>**</w:t>
      </w:r>
      <w:r w:rsidRPr="005241D7">
        <w:rPr>
          <w:b/>
          <w:iCs/>
          <w:lang w:eastAsia="ru-RU"/>
        </w:rPr>
        <w:t xml:space="preserve"> для мобилизации СКК </w:t>
      </w:r>
    </w:p>
    <w:p w14:paraId="3FB01871" w14:textId="47EE8CE4" w:rsidR="00C44D05" w:rsidRPr="0095427D" w:rsidRDefault="00C44D05" w:rsidP="002431B5">
      <w:pPr>
        <w:spacing w:before="0" w:after="0"/>
        <w:rPr>
          <w:szCs w:val="24"/>
        </w:rPr>
      </w:pPr>
      <w:r>
        <w:rPr>
          <w:szCs w:val="24"/>
        </w:rPr>
        <w:t>Г-КСФ</w:t>
      </w:r>
      <w:r w:rsidR="0057376B" w:rsidRPr="0057376B">
        <w:rPr>
          <w:szCs w:val="24"/>
        </w:rPr>
        <w:t>**</w:t>
      </w:r>
      <w:r>
        <w:rPr>
          <w:szCs w:val="24"/>
        </w:rPr>
        <w:t xml:space="preserve"> </w:t>
      </w:r>
      <w:r w:rsidRPr="0095427D">
        <w:rPr>
          <w:szCs w:val="24"/>
        </w:rPr>
        <w:t>вводится в дозе 5 или 10 мкг/кг/сутки подкожно в зависимости от режима мобилизации ГСК. Пегилированный Г-КСФ</w:t>
      </w:r>
      <w:r w:rsidR="0057376B">
        <w:rPr>
          <w:szCs w:val="24"/>
          <w:lang w:val="en-US"/>
        </w:rPr>
        <w:t>**</w:t>
      </w:r>
      <w:r w:rsidRPr="0095427D">
        <w:rPr>
          <w:szCs w:val="24"/>
        </w:rPr>
        <w:t xml:space="preserve"> вводится однократно в дозе 12 мг подкожно </w:t>
      </w:r>
      <w:r w:rsidRPr="0095427D">
        <w:rPr>
          <w:szCs w:val="24"/>
        </w:rPr>
        <w:fldChar w:fldCharType="begin" w:fldLock="1"/>
      </w:r>
      <w:r w:rsidR="00E430FD">
        <w:rPr>
          <w:szCs w:val="24"/>
        </w:rPr>
        <w:instrText>ADDIN CSL_CITATION {"citationItems":[{"id":"ITEM-1","itemData":{"DOI":"10.1111/j.1537-2995.2012.03579.x","ISSN":"00411132","abstract":"Background: Plerixafor enhances the ability of filgrastim (FIL) to mobilize CD34+ cells but adds cost to the mobilization. We hypothesized that replacing weight-based FIL with flat-dose pegfilgrastim (PEG) in a validated cost-based mobilization algorithm for patient-adapted use of plerixafor would add convenience without increased cost. Study design and methods: A single-center retrospective analysis compared two consecutive cohorts undergoing FIL or PEG mobilization before autologous hematopoietic stem cell transplantation for multiple myeloma or lymphoma. FIL dose was 10 Âμg/kg/day continuing until completion of collection and a 12-mg flat dose of PEG. Peripheral blood CD34+ cells (PB-CD34+) enumeration was performed on the fourth day after initiation of growth factor. Subjects surpassing a certain target-specific threshold of PB-CD34+ started apheresis immediately while subjects with lower PB-CD34+ received plerixafor with apheresis starting on the fifth day. Results: Overall 68 of 74 in the FIL group and 52 of 57 patients in the PEG group met the mobilization target. Only one patient in each cohort required remobilization. Median PB-CD34+ on Day 4 was significantly higher in patients in the PEG group (18.1 × 106 vs. 28.7 × 106 cells/L, p = 0.01). Consequently, patients in the PEG group were less likely to require administration of plerixafor (67.5% vs. 45.6%, p = 0.01). Cohorts had near identical mean number of apheresis sessions and comparable CD34+ yield. The estimated cost associated with growth factor was higher in patients in the PEG group, but it was counterbalanced by lower cost associated with use of plerixafor. Conclusion: Single administration of 12 mg of PEG is associated with better CD34+ mobilization than FIL allowing for effective, convenient mobilization with less frequent use of plerixafor. © 2012 American Association of Blood Banks.","author":[{"dropping-particle":"","family":"Costa","given":"Luciano J.","non-dropping-particle":"","parse-names":false,"suffix":""},{"dropping-particle":"","family":"Kramer","given":"Cindy","non-dropping-particle":"","parse-names":false,"suffix":""},{"dropping-particle":"","family":"Hogan","given":"Kathy R.","non-dropping-particle":"","parse-names":false,"suffix":""},{"dropping-particle":"","family":"Butcher","given":"Coleen D.","non-dropping-particle":"","parse-names":false,"suffix":""},{"dropping-particle":"","family":"Littleton","given":"Amanda L.","non-dropping-particle":"","parse-names":false,"suffix":""},{"dropping-particle":"","family":"Shoptaw","given":"Katie B.","non-dropping-particle":"","parse-names":false,"suffix":""},{"dropping-particle":"","family":"Kang","given":"Yubin","non-dropping-particle":"","parse-names":false,"suffix":""},{"dropping-particle":"","family":"Stuart","given":"Robert K.","non-dropping-particle":"","parse-names":false,"suffix":""}],"container-title":"Transfusion","id":"ITEM-1","issue":"11","issued":{"date-parts":[["2012","11"]]},"page":"2375-2381","publisher":"Transfusion","title":"Pegfilgrastim-versus filgrastim-based autologous hematopoietic stem cell mobilization in the setting of preemptive use of plerixafor: Efficacy and cost analysis","type":"article-journal","volume":"52"},"uris":["http://www.mendeley.com/documents/?uuid=f71837f6-2c18-4b5c-aa96-74199fe38ec4"]}],"mendeley":{"formattedCitation":"[102]","plainTextFormattedCitation":"[102]","previouslyFormattedCitation":"[102]"},"properties":{"noteIndex":0},"schema":"https://github.com/citation-style-language/schema/raw/master/csl-citation.json"}</w:instrText>
      </w:r>
      <w:r w:rsidRPr="0095427D">
        <w:rPr>
          <w:szCs w:val="24"/>
        </w:rPr>
        <w:fldChar w:fldCharType="separate"/>
      </w:r>
      <w:r w:rsidR="00E430FD" w:rsidRPr="00E430FD">
        <w:rPr>
          <w:noProof/>
          <w:szCs w:val="24"/>
        </w:rPr>
        <w:t>[102]</w:t>
      </w:r>
      <w:r w:rsidRPr="0095427D">
        <w:rPr>
          <w:szCs w:val="24"/>
        </w:rPr>
        <w:fldChar w:fldCharType="end"/>
      </w:r>
      <w:r w:rsidRPr="0095427D">
        <w:rPr>
          <w:szCs w:val="24"/>
        </w:rPr>
        <w:t>.</w:t>
      </w:r>
    </w:p>
    <w:p w14:paraId="61A68323" w14:textId="0B48F25C" w:rsidR="00C44D05" w:rsidRPr="005241D7" w:rsidRDefault="00C44D05" w:rsidP="008F161A">
      <w:pPr>
        <w:pStyle w:val="a6"/>
        <w:numPr>
          <w:ilvl w:val="0"/>
          <w:numId w:val="126"/>
        </w:numPr>
        <w:tabs>
          <w:tab w:val="left" w:pos="284"/>
          <w:tab w:val="left" w:pos="426"/>
        </w:tabs>
        <w:spacing w:before="0" w:after="0"/>
        <w:ind w:left="0" w:firstLine="0"/>
        <w:rPr>
          <w:b/>
          <w:iCs/>
          <w:lang w:eastAsia="ru-RU"/>
        </w:rPr>
      </w:pPr>
      <w:r w:rsidRPr="005241D7">
        <w:rPr>
          <w:b/>
          <w:iCs/>
          <w:lang w:eastAsia="ru-RU"/>
        </w:rPr>
        <w:t>Особые указания при применении Г-КСФ</w:t>
      </w:r>
      <w:r w:rsidR="0057376B" w:rsidRPr="0057376B">
        <w:rPr>
          <w:b/>
          <w:iCs/>
          <w:lang w:eastAsia="ru-RU"/>
        </w:rPr>
        <w:t>**</w:t>
      </w:r>
    </w:p>
    <w:p w14:paraId="4C01B89F" w14:textId="7CF4C3FD" w:rsidR="00C44D05" w:rsidRPr="0095427D" w:rsidRDefault="00C44D05" w:rsidP="005241D7">
      <w:pPr>
        <w:spacing w:before="0" w:after="0"/>
        <w:ind w:firstLine="851"/>
        <w:rPr>
          <w:szCs w:val="24"/>
        </w:rPr>
      </w:pPr>
      <w:r w:rsidRPr="0095427D">
        <w:rPr>
          <w:szCs w:val="24"/>
        </w:rPr>
        <w:t>На фоне терапии Г-КСФ</w:t>
      </w:r>
      <w:r w:rsidR="0057376B" w:rsidRPr="0057376B">
        <w:rPr>
          <w:szCs w:val="24"/>
        </w:rPr>
        <w:t>**</w:t>
      </w:r>
      <w:r w:rsidRPr="0095427D">
        <w:rPr>
          <w:szCs w:val="24"/>
        </w:rPr>
        <w:t xml:space="preserve"> отмечается увеличение размеров селезенки. Во время клинических исследований у 31% больных с тяжелой хронической нейтропенией пальпаторно обнаруживалась спленомегалия. При рентгенографии увеличение селезенки выявлялось вскоре после назначения Г-КСФ</w:t>
      </w:r>
      <w:r w:rsidR="0057376B" w:rsidRPr="0057376B">
        <w:rPr>
          <w:szCs w:val="24"/>
        </w:rPr>
        <w:t>**</w:t>
      </w:r>
      <w:r w:rsidRPr="0095427D">
        <w:rPr>
          <w:szCs w:val="24"/>
        </w:rPr>
        <w:t xml:space="preserve"> и далее имело тенденцию к стабилизации. Установлено, что уменьшение дозы препарата останавливало спленомегалию; спленэктомия потребовалась 3% больных. Необходимо регулярно контролировать размеры селезенки при проведении мобилизации </w:t>
      </w:r>
      <w:r>
        <w:rPr>
          <w:szCs w:val="24"/>
        </w:rPr>
        <w:t>ГКС</w:t>
      </w:r>
      <w:r w:rsidRPr="0095427D">
        <w:rPr>
          <w:szCs w:val="24"/>
        </w:rPr>
        <w:t>.</w:t>
      </w:r>
    </w:p>
    <w:p w14:paraId="79147C9B" w14:textId="4308E762" w:rsidR="00C44D05" w:rsidRPr="0095427D" w:rsidRDefault="00C44D05" w:rsidP="005241D7">
      <w:pPr>
        <w:spacing w:before="0" w:after="0"/>
        <w:ind w:firstLine="851"/>
        <w:rPr>
          <w:szCs w:val="24"/>
        </w:rPr>
      </w:pPr>
      <w:r w:rsidRPr="0095427D">
        <w:rPr>
          <w:szCs w:val="24"/>
        </w:rPr>
        <w:t>Эффективность и безопасность Г-КСФ</w:t>
      </w:r>
      <w:r w:rsidR="0057376B" w:rsidRPr="0057376B">
        <w:rPr>
          <w:szCs w:val="24"/>
        </w:rPr>
        <w:t>**</w:t>
      </w:r>
      <w:r w:rsidRPr="0095427D">
        <w:rPr>
          <w:szCs w:val="24"/>
        </w:rPr>
        <w:t xml:space="preserve"> у пациентов с тяжелыми нарушениями функции почек или печени не изучена, поэтому при использовании препарата у данной категории больных нужно соблюдать осторожность </w:t>
      </w:r>
      <w:r w:rsidRPr="0095427D">
        <w:rPr>
          <w:szCs w:val="24"/>
        </w:rPr>
        <w:fldChar w:fldCharType="begin" w:fldLock="1"/>
      </w:r>
      <w:r w:rsidR="00E430FD">
        <w:rPr>
          <w:szCs w:val="24"/>
        </w:rPr>
        <w:instrText>ADDIN CSL_CITATION {"citationItems":[{"id":"ITEM-1","itemData":{"DOI":"10.1007/s00520-017-3854-x","ISSN":"14337339","abstract":"Purpose: Filgrastim (NEUPOGEN®) is the originator recombinant human granulocyte colony-stimulating factor widely used for preventing neutropenia-related infections and mobilizing hematopoietic stem cells. This report presents findings of a systematic literature review and meta-analysis of efficacy and safety of originator filgrastim to update previous reports. Methods: A literature search of electronic databases, congress abstracts, and bibliographies of recent reviews was conducted to identify English-language reports of clinical trials and observational studies evaluating filgrastim in its US-approved indications up to February 2015. Two independent reviewers assessed titles/abstracts and full texts of publications, and extracted data from studies that compared originator filgrastim vs placebo or no treatment. For outcomes with sufficient homogeneous data reported across studies, meta-analysis was performed and relative risk (RR) determined. Data were summarized descriptively for all other evaluated outcomes. Results: A total of 1194 unique articles evaluating originator filgrastim were identified, with 25 meeting eligibility criteria for data extraction: 18 randomized controlled trials, 2 nonrandomized clinical trials, and 5 observational studies. In chemotherapy-induced neutropenia (CIN), filgrastim vs placebo or no treatment significantly reduced febrile neutropenia incidence (RR 0.63, 95% CI 0.53–0.75) and grade 3 or 4 neutropenia incidence (RR 0.50, 95% CI 0.37–0.68). The most commonly reported adverse event (AE) with filgrastim was bone pain (RR 2.61, 95% CI 1.29–5.27 in CIN). Additional efficacy and safety outcomes are described within indications. Conclusions: This systematic literature review and meta-analysis confirms and updates previous reports on the efficacy and safety of originator filgrastim. Bone pain was the commonly reported AE associated with filgrastim use.","author":[{"dropping-particle":"","family":"Dale","given":"David C.","non-dropping-particle":"","parse-names":false,"suffix":""},{"dropping-particle":"","family":"Crawford","given":"Jeffrey","non-dropping-particle":"","parse-names":false,"suffix":""},{"dropping-particle":"","family":"Klippel","given":"Zandra","non-dropping-particle":"","parse-names":false,"suffix":""},{"dropping-particle":"","family":"Reiner","given":"Maureen","non-dropping-particle":"","parse-names":false,"suffix":""},{"dropping-particle":"","family":"Osslund","given":"Timothy","non-dropping-particle":"","parse-names":false,"suffix":""},{"dropping-particle":"","family":"Fan","given":"Ellen","non-dropping-particle":"","parse-names":false,"suffix":""},{"dropping-particle":"","family":"Morrow","given":"Phuong Khanh","non-dropping-particle":"","parse-names":false,"suffix":""},{"dropping-particle":"","family":"Allcott","given":"Kim","non-dropping-particle":"","parse-names":false,"suffix":""},{"dropping-particle":"","family":"Lyman","given":"Gary H.","non-dropping-particle":"","parse-names":false,"suffix":""}],"container-title":"Supportive Care in Cancer","id":"ITEM-1","issue":"1","issued":{"date-parts":[["2018","1"]]},"page":"7-20","publisher":"Springer Verlag","title":"A systematic literature review of the efficacy, effectiveness, and safety of filgrastim","type":"article","volume":"26"},"uris":["http://www.mendeley.com/documents/?uuid=5ddce061-fa65-466f-9706-626067ecf30d"]}],"mendeley":{"formattedCitation":"[103]","plainTextFormattedCitation":"[103]","previouslyFormattedCitation":"[103]"},"properties":{"noteIndex":0},"schema":"https://github.com/citation-style-language/schema/raw/master/csl-citation.json"}</w:instrText>
      </w:r>
      <w:r w:rsidRPr="0095427D">
        <w:rPr>
          <w:szCs w:val="24"/>
        </w:rPr>
        <w:fldChar w:fldCharType="separate"/>
      </w:r>
      <w:r w:rsidR="00E430FD" w:rsidRPr="00E430FD">
        <w:rPr>
          <w:noProof/>
          <w:szCs w:val="24"/>
        </w:rPr>
        <w:t>[103]</w:t>
      </w:r>
      <w:r w:rsidRPr="0095427D">
        <w:rPr>
          <w:szCs w:val="24"/>
        </w:rPr>
        <w:fldChar w:fldCharType="end"/>
      </w:r>
      <w:r w:rsidRPr="0095427D">
        <w:rPr>
          <w:szCs w:val="24"/>
        </w:rPr>
        <w:t xml:space="preserve">. </w:t>
      </w:r>
    </w:p>
    <w:p w14:paraId="21FD4623" w14:textId="689AF5DB" w:rsidR="00C44D05" w:rsidRPr="005241D7" w:rsidRDefault="00C44D05" w:rsidP="008F161A">
      <w:pPr>
        <w:pStyle w:val="a6"/>
        <w:numPr>
          <w:ilvl w:val="0"/>
          <w:numId w:val="126"/>
        </w:numPr>
        <w:tabs>
          <w:tab w:val="left" w:pos="426"/>
        </w:tabs>
        <w:spacing w:before="0" w:after="0"/>
        <w:ind w:left="0" w:firstLine="0"/>
        <w:rPr>
          <w:b/>
          <w:iCs/>
          <w:lang w:eastAsia="ru-RU"/>
        </w:rPr>
      </w:pPr>
      <w:r w:rsidRPr="005241D7">
        <w:rPr>
          <w:b/>
          <w:iCs/>
          <w:lang w:eastAsia="ru-RU"/>
        </w:rPr>
        <w:t>Побочные эффекты Г-КСФ</w:t>
      </w:r>
      <w:r w:rsidR="0057376B">
        <w:rPr>
          <w:b/>
          <w:iCs/>
          <w:lang w:val="en-US" w:eastAsia="ru-RU"/>
        </w:rPr>
        <w:t>**</w:t>
      </w:r>
    </w:p>
    <w:p w14:paraId="0C7881E9" w14:textId="77777777" w:rsidR="00C44D05" w:rsidRPr="0095427D" w:rsidRDefault="00C44D05" w:rsidP="005241D7">
      <w:pPr>
        <w:spacing w:before="0" w:after="0"/>
        <w:ind w:firstLine="851"/>
        <w:rPr>
          <w:szCs w:val="24"/>
        </w:rPr>
      </w:pPr>
      <w:r w:rsidRPr="0095427D">
        <w:rPr>
          <w:szCs w:val="24"/>
        </w:rPr>
        <w:t>Нежелательные явления после назначения встречаются в 30% случаев, как у пациентов, так и у здоровых доноров.</w:t>
      </w:r>
    </w:p>
    <w:p w14:paraId="061C8F48" w14:textId="2F145385" w:rsidR="00C44D05" w:rsidRPr="0095427D" w:rsidRDefault="00C44D05" w:rsidP="005241D7">
      <w:pPr>
        <w:spacing w:before="0" w:after="0"/>
        <w:ind w:firstLine="851"/>
        <w:rPr>
          <w:szCs w:val="24"/>
        </w:rPr>
      </w:pPr>
      <w:r w:rsidRPr="0095427D">
        <w:rPr>
          <w:szCs w:val="24"/>
        </w:rPr>
        <w:t xml:space="preserve">Наиболее частые осложнения: боли в костях, головные боли, общая слабость. Реже встречаются миалгии, тревога, бессонница, гипергидроз, лихорадка, тошнота, кожные реакции в месте введения </w:t>
      </w:r>
      <w:r w:rsidRPr="0095427D">
        <w:rPr>
          <w:szCs w:val="24"/>
        </w:rPr>
        <w:fldChar w:fldCharType="begin" w:fldLock="1"/>
      </w:r>
      <w:r w:rsidR="00E430FD">
        <w:rPr>
          <w:szCs w:val="24"/>
        </w:rPr>
        <w:instrText>ADDIN CSL_CITATION {"citationItems":[{"id":"ITEM-1","itemData":{"DOI":"10.1200/JCO.2015.62.3488","ISSN":"15277755","PMID":"26169616","abstract":"Purpose To update the 2006 American Society of Clinical Oncology guideline on the use of hematopoietic colony-stimulating factors (CSFs). Methods The American Society of Clinical Oncology convened an Update Committee and conducted a systematic review of randomized clinical trials, meta-analyses, and systematic reviews from October 2005 through September 2014. Guideline recommendations were based on the review of the evidence by the Update Committee. Results Changes to previous recommendations include the addition of tbo-filgrastim and filgrastim-sndz, moderation of the recommendation regarding routine use of CSFs in older patients with diffuse aggressive lymphoma, and addition of recommendations against routine dose-dense chemotherapy in lymphoma and in favor of high- dose-intensity chemotherapy in urothelial cancer. The Update Committee did not address recommendations regarding use of CSFs in acute myeloid leukemia or myelodysplastic syndromes in adults. Recommendations Prophylactic use of CSFs to reduce the risk of febrile neutropenia is warranted when the risk of febrile neutropenia is approximately 20% or higher and no other equally effective and safe regimen that does not require CSFs is available. Primary prophylaxis is recommended for the prevention of febrile neutropenia in patients who are at high risk on the basis of age, medical history, disease characteristics, and myelotoxicity of the chemotherapy regimen. Dose-dense regimens that require CSFs should only be used within an appropriately designed clinical trial or if supported by convincing efficacy data. Current recommendations for the management of patients exposed to lethal doses of total-body radiotherapy, but not doses high enough to lead to certain death as a result of injury to other organs, include the prompt administration of CSFs.","author":[{"dropping-particle":"","family":"Smith","given":"Thomas J.","non-dropping-particle":"","parse-names":false,"suffix":""},{"dropping-particle":"","family":"Bohlke","given":"Kari","non-dropping-particle":"","parse-names":false,"suffix":""},{"dropping-particle":"","family":"Lyman","given":"Gary H.","non-dropping-particle":"","parse-names":false,"suffix":""},{"dropping-particle":"","family":"Carson","given":"Kenneth R.","non-dropping-particle":"","parse-names":false,"suffix":""},{"dropping-particle":"","family":"Crawford","given":"Jeffrey","non-dropping-particle":"","parse-names":false,"suffix":""},{"dropping-particle":"","family":"Cross","given":"Scott J.","non-dropping-particle":"","parse-names":false,"suffix":""},{"dropping-particle":"","family":"Goldberg","given":"John M.","non-dropping-particle":"","parse-names":false,"suffix":""},{"dropping-particle":"","family":"Khatcheressian","given":"James L.","non-dropping-particle":"","parse-names":false,"suffix":""},{"dropping-particle":"","family":"Leighl","given":"Natasha B.","non-dropping-particle":"","parse-names":false,"suffix":""},{"dropping-particle":"","family":"Perkins","given":"Cheryl L.","non-dropping-particle":"","parse-names":false,"suffix":""},{"dropping-particle":"","family":"Somlo","given":"George","non-dropping-particle":"","parse-names":false,"suffix":""},{"dropping-particle":"","family":"Wade","given":"James L.","non-dropping-particle":"","parse-names":false,"suffix":""},{"dropping-particle":"","family":"Wozniak","given":"Antoinette J.","non-dropping-particle":"","parse-names":false,"suffix":""},{"dropping-particle":"","family":"Armitage","given":"James O.","non-dropping-particle":"","parse-names":false,"suffix":""}],"container-title":"Journal of Clinical Oncology","id":"ITEM-1","issue":"28","issued":{"date-parts":[["2015","10"]]},"page":"3199-3212","publisher":"American Society of Clinical Oncology","title":"Recommendations for the use of WBC growth factors: American society of clinical oncology clinical practice guideline update","type":"article-journal","volume":"33"},"uris":["http://www.mendeley.com/documents/?uuid=0f204161-3323-434c-b1c0-eb5ffafca3ca"]}],"mendeley":{"formattedCitation":"[104]","plainTextFormattedCitation":"[104]","previouslyFormattedCitation":"[104]"},"properties":{"noteIndex":0},"schema":"https://github.com/citation-style-language/schema/raw/master/csl-citation.json"}</w:instrText>
      </w:r>
      <w:r w:rsidRPr="0095427D">
        <w:rPr>
          <w:szCs w:val="24"/>
        </w:rPr>
        <w:fldChar w:fldCharType="separate"/>
      </w:r>
      <w:r w:rsidR="00E430FD" w:rsidRPr="00E430FD">
        <w:rPr>
          <w:noProof/>
          <w:szCs w:val="24"/>
        </w:rPr>
        <w:t>[104]</w:t>
      </w:r>
      <w:r w:rsidRPr="0095427D">
        <w:rPr>
          <w:szCs w:val="24"/>
        </w:rPr>
        <w:fldChar w:fldCharType="end"/>
      </w:r>
      <w:r w:rsidRPr="0095427D">
        <w:rPr>
          <w:szCs w:val="24"/>
        </w:rPr>
        <w:t xml:space="preserve">. </w:t>
      </w:r>
    </w:p>
    <w:p w14:paraId="10B16326" w14:textId="1A943DB2" w:rsidR="00C44D05" w:rsidRPr="0095427D" w:rsidRDefault="00C44D05" w:rsidP="005241D7">
      <w:pPr>
        <w:spacing w:before="0" w:after="0"/>
        <w:ind w:firstLine="851"/>
        <w:rPr>
          <w:szCs w:val="24"/>
        </w:rPr>
      </w:pPr>
      <w:r w:rsidRPr="0095427D">
        <w:rPr>
          <w:szCs w:val="24"/>
        </w:rPr>
        <w:t>Оссалгии связаны с изменением метаболизма костной т</w:t>
      </w:r>
      <w:r>
        <w:rPr>
          <w:szCs w:val="24"/>
        </w:rPr>
        <w:t>кани под действием Г-КСФ</w:t>
      </w:r>
      <w:r w:rsidR="0057376B" w:rsidRPr="0057376B">
        <w:rPr>
          <w:szCs w:val="24"/>
        </w:rPr>
        <w:t>**</w:t>
      </w:r>
      <w:r>
        <w:rPr>
          <w:szCs w:val="24"/>
        </w:rPr>
        <w:t xml:space="preserve">. Боли </w:t>
      </w:r>
      <w:r w:rsidRPr="0095427D">
        <w:rPr>
          <w:szCs w:val="24"/>
        </w:rPr>
        <w:t>могут быть интенсивными, пульсирующего характера, чаще локализованы в позвоночнике, костях таза. Выраженный болевой синдром в костях во время мобилизации ГСК требует адекватной аналгезии.</w:t>
      </w:r>
    </w:p>
    <w:p w14:paraId="11AB10E8" w14:textId="3305C883" w:rsidR="00C44D05" w:rsidRDefault="00C44D05" w:rsidP="002431B5">
      <w:pPr>
        <w:spacing w:before="0" w:after="0"/>
        <w:rPr>
          <w:szCs w:val="24"/>
        </w:rPr>
      </w:pPr>
      <w:r w:rsidRPr="002431B5">
        <w:rPr>
          <w:b/>
          <w:szCs w:val="24"/>
        </w:rPr>
        <w:t>Плериксафор</w:t>
      </w:r>
      <w:r w:rsidRPr="0095427D">
        <w:rPr>
          <w:szCs w:val="24"/>
        </w:rPr>
        <w:t xml:space="preserve"> –</w:t>
      </w:r>
      <w:r w:rsidR="002431B5">
        <w:rPr>
          <w:szCs w:val="24"/>
        </w:rPr>
        <w:t xml:space="preserve"> </w:t>
      </w:r>
      <w:r w:rsidRPr="0095427D">
        <w:rPr>
          <w:szCs w:val="24"/>
        </w:rPr>
        <w:t xml:space="preserve">селективный обратимый антагонист хемокинового рецептора CXCR4. Он блокирует CXCR4 за счет связывания с фактором SDF-1α, в результате чего ГСК «отрывается» от стромы костного мозга и выходит в периферическую кровь. </w:t>
      </w:r>
    </w:p>
    <w:p w14:paraId="6AB4570A" w14:textId="541824F8" w:rsidR="00C44D05" w:rsidRPr="0095427D" w:rsidRDefault="00C44D05" w:rsidP="005241D7">
      <w:pPr>
        <w:spacing w:before="0" w:after="0"/>
        <w:ind w:firstLine="851"/>
        <w:rPr>
          <w:szCs w:val="24"/>
        </w:rPr>
      </w:pPr>
      <w:r w:rsidRPr="0095427D">
        <w:rPr>
          <w:szCs w:val="24"/>
        </w:rPr>
        <w:lastRenderedPageBreak/>
        <w:t xml:space="preserve">Считается, что индуцированный плериксафором лейкоцитоз и увеличение количества циркулирующих гемопоэтических прогениторных клеток является результатом нарушения связи между CXCR4 и его лигандом, которое приводит к появлению в системном кровотоке как зрелых, так и полипотентных клеток. CD34+ клетки, мобилизованные с помощью плериксафора, являются функциональными и способными к приживлению, с долгосрочным потенциалом восстановления популяции </w:t>
      </w:r>
      <w:r w:rsidRPr="0095427D">
        <w:rPr>
          <w:szCs w:val="24"/>
        </w:rPr>
        <w:fldChar w:fldCharType="begin" w:fldLock="1"/>
      </w:r>
      <w:r w:rsidR="00E430FD">
        <w:rPr>
          <w:szCs w:val="24"/>
        </w:rPr>
        <w:instrText>ADDIN CSL_CITATION {"citationItems":[{"id":"ITEM-1","itemData":{"DOI":"10.1097/MOH.0000000000000200","ISSN":"15317048","abstract":"Purpose of review Nowadays, plerixafor is approved for patients who fail to mobilize sufficient CD34+ cells for an autologous stem cell transplantation. Plerixafor is effective in the majority of these patients, who otherwise could not be treated adequately. We discussed in this review the current status of the optimal use of plerixafor in different clinical diagnoses and settings. Recent findings Plerixafor seems to be more effective in patients with multiple myeloma than in lymphoma. Even patients who had very low circulating CD34+ cells before administration of plerixafor have an important benefit. Several strategies in different clinical settings showed an effective response after administration of plerixafor, without the superiority of one strategy. Plerixafor is well tolerated with acceptable toxicity; however, it is an expensive drug. Summary Plerixafor is an effective drug in patients who fail to mobilize with conventional strategy. No strategy seems superior for the optimal use of plerixafor. More studies focusing on the kinetics and cost-effectiveness are needed.","author":[{"dropping-particle":"","family":"Bilgin","given":"Yavuz M.","non-dropping-particle":"","parse-names":false,"suffix":""},{"dropping-particle":"","family":"Greef","given":"Georgine E.","non-dropping-particle":"De","parse-names":false,"suffix":""}],"container-title":"Current Opinion in Hematology","id":"ITEM-1","issue":"1","issued":{"date-parts":[["2016"]]},"page":"67-71","publisher":"Lippincott Williams and Wilkins","title":"Plerixafor for stem cell mobilization: The current status","type":"article","volume":"23"},"uris":["http://www.mendeley.com/documents/?uuid=2945107f-96a2-4ce6-a467-54c0b3287fab"]}],"mendeley":{"formattedCitation":"[105]","plainTextFormattedCitation":"[105]","previouslyFormattedCitation":"[105]"},"properties":{"noteIndex":0},"schema":"https://github.com/citation-style-language/schema/raw/master/csl-citation.json"}</w:instrText>
      </w:r>
      <w:r w:rsidRPr="0095427D">
        <w:rPr>
          <w:szCs w:val="24"/>
        </w:rPr>
        <w:fldChar w:fldCharType="separate"/>
      </w:r>
      <w:r w:rsidR="00E430FD" w:rsidRPr="00E430FD">
        <w:rPr>
          <w:noProof/>
          <w:szCs w:val="24"/>
        </w:rPr>
        <w:t>[105]</w:t>
      </w:r>
      <w:r w:rsidRPr="0095427D">
        <w:rPr>
          <w:szCs w:val="24"/>
        </w:rPr>
        <w:fldChar w:fldCharType="end"/>
      </w:r>
      <w:r>
        <w:rPr>
          <w:szCs w:val="24"/>
        </w:rPr>
        <w:t>.</w:t>
      </w:r>
    </w:p>
    <w:p w14:paraId="237C14C5" w14:textId="26967304" w:rsidR="00C44D05" w:rsidRPr="0095427D" w:rsidRDefault="00C44D05" w:rsidP="00292402">
      <w:pPr>
        <w:spacing w:before="0" w:after="0"/>
        <w:ind w:firstLine="851"/>
        <w:rPr>
          <w:szCs w:val="24"/>
        </w:rPr>
      </w:pPr>
      <w:r w:rsidRPr="0095427D">
        <w:rPr>
          <w:szCs w:val="24"/>
        </w:rPr>
        <w:t>Плериксафор применяется для усиления мобилизации гемопоэтических стволовых клеток в периферический кровоток с целью их сбора и последующей а</w:t>
      </w:r>
      <w:r>
        <w:rPr>
          <w:szCs w:val="24"/>
        </w:rPr>
        <w:t>уто-ТГСК</w:t>
      </w:r>
      <w:r w:rsidRPr="0095427D">
        <w:rPr>
          <w:szCs w:val="24"/>
        </w:rPr>
        <w:t xml:space="preserve"> пациентам с лимфомой и множественной миеломой в сочетании с Г-КСФ</w:t>
      </w:r>
      <w:r w:rsidR="0057376B" w:rsidRPr="0057376B">
        <w:rPr>
          <w:szCs w:val="24"/>
        </w:rPr>
        <w:t>**</w:t>
      </w:r>
      <w:r w:rsidRPr="0095427D">
        <w:rPr>
          <w:szCs w:val="24"/>
        </w:rPr>
        <w:t>.</w:t>
      </w:r>
    </w:p>
    <w:p w14:paraId="6A357FE3" w14:textId="77777777" w:rsidR="00C44D05" w:rsidRPr="005241D7" w:rsidRDefault="00C44D05" w:rsidP="00292402">
      <w:pPr>
        <w:pStyle w:val="a6"/>
        <w:numPr>
          <w:ilvl w:val="0"/>
          <w:numId w:val="126"/>
        </w:numPr>
        <w:tabs>
          <w:tab w:val="left" w:pos="426"/>
        </w:tabs>
        <w:spacing w:before="0"/>
        <w:ind w:left="0" w:firstLine="0"/>
        <w:rPr>
          <w:b/>
          <w:iCs/>
          <w:lang w:eastAsia="ru-RU"/>
        </w:rPr>
      </w:pPr>
      <w:r w:rsidRPr="005241D7">
        <w:rPr>
          <w:b/>
          <w:iCs/>
          <w:lang w:eastAsia="ru-RU"/>
        </w:rPr>
        <w:t>Pежим дозирования плериксафора</w:t>
      </w:r>
    </w:p>
    <w:p w14:paraId="21781BC1" w14:textId="1531B92D" w:rsidR="00C44D05" w:rsidRPr="0095427D" w:rsidRDefault="00C44D05" w:rsidP="005241D7">
      <w:pPr>
        <w:spacing w:before="0" w:after="0"/>
        <w:ind w:firstLine="851"/>
        <w:rPr>
          <w:szCs w:val="24"/>
        </w:rPr>
      </w:pPr>
      <w:r w:rsidRPr="0095427D">
        <w:rPr>
          <w:szCs w:val="24"/>
        </w:rPr>
        <w:t>Рекомендованная</w:t>
      </w:r>
      <w:r>
        <w:rPr>
          <w:szCs w:val="24"/>
        </w:rPr>
        <w:t xml:space="preserve"> доза плериксафора составляет 0,</w:t>
      </w:r>
      <w:r w:rsidRPr="0095427D">
        <w:rPr>
          <w:szCs w:val="24"/>
        </w:rPr>
        <w:t>24 мг/кг/сут. Препарат вводят подкожно за 6-11 ч до начала афереза после предварительной 4-дневной терапии Г-КСФ</w:t>
      </w:r>
      <w:r w:rsidR="0057376B" w:rsidRPr="0057376B">
        <w:rPr>
          <w:szCs w:val="24"/>
        </w:rPr>
        <w:t>**</w:t>
      </w:r>
      <w:r w:rsidRPr="0095427D">
        <w:rPr>
          <w:szCs w:val="24"/>
        </w:rPr>
        <w:t>. В клинических исследованиях препарат обычно использовался в течение 2-4 дней подряд (до 7 дней непрерывного применения).</w:t>
      </w:r>
    </w:p>
    <w:p w14:paraId="17CD915C" w14:textId="77777777" w:rsidR="00C44D05" w:rsidRPr="0095427D" w:rsidRDefault="00C44D05" w:rsidP="005241D7">
      <w:pPr>
        <w:spacing w:before="0" w:after="0"/>
        <w:ind w:firstLine="851"/>
        <w:rPr>
          <w:szCs w:val="24"/>
        </w:rPr>
      </w:pPr>
      <w:r w:rsidRPr="0095427D">
        <w:rPr>
          <w:szCs w:val="24"/>
        </w:rPr>
        <w:t>У пациентов с нарушением функции почек при скорости клубочковой фильтрации (СКФ) менее 50 мл/мин дозу плериксафор</w:t>
      </w:r>
      <w:r>
        <w:rPr>
          <w:szCs w:val="24"/>
        </w:rPr>
        <w:t>а следует уменьшить на 1/3 до 0,</w:t>
      </w:r>
      <w:r w:rsidRPr="0095427D">
        <w:rPr>
          <w:szCs w:val="24"/>
        </w:rPr>
        <w:t>16 мг/кг/сут. Клинические данные по применению скорректированной дозы препарата ограничены. Имеющийся опыт клинического применения плериксафора не позволяет дать рекомендаций по дозированию препарата при СКФ менее 20 мл/мин.</w:t>
      </w:r>
    </w:p>
    <w:p w14:paraId="444E2C85" w14:textId="77777777" w:rsidR="00C44D05" w:rsidRPr="005241D7" w:rsidRDefault="00C44D05" w:rsidP="00292402">
      <w:pPr>
        <w:pStyle w:val="a6"/>
        <w:numPr>
          <w:ilvl w:val="0"/>
          <w:numId w:val="126"/>
        </w:numPr>
        <w:tabs>
          <w:tab w:val="left" w:pos="426"/>
        </w:tabs>
        <w:spacing w:before="0"/>
        <w:ind w:left="0" w:firstLine="0"/>
        <w:rPr>
          <w:b/>
          <w:iCs/>
          <w:lang w:eastAsia="ru-RU"/>
        </w:rPr>
      </w:pPr>
      <w:r w:rsidRPr="005241D7">
        <w:rPr>
          <w:b/>
          <w:iCs/>
          <w:lang w:eastAsia="ru-RU"/>
        </w:rPr>
        <w:t>Особые указания при применении плериксафора</w:t>
      </w:r>
    </w:p>
    <w:p w14:paraId="0070B431" w14:textId="77777777" w:rsidR="00C44D05" w:rsidRPr="0095427D" w:rsidRDefault="00C44D05" w:rsidP="005241D7">
      <w:pPr>
        <w:spacing w:before="0" w:after="0"/>
        <w:rPr>
          <w:i/>
          <w:szCs w:val="24"/>
        </w:rPr>
      </w:pPr>
      <w:r w:rsidRPr="0095427D">
        <w:rPr>
          <w:i/>
          <w:szCs w:val="24"/>
        </w:rPr>
        <w:t xml:space="preserve">Тромбоцитопения. </w:t>
      </w:r>
    </w:p>
    <w:p w14:paraId="7EBD7F62" w14:textId="38C38EBC" w:rsidR="00C44D05" w:rsidRPr="0095427D" w:rsidRDefault="00C44D05" w:rsidP="005241D7">
      <w:pPr>
        <w:spacing w:before="0" w:after="0"/>
        <w:rPr>
          <w:szCs w:val="24"/>
        </w:rPr>
      </w:pPr>
      <w:r w:rsidRPr="0095427D">
        <w:rPr>
          <w:szCs w:val="24"/>
        </w:rPr>
        <w:t>Тромбоцитопения является известным осложнением афереза и наблюдается у пациентов, получающих как Г-КСФ</w:t>
      </w:r>
      <w:r w:rsidR="0057376B" w:rsidRPr="0057376B">
        <w:rPr>
          <w:szCs w:val="24"/>
        </w:rPr>
        <w:t>**</w:t>
      </w:r>
      <w:r w:rsidRPr="0095427D">
        <w:rPr>
          <w:szCs w:val="24"/>
        </w:rPr>
        <w:t xml:space="preserve">, так и плериксафор. </w:t>
      </w:r>
    </w:p>
    <w:p w14:paraId="4224D6EF" w14:textId="77777777" w:rsidR="00C44D05" w:rsidRPr="0095427D" w:rsidRDefault="00C44D05" w:rsidP="005241D7">
      <w:pPr>
        <w:spacing w:before="0" w:after="0"/>
        <w:rPr>
          <w:i/>
          <w:szCs w:val="24"/>
        </w:rPr>
      </w:pPr>
      <w:r w:rsidRPr="0095427D">
        <w:rPr>
          <w:i/>
          <w:szCs w:val="24"/>
        </w:rPr>
        <w:t>Вазовагальные реакции</w:t>
      </w:r>
    </w:p>
    <w:p w14:paraId="1A566212" w14:textId="6B1B0329" w:rsidR="00C44D05" w:rsidRPr="0095427D" w:rsidRDefault="00C44D05" w:rsidP="005241D7">
      <w:pPr>
        <w:spacing w:before="0" w:after="0"/>
        <w:rPr>
          <w:szCs w:val="24"/>
        </w:rPr>
      </w:pPr>
      <w:r w:rsidRPr="0095427D">
        <w:rPr>
          <w:szCs w:val="24"/>
        </w:rPr>
        <w:t>После подкожной инъекци</w:t>
      </w:r>
      <w:r w:rsidR="001471FD">
        <w:rPr>
          <w:szCs w:val="24"/>
        </w:rPr>
        <w:t>и</w:t>
      </w:r>
      <w:r w:rsidRPr="0095427D">
        <w:rPr>
          <w:szCs w:val="24"/>
        </w:rPr>
        <w:t xml:space="preserve"> препарата могут отмечаться вазовагальные реакции, ортостатич</w:t>
      </w:r>
      <w:r>
        <w:rPr>
          <w:szCs w:val="24"/>
        </w:rPr>
        <w:t>еская гипотензия и/или синкопе.</w:t>
      </w:r>
    </w:p>
    <w:p w14:paraId="7EFD1ECF" w14:textId="77777777" w:rsidR="00C44D05" w:rsidRPr="0095427D" w:rsidRDefault="00C44D05" w:rsidP="005241D7">
      <w:pPr>
        <w:spacing w:before="0" w:after="0"/>
        <w:rPr>
          <w:i/>
          <w:szCs w:val="24"/>
        </w:rPr>
      </w:pPr>
      <w:r w:rsidRPr="0095427D">
        <w:rPr>
          <w:i/>
          <w:szCs w:val="24"/>
        </w:rPr>
        <w:t>Спленомегалия</w:t>
      </w:r>
    </w:p>
    <w:p w14:paraId="4F93D5F9" w14:textId="701EA056" w:rsidR="00C44D05" w:rsidRDefault="00C44D05" w:rsidP="00292402">
      <w:pPr>
        <w:spacing w:before="0"/>
        <w:rPr>
          <w:szCs w:val="24"/>
        </w:rPr>
      </w:pPr>
      <w:r w:rsidRPr="0095427D">
        <w:rPr>
          <w:szCs w:val="24"/>
        </w:rPr>
        <w:t>В клинических исследованиях влияние плериксафора на размер селезенки специально не оценивалось. Учитывая, что использование Г-КСФ</w:t>
      </w:r>
      <w:r w:rsidR="0057376B" w:rsidRPr="0057376B">
        <w:rPr>
          <w:szCs w:val="24"/>
        </w:rPr>
        <w:t>**</w:t>
      </w:r>
      <w:r w:rsidRPr="0095427D">
        <w:rPr>
          <w:szCs w:val="24"/>
        </w:rPr>
        <w:t xml:space="preserve"> может провоцировать спленомегалию, а также сочетанное применение плериксафора и Г-КСФ, необходимо регулярно контролировать размеры селезе</w:t>
      </w:r>
      <w:r>
        <w:rPr>
          <w:szCs w:val="24"/>
        </w:rPr>
        <w:t>нки.</w:t>
      </w:r>
    </w:p>
    <w:p w14:paraId="75848526" w14:textId="77777777" w:rsidR="00C44D05" w:rsidRPr="005241D7" w:rsidRDefault="00C44D05" w:rsidP="00292402">
      <w:pPr>
        <w:pStyle w:val="a6"/>
        <w:numPr>
          <w:ilvl w:val="0"/>
          <w:numId w:val="126"/>
        </w:numPr>
        <w:tabs>
          <w:tab w:val="left" w:pos="426"/>
        </w:tabs>
        <w:spacing w:before="0" w:after="0"/>
        <w:ind w:left="0" w:firstLine="0"/>
        <w:rPr>
          <w:b/>
          <w:iCs/>
          <w:lang w:eastAsia="ru-RU"/>
        </w:rPr>
      </w:pPr>
      <w:r w:rsidRPr="005241D7">
        <w:rPr>
          <w:b/>
          <w:iCs/>
          <w:lang w:eastAsia="ru-RU"/>
        </w:rPr>
        <w:t>Побочные эффекты плериксафора</w:t>
      </w:r>
    </w:p>
    <w:p w14:paraId="0CE31C84" w14:textId="66D5DB8F" w:rsidR="00C44D05" w:rsidRPr="0057376B" w:rsidRDefault="00C44D05" w:rsidP="00292402">
      <w:pPr>
        <w:spacing w:before="0" w:after="0"/>
        <w:ind w:firstLine="567"/>
        <w:rPr>
          <w:szCs w:val="24"/>
        </w:rPr>
      </w:pPr>
      <w:r w:rsidRPr="0095427D">
        <w:rPr>
          <w:szCs w:val="24"/>
        </w:rPr>
        <w:lastRenderedPageBreak/>
        <w:t>Наиболее частые осложнения: скелетно-мышечная боль, головные боли, головокружение, бессонница, общая слабость, диарея, тошнота. Также встречаются метеоризм, запор, сухость во рту, гипергидроз, кожные реакции в месте введения</w:t>
      </w:r>
      <w:r w:rsidR="0057376B">
        <w:rPr>
          <w:szCs w:val="24"/>
        </w:rPr>
        <w:t>.</w:t>
      </w:r>
    </w:p>
    <w:p w14:paraId="7FC9A387" w14:textId="64E5290A" w:rsidR="00C44D05" w:rsidRPr="002431B5" w:rsidRDefault="002431B5" w:rsidP="00292402">
      <w:pPr>
        <w:pStyle w:val="Autor"/>
        <w:spacing w:before="0"/>
        <w:jc w:val="center"/>
        <w:rPr>
          <w:b/>
          <w:i w:val="0"/>
          <w:sz w:val="24"/>
          <w:lang w:val="ru-RU"/>
        </w:rPr>
      </w:pPr>
      <w:bookmarkStart w:id="75" w:name="_Toc44926604"/>
      <w:r>
        <w:rPr>
          <w:b/>
          <w:i w:val="0"/>
          <w:sz w:val="24"/>
          <w:lang w:val="ru-RU"/>
        </w:rPr>
        <w:t xml:space="preserve">3.3.4 </w:t>
      </w:r>
      <w:r w:rsidR="00C44D05" w:rsidRPr="002431B5">
        <w:rPr>
          <w:b/>
          <w:i w:val="0"/>
          <w:sz w:val="24"/>
          <w:lang w:val="ru-RU"/>
        </w:rPr>
        <w:t>Режимы мобилизации ГСК</w:t>
      </w:r>
      <w:bookmarkEnd w:id="75"/>
    </w:p>
    <w:p w14:paraId="75937F5B" w14:textId="77777777" w:rsidR="00C44D05" w:rsidRPr="0095427D" w:rsidRDefault="00C44D05" w:rsidP="00292402">
      <w:pPr>
        <w:autoSpaceDE w:val="0"/>
        <w:autoSpaceDN w:val="0"/>
        <w:adjustRightInd w:val="0"/>
        <w:spacing w:before="0" w:after="0"/>
        <w:rPr>
          <w:szCs w:val="24"/>
        </w:rPr>
      </w:pPr>
      <w:r w:rsidRPr="0095427D">
        <w:rPr>
          <w:szCs w:val="24"/>
        </w:rPr>
        <w:t>В настоящее время в онкогематологии широкое распространение получили следующие режимы мобилизации ГСК:</w:t>
      </w:r>
    </w:p>
    <w:p w14:paraId="3689B5ED" w14:textId="17A05CEE" w:rsidR="00C44D05" w:rsidRPr="0095427D" w:rsidRDefault="00C44D05" w:rsidP="00292402">
      <w:pPr>
        <w:numPr>
          <w:ilvl w:val="0"/>
          <w:numId w:val="121"/>
        </w:numPr>
        <w:spacing w:before="0" w:after="0"/>
        <w:ind w:left="0" w:firstLine="0"/>
        <w:contextualSpacing/>
        <w:rPr>
          <w:szCs w:val="24"/>
        </w:rPr>
      </w:pPr>
      <w:r w:rsidRPr="0095427D">
        <w:rPr>
          <w:szCs w:val="24"/>
        </w:rPr>
        <w:t>Г-КСФ</w:t>
      </w:r>
      <w:r w:rsidR="0057376B">
        <w:rPr>
          <w:szCs w:val="24"/>
          <w:lang w:val="en-US"/>
        </w:rPr>
        <w:t>**</w:t>
      </w:r>
      <w:r w:rsidRPr="0095427D">
        <w:rPr>
          <w:szCs w:val="24"/>
        </w:rPr>
        <w:t xml:space="preserve"> в монорежиме</w:t>
      </w:r>
    </w:p>
    <w:p w14:paraId="5C152647" w14:textId="0F525327" w:rsidR="00C44D05" w:rsidRPr="0095427D" w:rsidRDefault="00C44D05" w:rsidP="00292402">
      <w:pPr>
        <w:numPr>
          <w:ilvl w:val="0"/>
          <w:numId w:val="121"/>
        </w:numPr>
        <w:spacing w:before="0" w:after="0"/>
        <w:ind w:left="0" w:firstLine="0"/>
        <w:contextualSpacing/>
        <w:rPr>
          <w:szCs w:val="24"/>
        </w:rPr>
      </w:pPr>
      <w:r w:rsidRPr="0095427D">
        <w:rPr>
          <w:szCs w:val="24"/>
        </w:rPr>
        <w:t>Г-КСФ</w:t>
      </w:r>
      <w:r w:rsidR="0057376B" w:rsidRPr="0057376B">
        <w:rPr>
          <w:szCs w:val="24"/>
        </w:rPr>
        <w:t>**</w:t>
      </w:r>
      <w:r w:rsidRPr="0095427D">
        <w:rPr>
          <w:szCs w:val="24"/>
        </w:rPr>
        <w:t xml:space="preserve"> после миелосупрессивной химиотерапии (ХТ + Г-КСФ</w:t>
      </w:r>
      <w:r w:rsidR="0057376B" w:rsidRPr="0057376B">
        <w:rPr>
          <w:szCs w:val="24"/>
        </w:rPr>
        <w:t>**</w:t>
      </w:r>
      <w:r w:rsidRPr="0095427D">
        <w:rPr>
          <w:szCs w:val="24"/>
        </w:rPr>
        <w:t>)</w:t>
      </w:r>
    </w:p>
    <w:p w14:paraId="326A6230" w14:textId="6E59EB02" w:rsidR="00C44D05" w:rsidRPr="0095427D" w:rsidRDefault="00C44D05" w:rsidP="00292402">
      <w:pPr>
        <w:numPr>
          <w:ilvl w:val="0"/>
          <w:numId w:val="121"/>
        </w:numPr>
        <w:spacing w:before="0" w:after="0"/>
        <w:ind w:left="0" w:firstLine="0"/>
        <w:contextualSpacing/>
        <w:rPr>
          <w:szCs w:val="24"/>
        </w:rPr>
      </w:pPr>
      <w:r w:rsidRPr="0095427D">
        <w:rPr>
          <w:szCs w:val="24"/>
        </w:rPr>
        <w:t>Г-КСФ</w:t>
      </w:r>
      <w:r w:rsidR="0057376B" w:rsidRPr="0057376B">
        <w:rPr>
          <w:szCs w:val="24"/>
        </w:rPr>
        <w:t>**</w:t>
      </w:r>
      <w:r w:rsidRPr="0095427D">
        <w:rPr>
          <w:szCs w:val="24"/>
        </w:rPr>
        <w:t xml:space="preserve"> в сочетании с плериксафором</w:t>
      </w:r>
    </w:p>
    <w:p w14:paraId="36459099" w14:textId="3FAE5186" w:rsidR="00C44D05" w:rsidRPr="00BD15B7" w:rsidRDefault="00C44D05" w:rsidP="00292402">
      <w:pPr>
        <w:pStyle w:val="a6"/>
        <w:numPr>
          <w:ilvl w:val="0"/>
          <w:numId w:val="126"/>
        </w:numPr>
        <w:tabs>
          <w:tab w:val="left" w:pos="426"/>
        </w:tabs>
        <w:spacing w:before="0" w:after="0"/>
        <w:ind w:left="0" w:firstLine="0"/>
        <w:rPr>
          <w:b/>
          <w:iCs/>
          <w:lang w:eastAsia="ru-RU"/>
        </w:rPr>
      </w:pPr>
      <w:bookmarkStart w:id="76" w:name="_Toc44926605"/>
      <w:r w:rsidRPr="00BD15B7">
        <w:rPr>
          <w:b/>
          <w:iCs/>
          <w:lang w:eastAsia="ru-RU"/>
        </w:rPr>
        <w:t>Г-КСФ</w:t>
      </w:r>
      <w:r w:rsidR="0057376B">
        <w:rPr>
          <w:b/>
          <w:iCs/>
          <w:lang w:val="en-US" w:eastAsia="ru-RU"/>
        </w:rPr>
        <w:t>**</w:t>
      </w:r>
      <w:r w:rsidRPr="00BD15B7">
        <w:rPr>
          <w:b/>
          <w:iCs/>
          <w:lang w:eastAsia="ru-RU"/>
        </w:rPr>
        <w:t xml:space="preserve"> в монорежиме</w:t>
      </w:r>
      <w:bookmarkEnd w:id="76"/>
    </w:p>
    <w:p w14:paraId="25C90A29" w14:textId="77777777" w:rsidR="00C44D05" w:rsidRPr="0095427D" w:rsidRDefault="00C44D05" w:rsidP="00292402">
      <w:pPr>
        <w:spacing w:before="0" w:after="0"/>
        <w:rPr>
          <w:szCs w:val="24"/>
        </w:rPr>
      </w:pPr>
      <w:r w:rsidRPr="0095427D">
        <w:rPr>
          <w:szCs w:val="24"/>
        </w:rPr>
        <w:t>Данный режим также называют «мобилизация на стабильном состоянии кроветворения», так как у пациента не развивается миелотоксический агранулоцитоз (МТА).</w:t>
      </w:r>
    </w:p>
    <w:p w14:paraId="2C9792CC" w14:textId="77777777" w:rsidR="00C44D05" w:rsidRPr="0095427D" w:rsidRDefault="00C44D05" w:rsidP="00292402">
      <w:pPr>
        <w:spacing w:before="0" w:after="0"/>
        <w:contextualSpacing/>
        <w:rPr>
          <w:b/>
          <w:szCs w:val="24"/>
        </w:rPr>
      </w:pPr>
      <w:r w:rsidRPr="0095427D">
        <w:rPr>
          <w:b/>
          <w:szCs w:val="24"/>
        </w:rPr>
        <w:t xml:space="preserve">Показания </w:t>
      </w:r>
    </w:p>
    <w:p w14:paraId="43A79CD2" w14:textId="38F4C2C9" w:rsidR="00C44D05" w:rsidRPr="0095427D" w:rsidRDefault="00C44D05" w:rsidP="00292402">
      <w:pPr>
        <w:numPr>
          <w:ilvl w:val="0"/>
          <w:numId w:val="124"/>
        </w:numPr>
        <w:spacing w:before="0" w:after="0"/>
        <w:ind w:left="0" w:firstLine="0"/>
        <w:contextualSpacing/>
        <w:rPr>
          <w:szCs w:val="24"/>
        </w:rPr>
      </w:pPr>
      <w:r w:rsidRPr="0095427D">
        <w:rPr>
          <w:szCs w:val="24"/>
        </w:rPr>
        <w:t xml:space="preserve">Мобилизация ГСК у </w:t>
      </w:r>
      <w:r w:rsidR="002431B5">
        <w:rPr>
          <w:szCs w:val="24"/>
        </w:rPr>
        <w:t>больных множественной миеломой</w:t>
      </w:r>
      <w:r w:rsidRPr="0095427D">
        <w:rPr>
          <w:szCs w:val="24"/>
        </w:rPr>
        <w:t>;</w:t>
      </w:r>
    </w:p>
    <w:p w14:paraId="1037F990" w14:textId="7BBC5BF9" w:rsidR="00C44D05" w:rsidRPr="0095427D" w:rsidRDefault="00C44D05" w:rsidP="00292402">
      <w:pPr>
        <w:numPr>
          <w:ilvl w:val="0"/>
          <w:numId w:val="124"/>
        </w:numPr>
        <w:spacing w:before="0" w:after="0"/>
        <w:ind w:left="0" w:firstLine="0"/>
        <w:contextualSpacing/>
        <w:rPr>
          <w:szCs w:val="24"/>
        </w:rPr>
      </w:pPr>
      <w:r w:rsidRPr="0095427D">
        <w:rPr>
          <w:szCs w:val="24"/>
        </w:rPr>
        <w:t>Мобилизация ГСК у пациентов, проведение которым режима «ХТ+ Г-КСФ</w:t>
      </w:r>
      <w:r w:rsidR="0057376B" w:rsidRPr="0057376B">
        <w:rPr>
          <w:szCs w:val="24"/>
        </w:rPr>
        <w:t>**</w:t>
      </w:r>
      <w:r w:rsidRPr="0095427D">
        <w:rPr>
          <w:szCs w:val="24"/>
        </w:rPr>
        <w:t>» не является безопасным (при наличии коморбидности, кардиальной патологии, диализ-зависимой почечной недостаточности);</w:t>
      </w:r>
    </w:p>
    <w:p w14:paraId="4E6DB18C" w14:textId="77777777" w:rsidR="00C44D05" w:rsidRPr="0095427D" w:rsidRDefault="00C44D05" w:rsidP="00292402">
      <w:pPr>
        <w:numPr>
          <w:ilvl w:val="0"/>
          <w:numId w:val="124"/>
        </w:numPr>
        <w:spacing w:before="0" w:after="0"/>
        <w:ind w:left="0" w:firstLine="0"/>
        <w:contextualSpacing/>
        <w:rPr>
          <w:szCs w:val="24"/>
        </w:rPr>
      </w:pPr>
      <w:r w:rsidRPr="0095427D">
        <w:rPr>
          <w:szCs w:val="24"/>
        </w:rPr>
        <w:t>Повторная мобилизация после неудачи первой мобилизации ГСК схемами, включающими миелосупрессивные препараты</w:t>
      </w:r>
      <w:r>
        <w:rPr>
          <w:szCs w:val="24"/>
        </w:rPr>
        <w:t>.</w:t>
      </w:r>
    </w:p>
    <w:p w14:paraId="61413674" w14:textId="77777777" w:rsidR="00C44D05" w:rsidRPr="00BD15B7" w:rsidRDefault="00C44D05" w:rsidP="00292402">
      <w:pPr>
        <w:pStyle w:val="a6"/>
        <w:numPr>
          <w:ilvl w:val="0"/>
          <w:numId w:val="126"/>
        </w:numPr>
        <w:tabs>
          <w:tab w:val="left" w:pos="426"/>
        </w:tabs>
        <w:spacing w:before="0" w:after="0"/>
        <w:ind w:left="0" w:firstLine="0"/>
        <w:rPr>
          <w:b/>
          <w:iCs/>
          <w:lang w:eastAsia="ru-RU"/>
        </w:rPr>
      </w:pPr>
      <w:r w:rsidRPr="00BD15B7">
        <w:rPr>
          <w:b/>
          <w:iCs/>
          <w:lang w:eastAsia="ru-RU"/>
        </w:rPr>
        <w:t>Схема мобилизации ГСК</w:t>
      </w:r>
    </w:p>
    <w:p w14:paraId="1DD2DDE1" w14:textId="6B433146" w:rsidR="00C44D05" w:rsidRDefault="00C44D05" w:rsidP="00292402">
      <w:pPr>
        <w:spacing w:before="0" w:after="0"/>
        <w:ind w:firstLine="709"/>
        <w:rPr>
          <w:szCs w:val="24"/>
        </w:rPr>
      </w:pPr>
      <w:r w:rsidRPr="0095427D">
        <w:rPr>
          <w:szCs w:val="24"/>
        </w:rPr>
        <w:t>Г-КСФ</w:t>
      </w:r>
      <w:r w:rsidR="0057376B" w:rsidRPr="0057376B">
        <w:rPr>
          <w:szCs w:val="24"/>
        </w:rPr>
        <w:t>**</w:t>
      </w:r>
      <w:r w:rsidRPr="0095427D">
        <w:rPr>
          <w:szCs w:val="24"/>
        </w:rPr>
        <w:t xml:space="preserve"> назначают в дозе 10 мкг/кг/сутки, вводят подкожно утром</w:t>
      </w:r>
      <w:r>
        <w:rPr>
          <w:szCs w:val="24"/>
        </w:rPr>
        <w:t xml:space="preserve"> (или по 5 мкг 2 раза в сутки)</w:t>
      </w:r>
      <w:r w:rsidRPr="0095427D">
        <w:rPr>
          <w:szCs w:val="24"/>
        </w:rPr>
        <w:t>. Лейкаферез начинается на четвертый день введения Г-КСФ</w:t>
      </w:r>
      <w:r w:rsidR="0057376B" w:rsidRPr="0057376B">
        <w:rPr>
          <w:szCs w:val="24"/>
        </w:rPr>
        <w:t>**</w:t>
      </w:r>
      <w:r w:rsidRPr="0095427D">
        <w:rPr>
          <w:szCs w:val="24"/>
        </w:rPr>
        <w:t xml:space="preserve"> при наличии адекватного количества </w:t>
      </w:r>
      <w:r w:rsidRPr="0095427D">
        <w:rPr>
          <w:szCs w:val="24"/>
          <w:lang w:val="en-US"/>
        </w:rPr>
        <w:t>CD</w:t>
      </w:r>
      <w:r w:rsidRPr="0095427D">
        <w:rPr>
          <w:szCs w:val="24"/>
        </w:rPr>
        <w:t>34+ клеток в периферической крови. При их количестве более 10</w:t>
      </w:r>
      <w:r>
        <w:rPr>
          <w:szCs w:val="24"/>
        </w:rPr>
        <w:t>-20</w:t>
      </w:r>
      <w:r w:rsidRPr="0095427D">
        <w:rPr>
          <w:szCs w:val="24"/>
        </w:rPr>
        <w:t xml:space="preserve"> клеток/мкл начинают сепарацию клеток. Если </w:t>
      </w:r>
      <w:r w:rsidRPr="0095427D">
        <w:rPr>
          <w:szCs w:val="24"/>
          <w:lang w:val="en-US"/>
        </w:rPr>
        <w:t>CD</w:t>
      </w:r>
      <w:r w:rsidRPr="0095427D">
        <w:rPr>
          <w:szCs w:val="24"/>
        </w:rPr>
        <w:t>34+ в периферической крови менее 10 клеток/мкл, необходимо отказаться от лейкафереза и повторить подсчет клеток на следующий день. Число сеансов лейкафереза зав</w:t>
      </w:r>
      <w:r>
        <w:rPr>
          <w:szCs w:val="24"/>
        </w:rPr>
        <w:t xml:space="preserve">исит от результатов сбора ГСК, </w:t>
      </w:r>
      <w:r w:rsidRPr="0095427D">
        <w:rPr>
          <w:szCs w:val="24"/>
        </w:rPr>
        <w:t>для заготовки оптимального</w:t>
      </w:r>
      <w:r w:rsidR="0057376B" w:rsidRPr="0057376B">
        <w:rPr>
          <w:szCs w:val="24"/>
        </w:rPr>
        <w:t xml:space="preserve"> </w:t>
      </w:r>
      <w:r w:rsidRPr="0095427D">
        <w:rPr>
          <w:szCs w:val="24"/>
        </w:rPr>
        <w:t>количества CD34+ клеток необходимо 2 - 4 процедуры (от 1 до 5). В заключительный день проведения лейкафереза Г-КСФ</w:t>
      </w:r>
      <w:r w:rsidR="0057376B" w:rsidRPr="0057376B">
        <w:rPr>
          <w:szCs w:val="24"/>
        </w:rPr>
        <w:t>**</w:t>
      </w:r>
      <w:r w:rsidRPr="0095427D">
        <w:rPr>
          <w:szCs w:val="24"/>
        </w:rPr>
        <w:t xml:space="preserve"> не вводится (таблица </w:t>
      </w:r>
      <w:r w:rsidR="006A10AB">
        <w:rPr>
          <w:szCs w:val="24"/>
        </w:rPr>
        <w:t>А.3.</w:t>
      </w:r>
      <w:r w:rsidRPr="0095427D">
        <w:rPr>
          <w:szCs w:val="24"/>
        </w:rPr>
        <w:t>1).</w:t>
      </w:r>
    </w:p>
    <w:p w14:paraId="3D96BD22" w14:textId="1A886D04" w:rsidR="00C44D05" w:rsidRPr="00303DEC" w:rsidRDefault="00C44D05" w:rsidP="00292402">
      <w:pPr>
        <w:spacing w:before="0" w:after="0"/>
        <w:rPr>
          <w:b/>
          <w:szCs w:val="24"/>
        </w:rPr>
      </w:pPr>
      <w:r w:rsidRPr="00303DEC">
        <w:rPr>
          <w:b/>
          <w:szCs w:val="24"/>
        </w:rPr>
        <w:t xml:space="preserve">Таблица </w:t>
      </w:r>
      <w:r w:rsidR="006A10AB">
        <w:rPr>
          <w:b/>
          <w:szCs w:val="24"/>
        </w:rPr>
        <w:t>А3.</w:t>
      </w:r>
      <w:r w:rsidRPr="00303DEC">
        <w:rPr>
          <w:b/>
          <w:szCs w:val="24"/>
        </w:rPr>
        <w:t>1. Схема мобилизации ГСК «Г-КСФ</w:t>
      </w:r>
      <w:r w:rsidR="0057376B" w:rsidRPr="0018015E">
        <w:rPr>
          <w:b/>
          <w:szCs w:val="24"/>
        </w:rPr>
        <w:t>**</w:t>
      </w:r>
      <w:r w:rsidRPr="00303DEC">
        <w:rPr>
          <w:b/>
          <w:szCs w:val="24"/>
        </w:rPr>
        <w:t xml:space="preserve"> в монорежиме»</w:t>
      </w:r>
    </w:p>
    <w:tbl>
      <w:tblPr>
        <w:tblStyle w:val="14"/>
        <w:tblW w:w="8930" w:type="dxa"/>
        <w:tblInd w:w="108" w:type="dxa"/>
        <w:tblLook w:val="04A0" w:firstRow="1" w:lastRow="0" w:firstColumn="1" w:lastColumn="0" w:noHBand="0" w:noVBand="1"/>
      </w:tblPr>
      <w:tblGrid>
        <w:gridCol w:w="1583"/>
        <w:gridCol w:w="1142"/>
        <w:gridCol w:w="1139"/>
        <w:gridCol w:w="1139"/>
        <w:gridCol w:w="1142"/>
        <w:gridCol w:w="1143"/>
        <w:gridCol w:w="1642"/>
      </w:tblGrid>
      <w:tr w:rsidR="00C44D05" w:rsidRPr="00303DEC" w14:paraId="752E54F4" w14:textId="77777777" w:rsidTr="001471FD">
        <w:trPr>
          <w:tblHeader/>
        </w:trPr>
        <w:tc>
          <w:tcPr>
            <w:tcW w:w="1583" w:type="dxa"/>
          </w:tcPr>
          <w:p w14:paraId="5AE28443" w14:textId="77777777" w:rsidR="00C44D05" w:rsidRPr="00303DEC" w:rsidRDefault="00C44D05" w:rsidP="00292402">
            <w:pPr>
              <w:spacing w:before="0" w:after="0"/>
            </w:pPr>
            <w:r w:rsidRPr="00303DEC">
              <w:t>Дни</w:t>
            </w:r>
          </w:p>
        </w:tc>
        <w:tc>
          <w:tcPr>
            <w:tcW w:w="1142" w:type="dxa"/>
          </w:tcPr>
          <w:p w14:paraId="3EF8E00C" w14:textId="77777777" w:rsidR="00C44D05" w:rsidRPr="00303DEC" w:rsidRDefault="00C44D05" w:rsidP="00292402">
            <w:pPr>
              <w:spacing w:before="0" w:after="0"/>
            </w:pPr>
            <w:r w:rsidRPr="00303DEC">
              <w:t>1</w:t>
            </w:r>
          </w:p>
        </w:tc>
        <w:tc>
          <w:tcPr>
            <w:tcW w:w="1139" w:type="dxa"/>
          </w:tcPr>
          <w:p w14:paraId="6CB800CD" w14:textId="77777777" w:rsidR="00C44D05" w:rsidRPr="00303DEC" w:rsidRDefault="00C44D05" w:rsidP="00292402">
            <w:pPr>
              <w:spacing w:before="0" w:after="0"/>
            </w:pPr>
            <w:r w:rsidRPr="00303DEC">
              <w:t>2</w:t>
            </w:r>
          </w:p>
        </w:tc>
        <w:tc>
          <w:tcPr>
            <w:tcW w:w="1139" w:type="dxa"/>
          </w:tcPr>
          <w:p w14:paraId="6A03AD82" w14:textId="77777777" w:rsidR="00C44D05" w:rsidRPr="00303DEC" w:rsidRDefault="00C44D05" w:rsidP="00292402">
            <w:pPr>
              <w:spacing w:before="0" w:after="0"/>
            </w:pPr>
            <w:r w:rsidRPr="00303DEC">
              <w:t>3</w:t>
            </w:r>
          </w:p>
        </w:tc>
        <w:tc>
          <w:tcPr>
            <w:tcW w:w="1142" w:type="dxa"/>
          </w:tcPr>
          <w:p w14:paraId="2A2449CA" w14:textId="77777777" w:rsidR="00C44D05" w:rsidRPr="00303DEC" w:rsidRDefault="00C44D05" w:rsidP="00292402">
            <w:pPr>
              <w:spacing w:before="0" w:after="0"/>
            </w:pPr>
            <w:r w:rsidRPr="00303DEC">
              <w:t>4</w:t>
            </w:r>
          </w:p>
        </w:tc>
        <w:tc>
          <w:tcPr>
            <w:tcW w:w="1143" w:type="dxa"/>
          </w:tcPr>
          <w:p w14:paraId="4D2FA3FF" w14:textId="77777777" w:rsidR="00C44D05" w:rsidRPr="00303DEC" w:rsidRDefault="00C44D05" w:rsidP="00292402">
            <w:pPr>
              <w:spacing w:before="0" w:after="0"/>
            </w:pPr>
            <w:r w:rsidRPr="00303DEC">
              <w:t>5</w:t>
            </w:r>
          </w:p>
        </w:tc>
        <w:tc>
          <w:tcPr>
            <w:tcW w:w="1642" w:type="dxa"/>
          </w:tcPr>
          <w:p w14:paraId="37B350C5" w14:textId="77777777" w:rsidR="00C44D05" w:rsidRPr="00303DEC" w:rsidRDefault="00C44D05" w:rsidP="00292402">
            <w:pPr>
              <w:spacing w:before="0" w:after="0"/>
            </w:pPr>
            <w:r w:rsidRPr="00303DEC">
              <w:t>6</w:t>
            </w:r>
          </w:p>
        </w:tc>
      </w:tr>
      <w:tr w:rsidR="00C44D05" w:rsidRPr="00303DEC" w14:paraId="506333A2" w14:textId="77777777" w:rsidTr="00C44D05">
        <w:tc>
          <w:tcPr>
            <w:tcW w:w="1583" w:type="dxa"/>
          </w:tcPr>
          <w:p w14:paraId="0D7E081C" w14:textId="77777777" w:rsidR="00C44D05" w:rsidRDefault="00C44D05" w:rsidP="00292402">
            <w:pPr>
              <w:spacing w:before="0" w:after="0"/>
            </w:pPr>
            <w:r w:rsidRPr="00303DEC">
              <w:t xml:space="preserve">Г-КСФ, </w:t>
            </w:r>
          </w:p>
          <w:p w14:paraId="3709CA34" w14:textId="77777777" w:rsidR="00C44D05" w:rsidRPr="00303DEC" w:rsidRDefault="00C44D05" w:rsidP="00292402">
            <w:pPr>
              <w:spacing w:before="0" w:after="0"/>
            </w:pPr>
            <w:r w:rsidRPr="00303DEC">
              <w:t>10 мкг/кг</w:t>
            </w:r>
          </w:p>
        </w:tc>
        <w:tc>
          <w:tcPr>
            <w:tcW w:w="1142" w:type="dxa"/>
          </w:tcPr>
          <w:p w14:paraId="0D9EF0EE" w14:textId="77777777" w:rsidR="00C44D05" w:rsidRPr="00303DEC" w:rsidRDefault="00C44D05" w:rsidP="00292402">
            <w:pPr>
              <w:spacing w:before="0" w:after="0"/>
            </w:pPr>
            <w:r w:rsidRPr="00303DEC">
              <w:t>Х</w:t>
            </w:r>
          </w:p>
        </w:tc>
        <w:tc>
          <w:tcPr>
            <w:tcW w:w="1139" w:type="dxa"/>
          </w:tcPr>
          <w:p w14:paraId="258D8B3E" w14:textId="77777777" w:rsidR="00C44D05" w:rsidRPr="00303DEC" w:rsidRDefault="00C44D05" w:rsidP="00292402">
            <w:pPr>
              <w:spacing w:before="0" w:after="0"/>
            </w:pPr>
            <w:r w:rsidRPr="00303DEC">
              <w:t>Х</w:t>
            </w:r>
          </w:p>
        </w:tc>
        <w:tc>
          <w:tcPr>
            <w:tcW w:w="1139" w:type="dxa"/>
          </w:tcPr>
          <w:p w14:paraId="42238684" w14:textId="77777777" w:rsidR="00C44D05" w:rsidRPr="00303DEC" w:rsidRDefault="00C44D05" w:rsidP="00292402">
            <w:pPr>
              <w:spacing w:before="0" w:after="0"/>
            </w:pPr>
            <w:r w:rsidRPr="00303DEC">
              <w:t>Х</w:t>
            </w:r>
          </w:p>
        </w:tc>
        <w:tc>
          <w:tcPr>
            <w:tcW w:w="1142" w:type="dxa"/>
          </w:tcPr>
          <w:p w14:paraId="67EC4A3F" w14:textId="77777777" w:rsidR="00C44D05" w:rsidRPr="00303DEC" w:rsidRDefault="00C44D05" w:rsidP="00292402">
            <w:pPr>
              <w:spacing w:before="0" w:after="0"/>
            </w:pPr>
            <w:r w:rsidRPr="00303DEC">
              <w:t>Х</w:t>
            </w:r>
          </w:p>
        </w:tc>
        <w:tc>
          <w:tcPr>
            <w:tcW w:w="1143" w:type="dxa"/>
          </w:tcPr>
          <w:p w14:paraId="6EE939FC" w14:textId="77777777" w:rsidR="00C44D05" w:rsidRPr="00303DEC" w:rsidRDefault="00C44D05" w:rsidP="00292402">
            <w:pPr>
              <w:spacing w:before="0" w:after="0"/>
            </w:pPr>
            <w:r w:rsidRPr="00303DEC">
              <w:t>Х</w:t>
            </w:r>
          </w:p>
        </w:tc>
        <w:tc>
          <w:tcPr>
            <w:tcW w:w="1642" w:type="dxa"/>
          </w:tcPr>
          <w:p w14:paraId="0462765B" w14:textId="77777777" w:rsidR="00C44D05" w:rsidRPr="00303DEC" w:rsidRDefault="00C44D05" w:rsidP="00292402">
            <w:pPr>
              <w:spacing w:before="0" w:after="0"/>
            </w:pPr>
            <w:r w:rsidRPr="00303DEC">
              <w:t>отмена</w:t>
            </w:r>
          </w:p>
        </w:tc>
      </w:tr>
      <w:tr w:rsidR="00C44D05" w:rsidRPr="00303DEC" w14:paraId="6A54F136" w14:textId="77777777" w:rsidTr="00C44D05">
        <w:tc>
          <w:tcPr>
            <w:tcW w:w="1583" w:type="dxa"/>
          </w:tcPr>
          <w:p w14:paraId="08C0BEFF" w14:textId="77777777" w:rsidR="00C44D05" w:rsidRPr="00303DEC" w:rsidRDefault="00C44D05" w:rsidP="00292402">
            <w:pPr>
              <w:spacing w:before="0" w:after="0"/>
            </w:pPr>
            <w:r>
              <w:t>Лейкаферез</w:t>
            </w:r>
          </w:p>
        </w:tc>
        <w:tc>
          <w:tcPr>
            <w:tcW w:w="1142" w:type="dxa"/>
          </w:tcPr>
          <w:p w14:paraId="656BFAC0" w14:textId="77777777" w:rsidR="00C44D05" w:rsidRPr="00303DEC" w:rsidRDefault="00C44D05" w:rsidP="00292402">
            <w:pPr>
              <w:spacing w:before="0" w:after="0"/>
            </w:pPr>
          </w:p>
        </w:tc>
        <w:tc>
          <w:tcPr>
            <w:tcW w:w="1139" w:type="dxa"/>
          </w:tcPr>
          <w:p w14:paraId="7A7F87D7" w14:textId="77777777" w:rsidR="00C44D05" w:rsidRPr="00303DEC" w:rsidRDefault="00C44D05" w:rsidP="00292402">
            <w:pPr>
              <w:spacing w:before="0" w:after="0"/>
            </w:pPr>
          </w:p>
        </w:tc>
        <w:tc>
          <w:tcPr>
            <w:tcW w:w="1139" w:type="dxa"/>
          </w:tcPr>
          <w:p w14:paraId="098B391F" w14:textId="77777777" w:rsidR="00C44D05" w:rsidRPr="00303DEC" w:rsidRDefault="00C44D05" w:rsidP="00292402">
            <w:pPr>
              <w:spacing w:before="0" w:after="0"/>
            </w:pPr>
          </w:p>
        </w:tc>
        <w:tc>
          <w:tcPr>
            <w:tcW w:w="1142" w:type="dxa"/>
          </w:tcPr>
          <w:p w14:paraId="3D1B1109" w14:textId="77777777" w:rsidR="00C44D05" w:rsidRPr="00303DEC" w:rsidRDefault="00C44D05" w:rsidP="00292402">
            <w:pPr>
              <w:spacing w:before="0" w:after="0"/>
              <w:rPr>
                <w:lang w:val="en-US"/>
              </w:rPr>
            </w:pPr>
            <w:r w:rsidRPr="00303DEC">
              <w:rPr>
                <w:lang w:val="en-US"/>
              </w:rPr>
              <w:t>V</w:t>
            </w:r>
          </w:p>
        </w:tc>
        <w:tc>
          <w:tcPr>
            <w:tcW w:w="1143" w:type="dxa"/>
          </w:tcPr>
          <w:p w14:paraId="526957A4" w14:textId="77777777" w:rsidR="00C44D05" w:rsidRPr="00303DEC" w:rsidRDefault="00C44D05" w:rsidP="00292402">
            <w:pPr>
              <w:spacing w:before="0" w:after="0"/>
              <w:rPr>
                <w:lang w:val="en-US"/>
              </w:rPr>
            </w:pPr>
            <w:r w:rsidRPr="00303DEC">
              <w:rPr>
                <w:lang w:val="en-US"/>
              </w:rPr>
              <w:t>V</w:t>
            </w:r>
          </w:p>
        </w:tc>
        <w:tc>
          <w:tcPr>
            <w:tcW w:w="1642" w:type="dxa"/>
          </w:tcPr>
          <w:p w14:paraId="2E541275" w14:textId="77777777" w:rsidR="00C44D05" w:rsidRPr="00303DEC" w:rsidRDefault="00C44D05" w:rsidP="00292402">
            <w:pPr>
              <w:spacing w:before="0" w:after="0"/>
              <w:rPr>
                <w:lang w:val="en-US"/>
              </w:rPr>
            </w:pPr>
            <w:r w:rsidRPr="00303DEC">
              <w:rPr>
                <w:lang w:val="en-US"/>
              </w:rPr>
              <w:t>V</w:t>
            </w:r>
          </w:p>
        </w:tc>
      </w:tr>
    </w:tbl>
    <w:p w14:paraId="57B6953C" w14:textId="73259A4C" w:rsidR="00C44D05" w:rsidRPr="00BD15B7" w:rsidRDefault="00C44D05" w:rsidP="008F161A">
      <w:pPr>
        <w:pStyle w:val="a6"/>
        <w:numPr>
          <w:ilvl w:val="0"/>
          <w:numId w:val="126"/>
        </w:numPr>
        <w:tabs>
          <w:tab w:val="left" w:pos="426"/>
        </w:tabs>
        <w:spacing w:after="0"/>
        <w:ind w:left="0" w:firstLine="0"/>
        <w:rPr>
          <w:b/>
          <w:iCs/>
          <w:lang w:eastAsia="ru-RU"/>
        </w:rPr>
      </w:pPr>
      <w:r w:rsidRPr="00303DEC">
        <w:t xml:space="preserve"> </w:t>
      </w:r>
      <w:bookmarkStart w:id="77" w:name="_Toc44926606"/>
      <w:r w:rsidRPr="00BD15B7">
        <w:rPr>
          <w:b/>
          <w:iCs/>
          <w:lang w:eastAsia="ru-RU"/>
        </w:rPr>
        <w:t>Г-КСФ</w:t>
      </w:r>
      <w:r w:rsidR="0018015E" w:rsidRPr="0018015E">
        <w:rPr>
          <w:b/>
          <w:iCs/>
          <w:lang w:eastAsia="ru-RU"/>
        </w:rPr>
        <w:t>**</w:t>
      </w:r>
      <w:r w:rsidRPr="00BD15B7">
        <w:rPr>
          <w:b/>
          <w:iCs/>
          <w:lang w:eastAsia="ru-RU"/>
        </w:rPr>
        <w:t xml:space="preserve"> после миелосупрессивной химиотерапии</w:t>
      </w:r>
      <w:bookmarkEnd w:id="77"/>
    </w:p>
    <w:p w14:paraId="1287F8DD" w14:textId="77777777" w:rsidR="00C44D05" w:rsidRPr="0095427D" w:rsidRDefault="00C44D05" w:rsidP="002431B5">
      <w:pPr>
        <w:spacing w:before="0"/>
        <w:contextualSpacing/>
        <w:rPr>
          <w:b/>
          <w:szCs w:val="24"/>
        </w:rPr>
      </w:pPr>
      <w:r w:rsidRPr="0095427D">
        <w:rPr>
          <w:b/>
          <w:szCs w:val="24"/>
        </w:rPr>
        <w:lastRenderedPageBreak/>
        <w:t xml:space="preserve">Показания </w:t>
      </w:r>
    </w:p>
    <w:p w14:paraId="0562F681" w14:textId="57C064A5" w:rsidR="00C44D05" w:rsidRPr="0095427D" w:rsidRDefault="00C44D05" w:rsidP="008F161A">
      <w:pPr>
        <w:numPr>
          <w:ilvl w:val="0"/>
          <w:numId w:val="125"/>
        </w:numPr>
        <w:spacing w:before="0" w:after="200"/>
        <w:ind w:left="0" w:firstLine="0"/>
        <w:contextualSpacing/>
        <w:rPr>
          <w:b/>
          <w:szCs w:val="24"/>
        </w:rPr>
      </w:pPr>
      <w:r w:rsidRPr="0095427D">
        <w:rPr>
          <w:szCs w:val="24"/>
        </w:rPr>
        <w:t xml:space="preserve">Мобилизация ГСК у пациентов с </w:t>
      </w:r>
      <w:r w:rsidR="00BD15B7">
        <w:rPr>
          <w:szCs w:val="24"/>
        </w:rPr>
        <w:t>множественной миеломой</w:t>
      </w:r>
    </w:p>
    <w:p w14:paraId="40975987" w14:textId="23522A04" w:rsidR="00C44D05" w:rsidRPr="0095427D" w:rsidRDefault="00C44D05" w:rsidP="002431B5">
      <w:pPr>
        <w:spacing w:before="0"/>
        <w:contextualSpacing/>
        <w:rPr>
          <w:b/>
          <w:szCs w:val="24"/>
        </w:rPr>
      </w:pPr>
      <w:r w:rsidRPr="0095427D">
        <w:rPr>
          <w:b/>
          <w:szCs w:val="24"/>
        </w:rPr>
        <w:t>Схема мобилизации ГСК «ХТ + Г-КСФ</w:t>
      </w:r>
      <w:r w:rsidR="0018015E" w:rsidRPr="0018015E">
        <w:rPr>
          <w:b/>
          <w:szCs w:val="24"/>
        </w:rPr>
        <w:t>**</w:t>
      </w:r>
      <w:r w:rsidRPr="0095427D">
        <w:rPr>
          <w:b/>
          <w:szCs w:val="24"/>
        </w:rPr>
        <w:t>»</w:t>
      </w:r>
    </w:p>
    <w:p w14:paraId="09525F65" w14:textId="26A0864B" w:rsidR="00C44D05" w:rsidRDefault="00C44D05" w:rsidP="00BD15B7">
      <w:pPr>
        <w:spacing w:before="0" w:after="0"/>
        <w:ind w:firstLine="709"/>
        <w:rPr>
          <w:szCs w:val="24"/>
        </w:rPr>
      </w:pPr>
      <w:r w:rsidRPr="0095427D">
        <w:rPr>
          <w:szCs w:val="24"/>
        </w:rPr>
        <w:t>Миелосупрессивная ХТ стимулирует пролиферацию стволовых клеток и клеток-предшественниц, что приводит к увеличению выброса ГСК из костного мозга в кровь. Принцип данного режима мобилизации ГСК: пациенту вводится химиопрепарат (или несколько препаратов) согласно соответствующему протоколу лечения, а затем, после развития МТА, начинается стимуляция лейко</w:t>
      </w:r>
      <w:r>
        <w:rPr>
          <w:szCs w:val="24"/>
        </w:rPr>
        <w:t>поэза Г-КСФ</w:t>
      </w:r>
      <w:r w:rsidR="0018015E" w:rsidRPr="0018015E">
        <w:rPr>
          <w:szCs w:val="24"/>
        </w:rPr>
        <w:t>**</w:t>
      </w:r>
      <w:r>
        <w:rPr>
          <w:szCs w:val="24"/>
        </w:rPr>
        <w:t xml:space="preserve"> в дозе 5 мг/кг/сут.</w:t>
      </w:r>
    </w:p>
    <w:p w14:paraId="382266E1" w14:textId="54BC2AFC" w:rsidR="00C44D05" w:rsidRDefault="00C44D05" w:rsidP="00BD15B7">
      <w:pPr>
        <w:spacing w:before="0" w:after="0"/>
        <w:ind w:firstLine="709"/>
        <w:rPr>
          <w:szCs w:val="24"/>
        </w:rPr>
      </w:pPr>
      <w:r w:rsidRPr="0095427D">
        <w:rPr>
          <w:szCs w:val="24"/>
        </w:rPr>
        <w:t xml:space="preserve">При условии восстановления лейкоцитов периферической крови и адекватного количества среди них </w:t>
      </w:r>
      <w:r w:rsidRPr="0095427D">
        <w:rPr>
          <w:szCs w:val="24"/>
          <w:lang w:val="en-US"/>
        </w:rPr>
        <w:t>CD</w:t>
      </w:r>
      <w:r w:rsidRPr="0095427D">
        <w:rPr>
          <w:szCs w:val="24"/>
        </w:rPr>
        <w:t>34+ клеток начинаются процедуры сбора ГСК (как правило, на 6-8 день введения Г-КСФ</w:t>
      </w:r>
      <w:r w:rsidR="0018015E" w:rsidRPr="0018015E">
        <w:rPr>
          <w:szCs w:val="24"/>
        </w:rPr>
        <w:t>**</w:t>
      </w:r>
      <w:r w:rsidRPr="0095427D">
        <w:rPr>
          <w:szCs w:val="24"/>
        </w:rPr>
        <w:t xml:space="preserve">). </w:t>
      </w:r>
    </w:p>
    <w:p w14:paraId="1AD1A0A1" w14:textId="25BD3C59" w:rsidR="00C44D05" w:rsidRPr="0095427D" w:rsidRDefault="00C44D05" w:rsidP="00BD15B7">
      <w:pPr>
        <w:spacing w:before="0"/>
        <w:ind w:firstLine="709"/>
        <w:rPr>
          <w:szCs w:val="24"/>
        </w:rPr>
      </w:pPr>
      <w:r w:rsidRPr="0095427D">
        <w:rPr>
          <w:szCs w:val="24"/>
        </w:rPr>
        <w:t xml:space="preserve">На рисунке </w:t>
      </w:r>
      <w:r w:rsidR="006A10AB">
        <w:rPr>
          <w:szCs w:val="24"/>
        </w:rPr>
        <w:t>А.3.</w:t>
      </w:r>
      <w:r w:rsidRPr="0095427D">
        <w:rPr>
          <w:szCs w:val="24"/>
        </w:rPr>
        <w:t>1 представлен алгоритм определения показаний к проведению первого лейкафереза. Количество лейкаферезов зависит от результата сбора ГСК (от 1 до 5). В заключительный день проведения лейкафереза Г-КСФ</w:t>
      </w:r>
      <w:r w:rsidR="0018015E" w:rsidRPr="00E47ED5">
        <w:rPr>
          <w:szCs w:val="24"/>
        </w:rPr>
        <w:t>**</w:t>
      </w:r>
      <w:r w:rsidRPr="0095427D">
        <w:rPr>
          <w:szCs w:val="24"/>
        </w:rPr>
        <w:t xml:space="preserve"> не вводится. </w:t>
      </w:r>
    </w:p>
    <w:p w14:paraId="770C00A0" w14:textId="77777777" w:rsidR="00C44D05" w:rsidRPr="0095427D" w:rsidRDefault="00C44D05" w:rsidP="002431B5">
      <w:pPr>
        <w:spacing w:before="0"/>
        <w:jc w:val="center"/>
        <w:rPr>
          <w:szCs w:val="24"/>
        </w:rPr>
      </w:pPr>
      <w:r w:rsidRPr="0095427D">
        <w:rPr>
          <w:noProof/>
          <w:szCs w:val="24"/>
          <w:lang w:eastAsia="ru-RU"/>
        </w:rPr>
        <w:drawing>
          <wp:inline distT="0" distB="0" distL="0" distR="0" wp14:anchorId="2FC581BA" wp14:editId="470E924A">
            <wp:extent cx="4177990" cy="2665737"/>
            <wp:effectExtent l="0" t="0" r="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6702" cy="2664915"/>
                    </a:xfrm>
                    <a:prstGeom prst="rect">
                      <a:avLst/>
                    </a:prstGeom>
                    <a:noFill/>
                    <a:ln>
                      <a:noFill/>
                    </a:ln>
                    <a:effectLst/>
                  </pic:spPr>
                </pic:pic>
              </a:graphicData>
            </a:graphic>
          </wp:inline>
        </w:drawing>
      </w:r>
    </w:p>
    <w:p w14:paraId="2280E68C" w14:textId="1DB69219" w:rsidR="00C44D05" w:rsidRPr="00303DEC" w:rsidRDefault="00C44D05" w:rsidP="002431B5">
      <w:pPr>
        <w:spacing w:before="0" w:after="0"/>
        <w:jc w:val="center"/>
        <w:rPr>
          <w:i/>
          <w:szCs w:val="24"/>
        </w:rPr>
      </w:pPr>
      <w:r w:rsidRPr="00303DEC">
        <w:rPr>
          <w:b/>
          <w:szCs w:val="24"/>
        </w:rPr>
        <w:t xml:space="preserve">Рисунок </w:t>
      </w:r>
      <w:r w:rsidR="006A10AB">
        <w:rPr>
          <w:b/>
          <w:szCs w:val="24"/>
        </w:rPr>
        <w:t>А3.</w:t>
      </w:r>
      <w:r w:rsidRPr="00303DEC">
        <w:rPr>
          <w:b/>
          <w:szCs w:val="24"/>
        </w:rPr>
        <w:t>1. Алгоритм определения показаний к проведению первого лейкафереза при мобилизации ГСК в режиме «ХТ+ Г-КСФ</w:t>
      </w:r>
      <w:r w:rsidR="0018015E" w:rsidRPr="0018015E">
        <w:rPr>
          <w:b/>
          <w:szCs w:val="24"/>
        </w:rPr>
        <w:t>**</w:t>
      </w:r>
      <w:r w:rsidRPr="00303DEC">
        <w:rPr>
          <w:b/>
          <w:szCs w:val="24"/>
        </w:rPr>
        <w:t xml:space="preserve">». </w:t>
      </w:r>
      <w:r w:rsidRPr="00303DEC">
        <w:rPr>
          <w:i/>
          <w:szCs w:val="24"/>
        </w:rPr>
        <w:t>ХТ – химиотерапия, МТА – миелотоксический агранулоцитоз</w:t>
      </w:r>
    </w:p>
    <w:p w14:paraId="55FAC990" w14:textId="156E15C3" w:rsidR="00C44D05" w:rsidRPr="0095427D" w:rsidRDefault="00C44D05" w:rsidP="00BD15B7">
      <w:pPr>
        <w:spacing w:before="0" w:after="0"/>
        <w:ind w:firstLine="709"/>
        <w:rPr>
          <w:szCs w:val="24"/>
        </w:rPr>
      </w:pPr>
      <w:r w:rsidRPr="0095427D">
        <w:rPr>
          <w:szCs w:val="24"/>
        </w:rPr>
        <w:t>Данная схема мобилизации ГСК применяется в период индукции пе</w:t>
      </w:r>
      <w:r w:rsidR="00BD15B7">
        <w:rPr>
          <w:szCs w:val="24"/>
        </w:rPr>
        <w:t>рвой или второй ремиссии при ММ</w:t>
      </w:r>
      <w:r w:rsidRPr="0095427D">
        <w:rPr>
          <w:szCs w:val="24"/>
        </w:rPr>
        <w:t xml:space="preserve">. </w:t>
      </w:r>
      <w:r w:rsidR="00BD15B7">
        <w:rPr>
          <w:szCs w:val="24"/>
        </w:rPr>
        <w:t>П</w:t>
      </w:r>
      <w:r w:rsidRPr="0095427D">
        <w:rPr>
          <w:szCs w:val="24"/>
        </w:rPr>
        <w:t>ри ММ чаще используется циклофосфа</w:t>
      </w:r>
      <w:r w:rsidR="0018015E">
        <w:rPr>
          <w:szCs w:val="24"/>
        </w:rPr>
        <w:t>мид</w:t>
      </w:r>
      <w:r w:rsidR="0018015E" w:rsidRPr="0018015E">
        <w:rPr>
          <w:szCs w:val="24"/>
        </w:rPr>
        <w:t>**</w:t>
      </w:r>
      <w:r w:rsidRPr="0095427D">
        <w:rPr>
          <w:szCs w:val="24"/>
        </w:rPr>
        <w:t xml:space="preserve">, также возможны схемы </w:t>
      </w:r>
      <w:r w:rsidRPr="0095427D">
        <w:rPr>
          <w:szCs w:val="24"/>
          <w:lang w:val="en-US"/>
        </w:rPr>
        <w:t>VD</w:t>
      </w:r>
      <w:r w:rsidRPr="0095427D">
        <w:rPr>
          <w:szCs w:val="24"/>
        </w:rPr>
        <w:t>-</w:t>
      </w:r>
      <w:r w:rsidRPr="0095427D">
        <w:rPr>
          <w:szCs w:val="24"/>
          <w:lang w:val="en-US"/>
        </w:rPr>
        <w:t>PACE</w:t>
      </w:r>
      <w:r w:rsidRPr="0095427D">
        <w:rPr>
          <w:szCs w:val="24"/>
        </w:rPr>
        <w:t xml:space="preserve">, </w:t>
      </w:r>
      <w:r w:rsidRPr="0095427D">
        <w:rPr>
          <w:szCs w:val="24"/>
          <w:lang w:val="en-US"/>
        </w:rPr>
        <w:t>DHAP</w:t>
      </w:r>
      <w:r>
        <w:rPr>
          <w:szCs w:val="24"/>
        </w:rPr>
        <w:t>, средние дозы цит</w:t>
      </w:r>
      <w:r w:rsidR="00312237">
        <w:rPr>
          <w:szCs w:val="24"/>
        </w:rPr>
        <w:t>а</w:t>
      </w:r>
      <w:r>
        <w:rPr>
          <w:szCs w:val="24"/>
        </w:rPr>
        <w:t>рабина</w:t>
      </w:r>
      <w:r w:rsidR="00312237" w:rsidRPr="00312237">
        <w:rPr>
          <w:szCs w:val="24"/>
        </w:rPr>
        <w:t>**</w:t>
      </w:r>
      <w:r>
        <w:rPr>
          <w:szCs w:val="24"/>
        </w:rPr>
        <w:t xml:space="preserve"> (1,6 мг/м</w:t>
      </w:r>
      <w:r>
        <w:rPr>
          <w:szCs w:val="24"/>
          <w:vertAlign w:val="superscript"/>
        </w:rPr>
        <w:t>2</w:t>
      </w:r>
      <w:r>
        <w:rPr>
          <w:szCs w:val="24"/>
        </w:rPr>
        <w:t xml:space="preserve">) </w:t>
      </w:r>
      <w:r>
        <w:rPr>
          <w:szCs w:val="24"/>
        </w:rPr>
        <w:fldChar w:fldCharType="begin" w:fldLock="1"/>
      </w:r>
      <w:r w:rsidR="00E430FD">
        <w:rPr>
          <w:szCs w:val="24"/>
        </w:rPr>
        <w:instrText>ADDIN CSL_CITATION {"citationItems":[{"id":"ITEM-1","itemData":{"DOI":"http://dx.doi.org/10.18821/0234-5730-2017-62-4-180-187","author":[{"dropping-particle":"","family":"Бабенецкая Д.В., Моторин Д.В., Петров А.В., Алексеева Ю.А.","given":"Зарицкий А.Ю.","non-dropping-particle":"","parse-names":false,"suffix":""}],"container-title":"Гематология и трансфузиология.","id":"ITEM-1","issue":"62(4)","issued":{"date-parts":[["2017"]]},"page":"180-187.","title":"Мобилизация гемопоэтических стволовых клеток препаратами циклофосфамид и цитарабин в сочетании с колониестимулирующим фактором у больных множественной миеломой, кандидатов для проведения трансплантации аутологичных гемопоэтических стволовых клеток","type":"article-journal"},"uris":["http://www.mendeley.com/documents/?uuid=18434bdd-f835-497e-85ae-9a174b52514e"]}],"mendeley":{"formattedCitation":"[106]","plainTextFormattedCitation":"[106]","previouslyFormattedCitation":"[106]"},"properties":{"noteIndex":0},"schema":"https://github.com/citation-style-language/schema/raw/master/csl-citation.json"}</w:instrText>
      </w:r>
      <w:r>
        <w:rPr>
          <w:szCs w:val="24"/>
        </w:rPr>
        <w:fldChar w:fldCharType="separate"/>
      </w:r>
      <w:r w:rsidR="00E430FD" w:rsidRPr="00E430FD">
        <w:rPr>
          <w:noProof/>
          <w:szCs w:val="24"/>
        </w:rPr>
        <w:t>[106]</w:t>
      </w:r>
      <w:r>
        <w:rPr>
          <w:szCs w:val="24"/>
        </w:rPr>
        <w:fldChar w:fldCharType="end"/>
      </w:r>
      <w:r w:rsidRPr="0095427D">
        <w:rPr>
          <w:szCs w:val="24"/>
        </w:rPr>
        <w:t xml:space="preserve">. </w:t>
      </w:r>
    </w:p>
    <w:p w14:paraId="1113739B" w14:textId="77777777" w:rsidR="00C44D05" w:rsidRPr="0095427D" w:rsidRDefault="00C44D05" w:rsidP="00BD15B7">
      <w:pPr>
        <w:spacing w:before="0" w:after="0"/>
        <w:ind w:firstLine="709"/>
        <w:rPr>
          <w:szCs w:val="24"/>
        </w:rPr>
      </w:pPr>
      <w:r w:rsidRPr="0095427D">
        <w:rPr>
          <w:szCs w:val="24"/>
        </w:rPr>
        <w:t>Если период МТА осложнился тяжелым инфекционным процессом и к моменту сбора ГСК сохраняются осложнения, угрожающие жизни, от лейкафереза следует воздержаться. Если состояние стабилизировано, мобилизация и сбор ГСК продолжаются.</w:t>
      </w:r>
    </w:p>
    <w:p w14:paraId="3246B011" w14:textId="4B162870" w:rsidR="00C44D05" w:rsidRPr="0095427D" w:rsidRDefault="00C44D05" w:rsidP="00BD15B7">
      <w:pPr>
        <w:spacing w:before="0" w:after="0"/>
        <w:ind w:firstLine="709"/>
        <w:rPr>
          <w:szCs w:val="24"/>
        </w:rPr>
      </w:pPr>
      <w:r w:rsidRPr="0095427D">
        <w:rPr>
          <w:szCs w:val="24"/>
        </w:rPr>
        <w:lastRenderedPageBreak/>
        <w:t>По данным ретроспективного исследования, сравнивающего эффективность и переносимость высоких и промежуточных доз циклофосфа</w:t>
      </w:r>
      <w:r w:rsidR="00312237">
        <w:rPr>
          <w:szCs w:val="24"/>
        </w:rPr>
        <w:t>мида</w:t>
      </w:r>
      <w:r w:rsidR="00312237" w:rsidRPr="00312237">
        <w:rPr>
          <w:szCs w:val="24"/>
        </w:rPr>
        <w:t>**</w:t>
      </w:r>
      <w:r w:rsidRPr="0095427D">
        <w:rPr>
          <w:szCs w:val="24"/>
        </w:rPr>
        <w:t>, оказалось, что доза 4 г/м</w:t>
      </w:r>
      <w:r w:rsidRPr="0095427D">
        <w:rPr>
          <w:szCs w:val="24"/>
          <w:vertAlign w:val="superscript"/>
        </w:rPr>
        <w:t>2</w:t>
      </w:r>
      <w:r w:rsidRPr="0095427D">
        <w:rPr>
          <w:szCs w:val="24"/>
        </w:rPr>
        <w:t xml:space="preserve"> является оптимальной. При использовании данной дозы удавалось собрать необходимое для двух трансплантаций количество </w:t>
      </w:r>
      <w:r w:rsidRPr="0095427D">
        <w:rPr>
          <w:szCs w:val="24"/>
          <w:lang w:val="en-US"/>
        </w:rPr>
        <w:t>CD</w:t>
      </w:r>
      <w:r w:rsidRPr="0095427D">
        <w:rPr>
          <w:szCs w:val="24"/>
        </w:rPr>
        <w:t>34+ клеток, при этом тромбоцитопения была кратковременной, что способствовало меньшей потребности в заместительной трансфузионной терапии, по сравнению с применением высоких доз циклофосфа</w:t>
      </w:r>
      <w:r w:rsidR="00312237">
        <w:rPr>
          <w:szCs w:val="24"/>
        </w:rPr>
        <w:t>мида</w:t>
      </w:r>
      <w:r w:rsidR="00312237" w:rsidRPr="00312237">
        <w:rPr>
          <w:szCs w:val="24"/>
        </w:rPr>
        <w:t>**</w:t>
      </w:r>
      <w:r w:rsidRPr="0095427D">
        <w:rPr>
          <w:szCs w:val="24"/>
        </w:rPr>
        <w:t xml:space="preserve"> </w:t>
      </w:r>
      <w:r w:rsidRPr="0095427D">
        <w:rPr>
          <w:szCs w:val="24"/>
        </w:rPr>
        <w:fldChar w:fldCharType="begin" w:fldLock="1"/>
      </w:r>
      <w:r w:rsidR="00E430FD">
        <w:rPr>
          <w:szCs w:val="24"/>
        </w:rPr>
        <w:instrText>ADDIN CSL_CITATION {"citationItems":[{"id":"ITEM-1","itemData":{"author":[{"dropping-particle":"","family":"Покровская","given":"О.С.","non-dropping-particle":"","parse-names":false,"suffix":""}],"id":"ITEM-1","issued":{"date-parts":[["2011"]]},"number-of-pages":"29","title":"Кроветворная ткань и стромальное микроокружение в процессе интенсивной терапии и мобилизации гемопоэтических стволовых клеток у больных множественной миеломой: Автореф. дис.канд.мед.наук.","type":"book","volume":"153"},"uris":["http://www.mendeley.com/documents/?uuid=df9a843f-a2d8-42ee-9e40-dfba104520d3"]}],"mendeley":{"formattedCitation":"[107]","plainTextFormattedCitation":"[107]","previouslyFormattedCitation":"[107]"},"properties":{"noteIndex":0},"schema":"https://github.com/citation-style-language/schema/raw/master/csl-citation.json"}</w:instrText>
      </w:r>
      <w:r w:rsidRPr="0095427D">
        <w:rPr>
          <w:szCs w:val="24"/>
        </w:rPr>
        <w:fldChar w:fldCharType="separate"/>
      </w:r>
      <w:r w:rsidR="00E430FD" w:rsidRPr="00E430FD">
        <w:rPr>
          <w:noProof/>
          <w:szCs w:val="24"/>
        </w:rPr>
        <w:t>[107]</w:t>
      </w:r>
      <w:r w:rsidRPr="0095427D">
        <w:rPr>
          <w:szCs w:val="24"/>
        </w:rPr>
        <w:fldChar w:fldCharType="end"/>
      </w:r>
      <w:r w:rsidRPr="0095427D">
        <w:rPr>
          <w:szCs w:val="24"/>
        </w:rPr>
        <w:t xml:space="preserve">. </w:t>
      </w:r>
    </w:p>
    <w:p w14:paraId="5CDD3CD6" w14:textId="4B21EEDC" w:rsidR="00C44D05" w:rsidRPr="00303DEC" w:rsidRDefault="00C44D05" w:rsidP="00BD15B7">
      <w:pPr>
        <w:spacing w:before="0" w:after="0"/>
        <w:ind w:firstLine="709"/>
        <w:rPr>
          <w:szCs w:val="24"/>
        </w:rPr>
      </w:pPr>
      <w:r w:rsidRPr="00303DEC">
        <w:rPr>
          <w:szCs w:val="24"/>
        </w:rPr>
        <w:t xml:space="preserve">Стандартная схема мобилизации ГСК при ММ, применяемая в настоящее время: </w:t>
      </w:r>
      <w:r>
        <w:rPr>
          <w:szCs w:val="24"/>
        </w:rPr>
        <w:t>ц</w:t>
      </w:r>
      <w:r w:rsidRPr="00303DEC">
        <w:rPr>
          <w:szCs w:val="24"/>
        </w:rPr>
        <w:t>иклофосфа</w:t>
      </w:r>
      <w:r w:rsidR="00312237">
        <w:rPr>
          <w:szCs w:val="24"/>
        </w:rPr>
        <w:t>мид</w:t>
      </w:r>
      <w:r w:rsidR="00312237" w:rsidRPr="00312237">
        <w:rPr>
          <w:szCs w:val="24"/>
        </w:rPr>
        <w:t>**</w:t>
      </w:r>
      <w:r w:rsidRPr="00303DEC">
        <w:rPr>
          <w:szCs w:val="24"/>
        </w:rPr>
        <w:t xml:space="preserve"> 4 г/м</w:t>
      </w:r>
      <w:r w:rsidRPr="00303DEC">
        <w:rPr>
          <w:szCs w:val="24"/>
          <w:vertAlign w:val="superscript"/>
        </w:rPr>
        <w:t>2</w:t>
      </w:r>
      <w:r w:rsidRPr="00303DEC">
        <w:rPr>
          <w:szCs w:val="24"/>
        </w:rPr>
        <w:t xml:space="preserve"> + Г-КСФ</w:t>
      </w:r>
      <w:r w:rsidR="00312237" w:rsidRPr="00312237">
        <w:rPr>
          <w:szCs w:val="24"/>
        </w:rPr>
        <w:t>**</w:t>
      </w:r>
      <w:r w:rsidRPr="00303DEC">
        <w:rPr>
          <w:szCs w:val="24"/>
        </w:rPr>
        <w:t xml:space="preserve"> в дозе 5 мкг/кг/сут.</w:t>
      </w:r>
    </w:p>
    <w:p w14:paraId="2CAF0EC1" w14:textId="1F391544" w:rsidR="00C44D05" w:rsidRDefault="00C44D05" w:rsidP="002F6CE5">
      <w:pPr>
        <w:spacing w:before="0" w:after="0"/>
        <w:ind w:firstLine="709"/>
        <w:rPr>
          <w:szCs w:val="24"/>
        </w:rPr>
      </w:pPr>
      <w:r w:rsidRPr="0095427D">
        <w:rPr>
          <w:szCs w:val="24"/>
        </w:rPr>
        <w:t>Ориентировочно через 7 дней после введения химиопрепарата отмечается развитие МТА, что является показанием для назначения Г-КСФ</w:t>
      </w:r>
      <w:r w:rsidR="00312237" w:rsidRPr="00312237">
        <w:rPr>
          <w:szCs w:val="24"/>
        </w:rPr>
        <w:t>**</w:t>
      </w:r>
      <w:r w:rsidRPr="0095427D">
        <w:rPr>
          <w:szCs w:val="24"/>
        </w:rPr>
        <w:t xml:space="preserve"> в дозе 5 мкг/кг/сут. В случае если МТА не развивается, доза Г-КСФ</w:t>
      </w:r>
      <w:r w:rsidR="00312237" w:rsidRPr="00312237">
        <w:rPr>
          <w:szCs w:val="24"/>
        </w:rPr>
        <w:t>**</w:t>
      </w:r>
      <w:r w:rsidRPr="0095427D">
        <w:rPr>
          <w:szCs w:val="24"/>
        </w:rPr>
        <w:t xml:space="preserve"> увеличивается до 10 мкг/кг/сут. На 6-8 день введения Г-КСФ</w:t>
      </w:r>
      <w:r w:rsidR="00312237" w:rsidRPr="00312237">
        <w:rPr>
          <w:szCs w:val="24"/>
        </w:rPr>
        <w:t>**</w:t>
      </w:r>
      <w:r w:rsidRPr="0095427D">
        <w:rPr>
          <w:szCs w:val="24"/>
        </w:rPr>
        <w:t xml:space="preserve"> начинаются процедуры лейкафереза. Медиана даты первого сбора ГСК – 15 день после введения циклофосф</w:t>
      </w:r>
      <w:r w:rsidR="00312237">
        <w:rPr>
          <w:szCs w:val="24"/>
        </w:rPr>
        <w:t>амида</w:t>
      </w:r>
      <w:r w:rsidR="00312237" w:rsidRPr="00312237">
        <w:rPr>
          <w:szCs w:val="24"/>
        </w:rPr>
        <w:t>**</w:t>
      </w:r>
      <w:r w:rsidRPr="0095427D">
        <w:rPr>
          <w:szCs w:val="24"/>
        </w:rPr>
        <w:t>.</w:t>
      </w:r>
    </w:p>
    <w:p w14:paraId="52D5C58C" w14:textId="216DBCEA" w:rsidR="00C44D05" w:rsidRPr="00BD15B7" w:rsidRDefault="00C44D05" w:rsidP="008F161A">
      <w:pPr>
        <w:pStyle w:val="a6"/>
        <w:numPr>
          <w:ilvl w:val="0"/>
          <w:numId w:val="126"/>
        </w:numPr>
        <w:tabs>
          <w:tab w:val="left" w:pos="426"/>
        </w:tabs>
        <w:spacing w:before="0" w:after="0"/>
        <w:ind w:left="0" w:firstLine="0"/>
        <w:rPr>
          <w:b/>
        </w:rPr>
      </w:pPr>
      <w:bookmarkStart w:id="78" w:name="_Toc44926607"/>
      <w:r w:rsidRPr="00BD15B7">
        <w:rPr>
          <w:b/>
        </w:rPr>
        <w:t>Г-КСФ</w:t>
      </w:r>
      <w:r w:rsidR="00312237" w:rsidRPr="00F47D91">
        <w:rPr>
          <w:b/>
        </w:rPr>
        <w:t>**</w:t>
      </w:r>
      <w:r w:rsidRPr="00BD15B7">
        <w:rPr>
          <w:b/>
        </w:rPr>
        <w:t xml:space="preserve"> в сочетании с плериксафором</w:t>
      </w:r>
      <w:bookmarkEnd w:id="78"/>
    </w:p>
    <w:p w14:paraId="6E0877FA" w14:textId="77777777" w:rsidR="00C44D05" w:rsidRPr="0095427D" w:rsidRDefault="00C44D05" w:rsidP="002431B5">
      <w:pPr>
        <w:spacing w:before="0"/>
        <w:contextualSpacing/>
        <w:rPr>
          <w:b/>
          <w:szCs w:val="24"/>
        </w:rPr>
      </w:pPr>
      <w:r w:rsidRPr="0095427D">
        <w:rPr>
          <w:b/>
          <w:szCs w:val="24"/>
        </w:rPr>
        <w:t>Показания</w:t>
      </w:r>
    </w:p>
    <w:p w14:paraId="55EFB625" w14:textId="1B38EC2C" w:rsidR="00C44D05" w:rsidRPr="0095427D" w:rsidRDefault="00C44D05" w:rsidP="008F161A">
      <w:pPr>
        <w:numPr>
          <w:ilvl w:val="0"/>
          <w:numId w:val="125"/>
        </w:numPr>
        <w:tabs>
          <w:tab w:val="left" w:pos="851"/>
        </w:tabs>
        <w:spacing w:before="0" w:after="0"/>
        <w:ind w:left="0" w:firstLine="709"/>
        <w:contextualSpacing/>
        <w:rPr>
          <w:szCs w:val="24"/>
        </w:rPr>
      </w:pPr>
      <w:r w:rsidRPr="0095427D">
        <w:rPr>
          <w:szCs w:val="24"/>
        </w:rPr>
        <w:t>Повторная мобилизация после неудачи первой мобилизации ГСК схемами, включающими миелосупрессивные препараты в сочетании с Г-КСФ</w:t>
      </w:r>
      <w:r w:rsidR="00F47D91" w:rsidRPr="00F47D91">
        <w:rPr>
          <w:szCs w:val="24"/>
        </w:rPr>
        <w:t>**</w:t>
      </w:r>
      <w:r w:rsidRPr="0095427D">
        <w:rPr>
          <w:szCs w:val="24"/>
        </w:rPr>
        <w:t xml:space="preserve"> или применения Г-КСФ</w:t>
      </w:r>
      <w:r w:rsidR="00F47D91" w:rsidRPr="00F47D91">
        <w:rPr>
          <w:szCs w:val="24"/>
        </w:rPr>
        <w:t>**</w:t>
      </w:r>
      <w:r w:rsidRPr="0095427D">
        <w:rPr>
          <w:szCs w:val="24"/>
        </w:rPr>
        <w:t xml:space="preserve"> в монорежиме у пациентов с лимфомами и ММ;</w:t>
      </w:r>
    </w:p>
    <w:p w14:paraId="682B7ABD" w14:textId="77777777" w:rsidR="00C44D05" w:rsidRPr="0095427D" w:rsidRDefault="00C44D05" w:rsidP="008F161A">
      <w:pPr>
        <w:numPr>
          <w:ilvl w:val="0"/>
          <w:numId w:val="125"/>
        </w:numPr>
        <w:tabs>
          <w:tab w:val="left" w:pos="851"/>
        </w:tabs>
        <w:spacing w:before="0" w:after="0"/>
        <w:ind w:left="0" w:firstLine="709"/>
        <w:contextualSpacing/>
        <w:rPr>
          <w:szCs w:val="24"/>
        </w:rPr>
      </w:pPr>
      <w:r w:rsidRPr="0095427D">
        <w:rPr>
          <w:szCs w:val="24"/>
        </w:rPr>
        <w:t>Неудовлетворительные результаты текущей мобилизации у пациентов с лимфомами и ММ.</w:t>
      </w:r>
    </w:p>
    <w:p w14:paraId="67108192" w14:textId="77777777" w:rsidR="00C44D05" w:rsidRPr="0095427D" w:rsidRDefault="00C44D05" w:rsidP="00BD15B7">
      <w:pPr>
        <w:spacing w:before="0" w:after="0"/>
        <w:ind w:firstLine="709"/>
        <w:rPr>
          <w:szCs w:val="24"/>
        </w:rPr>
      </w:pPr>
      <w:r w:rsidRPr="0095427D">
        <w:rPr>
          <w:szCs w:val="24"/>
        </w:rPr>
        <w:t>Неудовлетворительные результаты текущей мобилизации:</w:t>
      </w:r>
    </w:p>
    <w:p w14:paraId="7F47A0DE" w14:textId="77777777" w:rsidR="00C44D05" w:rsidRPr="0095427D" w:rsidRDefault="00C44D05" w:rsidP="00BD15B7">
      <w:pPr>
        <w:spacing w:before="0" w:after="0"/>
        <w:ind w:firstLine="709"/>
        <w:rPr>
          <w:szCs w:val="24"/>
        </w:rPr>
      </w:pPr>
      <w:r w:rsidRPr="0095427D">
        <w:rPr>
          <w:szCs w:val="24"/>
        </w:rPr>
        <w:t>а) количество CD34+ клеток в периферической крови в день предполагаемого первого лейкафереза менее 10 клеток/мкл (при планируемой одной аутотрансплантации) и 10-20 клеток/мкл (при планируемой тандемной аутотрансплантации);</w:t>
      </w:r>
    </w:p>
    <w:p w14:paraId="79F354E3" w14:textId="77777777" w:rsidR="00C44D05" w:rsidRPr="0095427D" w:rsidRDefault="00C44D05" w:rsidP="002431B5">
      <w:pPr>
        <w:spacing w:before="0" w:after="0"/>
        <w:rPr>
          <w:szCs w:val="24"/>
        </w:rPr>
      </w:pPr>
      <w:r w:rsidRPr="0095427D">
        <w:rPr>
          <w:szCs w:val="24"/>
        </w:rPr>
        <w:t>б) за первый лейкаферез заготовлено менее 30-50% от необходимого количества CD34+ клеток.</w:t>
      </w:r>
    </w:p>
    <w:p w14:paraId="070C8C6B" w14:textId="77777777" w:rsidR="00C44D05" w:rsidRPr="0095427D" w:rsidRDefault="00C44D05" w:rsidP="002431B5">
      <w:pPr>
        <w:spacing w:before="0"/>
        <w:contextualSpacing/>
        <w:rPr>
          <w:b/>
          <w:szCs w:val="24"/>
        </w:rPr>
      </w:pPr>
      <w:r w:rsidRPr="0095427D">
        <w:rPr>
          <w:b/>
          <w:szCs w:val="24"/>
        </w:rPr>
        <w:t>Схема мобилизации ГСК</w:t>
      </w:r>
    </w:p>
    <w:p w14:paraId="07739368" w14:textId="35F47C1A" w:rsidR="00C44D05" w:rsidRPr="0095427D" w:rsidRDefault="00C44D05" w:rsidP="00BD15B7">
      <w:pPr>
        <w:spacing w:before="0"/>
        <w:ind w:firstLine="709"/>
        <w:rPr>
          <w:szCs w:val="24"/>
        </w:rPr>
      </w:pPr>
      <w:r w:rsidRPr="0095427D">
        <w:rPr>
          <w:szCs w:val="24"/>
        </w:rPr>
        <w:t>Г-КСФ</w:t>
      </w:r>
      <w:r w:rsidR="00F47D91" w:rsidRPr="00F47D91">
        <w:rPr>
          <w:szCs w:val="24"/>
        </w:rPr>
        <w:t>**</w:t>
      </w:r>
      <w:r w:rsidRPr="0095427D">
        <w:rPr>
          <w:szCs w:val="24"/>
        </w:rPr>
        <w:t xml:space="preserve"> назначают в дозе 10 мкг/кг/сутки, вводят подкожно утром. На четвертый день введения Г-КСФ</w:t>
      </w:r>
      <w:r w:rsidR="00F47D91" w:rsidRPr="00F47D91">
        <w:rPr>
          <w:szCs w:val="24"/>
        </w:rPr>
        <w:t>**</w:t>
      </w:r>
      <w:r w:rsidRPr="0095427D">
        <w:rPr>
          <w:szCs w:val="24"/>
        </w:rPr>
        <w:t xml:space="preserve"> плериксафор назначается за 12 часов до лейкафереза </w:t>
      </w:r>
      <w:r>
        <w:rPr>
          <w:szCs w:val="24"/>
        </w:rPr>
        <w:t>в дозе 240 мкг/кг подкожно</w:t>
      </w:r>
      <w:r w:rsidRPr="0095427D">
        <w:rPr>
          <w:szCs w:val="24"/>
        </w:rPr>
        <w:t xml:space="preserve">. По результатам лейкафереза решается вопрос о необходимости повторного введения плериксафора (таблица </w:t>
      </w:r>
      <w:r w:rsidR="006A10AB">
        <w:rPr>
          <w:szCs w:val="24"/>
        </w:rPr>
        <w:t>А3.</w:t>
      </w:r>
      <w:r w:rsidRPr="0095427D">
        <w:rPr>
          <w:szCs w:val="24"/>
        </w:rPr>
        <w:t>2). Возможно применение нескольких введений плериксафора.</w:t>
      </w:r>
    </w:p>
    <w:p w14:paraId="77EAA889" w14:textId="6B6DF3DB" w:rsidR="00C44D05" w:rsidRPr="0095427D" w:rsidRDefault="00C44D05" w:rsidP="00BD15B7">
      <w:pPr>
        <w:spacing w:before="0" w:after="0"/>
        <w:jc w:val="center"/>
        <w:rPr>
          <w:szCs w:val="24"/>
        </w:rPr>
      </w:pPr>
      <w:r w:rsidRPr="0095427D">
        <w:rPr>
          <w:szCs w:val="24"/>
        </w:rPr>
        <w:t xml:space="preserve">Таблица </w:t>
      </w:r>
      <w:r w:rsidR="00CD6C97">
        <w:rPr>
          <w:szCs w:val="24"/>
        </w:rPr>
        <w:t>А</w:t>
      </w:r>
      <w:r w:rsidR="006A10AB">
        <w:rPr>
          <w:szCs w:val="24"/>
        </w:rPr>
        <w:t>3.</w:t>
      </w:r>
      <w:r w:rsidRPr="0095427D">
        <w:rPr>
          <w:szCs w:val="24"/>
        </w:rPr>
        <w:t>2. Схема мобилизации ГСК «Г-КСФ</w:t>
      </w:r>
      <w:r w:rsidR="00F47D91" w:rsidRPr="00F47D91">
        <w:rPr>
          <w:szCs w:val="24"/>
        </w:rPr>
        <w:t>**</w:t>
      </w:r>
      <w:r w:rsidRPr="0095427D">
        <w:rPr>
          <w:szCs w:val="24"/>
        </w:rPr>
        <w:t xml:space="preserve"> + плериксафор»</w:t>
      </w:r>
    </w:p>
    <w:tbl>
      <w:tblPr>
        <w:tblStyle w:val="14"/>
        <w:tblW w:w="0" w:type="auto"/>
        <w:jc w:val="center"/>
        <w:tblLook w:val="04A0" w:firstRow="1" w:lastRow="0" w:firstColumn="1" w:lastColumn="0" w:noHBand="0" w:noVBand="1"/>
      </w:tblPr>
      <w:tblGrid>
        <w:gridCol w:w="1651"/>
        <w:gridCol w:w="1133"/>
        <w:gridCol w:w="1129"/>
        <w:gridCol w:w="1129"/>
        <w:gridCol w:w="1132"/>
        <w:gridCol w:w="1133"/>
        <w:gridCol w:w="1133"/>
      </w:tblGrid>
      <w:tr w:rsidR="00C44D05" w:rsidRPr="00303DEC" w14:paraId="48A31FC2" w14:textId="77777777" w:rsidTr="00F47D91">
        <w:trPr>
          <w:tblHeader/>
          <w:jc w:val="center"/>
        </w:trPr>
        <w:tc>
          <w:tcPr>
            <w:tcW w:w="1651" w:type="dxa"/>
          </w:tcPr>
          <w:p w14:paraId="005092F9" w14:textId="77777777" w:rsidR="00C44D05" w:rsidRPr="00303DEC" w:rsidRDefault="00C44D05" w:rsidP="00292402">
            <w:pPr>
              <w:spacing w:before="0" w:after="0"/>
            </w:pPr>
            <w:r w:rsidRPr="00303DEC">
              <w:lastRenderedPageBreak/>
              <w:t>Дни</w:t>
            </w:r>
          </w:p>
        </w:tc>
        <w:tc>
          <w:tcPr>
            <w:tcW w:w="1133" w:type="dxa"/>
          </w:tcPr>
          <w:p w14:paraId="2E231008" w14:textId="77777777" w:rsidR="00C44D05" w:rsidRPr="00303DEC" w:rsidRDefault="00C44D05" w:rsidP="00292402">
            <w:pPr>
              <w:spacing w:before="0" w:after="0"/>
            </w:pPr>
            <w:r w:rsidRPr="00303DEC">
              <w:t>1</w:t>
            </w:r>
          </w:p>
        </w:tc>
        <w:tc>
          <w:tcPr>
            <w:tcW w:w="1129" w:type="dxa"/>
          </w:tcPr>
          <w:p w14:paraId="122AD7E1" w14:textId="77777777" w:rsidR="00C44D05" w:rsidRPr="00303DEC" w:rsidRDefault="00C44D05" w:rsidP="00292402">
            <w:pPr>
              <w:spacing w:before="0" w:after="0"/>
            </w:pPr>
            <w:r w:rsidRPr="00303DEC">
              <w:t>2</w:t>
            </w:r>
          </w:p>
        </w:tc>
        <w:tc>
          <w:tcPr>
            <w:tcW w:w="1129" w:type="dxa"/>
          </w:tcPr>
          <w:p w14:paraId="10A893DB" w14:textId="77777777" w:rsidR="00C44D05" w:rsidRPr="00303DEC" w:rsidRDefault="00C44D05" w:rsidP="00292402">
            <w:pPr>
              <w:spacing w:before="0" w:after="0"/>
            </w:pPr>
            <w:r w:rsidRPr="00303DEC">
              <w:t>3</w:t>
            </w:r>
          </w:p>
        </w:tc>
        <w:tc>
          <w:tcPr>
            <w:tcW w:w="1132" w:type="dxa"/>
          </w:tcPr>
          <w:p w14:paraId="2E3CE61E" w14:textId="77777777" w:rsidR="00C44D05" w:rsidRPr="00303DEC" w:rsidRDefault="00C44D05" w:rsidP="00292402">
            <w:pPr>
              <w:spacing w:before="0" w:after="0"/>
            </w:pPr>
            <w:r w:rsidRPr="00303DEC">
              <w:t>4</w:t>
            </w:r>
          </w:p>
        </w:tc>
        <w:tc>
          <w:tcPr>
            <w:tcW w:w="1133" w:type="dxa"/>
          </w:tcPr>
          <w:p w14:paraId="7154D128" w14:textId="77777777" w:rsidR="00C44D05" w:rsidRPr="00303DEC" w:rsidRDefault="00C44D05" w:rsidP="00292402">
            <w:pPr>
              <w:spacing w:before="0" w:after="0"/>
            </w:pPr>
            <w:r w:rsidRPr="00303DEC">
              <w:t>5</w:t>
            </w:r>
          </w:p>
        </w:tc>
        <w:tc>
          <w:tcPr>
            <w:tcW w:w="1133" w:type="dxa"/>
          </w:tcPr>
          <w:p w14:paraId="5DE8D794" w14:textId="77777777" w:rsidR="00C44D05" w:rsidRPr="00303DEC" w:rsidRDefault="00C44D05" w:rsidP="00292402">
            <w:pPr>
              <w:spacing w:before="0" w:after="0"/>
            </w:pPr>
            <w:r w:rsidRPr="00303DEC">
              <w:t>6</w:t>
            </w:r>
          </w:p>
        </w:tc>
      </w:tr>
      <w:tr w:rsidR="00C44D05" w:rsidRPr="00303DEC" w14:paraId="1C36D752" w14:textId="77777777" w:rsidTr="00C44D05">
        <w:trPr>
          <w:jc w:val="center"/>
        </w:trPr>
        <w:tc>
          <w:tcPr>
            <w:tcW w:w="1651" w:type="dxa"/>
          </w:tcPr>
          <w:p w14:paraId="35062AE5" w14:textId="68C012D2" w:rsidR="00C44D05" w:rsidRPr="00303DEC" w:rsidRDefault="00C44D05" w:rsidP="00292402">
            <w:pPr>
              <w:spacing w:before="0" w:after="0"/>
            </w:pPr>
            <w:r w:rsidRPr="00303DEC">
              <w:t>Г-КСФ</w:t>
            </w:r>
            <w:r w:rsidR="00F47D91">
              <w:rPr>
                <w:lang w:val="en-US"/>
              </w:rPr>
              <w:t>**</w:t>
            </w:r>
            <w:r w:rsidRPr="00303DEC">
              <w:t xml:space="preserve">, </w:t>
            </w:r>
          </w:p>
          <w:p w14:paraId="48A86FBA" w14:textId="77777777" w:rsidR="00C44D05" w:rsidRPr="00303DEC" w:rsidRDefault="00C44D05" w:rsidP="00292402">
            <w:pPr>
              <w:spacing w:before="0" w:after="0"/>
            </w:pPr>
            <w:r w:rsidRPr="00303DEC">
              <w:t>10 мкг/кг</w:t>
            </w:r>
          </w:p>
        </w:tc>
        <w:tc>
          <w:tcPr>
            <w:tcW w:w="1133" w:type="dxa"/>
          </w:tcPr>
          <w:p w14:paraId="00D318ED" w14:textId="77777777" w:rsidR="00C44D05" w:rsidRPr="00303DEC" w:rsidRDefault="00C44D05" w:rsidP="00292402">
            <w:pPr>
              <w:spacing w:before="0" w:after="0"/>
            </w:pPr>
            <w:r w:rsidRPr="00303DEC">
              <w:t>Х</w:t>
            </w:r>
          </w:p>
        </w:tc>
        <w:tc>
          <w:tcPr>
            <w:tcW w:w="1129" w:type="dxa"/>
          </w:tcPr>
          <w:p w14:paraId="3D6FF438" w14:textId="77777777" w:rsidR="00C44D05" w:rsidRPr="00303DEC" w:rsidRDefault="00C44D05" w:rsidP="00292402">
            <w:pPr>
              <w:spacing w:before="0" w:after="0"/>
            </w:pPr>
            <w:r w:rsidRPr="00303DEC">
              <w:t>Х</w:t>
            </w:r>
          </w:p>
        </w:tc>
        <w:tc>
          <w:tcPr>
            <w:tcW w:w="1129" w:type="dxa"/>
          </w:tcPr>
          <w:p w14:paraId="0AF8E410" w14:textId="77777777" w:rsidR="00C44D05" w:rsidRPr="00303DEC" w:rsidRDefault="00C44D05" w:rsidP="00292402">
            <w:pPr>
              <w:spacing w:before="0" w:after="0"/>
            </w:pPr>
            <w:r w:rsidRPr="00303DEC">
              <w:t>Х</w:t>
            </w:r>
          </w:p>
        </w:tc>
        <w:tc>
          <w:tcPr>
            <w:tcW w:w="1132" w:type="dxa"/>
          </w:tcPr>
          <w:p w14:paraId="0951DEFB" w14:textId="77777777" w:rsidR="00C44D05" w:rsidRPr="00303DEC" w:rsidRDefault="00C44D05" w:rsidP="00292402">
            <w:pPr>
              <w:spacing w:before="0" w:after="0"/>
            </w:pPr>
            <w:r w:rsidRPr="00303DEC">
              <w:t>Х</w:t>
            </w:r>
          </w:p>
        </w:tc>
        <w:tc>
          <w:tcPr>
            <w:tcW w:w="1133" w:type="dxa"/>
          </w:tcPr>
          <w:p w14:paraId="24E3FA42" w14:textId="77777777" w:rsidR="00C44D05" w:rsidRPr="00303DEC" w:rsidRDefault="00C44D05" w:rsidP="00292402">
            <w:pPr>
              <w:spacing w:before="0" w:after="0"/>
            </w:pPr>
            <w:r w:rsidRPr="00303DEC">
              <w:t>Х</w:t>
            </w:r>
          </w:p>
        </w:tc>
        <w:tc>
          <w:tcPr>
            <w:tcW w:w="1133" w:type="dxa"/>
          </w:tcPr>
          <w:p w14:paraId="59047CDC" w14:textId="77777777" w:rsidR="00C44D05" w:rsidRPr="00303DEC" w:rsidRDefault="00C44D05" w:rsidP="00292402">
            <w:pPr>
              <w:spacing w:before="0" w:after="0"/>
            </w:pPr>
          </w:p>
        </w:tc>
      </w:tr>
      <w:tr w:rsidR="00C44D05" w:rsidRPr="00303DEC" w14:paraId="46A4D45B" w14:textId="77777777" w:rsidTr="00C44D05">
        <w:trPr>
          <w:jc w:val="center"/>
        </w:trPr>
        <w:tc>
          <w:tcPr>
            <w:tcW w:w="1651" w:type="dxa"/>
          </w:tcPr>
          <w:p w14:paraId="7EEF1EA1" w14:textId="77777777" w:rsidR="00C44D05" w:rsidRPr="00303DEC" w:rsidRDefault="00C44D05" w:rsidP="00292402">
            <w:pPr>
              <w:spacing w:before="0" w:after="0"/>
            </w:pPr>
            <w:r w:rsidRPr="00303DEC">
              <w:t>Плериксафор, 240 мкг/кг</w:t>
            </w:r>
          </w:p>
        </w:tc>
        <w:tc>
          <w:tcPr>
            <w:tcW w:w="1133" w:type="dxa"/>
          </w:tcPr>
          <w:p w14:paraId="36770F62" w14:textId="77777777" w:rsidR="00C44D05" w:rsidRPr="00303DEC" w:rsidRDefault="00C44D05" w:rsidP="00292402">
            <w:pPr>
              <w:spacing w:before="0" w:after="0"/>
            </w:pPr>
          </w:p>
        </w:tc>
        <w:tc>
          <w:tcPr>
            <w:tcW w:w="1129" w:type="dxa"/>
          </w:tcPr>
          <w:p w14:paraId="1095F70D" w14:textId="77777777" w:rsidR="00C44D05" w:rsidRPr="00303DEC" w:rsidRDefault="00C44D05" w:rsidP="00292402">
            <w:pPr>
              <w:spacing w:before="0" w:after="0"/>
            </w:pPr>
          </w:p>
        </w:tc>
        <w:tc>
          <w:tcPr>
            <w:tcW w:w="1129" w:type="dxa"/>
          </w:tcPr>
          <w:p w14:paraId="64335608" w14:textId="77777777" w:rsidR="00C44D05" w:rsidRPr="00303DEC" w:rsidRDefault="00C44D05" w:rsidP="00292402">
            <w:pPr>
              <w:spacing w:before="0" w:after="0"/>
            </w:pPr>
          </w:p>
        </w:tc>
        <w:tc>
          <w:tcPr>
            <w:tcW w:w="1132" w:type="dxa"/>
          </w:tcPr>
          <w:p w14:paraId="20786679" w14:textId="77777777" w:rsidR="00C44D05" w:rsidRPr="00303DEC" w:rsidRDefault="00C44D05" w:rsidP="00292402">
            <w:pPr>
              <w:spacing w:before="0" w:after="0"/>
            </w:pPr>
            <w:r w:rsidRPr="00303DEC">
              <w:t>Х</w:t>
            </w:r>
          </w:p>
        </w:tc>
        <w:tc>
          <w:tcPr>
            <w:tcW w:w="1133" w:type="dxa"/>
          </w:tcPr>
          <w:p w14:paraId="45FFE335" w14:textId="77777777" w:rsidR="00C44D05" w:rsidRPr="00303DEC" w:rsidRDefault="00C44D05" w:rsidP="00292402">
            <w:pPr>
              <w:spacing w:before="0" w:after="0"/>
            </w:pPr>
            <w:r w:rsidRPr="00303DEC">
              <w:t>(Х)</w:t>
            </w:r>
          </w:p>
        </w:tc>
        <w:tc>
          <w:tcPr>
            <w:tcW w:w="1133" w:type="dxa"/>
          </w:tcPr>
          <w:p w14:paraId="04BC4B63" w14:textId="77777777" w:rsidR="00C44D05" w:rsidRPr="00303DEC" w:rsidRDefault="00C44D05" w:rsidP="00292402">
            <w:pPr>
              <w:spacing w:before="0" w:after="0"/>
            </w:pPr>
          </w:p>
        </w:tc>
      </w:tr>
      <w:tr w:rsidR="00C44D05" w:rsidRPr="00303DEC" w14:paraId="04006391" w14:textId="77777777" w:rsidTr="00C44D05">
        <w:trPr>
          <w:jc w:val="center"/>
        </w:trPr>
        <w:tc>
          <w:tcPr>
            <w:tcW w:w="1651" w:type="dxa"/>
          </w:tcPr>
          <w:p w14:paraId="3C737429" w14:textId="77777777" w:rsidR="00C44D05" w:rsidRPr="00303DEC" w:rsidRDefault="00C44D05" w:rsidP="00292402">
            <w:pPr>
              <w:spacing w:before="0" w:after="0"/>
            </w:pPr>
            <w:r>
              <w:t>Лейкаферез</w:t>
            </w:r>
          </w:p>
        </w:tc>
        <w:tc>
          <w:tcPr>
            <w:tcW w:w="1133" w:type="dxa"/>
          </w:tcPr>
          <w:p w14:paraId="343C1F37" w14:textId="77777777" w:rsidR="00C44D05" w:rsidRPr="00303DEC" w:rsidRDefault="00C44D05" w:rsidP="00292402">
            <w:pPr>
              <w:spacing w:before="0" w:after="0"/>
            </w:pPr>
          </w:p>
        </w:tc>
        <w:tc>
          <w:tcPr>
            <w:tcW w:w="1129" w:type="dxa"/>
          </w:tcPr>
          <w:p w14:paraId="01863E0D" w14:textId="77777777" w:rsidR="00C44D05" w:rsidRPr="00303DEC" w:rsidRDefault="00C44D05" w:rsidP="00292402">
            <w:pPr>
              <w:spacing w:before="0" w:after="0"/>
            </w:pPr>
          </w:p>
        </w:tc>
        <w:tc>
          <w:tcPr>
            <w:tcW w:w="1129" w:type="dxa"/>
          </w:tcPr>
          <w:p w14:paraId="16072DA0" w14:textId="77777777" w:rsidR="00C44D05" w:rsidRPr="00303DEC" w:rsidRDefault="00C44D05" w:rsidP="00292402">
            <w:pPr>
              <w:spacing w:before="0" w:after="0"/>
            </w:pPr>
          </w:p>
        </w:tc>
        <w:tc>
          <w:tcPr>
            <w:tcW w:w="1132" w:type="dxa"/>
          </w:tcPr>
          <w:p w14:paraId="2C6E0FBF" w14:textId="77777777" w:rsidR="00C44D05" w:rsidRPr="00303DEC" w:rsidRDefault="00C44D05" w:rsidP="00292402">
            <w:pPr>
              <w:spacing w:before="0" w:after="0"/>
            </w:pPr>
          </w:p>
        </w:tc>
        <w:tc>
          <w:tcPr>
            <w:tcW w:w="1133" w:type="dxa"/>
          </w:tcPr>
          <w:p w14:paraId="155ECF58" w14:textId="77777777" w:rsidR="00C44D05" w:rsidRPr="00303DEC" w:rsidRDefault="00C44D05" w:rsidP="00292402">
            <w:pPr>
              <w:spacing w:before="0" w:after="0"/>
              <w:rPr>
                <w:lang w:val="en-US"/>
              </w:rPr>
            </w:pPr>
            <w:r w:rsidRPr="00303DEC">
              <w:rPr>
                <w:lang w:val="en-US"/>
              </w:rPr>
              <w:t>V</w:t>
            </w:r>
          </w:p>
        </w:tc>
        <w:tc>
          <w:tcPr>
            <w:tcW w:w="1133" w:type="dxa"/>
          </w:tcPr>
          <w:p w14:paraId="71452098" w14:textId="77777777" w:rsidR="00C44D05" w:rsidRPr="00303DEC" w:rsidRDefault="00C44D05" w:rsidP="00292402">
            <w:pPr>
              <w:spacing w:before="0" w:after="0"/>
              <w:rPr>
                <w:lang w:val="en-US"/>
              </w:rPr>
            </w:pPr>
            <w:r w:rsidRPr="00303DEC">
              <w:rPr>
                <w:lang w:val="en-US"/>
              </w:rPr>
              <w:t>V</w:t>
            </w:r>
          </w:p>
        </w:tc>
      </w:tr>
    </w:tbl>
    <w:p w14:paraId="5CEB9F3C" w14:textId="77777777" w:rsidR="00C44D05" w:rsidRPr="00BD15B7" w:rsidRDefault="00C44D05" w:rsidP="008F161A">
      <w:pPr>
        <w:pStyle w:val="a6"/>
        <w:numPr>
          <w:ilvl w:val="0"/>
          <w:numId w:val="126"/>
        </w:numPr>
        <w:tabs>
          <w:tab w:val="left" w:pos="426"/>
        </w:tabs>
        <w:spacing w:after="0"/>
        <w:ind w:left="0" w:firstLine="0"/>
        <w:rPr>
          <w:b/>
        </w:rPr>
      </w:pPr>
      <w:bookmarkStart w:id="79" w:name="_Toc44926608"/>
      <w:r w:rsidRPr="00BD15B7">
        <w:rPr>
          <w:b/>
        </w:rPr>
        <w:t>Сравнительная характеристика режимов мобилизации ГСК</w:t>
      </w:r>
      <w:bookmarkEnd w:id="79"/>
    </w:p>
    <w:p w14:paraId="5648B336" w14:textId="090808CF" w:rsidR="00C44D05" w:rsidRDefault="00C44D05" w:rsidP="00BD15B7">
      <w:pPr>
        <w:spacing w:before="0" w:after="0"/>
        <w:ind w:firstLine="567"/>
        <w:rPr>
          <w:szCs w:val="24"/>
        </w:rPr>
      </w:pPr>
      <w:r w:rsidRPr="0095427D">
        <w:rPr>
          <w:szCs w:val="24"/>
        </w:rPr>
        <w:t>Проспективных рандомизированных исследований, сравнивающих методы мобилизации (только ростовой фактор или сочетание Г-КСФ</w:t>
      </w:r>
      <w:r w:rsidR="00F47D91" w:rsidRPr="00F47D91">
        <w:rPr>
          <w:szCs w:val="24"/>
        </w:rPr>
        <w:t>**</w:t>
      </w:r>
      <w:r w:rsidRPr="0095427D">
        <w:rPr>
          <w:szCs w:val="24"/>
        </w:rPr>
        <w:t xml:space="preserve"> с миелосупрессивной химиотерапией) на одном и том же контингенте больных не проводилось, а прямое сравнение различных исследований затруднено. В связи с этим оптимальный метод мобилизации ГСК определить невозможно. </w:t>
      </w:r>
    </w:p>
    <w:p w14:paraId="3E100678" w14:textId="3757036D" w:rsidR="00C44D05" w:rsidRDefault="00C44D05" w:rsidP="00BD15B7">
      <w:pPr>
        <w:spacing w:before="0" w:after="0"/>
        <w:ind w:firstLine="567"/>
        <w:rPr>
          <w:szCs w:val="24"/>
        </w:rPr>
      </w:pPr>
      <w:r w:rsidRPr="0095427D">
        <w:rPr>
          <w:szCs w:val="24"/>
        </w:rPr>
        <w:t xml:space="preserve">У каждого режима мобилизации ГСК есть определенные преимущества и недостатки, поэтому существует индивидуальный подход в выборе лечебной схемы в каждой конкретной ситуации (таблица </w:t>
      </w:r>
      <w:r w:rsidR="006A10AB">
        <w:rPr>
          <w:szCs w:val="24"/>
        </w:rPr>
        <w:t>А3.</w:t>
      </w:r>
      <w:r w:rsidRPr="0095427D">
        <w:rPr>
          <w:szCs w:val="24"/>
        </w:rPr>
        <w:t>3). Так, при использовании Г-КСФ</w:t>
      </w:r>
      <w:r w:rsidR="004C7BE9" w:rsidRPr="004C7BE9">
        <w:rPr>
          <w:szCs w:val="24"/>
        </w:rPr>
        <w:t>**</w:t>
      </w:r>
      <w:r w:rsidRPr="0095427D">
        <w:rPr>
          <w:szCs w:val="24"/>
        </w:rPr>
        <w:t xml:space="preserve"> в монорежиме уменьшаются сроки госпитализации, не наблюдаются осложнения, характерные для периода МТА, нет потребности в трансфузионной терапии. Применение этого режима является относительно безопасным у больных с диализ-зависимой почечной недостаточностью, пациентов </w:t>
      </w:r>
      <w:r>
        <w:rPr>
          <w:szCs w:val="24"/>
        </w:rPr>
        <w:t>с</w:t>
      </w:r>
      <w:r w:rsidRPr="0095427D">
        <w:rPr>
          <w:szCs w:val="24"/>
        </w:rPr>
        <w:t xml:space="preserve"> кардиальной патологией. </w:t>
      </w:r>
    </w:p>
    <w:p w14:paraId="07D4F9FF" w14:textId="666ACDF3" w:rsidR="00C44D05" w:rsidRPr="0095427D" w:rsidRDefault="00C44D05" w:rsidP="00BD15B7">
      <w:pPr>
        <w:spacing w:before="0" w:after="0"/>
        <w:ind w:firstLine="567"/>
        <w:rPr>
          <w:szCs w:val="24"/>
        </w:rPr>
      </w:pPr>
      <w:r w:rsidRPr="0095427D">
        <w:rPr>
          <w:szCs w:val="24"/>
        </w:rPr>
        <w:t>Но у больных с длительным анамнезом лечения велика вероятность неудовлетворительного результата сбора ГСК. Использование режима «ХТ+ Г-КСФ</w:t>
      </w:r>
      <w:r w:rsidR="004C7BE9" w:rsidRPr="004C7BE9">
        <w:rPr>
          <w:szCs w:val="24"/>
        </w:rPr>
        <w:t>**</w:t>
      </w:r>
      <w:r w:rsidRPr="0095427D">
        <w:rPr>
          <w:szCs w:val="24"/>
        </w:rPr>
        <w:t xml:space="preserve">» часто позволяет заготовить адекватное количество клеток, однако сопряжено с развитием инфекционных и токсических осложнений в период МТА, требует назначения массивной сопроводительной терапии, что удлиняет сроки госпитализации. </w:t>
      </w:r>
    </w:p>
    <w:p w14:paraId="10875B4B" w14:textId="621F8AE2" w:rsidR="00C44D05" w:rsidRPr="0095427D" w:rsidRDefault="00C44D05" w:rsidP="002431B5">
      <w:pPr>
        <w:spacing w:before="0"/>
        <w:rPr>
          <w:b/>
          <w:szCs w:val="24"/>
        </w:rPr>
      </w:pPr>
      <w:r w:rsidRPr="0095427D">
        <w:rPr>
          <w:b/>
          <w:szCs w:val="24"/>
        </w:rPr>
        <w:t xml:space="preserve">Таблица </w:t>
      </w:r>
      <w:r w:rsidR="006A10AB">
        <w:rPr>
          <w:b/>
          <w:szCs w:val="24"/>
        </w:rPr>
        <w:t>А3.</w:t>
      </w:r>
      <w:r w:rsidRPr="0095427D">
        <w:rPr>
          <w:b/>
          <w:szCs w:val="24"/>
        </w:rPr>
        <w:t>3. Сравнительная характеристика режимов мобилизации ГСК</w:t>
      </w:r>
    </w:p>
    <w:tbl>
      <w:tblPr>
        <w:tblStyle w:val="14"/>
        <w:tblW w:w="0" w:type="auto"/>
        <w:tblInd w:w="108" w:type="dxa"/>
        <w:tblLook w:val="04A0" w:firstRow="1" w:lastRow="0" w:firstColumn="1" w:lastColumn="0" w:noHBand="0" w:noVBand="1"/>
      </w:tblPr>
      <w:tblGrid>
        <w:gridCol w:w="1836"/>
        <w:gridCol w:w="3916"/>
        <w:gridCol w:w="3485"/>
      </w:tblGrid>
      <w:tr w:rsidR="00C44D05" w:rsidRPr="00303DEC" w14:paraId="6E32B88D" w14:textId="77777777" w:rsidTr="004C7BE9">
        <w:trPr>
          <w:trHeight w:val="896"/>
          <w:tblHeader/>
        </w:trPr>
        <w:tc>
          <w:tcPr>
            <w:tcW w:w="1843" w:type="dxa"/>
          </w:tcPr>
          <w:p w14:paraId="33C613CE" w14:textId="77777777" w:rsidR="00C44D05" w:rsidRPr="00303DEC" w:rsidRDefault="00C44D05" w:rsidP="00292402">
            <w:pPr>
              <w:spacing w:before="0" w:after="0" w:line="276" w:lineRule="auto"/>
            </w:pPr>
            <w:r w:rsidRPr="00303DEC">
              <w:rPr>
                <w:b/>
                <w:bCs/>
              </w:rPr>
              <w:t>Режим мобилизации</w:t>
            </w:r>
          </w:p>
        </w:tc>
        <w:tc>
          <w:tcPr>
            <w:tcW w:w="3969" w:type="dxa"/>
          </w:tcPr>
          <w:p w14:paraId="50F28B38" w14:textId="77777777" w:rsidR="00C44D05" w:rsidRPr="00303DEC" w:rsidRDefault="00C44D05" w:rsidP="00292402">
            <w:pPr>
              <w:spacing w:before="0" w:after="0" w:line="276" w:lineRule="auto"/>
              <w:contextualSpacing/>
            </w:pPr>
            <w:r w:rsidRPr="00303DEC">
              <w:rPr>
                <w:b/>
                <w:bCs/>
              </w:rPr>
              <w:t>Преимущества</w:t>
            </w:r>
          </w:p>
        </w:tc>
        <w:tc>
          <w:tcPr>
            <w:tcW w:w="3544" w:type="dxa"/>
          </w:tcPr>
          <w:p w14:paraId="03D3C4D4" w14:textId="77777777" w:rsidR="00C44D05" w:rsidRPr="00303DEC" w:rsidRDefault="00C44D05" w:rsidP="00292402">
            <w:pPr>
              <w:spacing w:before="0" w:after="0" w:line="276" w:lineRule="auto"/>
              <w:contextualSpacing/>
            </w:pPr>
            <w:r w:rsidRPr="00303DEC">
              <w:rPr>
                <w:b/>
                <w:bCs/>
              </w:rPr>
              <w:t>Недостатки</w:t>
            </w:r>
          </w:p>
        </w:tc>
      </w:tr>
      <w:tr w:rsidR="00C44D05" w:rsidRPr="00303DEC" w14:paraId="603291CB" w14:textId="77777777" w:rsidTr="00C44D05">
        <w:tc>
          <w:tcPr>
            <w:tcW w:w="1843" w:type="dxa"/>
          </w:tcPr>
          <w:p w14:paraId="2ADEFAA0" w14:textId="6608BFAF" w:rsidR="00C44D05" w:rsidRPr="00303DEC" w:rsidRDefault="00C44D05" w:rsidP="00292402">
            <w:pPr>
              <w:spacing w:before="0" w:after="0" w:line="276" w:lineRule="auto"/>
              <w:rPr>
                <w:b/>
              </w:rPr>
            </w:pPr>
            <w:r w:rsidRPr="00303DEC">
              <w:rPr>
                <w:b/>
              </w:rPr>
              <w:t>Г-КСФ</w:t>
            </w:r>
            <w:r w:rsidR="004C7BE9">
              <w:rPr>
                <w:b/>
                <w:lang w:val="en-US"/>
              </w:rPr>
              <w:t>**</w:t>
            </w:r>
            <w:r w:rsidRPr="00303DEC">
              <w:rPr>
                <w:b/>
              </w:rPr>
              <w:t xml:space="preserve"> в монорежиме</w:t>
            </w:r>
          </w:p>
        </w:tc>
        <w:tc>
          <w:tcPr>
            <w:tcW w:w="3969" w:type="dxa"/>
          </w:tcPr>
          <w:p w14:paraId="3AC85A94" w14:textId="58884656" w:rsidR="00C44D05" w:rsidRPr="00303DEC" w:rsidRDefault="00C44D05" w:rsidP="00292402">
            <w:pPr>
              <w:spacing w:before="0" w:after="0" w:line="276" w:lineRule="auto"/>
            </w:pPr>
            <w:r w:rsidRPr="00303DEC">
              <w:t>Уменьшение сроков госпитализации, четко планируемые сроки лейкаферезов, отсутствие антибиотикотерапии, замест</w:t>
            </w:r>
            <w:r w:rsidR="00FD0434">
              <w:t>ительной трансфузионной терапии</w:t>
            </w:r>
          </w:p>
        </w:tc>
        <w:tc>
          <w:tcPr>
            <w:tcW w:w="3544" w:type="dxa"/>
          </w:tcPr>
          <w:p w14:paraId="3347AFDD" w14:textId="77777777" w:rsidR="00C44D05" w:rsidRPr="00303DEC" w:rsidRDefault="00C44D05" w:rsidP="00292402">
            <w:pPr>
              <w:spacing w:before="0" w:after="0" w:line="276" w:lineRule="auto"/>
            </w:pPr>
            <w:r w:rsidRPr="00303DEC">
              <w:t>Неэффективна у предлеченных больных</w:t>
            </w:r>
          </w:p>
        </w:tc>
      </w:tr>
      <w:tr w:rsidR="00C44D05" w:rsidRPr="00303DEC" w14:paraId="5043FEED" w14:textId="77777777" w:rsidTr="00C44D05">
        <w:tc>
          <w:tcPr>
            <w:tcW w:w="1843" w:type="dxa"/>
          </w:tcPr>
          <w:p w14:paraId="0F0FF0CA" w14:textId="5899EB53" w:rsidR="00C44D05" w:rsidRPr="004C7BE9" w:rsidRDefault="00C44D05" w:rsidP="00292402">
            <w:pPr>
              <w:spacing w:before="0" w:after="0" w:line="276" w:lineRule="auto"/>
              <w:rPr>
                <w:b/>
                <w:lang w:val="en-US"/>
              </w:rPr>
            </w:pPr>
            <w:r w:rsidRPr="00303DEC">
              <w:rPr>
                <w:b/>
              </w:rPr>
              <w:lastRenderedPageBreak/>
              <w:t>ХТ+ Г-КСФ</w:t>
            </w:r>
            <w:r w:rsidR="004C7BE9">
              <w:rPr>
                <w:b/>
                <w:lang w:val="en-US"/>
              </w:rPr>
              <w:t>**</w:t>
            </w:r>
          </w:p>
        </w:tc>
        <w:tc>
          <w:tcPr>
            <w:tcW w:w="3969" w:type="dxa"/>
          </w:tcPr>
          <w:p w14:paraId="71953944" w14:textId="77777777" w:rsidR="00C44D05" w:rsidRPr="00303DEC" w:rsidRDefault="00C44D05" w:rsidP="00292402">
            <w:pPr>
              <w:spacing w:before="0" w:after="0" w:line="276" w:lineRule="auto"/>
            </w:pPr>
            <w:r w:rsidRPr="00303DEC">
              <w:t xml:space="preserve">Высокая </w:t>
            </w:r>
            <w:proofErr w:type="gramStart"/>
            <w:r w:rsidRPr="00303DEC">
              <w:t>эффективность  мобилизации</w:t>
            </w:r>
            <w:proofErr w:type="gramEnd"/>
          </w:p>
        </w:tc>
        <w:tc>
          <w:tcPr>
            <w:tcW w:w="3544" w:type="dxa"/>
          </w:tcPr>
          <w:p w14:paraId="04C2D546" w14:textId="77777777" w:rsidR="00C44D05" w:rsidRPr="00303DEC" w:rsidRDefault="00C44D05" w:rsidP="00292402">
            <w:pPr>
              <w:spacing w:before="0" w:after="0" w:line="276" w:lineRule="auto"/>
            </w:pPr>
            <w:r w:rsidRPr="00303DEC">
              <w:t>Цитопения</w:t>
            </w:r>
          </w:p>
          <w:p w14:paraId="417CA3BD" w14:textId="77777777" w:rsidR="00C44D05" w:rsidRPr="00303DEC" w:rsidRDefault="00C44D05" w:rsidP="00292402">
            <w:pPr>
              <w:spacing w:before="0" w:after="0" w:line="276" w:lineRule="auto"/>
            </w:pPr>
            <w:r w:rsidRPr="00303DEC">
              <w:t xml:space="preserve">Инфекционные осложнения </w:t>
            </w:r>
          </w:p>
          <w:p w14:paraId="65A2642C" w14:textId="77777777" w:rsidR="00C44D05" w:rsidRPr="00303DEC" w:rsidRDefault="00C44D05" w:rsidP="00292402">
            <w:pPr>
              <w:spacing w:before="0" w:after="0" w:line="276" w:lineRule="auto"/>
            </w:pPr>
            <w:r w:rsidRPr="00303DEC">
              <w:t>Трансфузии компонентов крови</w:t>
            </w:r>
          </w:p>
          <w:p w14:paraId="21E9D603" w14:textId="77777777" w:rsidR="00C44D05" w:rsidRPr="00303DEC" w:rsidRDefault="00C44D05" w:rsidP="00292402">
            <w:pPr>
              <w:spacing w:before="0" w:after="0" w:line="276" w:lineRule="auto"/>
            </w:pPr>
            <w:r w:rsidRPr="00303DEC">
              <w:t>Нет четкого планирования сроков лейкаферезов</w:t>
            </w:r>
          </w:p>
          <w:p w14:paraId="22C3E564" w14:textId="77777777" w:rsidR="00C44D05" w:rsidRPr="00303DEC" w:rsidRDefault="00C44D05" w:rsidP="00292402">
            <w:pPr>
              <w:spacing w:before="0" w:after="0" w:line="276" w:lineRule="auto"/>
            </w:pPr>
            <w:r w:rsidRPr="00303DEC">
              <w:t>Небезопасна при коморбидности</w:t>
            </w:r>
          </w:p>
        </w:tc>
      </w:tr>
    </w:tbl>
    <w:p w14:paraId="5B979C84" w14:textId="77777777" w:rsidR="00C44D05" w:rsidRPr="0095427D" w:rsidRDefault="00C44D05" w:rsidP="002431B5">
      <w:pPr>
        <w:spacing w:before="0"/>
        <w:rPr>
          <w:i/>
          <w:szCs w:val="24"/>
        </w:rPr>
      </w:pPr>
      <w:r w:rsidRPr="0095427D">
        <w:rPr>
          <w:i/>
          <w:szCs w:val="24"/>
        </w:rPr>
        <w:t>ХТ – химиотерапия, ЛЛТ – локальная лучевая терапия</w:t>
      </w:r>
    </w:p>
    <w:p w14:paraId="3083EB37" w14:textId="77777777" w:rsidR="00C44D05" w:rsidRPr="00BD15B7" w:rsidRDefault="00C44D05" w:rsidP="008F161A">
      <w:pPr>
        <w:pStyle w:val="a6"/>
        <w:numPr>
          <w:ilvl w:val="0"/>
          <w:numId w:val="126"/>
        </w:numPr>
        <w:tabs>
          <w:tab w:val="left" w:pos="426"/>
        </w:tabs>
        <w:spacing w:after="0"/>
        <w:ind w:left="0" w:firstLine="0"/>
        <w:rPr>
          <w:b/>
        </w:rPr>
      </w:pPr>
      <w:r w:rsidRPr="00BD15B7">
        <w:rPr>
          <w:b/>
        </w:rPr>
        <w:t xml:space="preserve"> </w:t>
      </w:r>
      <w:bookmarkStart w:id="80" w:name="_Toc44926609"/>
      <w:r w:rsidRPr="00BD15B7">
        <w:rPr>
          <w:b/>
        </w:rPr>
        <w:t>Особенности сопроводительной терапии при мобилизации ГСК</w:t>
      </w:r>
      <w:bookmarkEnd w:id="80"/>
    </w:p>
    <w:p w14:paraId="4FE36C1B" w14:textId="254333C7" w:rsidR="00C44D05" w:rsidRPr="0014771F" w:rsidRDefault="00C44D05" w:rsidP="002431B5">
      <w:pPr>
        <w:spacing w:before="0" w:after="0"/>
        <w:rPr>
          <w:b/>
          <w:i/>
          <w:szCs w:val="24"/>
        </w:rPr>
      </w:pPr>
      <w:r w:rsidRPr="0014771F">
        <w:rPr>
          <w:b/>
          <w:i/>
          <w:szCs w:val="24"/>
        </w:rPr>
        <w:t>Г-КСФ</w:t>
      </w:r>
      <w:r w:rsidR="00043630" w:rsidRPr="00043630">
        <w:rPr>
          <w:b/>
          <w:i/>
          <w:szCs w:val="24"/>
        </w:rPr>
        <w:t>**</w:t>
      </w:r>
      <w:r w:rsidRPr="0014771F">
        <w:rPr>
          <w:b/>
          <w:i/>
          <w:szCs w:val="24"/>
        </w:rPr>
        <w:t xml:space="preserve"> в монорежиме и Г-КСФ</w:t>
      </w:r>
      <w:r w:rsidR="00043630" w:rsidRPr="00043630">
        <w:rPr>
          <w:b/>
          <w:i/>
          <w:szCs w:val="24"/>
        </w:rPr>
        <w:t>**</w:t>
      </w:r>
      <w:r w:rsidRPr="0014771F">
        <w:rPr>
          <w:b/>
          <w:i/>
          <w:szCs w:val="24"/>
        </w:rPr>
        <w:t xml:space="preserve"> в сочетании с плериксафором</w:t>
      </w:r>
    </w:p>
    <w:p w14:paraId="62B71A74" w14:textId="77777777" w:rsidR="00C44D05" w:rsidRPr="0095427D" w:rsidRDefault="00C44D05" w:rsidP="008F161A">
      <w:pPr>
        <w:numPr>
          <w:ilvl w:val="0"/>
          <w:numId w:val="123"/>
        </w:numPr>
        <w:spacing w:before="0" w:after="0"/>
        <w:ind w:left="0" w:firstLine="0"/>
        <w:rPr>
          <w:szCs w:val="24"/>
        </w:rPr>
      </w:pPr>
      <w:r w:rsidRPr="0095427D">
        <w:rPr>
          <w:szCs w:val="24"/>
        </w:rPr>
        <w:t>Если есть сложности с доступом к периферическим венам, перед началом сбора ГСК устанавливается перфузионный катетер в центральную вену;</w:t>
      </w:r>
    </w:p>
    <w:p w14:paraId="257EBB65" w14:textId="4D763959" w:rsidR="00C44D05" w:rsidRPr="0095427D" w:rsidRDefault="00C44D05" w:rsidP="008F161A">
      <w:pPr>
        <w:numPr>
          <w:ilvl w:val="0"/>
          <w:numId w:val="123"/>
        </w:numPr>
        <w:spacing w:before="0" w:after="0"/>
        <w:ind w:left="0" w:firstLine="0"/>
        <w:rPr>
          <w:szCs w:val="24"/>
        </w:rPr>
      </w:pPr>
      <w:r>
        <w:rPr>
          <w:szCs w:val="24"/>
        </w:rPr>
        <w:t>С целью профилактики тромботических осложнений проводится введение низкомолекулярных гепаринов</w:t>
      </w:r>
      <w:r w:rsidRPr="0095427D">
        <w:rPr>
          <w:szCs w:val="24"/>
        </w:rPr>
        <w:t xml:space="preserve"> (эноксапарин</w:t>
      </w:r>
      <w:r w:rsidR="00043630" w:rsidRPr="00043630">
        <w:rPr>
          <w:szCs w:val="24"/>
        </w:rPr>
        <w:t>**</w:t>
      </w:r>
      <w:r w:rsidRPr="0095427D">
        <w:rPr>
          <w:szCs w:val="24"/>
        </w:rPr>
        <w:t xml:space="preserve"> 40 мг или эквивалент) в профилактической</w:t>
      </w:r>
      <w:r>
        <w:rPr>
          <w:szCs w:val="24"/>
        </w:rPr>
        <w:t xml:space="preserve"> дозе подкожно один раз в сутки на фоне введения Г-КСФ</w:t>
      </w:r>
      <w:r w:rsidR="00043630" w:rsidRPr="00043630">
        <w:rPr>
          <w:szCs w:val="24"/>
        </w:rPr>
        <w:t>**</w:t>
      </w:r>
      <w:r>
        <w:rPr>
          <w:szCs w:val="24"/>
        </w:rPr>
        <w:t xml:space="preserve"> и </w:t>
      </w:r>
      <w:r w:rsidRPr="0095427D">
        <w:rPr>
          <w:szCs w:val="24"/>
        </w:rPr>
        <w:t xml:space="preserve">в течение 2-3 суток после </w:t>
      </w:r>
      <w:r>
        <w:rPr>
          <w:szCs w:val="24"/>
        </w:rPr>
        <w:t>его отмены</w:t>
      </w:r>
      <w:r w:rsidRPr="0095427D">
        <w:rPr>
          <w:szCs w:val="24"/>
        </w:rPr>
        <w:t>;</w:t>
      </w:r>
    </w:p>
    <w:p w14:paraId="09E7D0B6" w14:textId="2101846D" w:rsidR="00C44D05" w:rsidRPr="0095427D" w:rsidRDefault="00C44D05" w:rsidP="008F161A">
      <w:pPr>
        <w:numPr>
          <w:ilvl w:val="0"/>
          <w:numId w:val="123"/>
        </w:numPr>
        <w:spacing w:before="0" w:after="0"/>
        <w:ind w:left="0" w:firstLine="0"/>
        <w:rPr>
          <w:szCs w:val="24"/>
        </w:rPr>
      </w:pPr>
      <w:r w:rsidRPr="0095427D">
        <w:rPr>
          <w:szCs w:val="24"/>
        </w:rPr>
        <w:t>Адекватное обезболивание при болевом синдроме в костях, вызванно</w:t>
      </w:r>
      <w:r>
        <w:rPr>
          <w:szCs w:val="24"/>
        </w:rPr>
        <w:t>м</w:t>
      </w:r>
      <w:r w:rsidRPr="0095427D">
        <w:rPr>
          <w:szCs w:val="24"/>
        </w:rPr>
        <w:t xml:space="preserve"> введением Г-КСФ</w:t>
      </w:r>
      <w:r w:rsidR="00043630" w:rsidRPr="00043630">
        <w:rPr>
          <w:szCs w:val="24"/>
        </w:rPr>
        <w:t>**</w:t>
      </w:r>
      <w:r w:rsidRPr="0095427D">
        <w:rPr>
          <w:szCs w:val="24"/>
        </w:rPr>
        <w:t>. Предпочтение отдается наркотическим анал</w:t>
      </w:r>
      <w:r w:rsidR="00043630">
        <w:rPr>
          <w:szCs w:val="24"/>
        </w:rPr>
        <w:t>ь</w:t>
      </w:r>
      <w:r w:rsidRPr="0095427D">
        <w:rPr>
          <w:szCs w:val="24"/>
        </w:rPr>
        <w:t>гетикам (</w:t>
      </w:r>
      <w:r w:rsidR="00D32276">
        <w:rPr>
          <w:szCs w:val="24"/>
        </w:rPr>
        <w:t>тримеперидин</w:t>
      </w:r>
      <w:r w:rsidR="00043630" w:rsidRPr="00043630">
        <w:rPr>
          <w:szCs w:val="24"/>
        </w:rPr>
        <w:t>**</w:t>
      </w:r>
      <w:r w:rsidRPr="0095427D">
        <w:rPr>
          <w:szCs w:val="24"/>
        </w:rPr>
        <w:t xml:space="preserve"> 10 мг в/в, трамадол</w:t>
      </w:r>
      <w:r w:rsidR="00043630" w:rsidRPr="00043630">
        <w:rPr>
          <w:szCs w:val="24"/>
        </w:rPr>
        <w:t>**</w:t>
      </w:r>
      <w:r w:rsidRPr="0095427D">
        <w:rPr>
          <w:szCs w:val="24"/>
        </w:rPr>
        <w:t xml:space="preserve"> 100 мг в/в, фентанил</w:t>
      </w:r>
      <w:r w:rsidR="00043630" w:rsidRPr="00AB1141">
        <w:rPr>
          <w:szCs w:val="24"/>
        </w:rPr>
        <w:t>**</w:t>
      </w:r>
      <w:r w:rsidRPr="0095427D">
        <w:rPr>
          <w:szCs w:val="24"/>
        </w:rPr>
        <w:t xml:space="preserve"> </w:t>
      </w:r>
      <w:r>
        <w:rPr>
          <w:szCs w:val="24"/>
        </w:rPr>
        <w:t xml:space="preserve">25 </w:t>
      </w:r>
      <w:r w:rsidRPr="0095427D">
        <w:rPr>
          <w:szCs w:val="24"/>
        </w:rPr>
        <w:t>мкг/час трансдермально)</w:t>
      </w:r>
      <w:r>
        <w:rPr>
          <w:szCs w:val="24"/>
        </w:rPr>
        <w:t xml:space="preserve">, при отсутствии миелотксического агранулоцитоза возможно использование нестероидных противовоспалительных препаратов. </w:t>
      </w:r>
    </w:p>
    <w:p w14:paraId="1D3E8061" w14:textId="04FC8A62" w:rsidR="00C44D05" w:rsidRPr="0014771F" w:rsidRDefault="00C44D05" w:rsidP="002431B5">
      <w:pPr>
        <w:spacing w:before="0" w:after="0"/>
        <w:rPr>
          <w:b/>
          <w:i/>
          <w:szCs w:val="24"/>
        </w:rPr>
      </w:pPr>
      <w:r w:rsidRPr="0014771F">
        <w:rPr>
          <w:b/>
          <w:i/>
          <w:szCs w:val="24"/>
        </w:rPr>
        <w:t>Режим</w:t>
      </w:r>
      <w:r w:rsidRPr="0014771F">
        <w:rPr>
          <w:b/>
          <w:bCs/>
          <w:i/>
          <w:szCs w:val="24"/>
        </w:rPr>
        <w:t xml:space="preserve"> «ХТ + Г-КСФ</w:t>
      </w:r>
      <w:r w:rsidR="00AB1141">
        <w:rPr>
          <w:b/>
          <w:bCs/>
          <w:i/>
          <w:szCs w:val="24"/>
          <w:lang w:val="en-US"/>
        </w:rPr>
        <w:t>**</w:t>
      </w:r>
      <w:r w:rsidRPr="0014771F">
        <w:rPr>
          <w:b/>
          <w:bCs/>
          <w:i/>
          <w:szCs w:val="24"/>
        </w:rPr>
        <w:t>»</w:t>
      </w:r>
    </w:p>
    <w:p w14:paraId="01CFCDCD" w14:textId="77777777" w:rsidR="00C44D05" w:rsidRPr="0095427D" w:rsidRDefault="00C44D05" w:rsidP="008F161A">
      <w:pPr>
        <w:numPr>
          <w:ilvl w:val="0"/>
          <w:numId w:val="123"/>
        </w:numPr>
        <w:spacing w:before="0" w:after="0"/>
        <w:ind w:left="0" w:firstLine="0"/>
        <w:rPr>
          <w:szCs w:val="24"/>
        </w:rPr>
      </w:pPr>
      <w:r w:rsidRPr="0095427D">
        <w:rPr>
          <w:szCs w:val="24"/>
        </w:rPr>
        <w:t>Необходима установка центрального венозного катетера (ЦВК) для обеспечения сосудистого доступа. Если есть сложности с доступом к периферическим венам, перед началом сбора ГСК центральный катетер меняют на перфузионный;</w:t>
      </w:r>
    </w:p>
    <w:p w14:paraId="1C16ECAB" w14:textId="17681979" w:rsidR="00C44D05" w:rsidRPr="0095427D" w:rsidRDefault="00C44D05" w:rsidP="008F161A">
      <w:pPr>
        <w:numPr>
          <w:ilvl w:val="0"/>
          <w:numId w:val="123"/>
        </w:numPr>
        <w:spacing w:before="0" w:after="0"/>
        <w:ind w:left="0" w:firstLine="0"/>
        <w:rPr>
          <w:szCs w:val="24"/>
        </w:rPr>
      </w:pPr>
      <w:r w:rsidRPr="0095427D">
        <w:rPr>
          <w:szCs w:val="24"/>
        </w:rPr>
        <w:t>Круглосуточное введение гепарина</w:t>
      </w:r>
      <w:r w:rsidR="00AB1141" w:rsidRPr="00AB1141">
        <w:rPr>
          <w:szCs w:val="24"/>
        </w:rPr>
        <w:t>**</w:t>
      </w:r>
      <w:r w:rsidRPr="0095427D">
        <w:rPr>
          <w:szCs w:val="24"/>
        </w:rPr>
        <w:t xml:space="preserve"> с целью профилактики тромботических ослож</w:t>
      </w:r>
      <w:r>
        <w:rPr>
          <w:szCs w:val="24"/>
        </w:rPr>
        <w:t>нений. Начальная доза гепарина</w:t>
      </w:r>
      <w:r w:rsidR="00AB1141" w:rsidRPr="00AB1141">
        <w:rPr>
          <w:szCs w:val="24"/>
        </w:rPr>
        <w:t>**</w:t>
      </w:r>
      <w:r>
        <w:rPr>
          <w:szCs w:val="24"/>
        </w:rPr>
        <w:t xml:space="preserve"> 12 000 ЕД/</w:t>
      </w:r>
      <w:proofErr w:type="gramStart"/>
      <w:r w:rsidRPr="0095427D">
        <w:rPr>
          <w:szCs w:val="24"/>
        </w:rPr>
        <w:t>сут.,</w:t>
      </w:r>
      <w:proofErr w:type="gramEnd"/>
      <w:r w:rsidRPr="0095427D">
        <w:rPr>
          <w:szCs w:val="24"/>
        </w:rPr>
        <w:t xml:space="preserve"> далее - под контролем АЧТВ (АЧТВ 1,5-2 нормы);</w:t>
      </w:r>
    </w:p>
    <w:p w14:paraId="368222A2" w14:textId="30A357EE" w:rsidR="00C44D05" w:rsidRPr="0095427D" w:rsidRDefault="00C44D05" w:rsidP="008F161A">
      <w:pPr>
        <w:numPr>
          <w:ilvl w:val="0"/>
          <w:numId w:val="123"/>
        </w:numPr>
        <w:spacing w:before="0" w:after="0"/>
        <w:ind w:left="0" w:firstLine="0"/>
        <w:rPr>
          <w:szCs w:val="24"/>
        </w:rPr>
      </w:pPr>
      <w:r w:rsidRPr="0095427D">
        <w:rPr>
          <w:szCs w:val="24"/>
        </w:rPr>
        <w:t>Введение химиопрепаратов сопровождается массивной гидратацией из расчета 1,5-3 л/м</w:t>
      </w:r>
      <w:r w:rsidRPr="0095427D">
        <w:rPr>
          <w:szCs w:val="24"/>
          <w:vertAlign w:val="superscript"/>
        </w:rPr>
        <w:t>2</w:t>
      </w:r>
      <w:r w:rsidRPr="0095427D">
        <w:rPr>
          <w:szCs w:val="24"/>
        </w:rPr>
        <w:t>, гипоурикемической терапией аллопуринолом</w:t>
      </w:r>
      <w:r w:rsidR="00AB1141" w:rsidRPr="00AB1141">
        <w:rPr>
          <w:szCs w:val="24"/>
        </w:rPr>
        <w:t>**</w:t>
      </w:r>
      <w:r w:rsidRPr="0095427D">
        <w:rPr>
          <w:szCs w:val="24"/>
        </w:rPr>
        <w:t xml:space="preserve"> 400 - 600 мг/сут. (за исключением схем, содержащих метотрексат</w:t>
      </w:r>
      <w:r w:rsidR="00AB1141" w:rsidRPr="00AB1141">
        <w:rPr>
          <w:szCs w:val="24"/>
        </w:rPr>
        <w:t>**</w:t>
      </w:r>
      <w:r w:rsidRPr="0095427D">
        <w:rPr>
          <w:szCs w:val="24"/>
        </w:rPr>
        <w:t>), диуретической терапией (фуросемид</w:t>
      </w:r>
      <w:r w:rsidR="00AB1141" w:rsidRPr="00AB1141">
        <w:rPr>
          <w:szCs w:val="24"/>
        </w:rPr>
        <w:t>**</w:t>
      </w:r>
      <w:r w:rsidRPr="0095427D">
        <w:rPr>
          <w:szCs w:val="24"/>
        </w:rPr>
        <w:t xml:space="preserve"> 20 мг болюсно 3 р/сут)</w:t>
      </w:r>
      <w:r w:rsidR="00D269F9">
        <w:rPr>
          <w:szCs w:val="24"/>
        </w:rPr>
        <w:t>;</w:t>
      </w:r>
    </w:p>
    <w:p w14:paraId="39776869" w14:textId="7EFF3964" w:rsidR="00C44D05" w:rsidRPr="0095427D" w:rsidRDefault="00C44D05" w:rsidP="008F161A">
      <w:pPr>
        <w:numPr>
          <w:ilvl w:val="0"/>
          <w:numId w:val="123"/>
        </w:numPr>
        <w:spacing w:before="0" w:after="0"/>
        <w:ind w:left="0" w:firstLine="0"/>
        <w:rPr>
          <w:szCs w:val="24"/>
        </w:rPr>
      </w:pPr>
      <w:r w:rsidRPr="0095427D">
        <w:rPr>
          <w:szCs w:val="24"/>
        </w:rPr>
        <w:lastRenderedPageBreak/>
        <w:t>При наличии в схеме ХТ циклофосфамида</w:t>
      </w:r>
      <w:r w:rsidR="00AB1141" w:rsidRPr="00AB1141">
        <w:rPr>
          <w:szCs w:val="24"/>
        </w:rPr>
        <w:t>**</w:t>
      </w:r>
      <w:r w:rsidRPr="0095427D">
        <w:rPr>
          <w:szCs w:val="24"/>
        </w:rPr>
        <w:t xml:space="preserve"> для защиты слизистой мочевого пузыря и мочевыводящих путей назначается </w:t>
      </w:r>
      <w:r w:rsidR="00AB1141">
        <w:rPr>
          <w:szCs w:val="24"/>
        </w:rPr>
        <w:t>месна</w:t>
      </w:r>
      <w:r w:rsidR="00AB1141" w:rsidRPr="00AB1141">
        <w:rPr>
          <w:szCs w:val="24"/>
        </w:rPr>
        <w:t>**</w:t>
      </w:r>
      <w:r w:rsidRPr="0095427D">
        <w:rPr>
          <w:szCs w:val="24"/>
        </w:rPr>
        <w:t xml:space="preserve"> в дозе 2,4 г/м</w:t>
      </w:r>
      <w:r w:rsidRPr="0095427D">
        <w:rPr>
          <w:szCs w:val="24"/>
          <w:vertAlign w:val="superscript"/>
        </w:rPr>
        <w:t>2</w:t>
      </w:r>
      <w:r w:rsidRPr="0095427D">
        <w:rPr>
          <w:szCs w:val="24"/>
        </w:rPr>
        <w:t xml:space="preserve"> круглосуточно в день введения цитостатика;</w:t>
      </w:r>
    </w:p>
    <w:p w14:paraId="0E2AA187" w14:textId="5B2112F8" w:rsidR="00C44D05" w:rsidRPr="0095427D" w:rsidRDefault="00C44D05" w:rsidP="008F161A">
      <w:pPr>
        <w:numPr>
          <w:ilvl w:val="0"/>
          <w:numId w:val="123"/>
        </w:numPr>
        <w:spacing w:before="0" w:after="0"/>
        <w:ind w:left="0" w:firstLine="0"/>
        <w:rPr>
          <w:szCs w:val="24"/>
        </w:rPr>
      </w:pPr>
      <w:r w:rsidRPr="0095427D">
        <w:rPr>
          <w:szCs w:val="24"/>
        </w:rPr>
        <w:t xml:space="preserve">Противосудорожная профилактика, если применяется </w:t>
      </w:r>
      <w:r w:rsidRPr="007878D5">
        <w:rPr>
          <w:szCs w:val="24"/>
        </w:rPr>
        <w:t>бусульфан</w:t>
      </w:r>
      <w:r w:rsidR="00001A77" w:rsidRPr="00001A77">
        <w:rPr>
          <w:szCs w:val="24"/>
        </w:rPr>
        <w:t>**</w:t>
      </w:r>
      <w:r w:rsidRPr="007878D5">
        <w:rPr>
          <w:szCs w:val="24"/>
        </w:rPr>
        <w:t>,</w:t>
      </w:r>
      <w:r w:rsidRPr="0095427D">
        <w:rPr>
          <w:szCs w:val="24"/>
        </w:rPr>
        <w:t xml:space="preserve"> циклофосфа</w:t>
      </w:r>
      <w:r w:rsidR="00001A77">
        <w:rPr>
          <w:szCs w:val="24"/>
        </w:rPr>
        <w:t>мид</w:t>
      </w:r>
      <w:r w:rsidR="00001A77" w:rsidRPr="00001A77">
        <w:rPr>
          <w:szCs w:val="24"/>
        </w:rPr>
        <w:t>**</w:t>
      </w:r>
      <w:r w:rsidRPr="0095427D">
        <w:rPr>
          <w:szCs w:val="24"/>
        </w:rPr>
        <w:t xml:space="preserve"> (карбамазепин</w:t>
      </w:r>
      <w:r w:rsidR="00001A77" w:rsidRPr="00001A77">
        <w:rPr>
          <w:szCs w:val="24"/>
        </w:rPr>
        <w:t>**</w:t>
      </w:r>
      <w:r w:rsidRPr="0095427D">
        <w:rPr>
          <w:szCs w:val="24"/>
        </w:rPr>
        <w:t xml:space="preserve"> 200 мг+ диазепам</w:t>
      </w:r>
      <w:r w:rsidR="00001A77" w:rsidRPr="00001A77">
        <w:rPr>
          <w:szCs w:val="24"/>
        </w:rPr>
        <w:t>**</w:t>
      </w:r>
      <w:r w:rsidRPr="0095427D">
        <w:rPr>
          <w:szCs w:val="24"/>
        </w:rPr>
        <w:t xml:space="preserve"> 10 мг);</w:t>
      </w:r>
    </w:p>
    <w:p w14:paraId="14837796" w14:textId="09626B8F" w:rsidR="00C44D05" w:rsidRPr="0095427D" w:rsidRDefault="00C44D05" w:rsidP="008F161A">
      <w:pPr>
        <w:numPr>
          <w:ilvl w:val="0"/>
          <w:numId w:val="123"/>
        </w:numPr>
        <w:spacing w:before="0" w:after="0"/>
        <w:ind w:left="0" w:firstLine="0"/>
        <w:rPr>
          <w:szCs w:val="24"/>
        </w:rPr>
      </w:pPr>
      <w:r w:rsidRPr="0095427D">
        <w:rPr>
          <w:szCs w:val="24"/>
        </w:rPr>
        <w:t>Противорвотна</w:t>
      </w:r>
      <w:r>
        <w:rPr>
          <w:szCs w:val="24"/>
        </w:rPr>
        <w:t xml:space="preserve">я терапия </w:t>
      </w:r>
      <w:r w:rsidRPr="0095427D">
        <w:rPr>
          <w:szCs w:val="24"/>
        </w:rPr>
        <w:t>по стандартным схемам (ондансетрон</w:t>
      </w:r>
      <w:r w:rsidR="00001A77" w:rsidRPr="00001A77">
        <w:rPr>
          <w:szCs w:val="24"/>
        </w:rPr>
        <w:t>**</w:t>
      </w:r>
      <w:r w:rsidRPr="0095427D">
        <w:rPr>
          <w:szCs w:val="24"/>
        </w:rPr>
        <w:t xml:space="preserve"> 8 мг, метоклопрамид</w:t>
      </w:r>
      <w:r w:rsidR="00001A77" w:rsidRPr="00001A77">
        <w:rPr>
          <w:szCs w:val="24"/>
        </w:rPr>
        <w:t>**</w:t>
      </w:r>
      <w:r w:rsidRPr="0095427D">
        <w:rPr>
          <w:szCs w:val="24"/>
        </w:rPr>
        <w:t xml:space="preserve"> 10 мг</w:t>
      </w:r>
      <w:r>
        <w:rPr>
          <w:szCs w:val="24"/>
        </w:rPr>
        <w:t xml:space="preserve"> и тд.</w:t>
      </w:r>
      <w:r w:rsidRPr="0095427D">
        <w:rPr>
          <w:szCs w:val="24"/>
        </w:rPr>
        <w:t>);</w:t>
      </w:r>
    </w:p>
    <w:p w14:paraId="128F6A2B" w14:textId="26DA9037" w:rsidR="00C44D05" w:rsidRPr="0095427D" w:rsidRDefault="00C44D05" w:rsidP="008F161A">
      <w:pPr>
        <w:numPr>
          <w:ilvl w:val="0"/>
          <w:numId w:val="123"/>
        </w:numPr>
        <w:spacing w:before="0" w:after="0"/>
        <w:ind w:left="0" w:firstLine="0"/>
        <w:rPr>
          <w:szCs w:val="24"/>
        </w:rPr>
      </w:pPr>
      <w:r w:rsidRPr="0095427D">
        <w:rPr>
          <w:szCs w:val="24"/>
        </w:rPr>
        <w:t>Противоязвенная терапия по стандартным схемам (омепразо</w:t>
      </w:r>
      <w:r>
        <w:rPr>
          <w:szCs w:val="24"/>
        </w:rPr>
        <w:t>л</w:t>
      </w:r>
      <w:r w:rsidR="00001A77" w:rsidRPr="00001A77">
        <w:rPr>
          <w:szCs w:val="24"/>
        </w:rPr>
        <w:t>**</w:t>
      </w:r>
      <w:r>
        <w:rPr>
          <w:szCs w:val="24"/>
        </w:rPr>
        <w:t xml:space="preserve"> 20 мг или ранитидин</w:t>
      </w:r>
      <w:r w:rsidR="00001A77" w:rsidRPr="00001A77">
        <w:rPr>
          <w:szCs w:val="24"/>
        </w:rPr>
        <w:t>**</w:t>
      </w:r>
      <w:r>
        <w:rPr>
          <w:szCs w:val="24"/>
        </w:rPr>
        <w:t xml:space="preserve"> 150 мг)</w:t>
      </w:r>
      <w:r w:rsidR="00D269F9">
        <w:rPr>
          <w:szCs w:val="24"/>
        </w:rPr>
        <w:t>;</w:t>
      </w:r>
    </w:p>
    <w:p w14:paraId="22E8C1B3" w14:textId="29DB602E" w:rsidR="00C44D05" w:rsidRDefault="00C44D05" w:rsidP="008F161A">
      <w:pPr>
        <w:numPr>
          <w:ilvl w:val="0"/>
          <w:numId w:val="123"/>
        </w:numPr>
        <w:spacing w:before="0" w:after="0"/>
        <w:ind w:left="0" w:firstLine="0"/>
        <w:rPr>
          <w:szCs w:val="24"/>
        </w:rPr>
      </w:pPr>
      <w:r w:rsidRPr="0095427D">
        <w:rPr>
          <w:szCs w:val="24"/>
        </w:rPr>
        <w:t>Овариопротекция проводится женщинам фертильного возраста по показаниям</w:t>
      </w:r>
      <w:r w:rsidR="00D269F9">
        <w:rPr>
          <w:szCs w:val="24"/>
        </w:rPr>
        <w:t>.</w:t>
      </w:r>
    </w:p>
    <w:p w14:paraId="565BADD8" w14:textId="77777777" w:rsidR="00C44D05" w:rsidRPr="00BD15B7" w:rsidRDefault="00C44D05" w:rsidP="008F161A">
      <w:pPr>
        <w:pStyle w:val="a6"/>
        <w:numPr>
          <w:ilvl w:val="0"/>
          <w:numId w:val="126"/>
        </w:numPr>
        <w:tabs>
          <w:tab w:val="left" w:pos="426"/>
        </w:tabs>
        <w:spacing w:before="0" w:after="0"/>
        <w:ind w:left="0" w:firstLine="0"/>
        <w:rPr>
          <w:b/>
        </w:rPr>
      </w:pPr>
      <w:bookmarkStart w:id="81" w:name="_Toc44926610"/>
      <w:r w:rsidRPr="00BD15B7">
        <w:rPr>
          <w:b/>
        </w:rPr>
        <w:t>Лейкаферез и криоконсервирование</w:t>
      </w:r>
      <w:bookmarkEnd w:id="81"/>
    </w:p>
    <w:p w14:paraId="3FB23F12" w14:textId="4ED2A3D9" w:rsidR="00C44D05" w:rsidRPr="0095427D" w:rsidRDefault="00C44D05" w:rsidP="00BD15B7">
      <w:pPr>
        <w:spacing w:before="0" w:after="0"/>
        <w:ind w:firstLine="709"/>
        <w:rPr>
          <w:szCs w:val="24"/>
        </w:rPr>
      </w:pPr>
      <w:r>
        <w:rPr>
          <w:szCs w:val="24"/>
        </w:rPr>
        <w:t xml:space="preserve">Лейкаферез </w:t>
      </w:r>
      <w:r w:rsidRPr="0095427D">
        <w:rPr>
          <w:szCs w:val="24"/>
        </w:rPr>
        <w:t xml:space="preserve">– полуселективный метод экстракорпоральной гемокоррекции, основанный на разделении плазмы и клеток крови под воздействием центробежной силы и выделении из крови фракции лейкоцитов </w:t>
      </w:r>
      <w:r w:rsidRPr="0095427D">
        <w:rPr>
          <w:szCs w:val="24"/>
        </w:rPr>
        <w:fldChar w:fldCharType="begin" w:fldLock="1"/>
      </w:r>
      <w:r w:rsidR="00E430FD">
        <w:rPr>
          <w:szCs w:val="24"/>
        </w:rPr>
        <w:instrText>ADDIN CSL_CITATION {"citationItems":[{"id":"ITEM-1","itemData":{"author":[{"dropping-particle":"","family":"Афанасьева О.И., Воинов В.А.","given":"Гольдфарб Ю.С.","non-dropping-particle":"","parse-names":false,"suffix":""}],"id":"ITEM-1","issued":{"date-parts":[["2016"]]},"page":"7-15","publisher-place":"СПб","title":"Экстракорпоральная гемокоррекция: терминология, языковые соответствия","type":"paper-conference"},"uris":["http://www.mendeley.com/documents/?uuid=3b79c5e9-e873-4ee1-a644-2cc9d177aaa6"]}],"mendeley":{"formattedCitation":"[108]","plainTextFormattedCitation":"[108]","previouslyFormattedCitation":"[108]"},"properties":{"noteIndex":0},"schema":"https://github.com/citation-style-language/schema/raw/master/csl-citation.json"}</w:instrText>
      </w:r>
      <w:r w:rsidRPr="0095427D">
        <w:rPr>
          <w:szCs w:val="24"/>
        </w:rPr>
        <w:fldChar w:fldCharType="separate"/>
      </w:r>
      <w:r w:rsidR="00E430FD" w:rsidRPr="00E430FD">
        <w:rPr>
          <w:noProof/>
          <w:szCs w:val="24"/>
        </w:rPr>
        <w:t>[108]</w:t>
      </w:r>
      <w:r w:rsidRPr="0095427D">
        <w:rPr>
          <w:szCs w:val="24"/>
        </w:rPr>
        <w:fldChar w:fldCharType="end"/>
      </w:r>
      <w:r w:rsidRPr="0095427D">
        <w:rPr>
          <w:szCs w:val="24"/>
        </w:rPr>
        <w:t xml:space="preserve">. </w:t>
      </w:r>
    </w:p>
    <w:p w14:paraId="342A711A" w14:textId="160A334B" w:rsidR="00C44D05" w:rsidRPr="0095427D" w:rsidRDefault="00FD0434" w:rsidP="00BD15B7">
      <w:pPr>
        <w:spacing w:before="0" w:after="0"/>
        <w:ind w:firstLine="709"/>
        <w:rPr>
          <w:szCs w:val="24"/>
        </w:rPr>
      </w:pPr>
      <w:r>
        <w:rPr>
          <w:szCs w:val="24"/>
        </w:rPr>
        <w:t>О</w:t>
      </w:r>
      <w:r w:rsidR="00C44D05" w:rsidRPr="0095427D">
        <w:rPr>
          <w:szCs w:val="24"/>
        </w:rPr>
        <w:t>сновным критерием, позволяющим прогнозировать успешный сбор ГСК, является содержание СD34+ клеток в периферической крови в день проведения предполагаемого первого лейкафереза. Если сбор ГСК начат рано, потребуются большее количество процедур, что приводит к увеличению финансовых и трудозатрат. Кроме того, увеличение числа лейкаферезов приводит к возрастанию общего объема заготовленного продукта. Соответственно, применяется большее количество криопротектора (диметилсульфоксида – ДМСО), который при дальнейшем внутривенном введении во время ауто-</w:t>
      </w:r>
      <w:r w:rsidR="00C44D05">
        <w:rPr>
          <w:szCs w:val="24"/>
        </w:rPr>
        <w:t>ТГСК</w:t>
      </w:r>
      <w:r w:rsidR="00C44D05" w:rsidRPr="0095427D">
        <w:rPr>
          <w:szCs w:val="24"/>
        </w:rPr>
        <w:t xml:space="preserve"> может вызывать побочные явления </w:t>
      </w:r>
      <w:r w:rsidR="00C44D05" w:rsidRPr="0095427D">
        <w:rPr>
          <w:szCs w:val="24"/>
        </w:rPr>
        <w:fldChar w:fldCharType="begin" w:fldLock="1"/>
      </w:r>
      <w:r w:rsidR="00E430FD">
        <w:rPr>
          <w:szCs w:val="24"/>
        </w:rPr>
        <w:instrText>ADDIN CSL_CITATION {"citationItems":[{"id":"ITEM-1","itemData":{"DOI":"10.1016/j.tmrv.2018.05.005","ISSN":"15329496","abstract":"Adverse events (AEs) associated with blood transfusions, including component-specific red cell, platelet, and plasma products, have been extensively surveyed. In contrast, surveillance of AEs associated with hematopoietic stem cell (HSC) products in HSC transplantation (HSCT) has been less rigorous, even though HSC products include a diversity of immature and mature hematopoietic cells, substantial plasma, and dimethyl sulfoxide (DMSO) in the case of cryopreserved HSC products. HSC infusion-related AEs have been attributed to DMSO toxicity, but AEs associated with the infusion of noncryopreserved HSC products are not uncommon. To quantify the frequencies, types, and risk factors of HSC infusion-related AEs, we implemented national surveillance for AEs observed within 24 hours after infusion. Herein we report on 1125 HSCTs, including 570 peripheral blood stem cell transplantations (PBSCTs) (290 autologous [auto-] and 280 allogeneic [allo-]), 332 allo-bone marrow transplantations (allo-BMTs) and 223 allo-cord blood transplantations (allo-CBTs). Unexpectedly, incidences of grade ≥ 2 AEs were most frequent in allo-BMTs (37.7%) with no DMSO in any product compared with auto-/allo-PBSCTs (20.9%, P &lt;.001) and allo-CBTs (19.3%, P &lt;.001) typically cryopreserved with DMSO. Hypertension was most often noted in BMTs, whereas nausea/vomiting, fever, and allergic reactions were most frequent in allo-PBSCTs. In a multivariate analysis, a history of transfusion reactions was a risk factor for overall AEs in all HSCTs (odds ratio [OR] = 1.459, P =.045). For grade ≥ 2 AEs in allo-HSCTs, a history of transfusion reactions (OR = 1.551, P =.044) for overall AEs, and high infusion volume (OR = 7.544, P =.005) and allo-PBSCTs (versus BMTs, OR = 9.948, P =.002) for allergic reactions were identified as risk factors. These findings suggest that some factors unrelated to DMSO, such as allo-antigens, contribute to HSC infusion-related AEs. As severe AEs, a total of 117 grade ≥ 3 AEs were reported in 1125 HSCTs, including life-threatening complications in 3 (0.3%) HSCTs: 1 allo-CBT (anaphylaxis) and 2 allo-PBSCTs (hypoxia, kidney injury) with cryopreserved product. Our data show that HSC infusion risks vary by product, can be severe, and should be monitored with the same rigor as modern transfusion hemovigilance programs.","author":[{"dropping-particle":"","family":"Ikeda","given":"Kazuhiko","non-dropping-particle":"","parse-names":false,"suffix":""},{"dropping-particle":"","family":"Ohto","given":"Hitoshi","non-dropping-particle":"","parse-names":false,"suffix":""},{"dropping-particle":"","family":"Okuyama","given":"Yoshiki","non-dropping-particle":"","parse-names":false,"suffix":""},{"dropping-particle":"","family":"Yamada-Fujiwara","given":"Minami","non-dropping-particle":"","parse-names":false,"suffix":""},{"dropping-particle":"","family":"Kanamori","given":"Heiwa","non-dropping-particle":"","parse-names":false,"suffix":""},{"dropping-particle":"","family":"Fujiwara","given":"Shin ichiro","non-dropping-particle":"","parse-names":false,"suffix":""},{"dropping-particle":"","family":"Muroi","given":"Kazuo","non-dropping-particle":"","parse-names":false,"suffix":""},{"dropping-particle":"","family":"Mori","given":"Takehiko","non-dropping-particle":"","parse-names":false,"suffix":""},{"dropping-particle":"","family":"Kasama","given":"Kinuyo","non-dropping-particle":"","parse-names":false,"suffix":""},{"dropping-particle":"","family":"Iseki","given":"Tohru","non-dropping-particle":"","parse-names":false,"suffix":""},{"dropping-particle":"","family":"Nagamura-Inoue","given":"Tokiko","non-dropping-particle":"","parse-names":false,"suffix":""},{"dropping-particle":"","family":"Fujii","given":"Nobuharu","non-dropping-particle":"","parse-names":false,"suffix":""},{"dropping-particle":"","family":"Ashida","given":"Takashi","non-dropping-particle":"","parse-names":false,"suffix":""},{"dropping-particle":"","family":"Kameda","given":"Kazuaki","non-dropping-particle":"","parse-names":false,"suffix":""},{"dropping-particle":"","family":"Kanda","given":"Junya","non-dropping-particle":"","parse-names":false,"suffix":""},{"dropping-particle":"","family":"Hirose","given":"Asao","non-dropping-particle":"","parse-names":false,"suffix":""},{"dropping-particle":"","family":"Takahashi","given":"Tsutomu","non-dropping-particle":"","parse-names":false,"suffix":""},{"dropping-particle":"","family":"Nagai","given":"Kazuhiro","non-dropping-particle":"","parse-names":false,"suffix":""},{"dropping-particle":"","family":"Minakawa","given":"Keiji","non-dropping-particle":"","parse-names":false,"suffix":""},{"dropping-particle":"","family":"Tanosaki","given":"Ryuji","non-dropping-particle":"","parse-names":false,"suffix":""}],"container-title":"Transfusion Medicine Reviews","id":"ITEM-1","issue":"3","issued":{"date-parts":[["2018","7"]]},"page":"186-194","publisher":"W.B. Saunders","title":"Adverse Events Associated With Infusion of Hematopoietic Stem Cell Products: A Prospective and Multicenter Surveillance Study","type":"article","volume":"32"},"uris":["http://www.mendeley.com/documents/?uuid=bfeee95e-b93a-4f49-832f-3b7dd952e5b5"]}],"mendeley":{"formattedCitation":"[109]","plainTextFormattedCitation":"[109]","previouslyFormattedCitation":"[109]"},"properties":{"noteIndex":0},"schema":"https://github.com/citation-style-language/schema/raw/master/csl-citation.json"}</w:instrText>
      </w:r>
      <w:r w:rsidR="00C44D05" w:rsidRPr="0095427D">
        <w:rPr>
          <w:szCs w:val="24"/>
        </w:rPr>
        <w:fldChar w:fldCharType="separate"/>
      </w:r>
      <w:r w:rsidR="00E430FD" w:rsidRPr="00E430FD">
        <w:rPr>
          <w:noProof/>
          <w:szCs w:val="24"/>
        </w:rPr>
        <w:t>[109]</w:t>
      </w:r>
      <w:r w:rsidR="00C44D05" w:rsidRPr="0095427D">
        <w:rPr>
          <w:szCs w:val="24"/>
        </w:rPr>
        <w:fldChar w:fldCharType="end"/>
      </w:r>
      <w:r w:rsidR="00C44D05">
        <w:rPr>
          <w:szCs w:val="24"/>
        </w:rPr>
        <w:t>.</w:t>
      </w:r>
    </w:p>
    <w:p w14:paraId="5B41CAEF" w14:textId="77777777" w:rsidR="00C44D05" w:rsidRPr="0095427D" w:rsidRDefault="00C44D05" w:rsidP="00BD15B7">
      <w:pPr>
        <w:spacing w:before="0" w:after="0"/>
        <w:ind w:firstLine="709"/>
        <w:rPr>
          <w:szCs w:val="24"/>
        </w:rPr>
      </w:pPr>
      <w:r w:rsidRPr="0095427D">
        <w:rPr>
          <w:szCs w:val="24"/>
        </w:rPr>
        <w:t>Оценивая число клеток-предшественников, следует уделить особое внимание методу количественного определения. Результаты проточного цитометрического анализа числа CD34+клеток различаются в зависимости от конкретной методологии, и следует с осторожностью относиться к рекомендациям по их числу, основанным на исследованиях, проведенных в других лабораториях.</w:t>
      </w:r>
    </w:p>
    <w:p w14:paraId="06132086" w14:textId="55ECC7E8" w:rsidR="00C44D05" w:rsidRPr="0095427D" w:rsidRDefault="00C44D05" w:rsidP="00BD15B7">
      <w:pPr>
        <w:spacing w:before="0" w:after="0"/>
        <w:ind w:firstLine="709"/>
        <w:rPr>
          <w:szCs w:val="24"/>
        </w:rPr>
      </w:pPr>
      <w:r w:rsidRPr="0095427D">
        <w:rPr>
          <w:szCs w:val="24"/>
        </w:rPr>
        <w:t xml:space="preserve">В день первого предполагаемого сбора выполняется общий </w:t>
      </w:r>
      <w:r w:rsidR="005A0507">
        <w:rPr>
          <w:szCs w:val="24"/>
        </w:rPr>
        <w:t xml:space="preserve">(клинический) </w:t>
      </w:r>
      <w:r w:rsidRPr="0095427D">
        <w:rPr>
          <w:szCs w:val="24"/>
        </w:rPr>
        <w:t xml:space="preserve">анализ крови и подсчет </w:t>
      </w:r>
      <w:r w:rsidRPr="0095427D">
        <w:rPr>
          <w:szCs w:val="24"/>
          <w:lang w:val="en-US"/>
        </w:rPr>
        <w:t>CD</w:t>
      </w:r>
      <w:r w:rsidRPr="0095427D">
        <w:rPr>
          <w:szCs w:val="24"/>
        </w:rPr>
        <w:t xml:space="preserve">34+ в крови методом проточной цитометрии. </w:t>
      </w:r>
    </w:p>
    <w:p w14:paraId="26D36529" w14:textId="408F5743" w:rsidR="00C44D05" w:rsidRPr="0095427D" w:rsidRDefault="00C44D05" w:rsidP="00BD15B7">
      <w:pPr>
        <w:spacing w:before="0" w:after="0"/>
        <w:ind w:firstLine="709"/>
        <w:rPr>
          <w:szCs w:val="24"/>
        </w:rPr>
      </w:pPr>
      <w:r w:rsidRPr="0095427D">
        <w:rPr>
          <w:szCs w:val="24"/>
        </w:rPr>
        <w:t xml:space="preserve">Подсчет абсолютного количества </w:t>
      </w:r>
      <w:r w:rsidRPr="0095427D">
        <w:rPr>
          <w:szCs w:val="24"/>
          <w:lang w:val="en-US"/>
        </w:rPr>
        <w:t>CD</w:t>
      </w:r>
      <w:r w:rsidRPr="0095427D">
        <w:rPr>
          <w:szCs w:val="24"/>
        </w:rPr>
        <w:t>34+ ГСК в крови проводится по формуле:</w:t>
      </w:r>
    </w:p>
    <w:p w14:paraId="16DC9D61" w14:textId="77777777" w:rsidR="00C44D05" w:rsidRPr="0095427D" w:rsidRDefault="00C44D05" w:rsidP="002431B5">
      <w:pPr>
        <w:spacing w:before="0" w:after="0"/>
        <w:jc w:val="center"/>
        <w:rPr>
          <w:i/>
          <w:szCs w:val="24"/>
        </w:rPr>
      </w:pPr>
      <w:r w:rsidRPr="0095427D">
        <w:rPr>
          <w:i/>
          <w:szCs w:val="24"/>
        </w:rPr>
        <w:t xml:space="preserve">Абсолютное содержание </w:t>
      </w:r>
      <w:r w:rsidRPr="0095427D">
        <w:rPr>
          <w:i/>
          <w:szCs w:val="24"/>
          <w:lang w:val="en-US"/>
        </w:rPr>
        <w:t>CD</w:t>
      </w:r>
      <w:r w:rsidRPr="0095427D">
        <w:rPr>
          <w:i/>
          <w:szCs w:val="24"/>
        </w:rPr>
        <w:t>34+ клеток в крови (клеток/мкл) =</w:t>
      </w:r>
    </w:p>
    <w:p w14:paraId="288E50A8" w14:textId="77777777" w:rsidR="00C44D05" w:rsidRPr="0095427D" w:rsidRDefault="00C44D05" w:rsidP="002431B5">
      <w:pPr>
        <w:spacing w:before="0" w:after="0"/>
        <w:jc w:val="center"/>
        <w:rPr>
          <w:i/>
          <w:szCs w:val="24"/>
        </w:rPr>
      </w:pPr>
      <w:r w:rsidRPr="0095427D">
        <w:rPr>
          <w:i/>
          <w:szCs w:val="24"/>
        </w:rPr>
        <w:t xml:space="preserve">доля </w:t>
      </w:r>
      <w:r w:rsidRPr="0095427D">
        <w:rPr>
          <w:i/>
          <w:szCs w:val="24"/>
          <w:lang w:val="en-US"/>
        </w:rPr>
        <w:t>CD</w:t>
      </w:r>
      <w:r w:rsidRPr="0095427D">
        <w:rPr>
          <w:i/>
          <w:szCs w:val="24"/>
        </w:rPr>
        <w:t>34+ клеток (%) × количество лейкоцитов (10</w:t>
      </w:r>
      <w:r w:rsidRPr="0095427D">
        <w:rPr>
          <w:i/>
          <w:szCs w:val="24"/>
          <w:vertAlign w:val="superscript"/>
        </w:rPr>
        <w:t>9</w:t>
      </w:r>
      <w:r w:rsidRPr="0095427D">
        <w:rPr>
          <w:i/>
          <w:szCs w:val="24"/>
        </w:rPr>
        <w:t>/л) × 10</w:t>
      </w:r>
    </w:p>
    <w:p w14:paraId="76B8FC45" w14:textId="77777777" w:rsidR="00C44D05" w:rsidRPr="0095427D" w:rsidRDefault="00C44D05" w:rsidP="00BD15B7">
      <w:pPr>
        <w:spacing w:before="0" w:after="0"/>
        <w:ind w:firstLine="709"/>
        <w:rPr>
          <w:szCs w:val="24"/>
        </w:rPr>
      </w:pPr>
      <w:r w:rsidRPr="0095427D">
        <w:rPr>
          <w:szCs w:val="24"/>
        </w:rPr>
        <w:t xml:space="preserve">При содержании </w:t>
      </w:r>
      <w:r w:rsidRPr="0095427D">
        <w:rPr>
          <w:szCs w:val="24"/>
          <w:lang w:val="en-US"/>
        </w:rPr>
        <w:t>CD</w:t>
      </w:r>
      <w:r w:rsidRPr="0095427D">
        <w:rPr>
          <w:szCs w:val="24"/>
        </w:rPr>
        <w:t>34+ клеток в периферической крови более 10</w:t>
      </w:r>
      <w:r>
        <w:rPr>
          <w:szCs w:val="24"/>
        </w:rPr>
        <w:t>-20</w:t>
      </w:r>
      <w:r w:rsidRPr="0095427D">
        <w:rPr>
          <w:szCs w:val="24"/>
        </w:rPr>
        <w:t xml:space="preserve"> в 1 мкл. можно начинать первый лейкаферез.</w:t>
      </w:r>
    </w:p>
    <w:p w14:paraId="31B2C898" w14:textId="77777777" w:rsidR="00C44D05" w:rsidRPr="0095427D" w:rsidRDefault="00C44D05" w:rsidP="00BD15B7">
      <w:pPr>
        <w:spacing w:before="0" w:after="0"/>
        <w:ind w:firstLine="709"/>
        <w:rPr>
          <w:szCs w:val="24"/>
        </w:rPr>
      </w:pPr>
      <w:r w:rsidRPr="0095427D">
        <w:rPr>
          <w:szCs w:val="24"/>
        </w:rPr>
        <w:lastRenderedPageBreak/>
        <w:t xml:space="preserve">Если абсолютное количество </w:t>
      </w:r>
      <w:r w:rsidRPr="0095427D">
        <w:rPr>
          <w:szCs w:val="24"/>
          <w:lang w:val="en-US"/>
        </w:rPr>
        <w:t>CD</w:t>
      </w:r>
      <w:r w:rsidRPr="0095427D">
        <w:rPr>
          <w:szCs w:val="24"/>
        </w:rPr>
        <w:t xml:space="preserve">34+ клеток в крови более 20 в 1 </w:t>
      </w:r>
      <w:proofErr w:type="gramStart"/>
      <w:r w:rsidRPr="0095427D">
        <w:rPr>
          <w:szCs w:val="24"/>
        </w:rPr>
        <w:t>мкл.,</w:t>
      </w:r>
      <w:proofErr w:type="gramEnd"/>
      <w:r w:rsidRPr="0095427D">
        <w:rPr>
          <w:szCs w:val="24"/>
        </w:rPr>
        <w:t xml:space="preserve"> высока вероятность заготовки трансплантата </w:t>
      </w:r>
      <w:r>
        <w:rPr>
          <w:szCs w:val="24"/>
        </w:rPr>
        <w:t>за 1-2 процедуры лейкафкереза.</w:t>
      </w:r>
    </w:p>
    <w:p w14:paraId="32C64DDB" w14:textId="77777777" w:rsidR="00C44D05" w:rsidRPr="0095427D" w:rsidRDefault="00C44D05" w:rsidP="00BD15B7">
      <w:pPr>
        <w:spacing w:before="0" w:after="0"/>
        <w:ind w:firstLine="709"/>
        <w:rPr>
          <w:szCs w:val="24"/>
        </w:rPr>
      </w:pPr>
      <w:r w:rsidRPr="0095427D">
        <w:rPr>
          <w:szCs w:val="24"/>
        </w:rPr>
        <w:t xml:space="preserve">При обнаружении </w:t>
      </w:r>
      <w:r w:rsidRPr="0095427D">
        <w:rPr>
          <w:szCs w:val="24"/>
          <w:lang w:val="en-US"/>
        </w:rPr>
        <w:t>CD</w:t>
      </w:r>
      <w:r w:rsidRPr="0095427D">
        <w:rPr>
          <w:szCs w:val="24"/>
        </w:rPr>
        <w:t>34+ клеток в крови в количе</w:t>
      </w:r>
      <w:r w:rsidRPr="0095427D">
        <w:rPr>
          <w:szCs w:val="24"/>
          <w:lang w:val="en-US"/>
        </w:rPr>
        <w:t>c</w:t>
      </w:r>
      <w:r w:rsidRPr="0095427D">
        <w:rPr>
          <w:szCs w:val="24"/>
        </w:rPr>
        <w:t xml:space="preserve">тве 10-20 в 1 мкл. обычно необходимо 2-4 процедуры лейкафереза. </w:t>
      </w:r>
    </w:p>
    <w:p w14:paraId="7CA58DD7" w14:textId="77777777" w:rsidR="00C44D05" w:rsidRPr="0095427D" w:rsidRDefault="00C44D05" w:rsidP="00BD15B7">
      <w:pPr>
        <w:spacing w:before="0" w:after="0"/>
        <w:ind w:firstLine="709"/>
        <w:rPr>
          <w:szCs w:val="24"/>
        </w:rPr>
      </w:pPr>
      <w:r w:rsidRPr="0095427D">
        <w:rPr>
          <w:szCs w:val="24"/>
        </w:rPr>
        <w:t xml:space="preserve">Если содержание </w:t>
      </w:r>
      <w:r w:rsidRPr="0095427D">
        <w:rPr>
          <w:szCs w:val="24"/>
          <w:lang w:val="en-US"/>
        </w:rPr>
        <w:t>CD</w:t>
      </w:r>
      <w:r w:rsidRPr="0095427D">
        <w:rPr>
          <w:szCs w:val="24"/>
        </w:rPr>
        <w:t xml:space="preserve">34+ клеток менее 10 в 1 </w:t>
      </w:r>
      <w:proofErr w:type="gramStart"/>
      <w:r w:rsidRPr="0095427D">
        <w:rPr>
          <w:szCs w:val="24"/>
        </w:rPr>
        <w:t>мкл.,</w:t>
      </w:r>
      <w:proofErr w:type="gramEnd"/>
      <w:r w:rsidRPr="0095427D">
        <w:rPr>
          <w:szCs w:val="24"/>
        </w:rPr>
        <w:t xml:space="preserve"> желательно воздержаться от сбора клеток в этот день и повторить анализ на следующий день.</w:t>
      </w:r>
    </w:p>
    <w:p w14:paraId="763F75A7" w14:textId="77777777" w:rsidR="00C44D05" w:rsidRPr="0095427D" w:rsidRDefault="00C44D05" w:rsidP="00BD15B7">
      <w:pPr>
        <w:spacing w:before="0" w:after="0"/>
        <w:ind w:firstLine="709"/>
        <w:rPr>
          <w:szCs w:val="24"/>
        </w:rPr>
      </w:pPr>
      <w:r w:rsidRPr="0095427D">
        <w:rPr>
          <w:szCs w:val="24"/>
        </w:rPr>
        <w:t xml:space="preserve">При содержании </w:t>
      </w:r>
      <w:r w:rsidRPr="0095427D">
        <w:rPr>
          <w:szCs w:val="24"/>
          <w:lang w:val="en-US"/>
        </w:rPr>
        <w:t>CD</w:t>
      </w:r>
      <w:r w:rsidRPr="0095427D">
        <w:rPr>
          <w:szCs w:val="24"/>
        </w:rPr>
        <w:t>34+ клеток менее 5 в 1 мкл. необходимо обсудить вопрос об отказе от продолжения мобилизации или же возможности применения плериксафора.</w:t>
      </w:r>
    </w:p>
    <w:p w14:paraId="7B916DF1" w14:textId="77777777" w:rsidR="00C44D05" w:rsidRPr="0095427D" w:rsidRDefault="00C44D05" w:rsidP="00BD15B7">
      <w:pPr>
        <w:spacing w:before="0" w:after="0"/>
        <w:ind w:firstLine="709"/>
        <w:rPr>
          <w:szCs w:val="24"/>
        </w:rPr>
      </w:pPr>
      <w:r w:rsidRPr="0095427D">
        <w:rPr>
          <w:szCs w:val="24"/>
        </w:rPr>
        <w:t>Процедура лейкафереза может осуществлятъся как в автоматическом, так и в полуавтоматическом режиме. При количестве лейкоцитов более 20 ×10</w:t>
      </w:r>
      <w:r w:rsidRPr="0095427D">
        <w:rPr>
          <w:szCs w:val="24"/>
          <w:vertAlign w:val="superscript"/>
        </w:rPr>
        <w:t>9</w:t>
      </w:r>
      <w:r w:rsidRPr="0095427D">
        <w:rPr>
          <w:szCs w:val="24"/>
        </w:rPr>
        <w:t xml:space="preserve">/л предпочтителен полуавтоматический режим для возможности ручной регулировки границы раздела сред. </w:t>
      </w:r>
    </w:p>
    <w:p w14:paraId="1533B482" w14:textId="77777777" w:rsidR="00C44D05" w:rsidRDefault="00C44D05" w:rsidP="00BD15B7">
      <w:pPr>
        <w:spacing w:before="0" w:after="0"/>
        <w:ind w:firstLine="709"/>
        <w:rPr>
          <w:szCs w:val="24"/>
        </w:rPr>
      </w:pPr>
      <w:r w:rsidRPr="0095427D">
        <w:rPr>
          <w:szCs w:val="24"/>
        </w:rPr>
        <w:t>Абсолютными противопоказаниями для проведения процедуры лейкафереза являются тяжелые соматические заболевания в стадии декомпенсац</w:t>
      </w:r>
      <w:r>
        <w:rPr>
          <w:szCs w:val="24"/>
        </w:rPr>
        <w:t>ии, угрожающие жизни состояния.</w:t>
      </w:r>
    </w:p>
    <w:p w14:paraId="7BA09FBD" w14:textId="77777777" w:rsidR="00C44D05" w:rsidRPr="0095427D" w:rsidRDefault="00C44D05" w:rsidP="00BD15B7">
      <w:pPr>
        <w:spacing w:before="0" w:after="0"/>
        <w:ind w:firstLine="709"/>
        <w:rPr>
          <w:szCs w:val="24"/>
        </w:rPr>
      </w:pPr>
      <w:r w:rsidRPr="0095427D">
        <w:rPr>
          <w:szCs w:val="24"/>
        </w:rPr>
        <w:t>Примерами относительных противопоказаний может быть значимое снижение гемоглобина или тромбоцитов, что компенсируется трансфузионной поддержкой до процедуры. Непосредственно перед процедурой необходимо измерить артериальное давление, оценить общее состояние пациента, ознакомиться с результатами биохимического анализа крови и ко</w:t>
      </w:r>
      <w:r>
        <w:rPr>
          <w:szCs w:val="24"/>
        </w:rPr>
        <w:t>агулограммы.</w:t>
      </w:r>
    </w:p>
    <w:p w14:paraId="5C1CFE8F" w14:textId="1CB8B656" w:rsidR="00C44D05" w:rsidRPr="0095427D" w:rsidRDefault="00C44D05" w:rsidP="00BD15B7">
      <w:pPr>
        <w:spacing w:before="0" w:after="0"/>
        <w:ind w:firstLine="709"/>
        <w:rPr>
          <w:szCs w:val="24"/>
        </w:rPr>
      </w:pPr>
      <w:r w:rsidRPr="0095427D">
        <w:rPr>
          <w:szCs w:val="24"/>
        </w:rPr>
        <w:t>Процедура сбора ГСК длится около 3-4 часов. Во время проведения лейкафереза при развитии гипокальцемии (проявляется парестезией губ, языка, кончиков пальцев) необходимо замедлить скорость возврата крови. Для профилактики цитратной реакции рекомендуется введение 10 мл 10% раствора кальция глюконата или 5 мл 10% раствора кальция хлорида на каждые 200 мл цитратного раствора при массе тела пациента &lt;60 кг или на каждые</w:t>
      </w:r>
      <w:r>
        <w:rPr>
          <w:szCs w:val="24"/>
        </w:rPr>
        <w:t xml:space="preserve"> 400 мл при массе </w:t>
      </w:r>
      <w:proofErr w:type="gramStart"/>
      <w:r>
        <w:rPr>
          <w:szCs w:val="24"/>
        </w:rPr>
        <w:t>тела &gt;</w:t>
      </w:r>
      <w:proofErr w:type="gramEnd"/>
      <w:r>
        <w:rPr>
          <w:szCs w:val="24"/>
        </w:rPr>
        <w:t xml:space="preserve"> 70 кг.</w:t>
      </w:r>
    </w:p>
    <w:p w14:paraId="5F5E992D" w14:textId="6CAC5ED9" w:rsidR="00C44D05" w:rsidRPr="0095427D" w:rsidRDefault="00C44D05" w:rsidP="00BD15B7">
      <w:pPr>
        <w:spacing w:before="0" w:after="0"/>
        <w:ind w:firstLine="709"/>
        <w:rPr>
          <w:szCs w:val="24"/>
        </w:rPr>
      </w:pPr>
      <w:r w:rsidRPr="0095427D">
        <w:rPr>
          <w:szCs w:val="24"/>
        </w:rPr>
        <w:t>Из полученного продукта берут пробу ГСК для определения содержания С</w:t>
      </w:r>
      <w:r w:rsidRPr="0095427D">
        <w:rPr>
          <w:szCs w:val="24"/>
          <w:lang w:val="en-US"/>
        </w:rPr>
        <w:t>D</w:t>
      </w:r>
      <w:r w:rsidRPr="0095427D">
        <w:rPr>
          <w:szCs w:val="24"/>
        </w:rPr>
        <w:t xml:space="preserve">34+ клеток при помощи проточного цитофлуориметра. Существует множество рекомендуемых схем по подсчету </w:t>
      </w:r>
      <w:r w:rsidRPr="0095427D">
        <w:rPr>
          <w:szCs w:val="24"/>
          <w:lang w:val="en-US"/>
        </w:rPr>
        <w:t>CD</w:t>
      </w:r>
      <w:r w:rsidRPr="0095427D">
        <w:rPr>
          <w:szCs w:val="24"/>
        </w:rPr>
        <w:t xml:space="preserve">34+ ГСК, наиболее известен </w:t>
      </w:r>
      <w:r w:rsidRPr="0095427D">
        <w:rPr>
          <w:szCs w:val="24"/>
          <w:lang w:val="en-US"/>
        </w:rPr>
        <w:t>ISHAGE</w:t>
      </w:r>
      <w:r w:rsidRPr="0095427D">
        <w:rPr>
          <w:szCs w:val="24"/>
        </w:rPr>
        <w:t xml:space="preserve">-протокол (International Society of Hematotherapy and Graft Engineering) </w:t>
      </w:r>
      <w:r w:rsidRPr="0095427D">
        <w:rPr>
          <w:szCs w:val="24"/>
        </w:rPr>
        <w:fldChar w:fldCharType="begin" w:fldLock="1"/>
      </w:r>
      <w:r w:rsidR="00E430FD">
        <w:rPr>
          <w:szCs w:val="24"/>
        </w:rPr>
        <w:instrText>ADDIN CSL_CITATION {"citationItems":[{"id":"ITEM-1","itemData":{"DOI":"10.1089/scd.1.1996.5.213","ISSN":"15258165","abstract":"The increased use of Peripheral Blood Stem Cells (PBSC) to reconstitute hematopoiesis in autotransplant and, more recently, allotransplant settings has not been associated with a consensus means to quality control the PBSC product. Since the small population of cells that bear the CD34 antigen are thought to be responsible for multilineage engraftment, graft assessment by flow cytometric quantitation of CD34+ cells should provide a rapid, reliable, and reproducible assay. Unfortunately, although a number of flow cytometric assays for CD34 enumeration have been described, the lack of a standardized method has led to the generation of widely divergent data. Furthermore, none of these assays has been validated as to interlaboratory reproducibility and suitability for widespread clinical application. In early 1995, the International Society of Hematotherapy and Graft Engineering (ISHAGE) established a Stem Cell Enumeration Committee, the mandate of which was to validate a simple, rapid, and sensitive flow cytometric method to quantitate CD34+ cells in peripheral blood and apheresis products. We also sought to establish its utility on a variety of flow cytometers in clinical laboratories and its reproducibility between transplant centers. Here, we describe the four-parameter flow methodology adopted by ISHAGE for validation in a multicenter study in North America.","author":[{"dropping-particle":"","family":"Sutherland","given":"D. Robert","non-dropping-particle":"","parse-names":false,"suffix":""},{"dropping-particle":"","family":"Anderson","given":"Lori","non-dropping-particle":"","parse-names":false,"suffix":""},{"dropping-particle":"","family":"Keeney","given":"Michael","non-dropping-particle":"","parse-names":false,"suffix":""},{"dropping-particle":"","family":"Nayar","given":"Rakash","non-dropping-particle":"","parse-names":false,"suffix":""},{"dropping-particle":"","family":"Chin-Yee","given":"Ian","non-dropping-particle":"","parse-names":false,"suffix":""}],"container-title":"Journal of Hematotherapy and Stem Cell Research","id":"ITEM-1","issue":"3","issued":{"date-parts":[["1996","6"]]},"page":"213-226","publisher":"J Hematother","title":"The ISHAGE guidelines for CD34+ cell determination by flow cytometry","type":"article","volume":"5"},"uris":["http://www.mendeley.com/documents/?uuid=3b63824f-4c14-4eba-b990-62e0bcaea90c"]}],"mendeley":{"formattedCitation":"[110]","plainTextFormattedCitation":"[110]","previouslyFormattedCitation":"[110]"},"properties":{"noteIndex":0},"schema":"https://github.com/citation-style-language/schema/raw/master/csl-citation.json"}</w:instrText>
      </w:r>
      <w:r w:rsidRPr="0095427D">
        <w:rPr>
          <w:szCs w:val="24"/>
        </w:rPr>
        <w:fldChar w:fldCharType="separate"/>
      </w:r>
      <w:r w:rsidR="00E430FD" w:rsidRPr="00E430FD">
        <w:rPr>
          <w:noProof/>
          <w:szCs w:val="24"/>
        </w:rPr>
        <w:t>[110]</w:t>
      </w:r>
      <w:r w:rsidRPr="0095427D">
        <w:rPr>
          <w:szCs w:val="24"/>
        </w:rPr>
        <w:fldChar w:fldCharType="end"/>
      </w:r>
      <w:r w:rsidRPr="0095427D">
        <w:rPr>
          <w:szCs w:val="24"/>
        </w:rPr>
        <w:t xml:space="preserve">. </w:t>
      </w:r>
    </w:p>
    <w:p w14:paraId="3B44E1DB" w14:textId="77777777" w:rsidR="00C44D05" w:rsidRPr="00BD15B7" w:rsidRDefault="00C44D05" w:rsidP="00292402">
      <w:pPr>
        <w:pStyle w:val="a6"/>
        <w:numPr>
          <w:ilvl w:val="0"/>
          <w:numId w:val="126"/>
        </w:numPr>
        <w:tabs>
          <w:tab w:val="left" w:pos="426"/>
        </w:tabs>
        <w:spacing w:before="0" w:after="0"/>
        <w:ind w:left="0" w:firstLine="0"/>
        <w:rPr>
          <w:b/>
        </w:rPr>
      </w:pPr>
      <w:bookmarkStart w:id="82" w:name="_Toc44926612"/>
      <w:r w:rsidRPr="00BD15B7">
        <w:rPr>
          <w:b/>
        </w:rPr>
        <w:t>Криоконсервирование трансплантата</w:t>
      </w:r>
      <w:bookmarkEnd w:id="82"/>
    </w:p>
    <w:p w14:paraId="5C996F5D" w14:textId="77777777" w:rsidR="00C44D05" w:rsidRDefault="00C44D05" w:rsidP="00BD15B7">
      <w:pPr>
        <w:spacing w:before="0" w:after="0"/>
        <w:ind w:firstLine="709"/>
        <w:rPr>
          <w:szCs w:val="24"/>
        </w:rPr>
      </w:pPr>
      <w:r w:rsidRPr="0095427D">
        <w:rPr>
          <w:szCs w:val="24"/>
        </w:rPr>
        <w:t xml:space="preserve">Параллельно с подсчетом CD34+ клеток проводится фракционирование полученного продукта лейкафереза. Сначала маркируют полимерный двухкамерный контейнер (первая камера - «плазма», вторая - «гемопоэтические стволовые клетки»), </w:t>
      </w:r>
      <w:r w:rsidRPr="0095427D">
        <w:rPr>
          <w:szCs w:val="24"/>
        </w:rPr>
        <w:lastRenderedPageBreak/>
        <w:t xml:space="preserve">переносят лейкоконцентрат в контейнер для ГСК в асептических условиях и проводят центрифугирование (2000 об/мин) в течение 15 мин. </w:t>
      </w:r>
    </w:p>
    <w:p w14:paraId="055236B4" w14:textId="77777777" w:rsidR="00C44D05" w:rsidRPr="0095427D" w:rsidRDefault="00C44D05" w:rsidP="00BD15B7">
      <w:pPr>
        <w:spacing w:before="0" w:after="0"/>
        <w:ind w:firstLine="709"/>
        <w:rPr>
          <w:szCs w:val="24"/>
        </w:rPr>
      </w:pPr>
      <w:r w:rsidRPr="0095427D">
        <w:rPr>
          <w:szCs w:val="24"/>
        </w:rPr>
        <w:t xml:space="preserve">Фракционирование проводят в асептических условиях, например, в условиях ламинарного шкафа биологической безопасности </w:t>
      </w:r>
      <w:r w:rsidRPr="0095427D">
        <w:rPr>
          <w:szCs w:val="24"/>
          <w:lang w:val="en-US"/>
        </w:rPr>
        <w:t>II</w:t>
      </w:r>
      <w:r w:rsidRPr="0095427D">
        <w:rPr>
          <w:szCs w:val="24"/>
        </w:rPr>
        <w:t xml:space="preserve"> класса. Далее осуществляется подсчет </w:t>
      </w:r>
      <w:r w:rsidRPr="0095427D">
        <w:rPr>
          <w:szCs w:val="24"/>
          <w:lang w:val="en-US"/>
        </w:rPr>
        <w:t>CD</w:t>
      </w:r>
      <w:r w:rsidRPr="0095427D">
        <w:rPr>
          <w:szCs w:val="24"/>
        </w:rPr>
        <w:t>34+ клеток в полученном лейкоконцентрате. Получив долю CD34+ клеток от всех лейкоцитов в лейкоконцентрате, подсчитывают количество CD34+ клет</w:t>
      </w:r>
      <w:r>
        <w:rPr>
          <w:szCs w:val="24"/>
        </w:rPr>
        <w:t>ок на 1 кг массы тела пациента.</w:t>
      </w:r>
    </w:p>
    <w:p w14:paraId="3E094ACB" w14:textId="77777777" w:rsidR="00C44D05" w:rsidRDefault="00C44D05" w:rsidP="00BD15B7">
      <w:pPr>
        <w:spacing w:before="0" w:after="0"/>
        <w:ind w:firstLine="709"/>
        <w:rPr>
          <w:szCs w:val="24"/>
        </w:rPr>
      </w:pPr>
      <w:r w:rsidRPr="0095427D">
        <w:rPr>
          <w:szCs w:val="24"/>
        </w:rPr>
        <w:t xml:space="preserve">Процесс криоконсервирования включает несколько этапов. Сначала проводят расчет необходимого количества раствора ДМСО, который нужно добавить к ГСК. Полученный биоматериал с криопротектором переносят в контейнер для криоконсервирования и тщательно удаляют пузыри воздуха. </w:t>
      </w:r>
    </w:p>
    <w:p w14:paraId="05871874" w14:textId="77777777" w:rsidR="00C44D05" w:rsidRPr="0095427D" w:rsidRDefault="00C44D05" w:rsidP="006C221C">
      <w:pPr>
        <w:spacing w:before="0" w:after="0"/>
        <w:ind w:firstLine="709"/>
        <w:rPr>
          <w:szCs w:val="24"/>
        </w:rPr>
      </w:pPr>
      <w:r w:rsidRPr="0095427D">
        <w:rPr>
          <w:szCs w:val="24"/>
        </w:rPr>
        <w:t xml:space="preserve">Заморозку и хранение биоматериала производят в </w:t>
      </w:r>
      <w:r>
        <w:rPr>
          <w:szCs w:val="24"/>
        </w:rPr>
        <w:t>емкости</w:t>
      </w:r>
      <w:r w:rsidRPr="0095427D">
        <w:rPr>
          <w:szCs w:val="24"/>
        </w:rPr>
        <w:t xml:space="preserve"> с </w:t>
      </w:r>
      <w:r>
        <w:rPr>
          <w:szCs w:val="24"/>
        </w:rPr>
        <w:t xml:space="preserve">парами </w:t>
      </w:r>
      <w:r w:rsidRPr="0095427D">
        <w:rPr>
          <w:szCs w:val="24"/>
        </w:rPr>
        <w:t>жидк</w:t>
      </w:r>
      <w:r>
        <w:rPr>
          <w:szCs w:val="24"/>
        </w:rPr>
        <w:t>ого</w:t>
      </w:r>
      <w:r w:rsidRPr="0095427D">
        <w:rPr>
          <w:szCs w:val="24"/>
        </w:rPr>
        <w:t xml:space="preserve"> азот</w:t>
      </w:r>
      <w:r>
        <w:rPr>
          <w:szCs w:val="24"/>
        </w:rPr>
        <w:t>а</w:t>
      </w:r>
      <w:r w:rsidRPr="0095427D">
        <w:rPr>
          <w:szCs w:val="24"/>
        </w:rPr>
        <w:t xml:space="preserve">. </w:t>
      </w:r>
    </w:p>
    <w:p w14:paraId="2AC1D14A" w14:textId="77777777" w:rsidR="00C44D05" w:rsidRPr="00BD15B7" w:rsidRDefault="00C44D05" w:rsidP="008F161A">
      <w:pPr>
        <w:pStyle w:val="a6"/>
        <w:numPr>
          <w:ilvl w:val="0"/>
          <w:numId w:val="126"/>
        </w:numPr>
        <w:spacing w:before="0" w:after="0"/>
        <w:rPr>
          <w:b/>
        </w:rPr>
      </w:pPr>
      <w:bookmarkStart w:id="83" w:name="_Toc44926613"/>
      <w:r w:rsidRPr="00BD15B7">
        <w:rPr>
          <w:b/>
        </w:rPr>
        <w:t>Обследование пациентов перед мобилизацией и сбором ГСК</w:t>
      </w:r>
      <w:bookmarkEnd w:id="83"/>
    </w:p>
    <w:p w14:paraId="6886D1BB" w14:textId="77777777" w:rsidR="00C44D05" w:rsidRDefault="00C44D05" w:rsidP="00FD0434">
      <w:pPr>
        <w:spacing w:before="0" w:after="0"/>
        <w:ind w:firstLine="709"/>
        <w:rPr>
          <w:szCs w:val="24"/>
        </w:rPr>
      </w:pPr>
      <w:r>
        <w:rPr>
          <w:szCs w:val="24"/>
        </w:rPr>
        <w:t>Перед началом мобилизации гемопоэтических стволовых клеток необходимо определить фазу заболевания, оценить соматический статус пациента и состояние кроветворения. Для этого всем пациентам проводится рутинный комплекс обследования, включающий как лабораторные, так и инструментальные методы.</w:t>
      </w:r>
    </w:p>
    <w:p w14:paraId="1728E893" w14:textId="77777777" w:rsidR="00C44D05" w:rsidRPr="00092917" w:rsidRDefault="00C44D05" w:rsidP="008F161A">
      <w:pPr>
        <w:pStyle w:val="a6"/>
        <w:numPr>
          <w:ilvl w:val="0"/>
          <w:numId w:val="126"/>
        </w:numPr>
        <w:spacing w:before="0" w:after="0"/>
        <w:rPr>
          <w:b/>
        </w:rPr>
      </w:pPr>
      <w:bookmarkStart w:id="84" w:name="_Toc44926614"/>
      <w:r w:rsidRPr="00092917">
        <w:rPr>
          <w:b/>
        </w:rPr>
        <w:t>Общие методы обследования</w:t>
      </w:r>
      <w:bookmarkEnd w:id="84"/>
    </w:p>
    <w:p w14:paraId="176F09A0" w14:textId="36E443FE" w:rsidR="00C44D05" w:rsidRPr="006A495D" w:rsidRDefault="005A0507" w:rsidP="0024404E">
      <w:pPr>
        <w:pStyle w:val="Numlist"/>
        <w:numPr>
          <w:ilvl w:val="0"/>
          <w:numId w:val="58"/>
        </w:numPr>
        <w:tabs>
          <w:tab w:val="left" w:pos="284"/>
        </w:tabs>
        <w:spacing w:line="360" w:lineRule="auto"/>
        <w:ind w:left="0" w:firstLine="0"/>
        <w:jc w:val="both"/>
      </w:pPr>
      <w:r>
        <w:t xml:space="preserve">Общий (клинический) </w:t>
      </w:r>
      <w:proofErr w:type="gramStart"/>
      <w:r>
        <w:t>анализ крови</w:t>
      </w:r>
      <w:proofErr w:type="gramEnd"/>
      <w:r>
        <w:t xml:space="preserve"> р</w:t>
      </w:r>
      <w:r w:rsidR="00C44D05">
        <w:t>азвернутый.</w:t>
      </w:r>
    </w:p>
    <w:p w14:paraId="19D0F7C6" w14:textId="23910DDB" w:rsidR="00C44D05" w:rsidRPr="006A495D" w:rsidRDefault="005A0507" w:rsidP="0024404E">
      <w:pPr>
        <w:pStyle w:val="Numlist"/>
        <w:numPr>
          <w:ilvl w:val="0"/>
          <w:numId w:val="58"/>
        </w:numPr>
        <w:tabs>
          <w:tab w:val="left" w:pos="284"/>
        </w:tabs>
        <w:spacing w:line="360" w:lineRule="auto"/>
        <w:ind w:left="0" w:firstLine="0"/>
        <w:jc w:val="both"/>
      </w:pPr>
      <w:r>
        <w:t>А</w:t>
      </w:r>
      <w:r w:rsidRPr="006A495D">
        <w:t xml:space="preserve">нализ крови </w:t>
      </w:r>
      <w:r>
        <w:t>б</w:t>
      </w:r>
      <w:r w:rsidR="00C44D05" w:rsidRPr="006A495D">
        <w:t xml:space="preserve">иохимический </w:t>
      </w:r>
      <w:r>
        <w:t xml:space="preserve">общетерапевтический </w:t>
      </w:r>
      <w:r w:rsidR="00C44D05" w:rsidRPr="006A495D">
        <w:t xml:space="preserve">с обязательным определением: </w:t>
      </w:r>
      <w:r w:rsidR="00C44D05">
        <w:t xml:space="preserve">уровней </w:t>
      </w:r>
      <w:r w:rsidR="00C44D05" w:rsidRPr="006A495D">
        <w:t xml:space="preserve">общего белка, альбумина, креатинина, мочевой кислоты, калия, кальция, </w:t>
      </w:r>
      <w:r w:rsidR="00C44D05">
        <w:t xml:space="preserve">активности </w:t>
      </w:r>
      <w:r w:rsidR="00C44D05" w:rsidRPr="006A495D">
        <w:t>ЛДГ.</w:t>
      </w:r>
    </w:p>
    <w:p w14:paraId="00BE26B3" w14:textId="77777777" w:rsidR="00C44D05" w:rsidRDefault="00C44D05" w:rsidP="0024404E">
      <w:pPr>
        <w:pStyle w:val="Numlist"/>
        <w:numPr>
          <w:ilvl w:val="0"/>
          <w:numId w:val="58"/>
        </w:numPr>
        <w:tabs>
          <w:tab w:val="left" w:pos="284"/>
        </w:tabs>
        <w:spacing w:line="360" w:lineRule="auto"/>
        <w:ind w:left="0" w:firstLine="0"/>
        <w:jc w:val="both"/>
      </w:pPr>
      <w:r>
        <w:t>Общий анализ мочи.</w:t>
      </w:r>
    </w:p>
    <w:p w14:paraId="19DF443F" w14:textId="77777777" w:rsidR="00C44D05" w:rsidRDefault="00C44D05" w:rsidP="0024404E">
      <w:pPr>
        <w:pStyle w:val="Numlist"/>
        <w:numPr>
          <w:ilvl w:val="0"/>
          <w:numId w:val="58"/>
        </w:numPr>
        <w:tabs>
          <w:tab w:val="left" w:pos="284"/>
        </w:tabs>
        <w:spacing w:line="360" w:lineRule="auto"/>
        <w:ind w:left="0" w:firstLine="0"/>
        <w:jc w:val="both"/>
      </w:pPr>
      <w:r>
        <w:t>Глюкоза крови.</w:t>
      </w:r>
    </w:p>
    <w:p w14:paraId="2549E69A" w14:textId="77777777" w:rsidR="00C44D05" w:rsidRDefault="00C44D05" w:rsidP="0024404E">
      <w:pPr>
        <w:pStyle w:val="Numlist"/>
        <w:numPr>
          <w:ilvl w:val="0"/>
          <w:numId w:val="58"/>
        </w:numPr>
        <w:tabs>
          <w:tab w:val="left" w:pos="284"/>
        </w:tabs>
        <w:spacing w:line="360" w:lineRule="auto"/>
        <w:ind w:left="0" w:firstLine="0"/>
        <w:jc w:val="both"/>
      </w:pPr>
      <w:r>
        <w:t>Определение скорости клубочковой фильтрации.</w:t>
      </w:r>
    </w:p>
    <w:p w14:paraId="1F206C64" w14:textId="77777777" w:rsidR="00C44D05" w:rsidRDefault="00C44D05" w:rsidP="0024404E">
      <w:pPr>
        <w:pStyle w:val="Numlist"/>
        <w:numPr>
          <w:ilvl w:val="0"/>
          <w:numId w:val="58"/>
        </w:numPr>
        <w:tabs>
          <w:tab w:val="left" w:pos="284"/>
        </w:tabs>
        <w:spacing w:line="360" w:lineRule="auto"/>
        <w:ind w:left="0" w:firstLine="0"/>
        <w:jc w:val="both"/>
      </w:pPr>
      <w:r>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78A10B22" w14:textId="6EA4ED79" w:rsidR="005B71A1" w:rsidRDefault="005B71A1" w:rsidP="0024404E">
      <w:pPr>
        <w:pStyle w:val="Numlist"/>
        <w:numPr>
          <w:ilvl w:val="0"/>
          <w:numId w:val="58"/>
        </w:numPr>
        <w:tabs>
          <w:tab w:val="left" w:pos="284"/>
        </w:tabs>
        <w:spacing w:line="360" w:lineRule="auto"/>
        <w:ind w:left="0" w:firstLine="0"/>
        <w:jc w:val="both"/>
      </w:pPr>
      <w:r>
        <w:t>Получение цитологического препарата костного мозга путем пункции с дальнейшим цитологическим исследованием мазка костного мозга (миелограмма).</w:t>
      </w:r>
    </w:p>
    <w:p w14:paraId="042A222A" w14:textId="553508F1" w:rsidR="00C44D05" w:rsidRDefault="004F56A1" w:rsidP="0024404E">
      <w:pPr>
        <w:pStyle w:val="Numlist"/>
        <w:numPr>
          <w:ilvl w:val="0"/>
          <w:numId w:val="58"/>
        </w:numPr>
        <w:tabs>
          <w:tab w:val="left" w:pos="284"/>
        </w:tabs>
        <w:spacing w:line="360" w:lineRule="auto"/>
        <w:ind w:left="0" w:firstLine="0"/>
        <w:jc w:val="both"/>
      </w:pPr>
      <w:r>
        <w:t xml:space="preserve">Паталогоанатомическое исследование </w:t>
      </w:r>
      <w:r w:rsidRPr="00C528FA">
        <w:t>биопсийного (операционного) материала костного мозга</w:t>
      </w:r>
      <w:r w:rsidRPr="00100A57">
        <w:t xml:space="preserve"> </w:t>
      </w:r>
      <w:r w:rsidR="00C44D05">
        <w:t>для оценки состояния кроветворения.</w:t>
      </w:r>
    </w:p>
    <w:p w14:paraId="5F6D4CE5" w14:textId="2145149D" w:rsidR="00C44D05" w:rsidRDefault="004F56A1" w:rsidP="0024404E">
      <w:pPr>
        <w:pStyle w:val="Numlist"/>
        <w:numPr>
          <w:ilvl w:val="0"/>
          <w:numId w:val="58"/>
        </w:numPr>
        <w:tabs>
          <w:tab w:val="left" w:pos="284"/>
        </w:tabs>
        <w:spacing w:line="360" w:lineRule="auto"/>
        <w:ind w:left="0" w:firstLine="0"/>
        <w:jc w:val="both"/>
      </w:pPr>
      <w:r>
        <w:lastRenderedPageBreak/>
        <w:t xml:space="preserve">Паталогоанатомическое исследование </w:t>
      </w:r>
      <w:r w:rsidRPr="00C528FA">
        <w:t>биопсийного (операционного) материала костного мозга</w:t>
      </w:r>
      <w:r w:rsidRPr="00100A57">
        <w:t xml:space="preserve"> </w:t>
      </w:r>
      <w:r w:rsidR="00C44D05" w:rsidRPr="00100A57">
        <w:t>с применением иммуногистохимических методов</w:t>
      </w:r>
      <w:r w:rsidR="00C44D05">
        <w:t xml:space="preserve"> для оценки состояния кроветворения и инфильтрации костного мозга опухолевыми клетками.</w:t>
      </w:r>
    </w:p>
    <w:p w14:paraId="7F2BCA66" w14:textId="1125D1B1" w:rsidR="00C44D05" w:rsidRDefault="00E1357D" w:rsidP="0024404E">
      <w:pPr>
        <w:pStyle w:val="Numlist"/>
        <w:numPr>
          <w:ilvl w:val="0"/>
          <w:numId w:val="58"/>
        </w:numPr>
        <w:tabs>
          <w:tab w:val="left" w:pos="284"/>
        </w:tabs>
        <w:spacing w:line="360" w:lineRule="auto"/>
        <w:ind w:left="0" w:firstLine="0"/>
        <w:jc w:val="both"/>
      </w:pPr>
      <w:r>
        <w:t>Исследование биологического материала (костного мозга) методом проточной цитофлуориметрии</w:t>
      </w:r>
      <w:r w:rsidRPr="006A495D">
        <w:t xml:space="preserve"> </w:t>
      </w:r>
      <w:r w:rsidR="00C44D05">
        <w:t>для определения маркеров минимальной остаточной болезни.</w:t>
      </w:r>
    </w:p>
    <w:p w14:paraId="4E00A9C2" w14:textId="1BEB7ED1" w:rsidR="00C44D05" w:rsidRPr="00C9448D" w:rsidRDefault="00C44D05" w:rsidP="0024404E">
      <w:pPr>
        <w:pStyle w:val="Numlist"/>
        <w:numPr>
          <w:ilvl w:val="0"/>
          <w:numId w:val="58"/>
        </w:numPr>
        <w:tabs>
          <w:tab w:val="left" w:pos="284"/>
        </w:tabs>
        <w:spacing w:line="360" w:lineRule="auto"/>
        <w:ind w:left="0" w:firstLine="0"/>
        <w:jc w:val="both"/>
      </w:pPr>
      <w:r w:rsidRPr="00C9448D">
        <w:t xml:space="preserve">Определение </w:t>
      </w:r>
      <w:r w:rsidR="00AB3E79" w:rsidRPr="00C9448D">
        <w:t xml:space="preserve">основных групп по системе АВ0, определение антигена </w:t>
      </w:r>
      <w:r w:rsidR="00AB3E79" w:rsidRPr="00C9448D">
        <w:rPr>
          <w:lang w:val="en-US"/>
        </w:rPr>
        <w:t>D</w:t>
      </w:r>
      <w:r w:rsidR="00AB3E79" w:rsidRPr="00C9448D">
        <w:t xml:space="preserve"> системы Резус (резус-фактор), определение подгрупп и других групп крови меньшего значения А-1. А-2, </w:t>
      </w:r>
      <w:r w:rsidR="00AB3E79" w:rsidRPr="00C9448D">
        <w:rPr>
          <w:lang w:val="en-US"/>
        </w:rPr>
        <w:t>D</w:t>
      </w:r>
      <w:r w:rsidR="00AB3E79" w:rsidRPr="00C9448D">
        <w:t xml:space="preserve">, </w:t>
      </w:r>
      <w:r w:rsidR="00AB3E79" w:rsidRPr="00C9448D">
        <w:rPr>
          <w:lang w:val="en-US"/>
        </w:rPr>
        <w:t>Cc</w:t>
      </w:r>
      <w:r w:rsidR="00AB3E79" w:rsidRPr="00C9448D">
        <w:t xml:space="preserve">, </w:t>
      </w:r>
      <w:r w:rsidR="00AB3E79" w:rsidRPr="00C9448D">
        <w:rPr>
          <w:lang w:val="en-US"/>
        </w:rPr>
        <w:t>E</w:t>
      </w:r>
      <w:r w:rsidR="00AB3E79" w:rsidRPr="00C9448D">
        <w:t xml:space="preserve">, </w:t>
      </w:r>
      <w:r w:rsidR="00AB3E79" w:rsidRPr="00C9448D">
        <w:rPr>
          <w:lang w:val="en-US"/>
        </w:rPr>
        <w:t>Kell</w:t>
      </w:r>
      <w:r w:rsidR="00AB3E79" w:rsidRPr="00C9448D">
        <w:t xml:space="preserve">, </w:t>
      </w:r>
      <w:r w:rsidR="00AB3E79" w:rsidRPr="00C9448D">
        <w:rPr>
          <w:lang w:val="en-US"/>
        </w:rPr>
        <w:t>Duffy</w:t>
      </w:r>
      <w:r w:rsidR="00AB3E79" w:rsidRPr="00C9448D">
        <w:t xml:space="preserve">, определение фенотипа по антигенам С, с, Е, е, </w:t>
      </w:r>
      <w:r w:rsidR="00AB3E79" w:rsidRPr="00C9448D">
        <w:rPr>
          <w:lang w:val="en-US"/>
        </w:rPr>
        <w:t>Cw</w:t>
      </w:r>
      <w:r w:rsidR="00AB3E79" w:rsidRPr="00C9448D">
        <w:t xml:space="preserve">, </w:t>
      </w:r>
      <w:r w:rsidR="00AB3E79" w:rsidRPr="00C9448D">
        <w:rPr>
          <w:lang w:val="en-US"/>
        </w:rPr>
        <w:t>K</w:t>
      </w:r>
      <w:r w:rsidR="00AB3E79" w:rsidRPr="00C9448D">
        <w:t xml:space="preserve">, </w:t>
      </w:r>
      <w:r w:rsidR="00AB3E79" w:rsidRPr="00C9448D">
        <w:rPr>
          <w:lang w:val="en-US"/>
        </w:rPr>
        <w:t>k</w:t>
      </w:r>
      <w:r w:rsidR="00AB3E79" w:rsidRPr="00C9448D">
        <w:t xml:space="preserve"> и определение антиэритроцитарных антител, определение содержания антител к антигенам групп крови.</w:t>
      </w:r>
    </w:p>
    <w:p w14:paraId="0A7D5750" w14:textId="77777777" w:rsidR="00C44D05" w:rsidRPr="006A495D" w:rsidRDefault="00C44D05" w:rsidP="0024404E">
      <w:pPr>
        <w:pStyle w:val="Numlist"/>
        <w:numPr>
          <w:ilvl w:val="0"/>
          <w:numId w:val="58"/>
        </w:numPr>
        <w:tabs>
          <w:tab w:val="left" w:pos="284"/>
        </w:tabs>
        <w:spacing w:line="360" w:lineRule="auto"/>
        <w:ind w:left="0" w:firstLine="0"/>
        <w:jc w:val="both"/>
      </w:pPr>
      <w:r>
        <w:t>Исследование на м</w:t>
      </w:r>
      <w:r w:rsidRPr="006A495D">
        <w:t>аркеры вирусов гепатит</w:t>
      </w:r>
      <w:r>
        <w:t>ов</w:t>
      </w:r>
      <w:r>
        <w:rPr>
          <w:lang w:val="en-US"/>
        </w:rPr>
        <w:t> B</w:t>
      </w:r>
      <w:r w:rsidRPr="006A495D">
        <w:t xml:space="preserve"> и </w:t>
      </w:r>
      <w:r>
        <w:rPr>
          <w:lang w:val="en-US"/>
        </w:rPr>
        <w:t>C</w:t>
      </w:r>
      <w:r w:rsidRPr="006A495D">
        <w:t xml:space="preserve">, </w:t>
      </w:r>
      <w:r>
        <w:t xml:space="preserve">ВИЧ, </w:t>
      </w:r>
      <w:r>
        <w:rPr>
          <w:lang w:val="en-US"/>
        </w:rPr>
        <w:t>RW</w:t>
      </w:r>
      <w:r w:rsidRPr="00FF3180">
        <w:t>.</w:t>
      </w:r>
    </w:p>
    <w:p w14:paraId="058B57C1" w14:textId="77777777" w:rsidR="00C44D05" w:rsidRPr="006A495D" w:rsidRDefault="00C44D05" w:rsidP="0024404E">
      <w:pPr>
        <w:pStyle w:val="Numlist"/>
        <w:numPr>
          <w:ilvl w:val="0"/>
          <w:numId w:val="58"/>
        </w:numPr>
        <w:tabs>
          <w:tab w:val="left" w:pos="284"/>
        </w:tabs>
        <w:spacing w:line="360" w:lineRule="auto"/>
        <w:ind w:left="0" w:firstLine="0"/>
        <w:jc w:val="both"/>
      </w:pPr>
      <w:r>
        <w:t>Электрокардиограмма.</w:t>
      </w:r>
    </w:p>
    <w:p w14:paraId="4DB249B9" w14:textId="77777777" w:rsidR="00C44D05" w:rsidRDefault="00C44D05" w:rsidP="0024404E">
      <w:pPr>
        <w:pStyle w:val="Numlist"/>
        <w:numPr>
          <w:ilvl w:val="0"/>
          <w:numId w:val="58"/>
        </w:numPr>
        <w:tabs>
          <w:tab w:val="left" w:pos="284"/>
        </w:tabs>
        <w:spacing w:line="360" w:lineRule="auto"/>
        <w:ind w:left="0" w:firstLine="0"/>
        <w:jc w:val="both"/>
      </w:pPr>
      <w:r w:rsidRPr="005A330B">
        <w:t>Эхокардиография</w:t>
      </w:r>
      <w:r>
        <w:t>.</w:t>
      </w:r>
    </w:p>
    <w:p w14:paraId="4BC32A67" w14:textId="77777777" w:rsidR="00C44D05" w:rsidRDefault="00C44D05" w:rsidP="0024404E">
      <w:pPr>
        <w:pStyle w:val="Numlist"/>
        <w:numPr>
          <w:ilvl w:val="0"/>
          <w:numId w:val="58"/>
        </w:numPr>
        <w:tabs>
          <w:tab w:val="left" w:pos="284"/>
        </w:tabs>
        <w:spacing w:line="360" w:lineRule="auto"/>
        <w:ind w:left="0" w:firstLine="0"/>
        <w:jc w:val="both"/>
      </w:pPr>
      <w:r>
        <w:t>Холтеровское мониторирование сердечного ритма – при выявлении нарушений ритма и проводимости на ЭКГ.</w:t>
      </w:r>
    </w:p>
    <w:p w14:paraId="193E9659" w14:textId="77777777" w:rsidR="00C44D05" w:rsidRDefault="00C44D05" w:rsidP="0024404E">
      <w:pPr>
        <w:pStyle w:val="Numlist"/>
        <w:numPr>
          <w:ilvl w:val="0"/>
          <w:numId w:val="58"/>
        </w:numPr>
        <w:tabs>
          <w:tab w:val="left" w:pos="284"/>
        </w:tabs>
        <w:spacing w:line="360" w:lineRule="auto"/>
        <w:ind w:left="0" w:firstLine="0"/>
        <w:jc w:val="both"/>
      </w:pPr>
      <w:r>
        <w:t>УЗИ брюшной полости (комплексное).</w:t>
      </w:r>
    </w:p>
    <w:p w14:paraId="111AA183" w14:textId="77777777" w:rsidR="00C44D05" w:rsidRDefault="00C44D05" w:rsidP="0024404E">
      <w:pPr>
        <w:pStyle w:val="Numlist"/>
        <w:numPr>
          <w:ilvl w:val="0"/>
          <w:numId w:val="58"/>
        </w:numPr>
        <w:tabs>
          <w:tab w:val="left" w:pos="284"/>
        </w:tabs>
        <w:spacing w:line="360" w:lineRule="auto"/>
        <w:ind w:left="0" w:firstLine="0"/>
        <w:jc w:val="both"/>
      </w:pPr>
      <w:r w:rsidRPr="005A330B">
        <w:t>Ультразвуковая допплерография сосудов (артерий и вен) нижних конечностей</w:t>
      </w:r>
      <w:r w:rsidRPr="006A495D">
        <w:t xml:space="preserve"> </w:t>
      </w:r>
      <w:r>
        <w:t>- при необходимости.</w:t>
      </w:r>
    </w:p>
    <w:p w14:paraId="45B2D583" w14:textId="77777777" w:rsidR="00C44D05" w:rsidRPr="006A495D" w:rsidRDefault="00C44D05" w:rsidP="0024404E">
      <w:pPr>
        <w:pStyle w:val="Numlist"/>
        <w:numPr>
          <w:ilvl w:val="0"/>
          <w:numId w:val="58"/>
        </w:numPr>
        <w:tabs>
          <w:tab w:val="left" w:pos="284"/>
        </w:tabs>
        <w:spacing w:line="360" w:lineRule="auto"/>
        <w:ind w:left="0" w:firstLine="0"/>
        <w:jc w:val="both"/>
      </w:pPr>
      <w:r w:rsidRPr="00433BA2">
        <w:t>Эзофагогастродуоденоскопия</w:t>
      </w:r>
      <w:r>
        <w:t xml:space="preserve"> с биопсией – при наличии диспепсических расстройств или язвенной болезни желудка/ двенадцатиперстной кишки в анамнезе.</w:t>
      </w:r>
    </w:p>
    <w:p w14:paraId="78B5E1E5" w14:textId="77777777" w:rsidR="00C44D05" w:rsidRDefault="00C44D05" w:rsidP="0024404E">
      <w:pPr>
        <w:pStyle w:val="Numlist"/>
        <w:numPr>
          <w:ilvl w:val="0"/>
          <w:numId w:val="58"/>
        </w:numPr>
        <w:tabs>
          <w:tab w:val="left" w:pos="284"/>
        </w:tabs>
        <w:spacing w:line="360" w:lineRule="auto"/>
        <w:ind w:left="0" w:firstLine="0"/>
        <w:jc w:val="both"/>
      </w:pPr>
      <w:r w:rsidRPr="006A495D">
        <w:t>МРТ головного мозга.</w:t>
      </w:r>
    </w:p>
    <w:p w14:paraId="74A81030" w14:textId="77777777" w:rsidR="00C44D05" w:rsidRDefault="00C44D05" w:rsidP="0024404E">
      <w:pPr>
        <w:pStyle w:val="Numlist"/>
        <w:numPr>
          <w:ilvl w:val="0"/>
          <w:numId w:val="58"/>
        </w:numPr>
        <w:tabs>
          <w:tab w:val="left" w:pos="284"/>
        </w:tabs>
        <w:spacing w:line="360" w:lineRule="auto"/>
        <w:ind w:left="0" w:firstLine="0"/>
        <w:jc w:val="both"/>
      </w:pPr>
      <w:r>
        <w:t>КТ органов грудной полости.</w:t>
      </w:r>
    </w:p>
    <w:p w14:paraId="6E820755" w14:textId="0522A658" w:rsidR="00C44D05" w:rsidRDefault="00C44D05" w:rsidP="0024404E">
      <w:pPr>
        <w:pStyle w:val="Numlist"/>
        <w:numPr>
          <w:ilvl w:val="0"/>
          <w:numId w:val="58"/>
        </w:numPr>
        <w:tabs>
          <w:tab w:val="left" w:pos="284"/>
        </w:tabs>
        <w:spacing w:line="360" w:lineRule="auto"/>
        <w:ind w:left="0" w:firstLine="0"/>
        <w:jc w:val="both"/>
      </w:pPr>
      <w:r>
        <w:t>Люмбальная пункция с последующим цитологическим, комплексным иммунохимическим и иммунофенотипическим исследованием ликвора</w:t>
      </w:r>
      <w:r w:rsidR="00686A22">
        <w:t xml:space="preserve"> </w:t>
      </w:r>
      <w:r w:rsidR="00686A22" w:rsidRPr="00C9448D">
        <w:t>(цитологическое исследование клеток спинномозговой жидкости, исследование физических свойств спинномозговой жидкости, микроскопическое исследование спинномозговой жидкости, подсчет клеток в счетной камере (определение цитоза), общий (клинический) анализ спинномозговой жидкости)</w:t>
      </w:r>
      <w:r>
        <w:t xml:space="preserve"> при подозрении на вовлечение в патологический процесс центральной нервной системы.</w:t>
      </w:r>
    </w:p>
    <w:p w14:paraId="60B3C5F5" w14:textId="77777777" w:rsidR="00BD15B7" w:rsidRDefault="00C44D05" w:rsidP="0024404E">
      <w:pPr>
        <w:pStyle w:val="Numlist"/>
        <w:numPr>
          <w:ilvl w:val="0"/>
          <w:numId w:val="58"/>
        </w:numPr>
        <w:tabs>
          <w:tab w:val="left" w:pos="284"/>
        </w:tabs>
        <w:spacing w:line="360" w:lineRule="auto"/>
        <w:ind w:left="0" w:firstLine="0"/>
        <w:jc w:val="both"/>
      </w:pPr>
      <w:r>
        <w:t>Осмотр гинеколога и УЗИ органов малого таза - для женщин.</w:t>
      </w:r>
      <w:bookmarkStart w:id="85" w:name="_Toc44926616"/>
    </w:p>
    <w:p w14:paraId="68F4F148" w14:textId="569DD641" w:rsidR="00C44D05" w:rsidRPr="00BD15B7" w:rsidRDefault="00BD15B7" w:rsidP="004A7ED2">
      <w:pPr>
        <w:pStyle w:val="Numlist"/>
        <w:tabs>
          <w:tab w:val="left" w:pos="284"/>
        </w:tabs>
        <w:spacing w:line="360" w:lineRule="auto"/>
        <w:ind w:firstLine="0"/>
        <w:jc w:val="center"/>
        <w:rPr>
          <w:b/>
        </w:rPr>
      </w:pPr>
      <w:r w:rsidRPr="00BD15B7">
        <w:rPr>
          <w:b/>
        </w:rPr>
        <w:t xml:space="preserve">3.3.5 </w:t>
      </w:r>
      <w:r w:rsidR="00C44D05" w:rsidRPr="00BD15B7">
        <w:rPr>
          <w:b/>
        </w:rPr>
        <w:t>Трансплантация аутологичных стволовых клеток крови</w:t>
      </w:r>
      <w:bookmarkEnd w:id="85"/>
    </w:p>
    <w:p w14:paraId="40B48B5F" w14:textId="77777777" w:rsidR="004A7ED2" w:rsidRDefault="00C44D05" w:rsidP="004A7ED2">
      <w:pPr>
        <w:spacing w:before="0" w:after="0"/>
        <w:ind w:firstLine="709"/>
        <w:rPr>
          <w:szCs w:val="24"/>
        </w:rPr>
      </w:pPr>
      <w:r w:rsidRPr="009D3373">
        <w:rPr>
          <w:szCs w:val="24"/>
        </w:rPr>
        <w:t xml:space="preserve">Важная роль современной программы лечения </w:t>
      </w:r>
      <w:r w:rsidR="00BD15B7">
        <w:rPr>
          <w:szCs w:val="24"/>
        </w:rPr>
        <w:t>множественной миеломы</w:t>
      </w:r>
      <w:r>
        <w:rPr>
          <w:szCs w:val="24"/>
        </w:rPr>
        <w:t xml:space="preserve"> </w:t>
      </w:r>
      <w:r w:rsidRPr="009D3373">
        <w:rPr>
          <w:szCs w:val="24"/>
        </w:rPr>
        <w:t>отводится включению в протокол терапии молодых больных высокодозн</w:t>
      </w:r>
      <w:r>
        <w:rPr>
          <w:szCs w:val="24"/>
        </w:rPr>
        <w:t>ой химиотерапии с последующей трансплантацией аутологичных гемопоэтических стволовых клеток</w:t>
      </w:r>
      <w:r w:rsidRPr="009D3373">
        <w:rPr>
          <w:szCs w:val="24"/>
        </w:rPr>
        <w:t>.</w:t>
      </w:r>
      <w:r>
        <w:rPr>
          <w:szCs w:val="24"/>
        </w:rPr>
        <w:t xml:space="preserve"> </w:t>
      </w:r>
    </w:p>
    <w:p w14:paraId="16E51E29" w14:textId="63BD2C68" w:rsidR="00C44D05" w:rsidRPr="004A7ED2" w:rsidRDefault="00C44D05" w:rsidP="004A7ED2">
      <w:pPr>
        <w:spacing w:before="0" w:after="0"/>
        <w:ind w:firstLine="709"/>
        <w:rPr>
          <w:szCs w:val="24"/>
        </w:rPr>
      </w:pPr>
      <w:r w:rsidRPr="007D4076">
        <w:rPr>
          <w:rFonts w:eastAsiaTheme="minorEastAsia"/>
          <w:szCs w:val="24"/>
          <w:lang w:eastAsia="ru-RU"/>
        </w:rPr>
        <w:lastRenderedPageBreak/>
        <w:t xml:space="preserve">Первые результаты успешного применения высокодозной химиотерапии с последующей ауто-ТГСК для лечения больных ММ были опубликованы в 1996г. </w:t>
      </w:r>
      <w:hyperlink r:id="rId9" w:history="1">
        <w:r w:rsidRPr="007D4076">
          <w:rPr>
            <w:rFonts w:eastAsiaTheme="minorEastAsia"/>
            <w:szCs w:val="24"/>
            <w:lang w:eastAsia="ru-RU"/>
          </w:rPr>
          <w:t>Attal M</w:t>
        </w:r>
      </w:hyperlink>
      <w:r w:rsidRPr="007D4076">
        <w:rPr>
          <w:rFonts w:eastAsiaTheme="minorEastAsia"/>
          <w:szCs w:val="24"/>
          <w:lang w:eastAsia="ru-RU"/>
        </w:rPr>
        <w:t xml:space="preserve">. и соавторами. В исследование было включено 200 ранее не получавших лечение больных в возрасте до 65 лет, которые были рандомизированы в момент установки диагноза на стандартную химиотерапию, либо </w:t>
      </w:r>
      <w:proofErr w:type="gramStart"/>
      <w:r w:rsidRPr="007D4076">
        <w:rPr>
          <w:rFonts w:eastAsiaTheme="minorEastAsia"/>
          <w:szCs w:val="24"/>
          <w:lang w:eastAsia="ru-RU"/>
        </w:rPr>
        <w:t>на терапию</w:t>
      </w:r>
      <w:proofErr w:type="gramEnd"/>
      <w:r w:rsidRPr="007D4076">
        <w:rPr>
          <w:rFonts w:eastAsiaTheme="minorEastAsia"/>
          <w:szCs w:val="24"/>
          <w:lang w:eastAsia="ru-RU"/>
        </w:rPr>
        <w:t xml:space="preserve"> включающую ауто-ТГСК. Частота общего противоопухолевого ответа у больных, получивших высокие дозы мелфалана</w:t>
      </w:r>
      <w:r w:rsidR="00BD59A8" w:rsidRPr="00BD59A8">
        <w:rPr>
          <w:rFonts w:eastAsiaTheme="minorEastAsia"/>
          <w:szCs w:val="24"/>
          <w:lang w:eastAsia="ru-RU"/>
        </w:rPr>
        <w:t>**</w:t>
      </w:r>
      <w:r w:rsidRPr="007D4076">
        <w:rPr>
          <w:rFonts w:eastAsiaTheme="minorEastAsia"/>
          <w:szCs w:val="24"/>
          <w:lang w:eastAsia="ru-RU"/>
        </w:rPr>
        <w:t xml:space="preserve">, составила 81% (в том числе ПР - 22%, ОХЧР - 16%) против 57% (ПР - 5%, ОХЧР - 16%) в группе больных, получавших стандартную химиотерапию (р&lt;0,001). Вероятность безрецидивной выживаемости (БРВ) в течение 5-ти лет составила 28% в группе с ауто-ТГСК и 10% в группе стандартной химиотерапии (р=0,01). ОВ также была достоверно (р=0,03) выше в группе с ауто-ТГСК и составила 52% против 12% у больных без таковой. Связанная с лечением смертность была одинаковой в обеих группах </w:t>
      </w:r>
      <w:r w:rsidRPr="007D4076">
        <w:rPr>
          <w:rFonts w:eastAsiaTheme="minorEastAsia"/>
          <w:szCs w:val="24"/>
          <w:lang w:eastAsia="ru-RU"/>
        </w:rPr>
        <w:fldChar w:fldCharType="begin" w:fldLock="1"/>
      </w:r>
      <w:r w:rsidR="00E430FD">
        <w:rPr>
          <w:rFonts w:eastAsiaTheme="minorEastAsia"/>
          <w:szCs w:val="24"/>
          <w:lang w:eastAsia="ru-RU"/>
        </w:rPr>
        <w:instrText>ADDIN CSL_CITATION {"citationItems":[{"id":"ITEM-1","itemData":{"DOI":"10.1056/NEJM199607113350204","ISSN":"0028-4793","PMID":"8649495","abstract":"Background The median survival of patients with myeloma after conventional chemotherapy is three years or less. Promising results have been reported with high-dose therapy supported by autologous bone marrow transplantation. We conducted a randomized study comparing conventional chemotherapy and high-dose therapy. Methods Two hundred previously untreated patients under the age of 65 years who had myeloma were randomly assigned at the time of diagnosis to receive either conventional chemotherapy or high-dose therapy and autologous bone marrow transplantation. Results The response rate among the patients who received high-dose therapy was 81 percent (including complete responses in 22 percent and very good partial responses in 16 percent), whereas it was 57 percent (complete responses in 5 percent and very good partial responses in 9 percent) in the group treated with conventional chemotherapy (P&lt;0.001). The probability of event-free survival for five years was 28 percent in the high-dose group and 10 perce...","author":[{"dropping-particle":"","family":"Attal","given":"Michel","non-dropping-particle":"","parse-names":false,"suffix":""},{"dropping-particle":"","family":"Harousseau","given":"Jean-Luc","non-dropping-particle":"","parse-names":false,"suffix":""},{"dropping-particle":"","family":"Stoppa","given":"Anne-Marie","non-dropping-particle":"","parse-names":false,"suffix":""},{"dropping-particle":"","family":"Sotto","given":"Jean-Jacques","non-dropping-particle":"","parse-names":false,"suffix":""},{"dropping-particle":"","family":"Fuzibet","given":"Jean-Gabriel","non-dropping-particle":"","parse-names":false,"suffix":""},{"dropping-particle":"","family":"Rossi","given":"Jean-François","non-dropping-particle":"","parse-names":false,"suffix":""},{"dropping-particle":"","family":"Casassus","given":"Philippe","non-dropping-particle":"","parse-names":false,"suffix":""},{"dropping-particle":"","family":"Maisonneuve","given":"Hervé","non-dropping-particle":"","parse-names":false,"suffix":""},{"dropping-particle":"","family":"Facon","given":"Thierry","non-dropping-particle":"","parse-names":false,"suffix":""},{"dropping-particle":"","family":"Ifrah","given":"Norbert","non-dropping-particle":"","parse-names":false,"suffix":""},{"dropping-particle":"","family":"Payen","given":"Catherine","non-dropping-particle":"","parse-names":false,"suffix":""},{"dropping-particle":"","family":"Bataille","given":"Régis","non-dropping-particle":"","parse-names":false,"suffix":""}],"container-title":"New England Journal of Medicine","id":"ITEM-1","issue":"2","issued":{"date-parts":[["1996","7"]]},"page":"91-97","title":"A Prospective, Randomized Trial of Autologous Bone Marrow Transplantation and Chemotherapy in Multiple Myeloma","type":"article-journal","volume":"335"},"uris":["http://www.mendeley.com/documents/?uuid=5fd98f16-0858-47d7-8aa6-72cfcbf8bb24"]}],"mendeley":{"formattedCitation":"[111]","plainTextFormattedCitation":"[111]","previouslyFormattedCitation":"[111]"},"properties":{"noteIndex":0},"schema":"https://github.com/citation-style-language/schema/raw/master/csl-citation.json"}</w:instrText>
      </w:r>
      <w:r w:rsidRPr="007D4076">
        <w:rPr>
          <w:rFonts w:eastAsiaTheme="minorEastAsia"/>
          <w:szCs w:val="24"/>
          <w:lang w:eastAsia="ru-RU"/>
        </w:rPr>
        <w:fldChar w:fldCharType="separate"/>
      </w:r>
      <w:r w:rsidR="00E430FD" w:rsidRPr="00E430FD">
        <w:rPr>
          <w:rFonts w:eastAsiaTheme="minorEastAsia"/>
          <w:noProof/>
          <w:szCs w:val="24"/>
          <w:lang w:eastAsia="ru-RU"/>
        </w:rPr>
        <w:t>[111]</w:t>
      </w:r>
      <w:r w:rsidRPr="007D4076">
        <w:rPr>
          <w:rFonts w:eastAsiaTheme="minorEastAsia"/>
          <w:szCs w:val="24"/>
          <w:lang w:eastAsia="ru-RU"/>
        </w:rPr>
        <w:fldChar w:fldCharType="end"/>
      </w:r>
      <w:r w:rsidRPr="007D4076">
        <w:rPr>
          <w:rFonts w:eastAsiaTheme="minorEastAsia"/>
          <w:szCs w:val="24"/>
          <w:lang w:eastAsia="ru-RU"/>
        </w:rPr>
        <w:t>.</w:t>
      </w:r>
    </w:p>
    <w:p w14:paraId="6EC2C9D5" w14:textId="37D665AB" w:rsidR="00C44D05" w:rsidRPr="007D4076" w:rsidRDefault="00C44D05" w:rsidP="004A7ED2">
      <w:pPr>
        <w:shd w:val="clear" w:color="auto" w:fill="FFFFFF"/>
        <w:spacing w:before="0" w:after="0"/>
        <w:ind w:firstLine="709"/>
        <w:rPr>
          <w:rFonts w:eastAsiaTheme="minorEastAsia"/>
          <w:szCs w:val="24"/>
          <w:lang w:eastAsia="ru-RU"/>
        </w:rPr>
      </w:pPr>
      <w:r w:rsidRPr="007D4076">
        <w:rPr>
          <w:rFonts w:eastAsiaTheme="minorEastAsia"/>
          <w:szCs w:val="24"/>
          <w:lang w:eastAsia="ru-RU"/>
        </w:rPr>
        <w:t xml:space="preserve">Исследование </w:t>
      </w:r>
      <w:r w:rsidRPr="007D4076">
        <w:rPr>
          <w:rFonts w:eastAsiaTheme="minorEastAsia"/>
          <w:szCs w:val="24"/>
          <w:lang w:val="en-US" w:eastAsia="ru-RU"/>
        </w:rPr>
        <w:t>Fermand</w:t>
      </w:r>
      <w:r w:rsidRPr="007D4076">
        <w:rPr>
          <w:rFonts w:eastAsiaTheme="minorEastAsia"/>
          <w:szCs w:val="24"/>
          <w:lang w:eastAsia="ru-RU"/>
        </w:rPr>
        <w:t xml:space="preserve"> </w:t>
      </w:r>
      <w:r w:rsidRPr="007D4076">
        <w:rPr>
          <w:rFonts w:eastAsiaTheme="minorEastAsia"/>
          <w:szCs w:val="24"/>
          <w:lang w:val="en-US" w:eastAsia="ru-RU"/>
        </w:rPr>
        <w:t>JP</w:t>
      </w:r>
      <w:r w:rsidRPr="007D4076">
        <w:rPr>
          <w:rFonts w:eastAsiaTheme="minorEastAsia"/>
          <w:szCs w:val="24"/>
          <w:lang w:eastAsia="ru-RU"/>
        </w:rPr>
        <w:t xml:space="preserve"> с соавторами, опубликованное в 2005 г., продемонстрировало более высокие показатели ВБП больных, получивших ауто-ТГСК по сравнению с больными, леченными только стандартной химиотерапией. 190 больных ММ в возрасте от 55 до 65 лет, были рандомизированы на два рукава, один из которых включал только стандартные дозы химиопрепаратов (винкристин</w:t>
      </w:r>
      <w:r w:rsidR="00BD59A8" w:rsidRPr="00BD59A8">
        <w:rPr>
          <w:rFonts w:eastAsiaTheme="minorEastAsia"/>
          <w:szCs w:val="24"/>
          <w:lang w:eastAsia="ru-RU"/>
        </w:rPr>
        <w:t>**</w:t>
      </w:r>
      <w:r w:rsidRPr="007D4076">
        <w:rPr>
          <w:rFonts w:eastAsiaTheme="minorEastAsia"/>
          <w:szCs w:val="24"/>
          <w:lang w:eastAsia="ru-RU"/>
        </w:rPr>
        <w:t>, мелфалан</w:t>
      </w:r>
      <w:r w:rsidR="00BD59A8" w:rsidRPr="00BD59A8">
        <w:rPr>
          <w:rFonts w:eastAsiaTheme="minorEastAsia"/>
          <w:szCs w:val="24"/>
          <w:lang w:eastAsia="ru-RU"/>
        </w:rPr>
        <w:t>**</w:t>
      </w:r>
      <w:r w:rsidRPr="007D4076">
        <w:rPr>
          <w:rFonts w:eastAsiaTheme="minorEastAsia"/>
          <w:szCs w:val="24"/>
          <w:lang w:eastAsia="ru-RU"/>
        </w:rPr>
        <w:t>, циклофосфамид</w:t>
      </w:r>
      <w:r w:rsidR="00BD59A8" w:rsidRPr="00BD59A8">
        <w:rPr>
          <w:rFonts w:eastAsiaTheme="minorEastAsia"/>
          <w:szCs w:val="24"/>
          <w:lang w:eastAsia="ru-RU"/>
        </w:rPr>
        <w:t>**</w:t>
      </w:r>
      <w:r w:rsidRPr="007D4076">
        <w:rPr>
          <w:rFonts w:eastAsiaTheme="minorEastAsia"/>
          <w:szCs w:val="24"/>
          <w:lang w:eastAsia="ru-RU"/>
        </w:rPr>
        <w:t>, преднизолон</w:t>
      </w:r>
      <w:r w:rsidR="00BD59A8" w:rsidRPr="00BD59A8">
        <w:rPr>
          <w:rFonts w:eastAsiaTheme="minorEastAsia"/>
          <w:szCs w:val="24"/>
          <w:lang w:eastAsia="ru-RU"/>
        </w:rPr>
        <w:t>**</w:t>
      </w:r>
      <w:r w:rsidRPr="007D4076">
        <w:rPr>
          <w:rFonts w:eastAsiaTheme="minorEastAsia"/>
          <w:szCs w:val="24"/>
          <w:lang w:eastAsia="ru-RU"/>
        </w:rPr>
        <w:t>), а другой – кроме индукционных схем включал высокие дозы мелфалана</w:t>
      </w:r>
      <w:r w:rsidR="00BD59A8" w:rsidRPr="00BD59A8">
        <w:rPr>
          <w:rFonts w:eastAsiaTheme="minorEastAsia"/>
          <w:szCs w:val="24"/>
          <w:lang w:eastAsia="ru-RU"/>
        </w:rPr>
        <w:t>**</w:t>
      </w:r>
      <w:r w:rsidRPr="007D4076">
        <w:rPr>
          <w:rFonts w:eastAsiaTheme="minorEastAsia"/>
          <w:szCs w:val="24"/>
          <w:lang w:eastAsia="ru-RU"/>
        </w:rPr>
        <w:t xml:space="preserve"> (140-200 мг/м</w:t>
      </w:r>
      <w:r w:rsidRPr="007D4076">
        <w:rPr>
          <w:rFonts w:eastAsiaTheme="minorEastAsia"/>
          <w:szCs w:val="24"/>
          <w:vertAlign w:val="superscript"/>
          <w:lang w:eastAsia="ru-RU"/>
        </w:rPr>
        <w:t>2</w:t>
      </w:r>
      <w:r w:rsidRPr="007D4076">
        <w:rPr>
          <w:rFonts w:eastAsiaTheme="minorEastAsia"/>
          <w:szCs w:val="24"/>
          <w:lang w:eastAsia="ru-RU"/>
        </w:rPr>
        <w:t>) и бусульфана</w:t>
      </w:r>
      <w:r w:rsidR="00BD59A8" w:rsidRPr="00BD59A8">
        <w:rPr>
          <w:rFonts w:eastAsiaTheme="minorEastAsia"/>
          <w:szCs w:val="24"/>
          <w:lang w:eastAsia="ru-RU"/>
        </w:rPr>
        <w:t>**</w:t>
      </w:r>
      <w:r w:rsidRPr="007D4076">
        <w:rPr>
          <w:rFonts w:eastAsiaTheme="minorEastAsia"/>
          <w:szCs w:val="24"/>
          <w:lang w:eastAsia="ru-RU"/>
        </w:rPr>
        <w:t xml:space="preserve"> (16 мг/кг) с последующей ауто-ТГСК. При медиане наблюдения 120 мес. медиана продолжительности ВБП составила 25 мес. для больных с ауто-ТГСК против 19 мес. без таковой. Медиана ОВ составила 47 мес. для обеих групп больных </w:t>
      </w:r>
      <w:r w:rsidRPr="007D4076">
        <w:rPr>
          <w:rFonts w:eastAsiaTheme="minorEastAsia"/>
          <w:szCs w:val="24"/>
          <w:lang w:eastAsia="ru-RU"/>
        </w:rPr>
        <w:fldChar w:fldCharType="begin" w:fldLock="1"/>
      </w:r>
      <w:r w:rsidR="00E430FD">
        <w:rPr>
          <w:rFonts w:eastAsiaTheme="minorEastAsia"/>
          <w:szCs w:val="24"/>
          <w:lang w:eastAsia="ru-RU"/>
        </w:rPr>
        <w:instrText>ADDIN CSL_CITATION {"citationItems":[{"id":"ITEM-1","itemData":{"DOI":"10.1200/JCO.2005.03.0551","ISBN":"0732-183X (Print)\\r0732-183x","ISSN":"0732-183X","PMID":"16275936","abstract":"PURPOSE To study the impact of high-dose therapy (HDT) with autologous stem-cell support in patients with symptomatic multiple myeloma (MM) between the ages of 55 and 65 years. PATIENTS AND METHODS One hundred ninety patients between 55 and 65 years old who had newly diagnosed stage II or III MM were randomly assigned to receive either conventional chemotherapy (CCT; ie, monthly courses of a regimen of vincristine, melphalan, cyclophosphamide, and prednisone) or HDT and autologous blood stem-cell transplantation (using either melphalan alone 200 mg/m(2) intravenous [IV] or melphalan 140 mg/m(2) IV plus busulfan 16 mg/kg orally as pretransplantation cytoreduction). RESULTS Within a median follow-up of 120 months, median event-free survival (EFS) times were 25 and 19 months in the HDT and CCT groups, respectively. Median overall survival (OS) time was 47.8 months in the HDT group compared with 47.6 months in the CCT group. A trend to better EFS (P = .07) was observed in favor of HDT, whereas OS curves were not statistically different (P = .91). The period of time without symptoms, treatment, and treatment toxicity (TwiSTT) was significantly longer for the HDT patients than for the CCT patients (P = .03). CONCLUSION With a median follow-up time of approximately 10 years, this randomized trial confirmed a benefit of HDT in terms of EFS and TwiSTT but did not provide evidence for superiority of HDT over CCT in OS of patients aged 55 to 65 years with symptomatic newly diagnosed MM.","author":[{"dropping-particle":"","family":"Fermand","given":"Jean-Paul","non-dropping-particle":"","parse-names":false,"suffix":""},{"dropping-particle":"","family":"Katsahian","given":"Sandrine","non-dropping-particle":"","parse-names":false,"suffix":""},{"dropping-particle":"","family":"Divine","given":"Marine","non-dropping-particle":"","parse-names":false,"suffix":""},{"dropping-particle":"","family":"Leblond","given":"Veronique","non-dropping-particle":"","parse-names":false,"suffix":""},{"dropping-particle":"","family":"Dreyfus","given":"Francois","non-dropping-particle":"","parse-names":false,"suffix":""},{"dropping-particle":"","family":"Macro","given":"Margaret","non-dropping-particle":"","parse-names":false,"suffix":""},{"dropping-particle":"","family":"Arnulf","given":"Bertrand","non-dropping-particle":"","parse-names":false,"suffix":""},{"dropping-particle":"","family":"Royer","given":"Bruno","non-dropping-particle":"","parse-names":false,"suffix":""},{"dropping-particle":"","family":"Mariette","given":"Xavier","non-dropping-particle":"","parse-names":false,"suffix":""},{"dropping-particle":"","family":"Pertuiset","given":"Edouard","non-dropping-particle":"","parse-names":false,"suffix":""},{"dropping-particle":"","family":"Belanger","given":"Coralie","non-dropping-particle":"","parse-names":false,"suffix":""},{"dropping-particle":"","family":"Janvier","given":"Maud","non-dropping-particle":"","parse-names":false,"suffix":""},{"dropping-particle":"","family":"Chevret","given":"Sylvie","non-dropping-particle":"","parse-names":false,"suffix":""},{"dropping-particle":"","family":"Brouet","given":"Jean Claude","non-dropping-particle":"","parse-names":false,"suffix":""},{"dropping-particle":"","family":"Ravaud","given":"Philippe","non-dropping-particle":"","parse-names":false,"suffix":""},{"dropping-particle":"","family":"Group Myelome-Autogreffe","given":"","non-dropping-particle":"","parse-names":false,"suffix":""}],"container-title":"Journal of clinical oncology : official journal of the American Society of Clinical Oncology","id":"ITEM-1","issue":"36","issued":{"date-parts":[["2005","12"]]},"page":"9227-33","title":"High-dose therapy and autologous blood stem-cell transplantation compared with conventional treatment in myeloma patients aged 55 to 65 years: long-term results of a randomized control trial from the Group Myelome-Autogreffe.","type":"article-journal","volume":"23"},"uris":["http://www.mendeley.com/documents/?uuid=e6b7172c-0116-412d-ad7c-1e953e7e6fd6"]}],"mendeley":{"formattedCitation":"[112]","plainTextFormattedCitation":"[112]","previouslyFormattedCitation":"[112]"},"properties":{"noteIndex":0},"schema":"https://github.com/citation-style-language/schema/raw/master/csl-citation.json"}</w:instrText>
      </w:r>
      <w:r w:rsidRPr="007D4076">
        <w:rPr>
          <w:rFonts w:eastAsiaTheme="minorEastAsia"/>
          <w:szCs w:val="24"/>
          <w:lang w:eastAsia="ru-RU"/>
        </w:rPr>
        <w:fldChar w:fldCharType="separate"/>
      </w:r>
      <w:r w:rsidR="00E430FD" w:rsidRPr="00E430FD">
        <w:rPr>
          <w:rFonts w:eastAsiaTheme="minorEastAsia"/>
          <w:noProof/>
          <w:szCs w:val="24"/>
          <w:lang w:eastAsia="ru-RU"/>
        </w:rPr>
        <w:t>[112]</w:t>
      </w:r>
      <w:r w:rsidRPr="007D4076">
        <w:rPr>
          <w:rFonts w:eastAsiaTheme="minorEastAsia"/>
          <w:szCs w:val="24"/>
          <w:lang w:eastAsia="ru-RU"/>
        </w:rPr>
        <w:fldChar w:fldCharType="end"/>
      </w:r>
      <w:r w:rsidRPr="007D4076">
        <w:rPr>
          <w:rFonts w:eastAsiaTheme="minorEastAsia"/>
          <w:szCs w:val="24"/>
          <w:lang w:eastAsia="ru-RU"/>
        </w:rPr>
        <w:t>.</w:t>
      </w:r>
    </w:p>
    <w:p w14:paraId="41C5E066" w14:textId="713049A6" w:rsidR="00C44D05" w:rsidRPr="007D4076" w:rsidRDefault="00C44D05" w:rsidP="004A7ED2">
      <w:pPr>
        <w:shd w:val="clear" w:color="auto" w:fill="FFFFFF"/>
        <w:spacing w:before="0" w:after="0"/>
        <w:ind w:firstLine="709"/>
        <w:rPr>
          <w:rFonts w:eastAsiaTheme="minorEastAsia"/>
          <w:szCs w:val="24"/>
          <w:lang w:eastAsia="ru-RU"/>
        </w:rPr>
      </w:pPr>
      <w:r w:rsidRPr="007D4076">
        <w:rPr>
          <w:rFonts w:eastAsiaTheme="minorEastAsia"/>
          <w:szCs w:val="24"/>
          <w:lang w:eastAsia="ru-RU"/>
        </w:rPr>
        <w:t xml:space="preserve">В последующем появились данные об улучшении ОВ при выполнении тандемной ауто-ТГСК. Во французском исследовании (IFM94) 399 больных ММ были рандомизированы на одну или две ауто-ТГСК. Полный или очень хороший частичный ответ был достигнут у 42% больных в группе с одной ауто-ТГСК и у 50% в группе с двойной трансплантацией (р=0,10). Вероятность ВБП в течение семи лет после установления диагноза составила 10% в группе с одной ауто-ТГСК и 20% в группе с двойной трансплантацией (р=0,03). 7-летняя ОВ составила 21% в группе с одной ауто-ТГСК и 42% группе с двойной трансплантацией (р=0,01). Авторы делают вывод о том, что по сравнению с одной ауто-ТГСК, двойная трансплантация улучшает общую выживаемость больных ММ, особенно у тех, кто не достиг ОХЧР после первой трансплантации, увеличивая частоту достижения ПР заболевания </w:t>
      </w:r>
      <w:r w:rsidRPr="007D4076">
        <w:rPr>
          <w:rFonts w:eastAsiaTheme="minorEastAsia"/>
          <w:szCs w:val="24"/>
          <w:lang w:eastAsia="ru-RU"/>
        </w:rPr>
        <w:fldChar w:fldCharType="begin" w:fldLock="1"/>
      </w:r>
      <w:r w:rsidR="00E430FD">
        <w:rPr>
          <w:rFonts w:eastAsiaTheme="minorEastAsia"/>
          <w:szCs w:val="24"/>
          <w:lang w:eastAsia="ru-RU"/>
        </w:rPr>
        <w:instrText>ADDIN CSL_CITATION {"citationItems":[{"id":"ITEM-1","itemData":{"DOI":"10.1056/NEJMoa032290","ISBN":"0028-4793","ISSN":"0028-4793","PMID":"14695409","author":[{"dropping-particle":"","family":"Attal","given":"Michel","non-dropping-particle":"","parse-names":false,"suffix":""},{"dropping-particle":"","family":"Harousseau","given":"Jean-Luc","non-dropping-particle":"","parse-names":false,"suffix":""},{"dropping-particle":"","family":"Facon","given":"Thierry","non-dropping-particle":"","parse-names":false,"suffix":""},{"dropping-particle":"","family":"Guilhot","given":"François","non-dropping-particle":"","parse-names":false,"suffix":""},{"dropping-particle":"","family":"Doyen","given":"Chantal","non-dropping-particle":"","parse-names":false,"suffix":""},{"dropping-particle":"","family":"Fuzibet","given":"Jean-Gabriel","non-dropping-particle":"","parse-names":false,"suffix":""},{"dropping-particle":"","family":"Monconduit","given":"Mathieu","non-dropping-particle":"","parse-names":false,"suffix":""},{"dropping-particle":"","family":"Hulin","given":"Cyrille","non-dropping-particle":"","parse-names":false,"suffix":""},{"dropping-particle":"","family":"Caillot","given":"Denis","non-dropping-particle":"","parse-names":false,"suffix":""},{"dropping-particle":"","family":"Bouabdallah","given":"Reda","non-dropping-particle":"","parse-names":false,"suffix":""},{"dropping-particle":"","family":"Voillat","given":"Laurent","non-dropping-particle":"","parse-names":false,"suffix":""},{"dropping-particle":"","family":"Sotto","given":"Jean-Jacques","non-dropping-particle":"","parse-names":false,"suffix":""},{"dropping-particle":"","family":"Grosbois","given":"Bernard","non-dropping-particle":"","parse-names":false,"suffix":""},{"dropping-particle":"","family":"Bataille","given":"Regis","non-dropping-particle":"","parse-names":false,"suffix":""}],"container-title":"New England Journal of Medicine","id":"ITEM-1","issue":"26","issued":{"date-parts":[["2003","12"]]},"page":"2495-2502","publisher":"Massachusetts Medical Society","title":"Single versus Double Autologous Stem-Cell Transplantation for Multiple Myeloma","type":"article-journal","volume":"349"},"uris":["http://www.mendeley.com/documents/?uuid=e5c57f46-0c9c-442b-b8dd-581018c752fa"]}],"mendeley":{"formattedCitation":"[113]","plainTextFormattedCitation":"[113]","previouslyFormattedCitation":"[113]"},"properties":{"noteIndex":0},"schema":"https://github.com/citation-style-language/schema/raw/master/csl-citation.json"}</w:instrText>
      </w:r>
      <w:r w:rsidRPr="007D4076">
        <w:rPr>
          <w:rFonts w:eastAsiaTheme="minorEastAsia"/>
          <w:szCs w:val="24"/>
          <w:lang w:eastAsia="ru-RU"/>
        </w:rPr>
        <w:fldChar w:fldCharType="separate"/>
      </w:r>
      <w:r w:rsidR="00E430FD" w:rsidRPr="00E430FD">
        <w:rPr>
          <w:rFonts w:eastAsiaTheme="minorEastAsia"/>
          <w:noProof/>
          <w:szCs w:val="24"/>
          <w:lang w:eastAsia="ru-RU"/>
        </w:rPr>
        <w:t>[113]</w:t>
      </w:r>
      <w:r w:rsidRPr="007D4076">
        <w:rPr>
          <w:rFonts w:eastAsiaTheme="minorEastAsia"/>
          <w:szCs w:val="24"/>
          <w:lang w:eastAsia="ru-RU"/>
        </w:rPr>
        <w:fldChar w:fldCharType="end"/>
      </w:r>
      <w:r w:rsidRPr="007D4076">
        <w:rPr>
          <w:rFonts w:eastAsiaTheme="minorEastAsia"/>
          <w:szCs w:val="24"/>
          <w:lang w:eastAsia="ru-RU"/>
        </w:rPr>
        <w:t>.</w:t>
      </w:r>
    </w:p>
    <w:p w14:paraId="5F3E71CF" w14:textId="753E809F" w:rsidR="00C44D05" w:rsidRPr="007D4076" w:rsidRDefault="00C44D05" w:rsidP="004A7ED2">
      <w:pPr>
        <w:shd w:val="clear" w:color="auto" w:fill="FFFFFF"/>
        <w:spacing w:before="0" w:after="0"/>
        <w:ind w:firstLine="709"/>
        <w:rPr>
          <w:rFonts w:eastAsiaTheme="minorEastAsia"/>
          <w:szCs w:val="24"/>
          <w:lang w:eastAsia="ru-RU"/>
        </w:rPr>
      </w:pPr>
      <w:r w:rsidRPr="007D4076">
        <w:rPr>
          <w:rFonts w:eastAsiaTheme="minorEastAsia"/>
          <w:szCs w:val="24"/>
          <w:lang w:eastAsia="ru-RU"/>
        </w:rPr>
        <w:lastRenderedPageBreak/>
        <w:t>Эффективность ауто-ТГСК изучалась и в эру новых лекарственных препаратов, широко применяемых в клинической практике в последнее десятилетие. В 2015 году были опубликованы результаты исследования по определению роли ауто-ТГСК у больных ММ, получавших до и после трансплантации новые лекарственные препараты. Французская рабочая группа по изучению ММ провела рандомизированное многоцентровое исследование, сравнившее эффективность 8 курсов RVD (леналидомид</w:t>
      </w:r>
      <w:r w:rsidR="00BD59A8" w:rsidRPr="00BD59A8">
        <w:rPr>
          <w:rFonts w:eastAsiaTheme="minorEastAsia"/>
          <w:szCs w:val="24"/>
          <w:lang w:eastAsia="ru-RU"/>
        </w:rPr>
        <w:t>**</w:t>
      </w:r>
      <w:r w:rsidRPr="007D4076">
        <w:rPr>
          <w:rFonts w:eastAsiaTheme="minorEastAsia"/>
          <w:szCs w:val="24"/>
          <w:lang w:eastAsia="ru-RU"/>
        </w:rPr>
        <w:t>+бортезомиб</w:t>
      </w:r>
      <w:r w:rsidR="00BD59A8" w:rsidRPr="00BD59A8">
        <w:rPr>
          <w:rFonts w:eastAsiaTheme="minorEastAsia"/>
          <w:szCs w:val="24"/>
          <w:lang w:eastAsia="ru-RU"/>
        </w:rPr>
        <w:t>**</w:t>
      </w:r>
      <w:r w:rsidRPr="007D4076">
        <w:rPr>
          <w:rFonts w:eastAsiaTheme="minorEastAsia"/>
          <w:szCs w:val="24"/>
          <w:lang w:eastAsia="ru-RU"/>
        </w:rPr>
        <w:t>+дексаметазон</w:t>
      </w:r>
      <w:r w:rsidR="00BD59A8" w:rsidRPr="00BD59A8">
        <w:rPr>
          <w:rFonts w:eastAsiaTheme="minorEastAsia"/>
          <w:szCs w:val="24"/>
          <w:lang w:eastAsia="ru-RU"/>
        </w:rPr>
        <w:t>**)</w:t>
      </w:r>
      <w:r w:rsidRPr="007D4076">
        <w:rPr>
          <w:rFonts w:eastAsiaTheme="minorEastAsia"/>
          <w:szCs w:val="24"/>
          <w:lang w:eastAsia="ru-RU"/>
        </w:rPr>
        <w:t xml:space="preserve"> с 3 индукционными курсами RVD с последующей ауто-ТГСК (мелфалан 200 мг/м</w:t>
      </w:r>
      <w:r w:rsidRPr="007D4076">
        <w:rPr>
          <w:rFonts w:eastAsiaTheme="minorEastAsia"/>
          <w:szCs w:val="24"/>
          <w:vertAlign w:val="superscript"/>
          <w:lang w:eastAsia="ru-RU"/>
        </w:rPr>
        <w:t>2</w:t>
      </w:r>
      <w:r w:rsidRPr="007D4076">
        <w:rPr>
          <w:rFonts w:eastAsiaTheme="minorEastAsia"/>
          <w:szCs w:val="24"/>
          <w:lang w:eastAsia="ru-RU"/>
        </w:rPr>
        <w:t>) и назначением 2 курсов RVD с целью консолидации. Поддерживающее лечение леналидомидом</w:t>
      </w:r>
      <w:r w:rsidR="00BD59A8" w:rsidRPr="00BD59A8">
        <w:rPr>
          <w:rFonts w:eastAsiaTheme="minorEastAsia"/>
          <w:szCs w:val="24"/>
          <w:lang w:eastAsia="ru-RU"/>
        </w:rPr>
        <w:t>**</w:t>
      </w:r>
      <w:r w:rsidRPr="007D4076">
        <w:rPr>
          <w:rFonts w:eastAsiaTheme="minorEastAsia"/>
          <w:szCs w:val="24"/>
          <w:lang w:eastAsia="ru-RU"/>
        </w:rPr>
        <w:t xml:space="preserve"> (от 10 до 15 мг/сут.) проводилось больным в обеих группах в течение одного года. Таким образом, сравнивалась эффективность 3 курсов RVD против высокодозного мелфалана</w:t>
      </w:r>
      <w:r w:rsidR="00BD59A8" w:rsidRPr="00E47ED5">
        <w:rPr>
          <w:rFonts w:eastAsiaTheme="minorEastAsia"/>
          <w:szCs w:val="24"/>
          <w:lang w:eastAsia="ru-RU"/>
        </w:rPr>
        <w:t>**</w:t>
      </w:r>
      <w:r w:rsidRPr="007D4076">
        <w:rPr>
          <w:rFonts w:eastAsiaTheme="minorEastAsia"/>
          <w:szCs w:val="24"/>
          <w:lang w:eastAsia="ru-RU"/>
        </w:rPr>
        <w:t xml:space="preserve">. С ноября 2010 года по ноябрь 2012 года в исследование было включено 700 больных. В каждой группе больные были однотипны по возрасту, стадии заболевания и цитогенетическим изменениям. Первичной конечной точкой исследования была ВБП. Медиана наблюдения составила 39 месяцев. Завершили плановую терапию лишь 66% больных, остальные выбыли из исследования по причине прогрессии заболевания или нежелательных явлений. ВБП в течение 3-х лет составила 61% в группе с ауто-ТГСК и 48% в группе RVD (р&lt;0,0002). Преимущество ауто-ТГСК было представлено во всех подгруппах, независимо от возраста (≤ </w:t>
      </w:r>
      <w:proofErr w:type="gramStart"/>
      <w:r w:rsidRPr="007D4076">
        <w:rPr>
          <w:rFonts w:eastAsiaTheme="minorEastAsia"/>
          <w:szCs w:val="24"/>
          <w:lang w:eastAsia="ru-RU"/>
        </w:rPr>
        <w:t>или &gt;</w:t>
      </w:r>
      <w:proofErr w:type="gramEnd"/>
      <w:r w:rsidRPr="007D4076">
        <w:rPr>
          <w:rFonts w:eastAsiaTheme="minorEastAsia"/>
          <w:szCs w:val="24"/>
          <w:lang w:eastAsia="ru-RU"/>
        </w:rPr>
        <w:t xml:space="preserve"> 60 лет), пола, стадии ISS, стандартного или высокого цитогенетического риска, а также ответа после 3 первых курсов RVD. ОВ в течение трех лет оказалась одинаково высокой в обеих группах больных и составила 88%. Частота полных ремиссий была достоверно выше в группе с ауто-ТГСК по сравнению с группой RVD: 58% против 46%, соответственно (р&lt;0,01). Исследователи пришли к заключению, что ауто-ТГСК остается необходимым методом лечения больных ММ моложе 65 лет </w:t>
      </w:r>
      <w:r w:rsidRPr="007D4076">
        <w:rPr>
          <w:rFonts w:eastAsiaTheme="minorEastAsia"/>
          <w:szCs w:val="24"/>
          <w:lang w:eastAsia="ru-RU"/>
        </w:rPr>
        <w:fldChar w:fldCharType="begin" w:fldLock="1"/>
      </w:r>
      <w:r w:rsidR="00E430FD">
        <w:rPr>
          <w:rFonts w:eastAsiaTheme="minorEastAsia"/>
          <w:szCs w:val="24"/>
          <w:lang w:eastAsia="ru-RU"/>
        </w:rPr>
        <w:instrText>ADDIN CSL_CITATION {"citationItems":[{"id":"ITEM-1","itemData":{"ISSN":"0006-4971","abstract":"High dose chemotherapy plus autologous transplantation (ASCT) is considered a standard of care for newly diagnosed myeloma patients younger than 65 years of age. The high complete response rate (CR) achieved with the triplet combination of immunomodulatory drugs + proteasome inhibitors + dexamethasone has led investigators to propose this strategy upfront without immediate ASCT. The aim of this study was to determine if, in the era of new drugs, ASCT was still required in the initial management of young patients.\\n\\nWe conducted a randomized trial comparing conventional dose treatment (RVD arm= 8 cycles of Lenalidomide, Bortezomib and Dexamethasone, plus stem cell mobilization after 3 cycles of RVD utilizing high dose cyclophosphamide and G-CSF) to RVD with ASCT (Transplant arm= 3 induction cycles of RVD, followed by stem cell collection, and then ASCT conditioned with Melphalan 200 mg/m2, followed by 2 cycles of RVD as consolidation). Maintenance treatment with Lenalidomide (10 to 15 mg/d) was used in both arms for one year. In the RVD arm, ASCT was planned at time of relapse.\\n\\nFrom November 2010 to November 2012, 700 previously untreated French and Belgian patients were equally randomized between arms. Randomization was stratified according to ISS stage (I vs II vs III) and FISH analysis (standard vs high risk = del 17p or t(4;14) or t(14;16)). The primary study end point was progression-free survival (PFS). Two pre-specified interim analysis were to be performed at 33% and 69% of the estimated total number of events. The second interim analysis was performed in June 2015 (346 events= 197 in the RVD arm, 149 in the transplant arm). These results were submitted to an independent data management and safety committee, who recommended completing the trial, and continuing follow-up (without cross over before progression), since the difference in PFS between the 2 groups had reached the pre-specified level of significance for stopping the study.\\n\\nAs of June 8, 2015, median follow up was 39 months. All patients had discontinued treatment (completion of planned therapy= 66%, disease progression= 16%, adverse events= 10%). Patient characteristics of each group were similar and no significant differences were found with regard to age (median=58 years), ISS stage (I=233, II=341, III=126), Ig isotype, beta-2-microglobulin (median=3.5 mg/L), and cytogenetics (high risk=90 patients). In the transplant arm, 93% of patients underwent ASCT and 5 toxic deaths occur…","author":[{"dropping-particle":"","family":"Attal","given":"Michel","non-dropping-particle":"","parse-names":false,"suffix":""},{"dropping-particle":"","family":"Lauwers-Cances","given":"Valerie","non-dropping-particle":"","parse-names":false,"suffix":""},{"dropping-particle":"","family":"Hulin","given":"Cyrille","non-dropping-particle":"","parse-names":false,"suffix":""},{"dropping-particle":"","family":"Facon","given":"Thierry","non-dropping-particle":"","parse-names":false,"suffix":""},{"dropping-particle":"","family":"Caillot","given":"Denis","non-dropping-particle":"","parse-names":false,"suffix":""},{"dropping-particle":"","family":"Escoffre","given":"Martine","non-dropping-particle":"","parse-names":false,"suffix":""},{"dropping-particle":"","family":"Arnulf","given":"Bertrand","non-dropping-particle":"","parse-names":false,"suffix":""},{"dropping-particle":"","family":"MACRO","given":"Margaret","non-dropping-particle":"","parse-names":false,"suffix":""},{"dropping-particle":"","family":"Belhadj","given":"Karim","non-dropping-particle":"","parse-names":false,"suffix":""},{"dropping-particle":"","family":"Garderet","given":"Laurent","non-dropping-particle":"","parse-names":false,"suffix":""},{"dropping-particle":"","family":"Roussel","given":"Murielle","non-dropping-particle":"","parse-names":false,"suffix":""},{"dropping-particle":"","family":"Mathiot","given":"Claire","non-dropping-particle":"","parse-names":false,"suffix":""},{"dropping-particle":"","family":"Avet-Loiseau","given":"Herve","non-dropping-particle":"","parse-names":false,"suffix":""},{"dropping-particle":"","family":"Munshi","given":"Nikhil C.","non-dropping-particle":"","parse-names":false,"suffix":""},{"dropping-particle":"","family":"Richardson","given":"Paul G.","non-dropping-particle":"","parse-names":false,"suffix":""},{"dropping-particle":"","family":"Anderson","given":"Kenneth C.","non-dropping-particle":"","parse-names":false,"suffix":""},{"dropping-particle":"","family":"Harousseau","given":"jean Luc","non-dropping-particle":"","parse-names":false,"suffix":""},{"dropping-particle":"","family":"Moreau","given":"Philippe","non-dropping-particle":"","parse-names":false,"suffix":""}],"container-title":"Blood","id":"ITEM-1","issue":"23","issued":{"date-parts":[["2015"]]},"page":"391-391","title":"Autologous Transplantation for Multiple Myeloma in the Era of New Drugs: A Phase III Study of the Intergroupe Francophone Du Myelome (IFM/DFCI 2009 Trial)","type":"article-journal","volume":"126"},"uris":["http://www.mendeley.com/documents/?uuid=b9808c2c-4a2b-4a49-b6c1-ee09fef378b5"]}],"mendeley":{"formattedCitation":"[114]","plainTextFormattedCitation":"[114]","previouslyFormattedCitation":"[114]"},"properties":{"noteIndex":0},"schema":"https://github.com/citation-style-language/schema/raw/master/csl-citation.json"}</w:instrText>
      </w:r>
      <w:r w:rsidRPr="007D4076">
        <w:rPr>
          <w:rFonts w:eastAsiaTheme="minorEastAsia"/>
          <w:szCs w:val="24"/>
          <w:lang w:eastAsia="ru-RU"/>
        </w:rPr>
        <w:fldChar w:fldCharType="separate"/>
      </w:r>
      <w:r w:rsidR="00E430FD" w:rsidRPr="00E430FD">
        <w:rPr>
          <w:rFonts w:eastAsiaTheme="minorEastAsia"/>
          <w:noProof/>
          <w:szCs w:val="24"/>
          <w:lang w:eastAsia="ru-RU"/>
        </w:rPr>
        <w:t>[114]</w:t>
      </w:r>
      <w:r w:rsidRPr="007D4076">
        <w:rPr>
          <w:rFonts w:eastAsiaTheme="minorEastAsia"/>
          <w:szCs w:val="24"/>
          <w:lang w:eastAsia="ru-RU"/>
        </w:rPr>
        <w:fldChar w:fldCharType="end"/>
      </w:r>
      <w:r w:rsidRPr="007D4076">
        <w:rPr>
          <w:rFonts w:eastAsiaTheme="minorEastAsia"/>
          <w:szCs w:val="24"/>
          <w:lang w:eastAsia="ru-RU"/>
        </w:rPr>
        <w:t>.</w:t>
      </w:r>
    </w:p>
    <w:p w14:paraId="79A0FA59" w14:textId="06FD4CF8" w:rsidR="00C44D05" w:rsidRPr="007D4076" w:rsidRDefault="00C44D05" w:rsidP="004A7ED2">
      <w:pPr>
        <w:shd w:val="clear" w:color="auto" w:fill="FFFFFF"/>
        <w:spacing w:before="0" w:after="0"/>
        <w:ind w:firstLine="709"/>
        <w:rPr>
          <w:rFonts w:eastAsiaTheme="minorEastAsia"/>
          <w:szCs w:val="24"/>
          <w:lang w:eastAsia="ru-RU"/>
        </w:rPr>
      </w:pPr>
      <w:r w:rsidRPr="007D4076">
        <w:rPr>
          <w:rFonts w:eastAsiaTheme="minorEastAsia"/>
          <w:szCs w:val="24"/>
          <w:lang w:eastAsia="ru-RU"/>
        </w:rPr>
        <w:t>Анализ объединенных данных двух исследований III фазы (GIMEMA-RV-MM-209 и EMN-441) по применению леналидомида</w:t>
      </w:r>
      <w:r w:rsidR="00BD59A8" w:rsidRPr="00BD59A8">
        <w:rPr>
          <w:rFonts w:eastAsiaTheme="minorEastAsia"/>
          <w:szCs w:val="24"/>
          <w:lang w:eastAsia="ru-RU"/>
        </w:rPr>
        <w:t>**</w:t>
      </w:r>
      <w:r w:rsidRPr="007D4076">
        <w:rPr>
          <w:rFonts w:eastAsiaTheme="minorEastAsia"/>
          <w:szCs w:val="24"/>
          <w:lang w:eastAsia="ru-RU"/>
        </w:rPr>
        <w:t xml:space="preserve"> в первой линии лечения больных ММ - кандидатов на высокодозную химиотерапию (ВХТ) с ауто-ТГСК, опубликованный в 2017 году, также доказал эффективность включения ауто-ТГСК в программу лечения молодых больных в эру новых лекарственных препаратов. В мета-анализ были включены данные о 529 больных с впервые диагностированной ММ, прошедшие этап индукционной терапии, включающей 4 курса Rd (леналидомид</w:t>
      </w:r>
      <w:r w:rsidR="00BD59A8" w:rsidRPr="00BD59A8">
        <w:rPr>
          <w:rFonts w:eastAsiaTheme="minorEastAsia"/>
          <w:szCs w:val="24"/>
          <w:lang w:eastAsia="ru-RU"/>
        </w:rPr>
        <w:t>**</w:t>
      </w:r>
      <w:r w:rsidRPr="007D4076">
        <w:rPr>
          <w:rFonts w:eastAsiaTheme="minorEastAsia"/>
          <w:szCs w:val="24"/>
          <w:lang w:eastAsia="ru-RU"/>
        </w:rPr>
        <w:t>+дексаметазон</w:t>
      </w:r>
      <w:r w:rsidR="00BD59A8" w:rsidRPr="00BD59A8">
        <w:rPr>
          <w:rFonts w:eastAsiaTheme="minorEastAsia"/>
          <w:szCs w:val="24"/>
          <w:lang w:eastAsia="ru-RU"/>
        </w:rPr>
        <w:t>**</w:t>
      </w:r>
      <w:r w:rsidRPr="007D4076">
        <w:rPr>
          <w:rFonts w:eastAsiaTheme="minorEastAsia"/>
          <w:szCs w:val="24"/>
          <w:lang w:eastAsia="ru-RU"/>
        </w:rPr>
        <w:t>), мобилизацию и сбор гемопоэтических стволовых клеток крови (циклофосфа</w:t>
      </w:r>
      <w:r w:rsidR="00BD59A8">
        <w:rPr>
          <w:rFonts w:eastAsiaTheme="minorEastAsia"/>
          <w:szCs w:val="24"/>
          <w:lang w:eastAsia="ru-RU"/>
        </w:rPr>
        <w:t>мид</w:t>
      </w:r>
      <w:r w:rsidR="00BD59A8" w:rsidRPr="00BD59A8">
        <w:rPr>
          <w:rFonts w:eastAsiaTheme="minorEastAsia"/>
          <w:szCs w:val="24"/>
          <w:lang w:eastAsia="ru-RU"/>
        </w:rPr>
        <w:t>**</w:t>
      </w:r>
      <w:r w:rsidRPr="007D4076">
        <w:rPr>
          <w:rFonts w:eastAsiaTheme="minorEastAsia"/>
          <w:szCs w:val="24"/>
          <w:lang w:eastAsia="ru-RU"/>
        </w:rPr>
        <w:t xml:space="preserve"> + Г</w:t>
      </w:r>
      <w:r w:rsidR="00BD59A8" w:rsidRPr="00BD59A8">
        <w:rPr>
          <w:rFonts w:eastAsiaTheme="minorEastAsia"/>
          <w:szCs w:val="24"/>
          <w:lang w:eastAsia="ru-RU"/>
        </w:rPr>
        <w:t>-</w:t>
      </w:r>
      <w:r w:rsidRPr="007D4076">
        <w:rPr>
          <w:rFonts w:eastAsiaTheme="minorEastAsia"/>
          <w:szCs w:val="24"/>
          <w:lang w:eastAsia="ru-RU"/>
        </w:rPr>
        <w:t>КСФ</w:t>
      </w:r>
      <w:r w:rsidR="00BD59A8" w:rsidRPr="00BD59A8">
        <w:rPr>
          <w:rFonts w:eastAsiaTheme="minorEastAsia"/>
          <w:szCs w:val="24"/>
          <w:lang w:eastAsia="ru-RU"/>
        </w:rPr>
        <w:t>**</w:t>
      </w:r>
      <w:r w:rsidRPr="007D4076">
        <w:rPr>
          <w:rFonts w:eastAsiaTheme="minorEastAsia"/>
          <w:szCs w:val="24"/>
          <w:lang w:eastAsia="ru-RU"/>
        </w:rPr>
        <w:t>). Больные были рандомизированы в равном соотношении на выполнение двух ауто-ТГСК (мелфалан</w:t>
      </w:r>
      <w:r w:rsidR="00BD59A8" w:rsidRPr="00BD59A8">
        <w:rPr>
          <w:rFonts w:eastAsiaTheme="minorEastAsia"/>
          <w:szCs w:val="24"/>
          <w:lang w:eastAsia="ru-RU"/>
        </w:rPr>
        <w:t>**</w:t>
      </w:r>
      <w:r w:rsidRPr="007D4076">
        <w:rPr>
          <w:rFonts w:eastAsiaTheme="minorEastAsia"/>
          <w:szCs w:val="24"/>
          <w:lang w:eastAsia="ru-RU"/>
        </w:rPr>
        <w:t xml:space="preserve"> 200 мг/м</w:t>
      </w:r>
      <w:r w:rsidRPr="007D4076">
        <w:rPr>
          <w:rFonts w:eastAsiaTheme="minorEastAsia"/>
          <w:szCs w:val="24"/>
          <w:vertAlign w:val="superscript"/>
          <w:lang w:eastAsia="ru-RU"/>
        </w:rPr>
        <w:t>2</w:t>
      </w:r>
      <w:r w:rsidRPr="007D4076">
        <w:rPr>
          <w:rFonts w:eastAsiaTheme="minorEastAsia"/>
          <w:szCs w:val="24"/>
          <w:lang w:eastAsia="ru-RU"/>
        </w:rPr>
        <w:t>) и проведение шести консолидирующих курсов c включением леналидомида</w:t>
      </w:r>
      <w:r w:rsidR="00BD59A8" w:rsidRPr="00BD59A8">
        <w:rPr>
          <w:rFonts w:eastAsiaTheme="minorEastAsia"/>
          <w:szCs w:val="24"/>
          <w:lang w:eastAsia="ru-RU"/>
        </w:rPr>
        <w:t>**</w:t>
      </w:r>
      <w:r w:rsidRPr="007D4076">
        <w:rPr>
          <w:rFonts w:eastAsiaTheme="minorEastAsia"/>
          <w:szCs w:val="24"/>
          <w:lang w:eastAsia="ru-RU"/>
        </w:rPr>
        <w:t xml:space="preserve"> (MPR </w:t>
      </w:r>
      <w:r w:rsidRPr="007D4076">
        <w:rPr>
          <w:rFonts w:eastAsiaTheme="minorEastAsia"/>
          <w:szCs w:val="24"/>
          <w:lang w:eastAsia="ru-RU"/>
        </w:rPr>
        <w:lastRenderedPageBreak/>
        <w:t xml:space="preserve">или CRD). Результаты исследования свидетельствуют об улучшении показателей БРВ и ОВ для больных, в программу </w:t>
      </w:r>
      <w:proofErr w:type="gramStart"/>
      <w:r w:rsidRPr="007D4076">
        <w:rPr>
          <w:rFonts w:eastAsiaTheme="minorEastAsia"/>
          <w:szCs w:val="24"/>
          <w:lang w:eastAsia="ru-RU"/>
        </w:rPr>
        <w:t>лечения</w:t>
      </w:r>
      <w:proofErr w:type="gramEnd"/>
      <w:r w:rsidRPr="007D4076">
        <w:rPr>
          <w:rFonts w:eastAsiaTheme="minorEastAsia"/>
          <w:szCs w:val="24"/>
          <w:lang w:eastAsia="ru-RU"/>
        </w:rPr>
        <w:t xml:space="preserve"> которых была включена ауто-ТГСК. В группе больных с тандемной ауто-ТГСК медиана БРВ была достоверно выше и составила 42 мес. против 24 мес. в группе больных без ауто-ТГСК (р&lt;0,001). Сравнение показателей 4-летней ОВ также выявило достоверное преимущество для группы больных с ауто-ТГСК - 84% против 70% в группе больных без высокодозной химиотерапии с ауто-ТГСК (р&lt;0,001). Дизайн исследования предусматривал возможность выполнения отложенной ауто-ТГСК для больных, рандомизированных на консолидирующую терапию, в случае развития рецидива заболевания. Таким образом, после развития рецидива заболевания при достижении общего противоопухолевого ответа могла быть выполнена ауто-ТГСК в качестве терапии спасения. Однако отложенная трансплантация была осуществлена только 53% (n=93) больных. Исследователи определили преимущество выполнения ауто-ТГСК в первой линии терапии путем сравнения показателей ОВ - в группе больных с ауто-ТГСК в первой линии лечения ОВ была выше, чем в группе больных с ауто-ТГСК, выполненной после рецидива </w:t>
      </w:r>
      <w:r w:rsidRPr="007D4076">
        <w:rPr>
          <w:rFonts w:eastAsiaTheme="minorEastAsia"/>
          <w:szCs w:val="24"/>
          <w:lang w:eastAsia="ru-RU"/>
        </w:rPr>
        <w:fldChar w:fldCharType="begin" w:fldLock="1"/>
      </w:r>
      <w:r w:rsidR="00E430FD">
        <w:rPr>
          <w:rFonts w:eastAsiaTheme="minorEastAsia"/>
          <w:szCs w:val="24"/>
          <w:lang w:eastAsia="ru-RU"/>
        </w:rPr>
        <w:instrText>ADDIN CSL_CITATION {"citationItems":[{"id":"ITEM-1","itemData":{"DOI":"10.1038/leu.2016.381","ISSN":"0887-6924","PMID":"28008174","abstract":"In newly diagnosed myeloma patients, upfront autologous transplant (ASCT) prolongs progression-free survival 1 (PFS1) compared with chemotherapy plus lenalidomide (CC+R). Salvage ASCT at first relapse may still effectively rescue patients who did not receive upfront ASCT. To evaluate the long-term benefit of upfront ASCT vs CC+R and the impact of salvage ASCT in patients who received upfront CC+R, we conducted a pooled analysis of 2 phase III trials (RV-MM-209 and EMN-441). Primary endpoints were PFS1, progression-free survival 2 (PFS2), overall survival (OS). A total of 268 patients were randomized to 2 courses of melphalan 200 mg/m(2) and ASCT (MEL200-ASCT) and 261 to CC+R. Median follow-up was 46 months. MEL200-ASCT significantly improved PFS1 (median: 42 vs 24 months, HR 0.53; P&lt;0.001), PFS2 (4 years: 71 vs 54%, HR 0.53, P&lt;0.001) and OS (4 years: 84 vs 70%, HR 0.51, P&lt;0.001) compared with CC+R. The advantage was noticed in good and bad prognosis patients. Only 53% of patients relapsing from CC+R received ASCT at first relapse. Upfront ASCT significantly reduced the risk of death (HR 0.51; P=0.007) in comparison with salvage ASCT. In conclusion, these data confirm the role of upfront ASCT as the standard approach for all young myeloma patients.Leukemia advance online publication, 24 January 2017; doi:10.1038/leu.2016.381.","author":[{"dropping-particle":"","family":"Gay","given":"F.","non-dropping-particle":"","parse-names":false,"suffix":""},{"dropping-particle":"","family":"Oliva","given":"S.","non-dropping-particle":"","parse-names":false,"suffix":""},{"dropping-particle":"","family":"Petrucci","given":"M. T.","non-dropping-particle":"","parse-names":false,"suffix":""},{"dropping-particle":"","family":"Montefusco","given":"V.","non-dropping-particle":"","parse-names":false,"suffix":""},{"dropping-particle":"","family":"Conticello","given":"C.","non-dropping-particle":"","parse-names":false,"suffix":""},{"dropping-particle":"","family":"Musto","given":"P.","non-dropping-particle":"","parse-names":false,"suffix":""},{"dropping-particle":"","family":"Catalano","given":"L.","non-dropping-particle":"","parse-names":false,"suffix":""},{"dropping-particle":"","family":"Evangelista","given":"A.","non-dropping-particle":"","parse-names":false,"suffix":""},{"dropping-particle":"","family":"Spada","given":"S.","non-dropping-particle":"","parse-names":false,"suffix":""},{"dropping-particle":"","family":"Campbell","given":"P.","non-dropping-particle":"","parse-names":false,"suffix":""},{"dropping-particle":"","family":"Ria","given":"R.","non-dropping-particle":"","parse-names":false,"suffix":""},{"dropping-particle":"","family":"Salvini","given":"M.","non-dropping-particle":"","parse-names":false,"suffix":""},{"dropping-particle":"","family":"Offidani","given":"M.","non-dropping-particle":"","parse-names":false,"suffix":""},{"dropping-particle":"","family":"Carella","given":"A. M.","non-dropping-particle":"","parse-names":false,"suffix":""},{"dropping-particle":"","family":"Omedé","given":"P.","non-dropping-particle":"","parse-names":false,"suffix":""},{"dropping-particle":"","family":"Liberati","given":"A. M.","non-dropping-particle":"","parse-names":false,"suffix":""},{"dropping-particle":"","family":"Troia","given":"R.","non-dropping-particle":"","parse-names":false,"suffix":""},{"dropping-particle":"","family":"Cafro","given":"A. M.","non-dropping-particle":"","parse-names":false,"suffix":""},{"dropping-particle":"","family":"Malfitano","given":"A.","non-dropping-particle":"","parse-names":false,"suffix":""},{"dropping-particle":"","family":"Falcone","given":"A. P.","non-dropping-particle":"","parse-names":false,"suffix":""},{"dropping-particle":"","family":"Caravita","given":"T.","non-dropping-particle":"","parse-names":false,"suffix":""},{"dropping-particle":"","family":"Patriarca","given":"F.","non-dropping-particle":"","parse-names":false,"suffix":""},{"dropping-particle":"","family":"Nagler","given":"A.","non-dropping-particle":"","parse-names":false,"suffix":""},{"dropping-particle":"","family":"Spencer","given":"A.","non-dropping-particle":"","parse-names":false,"suffix":""},{"dropping-particle":"","family":"Hajek","given":"R.","non-dropping-particle":"","parse-names":false,"suffix":""},{"dropping-particle":"","family":"Palumbo","given":"A.","non-dropping-particle":"","parse-names":false,"suffix":""},{"dropping-particle":"","family":"Boccadoro","given":"M.","non-dropping-particle":"","parse-names":false,"suffix":""}],"container-title":"Leukemia","id":"ITEM-1","issue":"8","issued":{"date-parts":[["2017","8"]]},"page":"1727-1734","title":"Autologous transplant vs oral chemotherapy and lenalidomide in newly diagnosed young myeloma patients: a pooled analysis","type":"article-journal","volume":"31"},"uris":["http://www.mendeley.com/documents/?uuid=d77a90a9-813a-40ce-9f98-e9a6a9dd5017"]}],"mendeley":{"formattedCitation":"[115]","plainTextFormattedCitation":"[115]","previouslyFormattedCitation":"[115]"},"properties":{"noteIndex":0},"schema":"https://github.com/citation-style-language/schema/raw/master/csl-citation.json"}</w:instrText>
      </w:r>
      <w:r w:rsidRPr="007D4076">
        <w:rPr>
          <w:rFonts w:eastAsiaTheme="minorEastAsia"/>
          <w:szCs w:val="24"/>
          <w:lang w:eastAsia="ru-RU"/>
        </w:rPr>
        <w:fldChar w:fldCharType="separate"/>
      </w:r>
      <w:r w:rsidR="00E430FD" w:rsidRPr="00E430FD">
        <w:rPr>
          <w:rFonts w:eastAsiaTheme="minorEastAsia"/>
          <w:noProof/>
          <w:szCs w:val="24"/>
          <w:lang w:eastAsia="ru-RU"/>
        </w:rPr>
        <w:t>[115]</w:t>
      </w:r>
      <w:r w:rsidRPr="007D4076">
        <w:rPr>
          <w:rFonts w:eastAsiaTheme="minorEastAsia"/>
          <w:szCs w:val="24"/>
          <w:lang w:eastAsia="ru-RU"/>
        </w:rPr>
        <w:fldChar w:fldCharType="end"/>
      </w:r>
      <w:r w:rsidRPr="007D4076">
        <w:rPr>
          <w:rFonts w:eastAsiaTheme="minorEastAsia"/>
          <w:szCs w:val="24"/>
          <w:lang w:eastAsia="ru-RU"/>
        </w:rPr>
        <w:t>. Таким образом, результаты проведенного исследования продемонстрировали важность выполнения ауто-ТГСК для лечения больных ММ в эру применения новых лекарственных препаратов, определены сроки проведения интенсивных схем лечения – наиболее целесообразно выполнение ВХТ с ауто-ТГСК в первой линии терапии ММ при достижении общего противоопухолевого ответа.</w:t>
      </w:r>
    </w:p>
    <w:p w14:paraId="4DF3E8E3" w14:textId="77777777" w:rsidR="00C44D05" w:rsidRPr="00092917" w:rsidRDefault="00C44D05" w:rsidP="008F161A">
      <w:pPr>
        <w:pStyle w:val="a6"/>
        <w:numPr>
          <w:ilvl w:val="0"/>
          <w:numId w:val="126"/>
        </w:numPr>
        <w:spacing w:before="0" w:after="0"/>
        <w:rPr>
          <w:b/>
        </w:rPr>
      </w:pPr>
      <w:bookmarkStart w:id="86" w:name="_Toc44926624"/>
      <w:r w:rsidRPr="00092917">
        <w:rPr>
          <w:b/>
        </w:rPr>
        <w:t>Обследование пациентов перед ауто-ТГСК</w:t>
      </w:r>
      <w:bookmarkEnd w:id="86"/>
    </w:p>
    <w:p w14:paraId="213A3A16" w14:textId="77777777" w:rsidR="00C44D05" w:rsidRDefault="00C44D05" w:rsidP="006C221C">
      <w:pPr>
        <w:spacing w:before="0" w:after="0"/>
        <w:rPr>
          <w:szCs w:val="24"/>
        </w:rPr>
      </w:pPr>
      <w:r>
        <w:rPr>
          <w:szCs w:val="24"/>
        </w:rPr>
        <w:t>Перед выполнением трансплантации аутологичных гемопоэтических стволовых клеток необходимо определить фазу заболевания, оценить соматический статус пациента и состояние кроветворения. Для этого всем пациентам проводится рутинный комплекс обследования, включающий как лабораторные, так и инструментальные методы.</w:t>
      </w:r>
    </w:p>
    <w:p w14:paraId="51D32DDD" w14:textId="77777777" w:rsidR="00C44D05" w:rsidRPr="00092917" w:rsidRDefault="00C44D05" w:rsidP="008F161A">
      <w:pPr>
        <w:pStyle w:val="a6"/>
        <w:numPr>
          <w:ilvl w:val="0"/>
          <w:numId w:val="126"/>
        </w:numPr>
        <w:spacing w:before="0" w:after="0"/>
        <w:rPr>
          <w:b/>
        </w:rPr>
      </w:pPr>
      <w:bookmarkStart w:id="87" w:name="_Toc44926625"/>
      <w:r w:rsidRPr="00092917">
        <w:rPr>
          <w:b/>
        </w:rPr>
        <w:t>Общие методы обследования</w:t>
      </w:r>
      <w:bookmarkEnd w:id="87"/>
    </w:p>
    <w:p w14:paraId="2FD86D86" w14:textId="57AC549B" w:rsidR="005A0507" w:rsidRPr="006A495D" w:rsidRDefault="005A0507" w:rsidP="008F161A">
      <w:pPr>
        <w:pStyle w:val="Numlist"/>
        <w:numPr>
          <w:ilvl w:val="0"/>
          <w:numId w:val="122"/>
        </w:numPr>
        <w:tabs>
          <w:tab w:val="left" w:pos="284"/>
        </w:tabs>
        <w:spacing w:line="360" w:lineRule="auto"/>
        <w:ind w:left="0" w:firstLine="0"/>
        <w:jc w:val="both"/>
      </w:pPr>
      <w:r>
        <w:t xml:space="preserve">Общий (клинический) </w:t>
      </w:r>
      <w:proofErr w:type="gramStart"/>
      <w:r>
        <w:t>анализ крови</w:t>
      </w:r>
      <w:proofErr w:type="gramEnd"/>
      <w:r>
        <w:t xml:space="preserve"> развернутый.</w:t>
      </w:r>
    </w:p>
    <w:p w14:paraId="0B39A0A8" w14:textId="701384E7" w:rsidR="00C44D05" w:rsidRPr="006A495D" w:rsidRDefault="005A0507" w:rsidP="008F161A">
      <w:pPr>
        <w:pStyle w:val="Numlist"/>
        <w:numPr>
          <w:ilvl w:val="0"/>
          <w:numId w:val="122"/>
        </w:numPr>
        <w:tabs>
          <w:tab w:val="left" w:pos="284"/>
        </w:tabs>
        <w:spacing w:line="360" w:lineRule="auto"/>
        <w:ind w:left="0" w:firstLine="0"/>
        <w:jc w:val="both"/>
      </w:pPr>
      <w:r>
        <w:t xml:space="preserve">Анализ крови биохимический общетерапевтический </w:t>
      </w:r>
      <w:r w:rsidR="00C44D05" w:rsidRPr="006A495D">
        <w:t xml:space="preserve">с обязательным определением: </w:t>
      </w:r>
      <w:r w:rsidR="00C44D05">
        <w:t xml:space="preserve">уровней </w:t>
      </w:r>
      <w:r w:rsidR="00C44D05" w:rsidRPr="006A495D">
        <w:t xml:space="preserve">общего белка, альбумина, креатинина, мочевой кислоты, калия, кальция, </w:t>
      </w:r>
      <w:r w:rsidR="00C44D05">
        <w:t xml:space="preserve">активности </w:t>
      </w:r>
      <w:r w:rsidR="00C44D05" w:rsidRPr="006A495D">
        <w:t>ЛДГ.</w:t>
      </w:r>
    </w:p>
    <w:p w14:paraId="3CD50FCB" w14:textId="77777777" w:rsidR="00C44D05" w:rsidRDefault="00C44D05" w:rsidP="008F161A">
      <w:pPr>
        <w:pStyle w:val="Numlist"/>
        <w:numPr>
          <w:ilvl w:val="0"/>
          <w:numId w:val="122"/>
        </w:numPr>
        <w:tabs>
          <w:tab w:val="left" w:pos="284"/>
        </w:tabs>
        <w:spacing w:line="360" w:lineRule="auto"/>
        <w:ind w:left="0" w:firstLine="0"/>
        <w:jc w:val="both"/>
      </w:pPr>
      <w:r>
        <w:t>Общий анализ мочи.</w:t>
      </w:r>
    </w:p>
    <w:p w14:paraId="54CBB284" w14:textId="77777777" w:rsidR="00C44D05" w:rsidRDefault="00C44D05" w:rsidP="008F161A">
      <w:pPr>
        <w:pStyle w:val="Numlist"/>
        <w:numPr>
          <w:ilvl w:val="0"/>
          <w:numId w:val="122"/>
        </w:numPr>
        <w:tabs>
          <w:tab w:val="left" w:pos="284"/>
        </w:tabs>
        <w:spacing w:line="360" w:lineRule="auto"/>
        <w:ind w:left="0" w:firstLine="0"/>
        <w:jc w:val="both"/>
      </w:pPr>
      <w:r>
        <w:t>Глюкоза крови.</w:t>
      </w:r>
    </w:p>
    <w:p w14:paraId="258C4EA4" w14:textId="77777777" w:rsidR="00C44D05" w:rsidRDefault="00C44D05" w:rsidP="008F161A">
      <w:pPr>
        <w:pStyle w:val="Numlist"/>
        <w:numPr>
          <w:ilvl w:val="0"/>
          <w:numId w:val="122"/>
        </w:numPr>
        <w:tabs>
          <w:tab w:val="left" w:pos="284"/>
        </w:tabs>
        <w:spacing w:line="360" w:lineRule="auto"/>
        <w:ind w:left="0" w:firstLine="0"/>
        <w:jc w:val="both"/>
      </w:pPr>
      <w:r>
        <w:t>Определение скорости клубочковой фильтрации.</w:t>
      </w:r>
    </w:p>
    <w:p w14:paraId="12B1B782" w14:textId="77777777" w:rsidR="00C44D05" w:rsidRDefault="00C44D05" w:rsidP="008F161A">
      <w:pPr>
        <w:pStyle w:val="Numlist"/>
        <w:numPr>
          <w:ilvl w:val="0"/>
          <w:numId w:val="122"/>
        </w:numPr>
        <w:tabs>
          <w:tab w:val="left" w:pos="284"/>
        </w:tabs>
        <w:spacing w:line="360" w:lineRule="auto"/>
        <w:ind w:left="0" w:firstLine="0"/>
        <w:jc w:val="both"/>
      </w:pPr>
      <w:r>
        <w:lastRenderedPageBreak/>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09629EAD" w14:textId="77777777" w:rsidR="005B71A1" w:rsidRDefault="005B71A1" w:rsidP="008F161A">
      <w:pPr>
        <w:pStyle w:val="Numlist"/>
        <w:numPr>
          <w:ilvl w:val="0"/>
          <w:numId w:val="122"/>
        </w:numPr>
        <w:tabs>
          <w:tab w:val="left" w:pos="284"/>
        </w:tabs>
        <w:spacing w:line="360" w:lineRule="auto"/>
        <w:ind w:left="0" w:firstLine="0"/>
        <w:jc w:val="both"/>
      </w:pPr>
      <w:r>
        <w:t>Получение цитологического препарата костного мозга путем пункции с дальнейшим цитологическим исследованием мазка костного мозга (миелограмма)</w:t>
      </w:r>
    </w:p>
    <w:p w14:paraId="26C63646" w14:textId="276E14B6" w:rsidR="00C44D05" w:rsidRDefault="004F56A1" w:rsidP="008F161A">
      <w:pPr>
        <w:pStyle w:val="Numlist"/>
        <w:numPr>
          <w:ilvl w:val="0"/>
          <w:numId w:val="122"/>
        </w:numPr>
        <w:tabs>
          <w:tab w:val="left" w:pos="284"/>
        </w:tabs>
        <w:spacing w:line="360" w:lineRule="auto"/>
        <w:ind w:left="0" w:firstLine="0"/>
        <w:jc w:val="both"/>
      </w:pPr>
      <w:r>
        <w:t xml:space="preserve">Паталогоанатомическое исследование </w:t>
      </w:r>
      <w:r w:rsidRPr="00C528FA">
        <w:t>биопсийного (операционного) материала костного мозга</w:t>
      </w:r>
      <w:r>
        <w:t xml:space="preserve"> </w:t>
      </w:r>
      <w:r w:rsidR="00C44D05">
        <w:t>для оценки кроветворения.</w:t>
      </w:r>
    </w:p>
    <w:p w14:paraId="1D1CD474" w14:textId="5C38A5E0" w:rsidR="00C44D05" w:rsidRDefault="004F56A1" w:rsidP="008F161A">
      <w:pPr>
        <w:pStyle w:val="Numlist"/>
        <w:numPr>
          <w:ilvl w:val="0"/>
          <w:numId w:val="122"/>
        </w:numPr>
        <w:tabs>
          <w:tab w:val="left" w:pos="284"/>
        </w:tabs>
        <w:spacing w:line="360" w:lineRule="auto"/>
        <w:ind w:left="0" w:firstLine="0"/>
        <w:jc w:val="both"/>
      </w:pPr>
      <w:r>
        <w:t xml:space="preserve">Паталогоанатомическое исследование </w:t>
      </w:r>
      <w:r w:rsidRPr="00C528FA">
        <w:t>биопсийного (операционного) материала костного мозга</w:t>
      </w:r>
      <w:r w:rsidRPr="00100A57">
        <w:t xml:space="preserve"> </w:t>
      </w:r>
      <w:r w:rsidR="00C44D05" w:rsidRPr="00100A57">
        <w:t>с применением иммуногистохимических методов</w:t>
      </w:r>
      <w:r w:rsidR="00C44D05">
        <w:t xml:space="preserve"> для оценки состояния кроветворения и инфильтрации костного мозга опухолевыми клетками.</w:t>
      </w:r>
    </w:p>
    <w:p w14:paraId="760F2261" w14:textId="5420F502" w:rsidR="00C44D05" w:rsidRDefault="00E1357D" w:rsidP="008F161A">
      <w:pPr>
        <w:pStyle w:val="Numlist"/>
        <w:numPr>
          <w:ilvl w:val="0"/>
          <w:numId w:val="122"/>
        </w:numPr>
        <w:tabs>
          <w:tab w:val="left" w:pos="284"/>
        </w:tabs>
        <w:spacing w:line="360" w:lineRule="auto"/>
        <w:ind w:left="0" w:firstLine="0"/>
        <w:jc w:val="both"/>
      </w:pPr>
      <w:r>
        <w:t>Исследование биологического материала (костного мозга) методом проточной цитофлуориметрии</w:t>
      </w:r>
      <w:r w:rsidRPr="006A495D">
        <w:t xml:space="preserve"> </w:t>
      </w:r>
      <w:r w:rsidR="00C44D05">
        <w:t>для определения маркеров минимальной остаточной болезни.</w:t>
      </w:r>
    </w:p>
    <w:p w14:paraId="3DA6E4F1" w14:textId="781E5DC2" w:rsidR="00C44D05" w:rsidRPr="00C9448D" w:rsidRDefault="00C44D05" w:rsidP="008F161A">
      <w:pPr>
        <w:pStyle w:val="Numlist"/>
        <w:numPr>
          <w:ilvl w:val="0"/>
          <w:numId w:val="122"/>
        </w:numPr>
        <w:tabs>
          <w:tab w:val="left" w:pos="284"/>
        </w:tabs>
        <w:spacing w:line="360" w:lineRule="auto"/>
        <w:ind w:left="0" w:firstLine="0"/>
        <w:jc w:val="both"/>
      </w:pPr>
      <w:r w:rsidRPr="00C9448D">
        <w:t xml:space="preserve">Определение </w:t>
      </w:r>
      <w:r w:rsidR="00AB3E79" w:rsidRPr="00C9448D">
        <w:t xml:space="preserve">основных групп по системе АВ0, определение антигена </w:t>
      </w:r>
      <w:r w:rsidR="00AB3E79" w:rsidRPr="00C9448D">
        <w:rPr>
          <w:lang w:val="en-US"/>
        </w:rPr>
        <w:t>D</w:t>
      </w:r>
      <w:r w:rsidR="00AB3E79" w:rsidRPr="00C9448D">
        <w:t xml:space="preserve"> системы Резус (резус-фактор), определение подгрупп и других групп крови меньшего значения А-1. А-2, </w:t>
      </w:r>
      <w:r w:rsidR="00AB3E79" w:rsidRPr="00C9448D">
        <w:rPr>
          <w:lang w:val="en-US"/>
        </w:rPr>
        <w:t>D</w:t>
      </w:r>
      <w:r w:rsidR="00AB3E79" w:rsidRPr="00C9448D">
        <w:t xml:space="preserve">, </w:t>
      </w:r>
      <w:r w:rsidR="00AB3E79" w:rsidRPr="00C9448D">
        <w:rPr>
          <w:lang w:val="en-US"/>
        </w:rPr>
        <w:t>Cc</w:t>
      </w:r>
      <w:r w:rsidR="00AB3E79" w:rsidRPr="00C9448D">
        <w:t xml:space="preserve">, </w:t>
      </w:r>
      <w:r w:rsidR="00AB3E79" w:rsidRPr="00C9448D">
        <w:rPr>
          <w:lang w:val="en-US"/>
        </w:rPr>
        <w:t>E</w:t>
      </w:r>
      <w:r w:rsidR="00AB3E79" w:rsidRPr="00C9448D">
        <w:t xml:space="preserve">, </w:t>
      </w:r>
      <w:r w:rsidR="00AB3E79" w:rsidRPr="00C9448D">
        <w:rPr>
          <w:lang w:val="en-US"/>
        </w:rPr>
        <w:t>Kell</w:t>
      </w:r>
      <w:r w:rsidR="00AB3E79" w:rsidRPr="00C9448D">
        <w:t xml:space="preserve">, </w:t>
      </w:r>
      <w:r w:rsidR="00AB3E79" w:rsidRPr="00C9448D">
        <w:rPr>
          <w:lang w:val="en-US"/>
        </w:rPr>
        <w:t>Duffy</w:t>
      </w:r>
      <w:r w:rsidR="00AB3E79" w:rsidRPr="00C9448D">
        <w:t xml:space="preserve">, определение фенотипа по антигенам С, с, Е, е, </w:t>
      </w:r>
      <w:r w:rsidR="00AB3E79" w:rsidRPr="00C9448D">
        <w:rPr>
          <w:lang w:val="en-US"/>
        </w:rPr>
        <w:t>Cw</w:t>
      </w:r>
      <w:r w:rsidR="00AB3E79" w:rsidRPr="00C9448D">
        <w:t xml:space="preserve">, </w:t>
      </w:r>
      <w:r w:rsidR="00AB3E79" w:rsidRPr="00C9448D">
        <w:rPr>
          <w:lang w:val="en-US"/>
        </w:rPr>
        <w:t>K</w:t>
      </w:r>
      <w:r w:rsidR="00AB3E79" w:rsidRPr="00C9448D">
        <w:t xml:space="preserve">, </w:t>
      </w:r>
      <w:r w:rsidR="00AB3E79" w:rsidRPr="00C9448D">
        <w:rPr>
          <w:lang w:val="en-US"/>
        </w:rPr>
        <w:t>k</w:t>
      </w:r>
      <w:r w:rsidR="00AB3E79" w:rsidRPr="00C9448D">
        <w:t xml:space="preserve"> и определение антиэритроцитарных антител, определение содержания антител к антигенам групп крови</w:t>
      </w:r>
      <w:r w:rsidRPr="00C9448D">
        <w:t>.</w:t>
      </w:r>
    </w:p>
    <w:p w14:paraId="46A9B536" w14:textId="77777777" w:rsidR="00C44D05" w:rsidRPr="006A495D" w:rsidRDefault="00C44D05" w:rsidP="008F161A">
      <w:pPr>
        <w:pStyle w:val="Numlist"/>
        <w:numPr>
          <w:ilvl w:val="0"/>
          <w:numId w:val="122"/>
        </w:numPr>
        <w:tabs>
          <w:tab w:val="left" w:pos="284"/>
        </w:tabs>
        <w:spacing w:line="360" w:lineRule="auto"/>
        <w:ind w:left="0" w:firstLine="0"/>
        <w:jc w:val="both"/>
      </w:pPr>
      <w:r>
        <w:t>Исследование на м</w:t>
      </w:r>
      <w:r w:rsidRPr="006A495D">
        <w:t>аркеры вирусов гепатит</w:t>
      </w:r>
      <w:r>
        <w:t>ов</w:t>
      </w:r>
      <w:r>
        <w:rPr>
          <w:lang w:val="en-US"/>
        </w:rPr>
        <w:t> B</w:t>
      </w:r>
      <w:r w:rsidRPr="006A495D">
        <w:t xml:space="preserve"> и </w:t>
      </w:r>
      <w:r>
        <w:rPr>
          <w:lang w:val="en-US"/>
        </w:rPr>
        <w:t>C</w:t>
      </w:r>
      <w:r w:rsidRPr="006A495D">
        <w:t xml:space="preserve">, </w:t>
      </w:r>
      <w:r>
        <w:t xml:space="preserve">ВИЧ, </w:t>
      </w:r>
      <w:r>
        <w:rPr>
          <w:lang w:val="en-US"/>
        </w:rPr>
        <w:t>RW</w:t>
      </w:r>
      <w:r>
        <w:t>, ЦМВ, ЭБВ, при возможности токсоплазмы.</w:t>
      </w:r>
    </w:p>
    <w:p w14:paraId="7799B347" w14:textId="77777777" w:rsidR="00C44D05" w:rsidRPr="006A495D" w:rsidRDefault="00C44D05" w:rsidP="008F161A">
      <w:pPr>
        <w:pStyle w:val="Numlist"/>
        <w:numPr>
          <w:ilvl w:val="0"/>
          <w:numId w:val="122"/>
        </w:numPr>
        <w:tabs>
          <w:tab w:val="left" w:pos="284"/>
        </w:tabs>
        <w:spacing w:line="360" w:lineRule="auto"/>
        <w:ind w:left="0" w:firstLine="0"/>
        <w:jc w:val="both"/>
      </w:pPr>
      <w:r>
        <w:t>Электрокардиограмма.</w:t>
      </w:r>
    </w:p>
    <w:p w14:paraId="5E7FA2C0" w14:textId="77777777" w:rsidR="00C44D05" w:rsidRDefault="00C44D05" w:rsidP="008F161A">
      <w:pPr>
        <w:pStyle w:val="Numlist"/>
        <w:numPr>
          <w:ilvl w:val="0"/>
          <w:numId w:val="122"/>
        </w:numPr>
        <w:tabs>
          <w:tab w:val="left" w:pos="284"/>
        </w:tabs>
        <w:spacing w:line="360" w:lineRule="auto"/>
        <w:ind w:left="0" w:firstLine="0"/>
        <w:jc w:val="both"/>
      </w:pPr>
      <w:r w:rsidRPr="005A330B">
        <w:t>Эхокардиография</w:t>
      </w:r>
      <w:r>
        <w:t>.</w:t>
      </w:r>
    </w:p>
    <w:p w14:paraId="6193989C" w14:textId="77777777" w:rsidR="00C44D05" w:rsidRDefault="00C44D05" w:rsidP="008F161A">
      <w:pPr>
        <w:pStyle w:val="Numlist"/>
        <w:numPr>
          <w:ilvl w:val="0"/>
          <w:numId w:val="122"/>
        </w:numPr>
        <w:tabs>
          <w:tab w:val="left" w:pos="284"/>
        </w:tabs>
        <w:spacing w:line="360" w:lineRule="auto"/>
        <w:ind w:left="0" w:firstLine="0"/>
        <w:jc w:val="both"/>
      </w:pPr>
      <w:r>
        <w:t>Функция внешнего дыхания.</w:t>
      </w:r>
    </w:p>
    <w:p w14:paraId="765271FC" w14:textId="77777777" w:rsidR="00C44D05" w:rsidRDefault="00C44D05" w:rsidP="008F161A">
      <w:pPr>
        <w:pStyle w:val="Numlist"/>
        <w:numPr>
          <w:ilvl w:val="0"/>
          <w:numId w:val="122"/>
        </w:numPr>
        <w:tabs>
          <w:tab w:val="left" w:pos="284"/>
        </w:tabs>
        <w:spacing w:line="360" w:lineRule="auto"/>
        <w:ind w:left="0" w:firstLine="0"/>
        <w:jc w:val="both"/>
      </w:pPr>
      <w:r>
        <w:t>Холтеровское мониторирование сердечного ритма – при выявлении нарушений ритма и проводимости на ЭКГ.</w:t>
      </w:r>
    </w:p>
    <w:p w14:paraId="53EBBE2B" w14:textId="77777777" w:rsidR="00C44D05" w:rsidRDefault="00C44D05" w:rsidP="008F161A">
      <w:pPr>
        <w:pStyle w:val="Numlist"/>
        <w:numPr>
          <w:ilvl w:val="0"/>
          <w:numId w:val="122"/>
        </w:numPr>
        <w:tabs>
          <w:tab w:val="left" w:pos="284"/>
        </w:tabs>
        <w:spacing w:line="360" w:lineRule="auto"/>
        <w:ind w:left="0" w:firstLine="0"/>
        <w:jc w:val="both"/>
      </w:pPr>
      <w:r>
        <w:t>УЗИ брюшной полости (комплексное).</w:t>
      </w:r>
    </w:p>
    <w:p w14:paraId="15EB4793" w14:textId="77777777" w:rsidR="00C44D05" w:rsidRDefault="00C44D05" w:rsidP="008F161A">
      <w:pPr>
        <w:pStyle w:val="Numlist"/>
        <w:numPr>
          <w:ilvl w:val="0"/>
          <w:numId w:val="122"/>
        </w:numPr>
        <w:tabs>
          <w:tab w:val="left" w:pos="284"/>
        </w:tabs>
        <w:spacing w:line="360" w:lineRule="auto"/>
        <w:ind w:left="0" w:firstLine="0"/>
        <w:jc w:val="both"/>
      </w:pPr>
      <w:r w:rsidRPr="005A330B">
        <w:t>Ультразвуковая допплерография сосудов (артерий и вен) нижних конечностей</w:t>
      </w:r>
      <w:r w:rsidRPr="006A495D">
        <w:t xml:space="preserve"> </w:t>
      </w:r>
      <w:r>
        <w:t>- при необходимости.</w:t>
      </w:r>
    </w:p>
    <w:p w14:paraId="7E257E9B" w14:textId="77777777" w:rsidR="00C44D05" w:rsidRPr="006A495D" w:rsidRDefault="00C44D05" w:rsidP="008F161A">
      <w:pPr>
        <w:pStyle w:val="Numlist"/>
        <w:numPr>
          <w:ilvl w:val="0"/>
          <w:numId w:val="122"/>
        </w:numPr>
        <w:tabs>
          <w:tab w:val="left" w:pos="284"/>
        </w:tabs>
        <w:spacing w:line="360" w:lineRule="auto"/>
        <w:ind w:left="0" w:firstLine="0"/>
        <w:jc w:val="both"/>
      </w:pPr>
      <w:r w:rsidRPr="00433BA2">
        <w:t>Эзофагогастродуоденоскопия</w:t>
      </w:r>
      <w:r>
        <w:t xml:space="preserve"> с биопсией – при наличии диспепсических расстройств или язвенной болезни желудка/ двенадцатиперстной кишки в анамнезе.</w:t>
      </w:r>
    </w:p>
    <w:p w14:paraId="7F7706F4" w14:textId="77777777" w:rsidR="00C44D05" w:rsidRDefault="00C44D05" w:rsidP="008F161A">
      <w:pPr>
        <w:pStyle w:val="Numlist"/>
        <w:numPr>
          <w:ilvl w:val="0"/>
          <w:numId w:val="122"/>
        </w:numPr>
        <w:tabs>
          <w:tab w:val="left" w:pos="284"/>
        </w:tabs>
        <w:spacing w:line="360" w:lineRule="auto"/>
        <w:ind w:left="0" w:firstLine="0"/>
        <w:jc w:val="both"/>
      </w:pPr>
      <w:r>
        <w:t>МРТ головного мозга, придаточных пазух носа с целью выявления скрытых очагов инфекций.</w:t>
      </w:r>
    </w:p>
    <w:p w14:paraId="1452A838" w14:textId="77777777" w:rsidR="00C44D05" w:rsidRDefault="00C44D05" w:rsidP="008F161A">
      <w:pPr>
        <w:pStyle w:val="Numlist"/>
        <w:numPr>
          <w:ilvl w:val="0"/>
          <w:numId w:val="122"/>
        </w:numPr>
        <w:tabs>
          <w:tab w:val="left" w:pos="284"/>
        </w:tabs>
        <w:spacing w:line="360" w:lineRule="auto"/>
        <w:ind w:left="0" w:firstLine="0"/>
        <w:jc w:val="both"/>
      </w:pPr>
      <w:r>
        <w:t>КТ органов грудной полости.</w:t>
      </w:r>
    </w:p>
    <w:p w14:paraId="420C1D46" w14:textId="5AB7F3AF" w:rsidR="00C44D05" w:rsidRDefault="00C44D05" w:rsidP="008F161A">
      <w:pPr>
        <w:pStyle w:val="Numlist"/>
        <w:numPr>
          <w:ilvl w:val="0"/>
          <w:numId w:val="122"/>
        </w:numPr>
        <w:tabs>
          <w:tab w:val="left" w:pos="284"/>
        </w:tabs>
        <w:spacing w:line="360" w:lineRule="auto"/>
        <w:ind w:left="0" w:firstLine="0"/>
        <w:jc w:val="both"/>
      </w:pPr>
      <w:r>
        <w:t>Люмбальная пункция с последующим цитологическим, комплексным иммунохимическим и иммунофенотипическим исследованием ликвора</w:t>
      </w:r>
      <w:r w:rsidR="00686A22">
        <w:t xml:space="preserve"> </w:t>
      </w:r>
      <w:r w:rsidR="00686A22" w:rsidRPr="00C9448D">
        <w:t xml:space="preserve">(цитологическое </w:t>
      </w:r>
      <w:r w:rsidR="00686A22" w:rsidRPr="00C9448D">
        <w:lastRenderedPageBreak/>
        <w:t>исследование клеток спинномозговой жидкости, исследование физических свойств спинномозговой жидкости, микроскопическое исследование спинномозговой жидкости, подсчет клеток в счетной камере (определение цитоза), общий (клинический) анализ спинномозговой жидкости)</w:t>
      </w:r>
      <w:r>
        <w:t xml:space="preserve"> при подозрении на вовлечение в патологический процесс центральной нервной системы.</w:t>
      </w:r>
    </w:p>
    <w:p w14:paraId="65CBD15B" w14:textId="77777777" w:rsidR="00C44D05" w:rsidRDefault="00C44D05" w:rsidP="008F161A">
      <w:pPr>
        <w:pStyle w:val="Numlist"/>
        <w:numPr>
          <w:ilvl w:val="0"/>
          <w:numId w:val="122"/>
        </w:numPr>
        <w:tabs>
          <w:tab w:val="left" w:pos="284"/>
        </w:tabs>
        <w:spacing w:line="360" w:lineRule="auto"/>
        <w:ind w:left="0" w:firstLine="0"/>
        <w:jc w:val="both"/>
      </w:pPr>
      <w:r>
        <w:t>Осмотр стоматолога.</w:t>
      </w:r>
    </w:p>
    <w:p w14:paraId="572B8279" w14:textId="77777777" w:rsidR="00C44D05" w:rsidRPr="0031585B" w:rsidRDefault="00C44D05" w:rsidP="008F161A">
      <w:pPr>
        <w:pStyle w:val="Numlist"/>
        <w:numPr>
          <w:ilvl w:val="0"/>
          <w:numId w:val="122"/>
        </w:numPr>
        <w:tabs>
          <w:tab w:val="left" w:pos="284"/>
        </w:tabs>
        <w:spacing w:line="360" w:lineRule="auto"/>
        <w:ind w:left="0" w:firstLine="0"/>
        <w:jc w:val="both"/>
      </w:pPr>
      <w:r>
        <w:t>Осмотр гинеколога и УЗИ органов малого таза - для женщин.</w:t>
      </w:r>
    </w:p>
    <w:p w14:paraId="3C36BBF7" w14:textId="77777777" w:rsidR="00C44D05" w:rsidRPr="00092917" w:rsidRDefault="00C44D05" w:rsidP="008F161A">
      <w:pPr>
        <w:pStyle w:val="a6"/>
        <w:numPr>
          <w:ilvl w:val="0"/>
          <w:numId w:val="126"/>
        </w:numPr>
        <w:spacing w:before="0"/>
        <w:rPr>
          <w:b/>
        </w:rPr>
      </w:pPr>
      <w:bookmarkStart w:id="88" w:name="_Toc44926627"/>
      <w:r w:rsidRPr="00092917">
        <w:rPr>
          <w:b/>
        </w:rPr>
        <w:t>Режимы предтрансплантационной подготовки при ауто-ТГСК</w:t>
      </w:r>
      <w:bookmarkEnd w:id="88"/>
      <w:r w:rsidRPr="00092917">
        <w:rPr>
          <w:b/>
        </w:rPr>
        <w:t xml:space="preserve"> </w:t>
      </w:r>
    </w:p>
    <w:p w14:paraId="73F2A5DF" w14:textId="77777777" w:rsidR="004A7ED2" w:rsidRDefault="00C44D05" w:rsidP="004A7ED2">
      <w:pPr>
        <w:pStyle w:val="a6"/>
        <w:spacing w:after="0"/>
        <w:ind w:left="0" w:firstLine="709"/>
        <w:rPr>
          <w:szCs w:val="24"/>
        </w:rPr>
      </w:pPr>
      <w:r>
        <w:rPr>
          <w:szCs w:val="24"/>
        </w:rPr>
        <w:t>Трансплантация аутологичных гемопоэтических стволовых клеток крови включает в себя несколько этапов, среди которых различают мобилизацию и сбор ГСК, предтрансплантационную подготовку («кондиционирование» / введение химиопрепаратов в высоких дозах), инфузию ГСК в центральный венозный катетер, ранний посттрансплантационный период, характеризующийся высокой частотой развития инфекционных осложнений на фоне МТА.</w:t>
      </w:r>
      <w:r w:rsidR="004A7ED2">
        <w:rPr>
          <w:szCs w:val="24"/>
        </w:rPr>
        <w:t xml:space="preserve"> </w:t>
      </w:r>
    </w:p>
    <w:p w14:paraId="3CB4205A" w14:textId="34F324D0" w:rsidR="00C44D05" w:rsidRDefault="00C44D05" w:rsidP="004A7ED2">
      <w:pPr>
        <w:pStyle w:val="a6"/>
        <w:spacing w:after="0"/>
        <w:ind w:left="0" w:firstLine="709"/>
        <w:rPr>
          <w:szCs w:val="24"/>
        </w:rPr>
      </w:pPr>
      <w:r>
        <w:rPr>
          <w:szCs w:val="24"/>
        </w:rPr>
        <w:t xml:space="preserve">Наиболее предпочтительный режим кондиционирования при </w:t>
      </w:r>
      <w:r w:rsidR="004A7ED2">
        <w:rPr>
          <w:szCs w:val="24"/>
        </w:rPr>
        <w:t>множественной миеломе</w:t>
      </w:r>
      <w:r>
        <w:rPr>
          <w:szCs w:val="24"/>
        </w:rPr>
        <w:t xml:space="preserve"> включает в себя высокие дозы мелфалана</w:t>
      </w:r>
      <w:r w:rsidR="00BD59A8" w:rsidRPr="00BD59A8">
        <w:rPr>
          <w:szCs w:val="24"/>
        </w:rPr>
        <w:t>**</w:t>
      </w:r>
      <w:r>
        <w:rPr>
          <w:szCs w:val="24"/>
        </w:rPr>
        <w:t xml:space="preserve"> (140-200 мг/</w:t>
      </w:r>
      <w:r w:rsidRPr="00BB6B7A">
        <w:rPr>
          <w:szCs w:val="24"/>
        </w:rPr>
        <w:t>м</w:t>
      </w:r>
      <w:r w:rsidRPr="00BB6B7A">
        <w:rPr>
          <w:szCs w:val="24"/>
          <w:vertAlign w:val="superscript"/>
        </w:rPr>
        <w:t>2</w:t>
      </w:r>
      <w:r>
        <w:rPr>
          <w:szCs w:val="24"/>
        </w:rPr>
        <w:t xml:space="preserve">). Схема введения и дозы представлены в таблице </w:t>
      </w:r>
      <w:r w:rsidR="006A10AB">
        <w:rPr>
          <w:szCs w:val="24"/>
        </w:rPr>
        <w:t>А3.</w:t>
      </w:r>
      <w:r w:rsidR="00F32920">
        <w:rPr>
          <w:szCs w:val="24"/>
        </w:rPr>
        <w:t>4</w:t>
      </w:r>
      <w:r>
        <w:rPr>
          <w:szCs w:val="24"/>
        </w:rPr>
        <w:t xml:space="preserve"> и </w:t>
      </w:r>
      <w:r w:rsidR="006A10AB">
        <w:rPr>
          <w:szCs w:val="24"/>
        </w:rPr>
        <w:t>А3.</w:t>
      </w:r>
      <w:r w:rsidR="00F32920">
        <w:rPr>
          <w:szCs w:val="24"/>
        </w:rPr>
        <w:t>4</w:t>
      </w:r>
    </w:p>
    <w:p w14:paraId="6549EBBE" w14:textId="6002D54E" w:rsidR="00C44D05" w:rsidRPr="00BB6B7A" w:rsidRDefault="00C44D05" w:rsidP="004A7ED2">
      <w:pPr>
        <w:spacing w:after="0"/>
        <w:jc w:val="center"/>
        <w:rPr>
          <w:szCs w:val="24"/>
        </w:rPr>
      </w:pPr>
      <w:r w:rsidRPr="00292402">
        <w:rPr>
          <w:b/>
          <w:szCs w:val="24"/>
        </w:rPr>
        <w:t xml:space="preserve">Таблица </w:t>
      </w:r>
      <w:r w:rsidR="006A10AB" w:rsidRPr="00292402">
        <w:rPr>
          <w:b/>
          <w:szCs w:val="24"/>
        </w:rPr>
        <w:t>А3.</w:t>
      </w:r>
      <w:r w:rsidR="00F32920" w:rsidRPr="00292402">
        <w:rPr>
          <w:b/>
          <w:szCs w:val="24"/>
        </w:rPr>
        <w:t>4</w:t>
      </w:r>
      <w:r w:rsidRPr="00292402">
        <w:rPr>
          <w:b/>
          <w:szCs w:val="24"/>
        </w:rPr>
        <w:t>.</w:t>
      </w:r>
      <w:r>
        <w:rPr>
          <w:szCs w:val="24"/>
        </w:rPr>
        <w:t xml:space="preserve"> Схема предтрансплантационного кондиционирования мелфалан</w:t>
      </w:r>
      <w:r w:rsidR="00BD59A8" w:rsidRPr="00BD59A8">
        <w:rPr>
          <w:szCs w:val="24"/>
        </w:rPr>
        <w:t>**</w:t>
      </w:r>
      <w:r>
        <w:rPr>
          <w:szCs w:val="24"/>
        </w:rPr>
        <w:t xml:space="preserve"> 200 мг/</w:t>
      </w:r>
      <w:r w:rsidRPr="00BB6B7A">
        <w:rPr>
          <w:szCs w:val="24"/>
        </w:rPr>
        <w:t>м</w:t>
      </w:r>
      <w:r w:rsidRPr="00BB6B7A">
        <w:rPr>
          <w:szCs w:val="24"/>
          <w:vertAlign w:val="superscript"/>
        </w:rPr>
        <w:t>2</w:t>
      </w:r>
    </w:p>
    <w:tbl>
      <w:tblPr>
        <w:tblStyle w:val="ae"/>
        <w:tblW w:w="0" w:type="auto"/>
        <w:tblInd w:w="108" w:type="dxa"/>
        <w:tblLayout w:type="fixed"/>
        <w:tblLook w:val="04A0" w:firstRow="1" w:lastRow="0" w:firstColumn="1" w:lastColumn="0" w:noHBand="0" w:noVBand="1"/>
      </w:tblPr>
      <w:tblGrid>
        <w:gridCol w:w="1276"/>
        <w:gridCol w:w="1701"/>
        <w:gridCol w:w="1276"/>
        <w:gridCol w:w="1276"/>
        <w:gridCol w:w="1275"/>
        <w:gridCol w:w="2659"/>
      </w:tblGrid>
      <w:tr w:rsidR="00C44D05" w14:paraId="78C468B7" w14:textId="77777777" w:rsidTr="00BD59A8">
        <w:trPr>
          <w:tblHeader/>
        </w:trPr>
        <w:tc>
          <w:tcPr>
            <w:tcW w:w="1276" w:type="dxa"/>
          </w:tcPr>
          <w:p w14:paraId="5FE5CA10" w14:textId="77777777" w:rsidR="00C44D05" w:rsidRPr="00BB6B7A" w:rsidRDefault="00C44D05" w:rsidP="002431B5">
            <w:pPr>
              <w:pStyle w:val="a6"/>
              <w:ind w:left="0"/>
              <w:rPr>
                <w:szCs w:val="24"/>
              </w:rPr>
            </w:pPr>
            <w:r w:rsidRPr="00BB6B7A">
              <w:rPr>
                <w:szCs w:val="24"/>
              </w:rPr>
              <w:t>Препарат</w:t>
            </w:r>
          </w:p>
        </w:tc>
        <w:tc>
          <w:tcPr>
            <w:tcW w:w="1701" w:type="dxa"/>
          </w:tcPr>
          <w:p w14:paraId="0D85B330" w14:textId="77777777" w:rsidR="00C44D05" w:rsidRPr="00BB6B7A" w:rsidRDefault="00C44D05" w:rsidP="002431B5">
            <w:pPr>
              <w:pStyle w:val="a6"/>
              <w:ind w:left="0"/>
              <w:rPr>
                <w:szCs w:val="24"/>
              </w:rPr>
            </w:pPr>
            <w:r w:rsidRPr="00BB6B7A">
              <w:rPr>
                <w:szCs w:val="24"/>
              </w:rPr>
              <w:t>Дни введения перед ауто-ТГСК</w:t>
            </w:r>
          </w:p>
        </w:tc>
        <w:tc>
          <w:tcPr>
            <w:tcW w:w="1276" w:type="dxa"/>
          </w:tcPr>
          <w:p w14:paraId="5D37F713" w14:textId="77777777" w:rsidR="00C44D05" w:rsidRPr="00BB6B7A" w:rsidRDefault="00C44D05" w:rsidP="002431B5">
            <w:pPr>
              <w:pStyle w:val="a6"/>
              <w:ind w:left="0"/>
              <w:rPr>
                <w:szCs w:val="24"/>
              </w:rPr>
            </w:pPr>
            <w:r>
              <w:rPr>
                <w:szCs w:val="24"/>
              </w:rPr>
              <w:t>Разовая доза</w:t>
            </w:r>
          </w:p>
        </w:tc>
        <w:tc>
          <w:tcPr>
            <w:tcW w:w="1276" w:type="dxa"/>
          </w:tcPr>
          <w:p w14:paraId="470E8E69" w14:textId="77777777" w:rsidR="00C44D05" w:rsidRPr="00BB6B7A" w:rsidRDefault="00C44D05" w:rsidP="002431B5">
            <w:pPr>
              <w:pStyle w:val="a6"/>
              <w:ind w:left="0"/>
              <w:rPr>
                <w:szCs w:val="24"/>
              </w:rPr>
            </w:pPr>
            <w:r>
              <w:rPr>
                <w:szCs w:val="24"/>
              </w:rPr>
              <w:t>Суточная доза</w:t>
            </w:r>
          </w:p>
        </w:tc>
        <w:tc>
          <w:tcPr>
            <w:tcW w:w="1275" w:type="dxa"/>
          </w:tcPr>
          <w:p w14:paraId="147A2B50" w14:textId="77777777" w:rsidR="00C44D05" w:rsidRPr="00BB6B7A" w:rsidRDefault="00C44D05" w:rsidP="002431B5">
            <w:pPr>
              <w:pStyle w:val="a6"/>
              <w:ind w:left="0"/>
              <w:rPr>
                <w:szCs w:val="24"/>
              </w:rPr>
            </w:pPr>
            <w:r>
              <w:rPr>
                <w:szCs w:val="24"/>
              </w:rPr>
              <w:t>Курсовая доза</w:t>
            </w:r>
          </w:p>
        </w:tc>
        <w:tc>
          <w:tcPr>
            <w:tcW w:w="2659" w:type="dxa"/>
          </w:tcPr>
          <w:p w14:paraId="2DDC5562" w14:textId="77777777" w:rsidR="00C44D05" w:rsidRDefault="00C44D05" w:rsidP="002431B5">
            <w:pPr>
              <w:pStyle w:val="a6"/>
              <w:ind w:left="0"/>
              <w:rPr>
                <w:szCs w:val="24"/>
              </w:rPr>
            </w:pPr>
            <w:r>
              <w:rPr>
                <w:szCs w:val="24"/>
              </w:rPr>
              <w:t>Особенности введения</w:t>
            </w:r>
          </w:p>
        </w:tc>
      </w:tr>
      <w:tr w:rsidR="00C44D05" w14:paraId="3A63816D" w14:textId="77777777" w:rsidTr="00C44D05">
        <w:tc>
          <w:tcPr>
            <w:tcW w:w="1276" w:type="dxa"/>
          </w:tcPr>
          <w:p w14:paraId="21F225B3" w14:textId="3B80DED3" w:rsidR="00C44D05" w:rsidRPr="00BD59A8" w:rsidRDefault="00C44D05" w:rsidP="002431B5">
            <w:pPr>
              <w:pStyle w:val="a6"/>
              <w:ind w:left="0"/>
              <w:jc w:val="center"/>
              <w:rPr>
                <w:szCs w:val="24"/>
                <w:lang w:val="en-US"/>
              </w:rPr>
            </w:pPr>
            <w:r w:rsidRPr="00555E26">
              <w:rPr>
                <w:szCs w:val="24"/>
              </w:rPr>
              <w:t>Мелфалан</w:t>
            </w:r>
            <w:r w:rsidR="00BD59A8">
              <w:rPr>
                <w:szCs w:val="24"/>
                <w:lang w:val="en-US"/>
              </w:rPr>
              <w:t>**</w:t>
            </w:r>
          </w:p>
        </w:tc>
        <w:tc>
          <w:tcPr>
            <w:tcW w:w="1701" w:type="dxa"/>
          </w:tcPr>
          <w:p w14:paraId="619D092F" w14:textId="77777777" w:rsidR="00C44D05" w:rsidRPr="00555E26" w:rsidRDefault="00C44D05" w:rsidP="002431B5">
            <w:pPr>
              <w:pStyle w:val="a6"/>
              <w:ind w:left="0"/>
              <w:jc w:val="center"/>
              <w:rPr>
                <w:szCs w:val="24"/>
              </w:rPr>
            </w:pPr>
            <w:r w:rsidRPr="00555E26">
              <w:rPr>
                <w:szCs w:val="24"/>
              </w:rPr>
              <w:t>-</w:t>
            </w:r>
            <w:proofErr w:type="gramStart"/>
            <w:r w:rsidRPr="00555E26">
              <w:rPr>
                <w:szCs w:val="24"/>
              </w:rPr>
              <w:t>3 ,</w:t>
            </w:r>
            <w:proofErr w:type="gramEnd"/>
            <w:r w:rsidRPr="00555E26">
              <w:rPr>
                <w:szCs w:val="24"/>
              </w:rPr>
              <w:t xml:space="preserve"> - 2 дни</w:t>
            </w:r>
          </w:p>
        </w:tc>
        <w:tc>
          <w:tcPr>
            <w:tcW w:w="1276" w:type="dxa"/>
          </w:tcPr>
          <w:p w14:paraId="60764303" w14:textId="77777777" w:rsidR="00C44D05" w:rsidRPr="00555E26" w:rsidRDefault="00C44D05" w:rsidP="002431B5">
            <w:pPr>
              <w:pStyle w:val="a6"/>
              <w:ind w:left="0"/>
              <w:jc w:val="center"/>
              <w:rPr>
                <w:szCs w:val="24"/>
              </w:rPr>
            </w:pPr>
            <w:r>
              <w:rPr>
                <w:szCs w:val="24"/>
              </w:rPr>
              <w:t>100</w:t>
            </w:r>
            <w:r w:rsidRPr="00555E26">
              <w:rPr>
                <w:szCs w:val="24"/>
              </w:rPr>
              <w:t xml:space="preserve"> мг/м</w:t>
            </w:r>
            <w:r w:rsidRPr="00555E26">
              <w:rPr>
                <w:szCs w:val="24"/>
                <w:vertAlign w:val="superscript"/>
              </w:rPr>
              <w:t>2</w:t>
            </w:r>
          </w:p>
        </w:tc>
        <w:tc>
          <w:tcPr>
            <w:tcW w:w="1276" w:type="dxa"/>
          </w:tcPr>
          <w:p w14:paraId="33F5BC5B" w14:textId="77777777" w:rsidR="00C44D05" w:rsidRPr="00555E26" w:rsidRDefault="00C44D05" w:rsidP="002431B5">
            <w:pPr>
              <w:pStyle w:val="a6"/>
              <w:ind w:left="0"/>
              <w:jc w:val="center"/>
              <w:rPr>
                <w:szCs w:val="24"/>
              </w:rPr>
            </w:pPr>
            <w:r>
              <w:rPr>
                <w:szCs w:val="24"/>
              </w:rPr>
              <w:t>100</w:t>
            </w:r>
            <w:r w:rsidRPr="00555E26">
              <w:rPr>
                <w:szCs w:val="24"/>
              </w:rPr>
              <w:t xml:space="preserve"> мг/м</w:t>
            </w:r>
            <w:r w:rsidRPr="00555E26">
              <w:rPr>
                <w:szCs w:val="24"/>
                <w:vertAlign w:val="superscript"/>
              </w:rPr>
              <w:t>2</w:t>
            </w:r>
          </w:p>
        </w:tc>
        <w:tc>
          <w:tcPr>
            <w:tcW w:w="1275" w:type="dxa"/>
          </w:tcPr>
          <w:p w14:paraId="7547C8F8" w14:textId="77777777" w:rsidR="00C44D05" w:rsidRPr="00555E26" w:rsidRDefault="00C44D05" w:rsidP="002431B5">
            <w:pPr>
              <w:pStyle w:val="a6"/>
              <w:ind w:left="0"/>
              <w:jc w:val="center"/>
              <w:rPr>
                <w:szCs w:val="24"/>
              </w:rPr>
            </w:pPr>
            <w:r>
              <w:rPr>
                <w:szCs w:val="24"/>
              </w:rPr>
              <w:t xml:space="preserve">200 </w:t>
            </w:r>
            <w:r w:rsidRPr="00555E26">
              <w:rPr>
                <w:szCs w:val="24"/>
              </w:rPr>
              <w:t>мг/м</w:t>
            </w:r>
            <w:r w:rsidRPr="00555E26">
              <w:rPr>
                <w:szCs w:val="24"/>
                <w:vertAlign w:val="superscript"/>
              </w:rPr>
              <w:t>2</w:t>
            </w:r>
          </w:p>
        </w:tc>
        <w:tc>
          <w:tcPr>
            <w:tcW w:w="2659" w:type="dxa"/>
          </w:tcPr>
          <w:p w14:paraId="5DF5D119" w14:textId="77777777" w:rsidR="00C44D05" w:rsidRPr="00555E26" w:rsidRDefault="00C44D05" w:rsidP="002431B5">
            <w:pPr>
              <w:pStyle w:val="a6"/>
              <w:ind w:left="0"/>
              <w:rPr>
                <w:szCs w:val="24"/>
              </w:rPr>
            </w:pPr>
            <w:r>
              <w:rPr>
                <w:szCs w:val="24"/>
              </w:rPr>
              <w:t>Вводится внутривенно в виде инфузии в течение 1ч</w:t>
            </w:r>
          </w:p>
        </w:tc>
      </w:tr>
    </w:tbl>
    <w:p w14:paraId="1669082B" w14:textId="1E352915" w:rsidR="00C44D05" w:rsidRDefault="00C44D05" w:rsidP="004A7ED2">
      <w:pPr>
        <w:spacing w:before="240"/>
        <w:ind w:firstLine="709"/>
        <w:rPr>
          <w:szCs w:val="24"/>
        </w:rPr>
      </w:pPr>
      <w:r>
        <w:rPr>
          <w:szCs w:val="24"/>
        </w:rPr>
        <w:t>Больным с выраженным нарушением функции почек (клиренс креатинина менее 30 мл/минуту), а также больным на программном гемодиализе и больным старшего возраста (65-70 лет) целесообразно снижать дозу мелфалана</w:t>
      </w:r>
      <w:r w:rsidR="00BD59A8" w:rsidRPr="00BD59A8">
        <w:rPr>
          <w:szCs w:val="24"/>
        </w:rPr>
        <w:t>**</w:t>
      </w:r>
      <w:r>
        <w:rPr>
          <w:szCs w:val="24"/>
        </w:rPr>
        <w:t xml:space="preserve"> при предтрансплантационном кондиционировании до 140 мг/</w:t>
      </w:r>
      <w:r w:rsidRPr="00BB6B7A">
        <w:rPr>
          <w:szCs w:val="24"/>
        </w:rPr>
        <w:t>м</w:t>
      </w:r>
      <w:r w:rsidRPr="00BB6B7A">
        <w:rPr>
          <w:szCs w:val="24"/>
          <w:vertAlign w:val="superscript"/>
        </w:rPr>
        <w:t>2</w:t>
      </w:r>
      <w:r>
        <w:rPr>
          <w:szCs w:val="24"/>
        </w:rPr>
        <w:t>.</w:t>
      </w:r>
    </w:p>
    <w:p w14:paraId="5DCD5319" w14:textId="77777777" w:rsidR="00292402" w:rsidRDefault="00292402" w:rsidP="004A7ED2">
      <w:pPr>
        <w:spacing w:before="240"/>
        <w:ind w:firstLine="709"/>
        <w:rPr>
          <w:szCs w:val="24"/>
        </w:rPr>
      </w:pPr>
    </w:p>
    <w:p w14:paraId="28F9DB1F" w14:textId="77777777" w:rsidR="00292402" w:rsidRPr="00555E26" w:rsidRDefault="00292402" w:rsidP="004A7ED2">
      <w:pPr>
        <w:spacing w:before="240"/>
        <w:ind w:firstLine="709"/>
        <w:rPr>
          <w:szCs w:val="24"/>
        </w:rPr>
      </w:pPr>
    </w:p>
    <w:p w14:paraId="566B1DBB" w14:textId="3D00503D" w:rsidR="00C44D05" w:rsidRPr="00BB6B7A" w:rsidRDefault="00C44D05" w:rsidP="002431B5">
      <w:pPr>
        <w:spacing w:after="0"/>
        <w:rPr>
          <w:szCs w:val="24"/>
        </w:rPr>
      </w:pPr>
      <w:r w:rsidRPr="00292402">
        <w:rPr>
          <w:b/>
          <w:szCs w:val="24"/>
        </w:rPr>
        <w:lastRenderedPageBreak/>
        <w:t xml:space="preserve">Таблица </w:t>
      </w:r>
      <w:r w:rsidR="006A10AB" w:rsidRPr="00292402">
        <w:rPr>
          <w:b/>
          <w:szCs w:val="24"/>
        </w:rPr>
        <w:t>А3.</w:t>
      </w:r>
      <w:r w:rsidR="00F32920" w:rsidRPr="00292402">
        <w:rPr>
          <w:b/>
          <w:szCs w:val="24"/>
        </w:rPr>
        <w:t>5</w:t>
      </w:r>
      <w:r>
        <w:rPr>
          <w:szCs w:val="24"/>
        </w:rPr>
        <w:t xml:space="preserve"> Схема предтрансплантационного кондиционирования мелфалан</w:t>
      </w:r>
      <w:r w:rsidR="00BD59A8" w:rsidRPr="00BD59A8">
        <w:rPr>
          <w:szCs w:val="24"/>
        </w:rPr>
        <w:t>**</w:t>
      </w:r>
      <w:r>
        <w:rPr>
          <w:szCs w:val="24"/>
        </w:rPr>
        <w:t xml:space="preserve"> 140 мг/</w:t>
      </w:r>
      <w:r w:rsidRPr="00BB6B7A">
        <w:rPr>
          <w:szCs w:val="24"/>
        </w:rPr>
        <w:t>м</w:t>
      </w:r>
      <w:r w:rsidRPr="00BB6B7A">
        <w:rPr>
          <w:szCs w:val="24"/>
          <w:vertAlign w:val="superscript"/>
        </w:rPr>
        <w:t>2</w:t>
      </w:r>
    </w:p>
    <w:tbl>
      <w:tblPr>
        <w:tblStyle w:val="ae"/>
        <w:tblW w:w="0" w:type="auto"/>
        <w:tblInd w:w="108" w:type="dxa"/>
        <w:tblLayout w:type="fixed"/>
        <w:tblLook w:val="04A0" w:firstRow="1" w:lastRow="0" w:firstColumn="1" w:lastColumn="0" w:noHBand="0" w:noVBand="1"/>
      </w:tblPr>
      <w:tblGrid>
        <w:gridCol w:w="1276"/>
        <w:gridCol w:w="1843"/>
        <w:gridCol w:w="1134"/>
        <w:gridCol w:w="1276"/>
        <w:gridCol w:w="1275"/>
        <w:gridCol w:w="2659"/>
      </w:tblGrid>
      <w:tr w:rsidR="00C44D05" w14:paraId="0D215648" w14:textId="77777777" w:rsidTr="00BD59A8">
        <w:trPr>
          <w:tblHeader/>
        </w:trPr>
        <w:tc>
          <w:tcPr>
            <w:tcW w:w="1276" w:type="dxa"/>
          </w:tcPr>
          <w:p w14:paraId="66606D0B" w14:textId="77777777" w:rsidR="00C44D05" w:rsidRPr="00BB6B7A" w:rsidRDefault="00C44D05" w:rsidP="002431B5">
            <w:pPr>
              <w:pStyle w:val="a6"/>
              <w:ind w:left="0"/>
              <w:rPr>
                <w:szCs w:val="24"/>
              </w:rPr>
            </w:pPr>
            <w:r w:rsidRPr="00BB6B7A">
              <w:rPr>
                <w:szCs w:val="24"/>
              </w:rPr>
              <w:t>Препарат</w:t>
            </w:r>
          </w:p>
        </w:tc>
        <w:tc>
          <w:tcPr>
            <w:tcW w:w="1843" w:type="dxa"/>
          </w:tcPr>
          <w:p w14:paraId="1C441E3C" w14:textId="77777777" w:rsidR="00C44D05" w:rsidRPr="00BB6B7A" w:rsidRDefault="00C44D05" w:rsidP="002431B5">
            <w:pPr>
              <w:pStyle w:val="a6"/>
              <w:ind w:left="0"/>
              <w:rPr>
                <w:szCs w:val="24"/>
              </w:rPr>
            </w:pPr>
            <w:r w:rsidRPr="00BB6B7A">
              <w:rPr>
                <w:szCs w:val="24"/>
              </w:rPr>
              <w:t>Дни введения перед ауто-ТГСК</w:t>
            </w:r>
          </w:p>
        </w:tc>
        <w:tc>
          <w:tcPr>
            <w:tcW w:w="1134" w:type="dxa"/>
          </w:tcPr>
          <w:p w14:paraId="7C489219" w14:textId="77777777" w:rsidR="00C44D05" w:rsidRPr="00BB6B7A" w:rsidRDefault="00C44D05" w:rsidP="002431B5">
            <w:pPr>
              <w:pStyle w:val="a6"/>
              <w:ind w:left="0"/>
              <w:rPr>
                <w:szCs w:val="24"/>
              </w:rPr>
            </w:pPr>
            <w:r>
              <w:rPr>
                <w:szCs w:val="24"/>
              </w:rPr>
              <w:t>Разовая доза</w:t>
            </w:r>
          </w:p>
        </w:tc>
        <w:tc>
          <w:tcPr>
            <w:tcW w:w="1276" w:type="dxa"/>
          </w:tcPr>
          <w:p w14:paraId="0719D307" w14:textId="77777777" w:rsidR="00C44D05" w:rsidRPr="00BB6B7A" w:rsidRDefault="00C44D05" w:rsidP="002431B5">
            <w:pPr>
              <w:pStyle w:val="a6"/>
              <w:ind w:left="0"/>
              <w:rPr>
                <w:szCs w:val="24"/>
              </w:rPr>
            </w:pPr>
            <w:r>
              <w:rPr>
                <w:szCs w:val="24"/>
              </w:rPr>
              <w:t>Суточная доза</w:t>
            </w:r>
          </w:p>
        </w:tc>
        <w:tc>
          <w:tcPr>
            <w:tcW w:w="1275" w:type="dxa"/>
          </w:tcPr>
          <w:p w14:paraId="04C17675" w14:textId="77777777" w:rsidR="00C44D05" w:rsidRPr="00BB6B7A" w:rsidRDefault="00C44D05" w:rsidP="002431B5">
            <w:pPr>
              <w:pStyle w:val="a6"/>
              <w:ind w:left="0"/>
              <w:rPr>
                <w:szCs w:val="24"/>
              </w:rPr>
            </w:pPr>
            <w:r>
              <w:rPr>
                <w:szCs w:val="24"/>
              </w:rPr>
              <w:t>Курсовая доза</w:t>
            </w:r>
          </w:p>
        </w:tc>
        <w:tc>
          <w:tcPr>
            <w:tcW w:w="2659" w:type="dxa"/>
          </w:tcPr>
          <w:p w14:paraId="0CEA21DA" w14:textId="77777777" w:rsidR="00C44D05" w:rsidRDefault="00C44D05" w:rsidP="002431B5">
            <w:pPr>
              <w:pStyle w:val="a6"/>
              <w:ind w:left="0"/>
              <w:rPr>
                <w:szCs w:val="24"/>
              </w:rPr>
            </w:pPr>
            <w:r>
              <w:rPr>
                <w:szCs w:val="24"/>
              </w:rPr>
              <w:t>Особенности введения</w:t>
            </w:r>
          </w:p>
        </w:tc>
      </w:tr>
      <w:tr w:rsidR="00C44D05" w14:paraId="3CFF207C" w14:textId="77777777" w:rsidTr="00C44D05">
        <w:tc>
          <w:tcPr>
            <w:tcW w:w="1276" w:type="dxa"/>
          </w:tcPr>
          <w:p w14:paraId="52F7B078" w14:textId="25CFAA05" w:rsidR="00C44D05" w:rsidRPr="00BD59A8" w:rsidRDefault="00C44D05" w:rsidP="002431B5">
            <w:pPr>
              <w:pStyle w:val="a6"/>
              <w:ind w:left="0"/>
              <w:jc w:val="center"/>
              <w:rPr>
                <w:szCs w:val="24"/>
                <w:lang w:val="en-US"/>
              </w:rPr>
            </w:pPr>
            <w:r w:rsidRPr="00555E26">
              <w:rPr>
                <w:szCs w:val="24"/>
              </w:rPr>
              <w:t>Мелфалан</w:t>
            </w:r>
            <w:r w:rsidR="00BD59A8">
              <w:rPr>
                <w:szCs w:val="24"/>
                <w:lang w:val="en-US"/>
              </w:rPr>
              <w:t>**</w:t>
            </w:r>
          </w:p>
        </w:tc>
        <w:tc>
          <w:tcPr>
            <w:tcW w:w="1843" w:type="dxa"/>
          </w:tcPr>
          <w:p w14:paraId="0339BACC" w14:textId="30BD8644" w:rsidR="00C44D05" w:rsidRPr="00555E26" w:rsidRDefault="00C44D05" w:rsidP="002431B5">
            <w:pPr>
              <w:pStyle w:val="a6"/>
              <w:ind w:left="0"/>
              <w:jc w:val="center"/>
              <w:rPr>
                <w:szCs w:val="24"/>
              </w:rPr>
            </w:pPr>
            <w:r w:rsidRPr="00555E26">
              <w:rPr>
                <w:szCs w:val="24"/>
              </w:rPr>
              <w:t>-3, - 2 дни</w:t>
            </w:r>
          </w:p>
        </w:tc>
        <w:tc>
          <w:tcPr>
            <w:tcW w:w="1134" w:type="dxa"/>
          </w:tcPr>
          <w:p w14:paraId="58BFD75C" w14:textId="77777777" w:rsidR="00C44D05" w:rsidRPr="00555E26" w:rsidRDefault="00C44D05" w:rsidP="002431B5">
            <w:pPr>
              <w:pStyle w:val="a6"/>
              <w:ind w:left="0"/>
              <w:jc w:val="center"/>
              <w:rPr>
                <w:szCs w:val="24"/>
              </w:rPr>
            </w:pPr>
            <w:r w:rsidRPr="00555E26">
              <w:rPr>
                <w:szCs w:val="24"/>
              </w:rPr>
              <w:t>70 мг/м</w:t>
            </w:r>
            <w:r w:rsidRPr="00555E26">
              <w:rPr>
                <w:szCs w:val="24"/>
                <w:vertAlign w:val="superscript"/>
              </w:rPr>
              <w:t>2</w:t>
            </w:r>
          </w:p>
        </w:tc>
        <w:tc>
          <w:tcPr>
            <w:tcW w:w="1276" w:type="dxa"/>
          </w:tcPr>
          <w:p w14:paraId="52B5C78E" w14:textId="77777777" w:rsidR="00C44D05" w:rsidRPr="00555E26" w:rsidRDefault="00C44D05" w:rsidP="002431B5">
            <w:pPr>
              <w:pStyle w:val="a6"/>
              <w:ind w:left="0"/>
              <w:jc w:val="center"/>
              <w:rPr>
                <w:szCs w:val="24"/>
              </w:rPr>
            </w:pPr>
            <w:r w:rsidRPr="00555E26">
              <w:rPr>
                <w:szCs w:val="24"/>
              </w:rPr>
              <w:t>70 мг/м</w:t>
            </w:r>
            <w:r w:rsidRPr="00555E26">
              <w:rPr>
                <w:szCs w:val="24"/>
                <w:vertAlign w:val="superscript"/>
              </w:rPr>
              <w:t>2</w:t>
            </w:r>
          </w:p>
        </w:tc>
        <w:tc>
          <w:tcPr>
            <w:tcW w:w="1275" w:type="dxa"/>
          </w:tcPr>
          <w:p w14:paraId="22B568FB" w14:textId="77777777" w:rsidR="00C44D05" w:rsidRPr="00555E26" w:rsidRDefault="00C44D05" w:rsidP="002431B5">
            <w:pPr>
              <w:pStyle w:val="a6"/>
              <w:ind w:left="0"/>
              <w:jc w:val="center"/>
              <w:rPr>
                <w:szCs w:val="24"/>
              </w:rPr>
            </w:pPr>
            <w:r>
              <w:rPr>
                <w:szCs w:val="24"/>
              </w:rPr>
              <w:t xml:space="preserve">140 </w:t>
            </w:r>
            <w:r w:rsidRPr="00555E26">
              <w:rPr>
                <w:szCs w:val="24"/>
              </w:rPr>
              <w:t>мг/м</w:t>
            </w:r>
            <w:r w:rsidRPr="00555E26">
              <w:rPr>
                <w:szCs w:val="24"/>
                <w:vertAlign w:val="superscript"/>
              </w:rPr>
              <w:t>2</w:t>
            </w:r>
          </w:p>
        </w:tc>
        <w:tc>
          <w:tcPr>
            <w:tcW w:w="2659" w:type="dxa"/>
          </w:tcPr>
          <w:p w14:paraId="24892938" w14:textId="77777777" w:rsidR="00C44D05" w:rsidRPr="00555E26" w:rsidRDefault="00C44D05" w:rsidP="002431B5">
            <w:pPr>
              <w:pStyle w:val="a6"/>
              <w:ind w:left="0"/>
              <w:rPr>
                <w:szCs w:val="24"/>
              </w:rPr>
            </w:pPr>
            <w:r w:rsidRPr="003751C5">
              <w:rPr>
                <w:szCs w:val="24"/>
              </w:rPr>
              <w:t>Вводится</w:t>
            </w:r>
            <w:r w:rsidRPr="003B2A99">
              <w:rPr>
                <w:szCs w:val="24"/>
              </w:rPr>
              <w:t xml:space="preserve"> </w:t>
            </w:r>
            <w:r>
              <w:rPr>
                <w:szCs w:val="24"/>
              </w:rPr>
              <w:t>в</w:t>
            </w:r>
            <w:r w:rsidRPr="003B2A99">
              <w:rPr>
                <w:szCs w:val="24"/>
              </w:rPr>
              <w:t>/</w:t>
            </w:r>
            <w:r>
              <w:rPr>
                <w:szCs w:val="24"/>
              </w:rPr>
              <w:t>в</w:t>
            </w:r>
            <w:r w:rsidRPr="003B2A99">
              <w:rPr>
                <w:szCs w:val="24"/>
              </w:rPr>
              <w:t xml:space="preserve"> </w:t>
            </w:r>
            <w:r w:rsidRPr="003751C5">
              <w:rPr>
                <w:szCs w:val="24"/>
              </w:rPr>
              <w:t>в</w:t>
            </w:r>
            <w:r w:rsidRPr="003B2A99">
              <w:rPr>
                <w:szCs w:val="24"/>
              </w:rPr>
              <w:t xml:space="preserve"> </w:t>
            </w:r>
            <w:r w:rsidRPr="003751C5">
              <w:rPr>
                <w:szCs w:val="24"/>
              </w:rPr>
              <w:t>виде</w:t>
            </w:r>
            <w:r w:rsidRPr="003B2A99">
              <w:rPr>
                <w:szCs w:val="24"/>
              </w:rPr>
              <w:t xml:space="preserve"> </w:t>
            </w:r>
            <w:r w:rsidRPr="003751C5">
              <w:rPr>
                <w:szCs w:val="24"/>
              </w:rPr>
              <w:t>инфузии</w:t>
            </w:r>
            <w:r w:rsidRPr="003B2A99">
              <w:rPr>
                <w:szCs w:val="24"/>
              </w:rPr>
              <w:t xml:space="preserve"> </w:t>
            </w:r>
            <w:r w:rsidRPr="003751C5">
              <w:rPr>
                <w:szCs w:val="24"/>
              </w:rPr>
              <w:t>в</w:t>
            </w:r>
            <w:r w:rsidRPr="003B2A99">
              <w:rPr>
                <w:szCs w:val="24"/>
              </w:rPr>
              <w:t xml:space="preserve"> </w:t>
            </w:r>
            <w:r w:rsidRPr="003751C5">
              <w:rPr>
                <w:szCs w:val="24"/>
              </w:rPr>
              <w:t>течение</w:t>
            </w:r>
            <w:r w:rsidRPr="003B2A99">
              <w:rPr>
                <w:szCs w:val="24"/>
              </w:rPr>
              <w:t xml:space="preserve"> </w:t>
            </w:r>
            <w:r>
              <w:rPr>
                <w:szCs w:val="24"/>
              </w:rPr>
              <w:t>1</w:t>
            </w:r>
            <w:r w:rsidRPr="003B2A99">
              <w:rPr>
                <w:szCs w:val="24"/>
              </w:rPr>
              <w:t xml:space="preserve"> </w:t>
            </w:r>
            <w:r w:rsidRPr="003751C5">
              <w:rPr>
                <w:szCs w:val="24"/>
              </w:rPr>
              <w:t>ч</w:t>
            </w:r>
            <w:r w:rsidRPr="003B2A99">
              <w:rPr>
                <w:szCs w:val="24"/>
              </w:rPr>
              <w:t xml:space="preserve"> </w:t>
            </w:r>
            <w:r w:rsidRPr="003751C5">
              <w:rPr>
                <w:szCs w:val="24"/>
              </w:rPr>
              <w:t>в</w:t>
            </w:r>
            <w:r w:rsidRPr="003B2A99">
              <w:rPr>
                <w:szCs w:val="24"/>
              </w:rPr>
              <w:t xml:space="preserve"> 500 </w:t>
            </w:r>
            <w:r w:rsidRPr="003751C5">
              <w:rPr>
                <w:szCs w:val="24"/>
              </w:rPr>
              <w:t>мл</w:t>
            </w:r>
            <w:r w:rsidRPr="003B2A99">
              <w:rPr>
                <w:szCs w:val="24"/>
              </w:rPr>
              <w:t xml:space="preserve"> 0,9% </w:t>
            </w:r>
            <w:r w:rsidRPr="003751C5">
              <w:rPr>
                <w:szCs w:val="24"/>
                <w:lang w:val="en-US"/>
              </w:rPr>
              <w:t>NaCl</w:t>
            </w:r>
          </w:p>
        </w:tc>
      </w:tr>
    </w:tbl>
    <w:p w14:paraId="5D0A202A" w14:textId="77777777" w:rsidR="00C44D05" w:rsidRPr="00092917" w:rsidRDefault="00C44D05" w:rsidP="008F161A">
      <w:pPr>
        <w:pStyle w:val="a6"/>
        <w:numPr>
          <w:ilvl w:val="0"/>
          <w:numId w:val="126"/>
        </w:numPr>
        <w:spacing w:after="0"/>
        <w:rPr>
          <w:b/>
        </w:rPr>
      </w:pPr>
      <w:bookmarkStart w:id="89" w:name="_Toc44926632"/>
      <w:r w:rsidRPr="00092917">
        <w:rPr>
          <w:b/>
        </w:rPr>
        <w:t>Инфузия аутологичных гемопоэтических стволовых клеток.</w:t>
      </w:r>
      <w:bookmarkEnd w:id="89"/>
    </w:p>
    <w:p w14:paraId="6880DCEC" w14:textId="77777777" w:rsidR="00C44D05" w:rsidRDefault="00C44D05" w:rsidP="004A7ED2">
      <w:pPr>
        <w:spacing w:before="0" w:after="0"/>
        <w:ind w:firstLine="709"/>
        <w:rPr>
          <w:szCs w:val="24"/>
        </w:rPr>
      </w:pPr>
      <w:r>
        <w:rPr>
          <w:szCs w:val="24"/>
        </w:rPr>
        <w:t>Инфузия гемопоэтических стволовых клеток осуществляется в центральный венозный катетер с соблюдением принципов асептики и антисептики.</w:t>
      </w:r>
    </w:p>
    <w:p w14:paraId="32A838A1" w14:textId="77777777" w:rsidR="00C44D05" w:rsidRDefault="00C44D05" w:rsidP="004A7ED2">
      <w:pPr>
        <w:spacing w:before="0" w:after="0"/>
        <w:ind w:firstLine="709"/>
        <w:rPr>
          <w:szCs w:val="24"/>
        </w:rPr>
      </w:pPr>
      <w:r>
        <w:rPr>
          <w:szCs w:val="24"/>
        </w:rPr>
        <w:t>Временной интервал после оканчание химиотерапии до инфузии ГСК не менее 24ч.</w:t>
      </w:r>
    </w:p>
    <w:p w14:paraId="7A914BBB" w14:textId="77777777" w:rsidR="00C44D05" w:rsidRDefault="00C44D05" w:rsidP="004A7ED2">
      <w:pPr>
        <w:spacing w:before="0" w:after="0"/>
        <w:ind w:firstLine="709"/>
        <w:rPr>
          <w:szCs w:val="24"/>
        </w:rPr>
      </w:pPr>
      <w:r>
        <w:rPr>
          <w:szCs w:val="24"/>
        </w:rPr>
        <w:t>Перед началом процедуры трансплантации врач обязан осмотреть криоконсервированные мешки, содержащие ГСК, убедиться в целостности упаковки и отсутствии повреждений, сравнить идентификационные данные, указанные на упаковке с данными пациента.</w:t>
      </w:r>
    </w:p>
    <w:p w14:paraId="33133D92" w14:textId="77777777" w:rsidR="00C44D05" w:rsidRDefault="00C44D05" w:rsidP="004A7ED2">
      <w:pPr>
        <w:spacing w:before="0" w:after="0"/>
        <w:ind w:firstLine="709"/>
        <w:rPr>
          <w:szCs w:val="24"/>
        </w:rPr>
      </w:pPr>
      <w:r>
        <w:rPr>
          <w:szCs w:val="24"/>
        </w:rPr>
        <w:t>Для первого введения выбирают мешок с максимальной клеточностью. При манипуляциях с мешком запрещается использовать металлические предметы (зажимы, пинцеты и т.д.). При наличии нескольких пакетов криоконсервированных ГСК между инфузиями целесообразно делать перерывы. В ряде случаев допустимо введение ГСК в течение 2 дней (пожилые, ослабленные пациенты).</w:t>
      </w:r>
    </w:p>
    <w:p w14:paraId="042DCE74" w14:textId="77777777" w:rsidR="00C44D05" w:rsidRDefault="00C44D05" w:rsidP="004A7ED2">
      <w:pPr>
        <w:spacing w:before="0" w:after="0"/>
        <w:ind w:firstLine="709"/>
        <w:rPr>
          <w:szCs w:val="24"/>
        </w:rPr>
      </w:pPr>
      <w:r>
        <w:rPr>
          <w:szCs w:val="24"/>
        </w:rPr>
        <w:t>Криоконсервированные ГСК размораживают на водяной бане или программном размораживателе при температуре 37</w:t>
      </w:r>
      <w:r>
        <w:rPr>
          <w:szCs w:val="24"/>
          <w:vertAlign w:val="superscript"/>
        </w:rPr>
        <w:t>о</w:t>
      </w:r>
      <w:r>
        <w:rPr>
          <w:szCs w:val="24"/>
        </w:rPr>
        <w:t>С. После разморозки врач должен убедиться в том, что в мешке отсутствуют фрагменты льда или сгустки. После этого врач присоединяет мешок к системе для инфузии.</w:t>
      </w:r>
    </w:p>
    <w:p w14:paraId="6C55E565" w14:textId="6DC28DF7" w:rsidR="00C44D05" w:rsidRDefault="00C44D05" w:rsidP="004A7ED2">
      <w:pPr>
        <w:spacing w:before="0" w:after="0"/>
        <w:ind w:firstLine="709"/>
        <w:rPr>
          <w:szCs w:val="24"/>
        </w:rPr>
      </w:pPr>
      <w:r>
        <w:rPr>
          <w:szCs w:val="24"/>
        </w:rPr>
        <w:t xml:space="preserve">В ряде случаев перед введением лейкоконцентрата в центральный венозный катетер проводится премедикация, для которой используется </w:t>
      </w:r>
      <w:r w:rsidR="00BD59A8">
        <w:rPr>
          <w:szCs w:val="24"/>
        </w:rPr>
        <w:t>тримеперидин</w:t>
      </w:r>
      <w:r w:rsidR="00BD59A8" w:rsidRPr="00D32276">
        <w:rPr>
          <w:szCs w:val="24"/>
        </w:rPr>
        <w:t>**</w:t>
      </w:r>
      <w:r>
        <w:rPr>
          <w:szCs w:val="24"/>
        </w:rPr>
        <w:t xml:space="preserve"> в стандартной дозировке.</w:t>
      </w:r>
    </w:p>
    <w:p w14:paraId="364E48CE" w14:textId="77777777" w:rsidR="00C44D05" w:rsidRDefault="00C44D05" w:rsidP="004A7ED2">
      <w:pPr>
        <w:spacing w:before="0" w:after="0"/>
        <w:ind w:firstLine="709"/>
        <w:rPr>
          <w:szCs w:val="24"/>
        </w:rPr>
      </w:pPr>
      <w:r>
        <w:rPr>
          <w:szCs w:val="24"/>
        </w:rPr>
        <w:t xml:space="preserve">Начальная скорость введения ГСК составляет 3-5 мл/мин (4-5 минут), после чего скорость можно увеличить до максимально возможной. </w:t>
      </w:r>
      <w:proofErr w:type="gramStart"/>
      <w:r>
        <w:rPr>
          <w:szCs w:val="24"/>
        </w:rPr>
        <w:t>Во время</w:t>
      </w:r>
      <w:proofErr w:type="gramEnd"/>
      <w:r>
        <w:rPr>
          <w:szCs w:val="24"/>
        </w:rPr>
        <w:t xml:space="preserve"> и после инфузий ГСК осуществляется мониторинг жизненно-важных показателей: АД, ЧСС, ЧД. </w:t>
      </w:r>
    </w:p>
    <w:p w14:paraId="744BDD13" w14:textId="77777777" w:rsidR="00C44D05" w:rsidRDefault="00C44D05" w:rsidP="004A7ED2">
      <w:pPr>
        <w:spacing w:before="0" w:after="0"/>
        <w:ind w:firstLine="709"/>
        <w:rPr>
          <w:szCs w:val="24"/>
        </w:rPr>
      </w:pPr>
      <w:r>
        <w:rPr>
          <w:szCs w:val="24"/>
        </w:rPr>
        <w:t xml:space="preserve">В случае развития гемолиза, инфузия следующего мешка приостанавливается до купирования осложнений. </w:t>
      </w:r>
    </w:p>
    <w:p w14:paraId="1D6D24BB" w14:textId="77777777" w:rsidR="00C44D05" w:rsidRDefault="00C44D05" w:rsidP="004A7ED2">
      <w:pPr>
        <w:spacing w:before="0" w:after="0"/>
        <w:ind w:firstLine="709"/>
        <w:rPr>
          <w:szCs w:val="24"/>
        </w:rPr>
      </w:pPr>
      <w:r>
        <w:rPr>
          <w:szCs w:val="24"/>
        </w:rPr>
        <w:t xml:space="preserve">После завершения инфузии ход ЦВК промывают физиологическим раствором. </w:t>
      </w:r>
    </w:p>
    <w:p w14:paraId="7F26D2F3" w14:textId="77777777" w:rsidR="00C44D05" w:rsidRDefault="00C44D05" w:rsidP="004A7ED2">
      <w:pPr>
        <w:spacing w:before="0" w:after="0"/>
        <w:ind w:firstLine="709"/>
        <w:rPr>
          <w:szCs w:val="24"/>
        </w:rPr>
      </w:pPr>
      <w:r>
        <w:rPr>
          <w:szCs w:val="24"/>
        </w:rPr>
        <w:lastRenderedPageBreak/>
        <w:t>Через 2 часа после завершения инфузии выполняют биохимическое исследование крови (оценка электролитов), оценивают цвет мочи для исключения гемолиза.</w:t>
      </w:r>
    </w:p>
    <w:p w14:paraId="0F77BD40" w14:textId="77777777" w:rsidR="00C44D05" w:rsidRDefault="00C44D05" w:rsidP="004A7ED2">
      <w:pPr>
        <w:spacing w:before="0" w:after="0"/>
        <w:ind w:firstLine="709"/>
        <w:rPr>
          <w:szCs w:val="24"/>
        </w:rPr>
      </w:pPr>
      <w:r>
        <w:rPr>
          <w:szCs w:val="24"/>
        </w:rPr>
        <w:t xml:space="preserve">В истории болезни оформляется протокол операции, с указанием этапов введения ГСК, временных интервалов и состояния пациента. </w:t>
      </w:r>
    </w:p>
    <w:p w14:paraId="7FA3F539" w14:textId="77777777" w:rsidR="00C44D05" w:rsidRPr="00E133D6" w:rsidRDefault="00C44D05" w:rsidP="004A7ED2">
      <w:pPr>
        <w:spacing w:before="0" w:after="0"/>
        <w:ind w:firstLine="709"/>
        <w:rPr>
          <w:szCs w:val="24"/>
        </w:rPr>
      </w:pPr>
      <w:r>
        <w:rPr>
          <w:szCs w:val="24"/>
        </w:rPr>
        <w:t xml:space="preserve">На следующий день выполняется общий анализ мочи. </w:t>
      </w:r>
    </w:p>
    <w:p w14:paraId="17C834F0" w14:textId="730CB56D" w:rsidR="00506713" w:rsidRPr="002C63BF" w:rsidRDefault="00506713" w:rsidP="006C221C">
      <w:pPr>
        <w:spacing w:before="0" w:after="0"/>
        <w:jc w:val="center"/>
        <w:rPr>
          <w:b/>
        </w:rPr>
      </w:pPr>
      <w:r w:rsidRPr="002C63BF">
        <w:rPr>
          <w:rFonts w:eastAsiaTheme="majorEastAsia"/>
          <w:b/>
          <w:bCs/>
          <w:szCs w:val="24"/>
        </w:rPr>
        <w:t>3.</w:t>
      </w:r>
      <w:r w:rsidRPr="002C63BF">
        <w:rPr>
          <w:b/>
        </w:rPr>
        <w:t>3.6 Сопроводительная терапия при ауто-ТГСК.</w:t>
      </w:r>
    </w:p>
    <w:p w14:paraId="76A3AB6F" w14:textId="77777777" w:rsidR="00506713" w:rsidRPr="002C63BF" w:rsidRDefault="00506713" w:rsidP="008F161A">
      <w:pPr>
        <w:pStyle w:val="a6"/>
        <w:numPr>
          <w:ilvl w:val="0"/>
          <w:numId w:val="133"/>
        </w:numPr>
        <w:spacing w:before="0" w:after="0"/>
        <w:rPr>
          <w:b/>
        </w:rPr>
      </w:pPr>
      <w:bookmarkStart w:id="90" w:name="_Toc44926634"/>
      <w:r w:rsidRPr="002C63BF">
        <w:rPr>
          <w:b/>
        </w:rPr>
        <w:t>Инфузионная терапия</w:t>
      </w:r>
      <w:bookmarkEnd w:id="90"/>
    </w:p>
    <w:p w14:paraId="7FF4AFC4" w14:textId="77777777" w:rsidR="00506713" w:rsidRPr="00515760" w:rsidRDefault="00506713" w:rsidP="00506713">
      <w:pPr>
        <w:pStyle w:val="a6"/>
        <w:ind w:left="0" w:firstLine="567"/>
      </w:pPr>
      <w:r>
        <w:rPr>
          <w:szCs w:val="24"/>
        </w:rPr>
        <w:t>С целью уменьшения токсичности кондиционирования и профилактики синдрома лизиса опухоли всем пациентам проводится инфузионная терапия.</w:t>
      </w:r>
    </w:p>
    <w:p w14:paraId="6907E85D" w14:textId="77777777" w:rsidR="00506713" w:rsidRPr="00515760" w:rsidRDefault="00506713" w:rsidP="00506713">
      <w:pPr>
        <w:pStyle w:val="a6"/>
        <w:ind w:left="0" w:firstLine="567"/>
      </w:pPr>
      <w:r>
        <w:t xml:space="preserve">Основные принципы инфузионной терапии </w:t>
      </w:r>
      <w:proofErr w:type="gramStart"/>
      <w:r>
        <w:t>во время</w:t>
      </w:r>
      <w:proofErr w:type="gramEnd"/>
      <w:r>
        <w:t xml:space="preserve"> ауто-ТГСК:</w:t>
      </w:r>
    </w:p>
    <w:p w14:paraId="6F6A22DB" w14:textId="4DEBA9F8" w:rsidR="00506713" w:rsidRDefault="00506713" w:rsidP="008F161A">
      <w:pPr>
        <w:pStyle w:val="a6"/>
        <w:numPr>
          <w:ilvl w:val="0"/>
          <w:numId w:val="127"/>
        </w:numPr>
        <w:spacing w:before="0" w:after="200"/>
        <w:ind w:left="0" w:firstLine="0"/>
      </w:pPr>
      <w:r>
        <w:rPr>
          <w:szCs w:val="24"/>
        </w:rPr>
        <w:t>Все инфузии проводятся в центральный венозный катетер</w:t>
      </w:r>
      <w:r w:rsidR="001228EA">
        <w:rPr>
          <w:szCs w:val="24"/>
        </w:rPr>
        <w:t>.</w:t>
      </w:r>
    </w:p>
    <w:p w14:paraId="55C81B0D" w14:textId="5CBCC05D" w:rsidR="00506713" w:rsidRDefault="00506713" w:rsidP="008F161A">
      <w:pPr>
        <w:pStyle w:val="a6"/>
        <w:numPr>
          <w:ilvl w:val="0"/>
          <w:numId w:val="127"/>
        </w:numPr>
        <w:spacing w:before="0" w:after="200"/>
        <w:ind w:left="0" w:firstLine="0"/>
      </w:pPr>
      <w:r>
        <w:t>На этапе предтрансплантационного кондиционирования объем инфузионной терапии составляет 2-3 литра в сутки, после трансплантации объем инфузий должен составлять не менее 1,5 литров в сутки, водная нагрузка распределяется равномерно в течение суток. Чаще всего применяются кристаллоидные растворы: изотонический раствор хлорида натрия</w:t>
      </w:r>
      <w:r w:rsidR="001228EA" w:rsidRPr="002E7044">
        <w:t>**</w:t>
      </w:r>
      <w:r>
        <w:t>, раствор 5% глюкозы</w:t>
      </w:r>
      <w:r w:rsidR="002E7044" w:rsidRPr="002E7044">
        <w:t>**</w:t>
      </w:r>
      <w:r>
        <w:t xml:space="preserve">, раствор </w:t>
      </w:r>
      <w:proofErr w:type="gramStart"/>
      <w:r>
        <w:t>Рингера,</w:t>
      </w:r>
      <w:r w:rsidR="002E7044" w:rsidRPr="002E7044">
        <w:t>*</w:t>
      </w:r>
      <w:proofErr w:type="gramEnd"/>
      <w:r w:rsidR="002E7044" w:rsidRPr="002E7044">
        <w:t>*</w:t>
      </w:r>
      <w:r>
        <w:t xml:space="preserve"> калия и магния аспарагинат</w:t>
      </w:r>
      <w:r w:rsidR="002E7044" w:rsidRPr="002E7044">
        <w:t>**</w:t>
      </w:r>
      <w:r>
        <w:t>. Для коррекции ацидоза используют 5% раствор натрия гидрокарбоната</w:t>
      </w:r>
      <w:r w:rsidR="002E7044" w:rsidRPr="003667F7">
        <w:t>**</w:t>
      </w:r>
      <w:r>
        <w:t>. В случае выраженной гипоальбумиемии, отечного синдрома безбелкового генеза применяются коллоидные растворы (5-20% растворы альбумина человеческого</w:t>
      </w:r>
      <w:r w:rsidR="002E7044" w:rsidRPr="003667F7">
        <w:t>**</w:t>
      </w:r>
      <w:r>
        <w:t>).</w:t>
      </w:r>
    </w:p>
    <w:p w14:paraId="78C2A659" w14:textId="75A72064" w:rsidR="00506713" w:rsidRDefault="00506713" w:rsidP="008F161A">
      <w:pPr>
        <w:pStyle w:val="a6"/>
        <w:numPr>
          <w:ilvl w:val="0"/>
          <w:numId w:val="127"/>
        </w:numPr>
        <w:spacing w:before="0" w:after="200"/>
        <w:ind w:left="0" w:firstLine="0"/>
      </w:pPr>
      <w:r>
        <w:t>В состав солевого раствора, как правило, входят раствор 5% глюкозы</w:t>
      </w:r>
      <w:r w:rsidR="003667F7" w:rsidRPr="003667F7">
        <w:t>**</w:t>
      </w:r>
      <w:r>
        <w:t xml:space="preserve"> и 4% хлорида калия</w:t>
      </w:r>
      <w:r w:rsidR="003667F7" w:rsidRPr="003667F7">
        <w:t>**</w:t>
      </w:r>
      <w:r>
        <w:t>. На этапе предтрансплантационного кондиционирования суточное количество 4% хлорида калия</w:t>
      </w:r>
      <w:r w:rsidR="003667F7" w:rsidRPr="003667F7">
        <w:t>**</w:t>
      </w:r>
      <w:r>
        <w:t xml:space="preserve"> составляет 120-150 мл, в дальнейшем доза титруется в зависимости от концентрации калия в крови. При значительной гипокалиемии, которая может быть обусловлена выраженной диарей, рвотой, применяется круглосуточное введение 4% раствора </w:t>
      </w:r>
      <w:r>
        <w:rPr>
          <w:lang w:val="en-US"/>
        </w:rPr>
        <w:t>KCl</w:t>
      </w:r>
      <w:r w:rsidR="003667F7" w:rsidRPr="003667F7">
        <w:t>**</w:t>
      </w:r>
      <w:r>
        <w:t>, скорость инфузии корректируется с учетом данных биохимического анализа крови.</w:t>
      </w:r>
    </w:p>
    <w:p w14:paraId="5E74A25C" w14:textId="3DD3E76E" w:rsidR="00506713" w:rsidRDefault="00506713" w:rsidP="008F161A">
      <w:pPr>
        <w:pStyle w:val="a6"/>
        <w:numPr>
          <w:ilvl w:val="0"/>
          <w:numId w:val="127"/>
        </w:numPr>
        <w:spacing w:before="0" w:after="200"/>
        <w:ind w:left="0" w:firstLine="0"/>
      </w:pPr>
      <w:r>
        <w:t>У пациентов на гемодиализе объем солевых растворов не должен превышать 1 литр в сутки, при этом хлорид калия</w:t>
      </w:r>
      <w:r w:rsidR="003667F7" w:rsidRPr="003667F7">
        <w:t>**</w:t>
      </w:r>
      <w:r>
        <w:t xml:space="preserve"> назначается только при развитии гипокалиемии.</w:t>
      </w:r>
    </w:p>
    <w:p w14:paraId="3B859131" w14:textId="77777777" w:rsidR="00506713" w:rsidRDefault="00506713" w:rsidP="008F161A">
      <w:pPr>
        <w:pStyle w:val="a6"/>
        <w:numPr>
          <w:ilvl w:val="0"/>
          <w:numId w:val="127"/>
        </w:numPr>
        <w:spacing w:before="0" w:after="200"/>
        <w:ind w:left="0" w:firstLine="0"/>
      </w:pPr>
      <w:r>
        <w:t>Для оценки состояния водного баланса, предотвращения объемной перегрузки следует ежедневно взвешивать пациента, контролировать центральное венозное давление, артериальное давление, диурез и баланс жидкости.</w:t>
      </w:r>
    </w:p>
    <w:p w14:paraId="0E1FE29D" w14:textId="77777777" w:rsidR="00506713" w:rsidRDefault="00506713" w:rsidP="008F161A">
      <w:pPr>
        <w:pStyle w:val="a6"/>
        <w:numPr>
          <w:ilvl w:val="0"/>
          <w:numId w:val="127"/>
        </w:numPr>
        <w:spacing w:before="0" w:after="200"/>
        <w:ind w:left="0" w:firstLine="0"/>
      </w:pPr>
      <w:r>
        <w:t>При развитии фебрильной лихорадки объем инфузионной терапии должен быть увеличен до 3-4 литров в сутки под контролем водного баланса.</w:t>
      </w:r>
    </w:p>
    <w:p w14:paraId="78456465" w14:textId="77777777" w:rsidR="00506713" w:rsidRDefault="00506713" w:rsidP="008F161A">
      <w:pPr>
        <w:pStyle w:val="a6"/>
        <w:numPr>
          <w:ilvl w:val="0"/>
          <w:numId w:val="127"/>
        </w:numPr>
        <w:spacing w:before="0" w:after="200"/>
        <w:ind w:left="0" w:firstLine="0"/>
      </w:pPr>
      <w:r>
        <w:lastRenderedPageBreak/>
        <w:t>Регулярный контроль электролитов (калия, натрия, кальция, хлора, магния) необходим для коррекции инфузионной терапии, при выраженной гипокальциемии, гипомагниемии назначается внутривенное введение препаратов кальция, магния.</w:t>
      </w:r>
    </w:p>
    <w:p w14:paraId="19295BD9" w14:textId="259EE72C" w:rsidR="00506713" w:rsidRDefault="00506713" w:rsidP="008F161A">
      <w:pPr>
        <w:pStyle w:val="a6"/>
        <w:numPr>
          <w:ilvl w:val="0"/>
          <w:numId w:val="127"/>
        </w:numPr>
        <w:spacing w:before="0" w:after="200"/>
        <w:ind w:left="0" w:firstLine="0"/>
      </w:pPr>
      <w:r>
        <w:t>Во время предтрансплантационного кондиционирования проводится гипоурикемическая терапия аллопуринолом</w:t>
      </w:r>
      <w:r w:rsidR="003667F7" w:rsidRPr="003667F7">
        <w:t>**</w:t>
      </w:r>
      <w:r>
        <w:t xml:space="preserve"> в суточной дозе 200 мг/м</w:t>
      </w:r>
      <w:proofErr w:type="gramStart"/>
      <w:r>
        <w:rPr>
          <w:vertAlign w:val="superscript"/>
        </w:rPr>
        <w:t>2</w:t>
      </w:r>
      <w:r>
        <w:t xml:space="preserve"> .</w:t>
      </w:r>
      <w:proofErr w:type="gramEnd"/>
    </w:p>
    <w:p w14:paraId="62B54F8C" w14:textId="048ADC46" w:rsidR="00506713" w:rsidRDefault="00506713" w:rsidP="008F161A">
      <w:pPr>
        <w:pStyle w:val="a6"/>
        <w:numPr>
          <w:ilvl w:val="0"/>
          <w:numId w:val="127"/>
        </w:numPr>
        <w:spacing w:before="0" w:after="200"/>
        <w:ind w:left="0" w:firstLine="0"/>
      </w:pPr>
      <w:proofErr w:type="gramStart"/>
      <w:r>
        <w:t>Во время</w:t>
      </w:r>
      <w:proofErr w:type="gramEnd"/>
      <w:r>
        <w:t xml:space="preserve"> предтрансплантационного кондиционирования рекомендуется назначение мочегонных средств для форсированного диуреза (фуросемид</w:t>
      </w:r>
      <w:r w:rsidR="003667F7" w:rsidRPr="00B15A35">
        <w:t>**</w:t>
      </w:r>
      <w:r>
        <w:t xml:space="preserve"> 20-60 мг/сут).</w:t>
      </w:r>
    </w:p>
    <w:p w14:paraId="05FF9C91" w14:textId="77777777" w:rsidR="00506713" w:rsidRPr="00506713" w:rsidRDefault="00506713" w:rsidP="008F161A">
      <w:pPr>
        <w:pStyle w:val="a6"/>
        <w:numPr>
          <w:ilvl w:val="0"/>
          <w:numId w:val="127"/>
        </w:numPr>
        <w:spacing w:before="0" w:after="0"/>
        <w:rPr>
          <w:b/>
        </w:rPr>
      </w:pPr>
      <w:bookmarkStart w:id="91" w:name="_Toc44926636"/>
      <w:r w:rsidRPr="00506713">
        <w:rPr>
          <w:b/>
        </w:rPr>
        <w:t>Профилактика тромбозов</w:t>
      </w:r>
      <w:bookmarkEnd w:id="91"/>
    </w:p>
    <w:p w14:paraId="3A261FC6" w14:textId="1926C888" w:rsidR="00506713" w:rsidRPr="00163277" w:rsidRDefault="00506713" w:rsidP="00506713">
      <w:pPr>
        <w:spacing w:before="0" w:after="0"/>
        <w:ind w:firstLine="709"/>
        <w:rPr>
          <w:rFonts w:eastAsia="GaramondC-Light"/>
          <w:color w:val="000000"/>
          <w:szCs w:val="24"/>
        </w:rPr>
      </w:pPr>
      <w:r w:rsidRPr="00163277">
        <w:rPr>
          <w:rFonts w:eastAsia="GaramondC-Light"/>
          <w:color w:val="000000"/>
          <w:szCs w:val="24"/>
        </w:rPr>
        <w:t xml:space="preserve">Введение химиотерапевтических препаратов в больших дозах перед ауто-ТГСК, наличие ЦВК являются факторами </w:t>
      </w:r>
      <w:proofErr w:type="gramStart"/>
      <w:r w:rsidRPr="00163277">
        <w:rPr>
          <w:rFonts w:eastAsia="GaramondC-Light"/>
          <w:color w:val="000000"/>
          <w:szCs w:val="24"/>
        </w:rPr>
        <w:t>риска</w:t>
      </w:r>
      <w:proofErr w:type="gramEnd"/>
      <w:r w:rsidRPr="00163277">
        <w:rPr>
          <w:rFonts w:eastAsia="GaramondC-Light"/>
          <w:color w:val="000000"/>
          <w:szCs w:val="24"/>
        </w:rPr>
        <w:t xml:space="preserve"> повышенного тромбообразования. С целью профилактики тромботических осложнений до начала предтрансплантационной подготовки назначается антикоагулянтная терапия. Проводится круглосуточное введение гепарина</w:t>
      </w:r>
      <w:r w:rsidR="00B15A35" w:rsidRPr="00B15A35">
        <w:rPr>
          <w:rFonts w:eastAsia="GaramondC-Light"/>
          <w:color w:val="000000"/>
          <w:szCs w:val="24"/>
        </w:rPr>
        <w:t>**</w:t>
      </w:r>
      <w:r w:rsidRPr="00163277">
        <w:rPr>
          <w:rFonts w:eastAsia="GaramondC-Light"/>
          <w:color w:val="000000"/>
          <w:szCs w:val="24"/>
        </w:rPr>
        <w:t xml:space="preserve"> через инфузомат в начальной дозе 12 000 ЕД/сут. В дальнейшем доза гепарина</w:t>
      </w:r>
      <w:r w:rsidR="00B15A35" w:rsidRPr="00B15A35">
        <w:rPr>
          <w:rFonts w:eastAsia="GaramondC-Light"/>
          <w:color w:val="000000"/>
          <w:szCs w:val="24"/>
        </w:rPr>
        <w:t>**</w:t>
      </w:r>
      <w:r w:rsidRPr="00163277">
        <w:rPr>
          <w:rFonts w:eastAsia="GaramondC-Light"/>
          <w:color w:val="000000"/>
          <w:szCs w:val="24"/>
        </w:rPr>
        <w:t xml:space="preserve"> корректируется в зависимости от показателей АЧТВ (рекомендовано поддержание АЧТВ в рамках 1,5-2 норм или 45-75 сек.), степени выраженности тромбоцитопении. На фоне терапии гепарином</w:t>
      </w:r>
      <w:r w:rsidR="00B15A35" w:rsidRPr="00B15A35">
        <w:rPr>
          <w:rFonts w:eastAsia="GaramondC-Light"/>
          <w:color w:val="000000"/>
          <w:szCs w:val="24"/>
        </w:rPr>
        <w:t>**</w:t>
      </w:r>
      <w:r w:rsidRPr="00163277">
        <w:rPr>
          <w:rFonts w:eastAsia="GaramondC-Light"/>
          <w:color w:val="000000"/>
          <w:szCs w:val="24"/>
        </w:rPr>
        <w:t xml:space="preserve"> в ранний посттрансплантационный период необходим регулярный контроль гемограммы, коагулограммы. При развитии геморрагического синдрома введение гепарина</w:t>
      </w:r>
      <w:r w:rsidR="00B15A35" w:rsidRPr="00B15A35">
        <w:rPr>
          <w:rFonts w:eastAsia="GaramondC-Light"/>
          <w:color w:val="000000"/>
          <w:szCs w:val="24"/>
        </w:rPr>
        <w:t>**</w:t>
      </w:r>
      <w:r w:rsidRPr="00163277">
        <w:rPr>
          <w:rFonts w:eastAsia="GaramondC-Light"/>
          <w:color w:val="000000"/>
          <w:szCs w:val="24"/>
        </w:rPr>
        <w:t xml:space="preserve"> приостанавливается. Гепарин</w:t>
      </w:r>
      <w:r w:rsidR="00B15A35" w:rsidRPr="00B15A35">
        <w:rPr>
          <w:rFonts w:eastAsia="GaramondC-Light"/>
          <w:color w:val="000000"/>
          <w:szCs w:val="24"/>
        </w:rPr>
        <w:t>**</w:t>
      </w:r>
      <w:r w:rsidRPr="00163277">
        <w:rPr>
          <w:rFonts w:eastAsia="GaramondC-Light"/>
          <w:color w:val="000000"/>
          <w:szCs w:val="24"/>
        </w:rPr>
        <w:t xml:space="preserve"> отменяют на +14 день после ауто-ТГСК. </w:t>
      </w:r>
    </w:p>
    <w:p w14:paraId="639DB223" w14:textId="67AF5F14" w:rsidR="00506713" w:rsidRPr="00163277" w:rsidRDefault="00506713" w:rsidP="00506713">
      <w:pPr>
        <w:spacing w:before="0" w:after="0"/>
        <w:ind w:firstLine="709"/>
        <w:rPr>
          <w:rFonts w:eastAsia="GaramondC-Light"/>
          <w:color w:val="000000"/>
          <w:szCs w:val="24"/>
        </w:rPr>
      </w:pPr>
      <w:r w:rsidRPr="00163277">
        <w:rPr>
          <w:rFonts w:eastAsia="GaramondC-Light"/>
          <w:color w:val="000000"/>
          <w:szCs w:val="24"/>
        </w:rPr>
        <w:t>При развитии тромботических осложнений в период восстановления показателей гемограммы используются низкомолекулярные гепар</w:t>
      </w:r>
      <w:r>
        <w:rPr>
          <w:rFonts w:eastAsia="GaramondC-Light"/>
          <w:color w:val="000000"/>
          <w:szCs w:val="24"/>
        </w:rPr>
        <w:t>ины - НМГ (эноксапарин натрия</w:t>
      </w:r>
      <w:r w:rsidR="00B15A35" w:rsidRPr="00B15A35">
        <w:rPr>
          <w:rFonts w:eastAsia="GaramondC-Light"/>
          <w:color w:val="000000"/>
          <w:szCs w:val="24"/>
        </w:rPr>
        <w:t>**</w:t>
      </w:r>
      <w:r>
        <w:rPr>
          <w:rFonts w:eastAsia="GaramondC-Light"/>
          <w:color w:val="000000"/>
          <w:szCs w:val="24"/>
        </w:rPr>
        <w:t xml:space="preserve">, </w:t>
      </w:r>
      <w:r w:rsidRPr="00163277">
        <w:rPr>
          <w:rFonts w:eastAsia="GaramondC-Light"/>
          <w:color w:val="000000"/>
          <w:szCs w:val="24"/>
        </w:rPr>
        <w:t xml:space="preserve">надропарин кальция, далтепарин натрия в соответствующих дозах). НМГ вводятся подкожно 1-2 раза в день. Правильность подбора дозы проверяется по </w:t>
      </w:r>
      <w:proofErr w:type="gramStart"/>
      <w:r w:rsidRPr="00163277">
        <w:rPr>
          <w:rFonts w:eastAsia="GaramondC-Light"/>
          <w:color w:val="000000"/>
          <w:szCs w:val="24"/>
        </w:rPr>
        <w:t>анти-Ха</w:t>
      </w:r>
      <w:proofErr w:type="gramEnd"/>
      <w:r w:rsidRPr="00163277">
        <w:rPr>
          <w:rFonts w:eastAsia="GaramondC-Light"/>
          <w:color w:val="000000"/>
          <w:szCs w:val="24"/>
        </w:rPr>
        <w:t xml:space="preserve"> активности, которую исследуют через 2-3 часа после введения препарата; она должна составлять 0,3-0,7 анти-Ха МЕ/мл. Больным с нарушением функции почек требуется коррекция дозы НМГ. Если СКФ менее 30 мл/мин, доза НМГ подбирается в соответствии с анти-Ха активностью в диапазоне 0,2-0,3 анти-Ха МЕ/мл. </w:t>
      </w:r>
    </w:p>
    <w:p w14:paraId="33C7E64C" w14:textId="77777777" w:rsidR="00506713" w:rsidRDefault="00506713" w:rsidP="00506713">
      <w:pPr>
        <w:spacing w:before="0" w:after="0"/>
        <w:ind w:firstLine="709"/>
        <w:rPr>
          <w:rFonts w:eastAsia="GaramondC-Light"/>
          <w:color w:val="000000"/>
          <w:szCs w:val="24"/>
        </w:rPr>
      </w:pPr>
      <w:r w:rsidRPr="00163277">
        <w:rPr>
          <w:rFonts w:eastAsia="GaramondC-Light"/>
          <w:color w:val="000000"/>
          <w:szCs w:val="24"/>
        </w:rPr>
        <w:t>При применении гепаринов может развиться резистентность к ним, что чаще всего обусловлено дефицитом антитромбина III. Причинами дефицита антитромбина III являются его повышенное потребление, патология печени, длительная гепаринотерапия, действие лекарственных препаратов. Для коррекции дефицита антитромбина III используется свежезамороженная плазма (СЗП) или концентрат антитромбина III.</w:t>
      </w:r>
    </w:p>
    <w:p w14:paraId="14580377" w14:textId="77777777" w:rsidR="00292402" w:rsidRDefault="00292402" w:rsidP="00506713">
      <w:pPr>
        <w:spacing w:before="0" w:after="0"/>
        <w:ind w:firstLine="709"/>
        <w:rPr>
          <w:rFonts w:eastAsia="GaramondC-Light"/>
          <w:color w:val="000000"/>
          <w:szCs w:val="24"/>
        </w:rPr>
      </w:pPr>
    </w:p>
    <w:p w14:paraId="0F899F7C" w14:textId="77777777" w:rsidR="00292402" w:rsidRPr="00163277" w:rsidRDefault="00292402" w:rsidP="00506713">
      <w:pPr>
        <w:spacing w:before="0" w:after="0"/>
        <w:ind w:firstLine="709"/>
        <w:rPr>
          <w:rFonts w:eastAsia="GaramondC-Light"/>
          <w:color w:val="000000"/>
          <w:szCs w:val="24"/>
        </w:rPr>
      </w:pPr>
    </w:p>
    <w:p w14:paraId="096AFC9E" w14:textId="77777777" w:rsidR="00506713" w:rsidRPr="00506713" w:rsidRDefault="00506713" w:rsidP="008F161A">
      <w:pPr>
        <w:pStyle w:val="a6"/>
        <w:numPr>
          <w:ilvl w:val="0"/>
          <w:numId w:val="128"/>
        </w:numPr>
        <w:spacing w:before="0" w:after="0"/>
        <w:rPr>
          <w:b/>
        </w:rPr>
      </w:pPr>
      <w:bookmarkStart w:id="92" w:name="_Toc44926638"/>
      <w:r w:rsidRPr="00506713">
        <w:rPr>
          <w:b/>
        </w:rPr>
        <w:lastRenderedPageBreak/>
        <w:t>Антимикробная терапия</w:t>
      </w:r>
      <w:bookmarkEnd w:id="92"/>
    </w:p>
    <w:p w14:paraId="6869F3FD" w14:textId="6C33E276" w:rsidR="00506713" w:rsidRPr="00DB1FCB" w:rsidRDefault="00506713" w:rsidP="00506713">
      <w:pPr>
        <w:tabs>
          <w:tab w:val="left" w:pos="0"/>
          <w:tab w:val="left" w:pos="567"/>
        </w:tabs>
        <w:spacing w:before="0" w:after="0"/>
        <w:ind w:firstLine="709"/>
        <w:rPr>
          <w:szCs w:val="24"/>
        </w:rPr>
      </w:pPr>
      <w:r>
        <w:rPr>
          <w:szCs w:val="24"/>
        </w:rPr>
        <w:t>Выполнение</w:t>
      </w:r>
      <w:r w:rsidRPr="00DB1FCB">
        <w:rPr>
          <w:szCs w:val="24"/>
        </w:rPr>
        <w:t xml:space="preserve"> высокодозной химиотерапии с </w:t>
      </w:r>
      <w:r>
        <w:rPr>
          <w:szCs w:val="24"/>
        </w:rPr>
        <w:t>последующей</w:t>
      </w:r>
      <w:r w:rsidRPr="00DB1FCB">
        <w:rPr>
          <w:szCs w:val="24"/>
        </w:rPr>
        <w:t xml:space="preserve"> трансплантацией аутологичных стволовых клеток крови </w:t>
      </w:r>
      <w:r>
        <w:rPr>
          <w:szCs w:val="24"/>
        </w:rPr>
        <w:t>по данным различных авторов приводит к развитию инфекционных осложнений более чем у 9</w:t>
      </w:r>
      <w:r w:rsidRPr="00DB1FCB">
        <w:rPr>
          <w:szCs w:val="24"/>
        </w:rPr>
        <w:t>0</w:t>
      </w:r>
      <w:r>
        <w:rPr>
          <w:szCs w:val="24"/>
        </w:rPr>
        <w:t xml:space="preserve"> </w:t>
      </w:r>
      <w:r w:rsidRPr="00DB1FCB">
        <w:rPr>
          <w:szCs w:val="24"/>
        </w:rPr>
        <w:t xml:space="preserve">% </w:t>
      </w:r>
      <w:r>
        <w:rPr>
          <w:szCs w:val="24"/>
        </w:rPr>
        <w:t xml:space="preserve">больных </w:t>
      </w:r>
      <w:r>
        <w:rPr>
          <w:szCs w:val="24"/>
        </w:rPr>
        <w:fldChar w:fldCharType="begin" w:fldLock="1"/>
      </w:r>
      <w:r w:rsidR="00E430FD">
        <w:rPr>
          <w:szCs w:val="24"/>
        </w:rPr>
        <w:instrText>ADDIN CSL_CITATION {"citationItems":[{"id":"ITEM-1","itemData":{"DOI":"10.1007/s00277-002-0484-1","ISSN":"09395555","abstract":"It is yet undetermined whether patients with different hematological malignancies have different pro-pensities to infectious complications after high-dose chemotherapy (HDC) and autologous hematopoietic stem cell transplantation (HSCT). We retrospectively analyzed 136 cycles of HDC and autologous HSCT in 114 patients with acute myeloid leukemia (AML, 24 cycles), non-Hodgkin's lymphoma/Hodgkin's disease (NHL/HD, 55 cycles), and multiple myeloma (MM, 57 cycles) with respect to early infectious complications. Median duration of neutropenia was longer in patients with AML and NHL/HD than in patients with MM (11 days vs 8 days) and after conditioning including total body irradiation (TBI) compared with chemotherapy only preparative regimens (11 days vs 7 days). Fever requiring antimicrobial therapy was observed in 88% of cycles, with fever of unknown origin (FUO) accounting for 60% of febrile episodes. There was no proven fungal infection, but one case of probable invasive pulmonary aspergillosis. Microbiologically documented infections were seen in 29% and clinically documented infections in 11%. Response to first-line empirical antibiotic therapy was better for FUO than for documented infections (70% vs 40%). Patients with TBI as part of their conditioning regimen had more overall infections than patients without TBI (96% vs 82%). There were no differences with respect to the type or incidence of infections between patients with AML, NHL/HD, and MM. Patients with different hematological malignancies have similar rates of early infectious complications after HDC and autologous HSCT. TBI may be associated with an increased risk for infections in the early post-transplant period.","author":[{"dropping-particle":"","family":"Auner","given":"H. W.","non-dropping-particle":"","parse-names":false,"suffix":""},{"dropping-particle":"","family":"Sill","given":"H.","non-dropping-particle":"","parse-names":false,"suffix":""},{"dropping-particle":"","family":"Mulabecirovic","given":"A.","non-dropping-particle":"","parse-names":false,"suffix":""},{"dropping-particle":"","family":"Linkesch","given":"W.","non-dropping-particle":"","parse-names":false,"suffix":""},{"dropping-particle":"","family":"Krause","given":"R.","non-dropping-particle":"","parse-names":false,"suffix":""}],"container-title":"Annals of Hematology","id":"ITEM-1","issue":"7","issued":{"date-parts":[["2002"]]},"page":"374-377","publisher":"Ann Hematol","title":"Infectious complications after autologous hematopoietic stem cell transplantation: Comparison of patients with acute myeloid leukemia, malignant lymphoma, and multiple myeloma","type":"article-journal","volume":"81"},"uris":["http://www.mendeley.com/documents/?uuid=dc5e0773-1562-4dba-8594-e4550238c737"]},{"id":"ITEM-2","itemData":{"DOI":"10.1007/s15010-007-6350-2","ISSN":"03008126","abstract":"Background: Infectious complications occur in most of the patients receiving high-dose therapy (HDT) and autologous hematopoietic stem cell transplantation (HSCT). The objective of the study was to analyze of the type and incidence of infectious complications during neutropenia after HDT and autologous HSCT with respect to risk factors related to stem cell transplant setting in patients treated for hematological malignancies in a single center. Patients and Methods: A total number of 314 patients diagnosed for Hodgkin's disease (HD), non-Hodgkin's lymphoma (NHL), acute myeloid leukemia (AML), multiple myeloma (MM) or acute lymphoblastic leukemia (ALL) were included in the study. Analysis of risk factors and outcome of infections after HDT and autologous HSCT was performed. Results: Infectious complications during neutropenia after HDT occurred in 92.3% patients. Microbiologically documented infections (MDI) accounted for 38.9% of febrile episodes, clinically documented infections (CDI) for 9.3%, and fever of unknown origin (FUO) for 51.7% cases. Median time to defervescence with antibiotic therapy was seven days for FUO and nine days for documented infections (p &lt; 0.001). Duration of infection correlated with the length of very severe neutropenia (p &lt; 0.001). Response to first-line antibiotic therapy was seen in 34% patients. Infections were fatal in 12 (3.8%) patients. The highest probability of infection was observed for ALL and AML patients, especially these conditioned with total body irradiation (TBI). Conclusion: Patients at high risk of infection after autologous HSCT were identified as those with acute leukemia and those after conditioning with TBI, all with prolonged neutropenia. We suggest that newer prophylactic strategies should be administered to these groups of patients. © 2007 Urban &amp; Vogel.","author":[{"dropping-particle":"","family":"Gil","given":"L.","non-dropping-particle":"","parse-names":false,"suffix":""},{"dropping-particle":"","family":"Styczynski","given":"J.","non-dropping-particle":"","parse-names":false,"suffix":""},{"dropping-particle":"","family":"Komarnicki","given":"M.","non-dropping-particle":"","parse-names":false,"suffix":""}],"container-title":"Infection","id":"ITEM-2","issue":"6","issued":{"date-parts":[["2007","12"]]},"page":"421-427","publisher":"Infection","title":"Infectious complication in 314 patients after high-dose therapy and autologous hematopoietic stem cell transplantation: Risk factors analysis and outcome","type":"article-journal","volume":"35"},"uris":["http://www.mendeley.com/documents/?uuid=7e6ea6ab-47bd-4208-9803-60b645a808e3"]},{"id":"ITEM-3","itemData":{"DOI":"10.1002/ajh.21855","ISSN":"03618609","abstract":"One hundred and fifty-seven patients undergoing high-dose chemotherapy (HDT) and autologous stem-cell transplantation (ASCT) for hematopoietic malignancies and solid tumors were randomly assigned to receive (Group A) or not (Group B) prophylaxis with ciprofloxacin, orally, and vancomycin, intravenously. Prophylactic antibiotics were given from day 0 until resolution of neutropenia or the appearance of a febrile event. Furthermore, patients in both groups received once a day fluconazole, orally. The primary end-point of our study was the incidence of neutropenic febrile episodes attributed to infection. One hundred and twelve (71.3%) patients developed neutropenic fever, 50 (56.2%) in Group A and 62 (91.2%) in Group B (P &lt; 0.001) with the majority (82%) of patients developing fever of unknown origin. Patients on prophylactic antibiotics had a significantly lower rate of bacteremias (5.6%) than did those randomized to no prophylaxis (29.4%) (P = 0.005) and, when developing neutropenic fever, they had a lower probability of response to first-line empirical antibiotics (P = 0.025). Prophylactic administration of ciprofloxacin and vancomycin reduced the incidence of neutropenic fever in patients receiving HDT with ASCT, however, without affecting the total interval of hospitalization, time to engraftment, or all-cause mortality. Therefore, our results do not support the use of antibiotic prophylaxis for patients undergoing HDT and ASCT. © 2010 Wiley-Liss, Inc.","author":[{"dropping-particle":"","family":"Eleutherakis-Papaiakovou","given":"Evangelos","non-dropping-particle":"","parse-names":false,"suffix":""},{"dropping-particle":"","family":"Kostis","given":"Evangelos","non-dropping-particle":"","parse-names":false,"suffix":""},{"dropping-particle":"","family":"Migkou","given":"Magda","non-dropping-particle":"","parse-names":false,"suffix":""},{"dropping-particle":"","family":"Christoulas","given":"Dimitrios","non-dropping-particle":"","parse-names":false,"suffix":""},{"dropping-particle":"","family":"Terpos","given":"Evangelos","non-dropping-particle":"","parse-names":false,"suffix":""},{"dropping-particle":"","family":"Gavriatopoulou","given":"Maria","non-dropping-particle":"","parse-names":false,"suffix":""},{"dropping-particle":"","family":"Roussou","given":"Maria","non-dropping-particle":"","parse-names":false,"suffix":""},{"dropping-particle":"","family":"Bournakis","given":"Evangelos","non-dropping-particle":"","parse-names":false,"suffix":""},{"dropping-particle":"","family":"Kastritis","given":"Efstathios","non-dropping-particle":"","parse-names":false,"suffix":""},{"dropping-particle":"","family":"Efstathiou","given":"Eleni","non-dropping-particle":"","parse-names":false,"suffix":""},{"dropping-particle":"","family":"Dimopoulos","given":"Meletios A.","non-dropping-particle":"","parse-names":false,"suffix":""},{"dropping-particle":"","family":"Papadimitriou","given":"Christos A.","non-dropping-particle":"","parse-names":false,"suffix":""}],"container-title":"American Journal of Hematology","id":"ITEM-3","issue":"11","issued":{"date-parts":[["2010","11"]]},"page":"863-867","publisher":"Am J Hematol","title":"Prophylactic antibiotics for the prevention of neutropenic fever in patients undergoing autologous stem-cell transplantation: Results of a single institution, randomized phase 2 trial","type":"article-journal","volume":"85"},"uris":["http://www.mendeley.com/documents/?uuid=d790a518-2556-405a-9e4a-e8c3041eb741"]},{"id":"ITEM-4","itemData":{"DOI":"10.1007/s00277-013-1698-0","ISSN":"09395555","abstract":"Bacterial infections are the most common cause for treatment-related mortality in patients with neutropenia after chemotherapy. Here, we discuss the use of antibacterial prophylaxis against bacteria and Pneumocystis pneumonia (PCP) in neutropenic cancer patients and offer guidance towards the choice of drug. A literature search was performed to screen all articles published between September 2000 and January 2012 on antibiotic prophylaxis in neutropenic cancer patients. The authors assembled original reports and meta-analysis from the literature and drew conclusions, which were discussed and approved in a consensus conference of the Infectious Disease Working Party of the German Society of Hematology and Oncology (AGIHO). Antibacterial prophylaxis has led to a reduction of febrile events and infections. A significant reduction of overall mortality could only be shown in a meta-analysis. Fluoroquinolones are preferred for antibacterial and trimethoprim-sulfamethoxazole for PCP prophylaxis. Due to serious concerns about an increase of resistant pathogens, only patients at high risk of severe infections should be considered for antibiotic prophylaxis. Risk factors of individual patients and local resistance patterns must be taken into account. Risk factors, choice of drug for antibacterial and PCP prophylaxis and concerns regarding the use of prophylactic antibiotics are discussed in the review. © 2013 The Author(s).","author":[{"dropping-particle":"","family":"Neumann","given":"S.","non-dropping-particle":"","parse-names":false,"suffix":""},{"dropping-particle":"","family":"Krause","given":"S. W.","non-dropping-particle":"","parse-names":false,"suffix":""},{"dropping-particle":"","family":"Maschmeyer","given":"G.","non-dropping-particle":"","parse-names":false,"suffix":""},{"dropping-particle":"","family":"Schiel","given":"X.","non-dropping-particle":"","parse-names":false,"suffix":""},{"dropping-particle":"","family":"Lilienfeld-Toal","given":"M.","non-dropping-particle":"Von","parse-names":false,"suffix":""}],"container-title":"Annals of Hematology","id":"ITEM-4","issue":"4","issued":{"date-parts":[["2013","4"]]},"page":"433-442","publisher":"Ann Hematol","title":"Primary prophylaxis of bacterial infections and Pneumocystis jirovecii pneumonia in patients with hematological malignancies and solid tumors: Guidelines of the Infectious Diseases Working Party (AGIHO) of the German Society of Hematology and Oncology (DG","type":"article","volume":"92"},"uris":["http://www.mendeley.com/documents/?uuid=300b3a3c-d6fd-4873-aabf-5d8646d68ed5"]},{"id":"ITEM-5","itemData":{"DOI":"10.1007/s15010-018-1200-y","ISSN":"14390973","abstract":"Purpose: In this study, we assessed the incidence, contributing factors and outcome of prolonged neutropenia above 7 days and of bacteraemia in patients with lymphoma and multiple myeloma who underwent autologous haematopoietic stem cell transplantation (AHSCT) without antibacterial prophylaxis. Methods: This is a retrospective chart review of 190 adult patients who underwent AHSCT between 2005 and 2015 at a Lebanese hospital. Results: Neutropenia of 7 days duration and longer was documented in 66% of the patient population. Through univariate analysis, patients with lymphoma were significantly more likely to have prolonged neutropenia (≥ 7 days) compared to those with myeloma. Mucositis above grade 3, diarrhoea and fever were more likely to occur in patients with prolonged neutropenia. Bacteraemia was documented in 12.6% of the patients. Total mortality rate was 3.7%, and that attributed to bacteraemia was 12.5% in the bacteraemia subgroup. Among bacterial isolates recovered from clinical specimens (89 isolates), 70% were Gram-negative, of which 57% were fluoroquinolone susceptible. Ninety-five percent of the Gram-negative bacteria causing bacteraemia were susceptible to fluoroquinolones. Conclusion: Bacterial pathogens causing bacteraemia were still highly susceptible to fluoroquinolones, despite the high prevalence of fluoroquinolone-resistant strains in the general bacterial ecology. Accordingly, the pertinence of fluoroquinolone prophylaxis in the AHSCT setting warrants further investigation. Moreover, continuous surveillance of local antibiograms in this patient population has become a must in an era of preponderant antibiotic resistance.","author":[{"dropping-particle":"","family":"Moghnieh","given":"Rima","non-dropping-particle":"","parse-names":false,"suffix":""},{"dropping-particle":"","family":"Abdallah","given":"Dania","non-dropping-particle":"","parse-names":false,"suffix":""},{"dropping-particle":"","family":"Awad","given":"Lyn","non-dropping-particle":"","parse-names":false,"suffix":""},{"dropping-particle":"","family":"Jisr","given":"Tamima","non-dropping-particle":"","parse-names":false,"suffix":""},{"dropping-particle":"","family":"Mugharbil","given":"Anas","non-dropping-particle":"","parse-names":false,"suffix":""},{"dropping-particle":"","family":"Youssef","given":"Ali","non-dropping-particle":"","parse-names":false,"suffix":""},{"dropping-particle":"","family":"Tamim","given":"Hani","non-dropping-particle":"","parse-names":false,"suffix":""},{"dropping-particle":"","family":"Khaldieh","given":"Samer","non-dropping-particle":"","parse-names":false,"suffix":""},{"dropping-particle":"","family":"Massri","given":"Oula","non-dropping-particle":"","parse-names":false,"suffix":""},{"dropping-particle":"","family":"Rashini","given":"Najat","non-dropping-particle":"","parse-names":false,"suffix":""},{"dropping-particle":"","family":"Hamdan","given":"Youssef","non-dropping-particle":"","parse-names":false,"suffix":""},{"dropping-particle":"","family":"Ibrahim","given":"Ahmad","non-dropping-particle":"","parse-names":false,"suffix":""}],"container-title":"Infection","id":"ITEM-5","issue":"6","issued":{"date-parts":[["2018"]]},"publisher":"Urban und Vogel GmbH","title":"Bacteraemia post-autologous haematopoietic stem cell transplantation in the absence of antibacterial prophylaxis: a decade’s experience from Lebanon","type":"article-journal","volume":"46"},"uris":["http://www.mendeley.com/documents/?uuid=fcf50596-2552-44da-a965-28f05137efeb"]}],"mendeley":{"formattedCitation":"[116–120]","plainTextFormattedCitation":"[116–120]","previouslyFormattedCitation":"[116–120]"},"properties":{"noteIndex":0},"schema":"https://github.com/citation-style-language/schema/raw/master/csl-citation.json"}</w:instrText>
      </w:r>
      <w:r>
        <w:rPr>
          <w:szCs w:val="24"/>
        </w:rPr>
        <w:fldChar w:fldCharType="separate"/>
      </w:r>
      <w:r w:rsidR="00E430FD" w:rsidRPr="00E430FD">
        <w:rPr>
          <w:noProof/>
          <w:szCs w:val="24"/>
        </w:rPr>
        <w:t>[116–120]</w:t>
      </w:r>
      <w:r>
        <w:rPr>
          <w:szCs w:val="24"/>
        </w:rPr>
        <w:fldChar w:fldCharType="end"/>
      </w:r>
      <w:r w:rsidRPr="00A64221">
        <w:rPr>
          <w:szCs w:val="24"/>
        </w:rPr>
        <w:t>.</w:t>
      </w:r>
    </w:p>
    <w:p w14:paraId="43C232C3" w14:textId="77777777" w:rsidR="00506713" w:rsidRDefault="00506713" w:rsidP="00506713">
      <w:pPr>
        <w:tabs>
          <w:tab w:val="left" w:pos="0"/>
          <w:tab w:val="left" w:pos="567"/>
        </w:tabs>
        <w:spacing w:before="0" w:after="0"/>
        <w:ind w:firstLine="709"/>
        <w:rPr>
          <w:szCs w:val="24"/>
        </w:rPr>
      </w:pPr>
      <w:r w:rsidRPr="00DB1FCB">
        <w:rPr>
          <w:szCs w:val="24"/>
        </w:rPr>
        <w:t>Основными факторами, определяющими развитие инфекций у иммунокомпрометированных больных, являются нейтропения (глубина, длительность и быстрота развития), нарушения клеточного и гуморального иммунитета, повреждение слизистой желудочно-кишечного тракта, наличие централ</w:t>
      </w:r>
      <w:r>
        <w:rPr>
          <w:szCs w:val="24"/>
        </w:rPr>
        <w:t>ьного венозного катетера (ЦВК).</w:t>
      </w:r>
    </w:p>
    <w:p w14:paraId="0C22345E" w14:textId="2B131692" w:rsidR="00506713" w:rsidRPr="00DB1FCB" w:rsidRDefault="00506713" w:rsidP="00506713">
      <w:pPr>
        <w:tabs>
          <w:tab w:val="left" w:pos="0"/>
          <w:tab w:val="left" w:pos="567"/>
        </w:tabs>
        <w:spacing w:before="0" w:after="0"/>
        <w:ind w:firstLine="709"/>
        <w:rPr>
          <w:szCs w:val="24"/>
        </w:rPr>
      </w:pPr>
      <w:r w:rsidRPr="00DB1FCB">
        <w:rPr>
          <w:szCs w:val="24"/>
        </w:rPr>
        <w:t xml:space="preserve">Наиболее высокая частота инфекционных осложнений наблюдается у больных с длительностью нейтропении от 10 дней и более </w:t>
      </w:r>
      <w:r w:rsidRPr="00DB1FCB">
        <w:rPr>
          <w:szCs w:val="24"/>
        </w:rPr>
        <w:fldChar w:fldCharType="begin" w:fldLock="1"/>
      </w:r>
      <w:r w:rsidR="00E430FD">
        <w:rPr>
          <w:szCs w:val="24"/>
        </w:rPr>
        <w:instrText>ADDIN CSL_CITATION {"citationItems":[{"id":"ITEM-1","itemData":{"DOI":"10.1007/s15010-018-1200-y","ISSN":"14390973","abstract":"Purpose: In this study, we assessed the incidence, contributing factors and outcome of prolonged neutropenia above 7 days and of bacteraemia in patients with lymphoma and multiple myeloma who underwent autologous haematopoietic stem cell transplantation (AHSCT) without antibacterial prophylaxis. Methods: This is a retrospective chart review of 190 adult patients who underwent AHSCT between 2005 and 2015 at a Lebanese hospital. Results: Neutropenia of 7 days duration and longer was documented in 66% of the patient population. Through univariate analysis, patients with lymphoma were significantly more likely to have prolonged neutropenia (≥ 7 days) compared to those with myeloma. Mucositis above grade 3, diarrhoea and fever were more likely to occur in patients with prolonged neutropenia. Bacteraemia was documented in 12.6% of the patients. Total mortality rate was 3.7%, and that attributed to bacteraemia was 12.5% in the bacteraemia subgroup. Among bacterial isolates recovered from clinical specimens (89 isolates), 70% were Gram-negative, of which 57% were fluoroquinolone susceptible. Ninety-five percent of the Gram-negative bacteria causing bacteraemia were susceptible to fluoroquinolones. Conclusion: Bacterial pathogens causing bacteraemia were still highly susceptible to fluoroquinolones, despite the high prevalence of fluoroquinolone-resistant strains in the general bacterial ecology. Accordingly, the pertinence of fluoroquinolone prophylaxis in the AHSCT setting warrants further investigation. Moreover, continuous surveillance of local antibiograms in this patient population has become a must in an era of preponderant antibiotic resistance.","author":[{"dropping-particle":"","family":"Moghnieh","given":"Rima","non-dropping-particle":"","parse-names":false,"suffix":""},{"dropping-particle":"","family":"Abdallah","given":"Dania","non-dropping-particle":"","parse-names":false,"suffix":""},{"dropping-particle":"","family":"Awad","given":"Lyn","non-dropping-particle":"","parse-names":false,"suffix":""},{"dropping-particle":"","family":"Jisr","given":"Tamima","non-dropping-particle":"","parse-names":false,"suffix":""},{"dropping-particle":"","family":"Mugharbil","given":"Anas","non-dropping-particle":"","parse-names":false,"suffix":""},{"dropping-particle":"","family":"Youssef","given":"Ali","non-dropping-particle":"","parse-names":false,"suffix":""},{"dropping-particle":"","family":"Tamim","given":"Hani","non-dropping-particle":"","parse-names":false,"suffix":""},{"dropping-particle":"","family":"Khaldieh","given":"Samer","non-dropping-particle":"","parse-names":false,"suffix":""},{"dropping-particle":"","family":"Massri","given":"Oula","non-dropping-particle":"","parse-names":false,"suffix":""},{"dropping-particle":"","family":"Rashini","given":"Najat","non-dropping-particle":"","parse-names":false,"suffix":""},{"dropping-particle":"","family":"Hamdan","given":"Youssef","non-dropping-particle":"","parse-names":false,"suffix":""},{"dropping-particle":"","family":"Ibrahim","given":"Ahmad","non-dropping-particle":"","parse-names":false,"suffix":""}],"container-title":"Infection","id":"ITEM-1","issue":"6","issued":{"date-parts":[["2018"]]},"publisher":"Urban und Vogel GmbH","title":"Bacteraemia post-autologous haematopoietic stem cell transplantation in the absence of antibacterial prophylaxis: a decade’s experience from Lebanon","type":"article-journal","volume":"46"},"uris":["http://www.mendeley.com/documents/?uuid=fcf50596-2552-44da-a965-28f05137efeb"]}],"mendeley":{"formattedCitation":"[120]","plainTextFormattedCitation":"[120]","previouslyFormattedCitation":"[120]"},"properties":{"noteIndex":0},"schema":"https://github.com/citation-style-language/schema/raw/master/csl-citation.json"}</w:instrText>
      </w:r>
      <w:r w:rsidRPr="00DB1FCB">
        <w:rPr>
          <w:szCs w:val="24"/>
        </w:rPr>
        <w:fldChar w:fldCharType="separate"/>
      </w:r>
      <w:r w:rsidR="00E430FD" w:rsidRPr="00E430FD">
        <w:rPr>
          <w:noProof/>
          <w:szCs w:val="24"/>
        </w:rPr>
        <w:t>[120]</w:t>
      </w:r>
      <w:r w:rsidRPr="00DB1FCB">
        <w:rPr>
          <w:szCs w:val="24"/>
        </w:rPr>
        <w:fldChar w:fldCharType="end"/>
      </w:r>
      <w:r>
        <w:rPr>
          <w:szCs w:val="24"/>
        </w:rPr>
        <w:t>.</w:t>
      </w:r>
    </w:p>
    <w:p w14:paraId="173F9F3E" w14:textId="0D7828D5" w:rsidR="00506713" w:rsidRDefault="00506713" w:rsidP="00506713">
      <w:pPr>
        <w:tabs>
          <w:tab w:val="left" w:pos="0"/>
          <w:tab w:val="left" w:pos="567"/>
        </w:tabs>
        <w:spacing w:before="0" w:after="0"/>
        <w:ind w:firstLine="709"/>
        <w:rPr>
          <w:szCs w:val="24"/>
        </w:rPr>
      </w:pPr>
      <w:r w:rsidRPr="00DB1FCB">
        <w:rPr>
          <w:szCs w:val="24"/>
        </w:rPr>
        <w:t xml:space="preserve">Клинические проявления инфекционного процесса у этой категории пациентов, особенно в период нейтропении, крайне скудные. Ранее лихорадка неясной этиологии (повышение температуры тела без каких-либо других проявлений инфекции) являлась наиболее частым проявлением фебрильной нейтропении (≈ 50% случаев) </w:t>
      </w:r>
      <w:r w:rsidRPr="00DB1FCB">
        <w:rPr>
          <w:szCs w:val="24"/>
        </w:rPr>
        <w:fldChar w:fldCharType="begin" w:fldLock="1"/>
      </w:r>
      <w:r w:rsidR="00E430FD">
        <w:rPr>
          <w:szCs w:val="24"/>
        </w:rPr>
        <w:instrText>ADDIN CSL_CITATION {"citationItems":[{"id":"ITEM-1","itemData":{"author":[{"dropping-particle":"","family":"Клясова","given":"Г.А.","non-dropping-particle":"","parse-names":false,"suffix":""},{"dropping-particle":"","family":"Савченко","given":"В.Г.","non-dropping-particle":"","parse-names":false,"suffix":""},{"dropping-particle":"","family":"Паровичникова","given":"Е.Н.","non-dropping-particle":"","parse-names":false,"suffix":""},{"dropping-particle":"","family":"Исаев","given":"В.Г.","non-dropping-particle":"","parse-names":false,"suffix":""},{"dropping-particle":"","family":"Толкачева","given":"Т.В.","non-dropping-particle":"","parse-names":false,"suffix":""},{"dropping-particle":"","family":"Маслова","given":"Е.Р.","non-dropping-particle":"","parse-names":false,"suffix":""}],"container-title":"Терапевтический архив","id":"ITEM-1","issue":"7","issued":{"date-parts":[["1998"]]},"page":"15-21","title":"Эмпирическая антимикробная терапия у больных острыми лейкозами: итоги многоцентрового исследования","type":"article-journal","volume":"70"},"uris":["http://www.mendeley.com/documents/?uuid=8c0ade5e-966e-4a67-abb0-83bf29a0c9b4"]}],"mendeley":{"formattedCitation":"[121]","plainTextFormattedCitation":"[121]","previouslyFormattedCitation":"[121]"},"properties":{"noteIndex":0},"schema":"https://github.com/citation-style-language/schema/raw/master/csl-citation.json"}</w:instrText>
      </w:r>
      <w:r w:rsidRPr="00DB1FCB">
        <w:rPr>
          <w:szCs w:val="24"/>
        </w:rPr>
        <w:fldChar w:fldCharType="separate"/>
      </w:r>
      <w:r w:rsidR="00E430FD" w:rsidRPr="00E430FD">
        <w:rPr>
          <w:noProof/>
          <w:szCs w:val="24"/>
        </w:rPr>
        <w:t>[121]</w:t>
      </w:r>
      <w:r w:rsidRPr="00DB1FCB">
        <w:rPr>
          <w:szCs w:val="24"/>
        </w:rPr>
        <w:fldChar w:fldCharType="end"/>
      </w:r>
      <w:r>
        <w:rPr>
          <w:szCs w:val="24"/>
        </w:rPr>
        <w:t>.</w:t>
      </w:r>
    </w:p>
    <w:p w14:paraId="7ECCBDA0" w14:textId="77777777" w:rsidR="00506713" w:rsidRPr="00DB1FCB" w:rsidRDefault="00506713" w:rsidP="00506713">
      <w:pPr>
        <w:tabs>
          <w:tab w:val="left" w:pos="0"/>
          <w:tab w:val="left" w:pos="567"/>
        </w:tabs>
        <w:spacing w:before="0" w:after="0"/>
        <w:ind w:firstLine="709"/>
        <w:rPr>
          <w:szCs w:val="24"/>
        </w:rPr>
      </w:pPr>
      <w:r w:rsidRPr="00DB1FCB">
        <w:rPr>
          <w:szCs w:val="24"/>
        </w:rPr>
        <w:t xml:space="preserve">Микробиологически и клинически доказанные инфекции встречались реже. К клинически доказанным инфекциям относят те, которые удается верифицировать с помощью физикальных или инструментальных методов диагностики при отсутствии микробиологического подтверждения. Микробиологическим подтверждением наличия инфекции в период гранулоцитопении в большинстве случаев является выделение микроорганизмов из гемокультуры. </w:t>
      </w:r>
    </w:p>
    <w:p w14:paraId="0F93947F" w14:textId="77777777" w:rsidR="00506713" w:rsidRDefault="00506713" w:rsidP="00506713">
      <w:pPr>
        <w:tabs>
          <w:tab w:val="left" w:pos="0"/>
          <w:tab w:val="left" w:pos="567"/>
        </w:tabs>
        <w:spacing w:before="0" w:after="0"/>
        <w:ind w:firstLine="709"/>
        <w:rPr>
          <w:szCs w:val="24"/>
        </w:rPr>
      </w:pPr>
      <w:r w:rsidRPr="00DB1FCB">
        <w:rPr>
          <w:szCs w:val="24"/>
        </w:rPr>
        <w:t xml:space="preserve">В последнее время возможности по диагностике инфекционных осложнений существенно расширились как за счет внедрения новых и совершенствования ранее используемых методов, так и сокращения времени исследования в микробиологии благодаря введению в лабораторную практику автоматических анализаторов и новых технологий дли идентификации микроорганизмов. </w:t>
      </w:r>
    </w:p>
    <w:p w14:paraId="2BB478DF" w14:textId="77777777" w:rsidR="00506713" w:rsidRDefault="00506713" w:rsidP="00506713">
      <w:pPr>
        <w:tabs>
          <w:tab w:val="left" w:pos="0"/>
          <w:tab w:val="left" w:pos="567"/>
        </w:tabs>
        <w:spacing w:before="0" w:after="0"/>
        <w:ind w:firstLine="709"/>
        <w:rPr>
          <w:szCs w:val="24"/>
        </w:rPr>
      </w:pPr>
      <w:r w:rsidRPr="00DB1FCB">
        <w:rPr>
          <w:szCs w:val="24"/>
        </w:rPr>
        <w:t xml:space="preserve">В первые сутки, как правило, единственным симптомом бывает лишь повышение температуры, а информацию о бактериемии или пневмонии у больных с нейтропенией удается получить не раньше, чем на второй день инфекционного эпизода. В связи с этим основным принципом терапии инфекционных осложнений у больных с фебрильной нейтропенией является эмпирический подход к назначению антибактериальных препаратов, когда их применяют при первых признаках инфекции, при лихорадке до идентификации возбудителей инфекции. В то же время эмпирический подход к назначению антибиотиков является относительным, поскольку выбор антимикробных препаратов </w:t>
      </w:r>
      <w:r w:rsidRPr="00DB1FCB">
        <w:rPr>
          <w:szCs w:val="24"/>
        </w:rPr>
        <w:lastRenderedPageBreak/>
        <w:t xml:space="preserve">определяется ретроспективным анализом верифицированных возбудителей и их антибиотикочувствительностью. </w:t>
      </w:r>
    </w:p>
    <w:p w14:paraId="57FB513E" w14:textId="774F6437" w:rsidR="00506713" w:rsidRPr="00DB1FCB" w:rsidRDefault="00506713" w:rsidP="00506713">
      <w:pPr>
        <w:tabs>
          <w:tab w:val="left" w:pos="0"/>
          <w:tab w:val="left" w:pos="567"/>
        </w:tabs>
        <w:spacing w:before="0" w:after="0"/>
        <w:ind w:firstLine="709"/>
        <w:rPr>
          <w:szCs w:val="24"/>
        </w:rPr>
      </w:pPr>
      <w:r>
        <w:rPr>
          <w:szCs w:val="24"/>
        </w:rPr>
        <w:t xml:space="preserve">Подробные сведения о тактике </w:t>
      </w:r>
      <w:r w:rsidRPr="00506713">
        <w:rPr>
          <w:szCs w:val="24"/>
        </w:rPr>
        <w:t>антибактериальной терапии и исследованиях, необходимых для верификации возбудителя представлены в приложениях А3.14 - А3.16.</w:t>
      </w:r>
    </w:p>
    <w:p w14:paraId="78CBC8C6" w14:textId="337BFBB3" w:rsidR="00506713" w:rsidRPr="00506713" w:rsidRDefault="00506713" w:rsidP="008F161A">
      <w:pPr>
        <w:pStyle w:val="a6"/>
        <w:numPr>
          <w:ilvl w:val="0"/>
          <w:numId w:val="128"/>
        </w:numPr>
        <w:spacing w:before="0"/>
        <w:rPr>
          <w:b/>
        </w:rPr>
      </w:pPr>
      <w:r w:rsidRPr="00506713">
        <w:rPr>
          <w:b/>
        </w:rPr>
        <w:t>Иммуноглобулин человеческий</w:t>
      </w:r>
      <w:r w:rsidR="00514CAC">
        <w:rPr>
          <w:b/>
          <w:lang w:val="en-US"/>
        </w:rPr>
        <w:t>**</w:t>
      </w:r>
    </w:p>
    <w:p w14:paraId="3CE2417A" w14:textId="12343FD3" w:rsidR="00506713" w:rsidRDefault="00506713" w:rsidP="00506713">
      <w:pPr>
        <w:pStyle w:val="a6"/>
        <w:ind w:left="0" w:firstLine="709"/>
      </w:pPr>
      <w:r w:rsidRPr="00163277">
        <w:t>У пациентов после ауто-ТГСК развивается вторичный иммунодефицит. Для коррекции гипогаммаглобулинемии применяют препараты человеческого иммуноглобулина</w:t>
      </w:r>
      <w:r w:rsidR="00514CAC" w:rsidRPr="00CA30D6">
        <w:t>**</w:t>
      </w:r>
      <w:r w:rsidRPr="00163277">
        <w:t>. Человеческий иммуноглобулин</w:t>
      </w:r>
      <w:r w:rsidR="00514CAC" w:rsidRPr="00CA30D6">
        <w:t>**</w:t>
      </w:r>
      <w:r w:rsidRPr="00163277">
        <w:t xml:space="preserve">, восполняя дефицит антител, снижает риск развития инфекций у больных со вторичным иммунодефицитом. </w:t>
      </w:r>
    </w:p>
    <w:p w14:paraId="4EF6AE3A" w14:textId="77777777" w:rsidR="00506713" w:rsidRPr="00674B7A" w:rsidRDefault="00506713" w:rsidP="00506713">
      <w:pPr>
        <w:pStyle w:val="a6"/>
        <w:ind w:left="0" w:firstLine="709"/>
      </w:pPr>
      <w:r w:rsidRPr="000C7299">
        <w:t>До выхода больного из МТА рекомендовано введение препарата внутривенно капельно в дозе 0,4 г/кг еженедельно. При тяжелых бактериальных и вирусных инфекциях рекомендовано 0.4-1 г/кг ежедневно</w:t>
      </w:r>
      <w:r w:rsidRPr="00163277">
        <w:t xml:space="preserve"> в течение 1-4 дней. Перед введением препарат следует согреть до комнатной температуры или температуры тела. Начальная скорость инфузии - 30 кап/мин (1.65 мл/мин), через 10 мин скорость увеличивают до 40 кап/мин (2.2 мл/мин).</w:t>
      </w:r>
    </w:p>
    <w:p w14:paraId="6886B6CB" w14:textId="5DA4ECD3" w:rsidR="00506713" w:rsidRPr="00111809" w:rsidRDefault="00506713" w:rsidP="008F161A">
      <w:pPr>
        <w:pStyle w:val="a6"/>
        <w:numPr>
          <w:ilvl w:val="0"/>
          <w:numId w:val="128"/>
        </w:numPr>
        <w:spacing w:before="0" w:after="0"/>
        <w:rPr>
          <w:b/>
        </w:rPr>
      </w:pPr>
      <w:bookmarkStart w:id="93" w:name="_Toc44926639"/>
      <w:r w:rsidRPr="00111809">
        <w:rPr>
          <w:b/>
        </w:rPr>
        <w:t>Трансфузионная терапия</w:t>
      </w:r>
      <w:bookmarkEnd w:id="93"/>
    </w:p>
    <w:p w14:paraId="131F6DC7" w14:textId="77777777" w:rsidR="00506713" w:rsidRPr="00163277" w:rsidRDefault="00506713" w:rsidP="00111809">
      <w:pPr>
        <w:tabs>
          <w:tab w:val="left" w:pos="426"/>
        </w:tabs>
        <w:spacing w:before="0" w:after="0"/>
        <w:ind w:firstLine="567"/>
        <w:rPr>
          <w:szCs w:val="24"/>
        </w:rPr>
      </w:pPr>
      <w:r w:rsidRPr="00163277">
        <w:rPr>
          <w:szCs w:val="24"/>
        </w:rPr>
        <w:t>В ранний пострансплантационный период в связи с развитием анемии, тромбоцитопении, геморрагического синдрома пациентам требуется заместительная терапия компонентами крови. Чаще всего используются эритроцитная масса, тромбоконцентрат, СЗП</w:t>
      </w:r>
    </w:p>
    <w:p w14:paraId="37C33194" w14:textId="77777777" w:rsidR="00506713" w:rsidRPr="00163277" w:rsidRDefault="00506713" w:rsidP="00111809">
      <w:pPr>
        <w:tabs>
          <w:tab w:val="left" w:pos="426"/>
        </w:tabs>
        <w:spacing w:before="0" w:after="0"/>
        <w:ind w:firstLine="567"/>
        <w:rPr>
          <w:szCs w:val="24"/>
        </w:rPr>
      </w:pPr>
      <w:r w:rsidRPr="00163277">
        <w:rPr>
          <w:szCs w:val="24"/>
        </w:rPr>
        <w:t>Показания к переливанию эритроцитсодержащих сред при ауто-ТГСК:</w:t>
      </w:r>
    </w:p>
    <w:p w14:paraId="5651BCC7" w14:textId="77777777" w:rsidR="00506713" w:rsidRPr="00163277" w:rsidRDefault="00506713" w:rsidP="008F161A">
      <w:pPr>
        <w:numPr>
          <w:ilvl w:val="0"/>
          <w:numId w:val="129"/>
        </w:numPr>
        <w:tabs>
          <w:tab w:val="left" w:pos="426"/>
        </w:tabs>
        <w:spacing w:before="0" w:after="0"/>
        <w:ind w:left="0" w:firstLine="0"/>
        <w:contextualSpacing/>
        <w:rPr>
          <w:szCs w:val="24"/>
        </w:rPr>
      </w:pPr>
      <w:r>
        <w:rPr>
          <w:szCs w:val="24"/>
        </w:rPr>
        <w:t xml:space="preserve">Пациентам при значимом снижении гемоглобина </w:t>
      </w:r>
      <w:r w:rsidRPr="00163277">
        <w:rPr>
          <w:szCs w:val="24"/>
        </w:rPr>
        <w:t>и наличии анемических жалоб рекомендованы заместительные трансфузии эритроцитов;</w:t>
      </w:r>
    </w:p>
    <w:p w14:paraId="18C3F91C" w14:textId="77777777" w:rsidR="00506713" w:rsidRPr="00163277" w:rsidRDefault="00506713" w:rsidP="008F161A">
      <w:pPr>
        <w:numPr>
          <w:ilvl w:val="0"/>
          <w:numId w:val="129"/>
        </w:numPr>
        <w:tabs>
          <w:tab w:val="left" w:pos="426"/>
        </w:tabs>
        <w:spacing w:before="0" w:after="200"/>
        <w:ind w:left="0" w:firstLine="0"/>
        <w:contextualSpacing/>
        <w:rPr>
          <w:szCs w:val="24"/>
        </w:rPr>
      </w:pPr>
      <w:r w:rsidRPr="00163277">
        <w:rPr>
          <w:szCs w:val="24"/>
        </w:rPr>
        <w:t>При активном кровотечении трансфузии эритроцитов показаны при уровне гемоглобина менее 70-90 г/л;</w:t>
      </w:r>
    </w:p>
    <w:p w14:paraId="31386058" w14:textId="77777777" w:rsidR="00506713" w:rsidRPr="00163277" w:rsidRDefault="00506713" w:rsidP="008F161A">
      <w:pPr>
        <w:numPr>
          <w:ilvl w:val="0"/>
          <w:numId w:val="129"/>
        </w:numPr>
        <w:tabs>
          <w:tab w:val="left" w:pos="426"/>
        </w:tabs>
        <w:spacing w:before="0" w:after="200"/>
        <w:ind w:left="0" w:firstLine="0"/>
        <w:contextualSpacing/>
        <w:rPr>
          <w:szCs w:val="24"/>
        </w:rPr>
      </w:pPr>
      <w:r w:rsidRPr="00163277">
        <w:rPr>
          <w:szCs w:val="24"/>
        </w:rPr>
        <w:t xml:space="preserve">Пациентам с тяжелыми инфекционными осложнениями (сепсис, пневмония), кардиопатиями (ИБС, миокардит), субарахноидальным </w:t>
      </w:r>
      <w:proofErr w:type="gramStart"/>
      <w:r w:rsidRPr="00163277">
        <w:rPr>
          <w:szCs w:val="24"/>
        </w:rPr>
        <w:t>кровоизлиянием,  больным</w:t>
      </w:r>
      <w:proofErr w:type="gramEnd"/>
      <w:r w:rsidRPr="00163277">
        <w:rPr>
          <w:szCs w:val="24"/>
        </w:rPr>
        <w:t xml:space="preserve"> старше 60 лет трансфузии эритроцитов рекомендованы при уровне гемоглобина менее 100 г/л;</w:t>
      </w:r>
    </w:p>
    <w:p w14:paraId="5AD4DA25" w14:textId="7F331581" w:rsidR="00506713" w:rsidRPr="00163277" w:rsidRDefault="00506713" w:rsidP="008F161A">
      <w:pPr>
        <w:numPr>
          <w:ilvl w:val="0"/>
          <w:numId w:val="129"/>
        </w:numPr>
        <w:tabs>
          <w:tab w:val="left" w:pos="426"/>
        </w:tabs>
        <w:spacing w:before="0" w:after="200"/>
        <w:ind w:left="0" w:firstLine="0"/>
        <w:contextualSpacing/>
        <w:rPr>
          <w:szCs w:val="24"/>
        </w:rPr>
      </w:pPr>
      <w:r w:rsidRPr="00163277">
        <w:rPr>
          <w:szCs w:val="24"/>
        </w:rPr>
        <w:t>Пациентам с хронической анемией трансфузии эритроцитов рекомендованы при уровне гемоглобина менее 60 г/л</w:t>
      </w:r>
      <w:r w:rsidR="00CA30D6" w:rsidRPr="00CA30D6">
        <w:rPr>
          <w:szCs w:val="24"/>
        </w:rPr>
        <w:t>.</w:t>
      </w:r>
    </w:p>
    <w:p w14:paraId="32C1B6E7" w14:textId="77777777" w:rsidR="00506713" w:rsidRPr="00163277" w:rsidRDefault="00506713" w:rsidP="00111809">
      <w:pPr>
        <w:tabs>
          <w:tab w:val="left" w:pos="426"/>
        </w:tabs>
        <w:spacing w:before="0" w:after="0"/>
        <w:ind w:firstLine="567"/>
        <w:rPr>
          <w:szCs w:val="24"/>
        </w:rPr>
      </w:pPr>
      <w:r w:rsidRPr="00163277">
        <w:rPr>
          <w:szCs w:val="24"/>
        </w:rPr>
        <w:t>Показания к переливанию концентратата тромбоцитов при ауто-ТГСК:</w:t>
      </w:r>
    </w:p>
    <w:p w14:paraId="4C928041" w14:textId="07111380" w:rsidR="00506713" w:rsidRPr="00A64221" w:rsidRDefault="00506713" w:rsidP="008F161A">
      <w:pPr>
        <w:numPr>
          <w:ilvl w:val="0"/>
          <w:numId w:val="130"/>
        </w:numPr>
        <w:tabs>
          <w:tab w:val="left" w:pos="426"/>
        </w:tabs>
        <w:spacing w:before="0" w:after="200"/>
        <w:ind w:left="0" w:firstLine="0"/>
        <w:contextualSpacing/>
        <w:rPr>
          <w:szCs w:val="24"/>
        </w:rPr>
      </w:pPr>
      <w:r w:rsidRPr="00A64221">
        <w:rPr>
          <w:szCs w:val="24"/>
        </w:rPr>
        <w:t>Снижение тромбоцитов крови менее 20 ×10</w:t>
      </w:r>
      <w:r w:rsidRPr="00A64221">
        <w:rPr>
          <w:szCs w:val="24"/>
          <w:vertAlign w:val="superscript"/>
        </w:rPr>
        <w:t>9</w:t>
      </w:r>
      <w:r w:rsidRPr="00A64221">
        <w:rPr>
          <w:szCs w:val="24"/>
        </w:rPr>
        <w:t>/л</w:t>
      </w:r>
      <w:r w:rsidR="00CA30D6" w:rsidRPr="00CA30D6">
        <w:rPr>
          <w:szCs w:val="24"/>
        </w:rPr>
        <w:t>;</w:t>
      </w:r>
    </w:p>
    <w:p w14:paraId="2B4F0A44" w14:textId="3525D75E" w:rsidR="00506713" w:rsidRPr="00163277" w:rsidRDefault="00506713" w:rsidP="008F161A">
      <w:pPr>
        <w:numPr>
          <w:ilvl w:val="0"/>
          <w:numId w:val="130"/>
        </w:numPr>
        <w:tabs>
          <w:tab w:val="left" w:pos="426"/>
        </w:tabs>
        <w:spacing w:before="0" w:after="200"/>
        <w:ind w:left="0" w:firstLine="0"/>
        <w:contextualSpacing/>
        <w:rPr>
          <w:szCs w:val="24"/>
        </w:rPr>
      </w:pPr>
      <w:r w:rsidRPr="00163277">
        <w:rPr>
          <w:szCs w:val="24"/>
        </w:rPr>
        <w:t>При необходимости выполнения диагностической люмбальной пункции, малоинвазивного вмешательства (эзофагогастродуоденоскопия, бронхоскопия) трансфузия тромбоконцентрата показана при снижении тромбоцитов крови менее 50 ×10</w:t>
      </w:r>
      <w:r w:rsidRPr="00163277">
        <w:rPr>
          <w:szCs w:val="24"/>
          <w:vertAlign w:val="superscript"/>
        </w:rPr>
        <w:t>9</w:t>
      </w:r>
      <w:r w:rsidRPr="00163277">
        <w:rPr>
          <w:szCs w:val="24"/>
        </w:rPr>
        <w:t>/л</w:t>
      </w:r>
      <w:r w:rsidR="00CA30D6" w:rsidRPr="00CA30D6">
        <w:rPr>
          <w:szCs w:val="24"/>
        </w:rPr>
        <w:t>;</w:t>
      </w:r>
    </w:p>
    <w:p w14:paraId="1249A594" w14:textId="02A7727F" w:rsidR="00506713" w:rsidRPr="00163277" w:rsidRDefault="00506713" w:rsidP="008F161A">
      <w:pPr>
        <w:numPr>
          <w:ilvl w:val="0"/>
          <w:numId w:val="130"/>
        </w:numPr>
        <w:tabs>
          <w:tab w:val="left" w:pos="426"/>
        </w:tabs>
        <w:spacing w:before="0" w:after="200"/>
        <w:ind w:left="0" w:firstLine="0"/>
        <w:contextualSpacing/>
        <w:rPr>
          <w:szCs w:val="24"/>
        </w:rPr>
      </w:pPr>
      <w:r w:rsidRPr="00163277">
        <w:rPr>
          <w:szCs w:val="24"/>
        </w:rPr>
        <w:lastRenderedPageBreak/>
        <w:t>Наличие геморрагического синдрома – прямое показание к переливанию тромбоконцентрата независимо от лабораторных показателей</w:t>
      </w:r>
      <w:r w:rsidR="00CA30D6" w:rsidRPr="00CA30D6">
        <w:rPr>
          <w:szCs w:val="24"/>
        </w:rPr>
        <w:t>.</w:t>
      </w:r>
    </w:p>
    <w:p w14:paraId="2E61CE32" w14:textId="77777777" w:rsidR="00506713" w:rsidRPr="00163277" w:rsidRDefault="00506713" w:rsidP="00111809">
      <w:pPr>
        <w:tabs>
          <w:tab w:val="left" w:pos="426"/>
        </w:tabs>
        <w:spacing w:before="0"/>
        <w:ind w:firstLine="567"/>
        <w:rPr>
          <w:szCs w:val="24"/>
        </w:rPr>
      </w:pPr>
      <w:r w:rsidRPr="00163277">
        <w:rPr>
          <w:szCs w:val="24"/>
        </w:rPr>
        <w:t xml:space="preserve">СЗП является универсальным препаратом для восполнения дефицита факторов свертывания. Показания к применению СЗП при ауто-ТГСК: </w:t>
      </w:r>
    </w:p>
    <w:p w14:paraId="79302D2D" w14:textId="77777777" w:rsidR="00506713" w:rsidRPr="00163277" w:rsidRDefault="00506713" w:rsidP="008F161A">
      <w:pPr>
        <w:numPr>
          <w:ilvl w:val="0"/>
          <w:numId w:val="131"/>
        </w:numPr>
        <w:tabs>
          <w:tab w:val="left" w:pos="426"/>
        </w:tabs>
        <w:spacing w:before="0" w:after="200"/>
        <w:ind w:left="0" w:firstLine="0"/>
        <w:contextualSpacing/>
      </w:pPr>
      <w:r w:rsidRPr="00163277">
        <w:t>Коррекция дефицита известного фактора свертывания, при отсутствии специфического концентрата фактора. Требуется переливание СЗП из расчета 10-15 мл/кг.</w:t>
      </w:r>
    </w:p>
    <w:p w14:paraId="48420F75" w14:textId="783D71B2" w:rsidR="00506713" w:rsidRPr="00163277" w:rsidRDefault="00506713" w:rsidP="008F161A">
      <w:pPr>
        <w:numPr>
          <w:ilvl w:val="0"/>
          <w:numId w:val="131"/>
        </w:numPr>
        <w:tabs>
          <w:tab w:val="left" w:pos="426"/>
        </w:tabs>
        <w:spacing w:before="0" w:after="200"/>
        <w:ind w:left="0" w:firstLine="0"/>
        <w:contextualSpacing/>
      </w:pPr>
      <w:r w:rsidRPr="00163277">
        <w:t>Коррекция геморрагического синдрома</w:t>
      </w:r>
      <w:r w:rsidR="00497774">
        <w:rPr>
          <w:lang w:val="en-US"/>
        </w:rPr>
        <w:t>.</w:t>
      </w:r>
    </w:p>
    <w:p w14:paraId="2957DBF0" w14:textId="77777777" w:rsidR="00506713" w:rsidRDefault="00506713" w:rsidP="00111809">
      <w:pPr>
        <w:tabs>
          <w:tab w:val="left" w:pos="426"/>
        </w:tabs>
        <w:spacing w:before="0" w:after="0"/>
        <w:ind w:firstLine="567"/>
      </w:pPr>
      <w:r w:rsidRPr="00163277">
        <w:rPr>
          <w:szCs w:val="24"/>
        </w:rPr>
        <w:t>Основным показанием к применению криопреципитата при ауто-ТГСК является г</w:t>
      </w:r>
      <w:r w:rsidRPr="00163277">
        <w:t>ипофибриногенемия (фибриноген менее 1 г/л).</w:t>
      </w:r>
      <w:r>
        <w:t xml:space="preserve"> </w:t>
      </w:r>
    </w:p>
    <w:p w14:paraId="2A9D5743" w14:textId="6254D8FD" w:rsidR="00506713" w:rsidRPr="00163277" w:rsidRDefault="00506713" w:rsidP="00111809">
      <w:pPr>
        <w:tabs>
          <w:tab w:val="left" w:pos="426"/>
        </w:tabs>
        <w:spacing w:before="0" w:after="0"/>
        <w:ind w:firstLine="567"/>
      </w:pPr>
      <w:r w:rsidRPr="00163277">
        <w:t>Принимая во внимание</w:t>
      </w:r>
      <w:r w:rsidR="00111809">
        <w:t xml:space="preserve"> тот факт</w:t>
      </w:r>
      <w:r w:rsidRPr="00163277">
        <w:t>, что пациенты с онкогематологическими заболеваниями нуждаются в многократных трансфузиях компонентов крови, с целью профилактики нежелательных реакций и посттрансфузионных осложнений рекомендовано использование компонентов крови со следующими характеристиками:</w:t>
      </w:r>
    </w:p>
    <w:p w14:paraId="71296D58" w14:textId="6DED20DC" w:rsidR="00506713" w:rsidRPr="00163277" w:rsidRDefault="00506713" w:rsidP="008F161A">
      <w:pPr>
        <w:numPr>
          <w:ilvl w:val="0"/>
          <w:numId w:val="132"/>
        </w:numPr>
        <w:tabs>
          <w:tab w:val="left" w:pos="426"/>
        </w:tabs>
        <w:spacing w:before="0" w:after="200"/>
        <w:ind w:left="0" w:firstLine="0"/>
        <w:contextualSpacing/>
      </w:pPr>
      <w:r w:rsidRPr="00163277">
        <w:t>Лейкоредуцир</w:t>
      </w:r>
      <w:r w:rsidR="00497774">
        <w:t>о</w:t>
      </w:r>
      <w:r w:rsidRPr="00163277">
        <w:t>ванные среды;</w:t>
      </w:r>
    </w:p>
    <w:p w14:paraId="5D54B829" w14:textId="12583832" w:rsidR="00506713" w:rsidRPr="00163277" w:rsidRDefault="00506713" w:rsidP="008F161A">
      <w:pPr>
        <w:numPr>
          <w:ilvl w:val="0"/>
          <w:numId w:val="132"/>
        </w:numPr>
        <w:tabs>
          <w:tab w:val="left" w:pos="426"/>
        </w:tabs>
        <w:spacing w:before="0" w:after="200"/>
        <w:ind w:left="0" w:firstLine="0"/>
        <w:contextualSpacing/>
      </w:pPr>
      <w:r w:rsidRPr="00163277">
        <w:t>Облученные эритроциты и тромбоциты (гамма-излучение или рентгеновское излучение в дозе 25-50 Гр)</w:t>
      </w:r>
      <w:r w:rsidR="00497774">
        <w:t>;</w:t>
      </w:r>
    </w:p>
    <w:p w14:paraId="1629EC04" w14:textId="77777777" w:rsidR="00506713" w:rsidRDefault="00506713" w:rsidP="008F161A">
      <w:pPr>
        <w:numPr>
          <w:ilvl w:val="0"/>
          <w:numId w:val="132"/>
        </w:numPr>
        <w:tabs>
          <w:tab w:val="left" w:pos="426"/>
        </w:tabs>
        <w:spacing w:before="0" w:after="0"/>
        <w:ind w:left="0" w:firstLine="0"/>
        <w:contextualSpacing/>
      </w:pPr>
      <w:r w:rsidRPr="00163277">
        <w:t>Проведение инактивации патогенов в концентрате тромбоцитов.</w:t>
      </w:r>
    </w:p>
    <w:p w14:paraId="6150173D" w14:textId="1B760B8C" w:rsidR="00506713" w:rsidRPr="00111809" w:rsidRDefault="00506713" w:rsidP="008F161A">
      <w:pPr>
        <w:pStyle w:val="a6"/>
        <w:numPr>
          <w:ilvl w:val="0"/>
          <w:numId w:val="128"/>
        </w:numPr>
        <w:spacing w:before="0" w:after="0"/>
        <w:ind w:left="0" w:firstLine="0"/>
        <w:rPr>
          <w:b/>
        </w:rPr>
      </w:pPr>
      <w:bookmarkStart w:id="94" w:name="_Toc44926640"/>
      <w:r w:rsidRPr="00111809">
        <w:rPr>
          <w:b/>
        </w:rPr>
        <w:t>Лабораторный и инструментальный мониторинг в раннем посттрансплантационном периоде</w:t>
      </w:r>
      <w:bookmarkEnd w:id="94"/>
    </w:p>
    <w:p w14:paraId="58986B6E" w14:textId="77777777" w:rsidR="00506713" w:rsidRDefault="00506713" w:rsidP="00111809">
      <w:pPr>
        <w:spacing w:before="0"/>
        <w:ind w:firstLine="709"/>
        <w:contextualSpacing/>
      </w:pPr>
      <w:r>
        <w:t xml:space="preserve">Всем пациентам в раннем посттрансплантационном периоде проводится регулярное исследование общего анализа крови (с целью коррекции анемии и тромбоцитопении), биохимических параметров (с целью коррекции электролитов, гипоальбуминемии), показателей коагулограммы с целью контроля гемостаза, общий анализ мочи, электрокардиограмма и др. методы исследования при необходимости, включая КТ легких, МРТ головного мозга, ХОЛТЕР-ЭКГ. </w:t>
      </w:r>
    </w:p>
    <w:p w14:paraId="6A5E46DB" w14:textId="77777777" w:rsidR="00506713" w:rsidRPr="009D3DD0" w:rsidRDefault="00506713" w:rsidP="00506713">
      <w:pPr>
        <w:ind w:firstLine="709"/>
        <w:contextualSpacing/>
      </w:pPr>
      <w:r>
        <w:t xml:space="preserve">Частота </w:t>
      </w:r>
      <w:r w:rsidRPr="009D3DD0">
        <w:t>исследования данных показателей может изменяться в зависимости от конкретной клинической ситуации.</w:t>
      </w:r>
    </w:p>
    <w:p w14:paraId="3DD12EFA" w14:textId="42F9478A" w:rsidR="00506713" w:rsidRPr="009D3DD0" w:rsidRDefault="00506713" w:rsidP="005A0507">
      <w:pPr>
        <w:pStyle w:val="Numlist"/>
        <w:tabs>
          <w:tab w:val="left" w:pos="284"/>
        </w:tabs>
        <w:spacing w:line="360" w:lineRule="auto"/>
        <w:ind w:firstLine="0"/>
        <w:jc w:val="both"/>
      </w:pPr>
      <w:r w:rsidRPr="009D3DD0">
        <w:t xml:space="preserve">• </w:t>
      </w:r>
      <w:r w:rsidR="005A0507">
        <w:t xml:space="preserve">Общий (клинический) анализ крови </w:t>
      </w:r>
      <w:r w:rsidRPr="009D3DD0">
        <w:t xml:space="preserve">1 раз в </w:t>
      </w:r>
      <w:r>
        <w:t>2</w:t>
      </w:r>
      <w:r w:rsidRPr="009D3DD0">
        <w:t>–</w:t>
      </w:r>
      <w:r>
        <w:t>3</w:t>
      </w:r>
      <w:r w:rsidRPr="009D3DD0">
        <w:t xml:space="preserve"> дн</w:t>
      </w:r>
      <w:r>
        <w:t>я</w:t>
      </w:r>
      <w:r w:rsidRPr="009D3DD0">
        <w:t>.</w:t>
      </w:r>
    </w:p>
    <w:p w14:paraId="1D040A7C" w14:textId="3F9500F6" w:rsidR="00506713" w:rsidRPr="009D3DD0" w:rsidRDefault="00506713" w:rsidP="005A0507">
      <w:pPr>
        <w:spacing w:before="0" w:after="0"/>
        <w:ind w:left="709" w:hanging="709"/>
        <w:contextualSpacing/>
      </w:pPr>
      <w:r w:rsidRPr="009D3DD0">
        <w:t xml:space="preserve">• </w:t>
      </w:r>
      <w:r w:rsidR="005A0507">
        <w:t>Анализ крови б</w:t>
      </w:r>
      <w:r>
        <w:t xml:space="preserve">иохимический </w:t>
      </w:r>
      <w:r w:rsidR="005A0507">
        <w:t xml:space="preserve">общетерапевтический </w:t>
      </w:r>
      <w:r w:rsidRPr="009D3DD0">
        <w:t xml:space="preserve">1 раз в </w:t>
      </w:r>
      <w:r>
        <w:t>2</w:t>
      </w:r>
      <w:r w:rsidRPr="009D3DD0">
        <w:t>–</w:t>
      </w:r>
      <w:r>
        <w:t>3</w:t>
      </w:r>
      <w:r w:rsidRPr="009D3DD0">
        <w:t xml:space="preserve"> дн</w:t>
      </w:r>
      <w:r>
        <w:t>я</w:t>
      </w:r>
      <w:r w:rsidRPr="009D3DD0">
        <w:t>.</w:t>
      </w:r>
    </w:p>
    <w:p w14:paraId="3F12EC79" w14:textId="77777777" w:rsidR="00506713" w:rsidRPr="009D3DD0" w:rsidRDefault="00506713" w:rsidP="005A0507">
      <w:pPr>
        <w:spacing w:before="0" w:after="0"/>
        <w:ind w:left="709" w:hanging="709"/>
        <w:contextualSpacing/>
      </w:pPr>
      <w:r w:rsidRPr="009D3DD0">
        <w:t xml:space="preserve">• </w:t>
      </w:r>
      <w:r>
        <w:t xml:space="preserve">Коагулограмма </w:t>
      </w:r>
      <w:r w:rsidRPr="009D3DD0">
        <w:t xml:space="preserve">1 раз в </w:t>
      </w:r>
      <w:r>
        <w:t>3</w:t>
      </w:r>
      <w:r w:rsidRPr="009D3DD0">
        <w:t>–</w:t>
      </w:r>
      <w:r>
        <w:t>4</w:t>
      </w:r>
      <w:r w:rsidRPr="009D3DD0">
        <w:t xml:space="preserve"> дн</w:t>
      </w:r>
      <w:r>
        <w:t>я</w:t>
      </w:r>
      <w:r w:rsidRPr="009D3DD0">
        <w:t>.</w:t>
      </w:r>
    </w:p>
    <w:p w14:paraId="5406A4FD" w14:textId="77777777" w:rsidR="00506713" w:rsidRDefault="00506713" w:rsidP="00506713">
      <w:pPr>
        <w:ind w:left="709" w:hanging="709"/>
        <w:contextualSpacing/>
      </w:pPr>
      <w:r w:rsidRPr="009D3DD0">
        <w:t xml:space="preserve">• </w:t>
      </w:r>
      <w:r>
        <w:t>Глюкоза крови</w:t>
      </w:r>
      <w:r w:rsidRPr="009D3DD0">
        <w:t xml:space="preserve"> 1 раз в </w:t>
      </w:r>
      <w:r>
        <w:t>3</w:t>
      </w:r>
      <w:r w:rsidRPr="009D3DD0">
        <w:t>–</w:t>
      </w:r>
      <w:r>
        <w:t>4</w:t>
      </w:r>
      <w:r w:rsidRPr="009D3DD0">
        <w:t xml:space="preserve"> дн</w:t>
      </w:r>
      <w:r>
        <w:t>я</w:t>
      </w:r>
      <w:r w:rsidRPr="009D3DD0">
        <w:t>.</w:t>
      </w:r>
    </w:p>
    <w:p w14:paraId="1DF45F3F" w14:textId="77777777" w:rsidR="00506713" w:rsidRDefault="00506713" w:rsidP="00506713">
      <w:pPr>
        <w:ind w:left="709" w:hanging="709"/>
        <w:contextualSpacing/>
      </w:pPr>
      <w:r w:rsidRPr="009D3DD0">
        <w:t xml:space="preserve">• </w:t>
      </w:r>
      <w:r>
        <w:t>Общий анализ мочи - еженедельно.</w:t>
      </w:r>
    </w:p>
    <w:p w14:paraId="42F6A57D" w14:textId="77777777" w:rsidR="00506713" w:rsidRDefault="00506713" w:rsidP="006C221C">
      <w:pPr>
        <w:spacing w:before="0" w:after="0"/>
        <w:ind w:left="709" w:hanging="709"/>
        <w:contextualSpacing/>
      </w:pPr>
      <w:r w:rsidRPr="009D3DD0">
        <w:t xml:space="preserve">• </w:t>
      </w:r>
      <w:r>
        <w:t>Электрокардиограмма</w:t>
      </w:r>
      <w:r w:rsidRPr="009D3DD0">
        <w:t xml:space="preserve"> </w:t>
      </w:r>
      <w:r>
        <w:t>- еженедельно</w:t>
      </w:r>
      <w:r w:rsidRPr="009D3DD0">
        <w:t>.</w:t>
      </w:r>
    </w:p>
    <w:p w14:paraId="1F0E297F" w14:textId="77777777" w:rsidR="00111809" w:rsidRPr="00111809" w:rsidRDefault="00111809" w:rsidP="008F161A">
      <w:pPr>
        <w:pStyle w:val="a6"/>
        <w:numPr>
          <w:ilvl w:val="0"/>
          <w:numId w:val="128"/>
        </w:numPr>
        <w:spacing w:before="0" w:after="0"/>
        <w:jc w:val="left"/>
        <w:rPr>
          <w:b/>
        </w:rPr>
      </w:pPr>
      <w:bookmarkStart w:id="95" w:name="_Toc44926642"/>
      <w:r w:rsidRPr="00111809">
        <w:rPr>
          <w:b/>
        </w:rPr>
        <w:lastRenderedPageBreak/>
        <w:t>Обезболивание в период нейтропении</w:t>
      </w:r>
      <w:bookmarkEnd w:id="95"/>
    </w:p>
    <w:p w14:paraId="7D5ABE6E" w14:textId="6AEC01D9" w:rsidR="00111809" w:rsidRDefault="00111809" w:rsidP="00111809">
      <w:pPr>
        <w:spacing w:before="0" w:after="0"/>
        <w:ind w:firstLine="851"/>
        <w:rPr>
          <w:szCs w:val="24"/>
        </w:rPr>
      </w:pPr>
      <w:r>
        <w:rPr>
          <w:szCs w:val="24"/>
        </w:rPr>
        <w:t xml:space="preserve">Интенсивный болевой синдром в полости рта и при глотании при мукозите </w:t>
      </w:r>
      <w:r>
        <w:rPr>
          <w:szCs w:val="24"/>
          <w:lang w:val="en-US"/>
        </w:rPr>
        <w:t>III</w:t>
      </w:r>
      <w:r>
        <w:rPr>
          <w:szCs w:val="24"/>
        </w:rPr>
        <w:t>-</w:t>
      </w:r>
      <w:r>
        <w:rPr>
          <w:szCs w:val="24"/>
          <w:lang w:val="en-US"/>
        </w:rPr>
        <w:t>IV</w:t>
      </w:r>
      <w:r>
        <w:rPr>
          <w:szCs w:val="24"/>
        </w:rPr>
        <w:t xml:space="preserve"> степени в период миелотоксического агранулоцитоза является показанием к назначению анал</w:t>
      </w:r>
      <w:r w:rsidR="00FB060A">
        <w:rPr>
          <w:szCs w:val="24"/>
        </w:rPr>
        <w:t>ь</w:t>
      </w:r>
      <w:r>
        <w:rPr>
          <w:szCs w:val="24"/>
        </w:rPr>
        <w:t xml:space="preserve">гетической терапии. Применение нестероидных противовоспалительных средств (НПВС) не рекомендовано в период МТА. Механизм действия НПВС связан с угнетением активности циклооксигеназы (ЦОГ), катализирующей образование простагландинов из арахидоновой кислоты. Простагландины играют важную роль в патогенезе боли, воспаления и лихорадки. </w:t>
      </w:r>
    </w:p>
    <w:p w14:paraId="1D48853D" w14:textId="77777777" w:rsidR="00111809" w:rsidRDefault="00111809" w:rsidP="00111809">
      <w:pPr>
        <w:spacing w:before="0" w:after="0"/>
        <w:ind w:firstLine="851"/>
        <w:rPr>
          <w:szCs w:val="24"/>
        </w:rPr>
      </w:pPr>
      <w:r>
        <w:rPr>
          <w:szCs w:val="24"/>
        </w:rPr>
        <w:t xml:space="preserve">В условиях нейтропении блокирование воспалительной реакции может привести к фатальным осложнениям, молниеносному развитию сепсиса и септического шока. Кроме того, в результате ингибирования ЦОГ-1 в тромбоцитах подавляется синтез эндогенного проагреганта тромбоксана. Антиагрегантное действие НПВС в условиях тромбоцитопении может провоцировать кровотечения. </w:t>
      </w:r>
    </w:p>
    <w:p w14:paraId="2C3C55D3" w14:textId="3541E8DC" w:rsidR="00111809" w:rsidRDefault="00111809" w:rsidP="00111809">
      <w:pPr>
        <w:spacing w:before="0" w:after="0"/>
        <w:ind w:firstLine="851"/>
        <w:contextualSpacing/>
      </w:pPr>
      <w:r>
        <w:rPr>
          <w:szCs w:val="24"/>
        </w:rPr>
        <w:t>В связи с этим в период МТА для обезболивания рекомендованы к применению наркотические анал</w:t>
      </w:r>
      <w:r w:rsidR="00D32276">
        <w:rPr>
          <w:szCs w:val="24"/>
        </w:rPr>
        <w:t>ь</w:t>
      </w:r>
      <w:r>
        <w:rPr>
          <w:szCs w:val="24"/>
        </w:rPr>
        <w:t>гетики (</w:t>
      </w:r>
      <w:r w:rsidR="00D32276">
        <w:rPr>
          <w:szCs w:val="24"/>
        </w:rPr>
        <w:t>тримеперидин</w:t>
      </w:r>
      <w:r w:rsidR="00FB060A" w:rsidRPr="00FB060A">
        <w:rPr>
          <w:szCs w:val="24"/>
        </w:rPr>
        <w:t>**</w:t>
      </w:r>
      <w:r w:rsidR="00D32276">
        <w:rPr>
          <w:szCs w:val="24"/>
        </w:rPr>
        <w:t xml:space="preserve"> </w:t>
      </w:r>
      <w:r>
        <w:rPr>
          <w:szCs w:val="24"/>
        </w:rPr>
        <w:t>10 мг в/в, трамадол</w:t>
      </w:r>
      <w:r w:rsidR="00FB060A" w:rsidRPr="00FB060A">
        <w:rPr>
          <w:szCs w:val="24"/>
        </w:rPr>
        <w:t>**</w:t>
      </w:r>
      <w:r>
        <w:rPr>
          <w:szCs w:val="24"/>
        </w:rPr>
        <w:t xml:space="preserve"> 100 мг в/в, фентанил</w:t>
      </w:r>
      <w:r w:rsidR="00FB060A" w:rsidRPr="00FB060A">
        <w:rPr>
          <w:szCs w:val="24"/>
        </w:rPr>
        <w:t>**</w:t>
      </w:r>
      <w:r>
        <w:rPr>
          <w:szCs w:val="24"/>
        </w:rPr>
        <w:t xml:space="preserve"> 25 мкг/час трансдермально). В связи с тем, что у части больных тяжелый мукозит сохраняется длительное время, может потребоваться многократное назначение указанных наркотических анал</w:t>
      </w:r>
      <w:r w:rsidR="00FB060A">
        <w:rPr>
          <w:szCs w:val="24"/>
        </w:rPr>
        <w:t>ь</w:t>
      </w:r>
      <w:r>
        <w:rPr>
          <w:szCs w:val="24"/>
        </w:rPr>
        <w:t>гетиков.</w:t>
      </w:r>
    </w:p>
    <w:p w14:paraId="57F1CF33" w14:textId="77777777" w:rsidR="00111809" w:rsidRDefault="00111809">
      <w:pPr>
        <w:spacing w:before="0" w:after="0" w:line="240" w:lineRule="auto"/>
        <w:jc w:val="left"/>
        <w:rPr>
          <w:rStyle w:val="ac"/>
          <w:rFonts w:eastAsia="Times New Roman"/>
          <w:szCs w:val="26"/>
          <w:u w:val="single"/>
        </w:rPr>
      </w:pPr>
      <w:r>
        <w:rPr>
          <w:rStyle w:val="ac"/>
          <w:b w:val="0"/>
        </w:rPr>
        <w:br w:type="page"/>
      </w:r>
    </w:p>
    <w:p w14:paraId="45858837" w14:textId="67DD2E67" w:rsidR="00EA288F" w:rsidRPr="00EA288F" w:rsidRDefault="00EA288F" w:rsidP="00EA288F">
      <w:pPr>
        <w:pStyle w:val="2"/>
        <w:rPr>
          <w:rStyle w:val="ac"/>
        </w:rPr>
      </w:pPr>
      <w:bookmarkStart w:id="96" w:name="_Toc97734649"/>
      <w:r w:rsidRPr="00EA288F">
        <w:rPr>
          <w:rStyle w:val="ac"/>
          <w:b/>
        </w:rPr>
        <w:lastRenderedPageBreak/>
        <w:t>Приложение А3.4</w:t>
      </w:r>
      <w:r w:rsidR="006869AB">
        <w:rPr>
          <w:rStyle w:val="ac"/>
          <w:b/>
        </w:rPr>
        <w:t>.</w:t>
      </w:r>
      <w:r w:rsidR="00805C9F">
        <w:rPr>
          <w:rStyle w:val="ac"/>
          <w:b/>
        </w:rPr>
        <w:t xml:space="preserve"> </w:t>
      </w:r>
      <w:r w:rsidRPr="00EA288F">
        <w:rPr>
          <w:rStyle w:val="ac"/>
          <w:b/>
        </w:rPr>
        <w:t>Инструментальные и лабораторные методы исследования на различных этапах терапии множественной миеломы</w:t>
      </w:r>
      <w:bookmarkEnd w:id="96"/>
    </w:p>
    <w:p w14:paraId="2EC78A9C" w14:textId="66BF21F4" w:rsidR="00EA288F" w:rsidRDefault="00EA288F" w:rsidP="00EA288F">
      <w:pPr>
        <w:pStyle w:val="Normal1"/>
        <w:spacing w:line="360" w:lineRule="auto"/>
        <w:ind w:left="0" w:firstLine="851"/>
        <w:jc w:val="both"/>
        <w:rPr>
          <w:rFonts w:cs="Times New Roman"/>
        </w:rPr>
      </w:pPr>
      <w:r>
        <w:rPr>
          <w:rFonts w:cs="Times New Roman"/>
        </w:rPr>
        <w:t>Корректная диагностика, базирующаяся на современных лабораторных и инструментальных методах исследований, позволяет провести дифференциальный диагноз и сформировать оптимальный протокол противоопухолевого лечения</w:t>
      </w:r>
      <w:r w:rsidR="00C736DB">
        <w:fldChar w:fldCharType="begin" w:fldLock="1"/>
      </w:r>
      <w:r w:rsidR="00E430FD">
        <w:instrText>ADDIN CSL_CITATION {"citationItems":[{"id":"ITEM-1","itemData":{"DOI":"10.18786/2072-0505-2017-45-2-102-108","ISSN":"2072-0505","abstract":"Background:  Analysis of free light chains of immunoglobulins (FLC) in the serum is an effective method in the diagnosis of multiple myeloma. Plasma cells produce two types of FLC: κand λ-FLC. FLC, which are not incorporated into monoclonal intact immunoglobulins, are released into circulation, and then are filtered and reabsorbed in kidneys depending on their molecular weight. Circulating FLC commonly form homodimers, known as Bence-Jones protein, which is a biomarker of Bence-Jones multiple myeloma. According to the international guidelines, the ratio κ/λ FLC is an important diagnostic criterion of multiple myeloma. Aim: To evaluate the diagnostic and prognostic value of serum FLC in multiple myeloma patients.  Materials and methods:  We examined 118 patients with multiple myeloma, admitted to the Department of Hemoblastosis Chemotherapy of N.N. Blokhin Russian Cancer Research Center from 2010 to 2016, and 68 healthy men and women. Serum concentrations of FLC were measured with an immunoturbidimetric method using the test-system Freelite Human Lambda and Freelite Human Kappa (Binding Site Inc.).  Results:  The levels of monoclonal κor λ-FLC in patients with G-, A-myeloma and Bence-Jones multiple myeloma were significantly higher than those in the control group (p &amp;lt; 0.005). The diagnostic sensitivity of quantification of FLC and their ratio was 87.3% and 89.8%, and in combination with the use of immune electrophoresis it was close to 100%. Analysis of progression free survival and overall survival showed significant differences (p &amp;lt; 0.04) between the groups of patients according their κ/λ FLC ratio. The basal value of κ/λ FLC ratio of less than 0.04 and more than 140 was a  predictor of unfavorable outcome . Conclusion : The inclusion of the determination of serum FLC into the assessment plan of patients with suspected monoclonal gammapathy makes it possible to increase diagnostic sensitivity of the available methods for paraprotein determination, as well as to monitor patients with non-secreting multiple myeloma. FLC analysis in multiple myeloma patients acquires special significance in the prognosis of remission, since the antitumor response based on their measurement is seen earlier than that based on the results of standard immunochemistry studies.","author":[{"dropping-particle":"V.","family":"Lyubimova","given":"N.","non-dropping-particle":"","parse-names":false,"suffix":""},{"dropping-particle":"","family":"Timofeev","given":"Yu. S.","non-dropping-particle":"","parse-names":false,"suffix":""},{"dropping-particle":"","family":"Votyakova","given":"O. M.","non-dropping-particle":"","parse-names":false,"suffix":""},{"dropping-particle":"","family":"Kushlinskii","given":"N. E.","non-dropping-particle":"","parse-names":false,"suffix":""}],"container-title":"Almanac of Clinical Medicine","id":"ITEM-1","issue":"2","issued":{"date-parts":[["2017","1"]]},"page":"102-108","publisher":"Moscow Regional Research and Clinical Institute (MONIKI)","title":"Free light chains of immunoglobulins in the diagnosis and prognosis of multiple myeloma","type":"article-journal","volume":"45"},"uris":["http://www.mendeley.com/documents/?uuid=6f3bcb26-f0ec-4e98-9481-fdc9af8f6505"]},{"id":"ITEM-2","itemData":{"DOI":"10.3390/ijms18020445","ISSN":"1422-0067","PMID":"28218709","author":[{"dropping-particle":"","family":"Bailly","given":"Clément","non-dropping-particle":"","parse-names":false,"suffix":""},{"dropping-particle":"","family":"Leforestier","given":"Rodolphe","non-dropping-particle":"","parse-names":false,"suffix":""},{"dropping-particle":"","family":"Jamet","given":"Bastien","non-dropping-particle":"","parse-names":false,"suffix":""},{"dropping-particle":"","family":"Carlier","given":"Thomas","non-dropping-particle":"","parse-names":false,"suffix":""},{"dropping-particle":"","family":"Bourgeois","given":"Mickael","non-dropping-particle":"","parse-names":false,"suffix":""},{"dropping-particle":"","family":"Guérard","given":"François","non-dropping-particle":"","parse-names":false,"suffix":""},{"dropping-particle":"","family":"Touzeau","given":"Cyrille","non-dropping-particle":"","parse-names":false,"suffix":""},{"dropping-particle":"","family":"Moreau","given":"Philippe","non-dropping-particle":"","parse-names":false,"suffix":""},{"dropping-particle":"","family":"Chérel","given":"Michel","non-dropping-particle":"","parse-names":false,"suffix":""},{"dropping-particle":"","family":"Kraeber-Bodéré","given":"Françoise","non-dropping-particle":"","parse-names":false,"suffix":""},{"dropping-particle":"","family":"Bodet-Milin","given":"Caroline","non-dropping-particle":"","parse-names":false,"suffix":""}],"container-title":"International Journal of Molecular Sciences","id":"ITEM-2","issue":"2","issued":{"date-parts":[["2017","2"]]},"page":"445","title":"PET Imaging for Initial Staging and Therapy Assessment in Multiple Myeloma Patients","type":"article-journal","volume":"18"},"uris":["http://www.mendeley.com/documents/?uuid=0b26d771-b79d-4934-ac4a-c5db93ca487f"]},{"id":"ITEM-3","itemData":{"DOI":"10.1182/blood-2009-03-213280","ISSN":"1528-0020","PMID":"19443657","abstract":"F18-fluorodeoxyglucose positron emission tomography (FDG-PET) is a powerful tool to investigate the role of tumor metabolic activity and its suppression by therapy for cancer survival. As part of Total Therapy 3 for newly diagnosed multiple myeloma, metastatic bone survey, magnetic resonance imaging, and FDG-PET scanning were evaluated in 239 untreated patients. All 3 imaging techniques showed correlations with prognostically relevant baseline parameters: the number of focal lesions (FLs), especially when FDG-avid by PET-computed tomography, was positively linked to high levels of beta-2-microglobulin, C-reactive protein, and lactate dehydrogenase; among gene expression profiling parameters, high-risk and proliferation-related parameters were positively and low-bone-disease molecular subtype inversely correlated with FL. The presence of more than 3 FDG-avid FLs, related to fundamental features of myeloma biology and genomics, was the leading independent parameter associated with inferior overall and event-free survival. Complete FDG suppression in FL before first transplantation conferred significantly better outcomes and was only opposed by gene expression profiling-defined high-risk status, which together accounted for approximately 50% of survival variability (R(2) test). Our results provide a rationale for testing the hypothesis that myeloma survival can be improved by altering treatment in patients in whom FDG suppression cannot be achieved after induction therapy.","author":[{"dropping-particle":"","family":"Bartel","given":"Twyla B.","non-dropping-particle":"","parse-names":false,"suffix":""},{"dropping-particle":"","family":"Haessler","given":"Jeff","non-dropping-particle":"","parse-names":false,"suffix":""},{"dropping-particle":"","family":"Brown","given":"Tracy L. Y.","non-dropping-particle":"","parse-names":false,"suffix":""},{"dropping-particle":"","family":"Shaughnessy","given":"John D.","non-dropping-particle":"","parse-names":false,"suffix":""},{"dropping-particle":"","family":"Rhee","given":"Frits","non-dropping-particle":"van","parse-names":false,"suffix":""},{"dropping-particle":"","family":"Anaissie","given":"Elias","non-dropping-particle":"","parse-names":false,"suffix":""},{"dropping-particle":"","family":"Alpe","given":"Terri","non-dropping-particle":"","parse-names":false,"suffix":""},{"dropping-particle":"","family":"Angtuaco","given":"Edgardo","non-dropping-particle":"","parse-names":false,"suffix":""},{"dropping-particle":"","family":"Walker","given":"Ronald","non-dropping-particle":"","parse-names":false,"suffix":""},{"dropping-particle":"","family":"Epstein","given":"Joshua","non-dropping-particle":"","parse-names":false,"suffix":""},{"dropping-particle":"","family":"Crowley","given":"John","non-dropping-particle":"","parse-names":false,"suffix":""},{"dropping-particle":"","family":"Barlogie","given":"Bart","non-dropping-particle":"","parse-names":false,"suffix":""}],"container-title":"Blood","id":"ITEM-3","issue":"10","issued":{"date-parts":[["2009","9"]]},"page":"2068-76","title":"F18-fluorodeoxyglucose positron emission tomography in the context of other imaging techniques and prognostic factors in multiple myeloma.","type":"article-journal","volume":"114"},"uris":["http://www.mendeley.com/documents/?uuid=a56e5ca5-0f12-45c3-a780-42a1d5fce4bc"]}],"mendeley":{"formattedCitation":"[122–124]","plainTextFormattedCitation":"[122–124]","previouslyFormattedCitation":"[122–124]"},"properties":{"noteIndex":0},"schema":"https://github.com/citation-style-language/schema/raw/master/csl-citation.json"}</w:instrText>
      </w:r>
      <w:r w:rsidR="00C736DB">
        <w:fldChar w:fldCharType="separate"/>
      </w:r>
      <w:r w:rsidR="00E430FD" w:rsidRPr="00E430FD">
        <w:rPr>
          <w:noProof/>
        </w:rPr>
        <w:t>[122–124]</w:t>
      </w:r>
      <w:r w:rsidR="00C736DB">
        <w:fldChar w:fldCharType="end"/>
      </w:r>
      <w:r>
        <w:rPr>
          <w:rFonts w:cs="Times New Roman"/>
        </w:rPr>
        <w:t>.</w:t>
      </w:r>
    </w:p>
    <w:p w14:paraId="381D5A57" w14:textId="77777777" w:rsidR="00EA288F" w:rsidRDefault="00EA288F" w:rsidP="00EA288F">
      <w:pPr>
        <w:pStyle w:val="Normal1"/>
        <w:spacing w:line="360" w:lineRule="auto"/>
        <w:ind w:left="0" w:firstLine="851"/>
        <w:jc w:val="both"/>
        <w:rPr>
          <w:rFonts w:cs="Times New Roman"/>
        </w:rPr>
      </w:pPr>
      <w:r>
        <w:rPr>
          <w:rFonts w:cs="Times New Roman"/>
        </w:rPr>
        <w:t>В настоящем приложении приведен широкий перечень процедур и обследований, позволяющий уточнить диагноз симптоматическая ММ, определить группу риска, оценить соматический статус и выработать программу терапии с учетом индивидуальных особенностей пациента.</w:t>
      </w:r>
    </w:p>
    <w:p w14:paraId="591F8303" w14:textId="77EA9D53" w:rsidR="00EA288F" w:rsidRDefault="00EA288F" w:rsidP="008F161A">
      <w:pPr>
        <w:pStyle w:val="af0"/>
        <w:numPr>
          <w:ilvl w:val="0"/>
          <w:numId w:val="135"/>
        </w:numPr>
        <w:tabs>
          <w:tab w:val="left" w:pos="284"/>
        </w:tabs>
        <w:spacing w:line="360" w:lineRule="auto"/>
        <w:ind w:left="0" w:firstLine="0"/>
        <w:rPr>
          <w:b/>
        </w:rPr>
      </w:pPr>
      <w:r>
        <w:rPr>
          <w:b/>
        </w:rPr>
        <w:t>Лабораторные и инструментальные методы исследования на этапе диагностики симптоматической множественной миеломы</w:t>
      </w:r>
      <w:r w:rsidR="00C736DB">
        <w:fldChar w:fldCharType="begin" w:fldLock="1"/>
      </w:r>
      <w:r w:rsidR="00E430FD">
        <w:instrText>ADDIN CSL_CITATION {"citationItems":[{"id":"ITEM-1","itemData":{"DOI":"10.1634/theoncologist.2015-0036","ISSN":"1083-7159","PMID":"26173837","abstract":"This review focuses on the impact of new imaging guidelines for fluorodeoxyglucose-positron emission tomography (FDG-PET) on clinical practice and the future directions of lymphoma imaging.","author":[{"dropping-particle":"","family":"Meignan","given":"Michel","non-dropping-particle":"","parse-names":false,"suffix":""},{"dropping-particle":"","family":"Hutchings","given":"Martin","non-dropping-particle":"","parse-names":false,"suffix":""},{"dropping-particle":"","family":"Schwartz","given":"Lawrence H.","non-dropping-particle":"","parse-names":false,"suffix":""}],"container-title":"The Oncologist","id":"ITEM-1","issue":"8","issued":{"date-parts":[["2015","8"]]},"page":"890-895","publisher":"Wiley","title":"Imaging in Lymphoma: The Key Role of Fluorodeoxyglucose‐Positron Emission Tomography","type":"article-journal","volume":"20"},"uris":["http://www.mendeley.com/documents/?uuid=876ad41c-dc26-46e1-a434-e37ca59238b6"]},{"id":"ITEM-2","itemData":{"DOI":"10.1002/hon.2213","ISSN":"02780232","author":[{"dropping-particle":"","family":"Mateos","given":"María-Victoria","non-dropping-particle":"","parse-names":false,"suffix":""},{"dropping-particle":"","family":"San Miguel","given":"Jesús","non-dropping-particle":"","parse-names":false,"suffix":""}],"container-title":"Hematological Oncology","id":"ITEM-2","issued":{"date-parts":[["2015","6"]]},"page":"33-37","title":"V. Smoldering multiple myeloma","type":"article-journal","volume":"33"},"uris":["http://www.mendeley.com/documents/?uuid=ab66d6eb-bf67-3985-8eab-4a764be7d992"]}],"mendeley":{"formattedCitation":"[24,125]","plainTextFormattedCitation":"[24,125]","previouslyFormattedCitation":"[24,125]"},"properties":{"noteIndex":0},"schema":"https://github.com/citation-style-language/schema/raw/master/csl-citation.json"}</w:instrText>
      </w:r>
      <w:r w:rsidR="00C736DB">
        <w:fldChar w:fldCharType="separate"/>
      </w:r>
      <w:r w:rsidR="00E430FD" w:rsidRPr="00E430FD">
        <w:rPr>
          <w:noProof/>
        </w:rPr>
        <w:t>[24,125]</w:t>
      </w:r>
      <w:r w:rsidR="00C736DB">
        <w:fldChar w:fldCharType="end"/>
      </w:r>
    </w:p>
    <w:p w14:paraId="01E8B312" w14:textId="77777777" w:rsidR="005A0507" w:rsidRDefault="005A0507" w:rsidP="008F161A">
      <w:pPr>
        <w:pStyle w:val="Numlist"/>
        <w:numPr>
          <w:ilvl w:val="0"/>
          <w:numId w:val="136"/>
        </w:numPr>
        <w:tabs>
          <w:tab w:val="left" w:pos="284"/>
        </w:tabs>
        <w:spacing w:line="360" w:lineRule="auto"/>
        <w:ind w:left="0" w:firstLine="0"/>
        <w:jc w:val="both"/>
        <w:textAlignment w:val="auto"/>
      </w:pPr>
      <w:r>
        <w:t xml:space="preserve">Общий (клинический) </w:t>
      </w:r>
      <w:proofErr w:type="gramStart"/>
      <w:r>
        <w:t>анализ крови</w:t>
      </w:r>
      <w:proofErr w:type="gramEnd"/>
      <w:r>
        <w:t xml:space="preserve"> развернутый.</w:t>
      </w:r>
    </w:p>
    <w:p w14:paraId="635A4C47" w14:textId="72768914" w:rsidR="00EA288F" w:rsidRDefault="005A0507" w:rsidP="008F161A">
      <w:pPr>
        <w:pStyle w:val="Numlist"/>
        <w:numPr>
          <w:ilvl w:val="0"/>
          <w:numId w:val="136"/>
        </w:numPr>
        <w:tabs>
          <w:tab w:val="left" w:pos="284"/>
        </w:tabs>
        <w:spacing w:line="360" w:lineRule="auto"/>
        <w:ind w:left="0" w:firstLine="0"/>
        <w:jc w:val="both"/>
        <w:textAlignment w:val="auto"/>
      </w:pPr>
      <w:r>
        <w:t xml:space="preserve">Анализ крови биохимический общетерапевтический </w:t>
      </w:r>
      <w:r w:rsidR="00EA288F">
        <w:t>с обязательным определением: уровней общего белка, альбумина, креатинина, мочевой кислоты, калия, кальция, активности ЛДГ, АЛТ, АСТ.</w:t>
      </w:r>
    </w:p>
    <w:p w14:paraId="1A2D24F3" w14:textId="77777777" w:rsidR="00EA288F" w:rsidRDefault="00EA288F" w:rsidP="008F161A">
      <w:pPr>
        <w:pStyle w:val="Numlist"/>
        <w:numPr>
          <w:ilvl w:val="0"/>
          <w:numId w:val="136"/>
        </w:numPr>
        <w:tabs>
          <w:tab w:val="left" w:pos="284"/>
        </w:tabs>
        <w:spacing w:line="360" w:lineRule="auto"/>
        <w:ind w:left="0" w:firstLine="0"/>
        <w:jc w:val="both"/>
        <w:textAlignment w:val="auto"/>
      </w:pPr>
      <w:r>
        <w:t>Общий анализ мочи.</w:t>
      </w:r>
    </w:p>
    <w:p w14:paraId="50EF39FF" w14:textId="77777777" w:rsidR="00EA288F" w:rsidRDefault="00EA288F" w:rsidP="008F161A">
      <w:pPr>
        <w:pStyle w:val="Numlist"/>
        <w:numPr>
          <w:ilvl w:val="0"/>
          <w:numId w:val="136"/>
        </w:numPr>
        <w:tabs>
          <w:tab w:val="left" w:pos="284"/>
        </w:tabs>
        <w:spacing w:line="360" w:lineRule="auto"/>
        <w:ind w:left="0" w:firstLine="0"/>
        <w:jc w:val="both"/>
        <w:textAlignment w:val="auto"/>
      </w:pPr>
      <w:r>
        <w:t>Определение количества белка в суточной моче.</w:t>
      </w:r>
    </w:p>
    <w:p w14:paraId="0490BC90" w14:textId="77777777" w:rsidR="00EA288F" w:rsidRDefault="00EA288F" w:rsidP="008F161A">
      <w:pPr>
        <w:pStyle w:val="Numlist"/>
        <w:numPr>
          <w:ilvl w:val="0"/>
          <w:numId w:val="136"/>
        </w:numPr>
        <w:tabs>
          <w:tab w:val="left" w:pos="284"/>
        </w:tabs>
        <w:spacing w:line="360" w:lineRule="auto"/>
        <w:ind w:left="0" w:firstLine="0"/>
        <w:jc w:val="both"/>
        <w:textAlignment w:val="auto"/>
      </w:pPr>
      <w:r>
        <w:t>Определение скорости клубочковой фильтрации.</w:t>
      </w:r>
    </w:p>
    <w:p w14:paraId="3F9E9A62" w14:textId="77777777" w:rsidR="00EA288F" w:rsidRDefault="00EA288F" w:rsidP="008F161A">
      <w:pPr>
        <w:pStyle w:val="Numlist"/>
        <w:numPr>
          <w:ilvl w:val="0"/>
          <w:numId w:val="136"/>
        </w:numPr>
        <w:tabs>
          <w:tab w:val="left" w:pos="284"/>
        </w:tabs>
        <w:spacing w:line="360" w:lineRule="auto"/>
        <w:ind w:left="0" w:firstLine="0"/>
        <w:jc w:val="both"/>
        <w:textAlignment w:val="auto"/>
      </w:pPr>
      <w:r>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429572AD" w14:textId="77777777" w:rsidR="00EA288F" w:rsidRDefault="00EA288F" w:rsidP="008F161A">
      <w:pPr>
        <w:pStyle w:val="Numlist"/>
        <w:numPr>
          <w:ilvl w:val="0"/>
          <w:numId w:val="136"/>
        </w:numPr>
        <w:tabs>
          <w:tab w:val="left" w:pos="284"/>
        </w:tabs>
        <w:spacing w:line="360" w:lineRule="auto"/>
        <w:ind w:left="0" w:firstLine="0"/>
        <w:jc w:val="both"/>
        <w:textAlignment w:val="auto"/>
      </w:pPr>
      <w:r>
        <w:t>Исследование уровня бета-2-микроглобулина в крови.</w:t>
      </w:r>
    </w:p>
    <w:p w14:paraId="7A5D1EDA" w14:textId="77777777" w:rsidR="00EA288F" w:rsidRDefault="00EA288F" w:rsidP="008F161A">
      <w:pPr>
        <w:pStyle w:val="Numlist"/>
        <w:numPr>
          <w:ilvl w:val="0"/>
          <w:numId w:val="136"/>
        </w:numPr>
        <w:tabs>
          <w:tab w:val="left" w:pos="284"/>
        </w:tabs>
        <w:spacing w:line="360" w:lineRule="auto"/>
        <w:ind w:left="0" w:firstLine="0"/>
        <w:jc w:val="both"/>
        <w:textAlignment w:val="auto"/>
      </w:pPr>
      <w:r>
        <w:t xml:space="preserve">Комплексное иммунохимическое исследование сыворотки и мочи, включающее </w:t>
      </w:r>
    </w:p>
    <w:p w14:paraId="61758063" w14:textId="7E94C441" w:rsidR="00EA288F" w:rsidRDefault="00EA288F" w:rsidP="00EA288F">
      <w:pPr>
        <w:pStyle w:val="Numlist"/>
        <w:tabs>
          <w:tab w:val="left" w:pos="284"/>
        </w:tabs>
        <w:spacing w:line="360" w:lineRule="auto"/>
        <w:ind w:firstLine="0"/>
        <w:jc w:val="both"/>
      </w:pPr>
      <w:r>
        <w:t>- электрофорез и иммунофиксацию белков сыворотки и мочи с определением белка Бенс-Джонса</w:t>
      </w:r>
      <w:r w:rsidR="0053428B">
        <w:t xml:space="preserve"> </w:t>
      </w:r>
      <w:r w:rsidR="0053428B" w:rsidRPr="0053428B">
        <w:t>(исследование моноклональности иммуноглобулинов в крови методом иммунофиксации, исследование моноклональности легких цепей иммуноглобулинов в крови методом иммунофиксации, исследование моноклональности иммуноглобулинов в моче методом иммунофиксации, исследование моноклональности легких цепей иммуноглобулинов в моче методом иммунофиксации)</w:t>
      </w:r>
      <w:r>
        <w:t>;</w:t>
      </w:r>
    </w:p>
    <w:p w14:paraId="73CB4515" w14:textId="77777777" w:rsidR="00EA288F" w:rsidRDefault="00EA288F" w:rsidP="00EA288F">
      <w:pPr>
        <w:pStyle w:val="Numlist"/>
        <w:tabs>
          <w:tab w:val="left" w:pos="284"/>
        </w:tabs>
        <w:spacing w:line="360" w:lineRule="auto"/>
        <w:ind w:firstLine="0"/>
        <w:jc w:val="both"/>
      </w:pPr>
      <w:r>
        <w:t>- определение уровня поликлональных иммуноглобулинов (</w:t>
      </w:r>
      <w:r>
        <w:rPr>
          <w:lang w:val="en-US"/>
        </w:rPr>
        <w:t>A</w:t>
      </w:r>
      <w:r>
        <w:t xml:space="preserve">, </w:t>
      </w:r>
      <w:r>
        <w:rPr>
          <w:lang w:val="en-US"/>
        </w:rPr>
        <w:t>G</w:t>
      </w:r>
      <w:r>
        <w:t xml:space="preserve">, </w:t>
      </w:r>
      <w:r>
        <w:rPr>
          <w:lang w:val="en-US"/>
        </w:rPr>
        <w:t>M</w:t>
      </w:r>
      <w:r>
        <w:t>);</w:t>
      </w:r>
    </w:p>
    <w:p w14:paraId="58261EC7" w14:textId="77777777" w:rsidR="00EA288F" w:rsidRDefault="00EA288F" w:rsidP="00EA288F">
      <w:pPr>
        <w:pStyle w:val="Numlist"/>
        <w:tabs>
          <w:tab w:val="left" w:pos="284"/>
        </w:tabs>
        <w:spacing w:line="360" w:lineRule="auto"/>
        <w:ind w:firstLine="0"/>
        <w:jc w:val="both"/>
      </w:pPr>
      <w:r>
        <w:t>- определение свободных легких цепей и их соотношения при «неизмеряемом» заболевании.</w:t>
      </w:r>
    </w:p>
    <w:p w14:paraId="23E95A28" w14:textId="77777777" w:rsidR="005B71A1" w:rsidRDefault="005B71A1" w:rsidP="008F161A">
      <w:pPr>
        <w:pStyle w:val="Numlist"/>
        <w:numPr>
          <w:ilvl w:val="0"/>
          <w:numId w:val="136"/>
        </w:numPr>
        <w:tabs>
          <w:tab w:val="left" w:pos="284"/>
        </w:tabs>
        <w:spacing w:line="360" w:lineRule="auto"/>
        <w:ind w:left="0" w:firstLine="0"/>
        <w:jc w:val="both"/>
        <w:textAlignment w:val="auto"/>
      </w:pPr>
      <w:r>
        <w:t>Получение цитологического препарата костного мозга путем пункции с дальнейшим цитологическим исследованием мазка костного мозга (миелограмма)</w:t>
      </w:r>
    </w:p>
    <w:p w14:paraId="0DF11436" w14:textId="7593FA69" w:rsidR="00EA288F" w:rsidRDefault="00E1357D" w:rsidP="008F161A">
      <w:pPr>
        <w:pStyle w:val="Numlist"/>
        <w:numPr>
          <w:ilvl w:val="0"/>
          <w:numId w:val="136"/>
        </w:numPr>
        <w:tabs>
          <w:tab w:val="left" w:pos="284"/>
        </w:tabs>
        <w:spacing w:line="360" w:lineRule="auto"/>
        <w:ind w:left="0" w:firstLine="0"/>
        <w:jc w:val="both"/>
        <w:textAlignment w:val="auto"/>
      </w:pPr>
      <w:r>
        <w:lastRenderedPageBreak/>
        <w:t xml:space="preserve">Исследование биологического материала (костного мозга) методом </w:t>
      </w:r>
      <w:r w:rsidR="00EA288F">
        <w:t>проточной цито</w:t>
      </w:r>
      <w:r>
        <w:t xml:space="preserve">флуориметрии </w:t>
      </w:r>
      <w:r w:rsidR="00EA288F">
        <w:t>при дифференциальной диагностике симптоматической множественной миеломы и плазмоцитомы с минимальным поражением костного мозга или солитарной плазмоцитомы.</w:t>
      </w:r>
    </w:p>
    <w:p w14:paraId="74A124AB" w14:textId="7882F9A2" w:rsidR="00EA288F" w:rsidRDefault="004F56A1" w:rsidP="008F161A">
      <w:pPr>
        <w:pStyle w:val="Numlist"/>
        <w:numPr>
          <w:ilvl w:val="0"/>
          <w:numId w:val="136"/>
        </w:numPr>
        <w:tabs>
          <w:tab w:val="left" w:pos="284"/>
        </w:tabs>
        <w:spacing w:line="360" w:lineRule="auto"/>
        <w:ind w:left="0" w:firstLine="0"/>
        <w:jc w:val="both"/>
        <w:textAlignment w:val="auto"/>
      </w:pPr>
      <w:r>
        <w:t xml:space="preserve">Паталогоанатомическое исследование </w:t>
      </w:r>
      <w:r w:rsidRPr="00C528FA">
        <w:t xml:space="preserve">биопсийного (операционного) материала </w:t>
      </w:r>
      <w:r w:rsidR="00EA288F">
        <w:t>плазмоцитомы и/или костного мозга.</w:t>
      </w:r>
    </w:p>
    <w:p w14:paraId="6508B825" w14:textId="4D44D7D2" w:rsidR="00EA288F" w:rsidRDefault="004F56A1" w:rsidP="008F161A">
      <w:pPr>
        <w:pStyle w:val="Numlist"/>
        <w:numPr>
          <w:ilvl w:val="0"/>
          <w:numId w:val="136"/>
        </w:numPr>
        <w:tabs>
          <w:tab w:val="left" w:pos="284"/>
        </w:tabs>
        <w:spacing w:line="360" w:lineRule="auto"/>
        <w:ind w:left="0" w:firstLine="0"/>
        <w:jc w:val="both"/>
        <w:textAlignment w:val="auto"/>
      </w:pPr>
      <w:r>
        <w:t xml:space="preserve">Паталогоанатомическое исследование </w:t>
      </w:r>
      <w:r w:rsidRPr="00C528FA">
        <w:t xml:space="preserve">биопсийного (операционного) материала </w:t>
      </w:r>
      <w:r w:rsidR="00EA288F">
        <w:t>плазмоцитомы и/или костного мозга с применением иммуногистохимических методов.</w:t>
      </w:r>
    </w:p>
    <w:p w14:paraId="1A8D3F3B" w14:textId="1A2E0C2A" w:rsidR="00EA288F" w:rsidRPr="00C9448D" w:rsidRDefault="00EA288F" w:rsidP="008F161A">
      <w:pPr>
        <w:pStyle w:val="Numlist"/>
        <w:numPr>
          <w:ilvl w:val="0"/>
          <w:numId w:val="136"/>
        </w:numPr>
        <w:tabs>
          <w:tab w:val="left" w:pos="284"/>
        </w:tabs>
        <w:spacing w:line="360" w:lineRule="auto"/>
        <w:ind w:left="0" w:firstLine="0"/>
        <w:jc w:val="both"/>
        <w:textAlignment w:val="auto"/>
      </w:pPr>
      <w:r w:rsidRPr="00C9448D">
        <w:t xml:space="preserve">Определение </w:t>
      </w:r>
      <w:r w:rsidR="00AB3E79" w:rsidRPr="00C9448D">
        <w:t xml:space="preserve">основных групп по системе АВ0, определение антигена </w:t>
      </w:r>
      <w:r w:rsidR="00AB3E79" w:rsidRPr="00C9448D">
        <w:rPr>
          <w:lang w:val="en-US"/>
        </w:rPr>
        <w:t>D</w:t>
      </w:r>
      <w:r w:rsidR="00AB3E79" w:rsidRPr="00C9448D">
        <w:t xml:space="preserve"> системы Резус (резус-фактор), определение подгрупп и других групп крови меньшего значения А-1. А-2, </w:t>
      </w:r>
      <w:r w:rsidR="00AB3E79" w:rsidRPr="00C9448D">
        <w:rPr>
          <w:lang w:val="en-US"/>
        </w:rPr>
        <w:t>D</w:t>
      </w:r>
      <w:r w:rsidR="00AB3E79" w:rsidRPr="00C9448D">
        <w:t xml:space="preserve">, </w:t>
      </w:r>
      <w:r w:rsidR="00AB3E79" w:rsidRPr="00C9448D">
        <w:rPr>
          <w:lang w:val="en-US"/>
        </w:rPr>
        <w:t>Cc</w:t>
      </w:r>
      <w:r w:rsidR="00AB3E79" w:rsidRPr="00C9448D">
        <w:t xml:space="preserve">, </w:t>
      </w:r>
      <w:r w:rsidR="00AB3E79" w:rsidRPr="00C9448D">
        <w:rPr>
          <w:lang w:val="en-US"/>
        </w:rPr>
        <w:t>E</w:t>
      </w:r>
      <w:r w:rsidR="00AB3E79" w:rsidRPr="00C9448D">
        <w:t xml:space="preserve">, </w:t>
      </w:r>
      <w:r w:rsidR="00AB3E79" w:rsidRPr="00C9448D">
        <w:rPr>
          <w:lang w:val="en-US"/>
        </w:rPr>
        <w:t>Kell</w:t>
      </w:r>
      <w:r w:rsidR="00AB3E79" w:rsidRPr="00C9448D">
        <w:t xml:space="preserve">, </w:t>
      </w:r>
      <w:r w:rsidR="00AB3E79" w:rsidRPr="00C9448D">
        <w:rPr>
          <w:lang w:val="en-US"/>
        </w:rPr>
        <w:t>Duffy</w:t>
      </w:r>
      <w:r w:rsidR="00AB3E79" w:rsidRPr="00C9448D">
        <w:t xml:space="preserve">, определение фенотипа по антигенам С, с, Е, е, </w:t>
      </w:r>
      <w:r w:rsidR="00AB3E79" w:rsidRPr="00C9448D">
        <w:rPr>
          <w:lang w:val="en-US"/>
        </w:rPr>
        <w:t>Cw</w:t>
      </w:r>
      <w:r w:rsidR="00AB3E79" w:rsidRPr="00C9448D">
        <w:t xml:space="preserve">, </w:t>
      </w:r>
      <w:r w:rsidR="00AB3E79" w:rsidRPr="00C9448D">
        <w:rPr>
          <w:lang w:val="en-US"/>
        </w:rPr>
        <w:t>K</w:t>
      </w:r>
      <w:r w:rsidR="00AB3E79" w:rsidRPr="00C9448D">
        <w:t xml:space="preserve">, </w:t>
      </w:r>
      <w:r w:rsidR="00AB3E79" w:rsidRPr="00C9448D">
        <w:rPr>
          <w:lang w:val="en-US"/>
        </w:rPr>
        <w:t>k</w:t>
      </w:r>
      <w:r w:rsidR="00AB3E79" w:rsidRPr="00C9448D">
        <w:t xml:space="preserve"> и определение антиэритроцитарных антител, определение содержания антител к антигенам групп крови</w:t>
      </w:r>
      <w:r w:rsidRPr="00C9448D">
        <w:t>.</w:t>
      </w:r>
    </w:p>
    <w:p w14:paraId="3BC8F6F0" w14:textId="77777777" w:rsidR="00CB0539" w:rsidRDefault="00CB0539" w:rsidP="008F161A">
      <w:pPr>
        <w:pStyle w:val="Numlist"/>
        <w:numPr>
          <w:ilvl w:val="0"/>
          <w:numId w:val="136"/>
        </w:numPr>
        <w:tabs>
          <w:tab w:val="left" w:pos="284"/>
        </w:tabs>
        <w:spacing w:line="360" w:lineRule="auto"/>
        <w:ind w:left="0" w:firstLine="0"/>
        <w:jc w:val="both"/>
        <w:textAlignment w:val="auto"/>
      </w:pPr>
      <w:r>
        <w:t>Цитогенетическое исследование (кариотип).</w:t>
      </w:r>
    </w:p>
    <w:p w14:paraId="48D69390" w14:textId="77777777" w:rsidR="00EA288F" w:rsidRDefault="00EA288F" w:rsidP="008F161A">
      <w:pPr>
        <w:pStyle w:val="Numlist"/>
        <w:numPr>
          <w:ilvl w:val="0"/>
          <w:numId w:val="136"/>
        </w:numPr>
        <w:tabs>
          <w:tab w:val="left" w:pos="284"/>
        </w:tabs>
        <w:spacing w:line="360" w:lineRule="auto"/>
        <w:ind w:left="0" w:firstLine="0"/>
        <w:jc w:val="both"/>
        <w:textAlignment w:val="auto"/>
      </w:pPr>
      <w:r>
        <w:t xml:space="preserve">Молекулярно-цитогенетическое исследование (FISH-метод) для выявления наиболее прогностически важных цитогенетических аномалий: </w:t>
      </w:r>
      <w:r>
        <w:rPr>
          <w:lang w:val="en-US"/>
        </w:rPr>
        <w:t>t</w:t>
      </w:r>
      <w:r>
        <w:t xml:space="preserve">(4;14), </w:t>
      </w:r>
      <w:r>
        <w:rPr>
          <w:lang w:val="en-US"/>
        </w:rPr>
        <w:t>t</w:t>
      </w:r>
      <w:r>
        <w:t xml:space="preserve">(14;16), </w:t>
      </w:r>
      <w:r>
        <w:rPr>
          <w:lang w:val="en-US"/>
        </w:rPr>
        <w:t>t</w:t>
      </w:r>
      <w:r>
        <w:t xml:space="preserve">(6;14), </w:t>
      </w:r>
      <w:r>
        <w:rPr>
          <w:lang w:val="en-US"/>
        </w:rPr>
        <w:t>del</w:t>
      </w:r>
      <w:r>
        <w:t xml:space="preserve"> 17</w:t>
      </w:r>
      <w:r>
        <w:rPr>
          <w:lang w:val="en-US"/>
        </w:rPr>
        <w:t>p</w:t>
      </w:r>
      <w:r>
        <w:t xml:space="preserve">13, </w:t>
      </w:r>
      <w:r>
        <w:rPr>
          <w:lang w:val="en-US"/>
        </w:rPr>
        <w:t>t</w:t>
      </w:r>
      <w:r>
        <w:t xml:space="preserve">(11;14), </w:t>
      </w:r>
      <w:r>
        <w:rPr>
          <w:lang w:val="en-US"/>
        </w:rPr>
        <w:t>del</w:t>
      </w:r>
      <w:r>
        <w:t>13, плоидности и изменений хромосомы 1.</w:t>
      </w:r>
    </w:p>
    <w:p w14:paraId="6AE7D347" w14:textId="77777777" w:rsidR="00EA288F" w:rsidRDefault="00EA288F" w:rsidP="008F161A">
      <w:pPr>
        <w:pStyle w:val="Numlist"/>
        <w:numPr>
          <w:ilvl w:val="0"/>
          <w:numId w:val="136"/>
        </w:numPr>
        <w:tabs>
          <w:tab w:val="left" w:pos="284"/>
        </w:tabs>
        <w:spacing w:line="360" w:lineRule="auto"/>
        <w:ind w:left="0" w:firstLine="0"/>
        <w:jc w:val="both"/>
        <w:textAlignment w:val="auto"/>
      </w:pPr>
      <w:r>
        <w:t>Исследование на маркеры вирусов гепатитов</w:t>
      </w:r>
      <w:r>
        <w:rPr>
          <w:lang w:val="en-US"/>
        </w:rPr>
        <w:t> B</w:t>
      </w:r>
      <w:r>
        <w:t xml:space="preserve"> и </w:t>
      </w:r>
      <w:r>
        <w:rPr>
          <w:lang w:val="en-US"/>
        </w:rPr>
        <w:t>C</w:t>
      </w:r>
      <w:r>
        <w:t>, ВИЧ.</w:t>
      </w:r>
    </w:p>
    <w:p w14:paraId="5AA12E12" w14:textId="77777777" w:rsidR="00EA288F" w:rsidRDefault="00EA288F" w:rsidP="008F161A">
      <w:pPr>
        <w:pStyle w:val="Numlist"/>
        <w:numPr>
          <w:ilvl w:val="0"/>
          <w:numId w:val="136"/>
        </w:numPr>
        <w:tabs>
          <w:tab w:val="left" w:pos="284"/>
        </w:tabs>
        <w:spacing w:line="360" w:lineRule="auto"/>
        <w:ind w:left="0" w:firstLine="0"/>
        <w:jc w:val="both"/>
        <w:textAlignment w:val="auto"/>
      </w:pPr>
      <w:r>
        <w:t>Низкодозная компьютерная томография костей скелета – предпочтительный метод визуализации.</w:t>
      </w:r>
    </w:p>
    <w:p w14:paraId="74715C4D" w14:textId="77777777" w:rsidR="00EA288F" w:rsidRDefault="00EA288F" w:rsidP="008F161A">
      <w:pPr>
        <w:pStyle w:val="Numlist"/>
        <w:numPr>
          <w:ilvl w:val="0"/>
          <w:numId w:val="136"/>
        </w:numPr>
        <w:tabs>
          <w:tab w:val="left" w:pos="284"/>
        </w:tabs>
        <w:spacing w:line="360" w:lineRule="auto"/>
        <w:ind w:left="0" w:firstLine="0"/>
        <w:jc w:val="both"/>
        <w:textAlignment w:val="auto"/>
      </w:pPr>
      <w:r>
        <w:t>КТ костей позвоночника, таза, грудной полости (при отсутствии возможности выполнения низкодозной КТ костей скелета).</w:t>
      </w:r>
    </w:p>
    <w:p w14:paraId="3BEEE82A" w14:textId="77777777" w:rsidR="00EA288F" w:rsidRDefault="00EA288F" w:rsidP="008F161A">
      <w:pPr>
        <w:pStyle w:val="Numlist"/>
        <w:numPr>
          <w:ilvl w:val="0"/>
          <w:numId w:val="136"/>
        </w:numPr>
        <w:tabs>
          <w:tab w:val="left" w:pos="284"/>
        </w:tabs>
        <w:spacing w:line="360" w:lineRule="auto"/>
        <w:ind w:left="0" w:firstLine="0"/>
        <w:jc w:val="both"/>
        <w:textAlignment w:val="auto"/>
      </w:pPr>
      <w:r>
        <w:t>Позитронно-эмиссионная томография, совмещенная с КТ (при отсутствии возможности выполнения низкодозной КТ костей скелета и КТ в стандартном режиме).</w:t>
      </w:r>
    </w:p>
    <w:p w14:paraId="574D6634" w14:textId="77777777" w:rsidR="00EA288F" w:rsidRDefault="00EA288F" w:rsidP="008F161A">
      <w:pPr>
        <w:pStyle w:val="Numlist"/>
        <w:numPr>
          <w:ilvl w:val="0"/>
          <w:numId w:val="136"/>
        </w:numPr>
        <w:tabs>
          <w:tab w:val="left" w:pos="284"/>
        </w:tabs>
        <w:spacing w:line="360" w:lineRule="auto"/>
        <w:ind w:left="0" w:firstLine="0"/>
        <w:jc w:val="both"/>
        <w:textAlignment w:val="auto"/>
      </w:pPr>
      <w:r>
        <w:t>Рентгенография костей скелета (при отсутствии возможности выполнения низкодозной КТ костей скелета, КТ в стандартном режиме или ПЭТ/КТ).</w:t>
      </w:r>
    </w:p>
    <w:p w14:paraId="4F56B5A7" w14:textId="77777777" w:rsidR="00EA288F" w:rsidRDefault="00EA288F" w:rsidP="008F161A">
      <w:pPr>
        <w:pStyle w:val="Numlist"/>
        <w:numPr>
          <w:ilvl w:val="0"/>
          <w:numId w:val="136"/>
        </w:numPr>
        <w:tabs>
          <w:tab w:val="left" w:pos="284"/>
        </w:tabs>
        <w:spacing w:line="360" w:lineRule="auto"/>
        <w:ind w:left="0" w:firstLine="0"/>
        <w:jc w:val="both"/>
        <w:textAlignment w:val="auto"/>
      </w:pPr>
      <w:r>
        <w:t>Магнитно-резонансная томография всего тела в случае дифференциальной диагностики симптоматической ММ и МГНЗ.</w:t>
      </w:r>
    </w:p>
    <w:p w14:paraId="4C839C90" w14:textId="77777777" w:rsidR="00EA288F" w:rsidRDefault="00EA288F" w:rsidP="008F161A">
      <w:pPr>
        <w:pStyle w:val="Numlist"/>
        <w:numPr>
          <w:ilvl w:val="0"/>
          <w:numId w:val="136"/>
        </w:numPr>
        <w:tabs>
          <w:tab w:val="left" w:pos="284"/>
        </w:tabs>
        <w:spacing w:line="360" w:lineRule="auto"/>
        <w:ind w:left="0" w:firstLine="0"/>
        <w:jc w:val="both"/>
        <w:textAlignment w:val="auto"/>
      </w:pPr>
      <w:r>
        <w:t>Магнитно-резонансная томография области мягкотканного компонента для оценки исходных размеров.</w:t>
      </w:r>
    </w:p>
    <w:p w14:paraId="701A126E" w14:textId="77777777" w:rsidR="00EA288F" w:rsidRDefault="00EA288F" w:rsidP="008F161A">
      <w:pPr>
        <w:pStyle w:val="Numlist"/>
        <w:numPr>
          <w:ilvl w:val="0"/>
          <w:numId w:val="136"/>
        </w:numPr>
        <w:tabs>
          <w:tab w:val="left" w:pos="284"/>
        </w:tabs>
        <w:spacing w:line="360" w:lineRule="auto"/>
        <w:ind w:left="0" w:firstLine="0"/>
        <w:jc w:val="both"/>
        <w:textAlignment w:val="auto"/>
      </w:pPr>
      <w:r>
        <w:t>Электрокардиограмма (ЭКГ).</w:t>
      </w:r>
    </w:p>
    <w:p w14:paraId="33420929" w14:textId="77777777" w:rsidR="00EA288F" w:rsidRDefault="00EA288F" w:rsidP="008F161A">
      <w:pPr>
        <w:pStyle w:val="Numlist"/>
        <w:numPr>
          <w:ilvl w:val="0"/>
          <w:numId w:val="136"/>
        </w:numPr>
        <w:tabs>
          <w:tab w:val="left" w:pos="284"/>
        </w:tabs>
        <w:spacing w:line="360" w:lineRule="auto"/>
        <w:ind w:left="0" w:firstLine="0"/>
        <w:jc w:val="both"/>
        <w:textAlignment w:val="auto"/>
      </w:pPr>
      <w:r>
        <w:t>Эхокардиография.</w:t>
      </w:r>
    </w:p>
    <w:p w14:paraId="076645D6" w14:textId="77777777" w:rsidR="00EA288F" w:rsidRDefault="00EA288F" w:rsidP="008F161A">
      <w:pPr>
        <w:pStyle w:val="Numlist"/>
        <w:numPr>
          <w:ilvl w:val="0"/>
          <w:numId w:val="136"/>
        </w:numPr>
        <w:tabs>
          <w:tab w:val="left" w:pos="284"/>
        </w:tabs>
        <w:spacing w:line="360" w:lineRule="auto"/>
        <w:ind w:left="0" w:firstLine="0"/>
        <w:jc w:val="both"/>
        <w:textAlignment w:val="auto"/>
      </w:pPr>
      <w:r>
        <w:t>УЗИ брюшной полости (комплексное).</w:t>
      </w:r>
    </w:p>
    <w:p w14:paraId="7991D158" w14:textId="77777777" w:rsidR="00EA288F" w:rsidRDefault="00EA288F" w:rsidP="008F161A">
      <w:pPr>
        <w:pStyle w:val="Numlist"/>
        <w:numPr>
          <w:ilvl w:val="0"/>
          <w:numId w:val="136"/>
        </w:numPr>
        <w:tabs>
          <w:tab w:val="left" w:pos="284"/>
        </w:tabs>
        <w:spacing w:line="360" w:lineRule="auto"/>
        <w:ind w:left="0" w:firstLine="0"/>
        <w:jc w:val="both"/>
        <w:textAlignment w:val="auto"/>
      </w:pPr>
      <w:r>
        <w:lastRenderedPageBreak/>
        <w:t>Ультразвуковая допплерография сосудов (артерий и вен) нижних конечностей (при необходимости).</w:t>
      </w:r>
    </w:p>
    <w:p w14:paraId="6A191C6B" w14:textId="77777777" w:rsidR="00EA288F" w:rsidRDefault="00EA288F" w:rsidP="008F161A">
      <w:pPr>
        <w:pStyle w:val="Numlist"/>
        <w:numPr>
          <w:ilvl w:val="0"/>
          <w:numId w:val="136"/>
        </w:numPr>
        <w:tabs>
          <w:tab w:val="left" w:pos="284"/>
        </w:tabs>
        <w:spacing w:line="360" w:lineRule="auto"/>
        <w:ind w:left="0" w:firstLine="0"/>
        <w:jc w:val="both"/>
        <w:textAlignment w:val="auto"/>
      </w:pPr>
      <w:r>
        <w:t>Эзофагогастродуоденоскопия с биопсией (при необходимости).</w:t>
      </w:r>
    </w:p>
    <w:p w14:paraId="60643406" w14:textId="77777777" w:rsidR="00EA288F" w:rsidRDefault="00EA288F" w:rsidP="008F161A">
      <w:pPr>
        <w:pStyle w:val="Numlist"/>
        <w:numPr>
          <w:ilvl w:val="0"/>
          <w:numId w:val="136"/>
        </w:numPr>
        <w:tabs>
          <w:tab w:val="left" w:pos="284"/>
        </w:tabs>
        <w:spacing w:line="360" w:lineRule="auto"/>
        <w:ind w:left="0" w:firstLine="0"/>
        <w:jc w:val="both"/>
        <w:textAlignment w:val="auto"/>
      </w:pPr>
      <w:r>
        <w:t>МРТ головного мозга (при необходимости).</w:t>
      </w:r>
    </w:p>
    <w:p w14:paraId="7F2CAD62" w14:textId="66DF292A" w:rsidR="00EA288F" w:rsidRDefault="00EA288F" w:rsidP="008F161A">
      <w:pPr>
        <w:pStyle w:val="Numlist"/>
        <w:numPr>
          <w:ilvl w:val="0"/>
          <w:numId w:val="136"/>
        </w:numPr>
        <w:tabs>
          <w:tab w:val="left" w:pos="284"/>
        </w:tabs>
        <w:spacing w:line="360" w:lineRule="auto"/>
        <w:ind w:left="0" w:firstLine="0"/>
        <w:jc w:val="both"/>
        <w:textAlignment w:val="auto"/>
      </w:pPr>
      <w:r>
        <w:t>Люмбальная пункция с последующим цитологическим, комплексным иммунохимическим и иммунофенотипическим исследованием ликвора</w:t>
      </w:r>
      <w:r w:rsidR="00686A22">
        <w:t xml:space="preserve"> </w:t>
      </w:r>
      <w:r w:rsidR="00686A22" w:rsidRPr="00C9448D">
        <w:t>(цитологическое исследование клеток спинномозговой жидкости, исследование физических свойств спинномозговой жидкости, микроскопическое исследование спинномозговой жидкости, подсчет клеток в счетной камере (определение цитоза), общий (клинический) анализ спинномозговой жидкости)</w:t>
      </w:r>
      <w:r>
        <w:t xml:space="preserve"> при подозрении на вовлечение в патологический процесс центральной нервной системы.</w:t>
      </w:r>
    </w:p>
    <w:p w14:paraId="70047552" w14:textId="6C267EBC" w:rsidR="00EA288F" w:rsidRDefault="00EA288F" w:rsidP="008F161A">
      <w:pPr>
        <w:pStyle w:val="af0"/>
        <w:numPr>
          <w:ilvl w:val="0"/>
          <w:numId w:val="135"/>
        </w:numPr>
        <w:spacing w:line="360" w:lineRule="auto"/>
        <w:ind w:left="0" w:firstLine="0"/>
        <w:rPr>
          <w:b/>
        </w:rPr>
      </w:pPr>
      <w:r>
        <w:rPr>
          <w:b/>
        </w:rPr>
        <w:t>Лабораторные и инструментальные методы исследования на этапе противоопухолевой терапии симптоматической множественной миеломы</w:t>
      </w:r>
      <w:r w:rsidR="00C736DB">
        <w:fldChar w:fldCharType="begin" w:fldLock="1"/>
      </w:r>
      <w:r w:rsidR="00E430FD">
        <w:instrText>ADDIN CSL_CITATION {"citationItems":[{"id":"ITEM-1","itemData":{"DOI":"10.1093/annonc/mdt297","ISSN":"15698041","PMID":"23956208","author":[{"dropping-particle":"","family":"Moreau","given":"P.","non-dropping-particle":"","parse-names":false,"suffix":""},{"dropping-particle":"","family":"San Miguel","given":"J.","non-dropping-particle":"","parse-names":false,"suffix":""},{"dropping-particle":"","family":"Ludwig","given":"H.","non-dropping-particle":"","parse-names":false,"suffix":""},{"dropping-particle":"","family":"Schouten","given":"H.","non-dropping-particle":"","parse-names":false,"suffix":""},{"dropping-particle":"","family":"Mohty","given":"M.","non-dropping-particle":"","parse-names":false,"suffix":""},{"dropping-particle":"","family":"Dimopoulos","given":"M.","non-dropping-particle":"","parse-names":false,"suffix":""},{"dropping-particle":"","family":"Dreyling","given":"M.","non-dropping-particle":"","parse-names":false,"suffix":""}],"container-title":"Annals of Oncology","id":"ITEM-1","issue":"SUPPL.6","issued":{"date-parts":[["2013"]]},"publisher":"Oxford University Press","title":"Multiple myeloma: ESMO clinical practice guidelines for diagnosis, treatment and follow-up","type":"article-journal","volume":"24"},"uris":["http://www.mendeley.com/documents/?uuid=3aad35b7-4fda-4ab6-b470-47cb14ab7c92"]},{"id":"ITEM-2","itemData":{"DOI":"10.1007/s12288-015-0605-3","ISSN":"09740449","abstract":"INTRODUCTION: High resolution electrophoresis (HRE) and immunofixation (IFX) of serum and urine are integral to the diagnostic work-up of multiple myeloma. Unusual electrophoresis patterns are common and may be misinterpreted. Though primarily the responsibility of the hematopathologist, clinicians who are responsible for managing myelomas may benefit from knowledge of these. In this review article we intend to discuss the patterns and importance of electrophoresis in present day scenario.\\nMETHODS: Patterns of HRE and IFX seen in our laboratory over the past 15 years were studied.\\nRESULTS: Monoclonal proteins are seen on HRE as sharply defined bands, sometimes two, lying from γ- to α-globulin regions on a background of normal, increased or decreased polyclonal γ-globulins, showing HRE to be a rapid and dependable method of detecting M-protein in serum or urine. Immunofixation complements HRE and due to its greater sensitivity, is able to pick up small or light chain bands, not apparent on electrophoresis, including biclonal disease even when electrophoresis shows only one M-band. Special features liable to misinterpretation are discussed. Familiarity with the interpretation of the varied patterns seen in health and disease is essential for providing dependable laboratory support in the management of multiple myeloma.","author":[{"dropping-particle":"","family":"Misra","given":"Aroonima","non-dropping-particle":"","parse-names":false,"suffix":""},{"dropping-particle":"","family":"Mishra","given":"Jyoti","non-dropping-particle":"","parse-names":false,"suffix":""},{"dropping-particle":"","family":"Chandramohan","given":"Jagan","non-dropping-particle":"","parse-names":false,"suffix":""},{"dropping-particle":"","family":"Sharma","given":"Atul","non-dropping-particle":"","parse-names":false,"suffix":""},{"dropping-particle":"","family":"Raina","given":"Vinod","non-dropping-particle":"","parse-names":false,"suffix":""},{"dropping-particle":"","family":"Kumar","given":"Rajive","non-dropping-particle":"","parse-names":false,"suffix":""},{"dropping-particle":"","family":"Soni","given":"Sushant","non-dropping-particle":"","parse-names":false,"suffix":""},{"dropping-particle":"","family":"Chopra","given":"Anita","non-dropping-particle":"","parse-names":false,"suffix":""}],"container-title":"Indian Journal of Hematology and Blood Transfusion","id":"ITEM-2","issue":"1","issued":{"date-parts":[["2016","3","1"]]},"page":"10-17","publisher":"Springer India","title":"Old but Still Relevant: High Resolution Electrophoresis and Immunofixation in Multiple Myeloma","type":"article","volume":"32"},"uris":["http://www.mendeley.com/documents/?uuid=6ef53f7f-a8ea-313b-8592-b30a07009fbf"]}],"mendeley":{"formattedCitation":"[19,126]","plainTextFormattedCitation":"[19,126]","previouslyFormattedCitation":"[19,126]"},"properties":{"noteIndex":0},"schema":"https://github.com/citation-style-language/schema/raw/master/csl-citation.json"}</w:instrText>
      </w:r>
      <w:r w:rsidR="00C736DB">
        <w:fldChar w:fldCharType="separate"/>
      </w:r>
      <w:r w:rsidR="00E430FD" w:rsidRPr="00E430FD">
        <w:rPr>
          <w:noProof/>
        </w:rPr>
        <w:t>[19,126]</w:t>
      </w:r>
      <w:r w:rsidR="00C736DB">
        <w:fldChar w:fldCharType="end"/>
      </w:r>
    </w:p>
    <w:p w14:paraId="36010BE1" w14:textId="77777777" w:rsidR="005A0507" w:rsidRDefault="005A0507" w:rsidP="008F161A">
      <w:pPr>
        <w:pStyle w:val="Numlist"/>
        <w:numPr>
          <w:ilvl w:val="0"/>
          <w:numId w:val="137"/>
        </w:numPr>
        <w:tabs>
          <w:tab w:val="left" w:pos="284"/>
        </w:tabs>
        <w:spacing w:line="360" w:lineRule="auto"/>
        <w:ind w:left="284" w:hanging="284"/>
        <w:jc w:val="both"/>
        <w:textAlignment w:val="auto"/>
      </w:pPr>
      <w:r>
        <w:t xml:space="preserve">Общий (клинический) </w:t>
      </w:r>
      <w:proofErr w:type="gramStart"/>
      <w:r>
        <w:t>анализ крови</w:t>
      </w:r>
      <w:proofErr w:type="gramEnd"/>
      <w:r>
        <w:t xml:space="preserve"> развернутый.</w:t>
      </w:r>
    </w:p>
    <w:p w14:paraId="3A9560FD" w14:textId="5489CE30" w:rsidR="00EA288F" w:rsidRDefault="005A0507" w:rsidP="008F161A">
      <w:pPr>
        <w:pStyle w:val="Numlist"/>
        <w:numPr>
          <w:ilvl w:val="0"/>
          <w:numId w:val="137"/>
        </w:numPr>
        <w:tabs>
          <w:tab w:val="left" w:pos="284"/>
        </w:tabs>
        <w:spacing w:line="360" w:lineRule="auto"/>
        <w:ind w:left="284" w:hanging="284"/>
        <w:jc w:val="both"/>
        <w:textAlignment w:val="auto"/>
      </w:pPr>
      <w:r>
        <w:t xml:space="preserve">Анализ крови биохимический общетерапевтический </w:t>
      </w:r>
      <w:r w:rsidR="00EA288F">
        <w:t>с обязательным определением: уровней общего белка, альбумина, креатинина, мочевой кислоты, калия, кальция, активности ЛДГ.</w:t>
      </w:r>
    </w:p>
    <w:p w14:paraId="0FB6ACBE" w14:textId="77777777" w:rsidR="00EA288F" w:rsidRDefault="00EA288F" w:rsidP="008F161A">
      <w:pPr>
        <w:pStyle w:val="Numlist"/>
        <w:numPr>
          <w:ilvl w:val="0"/>
          <w:numId w:val="137"/>
        </w:numPr>
        <w:tabs>
          <w:tab w:val="left" w:pos="284"/>
        </w:tabs>
        <w:spacing w:line="360" w:lineRule="auto"/>
        <w:ind w:left="0" w:firstLine="0"/>
        <w:jc w:val="both"/>
        <w:textAlignment w:val="auto"/>
      </w:pPr>
      <w:r>
        <w:t>Общий анализ мочи.</w:t>
      </w:r>
    </w:p>
    <w:p w14:paraId="6E0DBEE6" w14:textId="77777777" w:rsidR="00EA288F" w:rsidRDefault="00EA288F" w:rsidP="008F161A">
      <w:pPr>
        <w:pStyle w:val="Numlist"/>
        <w:numPr>
          <w:ilvl w:val="0"/>
          <w:numId w:val="137"/>
        </w:numPr>
        <w:tabs>
          <w:tab w:val="left" w:pos="284"/>
        </w:tabs>
        <w:spacing w:line="360" w:lineRule="auto"/>
        <w:ind w:left="0" w:firstLine="0"/>
        <w:jc w:val="both"/>
        <w:textAlignment w:val="auto"/>
      </w:pPr>
      <w:r>
        <w:t>Определение количества белка в суточной моче – после каждых 2-3 курсов терапии.</w:t>
      </w:r>
    </w:p>
    <w:p w14:paraId="20618181" w14:textId="77777777" w:rsidR="00EA288F" w:rsidRDefault="00EA288F" w:rsidP="008F161A">
      <w:pPr>
        <w:pStyle w:val="Numlist"/>
        <w:numPr>
          <w:ilvl w:val="0"/>
          <w:numId w:val="137"/>
        </w:numPr>
        <w:tabs>
          <w:tab w:val="left" w:pos="284"/>
        </w:tabs>
        <w:spacing w:line="360" w:lineRule="auto"/>
        <w:ind w:left="0" w:firstLine="0"/>
        <w:jc w:val="both"/>
        <w:textAlignment w:val="auto"/>
      </w:pPr>
      <w:r>
        <w:t>Определение скорости клубочковой фильтрации.</w:t>
      </w:r>
    </w:p>
    <w:p w14:paraId="57B206C2" w14:textId="77777777" w:rsidR="00EA288F" w:rsidRDefault="00EA288F" w:rsidP="008F161A">
      <w:pPr>
        <w:pStyle w:val="Numlist"/>
        <w:numPr>
          <w:ilvl w:val="0"/>
          <w:numId w:val="137"/>
        </w:numPr>
        <w:tabs>
          <w:tab w:val="left" w:pos="284"/>
        </w:tabs>
        <w:spacing w:line="360" w:lineRule="auto"/>
        <w:ind w:left="0" w:firstLine="0"/>
        <w:jc w:val="both"/>
        <w:textAlignment w:val="auto"/>
      </w:pPr>
      <w:r>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63BA1299" w14:textId="77777777" w:rsidR="00EA288F" w:rsidRDefault="00EA288F" w:rsidP="008F161A">
      <w:pPr>
        <w:pStyle w:val="Numlist"/>
        <w:numPr>
          <w:ilvl w:val="0"/>
          <w:numId w:val="137"/>
        </w:numPr>
        <w:tabs>
          <w:tab w:val="left" w:pos="284"/>
        </w:tabs>
        <w:spacing w:line="360" w:lineRule="auto"/>
        <w:ind w:left="0" w:firstLine="0"/>
        <w:jc w:val="both"/>
        <w:textAlignment w:val="auto"/>
      </w:pPr>
      <w:r>
        <w:t xml:space="preserve">Комплексное иммунохимическое исследование сыворотки и мочи (после каждых 2-3 курсов терапии), включающее </w:t>
      </w:r>
    </w:p>
    <w:p w14:paraId="7468546A" w14:textId="459CB573" w:rsidR="00EA288F" w:rsidRDefault="00EA288F" w:rsidP="00EA288F">
      <w:pPr>
        <w:pStyle w:val="Numlist"/>
        <w:tabs>
          <w:tab w:val="left" w:pos="284"/>
        </w:tabs>
        <w:spacing w:line="360" w:lineRule="auto"/>
        <w:ind w:firstLine="0"/>
        <w:jc w:val="both"/>
      </w:pPr>
      <w:r>
        <w:t>- электрофорез и иммунофиксация белков сыворотки и мочи с определением белка Бенс-Джонса</w:t>
      </w:r>
      <w:r w:rsidR="00D90B88">
        <w:t xml:space="preserve"> </w:t>
      </w:r>
      <w:r w:rsidR="00D90B88" w:rsidRPr="0053428B">
        <w:t>(исследование моноклональности иммуноглобулинов в крови методом иммунофиксации, исследование моноклональности легких цепей иммуноглобулинов в крови методом иммунофиксации, исследование моноклональности иммуноглобулинов в моче методом иммунофиксации, исследование моноклональности легких цепей иммуноглобулинов в моче методом иммунофиксации)</w:t>
      </w:r>
      <w:r w:rsidRPr="0053428B">
        <w:t>;</w:t>
      </w:r>
    </w:p>
    <w:p w14:paraId="617B68BB" w14:textId="77777777" w:rsidR="00EA288F" w:rsidRDefault="00EA288F" w:rsidP="00EA288F">
      <w:pPr>
        <w:pStyle w:val="Numlist"/>
        <w:tabs>
          <w:tab w:val="left" w:pos="284"/>
        </w:tabs>
        <w:spacing w:line="360" w:lineRule="auto"/>
        <w:ind w:firstLine="0"/>
        <w:jc w:val="both"/>
      </w:pPr>
      <w:r>
        <w:t>- определение уровня поликлональных иммуноглобулинов (</w:t>
      </w:r>
      <w:r>
        <w:rPr>
          <w:lang w:val="en-US"/>
        </w:rPr>
        <w:t>A</w:t>
      </w:r>
      <w:r>
        <w:t xml:space="preserve">, </w:t>
      </w:r>
      <w:r>
        <w:rPr>
          <w:lang w:val="en-US"/>
        </w:rPr>
        <w:t>G</w:t>
      </w:r>
      <w:r>
        <w:t xml:space="preserve">, </w:t>
      </w:r>
      <w:r>
        <w:rPr>
          <w:lang w:val="en-US"/>
        </w:rPr>
        <w:t>M</w:t>
      </w:r>
      <w:r>
        <w:t>);</w:t>
      </w:r>
    </w:p>
    <w:p w14:paraId="566DC24C" w14:textId="77777777" w:rsidR="00EA288F" w:rsidRDefault="00EA288F" w:rsidP="00EA288F">
      <w:pPr>
        <w:pStyle w:val="Numlist"/>
        <w:tabs>
          <w:tab w:val="left" w:pos="284"/>
        </w:tabs>
        <w:spacing w:line="360" w:lineRule="auto"/>
        <w:ind w:firstLine="0"/>
        <w:jc w:val="both"/>
      </w:pPr>
      <w:r>
        <w:t>- определение свободных легких цепей и их соотношения при «неизмеряемом» заболевании.</w:t>
      </w:r>
    </w:p>
    <w:p w14:paraId="4BC3BAD2" w14:textId="520CD27C" w:rsidR="00EA288F" w:rsidRDefault="005B71A1" w:rsidP="008F161A">
      <w:pPr>
        <w:pStyle w:val="Numlist"/>
        <w:numPr>
          <w:ilvl w:val="0"/>
          <w:numId w:val="137"/>
        </w:numPr>
        <w:tabs>
          <w:tab w:val="left" w:pos="284"/>
        </w:tabs>
        <w:spacing w:line="360" w:lineRule="auto"/>
        <w:ind w:left="0" w:firstLine="0"/>
        <w:jc w:val="both"/>
        <w:textAlignment w:val="auto"/>
      </w:pPr>
      <w:r>
        <w:lastRenderedPageBreak/>
        <w:t>Получение цитологического препарата костного мозга путем пункции с дальнейшим цитологическим исследованием мазка костного мозга (миелограмма)</w:t>
      </w:r>
      <w:r w:rsidR="00EA288F">
        <w:t xml:space="preserve"> – в случае констатации полной ремиссии заболевания.</w:t>
      </w:r>
    </w:p>
    <w:p w14:paraId="2EE2E2A2" w14:textId="51C0554E" w:rsidR="00EA288F" w:rsidRDefault="004F56A1" w:rsidP="008F161A">
      <w:pPr>
        <w:pStyle w:val="Numlist"/>
        <w:numPr>
          <w:ilvl w:val="0"/>
          <w:numId w:val="137"/>
        </w:numPr>
        <w:tabs>
          <w:tab w:val="left" w:pos="284"/>
        </w:tabs>
        <w:spacing w:line="360" w:lineRule="auto"/>
        <w:ind w:left="0" w:firstLine="0"/>
        <w:jc w:val="both"/>
        <w:textAlignment w:val="auto"/>
      </w:pPr>
      <w:r>
        <w:t xml:space="preserve">Паталогоанатомическое исследование </w:t>
      </w:r>
      <w:r w:rsidRPr="00C528FA">
        <w:t>биопсийного (операционного) материала костного мозга</w:t>
      </w:r>
      <w:r>
        <w:t xml:space="preserve"> </w:t>
      </w:r>
      <w:r w:rsidR="00EA288F">
        <w:t>– при уточнении рецидива заболевания и/или оценки кроветворения.</w:t>
      </w:r>
    </w:p>
    <w:p w14:paraId="511D1A3F" w14:textId="48EA7B7B" w:rsidR="00EA288F" w:rsidRDefault="004F56A1" w:rsidP="008F161A">
      <w:pPr>
        <w:pStyle w:val="Numlist"/>
        <w:numPr>
          <w:ilvl w:val="0"/>
          <w:numId w:val="137"/>
        </w:numPr>
        <w:tabs>
          <w:tab w:val="left" w:pos="284"/>
        </w:tabs>
        <w:spacing w:line="360" w:lineRule="auto"/>
        <w:ind w:left="0" w:firstLine="0"/>
        <w:jc w:val="both"/>
        <w:textAlignment w:val="auto"/>
      </w:pPr>
      <w:r>
        <w:t xml:space="preserve">паталогоанатомическое исследование </w:t>
      </w:r>
      <w:r w:rsidRPr="00C528FA">
        <w:t xml:space="preserve">биопсийного (операционного) материала </w:t>
      </w:r>
      <w:r w:rsidR="00EA288F">
        <w:t>плазмоцитомы и/или костного мозга с применением иммуногистохимических методов - при уточнении рецидива заболевания и/или оценки кроветворения.</w:t>
      </w:r>
    </w:p>
    <w:p w14:paraId="6484C1F8" w14:textId="6C0E8818" w:rsidR="00EA288F" w:rsidRDefault="00E1357D" w:rsidP="008F161A">
      <w:pPr>
        <w:pStyle w:val="Numlist"/>
        <w:numPr>
          <w:ilvl w:val="0"/>
          <w:numId w:val="137"/>
        </w:numPr>
        <w:tabs>
          <w:tab w:val="left" w:pos="284"/>
        </w:tabs>
        <w:spacing w:line="360" w:lineRule="auto"/>
        <w:ind w:left="0" w:firstLine="0"/>
        <w:jc w:val="both"/>
        <w:textAlignment w:val="auto"/>
      </w:pPr>
      <w:r>
        <w:t xml:space="preserve">Исследование биологического материала (костного мозга) методом проточной </w:t>
      </w:r>
      <w:proofErr w:type="gramStart"/>
      <w:r>
        <w:t xml:space="preserve">цитофлуориметрии  </w:t>
      </w:r>
      <w:r w:rsidR="00EA288F">
        <w:t>при</w:t>
      </w:r>
      <w:proofErr w:type="gramEnd"/>
      <w:r w:rsidR="00EA288F">
        <w:t xml:space="preserve"> достижении полной ремиссии заболевания.</w:t>
      </w:r>
    </w:p>
    <w:p w14:paraId="54123430" w14:textId="20CC3714" w:rsidR="00EA288F" w:rsidRPr="0053428B" w:rsidRDefault="00EA288F" w:rsidP="008F161A">
      <w:pPr>
        <w:pStyle w:val="Numlist"/>
        <w:numPr>
          <w:ilvl w:val="0"/>
          <w:numId w:val="137"/>
        </w:numPr>
        <w:tabs>
          <w:tab w:val="left" w:pos="284"/>
        </w:tabs>
        <w:spacing w:line="360" w:lineRule="auto"/>
        <w:ind w:left="0" w:firstLine="0"/>
        <w:jc w:val="both"/>
        <w:textAlignment w:val="auto"/>
      </w:pPr>
      <w:r w:rsidRPr="0053428B">
        <w:t xml:space="preserve">Определение </w:t>
      </w:r>
      <w:r w:rsidR="00AB3E79" w:rsidRPr="0053428B">
        <w:t xml:space="preserve">основных групп по системе АВ0, определение антигена </w:t>
      </w:r>
      <w:r w:rsidR="00AB3E79" w:rsidRPr="0053428B">
        <w:rPr>
          <w:lang w:val="en-US"/>
        </w:rPr>
        <w:t>D</w:t>
      </w:r>
      <w:r w:rsidR="00AB3E79" w:rsidRPr="0053428B">
        <w:t xml:space="preserve"> системы Резус (резус-фактор), определение подгрупп и других групп крови меньшего значения А-1. А-2, </w:t>
      </w:r>
      <w:r w:rsidR="00AB3E79" w:rsidRPr="0053428B">
        <w:rPr>
          <w:lang w:val="en-US"/>
        </w:rPr>
        <w:t>D</w:t>
      </w:r>
      <w:r w:rsidR="00AB3E79" w:rsidRPr="0053428B">
        <w:t xml:space="preserve">, </w:t>
      </w:r>
      <w:r w:rsidR="00AB3E79" w:rsidRPr="0053428B">
        <w:rPr>
          <w:lang w:val="en-US"/>
        </w:rPr>
        <w:t>Cc</w:t>
      </w:r>
      <w:r w:rsidR="00AB3E79" w:rsidRPr="0053428B">
        <w:t xml:space="preserve">, </w:t>
      </w:r>
      <w:r w:rsidR="00AB3E79" w:rsidRPr="0053428B">
        <w:rPr>
          <w:lang w:val="en-US"/>
        </w:rPr>
        <w:t>E</w:t>
      </w:r>
      <w:r w:rsidR="00AB3E79" w:rsidRPr="0053428B">
        <w:t xml:space="preserve">, </w:t>
      </w:r>
      <w:r w:rsidR="00AB3E79" w:rsidRPr="0053428B">
        <w:rPr>
          <w:lang w:val="en-US"/>
        </w:rPr>
        <w:t>Kell</w:t>
      </w:r>
      <w:r w:rsidR="00AB3E79" w:rsidRPr="0053428B">
        <w:t xml:space="preserve">, </w:t>
      </w:r>
      <w:r w:rsidR="00AB3E79" w:rsidRPr="0053428B">
        <w:rPr>
          <w:lang w:val="en-US"/>
        </w:rPr>
        <w:t>Duffy</w:t>
      </w:r>
      <w:r w:rsidR="00AB3E79" w:rsidRPr="0053428B">
        <w:t xml:space="preserve">, определение фенотипа по антигенам С, с, Е, е, </w:t>
      </w:r>
      <w:r w:rsidR="00AB3E79" w:rsidRPr="0053428B">
        <w:rPr>
          <w:lang w:val="en-US"/>
        </w:rPr>
        <w:t>Cw</w:t>
      </w:r>
      <w:r w:rsidR="00AB3E79" w:rsidRPr="0053428B">
        <w:t xml:space="preserve">, </w:t>
      </w:r>
      <w:r w:rsidR="00AB3E79" w:rsidRPr="0053428B">
        <w:rPr>
          <w:lang w:val="en-US"/>
        </w:rPr>
        <w:t>K</w:t>
      </w:r>
      <w:r w:rsidR="00AB3E79" w:rsidRPr="0053428B">
        <w:t xml:space="preserve">, </w:t>
      </w:r>
      <w:r w:rsidR="00AB3E79" w:rsidRPr="0053428B">
        <w:rPr>
          <w:lang w:val="en-US"/>
        </w:rPr>
        <w:t>k</w:t>
      </w:r>
      <w:r w:rsidR="00AB3E79" w:rsidRPr="0053428B">
        <w:t xml:space="preserve"> и определение антиэритроцитарных антител, определение содержания антител к антигенам групп крови</w:t>
      </w:r>
      <w:r w:rsidRPr="0053428B">
        <w:t>.</w:t>
      </w:r>
    </w:p>
    <w:p w14:paraId="59690142" w14:textId="77777777" w:rsidR="00EA288F" w:rsidRDefault="00EA288F" w:rsidP="008F161A">
      <w:pPr>
        <w:pStyle w:val="Numlist"/>
        <w:numPr>
          <w:ilvl w:val="0"/>
          <w:numId w:val="137"/>
        </w:numPr>
        <w:tabs>
          <w:tab w:val="left" w:pos="284"/>
        </w:tabs>
        <w:spacing w:line="360" w:lineRule="auto"/>
        <w:ind w:left="0" w:firstLine="0"/>
        <w:jc w:val="both"/>
        <w:textAlignment w:val="auto"/>
      </w:pPr>
      <w:r>
        <w:t>Исследование на маркеры вирусов гепатитов</w:t>
      </w:r>
      <w:r>
        <w:rPr>
          <w:lang w:val="en-US"/>
        </w:rPr>
        <w:t> B</w:t>
      </w:r>
      <w:r>
        <w:t xml:space="preserve"> и </w:t>
      </w:r>
      <w:r>
        <w:rPr>
          <w:lang w:val="en-US"/>
        </w:rPr>
        <w:t>C</w:t>
      </w:r>
      <w:r>
        <w:t>, ВИЧ.</w:t>
      </w:r>
    </w:p>
    <w:p w14:paraId="2C62296E" w14:textId="77777777" w:rsidR="00EA288F" w:rsidRDefault="00EA288F" w:rsidP="008F161A">
      <w:pPr>
        <w:pStyle w:val="Numlist"/>
        <w:numPr>
          <w:ilvl w:val="0"/>
          <w:numId w:val="137"/>
        </w:numPr>
        <w:tabs>
          <w:tab w:val="left" w:pos="284"/>
        </w:tabs>
        <w:spacing w:line="360" w:lineRule="auto"/>
        <w:ind w:left="0" w:firstLine="0"/>
        <w:jc w:val="both"/>
        <w:textAlignment w:val="auto"/>
      </w:pPr>
      <w:r>
        <w:t xml:space="preserve">КТ костей позвоночника, таза, грудной полости – контроль размеров плазмоцитом - после каждых 2-3 курсов лечения для оценки противоопухолевого ответа. </w:t>
      </w:r>
    </w:p>
    <w:p w14:paraId="4CDC1C61" w14:textId="77777777" w:rsidR="00EA288F" w:rsidRDefault="00EA288F" w:rsidP="008F161A">
      <w:pPr>
        <w:pStyle w:val="Numlist"/>
        <w:numPr>
          <w:ilvl w:val="0"/>
          <w:numId w:val="137"/>
        </w:numPr>
        <w:tabs>
          <w:tab w:val="left" w:pos="284"/>
        </w:tabs>
        <w:spacing w:line="360" w:lineRule="auto"/>
        <w:ind w:left="0" w:firstLine="0"/>
        <w:jc w:val="both"/>
        <w:textAlignment w:val="auto"/>
      </w:pPr>
      <w:r>
        <w:t>Позитронно-эмиссионная томография, совмещенная с КТ – при достижении полной ремиссии заболевания.</w:t>
      </w:r>
    </w:p>
    <w:p w14:paraId="333990A7" w14:textId="77777777" w:rsidR="00EA288F" w:rsidRDefault="00EA288F" w:rsidP="008F161A">
      <w:pPr>
        <w:pStyle w:val="Numlist"/>
        <w:numPr>
          <w:ilvl w:val="0"/>
          <w:numId w:val="137"/>
        </w:numPr>
        <w:tabs>
          <w:tab w:val="left" w:pos="284"/>
        </w:tabs>
        <w:spacing w:line="360" w:lineRule="auto"/>
        <w:ind w:left="0" w:firstLine="0"/>
        <w:jc w:val="both"/>
        <w:textAlignment w:val="auto"/>
      </w:pPr>
      <w:r>
        <w:t>Рентгенография костей скелета - при уточнении рецидива заболевания.</w:t>
      </w:r>
    </w:p>
    <w:p w14:paraId="426F2139" w14:textId="77777777" w:rsidR="00EA288F" w:rsidRDefault="00EA288F" w:rsidP="008F161A">
      <w:pPr>
        <w:pStyle w:val="Numlist"/>
        <w:numPr>
          <w:ilvl w:val="0"/>
          <w:numId w:val="137"/>
        </w:numPr>
        <w:tabs>
          <w:tab w:val="left" w:pos="284"/>
        </w:tabs>
        <w:spacing w:line="360" w:lineRule="auto"/>
        <w:ind w:left="0" w:firstLine="0"/>
        <w:jc w:val="both"/>
        <w:textAlignment w:val="auto"/>
      </w:pPr>
      <w:r>
        <w:t>Магнитно-резонансная томография области мягкотканного компонента для оценки размеров - после каждых 2-3 курсов лечения для оценки противоопухолевого ответа.</w:t>
      </w:r>
    </w:p>
    <w:p w14:paraId="3C5A5748" w14:textId="77777777" w:rsidR="00EA288F" w:rsidRDefault="00EA288F" w:rsidP="008F161A">
      <w:pPr>
        <w:pStyle w:val="Numlist"/>
        <w:numPr>
          <w:ilvl w:val="0"/>
          <w:numId w:val="137"/>
        </w:numPr>
        <w:tabs>
          <w:tab w:val="left" w:pos="284"/>
        </w:tabs>
        <w:spacing w:line="360" w:lineRule="auto"/>
        <w:ind w:left="0" w:firstLine="0"/>
        <w:jc w:val="both"/>
        <w:textAlignment w:val="auto"/>
      </w:pPr>
      <w:r>
        <w:t>Электрокардиограмма.</w:t>
      </w:r>
    </w:p>
    <w:p w14:paraId="70D33B3F" w14:textId="77777777" w:rsidR="00EA288F" w:rsidRDefault="00EA288F" w:rsidP="008F161A">
      <w:pPr>
        <w:pStyle w:val="Numlist"/>
        <w:numPr>
          <w:ilvl w:val="0"/>
          <w:numId w:val="137"/>
        </w:numPr>
        <w:tabs>
          <w:tab w:val="left" w:pos="284"/>
        </w:tabs>
        <w:spacing w:line="360" w:lineRule="auto"/>
        <w:ind w:left="0" w:firstLine="0"/>
        <w:jc w:val="both"/>
        <w:textAlignment w:val="auto"/>
      </w:pPr>
      <w:r>
        <w:t>Эхокардиография (при необходимости).</w:t>
      </w:r>
    </w:p>
    <w:p w14:paraId="7294D4C6" w14:textId="77777777" w:rsidR="00EA288F" w:rsidRDefault="00EA288F" w:rsidP="008F161A">
      <w:pPr>
        <w:pStyle w:val="Numlist"/>
        <w:numPr>
          <w:ilvl w:val="0"/>
          <w:numId w:val="137"/>
        </w:numPr>
        <w:tabs>
          <w:tab w:val="left" w:pos="284"/>
        </w:tabs>
        <w:spacing w:line="360" w:lineRule="auto"/>
        <w:ind w:left="0" w:firstLine="0"/>
        <w:jc w:val="both"/>
        <w:textAlignment w:val="auto"/>
      </w:pPr>
      <w:r>
        <w:t>УЗИ брюшной полости (комплексное) (при необходимости).</w:t>
      </w:r>
    </w:p>
    <w:p w14:paraId="52B3978E" w14:textId="77777777" w:rsidR="00EA288F" w:rsidRDefault="00EA288F" w:rsidP="008F161A">
      <w:pPr>
        <w:pStyle w:val="Numlist"/>
        <w:numPr>
          <w:ilvl w:val="0"/>
          <w:numId w:val="137"/>
        </w:numPr>
        <w:tabs>
          <w:tab w:val="left" w:pos="284"/>
        </w:tabs>
        <w:spacing w:line="360" w:lineRule="auto"/>
        <w:ind w:left="0" w:firstLine="0"/>
        <w:jc w:val="both"/>
        <w:textAlignment w:val="auto"/>
      </w:pPr>
      <w:r>
        <w:t>Ультразвуковая допплерография сосудов (артерий и вен) нижних конечностей (при необходимости).</w:t>
      </w:r>
    </w:p>
    <w:p w14:paraId="4ECA0484" w14:textId="77777777" w:rsidR="00EA288F" w:rsidRDefault="00EA288F" w:rsidP="008F161A">
      <w:pPr>
        <w:pStyle w:val="Numlist"/>
        <w:numPr>
          <w:ilvl w:val="0"/>
          <w:numId w:val="137"/>
        </w:numPr>
        <w:tabs>
          <w:tab w:val="left" w:pos="284"/>
        </w:tabs>
        <w:spacing w:line="360" w:lineRule="auto"/>
        <w:ind w:left="0" w:firstLine="0"/>
        <w:jc w:val="both"/>
        <w:textAlignment w:val="auto"/>
      </w:pPr>
      <w:r>
        <w:t>Эзофагогастродуоденоскопия с биопсией (при необходимости).</w:t>
      </w:r>
    </w:p>
    <w:p w14:paraId="371C254E" w14:textId="77777777" w:rsidR="00EA288F" w:rsidRDefault="00EA288F" w:rsidP="008F161A">
      <w:pPr>
        <w:pStyle w:val="Numlist"/>
        <w:numPr>
          <w:ilvl w:val="0"/>
          <w:numId w:val="137"/>
        </w:numPr>
        <w:tabs>
          <w:tab w:val="left" w:pos="284"/>
        </w:tabs>
        <w:spacing w:line="360" w:lineRule="auto"/>
        <w:ind w:left="0" w:firstLine="0"/>
        <w:jc w:val="both"/>
        <w:textAlignment w:val="auto"/>
      </w:pPr>
      <w:r>
        <w:t xml:space="preserve">МРТ головного мозга (при необходимости). </w:t>
      </w:r>
    </w:p>
    <w:p w14:paraId="4DCFE3A6" w14:textId="69AB0C0A" w:rsidR="00EA288F" w:rsidRDefault="00EA288F" w:rsidP="008F161A">
      <w:pPr>
        <w:pStyle w:val="Numlist"/>
        <w:numPr>
          <w:ilvl w:val="0"/>
          <w:numId w:val="137"/>
        </w:numPr>
        <w:tabs>
          <w:tab w:val="left" w:pos="284"/>
        </w:tabs>
        <w:spacing w:line="360" w:lineRule="auto"/>
        <w:ind w:left="0" w:firstLine="0"/>
        <w:jc w:val="both"/>
        <w:textAlignment w:val="auto"/>
      </w:pPr>
      <w:r>
        <w:t xml:space="preserve">Люмбальная пункция с последующим цитологическим, комплексным иммунохимическим и иммунофенотипическим исследованием ликвора </w:t>
      </w:r>
      <w:r w:rsidR="00686A22" w:rsidRPr="00686A22">
        <w:rPr>
          <w:highlight w:val="yellow"/>
        </w:rPr>
        <w:t>(</w:t>
      </w:r>
      <w:r w:rsidR="00686A22" w:rsidRPr="0053428B">
        <w:t xml:space="preserve">цитологическое исследование клеток спинномозговой жидкости, исследование физических свойств спинномозговой жидкости, микроскопическое исследование спинномозговой жидкости, </w:t>
      </w:r>
      <w:r w:rsidR="00686A22" w:rsidRPr="0053428B">
        <w:lastRenderedPageBreak/>
        <w:t>подсчет клеток в счетной камере (определение цитоза), общий (клинический) анализ спинномозговой жидкости)</w:t>
      </w:r>
      <w:r w:rsidR="00686A22">
        <w:t xml:space="preserve"> </w:t>
      </w:r>
      <w:r>
        <w:t>при подозрении на вовлечение в патологический процесс центральной нервной системы.</w:t>
      </w:r>
    </w:p>
    <w:p w14:paraId="3B5D27A1" w14:textId="21F33B2D" w:rsidR="00EA288F" w:rsidRDefault="00EA288F" w:rsidP="008F161A">
      <w:pPr>
        <w:pStyle w:val="af0"/>
        <w:numPr>
          <w:ilvl w:val="0"/>
          <w:numId w:val="135"/>
        </w:numPr>
        <w:spacing w:line="360" w:lineRule="auto"/>
        <w:ind w:left="0" w:firstLine="0"/>
        <w:rPr>
          <w:b/>
        </w:rPr>
      </w:pPr>
      <w:r>
        <w:rPr>
          <w:b/>
        </w:rPr>
        <w:t xml:space="preserve">Лабораторные и инструментальные методы исследования на этапе мобилизации и сбора гемопоэтических клеток крови у больных симптоматической множественной миеломы </w:t>
      </w:r>
      <w:r w:rsidR="00C736DB">
        <w:fldChar w:fldCharType="begin" w:fldLock="1"/>
      </w:r>
      <w:r w:rsidR="00A14090">
        <w:instrText>ADDIN CSL_CITATION {"citationItems":[{"id":"ITEM-1","itemData":{"DOI":"10.1158/1078-0432.CCR-14-1692","ISSN":"15573265","abstract":"© 2014 AACR. Detection of lytic bone lesions is crucial in the workup for multiple myeloma and very often dictates the decision to start treatment. Conventional radiography, despite decades of use, is often insufficient for detection of bone disease in multiple myeloma. Modern imaging techniques such as MRI, PET, and CT offer superior detection of myeloma bone disease and extramedullary manifestations of plasma cell dyscrasias. Novel whole-body low-dose computed tomography (WBLDCT) protocols allow for collection of superior image detail of the skeleton at doses of radiation similar to those used for conventional planar radiography. Several studies have shown that WBLDCT has a superior detection rate for lytic bone lesions compared with whole-body X-ray (WBXR), potentially leading to restaging and changes in therapy. MRI and PET provide imaging data important for assessing disease activity and prognostication. Because of several advantages over WBXR, WBLDCT is already the standard imaging technique for use in patients with multiple myeloma in many European institutions. However, the radiographic skeletal survey or WBXR is still the initial study of choice used to screen for myeloma bone disease in many institutions. In this review, we aim to explore the changing landscape of imaging for myeloma bone disease through use of modern imaging techniques.","author":[{"dropping-particle":"","family":"Pianko","given":"Matthew J.","non-dropping-particle":"","parse-names":false,"suffix":""},{"dropping-particle":"","family":"Terpos","given":"Evangelos","non-dropping-particle":"","parse-names":false,"suffix":""},{"dropping-particle":"","family":"Roodman","given":"G. David","non-dropping-particle":"","parse-names":false,"suffix":""},{"dropping-particle":"","family":"Divgi","given":"Chaitanya R.","non-dropping-particle":"","parse-names":false,"suffix":""},{"dropping-particle":"","family":"Zweegman","given":"Sonja","non-dropping-particle":"","parse-names":false,"suffix":""},{"dropping-particle":"","family":"Hillengass","given":"Jens","non-dropping-particle":"","parse-names":false,"suffix":""},{"dropping-particle":"","family":"Lentzsch","given":"Suzanne","non-dropping-particle":"","parse-names":false,"suffix":""}],"container-title":"Clinical Cancer Research","id":"ITEM-1","issue":"23","issued":{"date-parts":[["2014","12","1"]]},"page":"5888-5897","publisher":"American Association for Cancer Research Inc.","title":"Whole-body low-dose computed tomography and advanced imaging techniques for multiple myeloma bone disease","type":"article","volume":"20"},"uris":["http://www.mendeley.com/documents/?uuid=4ff9e16f-4fa9-3264-9e0c-e3e7902eb365"]},{"id":"ITEM-2","itemData":{"DOI":"10.1200/JCO.2015.61.2267","ISSN":"15277755","abstract":"PURPOSE The clinical outcome of multiple myeloma (MM) is heterogeneous. A simple and reliable tool is needed to stratify patients with MM. We combined the International Staging System (ISS) with chromosomal abnormalities (CA) detected by interphase fluorescent in situ hybridization after CD138 plasma cell purification and serum lactate dehydrogenase (LDH) to evaluate their prognostic value in newly diagnosed MM (NDMM). PATIENTS AND METHODS Clinical and laboratory data from 4,445 patients with NDMM enrolled onto 11 international trials were pooled together. The K-adaptive partitioning algorithm was used to define the most appropriate subgroups with homogeneous survival. RESULTS ISS, CA, and LDH data were simultaneously available in 3,060 of 4,445 patients. We defined the following three groups: revised ISS (R-ISS) I (n = 871), including ISS stage I (serum β2-microglobulin level &lt; 3.5 mg/L and serum albumin level ≥ 3.5 g/dL), no high-risk CA [del(17p) and/or t(4;14) and/or t(14;16)], and normal LDH level (less than the upper limit of normal range); R-ISS III (n = 295), including ISS stage III (serum β2-microglobulin level &gt; 5.5 mg/L) and high-risk CA or high LDH level; and R-ISS II (n = 1,894), including all the other possible combinations. At a median follow-up of 46 months, the 5-year OS rate was 82% in the R-ISS I, 62% in the R-ISS II, and 40% in the R-ISS III groups; the 5-year PFS rates were 55%, 36%, and 24%, respectively. CONCLUSION The R-ISS is a simple and powerful prognostic staging system, and we recommend its use in future clinical studies to stratify patients with NDMM effectively with respect to the relative risk to their survival.","author":[{"dropping-particle":"","family":"Palumbo","given":"Antonio","non-dropping-particle":"","parse-names":false,"suffix":""},{"dropping-particle":"","family":"Avet-Loiseau","given":"Hervé","non-dropping-particle":"","parse-names":false,"suffix":""},{"dropping-particle":"","family":"Oliva","given":"Stefania","non-dropping-particle":"","parse-names":false,"suffix":""},{"dropping-particle":"","family":"Lokhorst","given":"Henk M.","non-dropping-particle":"","parse-names":false,"suffix":""},{"dropping-particle":"","family":"Goldschmidt","given":"Hartmut","non-dropping-particle":"","parse-names":false,"suffix":""},{"dropping-particle":"","family":"Rosinol","given":"Laura","non-dropping-particle":"","parse-names":false,"suffix":""},{"dropping-particle":"","family":"Richardson","given":"Paul","non-dropping-particle":"","parse-names":false,"suffix":""},{"dropping-particle":"","family":"Caltagirone","given":"Simona","non-dropping-particle":"","parse-names":false,"suffix":""},{"dropping-particle":"","family":"Lahuerta","given":"Juan José","non-dropping-particle":"","parse-names":false,"suffix":""},{"dropping-particle":"","family":"Facon","given":"Thierry","non-dropping-particle":"","parse-names":false,"suffix":""},{"dropping-particle":"","family":"Bringhen","given":"Sara","non-dropping-particle":"","parse-names":false,"suffix":""},{"dropping-particle":"","family":"Gay","given":"Francesca","non-dropping-particle":"","parse-names":false,"suffix":""},{"dropping-particle":"","family":"Attal","given":"Michel","non-dropping-particle":"","parse-names":false,"suffix":""},{"dropping-particle":"","family":"Passera","given":"Roberto","non-dropping-particle":"","parse-names":false,"suffix":""},{"dropping-particle":"","family":"Spencer","given":"Andrew","non-dropping-particle":"","parse-names":false,"suffix":""},{"dropping-particle":"","family":"Offidani","given":"Massimo","non-dropping-particle":"","parse-names":false,"suffix":""},{"dropping-particle":"","family":"Kumar","given":"Shaji","non-dropping-particle":"","parse-names":false,"suffix":""},{"dropping-particle":"","family":"Musto","given":"Pellegrino","non-dropping-particle":"","parse-names":false,"suffix":""},{"dropping-particle":"","family":"Lonial","given":"Sagar","non-dropping-particle":"","parse-names":false,"suffix":""},{"dropping-particle":"","family":"Petrucci","given":"Maria T.","non-dropping-particle":"","parse-names":false,"suffix":""},{"dropping-particle":"","family":"Orlowski","given":"Robert Z.","non-dropping-particle":"","parse-names":false,"suffix":""},{"dropping-particle":"","family":"Zamagni","given":"Elena","non-dropping-particle":"","parse-names":false,"suffix":""},{"dropping-particle":"","family":"Morgan","given":"Gareth","non-dropping-particle":"","parse-names":false,"suffix":""},{"dropping-particle":"","family":"Dimopoulos","given":"Meletios A.","non-dropping-particle":"","parse-names":false,"suffix":""},{"dropping-particle":"","family":"Durie","given":"Brian G.M.","non-dropping-particle":"","parse-names":false,"suffix":""},{"dropping-particle":"","family":"Anderson","given":"Kenneth C.","non-dropping-particle":"","parse-names":false,"suffix":""},{"dropping-particle":"","family":"Sonneveld","given":"Pieter","non-dropping-particle":"","parse-names":false,"suffix":""},{"dropping-particle":"","family":"Miguel","given":"Jésus San","non-dropping-particle":"","parse-names":false,"suffix":""},{"dropping-particle":"","family":"Cavo","given":"Michele","non-dropping-particle":"","parse-names":false,"suffix":""},{"dropping-particle":"","family":"Rajkumar","given":"S. Vincent","non-dropping-particle":"","parse-names":false,"suffix":""},{"dropping-particle":"","family":"Moreau","given":"Philippe","non-dropping-particle":"","parse-names":false,"suffix":""}],"container-title":"Journal of Clinical Oncology","id":"ITEM-2","issue":"26","issued":{"date-parts":[["2015"]]},"page":"2863-2869","publisher":"American Society of Clinical Oncology","title":"Revised international staging system for multiple myeloma: A report from international myeloma working group","type":"article-journal","volume":"33"},"uris":["http://www.mendeley.com/documents/?uuid=dc5fa189-ca83-351a-8e2c-68a7d7d762af"]}],"mendeley":{"formattedCitation":"[13,22]","plainTextFormattedCitation":"[13,22]","previouslyFormattedCitation":"[13,22]"},"properties":{"noteIndex":0},"schema":"https://github.com/citation-style-language/schema/raw/master/csl-citation.json"}</w:instrText>
      </w:r>
      <w:r w:rsidR="00C736DB">
        <w:fldChar w:fldCharType="separate"/>
      </w:r>
      <w:r w:rsidR="00500F37" w:rsidRPr="00500F37">
        <w:rPr>
          <w:noProof/>
        </w:rPr>
        <w:t>[13,22]</w:t>
      </w:r>
      <w:r w:rsidR="00C736DB">
        <w:fldChar w:fldCharType="end"/>
      </w:r>
    </w:p>
    <w:p w14:paraId="31002503" w14:textId="77777777" w:rsidR="005A0507" w:rsidRDefault="005A0507" w:rsidP="008F161A">
      <w:pPr>
        <w:pStyle w:val="Numlist"/>
        <w:numPr>
          <w:ilvl w:val="0"/>
          <w:numId w:val="138"/>
        </w:numPr>
        <w:tabs>
          <w:tab w:val="left" w:pos="284"/>
        </w:tabs>
        <w:spacing w:line="360" w:lineRule="auto"/>
        <w:ind w:left="0" w:firstLine="0"/>
        <w:jc w:val="both"/>
        <w:textAlignment w:val="auto"/>
      </w:pPr>
      <w:r>
        <w:t xml:space="preserve">Общий (клинический) </w:t>
      </w:r>
      <w:proofErr w:type="gramStart"/>
      <w:r>
        <w:t>анализ крови</w:t>
      </w:r>
      <w:proofErr w:type="gramEnd"/>
      <w:r>
        <w:t xml:space="preserve"> развернутый.</w:t>
      </w:r>
    </w:p>
    <w:p w14:paraId="6DF4EBCF" w14:textId="102B1CD3" w:rsidR="00EA288F" w:rsidRDefault="005A0507" w:rsidP="008F161A">
      <w:pPr>
        <w:pStyle w:val="Numlist"/>
        <w:numPr>
          <w:ilvl w:val="0"/>
          <w:numId w:val="138"/>
        </w:numPr>
        <w:tabs>
          <w:tab w:val="left" w:pos="284"/>
        </w:tabs>
        <w:spacing w:line="360" w:lineRule="auto"/>
        <w:ind w:left="0" w:firstLine="0"/>
        <w:jc w:val="both"/>
        <w:textAlignment w:val="auto"/>
      </w:pPr>
      <w:r>
        <w:t xml:space="preserve">Анализ крови биохимический общетерапевтический </w:t>
      </w:r>
      <w:r w:rsidR="00EA288F">
        <w:t>с обязательным определением: уровней общего белка, альбумина, креатинина, мочевой кислоты, калия, кальция, активности ЛДГ.</w:t>
      </w:r>
    </w:p>
    <w:p w14:paraId="68074F92" w14:textId="77777777" w:rsidR="00EA288F" w:rsidRDefault="00EA288F" w:rsidP="008F161A">
      <w:pPr>
        <w:pStyle w:val="Numlist"/>
        <w:numPr>
          <w:ilvl w:val="0"/>
          <w:numId w:val="138"/>
        </w:numPr>
        <w:tabs>
          <w:tab w:val="left" w:pos="284"/>
        </w:tabs>
        <w:spacing w:line="360" w:lineRule="auto"/>
        <w:ind w:left="0" w:firstLine="0"/>
        <w:jc w:val="both"/>
        <w:textAlignment w:val="auto"/>
      </w:pPr>
      <w:r>
        <w:t>Общий анализ мочи.</w:t>
      </w:r>
    </w:p>
    <w:p w14:paraId="7B84791D" w14:textId="77777777" w:rsidR="00EA288F" w:rsidRDefault="00EA288F" w:rsidP="008F161A">
      <w:pPr>
        <w:pStyle w:val="Numlist"/>
        <w:numPr>
          <w:ilvl w:val="0"/>
          <w:numId w:val="138"/>
        </w:numPr>
        <w:tabs>
          <w:tab w:val="left" w:pos="284"/>
        </w:tabs>
        <w:spacing w:line="360" w:lineRule="auto"/>
        <w:ind w:left="0" w:firstLine="0"/>
        <w:jc w:val="both"/>
        <w:textAlignment w:val="auto"/>
      </w:pPr>
      <w:r>
        <w:t>Определение количества белка в суточной моче.</w:t>
      </w:r>
    </w:p>
    <w:p w14:paraId="24274F03" w14:textId="77777777" w:rsidR="00EA288F" w:rsidRDefault="00EA288F" w:rsidP="008F161A">
      <w:pPr>
        <w:pStyle w:val="Numlist"/>
        <w:numPr>
          <w:ilvl w:val="0"/>
          <w:numId w:val="138"/>
        </w:numPr>
        <w:tabs>
          <w:tab w:val="left" w:pos="284"/>
        </w:tabs>
        <w:spacing w:line="360" w:lineRule="auto"/>
        <w:ind w:left="0" w:firstLine="0"/>
        <w:jc w:val="both"/>
        <w:textAlignment w:val="auto"/>
      </w:pPr>
      <w:r>
        <w:t>Определение скорости клубочковой фильтрации.</w:t>
      </w:r>
    </w:p>
    <w:p w14:paraId="130EFB23" w14:textId="77777777" w:rsidR="00EA288F" w:rsidRDefault="00EA288F" w:rsidP="008F161A">
      <w:pPr>
        <w:pStyle w:val="Numlist"/>
        <w:numPr>
          <w:ilvl w:val="0"/>
          <w:numId w:val="138"/>
        </w:numPr>
        <w:tabs>
          <w:tab w:val="left" w:pos="284"/>
        </w:tabs>
        <w:spacing w:line="360" w:lineRule="auto"/>
        <w:ind w:left="0" w:firstLine="0"/>
        <w:jc w:val="both"/>
        <w:textAlignment w:val="auto"/>
      </w:pPr>
      <w:r>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40C52769" w14:textId="77777777" w:rsidR="00EA288F" w:rsidRDefault="00EA288F" w:rsidP="008F161A">
      <w:pPr>
        <w:pStyle w:val="Numlist"/>
        <w:numPr>
          <w:ilvl w:val="0"/>
          <w:numId w:val="138"/>
        </w:numPr>
        <w:tabs>
          <w:tab w:val="left" w:pos="284"/>
        </w:tabs>
        <w:spacing w:line="360" w:lineRule="auto"/>
        <w:ind w:left="0" w:firstLine="0"/>
        <w:jc w:val="both"/>
        <w:textAlignment w:val="auto"/>
      </w:pPr>
      <w:r>
        <w:t xml:space="preserve">Комплексное иммунохимическое исследование сыворотки и мочи, включающее </w:t>
      </w:r>
    </w:p>
    <w:p w14:paraId="6685BBBD" w14:textId="2F6701C5" w:rsidR="00EA288F" w:rsidRDefault="00EA288F" w:rsidP="00EA288F">
      <w:pPr>
        <w:pStyle w:val="Numlist"/>
        <w:tabs>
          <w:tab w:val="left" w:pos="284"/>
        </w:tabs>
        <w:spacing w:line="360" w:lineRule="auto"/>
        <w:ind w:firstLine="0"/>
        <w:jc w:val="both"/>
      </w:pPr>
      <w:r>
        <w:t>- электрофорез и иммунофиксация белков сыворотки и мочи с определением белка Бенс-Джонса</w:t>
      </w:r>
      <w:r w:rsidR="00D90B88">
        <w:t xml:space="preserve"> </w:t>
      </w:r>
      <w:r w:rsidR="00D90B88" w:rsidRPr="0053428B">
        <w:t>(исследование моноклональности иммуноглобулинов в крови методом иммунофиксации, исследование моноклональности легких цепей иммуноглобулинов в крови методом иммунофиксации, исследование моноклональности иммуноглобулинов в моче методом иммунофиксации, исследование моноклональности легких цепей иммуноглобулинов в моче методом иммунофиксации)</w:t>
      </w:r>
      <w:r w:rsidRPr="0053428B">
        <w:t>;</w:t>
      </w:r>
    </w:p>
    <w:p w14:paraId="33801E46" w14:textId="77777777" w:rsidR="00EA288F" w:rsidRDefault="00EA288F" w:rsidP="00EA288F">
      <w:pPr>
        <w:pStyle w:val="Numlist"/>
        <w:tabs>
          <w:tab w:val="left" w:pos="284"/>
        </w:tabs>
        <w:spacing w:line="360" w:lineRule="auto"/>
        <w:ind w:firstLine="0"/>
        <w:jc w:val="both"/>
      </w:pPr>
      <w:r>
        <w:t>- определение уровня поликлональных иммуноглобулинов (</w:t>
      </w:r>
      <w:r>
        <w:rPr>
          <w:lang w:val="en-US"/>
        </w:rPr>
        <w:t>A</w:t>
      </w:r>
      <w:r>
        <w:t xml:space="preserve">, </w:t>
      </w:r>
      <w:r>
        <w:rPr>
          <w:lang w:val="en-US"/>
        </w:rPr>
        <w:t>G</w:t>
      </w:r>
      <w:r>
        <w:t xml:space="preserve">, </w:t>
      </w:r>
      <w:r>
        <w:rPr>
          <w:lang w:val="en-US"/>
        </w:rPr>
        <w:t>M</w:t>
      </w:r>
      <w:r>
        <w:t>);</w:t>
      </w:r>
    </w:p>
    <w:p w14:paraId="55162A63" w14:textId="77777777" w:rsidR="00EA288F" w:rsidRDefault="00EA288F" w:rsidP="00EA288F">
      <w:pPr>
        <w:pStyle w:val="Numlist"/>
        <w:tabs>
          <w:tab w:val="left" w:pos="284"/>
        </w:tabs>
        <w:spacing w:line="360" w:lineRule="auto"/>
        <w:ind w:firstLine="0"/>
        <w:jc w:val="both"/>
      </w:pPr>
      <w:r>
        <w:t>- определение свободных легких цепей и их соотношения при «неизмеряемом» заболевании.</w:t>
      </w:r>
    </w:p>
    <w:p w14:paraId="29866D61" w14:textId="77777777" w:rsidR="005B71A1" w:rsidRDefault="005B71A1" w:rsidP="008F161A">
      <w:pPr>
        <w:pStyle w:val="Numlist"/>
        <w:numPr>
          <w:ilvl w:val="0"/>
          <w:numId w:val="138"/>
        </w:numPr>
        <w:tabs>
          <w:tab w:val="left" w:pos="284"/>
        </w:tabs>
        <w:spacing w:line="360" w:lineRule="auto"/>
        <w:ind w:left="0" w:firstLine="0"/>
        <w:jc w:val="both"/>
        <w:textAlignment w:val="auto"/>
      </w:pPr>
      <w:r>
        <w:t>Получение цитологического препарата костного мозга путем пункции с дальнейшим цитологическим исследованием мазка костного мозга (миелограмма)</w:t>
      </w:r>
    </w:p>
    <w:p w14:paraId="11B15C9B" w14:textId="251EF27D" w:rsidR="00EA288F" w:rsidRDefault="004F56A1" w:rsidP="008F161A">
      <w:pPr>
        <w:pStyle w:val="Numlist"/>
        <w:numPr>
          <w:ilvl w:val="0"/>
          <w:numId w:val="138"/>
        </w:numPr>
        <w:tabs>
          <w:tab w:val="left" w:pos="284"/>
        </w:tabs>
        <w:spacing w:line="360" w:lineRule="auto"/>
        <w:ind w:left="0" w:firstLine="0"/>
        <w:jc w:val="both"/>
        <w:textAlignment w:val="auto"/>
      </w:pPr>
      <w:r>
        <w:t xml:space="preserve">Паталогоанатомическое исследование </w:t>
      </w:r>
      <w:r w:rsidRPr="00C528FA">
        <w:t>биопсийного (операционного) материала костного мозга</w:t>
      </w:r>
      <w:r>
        <w:t xml:space="preserve"> </w:t>
      </w:r>
      <w:r w:rsidR="00EA288F">
        <w:t>для оценки кроветворения.</w:t>
      </w:r>
    </w:p>
    <w:p w14:paraId="5C3A62D9" w14:textId="2EFA4A93" w:rsidR="00EA288F" w:rsidRDefault="005B71A1" w:rsidP="008F161A">
      <w:pPr>
        <w:pStyle w:val="Numlist"/>
        <w:numPr>
          <w:ilvl w:val="0"/>
          <w:numId w:val="138"/>
        </w:numPr>
        <w:tabs>
          <w:tab w:val="left" w:pos="284"/>
        </w:tabs>
        <w:spacing w:line="360" w:lineRule="auto"/>
        <w:ind w:left="0" w:firstLine="0"/>
        <w:jc w:val="both"/>
        <w:textAlignment w:val="auto"/>
      </w:pPr>
      <w:r>
        <w:t>П</w:t>
      </w:r>
      <w:r w:rsidR="004F56A1">
        <w:t xml:space="preserve">аталогоанатомическое исследование </w:t>
      </w:r>
      <w:r w:rsidR="004F56A1" w:rsidRPr="00C528FA">
        <w:t>биопсийного (оп</w:t>
      </w:r>
      <w:r w:rsidR="00CB0539">
        <w:t xml:space="preserve">ерационного) материала </w:t>
      </w:r>
      <w:r w:rsidR="00EA288F">
        <w:t>плазмоцитомы и/или костного мозга с применением иммуногистохимических методов - для оценки кроветворения.</w:t>
      </w:r>
    </w:p>
    <w:p w14:paraId="46EF160B" w14:textId="6CE935EE" w:rsidR="00EA288F" w:rsidRDefault="00E1357D" w:rsidP="008F161A">
      <w:pPr>
        <w:pStyle w:val="Numlist"/>
        <w:numPr>
          <w:ilvl w:val="0"/>
          <w:numId w:val="138"/>
        </w:numPr>
        <w:tabs>
          <w:tab w:val="left" w:pos="284"/>
        </w:tabs>
        <w:spacing w:line="360" w:lineRule="auto"/>
        <w:ind w:left="0" w:firstLine="0"/>
        <w:jc w:val="both"/>
        <w:textAlignment w:val="auto"/>
      </w:pPr>
      <w:r>
        <w:lastRenderedPageBreak/>
        <w:t xml:space="preserve">Исследование биологического материала (костного мозга) методом проточной цитофлуориметрии </w:t>
      </w:r>
      <w:r w:rsidR="00EA288F">
        <w:t>при достижении полной ремиссии заболевания.</w:t>
      </w:r>
    </w:p>
    <w:p w14:paraId="5D2D7D76" w14:textId="14440AFC" w:rsidR="00EA288F" w:rsidRPr="0053428B" w:rsidRDefault="00EA288F" w:rsidP="008F161A">
      <w:pPr>
        <w:pStyle w:val="Numlist"/>
        <w:numPr>
          <w:ilvl w:val="0"/>
          <w:numId w:val="138"/>
        </w:numPr>
        <w:tabs>
          <w:tab w:val="left" w:pos="284"/>
        </w:tabs>
        <w:spacing w:line="360" w:lineRule="auto"/>
        <w:ind w:left="0" w:firstLine="0"/>
        <w:jc w:val="both"/>
        <w:textAlignment w:val="auto"/>
      </w:pPr>
      <w:r w:rsidRPr="0053428B">
        <w:t xml:space="preserve">Определение </w:t>
      </w:r>
      <w:r w:rsidR="00AB3E79" w:rsidRPr="0053428B">
        <w:t xml:space="preserve">основных групп по системе АВ0, определение антигена </w:t>
      </w:r>
      <w:r w:rsidR="00AB3E79" w:rsidRPr="0053428B">
        <w:rPr>
          <w:lang w:val="en-US"/>
        </w:rPr>
        <w:t>D</w:t>
      </w:r>
      <w:r w:rsidR="00AB3E79" w:rsidRPr="0053428B">
        <w:t xml:space="preserve"> системы Резус (резус-фактор), определение подгрупп и других групп крови меньшего значения А-1. А-2, </w:t>
      </w:r>
      <w:r w:rsidR="00AB3E79" w:rsidRPr="0053428B">
        <w:rPr>
          <w:lang w:val="en-US"/>
        </w:rPr>
        <w:t>D</w:t>
      </w:r>
      <w:r w:rsidR="00AB3E79" w:rsidRPr="0053428B">
        <w:t xml:space="preserve">, </w:t>
      </w:r>
      <w:r w:rsidR="00AB3E79" w:rsidRPr="0053428B">
        <w:rPr>
          <w:lang w:val="en-US"/>
        </w:rPr>
        <w:t>Cc</w:t>
      </w:r>
      <w:r w:rsidR="00AB3E79" w:rsidRPr="0053428B">
        <w:t xml:space="preserve">, </w:t>
      </w:r>
      <w:r w:rsidR="00AB3E79" w:rsidRPr="0053428B">
        <w:rPr>
          <w:lang w:val="en-US"/>
        </w:rPr>
        <w:t>E</w:t>
      </w:r>
      <w:r w:rsidR="00AB3E79" w:rsidRPr="0053428B">
        <w:t xml:space="preserve">, </w:t>
      </w:r>
      <w:r w:rsidR="00AB3E79" w:rsidRPr="0053428B">
        <w:rPr>
          <w:lang w:val="en-US"/>
        </w:rPr>
        <w:t>Kell</w:t>
      </w:r>
      <w:r w:rsidR="00AB3E79" w:rsidRPr="0053428B">
        <w:t xml:space="preserve">, </w:t>
      </w:r>
      <w:r w:rsidR="00AB3E79" w:rsidRPr="0053428B">
        <w:rPr>
          <w:lang w:val="en-US"/>
        </w:rPr>
        <w:t>Duffy</w:t>
      </w:r>
      <w:r w:rsidR="00AB3E79" w:rsidRPr="0053428B">
        <w:t xml:space="preserve">, определение фенотипа по антигенам С, с, Е, е, </w:t>
      </w:r>
      <w:r w:rsidR="00AB3E79" w:rsidRPr="0053428B">
        <w:rPr>
          <w:lang w:val="en-US"/>
        </w:rPr>
        <w:t>Cw</w:t>
      </w:r>
      <w:r w:rsidR="00AB3E79" w:rsidRPr="0053428B">
        <w:t xml:space="preserve">, </w:t>
      </w:r>
      <w:r w:rsidR="00AB3E79" w:rsidRPr="0053428B">
        <w:rPr>
          <w:lang w:val="en-US"/>
        </w:rPr>
        <w:t>K</w:t>
      </w:r>
      <w:r w:rsidR="00AB3E79" w:rsidRPr="0053428B">
        <w:t xml:space="preserve">, </w:t>
      </w:r>
      <w:r w:rsidR="00AB3E79" w:rsidRPr="0053428B">
        <w:rPr>
          <w:lang w:val="en-US"/>
        </w:rPr>
        <w:t>k</w:t>
      </w:r>
      <w:r w:rsidR="00AB3E79" w:rsidRPr="0053428B">
        <w:t xml:space="preserve"> и определение антиэритроцитарных антител, определение содержания антител к антигенам групп крови</w:t>
      </w:r>
      <w:r w:rsidRPr="0053428B">
        <w:t>.</w:t>
      </w:r>
    </w:p>
    <w:p w14:paraId="3532ED10" w14:textId="77777777" w:rsidR="00EA288F" w:rsidRDefault="00EA288F" w:rsidP="008F161A">
      <w:pPr>
        <w:pStyle w:val="Numlist"/>
        <w:numPr>
          <w:ilvl w:val="0"/>
          <w:numId w:val="138"/>
        </w:numPr>
        <w:tabs>
          <w:tab w:val="left" w:pos="284"/>
        </w:tabs>
        <w:spacing w:line="360" w:lineRule="auto"/>
        <w:ind w:left="0" w:firstLine="0"/>
        <w:jc w:val="both"/>
        <w:textAlignment w:val="auto"/>
      </w:pPr>
      <w:r>
        <w:t>Исследование на маркеры вирусов гепатитов</w:t>
      </w:r>
      <w:r>
        <w:rPr>
          <w:lang w:val="en-US"/>
        </w:rPr>
        <w:t> B</w:t>
      </w:r>
      <w:r>
        <w:t xml:space="preserve"> и </w:t>
      </w:r>
      <w:r>
        <w:rPr>
          <w:lang w:val="en-US"/>
        </w:rPr>
        <w:t>C</w:t>
      </w:r>
      <w:r>
        <w:t>, ВИЧ.</w:t>
      </w:r>
    </w:p>
    <w:p w14:paraId="7DBD4671" w14:textId="77777777" w:rsidR="00EA288F" w:rsidRDefault="00EA288F" w:rsidP="008F161A">
      <w:pPr>
        <w:pStyle w:val="Numlist"/>
        <w:numPr>
          <w:ilvl w:val="0"/>
          <w:numId w:val="138"/>
        </w:numPr>
        <w:tabs>
          <w:tab w:val="left" w:pos="284"/>
        </w:tabs>
        <w:spacing w:line="360" w:lineRule="auto"/>
        <w:ind w:left="0" w:firstLine="0"/>
        <w:jc w:val="both"/>
        <w:textAlignment w:val="auto"/>
      </w:pPr>
      <w:r>
        <w:t xml:space="preserve">КТ костей позвоночника, таза, грудной полости – контроль размеров плазмоцитом - для оценки противоопухолевого ответа. </w:t>
      </w:r>
    </w:p>
    <w:p w14:paraId="61444FC4" w14:textId="77777777" w:rsidR="00EA288F" w:rsidRDefault="00EA288F" w:rsidP="008F161A">
      <w:pPr>
        <w:pStyle w:val="Numlist"/>
        <w:numPr>
          <w:ilvl w:val="0"/>
          <w:numId w:val="138"/>
        </w:numPr>
        <w:tabs>
          <w:tab w:val="left" w:pos="284"/>
        </w:tabs>
        <w:spacing w:line="360" w:lineRule="auto"/>
        <w:ind w:left="0" w:firstLine="0"/>
        <w:jc w:val="both"/>
        <w:textAlignment w:val="auto"/>
      </w:pPr>
      <w:r>
        <w:t>Позитронно-эмиссионная томография, совмещенная с КТ – при достижении полной ремиссии заболевания.</w:t>
      </w:r>
    </w:p>
    <w:p w14:paraId="14B4EFA4" w14:textId="77777777" w:rsidR="00EA288F" w:rsidRDefault="00EA288F" w:rsidP="008F161A">
      <w:pPr>
        <w:pStyle w:val="Numlist"/>
        <w:numPr>
          <w:ilvl w:val="0"/>
          <w:numId w:val="138"/>
        </w:numPr>
        <w:tabs>
          <w:tab w:val="left" w:pos="284"/>
        </w:tabs>
        <w:spacing w:line="360" w:lineRule="auto"/>
        <w:ind w:left="0" w:firstLine="0"/>
        <w:jc w:val="both"/>
        <w:textAlignment w:val="auto"/>
      </w:pPr>
      <w:r>
        <w:t>Магнитно-резонансная томография области мягкотканного компонента для оценки размеров и противоопухолевого ответа.</w:t>
      </w:r>
    </w:p>
    <w:p w14:paraId="7C5A2D75" w14:textId="77777777" w:rsidR="00EA288F" w:rsidRDefault="00EA288F" w:rsidP="008F161A">
      <w:pPr>
        <w:pStyle w:val="Numlist"/>
        <w:numPr>
          <w:ilvl w:val="0"/>
          <w:numId w:val="138"/>
        </w:numPr>
        <w:tabs>
          <w:tab w:val="left" w:pos="284"/>
        </w:tabs>
        <w:spacing w:line="360" w:lineRule="auto"/>
        <w:ind w:left="0" w:firstLine="0"/>
        <w:jc w:val="both"/>
        <w:textAlignment w:val="auto"/>
      </w:pPr>
      <w:r>
        <w:t>Электрокардиограмма.</w:t>
      </w:r>
    </w:p>
    <w:p w14:paraId="2A8EDB44" w14:textId="77777777" w:rsidR="00EA288F" w:rsidRDefault="00EA288F" w:rsidP="008F161A">
      <w:pPr>
        <w:pStyle w:val="Numlist"/>
        <w:numPr>
          <w:ilvl w:val="0"/>
          <w:numId w:val="138"/>
        </w:numPr>
        <w:tabs>
          <w:tab w:val="left" w:pos="284"/>
        </w:tabs>
        <w:spacing w:line="360" w:lineRule="auto"/>
        <w:ind w:left="0" w:firstLine="0"/>
        <w:jc w:val="both"/>
        <w:textAlignment w:val="auto"/>
      </w:pPr>
      <w:r>
        <w:t>Эхокардиография.</w:t>
      </w:r>
    </w:p>
    <w:p w14:paraId="457E799F" w14:textId="77777777" w:rsidR="00EA288F" w:rsidRDefault="00EA288F" w:rsidP="008F161A">
      <w:pPr>
        <w:pStyle w:val="Numlist"/>
        <w:numPr>
          <w:ilvl w:val="0"/>
          <w:numId w:val="138"/>
        </w:numPr>
        <w:tabs>
          <w:tab w:val="left" w:pos="284"/>
        </w:tabs>
        <w:spacing w:line="360" w:lineRule="auto"/>
        <w:ind w:left="0" w:firstLine="0"/>
        <w:jc w:val="both"/>
        <w:textAlignment w:val="auto"/>
      </w:pPr>
      <w:r>
        <w:t>Холтеровское мониторирование сердечного ритма – при выявлении нарушений ритма и проводимости на ЭКГ.</w:t>
      </w:r>
    </w:p>
    <w:p w14:paraId="200CB243" w14:textId="77777777" w:rsidR="00EA288F" w:rsidRDefault="00EA288F" w:rsidP="008F161A">
      <w:pPr>
        <w:pStyle w:val="Numlist"/>
        <w:numPr>
          <w:ilvl w:val="0"/>
          <w:numId w:val="138"/>
        </w:numPr>
        <w:tabs>
          <w:tab w:val="left" w:pos="284"/>
        </w:tabs>
        <w:spacing w:line="360" w:lineRule="auto"/>
        <w:ind w:left="0" w:firstLine="0"/>
        <w:jc w:val="both"/>
        <w:textAlignment w:val="auto"/>
      </w:pPr>
      <w:r>
        <w:t>УЗИ брюшной полости (комплексное).</w:t>
      </w:r>
    </w:p>
    <w:p w14:paraId="221F8497" w14:textId="77777777" w:rsidR="00EA288F" w:rsidRDefault="00EA288F" w:rsidP="008F161A">
      <w:pPr>
        <w:pStyle w:val="Numlist"/>
        <w:numPr>
          <w:ilvl w:val="0"/>
          <w:numId w:val="138"/>
        </w:numPr>
        <w:tabs>
          <w:tab w:val="left" w:pos="284"/>
        </w:tabs>
        <w:spacing w:line="360" w:lineRule="auto"/>
        <w:ind w:left="0" w:firstLine="0"/>
        <w:jc w:val="both"/>
        <w:textAlignment w:val="auto"/>
      </w:pPr>
      <w:r>
        <w:t>Ультразвуковая допплерография сосудов (артерий и вен) нижних конечностей - при необходимости (при необходимости).</w:t>
      </w:r>
    </w:p>
    <w:p w14:paraId="2E2E5CF0" w14:textId="77777777" w:rsidR="00EA288F" w:rsidRDefault="00EA288F" w:rsidP="008F161A">
      <w:pPr>
        <w:pStyle w:val="Numlist"/>
        <w:numPr>
          <w:ilvl w:val="0"/>
          <w:numId w:val="138"/>
        </w:numPr>
        <w:tabs>
          <w:tab w:val="left" w:pos="284"/>
        </w:tabs>
        <w:spacing w:line="360" w:lineRule="auto"/>
        <w:ind w:left="0" w:firstLine="0"/>
        <w:jc w:val="both"/>
        <w:textAlignment w:val="auto"/>
      </w:pPr>
      <w:r>
        <w:t>Эзофагогастродуоденоскопия с биопсией (при необходимости).</w:t>
      </w:r>
    </w:p>
    <w:p w14:paraId="43B032FC" w14:textId="77777777" w:rsidR="00EA288F" w:rsidRDefault="00EA288F" w:rsidP="008F161A">
      <w:pPr>
        <w:pStyle w:val="Numlist"/>
        <w:numPr>
          <w:ilvl w:val="0"/>
          <w:numId w:val="138"/>
        </w:numPr>
        <w:tabs>
          <w:tab w:val="left" w:pos="284"/>
        </w:tabs>
        <w:spacing w:line="360" w:lineRule="auto"/>
        <w:ind w:left="0" w:firstLine="0"/>
        <w:jc w:val="both"/>
        <w:textAlignment w:val="auto"/>
      </w:pPr>
      <w:r>
        <w:t xml:space="preserve">МРТ головного мозга. </w:t>
      </w:r>
    </w:p>
    <w:p w14:paraId="59A0D88B" w14:textId="77777777" w:rsidR="00EA288F" w:rsidRDefault="00EA288F" w:rsidP="008F161A">
      <w:pPr>
        <w:pStyle w:val="Numlist"/>
        <w:numPr>
          <w:ilvl w:val="0"/>
          <w:numId w:val="138"/>
        </w:numPr>
        <w:tabs>
          <w:tab w:val="left" w:pos="284"/>
        </w:tabs>
        <w:spacing w:line="360" w:lineRule="auto"/>
        <w:ind w:left="0" w:firstLine="0"/>
        <w:jc w:val="both"/>
        <w:textAlignment w:val="auto"/>
      </w:pPr>
      <w:r>
        <w:t xml:space="preserve">Подсчет стволовых клеток в биологическом материале методом проточной цитофлуориметрии. </w:t>
      </w:r>
    </w:p>
    <w:p w14:paraId="0AA03506" w14:textId="3DBF49FA" w:rsidR="00EA288F" w:rsidRDefault="00EA288F" w:rsidP="008F161A">
      <w:pPr>
        <w:pStyle w:val="Numlist"/>
        <w:numPr>
          <w:ilvl w:val="0"/>
          <w:numId w:val="138"/>
        </w:numPr>
        <w:tabs>
          <w:tab w:val="left" w:pos="284"/>
        </w:tabs>
        <w:spacing w:line="360" w:lineRule="auto"/>
        <w:ind w:left="0" w:firstLine="0"/>
        <w:jc w:val="both"/>
        <w:textAlignment w:val="auto"/>
      </w:pPr>
      <w:r>
        <w:t>Люмбальная пункция с последующим цитологическим, комплексным иммунохимическим и иммунофенотипическим исследованием ликвора</w:t>
      </w:r>
      <w:r w:rsidR="00686A22">
        <w:t xml:space="preserve"> </w:t>
      </w:r>
      <w:r w:rsidR="00686A22" w:rsidRPr="0053428B">
        <w:t>(цитологическое исследование клеток спинномозговой жидкости, исследование физических свойств спинномозговой жидкости, микроскопическое исследование спинномозговой жидкости, подсчет клеток в счетной камере (определение цитоза), общий (клинический) анализ спинномозговой жидкости)</w:t>
      </w:r>
      <w:r w:rsidRPr="0053428B">
        <w:t xml:space="preserve"> при подозрении на вовлечение в патологический</w:t>
      </w:r>
      <w:r>
        <w:t xml:space="preserve"> процесс центральной нервной системы.</w:t>
      </w:r>
    </w:p>
    <w:p w14:paraId="3F1EE991" w14:textId="1D9D4B5B" w:rsidR="00EA288F" w:rsidRDefault="00EA288F" w:rsidP="008F161A">
      <w:pPr>
        <w:pStyle w:val="af0"/>
        <w:numPr>
          <w:ilvl w:val="0"/>
          <w:numId w:val="135"/>
        </w:numPr>
        <w:spacing w:line="360" w:lineRule="auto"/>
        <w:ind w:left="0" w:firstLine="0"/>
        <w:rPr>
          <w:b/>
        </w:rPr>
      </w:pPr>
      <w:r>
        <w:rPr>
          <w:b/>
        </w:rPr>
        <w:lastRenderedPageBreak/>
        <w:t>Лабораторные и инструментальные методы исследования на этапе трансплантации аутологичных гемопоэтических клеток крови у больных симптоматической множественной миеломы</w:t>
      </w:r>
      <w:r w:rsidR="00C736DB">
        <w:fldChar w:fldCharType="begin" w:fldLock="1"/>
      </w:r>
      <w:r w:rsidR="00E430FD">
        <w:instrText>ADDIN CSL_CITATION {"citationItems":[{"id":"ITEM-1","itemData":{"DOI":"10.1007/s00259-011-1738-8","ISSN":"16197089","PMID":"21287167","abstract":"Purpose: We assessed the role of the maximum standardized uptake value (SUV max ) of bone marrow and the extramedullary lesion with the highest SUV max in positron emission tomography/computed tomography (PET/CT) of newly diagnosed multiple myeloma (MM) patients in predicting overall survival (OS). Methods: A total of 61 newly diagnosed patients (55 MM and 6 plasmacytoma) were enrolled in the study [37 men and 24 women with a median age of 57 years (range 28-80 years)]. The SUV max of bone marrow and the extramedullary lesion in PET/CT was correlated with the levels of β 2 -microglobulin, C-reactive protein (CRP), albumin, creatinine, per cent of bone marrow plasma cells, serum free light chain (FLC) ratio, International Staging System (ISS) score and Durie-Salmon stage. Results: The extramedullary lesion with the highest SUV max showed significant correlation with bone marrow fluorodeoxyglucose (FDG) uptake (p=0.027) and near significant correlation with ISS (p=0.048). Bone marrow SUV max correlated significantly with the per cent of bone marrow plasma cell count (p=0.024), CRP (p=0.012) and ISS (p=0.013). In stage III MM the mean values of SUV max in extramedullary lesions were significantly higher than stages I and II (6.23±6.32 vs 2.85±3.44, p=0.023). The serum FLC ratio did not show any correlation with SUV max of lesions and bone marrow (p&gt;0.05). Forty-four MM patients with FDG-positive lesions in PET/CT showed inferior 5-year estimated survival (61.73%) when compared to 11 patients without FDG-positive lesions, all of whom were alive (p=0.01). In multivariate analysis an extramedullary lesion with the highest SUV max was the only independent predictor of OS (p=0.03). Conclusion: PET/CT allows identification of high-risk myeloma patients, and extramedullary lesions with the highest SUV max independently predict inferior OS. © 2011 Springer-Verlag.","author":[{"dropping-particle":"","family":"Haznedar","given":"Rauf","non-dropping-particle":"","parse-names":false,"suffix":""},{"dropping-particle":"","family":"Akı","given":"Sahika Z.","non-dropping-particle":"","parse-names":false,"suffix":""},{"dropping-particle":"","family":"Akdemir","given":"Özgür U.","non-dropping-particle":"","parse-names":false,"suffix":""},{"dropping-particle":"","family":"Özkurt","given":"Zübeyde N.","non-dropping-particle":"","parse-names":false,"suffix":""},{"dropping-particle":"","family":"Çeneli","given":"Özcan","non-dropping-particle":"","parse-names":false,"suffix":""},{"dropping-particle":"","family":"Yağcı","given":"Münci","non-dropping-particle":"","parse-names":false,"suffix":""},{"dropping-particle":"","family":"Sucak","given":"Gulsan T.","non-dropping-particle":"","parse-names":false,"suffix":""},{"dropping-particle":"","family":"Ünlü","given":"Mustafa","non-dropping-particle":"","parse-names":false,"suffix":""}],"container-title":"European Journal of Nuclear Medicine and Molecular Imaging","id":"ITEM-1","issue":"6","issued":{"date-parts":[["2011"]]},"page":"1046-1053","publisher":"Springer Verlag","title":"Value of 18 F-fluorodeoxyglucose uptake in positron emission tomography/computed tomography in predicting survival in multiple myeloma","type":"article-journal","volume":"38"},"uris":["http://www.mendeley.com/documents/?uuid=90870e2b-196e-4dc6-bdfe-c8e5e5235084"]},{"id":"ITEM-2","itemData":{"DOI":"10.1111/bjh.14401","ISSN":"13652141","PMID":"27766627","abstract":"Cross-sectional imaging techniques are being increasingly used for disease evaluation in patients with multiple myeloma. Whole body magnetic resonance imaging (WB-MRI) scanning is superior to plain radiography in baseline assessment of patients but changes following treatment have not been systematically explored. We carried out paired WB-MRI scans in 21 newly diagnosed patients prior to, and 8-weeks after, starting chemotherapy, and analysed stringently selected focal lesions (FLs) for parametric changes. A total of 323 FLs were evaluated, median 20 per patient. At 8 weeks, there was a reduction in estimated tumour volume (eTV), and an increase in signal fat fraction (sFF) and apparent diffusion coefficient (ADC) in the group as a whole (P &lt; 0·001). Patients who achieved complete/very good partial response (CR/VGPR) to induction had a significantly greater increase in sFF compared to those achieving ≤ partial response (PR; P = 0·001). When analysed on a per-patient basis, all patients achieving CR/VGPR had a significant sFF increase in their FL's, in contrast to patients achieving ≤PR. sFF changes in patients reaching maximal response within 100 days (fast responders) were greater compared to slow responders (P = 0·001). Receiver Operator Characteristic analysis indicated that sFF changes at 8 weeks were the best biomarker (area under the Curve 0·95) for an inferior response (≤PR). We conclude that early lesional sFF changes may provide important information on depth of response, and are worthy of further prospective study.","author":[{"dropping-particle":"","family":"Latifoltojar","given":"Arash","non-dropping-particle":"","parse-names":false,"suffix":""},{"dropping-particle":"","family":"Hall-Craggs","given":"Margaret","non-dropping-particle":"","parse-names":false,"suffix":""},{"dropping-particle":"","family":"Rabin","given":"Neil","non-dropping-particle":"","parse-names":false,"suffix":""},{"dropping-particle":"","family":"Popat","given":"Rakesh","non-dropping-particle":"","parse-names":false,"suffix":""},{"dropping-particle":"","family":"Bainbridge","given":"Alan","non-dropping-particle":"","parse-names":false,"suffix":""},{"dropping-particle":"","family":"Dikaios","given":"Nikolaos","non-dropping-particle":"","parse-names":false,"suffix":""},{"dropping-particle":"","family":"Sokolska","given":"Magdalena","non-dropping-particle":"","parse-names":false,"suffix":""},{"dropping-particle":"","family":"Rismani","given":"Ali","non-dropping-particle":"","parse-names":false,"suffix":""},{"dropping-particle":"","family":"D'Sa","given":"Shirley","non-dropping-particle":"","parse-names":false,"suffix":""},{"dropping-particle":"","family":"Punwani","given":"Shonit","non-dropping-particle":"","parse-names":false,"suffix":""},{"dropping-particle":"","family":"Yong","given":"Kwee","non-dropping-particle":"","parse-names":false,"suffix":""}],"container-title":"British Journal of Haematology","id":"ITEM-2","issue":"2","issued":{"date-parts":[["2017","1"]]},"page":"222-233","publisher":"Blackwell Publishing Ltd","title":"Whole body magnetic resonance imaging in newly diagnosed multiple myeloma: early changes in lesional signal fat fraction predict disease response","type":"article-journal","volume":"176"},"uris":["http://www.mendeley.com/documents/?uuid=fefdd998-5d63-4f84-bb07-915430d9261d"]},{"id":"ITEM-3","itemData":{"DOI":"10.1182/blood-2012-08-451690","ISBN":"2012084516","ISSN":"0006-4971","PMID":"23305732","abstract":"Prognostic implications of 3 imaging tools, metastatic bone survey, magnetic resonance imaging, and positron emission tomography (PET), were evaluated in 2 consecutive Total Therapy 3 trials for newly diagnosed myeloma. Data including PET at baseline and on day 7 of induction as well as standard prognostic factors were available in 302 patients of whom 277 also had gene expression profiling (GEP)-derived risk information. According to multivariate analysis, more than 3 focal lesions on day 7 imparted inferior overall survival and progression-free survival, overall and in the subset with GEP-risk data. GEP high-risk designation retained independent significance for all 3 end points examined. Thus, the presence of &gt; 3 focal lesions on day 7 PET follow-up may be exploited toward early therapy change, especially for the 15% of patients with GEP-defined high-risk disease with a median overall survival expectation of 2 years. This trial was registered at www.clinicaltrials.gov as #NCT00081939 and # NCT00572169.","author":[{"dropping-particle":"","family":"Usmani","given":"Saad Z","non-dropping-particle":"","parse-names":false,"suffix":""},{"dropping-particle":"","family":"Mitchell","given":"Alan","non-dropping-particle":"","parse-names":false,"suffix":""},{"dropping-particle":"","family":"Waheed","given":"Sarah","non-dropping-particle":"","parse-names":false,"suffix":""},{"dropping-particle":"","family":"Crowley","given":"John","non-dropping-particle":"","parse-names":false,"suffix":""},{"dropping-particle":"","family":"Hoering","given":"Antje","non-dropping-particle":"","parse-names":false,"suffix":""},{"dropping-particle":"","family":"Petty","given":"Nathan","non-dropping-particle":"","parse-names":false,"suffix":""},{"dropping-particle":"","family":"Brown","given":"Tracy","non-dropping-particle":"","parse-names":false,"suffix":""},{"dropping-particle":"","family":"Bartel","given":"Twyla","non-dropping-particle":"","parse-names":false,"suffix":""},{"dropping-particle":"","family":"Anaissie","given":"Elias","non-dropping-particle":"","parse-names":false,"suffix":""},{"dropping-particle":"","family":"Rhee","given":"Frits","non-dropping-particle":"van","parse-names":false,"suffix":""},{"dropping-particle":"","family":"Barlogie","given":"Bart","non-dropping-particle":"","parse-names":false,"suffix":""}],"container-title":"Blood","id":"ITEM-3","issue":"10","issued":{"date-parts":[["2013","3"]]},"page":"1819-1823","title":"Prognostic implications of serial 18-fluoro-deoxyglucose emission tomography in multiple myeloma treated with total therapy 3","type":"article-journal","volume":"121"},"uris":["http://www.mendeley.com/documents/?uuid=2d1da71a-e683-4609-92a5-37f9a567f5df"]}],"mendeley":{"formattedCitation":"[127–129]","plainTextFormattedCitation":"[127–129]","previouslyFormattedCitation":"[127–129]"},"properties":{"noteIndex":0},"schema":"https://github.com/citation-style-language/schema/raw/master/csl-citation.json"}</w:instrText>
      </w:r>
      <w:r w:rsidR="00C736DB">
        <w:fldChar w:fldCharType="separate"/>
      </w:r>
      <w:r w:rsidR="00E430FD" w:rsidRPr="00E430FD">
        <w:rPr>
          <w:noProof/>
        </w:rPr>
        <w:t>[127–129]</w:t>
      </w:r>
      <w:r w:rsidR="00C736DB">
        <w:fldChar w:fldCharType="end"/>
      </w:r>
      <w:r>
        <w:rPr>
          <w:b/>
        </w:rPr>
        <w:t xml:space="preserve"> </w:t>
      </w:r>
    </w:p>
    <w:p w14:paraId="25456FB2" w14:textId="77777777" w:rsidR="005B71A1" w:rsidRDefault="005A0507" w:rsidP="008F161A">
      <w:pPr>
        <w:pStyle w:val="Numlist"/>
        <w:numPr>
          <w:ilvl w:val="0"/>
          <w:numId w:val="139"/>
        </w:numPr>
        <w:tabs>
          <w:tab w:val="left" w:pos="284"/>
        </w:tabs>
        <w:spacing w:line="360" w:lineRule="auto"/>
        <w:ind w:left="0" w:firstLine="0"/>
        <w:jc w:val="both"/>
        <w:textAlignment w:val="auto"/>
      </w:pPr>
      <w:r>
        <w:t xml:space="preserve">Общий (клинический) </w:t>
      </w:r>
      <w:proofErr w:type="gramStart"/>
      <w:r>
        <w:t>анализ крови</w:t>
      </w:r>
      <w:proofErr w:type="gramEnd"/>
      <w:r>
        <w:t xml:space="preserve"> развернутый.</w:t>
      </w:r>
    </w:p>
    <w:p w14:paraId="50909305" w14:textId="10EC9DC0" w:rsidR="00EA288F" w:rsidRDefault="005A0507" w:rsidP="008F161A">
      <w:pPr>
        <w:pStyle w:val="Numlist"/>
        <w:numPr>
          <w:ilvl w:val="0"/>
          <w:numId w:val="139"/>
        </w:numPr>
        <w:tabs>
          <w:tab w:val="left" w:pos="284"/>
        </w:tabs>
        <w:spacing w:line="360" w:lineRule="auto"/>
        <w:ind w:left="0" w:firstLine="0"/>
        <w:jc w:val="both"/>
        <w:textAlignment w:val="auto"/>
      </w:pPr>
      <w:r>
        <w:t>Анализ крови биохимический общетерапевтический</w:t>
      </w:r>
      <w:r w:rsidR="005B71A1">
        <w:t xml:space="preserve"> </w:t>
      </w:r>
      <w:r w:rsidR="00EA288F">
        <w:t>с обязательным определением: уровней общего белка, альбумина, креатинина, мочевой кислоты, калия, кальция, активности ЛДГ.</w:t>
      </w:r>
    </w:p>
    <w:p w14:paraId="5565193B" w14:textId="77777777" w:rsidR="00EA288F" w:rsidRDefault="00EA288F" w:rsidP="008F161A">
      <w:pPr>
        <w:pStyle w:val="Numlist"/>
        <w:numPr>
          <w:ilvl w:val="0"/>
          <w:numId w:val="139"/>
        </w:numPr>
        <w:tabs>
          <w:tab w:val="left" w:pos="284"/>
        </w:tabs>
        <w:spacing w:line="360" w:lineRule="auto"/>
        <w:ind w:left="0" w:firstLine="0"/>
        <w:jc w:val="both"/>
        <w:textAlignment w:val="auto"/>
      </w:pPr>
      <w:r>
        <w:t>Общий анализ мочи.</w:t>
      </w:r>
    </w:p>
    <w:p w14:paraId="2285D449" w14:textId="77777777" w:rsidR="00EA288F" w:rsidRDefault="00EA288F" w:rsidP="008F161A">
      <w:pPr>
        <w:pStyle w:val="Numlist"/>
        <w:numPr>
          <w:ilvl w:val="0"/>
          <w:numId w:val="139"/>
        </w:numPr>
        <w:tabs>
          <w:tab w:val="left" w:pos="284"/>
        </w:tabs>
        <w:spacing w:line="360" w:lineRule="auto"/>
        <w:ind w:left="0" w:firstLine="0"/>
        <w:jc w:val="both"/>
        <w:textAlignment w:val="auto"/>
      </w:pPr>
      <w:r>
        <w:t>Определение количества белка в суточной моче.</w:t>
      </w:r>
    </w:p>
    <w:p w14:paraId="032DC4EC" w14:textId="77777777" w:rsidR="00EA288F" w:rsidRDefault="00EA288F" w:rsidP="008F161A">
      <w:pPr>
        <w:pStyle w:val="Numlist"/>
        <w:numPr>
          <w:ilvl w:val="0"/>
          <w:numId w:val="139"/>
        </w:numPr>
        <w:tabs>
          <w:tab w:val="left" w:pos="284"/>
        </w:tabs>
        <w:spacing w:line="360" w:lineRule="auto"/>
        <w:ind w:left="0" w:firstLine="0"/>
        <w:jc w:val="both"/>
        <w:textAlignment w:val="auto"/>
      </w:pPr>
      <w:r>
        <w:t>Определение скорости клубочковой фильтрации.</w:t>
      </w:r>
    </w:p>
    <w:p w14:paraId="0DE84164" w14:textId="77777777" w:rsidR="00EA288F" w:rsidRDefault="00EA288F" w:rsidP="008F161A">
      <w:pPr>
        <w:pStyle w:val="Numlist"/>
        <w:numPr>
          <w:ilvl w:val="0"/>
          <w:numId w:val="139"/>
        </w:numPr>
        <w:tabs>
          <w:tab w:val="left" w:pos="284"/>
        </w:tabs>
        <w:spacing w:line="360" w:lineRule="auto"/>
        <w:ind w:left="0" w:firstLine="0"/>
        <w:jc w:val="both"/>
        <w:textAlignment w:val="auto"/>
      </w:pPr>
      <w:r>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222160E4" w14:textId="77777777" w:rsidR="00EA288F" w:rsidRDefault="00EA288F" w:rsidP="008F161A">
      <w:pPr>
        <w:pStyle w:val="Numlist"/>
        <w:numPr>
          <w:ilvl w:val="0"/>
          <w:numId w:val="139"/>
        </w:numPr>
        <w:tabs>
          <w:tab w:val="left" w:pos="284"/>
        </w:tabs>
        <w:spacing w:line="360" w:lineRule="auto"/>
        <w:ind w:left="0" w:firstLine="0"/>
        <w:jc w:val="both"/>
        <w:textAlignment w:val="auto"/>
      </w:pPr>
      <w:r>
        <w:t xml:space="preserve">Комплексное иммунохимическое исследование сыворотки и мочи, включающее </w:t>
      </w:r>
    </w:p>
    <w:p w14:paraId="758EC0D9" w14:textId="7A536DAF" w:rsidR="00EA288F" w:rsidRDefault="00EA288F" w:rsidP="00EA288F">
      <w:pPr>
        <w:pStyle w:val="Numlist"/>
        <w:tabs>
          <w:tab w:val="left" w:pos="284"/>
        </w:tabs>
        <w:spacing w:line="360" w:lineRule="auto"/>
        <w:ind w:firstLine="0"/>
        <w:jc w:val="both"/>
      </w:pPr>
      <w:r>
        <w:t>- электрофорез и иммунофиксация белков сыворотки и мочи с определением белка Бенс-Джонса</w:t>
      </w:r>
      <w:r w:rsidR="00D90B88">
        <w:t xml:space="preserve"> </w:t>
      </w:r>
      <w:r w:rsidR="00D90B88" w:rsidRPr="0053428B">
        <w:t>(исследование моноклональности иммуноглобулинов в крови методом иммунофиксации, исследование моноклональности легких цепей иммуноглобулинов в крови методом иммунофиксации, исследование моноклональности иммуноглобулинов в моче методом иммунофиксации, исследование моноклональности легких цепей иммуноглобулинов в моче методом иммунофиксации)</w:t>
      </w:r>
      <w:r w:rsidRPr="0053428B">
        <w:t>;</w:t>
      </w:r>
    </w:p>
    <w:p w14:paraId="0089439D" w14:textId="77777777" w:rsidR="00EA288F" w:rsidRDefault="00EA288F" w:rsidP="00EA288F">
      <w:pPr>
        <w:pStyle w:val="Numlist"/>
        <w:tabs>
          <w:tab w:val="left" w:pos="284"/>
        </w:tabs>
        <w:spacing w:line="360" w:lineRule="auto"/>
        <w:ind w:firstLine="0"/>
        <w:jc w:val="both"/>
      </w:pPr>
      <w:r>
        <w:t>- определение уровня поликлональных иммуноглобулинов (</w:t>
      </w:r>
      <w:r>
        <w:rPr>
          <w:lang w:val="en-US"/>
        </w:rPr>
        <w:t>A</w:t>
      </w:r>
      <w:r>
        <w:t xml:space="preserve">, </w:t>
      </w:r>
      <w:r>
        <w:rPr>
          <w:lang w:val="en-US"/>
        </w:rPr>
        <w:t>G</w:t>
      </w:r>
      <w:r>
        <w:t xml:space="preserve">, </w:t>
      </w:r>
      <w:r>
        <w:rPr>
          <w:lang w:val="en-US"/>
        </w:rPr>
        <w:t>M</w:t>
      </w:r>
      <w:r>
        <w:t>);</w:t>
      </w:r>
    </w:p>
    <w:p w14:paraId="2CF39E66" w14:textId="77777777" w:rsidR="00EA288F" w:rsidRDefault="00EA288F" w:rsidP="00EA288F">
      <w:pPr>
        <w:pStyle w:val="Numlist"/>
        <w:tabs>
          <w:tab w:val="left" w:pos="284"/>
        </w:tabs>
        <w:spacing w:line="360" w:lineRule="auto"/>
        <w:ind w:firstLine="0"/>
        <w:jc w:val="both"/>
      </w:pPr>
      <w:r>
        <w:t>- определение свободных легких цепей и их соотношения при «неизмеряемом» заболевании.</w:t>
      </w:r>
    </w:p>
    <w:p w14:paraId="32A08F7F" w14:textId="77777777" w:rsidR="005B71A1" w:rsidRDefault="005B71A1" w:rsidP="008F161A">
      <w:pPr>
        <w:pStyle w:val="Numlist"/>
        <w:numPr>
          <w:ilvl w:val="0"/>
          <w:numId w:val="139"/>
        </w:numPr>
        <w:tabs>
          <w:tab w:val="left" w:pos="284"/>
        </w:tabs>
        <w:spacing w:line="360" w:lineRule="auto"/>
        <w:ind w:left="0" w:firstLine="0"/>
        <w:jc w:val="both"/>
        <w:textAlignment w:val="auto"/>
      </w:pPr>
      <w:r>
        <w:t>Получение цитологического препарата костного мозга путем пункции с дальнейшим цитологическим исследованием мазка костного мозга (миелограмма)</w:t>
      </w:r>
    </w:p>
    <w:p w14:paraId="2A8BB46D" w14:textId="54ADD26E" w:rsidR="00EA288F" w:rsidRDefault="00CB0539" w:rsidP="008F161A">
      <w:pPr>
        <w:pStyle w:val="Numlist"/>
        <w:numPr>
          <w:ilvl w:val="0"/>
          <w:numId w:val="139"/>
        </w:numPr>
        <w:tabs>
          <w:tab w:val="left" w:pos="284"/>
        </w:tabs>
        <w:spacing w:line="360" w:lineRule="auto"/>
        <w:ind w:left="0" w:firstLine="0"/>
        <w:jc w:val="both"/>
        <w:textAlignment w:val="auto"/>
      </w:pPr>
      <w:r>
        <w:t xml:space="preserve">Паталогоанатомическое исследование </w:t>
      </w:r>
      <w:r w:rsidRPr="00C528FA">
        <w:t>биопсийного (операционного) материала костного мозга</w:t>
      </w:r>
      <w:r>
        <w:t xml:space="preserve"> </w:t>
      </w:r>
      <w:r w:rsidR="00EA288F">
        <w:t>для оценки кроветворения.</w:t>
      </w:r>
    </w:p>
    <w:p w14:paraId="4C958A2F" w14:textId="4F2BBF2D" w:rsidR="00EA288F" w:rsidRDefault="005B71A1" w:rsidP="008F161A">
      <w:pPr>
        <w:pStyle w:val="Numlist"/>
        <w:numPr>
          <w:ilvl w:val="0"/>
          <w:numId w:val="139"/>
        </w:numPr>
        <w:tabs>
          <w:tab w:val="left" w:pos="284"/>
        </w:tabs>
        <w:spacing w:line="360" w:lineRule="auto"/>
        <w:ind w:left="0" w:firstLine="0"/>
        <w:jc w:val="both"/>
        <w:textAlignment w:val="auto"/>
      </w:pPr>
      <w:r>
        <w:t>П</w:t>
      </w:r>
      <w:r w:rsidR="00CB0539">
        <w:t xml:space="preserve">аталогоанатомическое исследование </w:t>
      </w:r>
      <w:r w:rsidR="00CB0539" w:rsidRPr="00C528FA">
        <w:t xml:space="preserve">биопсийного (операционного) материала </w:t>
      </w:r>
      <w:r w:rsidR="00EA288F">
        <w:t>плазмоцитомы и/или костного мозга с применением иммуногистохимических методов - для оценки кроветворения.</w:t>
      </w:r>
    </w:p>
    <w:p w14:paraId="1FE30155" w14:textId="6B57D806" w:rsidR="00EA288F" w:rsidRDefault="00E1357D" w:rsidP="008F161A">
      <w:pPr>
        <w:pStyle w:val="Numlist"/>
        <w:numPr>
          <w:ilvl w:val="0"/>
          <w:numId w:val="139"/>
        </w:numPr>
        <w:tabs>
          <w:tab w:val="left" w:pos="284"/>
        </w:tabs>
        <w:spacing w:line="360" w:lineRule="auto"/>
        <w:ind w:left="0" w:firstLine="0"/>
        <w:jc w:val="both"/>
        <w:textAlignment w:val="auto"/>
      </w:pPr>
      <w:r>
        <w:t>Исследование биологического материала (костного мозга) методом проточной цитофлуориметрии</w:t>
      </w:r>
      <w:r w:rsidR="00EA288F">
        <w:t xml:space="preserve"> при достижении полной ремиссии заболевания.</w:t>
      </w:r>
    </w:p>
    <w:p w14:paraId="62B6EA5A" w14:textId="73A5C126" w:rsidR="00EA288F" w:rsidRPr="0053428B" w:rsidRDefault="00EA288F" w:rsidP="008F161A">
      <w:pPr>
        <w:pStyle w:val="Numlist"/>
        <w:numPr>
          <w:ilvl w:val="0"/>
          <w:numId w:val="139"/>
        </w:numPr>
        <w:tabs>
          <w:tab w:val="left" w:pos="284"/>
        </w:tabs>
        <w:spacing w:line="360" w:lineRule="auto"/>
        <w:ind w:left="0" w:firstLine="0"/>
        <w:jc w:val="both"/>
        <w:textAlignment w:val="auto"/>
      </w:pPr>
      <w:r w:rsidRPr="0053428B">
        <w:t xml:space="preserve">Определение </w:t>
      </w:r>
      <w:r w:rsidR="00AB3E79" w:rsidRPr="0053428B">
        <w:t xml:space="preserve">основных групп по системе АВ0, определение антигена </w:t>
      </w:r>
      <w:r w:rsidR="00AB3E79" w:rsidRPr="0053428B">
        <w:rPr>
          <w:lang w:val="en-US"/>
        </w:rPr>
        <w:t>D</w:t>
      </w:r>
      <w:r w:rsidR="00AB3E79" w:rsidRPr="0053428B">
        <w:t xml:space="preserve"> системы Резус (резус-фактор), определение подгрупп и других групп крови меньшего значения А-1. </w:t>
      </w:r>
      <w:r w:rsidR="00AB3E79" w:rsidRPr="0053428B">
        <w:lastRenderedPageBreak/>
        <w:t xml:space="preserve">А-2, </w:t>
      </w:r>
      <w:r w:rsidR="00AB3E79" w:rsidRPr="0053428B">
        <w:rPr>
          <w:lang w:val="en-US"/>
        </w:rPr>
        <w:t>D</w:t>
      </w:r>
      <w:r w:rsidR="00AB3E79" w:rsidRPr="0053428B">
        <w:t xml:space="preserve">, </w:t>
      </w:r>
      <w:r w:rsidR="00AB3E79" w:rsidRPr="0053428B">
        <w:rPr>
          <w:lang w:val="en-US"/>
        </w:rPr>
        <w:t>Cc</w:t>
      </w:r>
      <w:r w:rsidR="00AB3E79" w:rsidRPr="0053428B">
        <w:t xml:space="preserve">, </w:t>
      </w:r>
      <w:r w:rsidR="00AB3E79" w:rsidRPr="0053428B">
        <w:rPr>
          <w:lang w:val="en-US"/>
        </w:rPr>
        <w:t>E</w:t>
      </w:r>
      <w:r w:rsidR="00AB3E79" w:rsidRPr="0053428B">
        <w:t xml:space="preserve">, </w:t>
      </w:r>
      <w:r w:rsidR="00AB3E79" w:rsidRPr="0053428B">
        <w:rPr>
          <w:lang w:val="en-US"/>
        </w:rPr>
        <w:t>Kell</w:t>
      </w:r>
      <w:r w:rsidR="00AB3E79" w:rsidRPr="0053428B">
        <w:t xml:space="preserve">, </w:t>
      </w:r>
      <w:r w:rsidR="00AB3E79" w:rsidRPr="0053428B">
        <w:rPr>
          <w:lang w:val="en-US"/>
        </w:rPr>
        <w:t>Duffy</w:t>
      </w:r>
      <w:r w:rsidR="00AB3E79" w:rsidRPr="0053428B">
        <w:t xml:space="preserve">, определение фенотипа по антигенам С, с, Е, е, </w:t>
      </w:r>
      <w:r w:rsidR="00AB3E79" w:rsidRPr="0053428B">
        <w:rPr>
          <w:lang w:val="en-US"/>
        </w:rPr>
        <w:t>Cw</w:t>
      </w:r>
      <w:r w:rsidR="00AB3E79" w:rsidRPr="0053428B">
        <w:t xml:space="preserve">, </w:t>
      </w:r>
      <w:r w:rsidR="00AB3E79" w:rsidRPr="0053428B">
        <w:rPr>
          <w:lang w:val="en-US"/>
        </w:rPr>
        <w:t>K</w:t>
      </w:r>
      <w:r w:rsidR="00AB3E79" w:rsidRPr="0053428B">
        <w:t xml:space="preserve">, </w:t>
      </w:r>
      <w:r w:rsidR="00AB3E79" w:rsidRPr="0053428B">
        <w:rPr>
          <w:lang w:val="en-US"/>
        </w:rPr>
        <w:t>k</w:t>
      </w:r>
      <w:r w:rsidR="00AB3E79" w:rsidRPr="0053428B">
        <w:t xml:space="preserve"> и определение антиэритроцитарных антител, определение содержания антител к антигенам групп крови</w:t>
      </w:r>
      <w:r w:rsidRPr="0053428B">
        <w:t>.</w:t>
      </w:r>
    </w:p>
    <w:p w14:paraId="1E495BAF" w14:textId="77777777" w:rsidR="00EA288F" w:rsidRDefault="00EA288F" w:rsidP="008F161A">
      <w:pPr>
        <w:pStyle w:val="Numlist"/>
        <w:numPr>
          <w:ilvl w:val="0"/>
          <w:numId w:val="139"/>
        </w:numPr>
        <w:tabs>
          <w:tab w:val="left" w:pos="284"/>
        </w:tabs>
        <w:spacing w:line="360" w:lineRule="auto"/>
        <w:ind w:left="0" w:firstLine="0"/>
        <w:jc w:val="both"/>
        <w:textAlignment w:val="auto"/>
      </w:pPr>
      <w:r>
        <w:t>Исследование на маркеры вирусов гепатитов</w:t>
      </w:r>
      <w:r>
        <w:rPr>
          <w:lang w:val="en-US"/>
        </w:rPr>
        <w:t> B</w:t>
      </w:r>
      <w:r>
        <w:t xml:space="preserve"> и </w:t>
      </w:r>
      <w:r>
        <w:rPr>
          <w:lang w:val="en-US"/>
        </w:rPr>
        <w:t>C</w:t>
      </w:r>
      <w:r>
        <w:t>, ВИЧ.</w:t>
      </w:r>
    </w:p>
    <w:p w14:paraId="7F4F0C02" w14:textId="77777777" w:rsidR="00EA288F" w:rsidRDefault="00EA288F" w:rsidP="008F161A">
      <w:pPr>
        <w:pStyle w:val="Numlist"/>
        <w:numPr>
          <w:ilvl w:val="0"/>
          <w:numId w:val="139"/>
        </w:numPr>
        <w:tabs>
          <w:tab w:val="left" w:pos="284"/>
        </w:tabs>
        <w:spacing w:line="360" w:lineRule="auto"/>
        <w:ind w:left="0" w:firstLine="0"/>
        <w:jc w:val="both"/>
        <w:textAlignment w:val="auto"/>
      </w:pPr>
      <w:r>
        <w:t xml:space="preserve">КТ костей позвоночника, таза, грудной полости – контроль размеров плазмоцитом - для оценки противоопухолевого ответа. </w:t>
      </w:r>
    </w:p>
    <w:p w14:paraId="168C94DA" w14:textId="77777777" w:rsidR="00EA288F" w:rsidRDefault="00EA288F" w:rsidP="008F161A">
      <w:pPr>
        <w:pStyle w:val="Numlist"/>
        <w:numPr>
          <w:ilvl w:val="0"/>
          <w:numId w:val="139"/>
        </w:numPr>
        <w:tabs>
          <w:tab w:val="left" w:pos="284"/>
        </w:tabs>
        <w:spacing w:line="360" w:lineRule="auto"/>
        <w:ind w:left="0" w:firstLine="0"/>
        <w:jc w:val="both"/>
        <w:textAlignment w:val="auto"/>
      </w:pPr>
      <w:r>
        <w:t>Позитронно-эмиссионная томография, совмещенная с КТ – при достижении полной ремиссии заболевания.</w:t>
      </w:r>
    </w:p>
    <w:p w14:paraId="2A3726DE" w14:textId="77777777" w:rsidR="00EA288F" w:rsidRDefault="00EA288F" w:rsidP="008F161A">
      <w:pPr>
        <w:pStyle w:val="Numlist"/>
        <w:numPr>
          <w:ilvl w:val="0"/>
          <w:numId w:val="139"/>
        </w:numPr>
        <w:tabs>
          <w:tab w:val="left" w:pos="284"/>
        </w:tabs>
        <w:spacing w:line="360" w:lineRule="auto"/>
        <w:ind w:left="0" w:firstLine="0"/>
        <w:jc w:val="both"/>
        <w:textAlignment w:val="auto"/>
      </w:pPr>
      <w:r>
        <w:t>Магнитно-резонансная томография области мягкотканного компонента для оценки размеров и противоопухолевого ответа.</w:t>
      </w:r>
    </w:p>
    <w:p w14:paraId="20DAEAEB" w14:textId="77777777" w:rsidR="00EA288F" w:rsidRDefault="00EA288F" w:rsidP="008F161A">
      <w:pPr>
        <w:pStyle w:val="Numlist"/>
        <w:numPr>
          <w:ilvl w:val="0"/>
          <w:numId w:val="139"/>
        </w:numPr>
        <w:tabs>
          <w:tab w:val="left" w:pos="284"/>
        </w:tabs>
        <w:spacing w:line="360" w:lineRule="auto"/>
        <w:ind w:left="0" w:firstLine="0"/>
        <w:jc w:val="both"/>
        <w:textAlignment w:val="auto"/>
      </w:pPr>
      <w:r>
        <w:t>Электрокардиограмма.</w:t>
      </w:r>
    </w:p>
    <w:p w14:paraId="0972EBCD" w14:textId="77777777" w:rsidR="00EA288F" w:rsidRDefault="00EA288F" w:rsidP="008F161A">
      <w:pPr>
        <w:pStyle w:val="Numlist"/>
        <w:numPr>
          <w:ilvl w:val="0"/>
          <w:numId w:val="139"/>
        </w:numPr>
        <w:tabs>
          <w:tab w:val="left" w:pos="284"/>
        </w:tabs>
        <w:spacing w:line="360" w:lineRule="auto"/>
        <w:ind w:left="0" w:firstLine="0"/>
        <w:jc w:val="both"/>
        <w:textAlignment w:val="auto"/>
      </w:pPr>
      <w:r>
        <w:t>Эхокардиография.</w:t>
      </w:r>
    </w:p>
    <w:p w14:paraId="18CCD451" w14:textId="77777777" w:rsidR="00EA288F" w:rsidRDefault="00EA288F" w:rsidP="008F161A">
      <w:pPr>
        <w:pStyle w:val="Numlist"/>
        <w:numPr>
          <w:ilvl w:val="0"/>
          <w:numId w:val="139"/>
        </w:numPr>
        <w:tabs>
          <w:tab w:val="left" w:pos="284"/>
        </w:tabs>
        <w:spacing w:line="360" w:lineRule="auto"/>
        <w:ind w:left="0" w:firstLine="0"/>
        <w:jc w:val="both"/>
        <w:textAlignment w:val="auto"/>
      </w:pPr>
      <w:r>
        <w:t>Холтеровское мониторирование сердечного ритма – при выявлении нарушений ритма и проводимости на ЭКГ.</w:t>
      </w:r>
    </w:p>
    <w:p w14:paraId="04F9EDCA" w14:textId="77777777" w:rsidR="00EA288F" w:rsidRDefault="00EA288F" w:rsidP="008F161A">
      <w:pPr>
        <w:pStyle w:val="Numlist"/>
        <w:numPr>
          <w:ilvl w:val="0"/>
          <w:numId w:val="139"/>
        </w:numPr>
        <w:tabs>
          <w:tab w:val="left" w:pos="284"/>
        </w:tabs>
        <w:spacing w:line="360" w:lineRule="auto"/>
        <w:ind w:left="0" w:firstLine="0"/>
        <w:jc w:val="both"/>
        <w:textAlignment w:val="auto"/>
      </w:pPr>
      <w:r>
        <w:t>УЗИ брюшной полости (комплексное).</w:t>
      </w:r>
    </w:p>
    <w:p w14:paraId="03240101" w14:textId="77777777" w:rsidR="00EA288F" w:rsidRDefault="00EA288F" w:rsidP="008F161A">
      <w:pPr>
        <w:pStyle w:val="Numlist"/>
        <w:numPr>
          <w:ilvl w:val="0"/>
          <w:numId w:val="139"/>
        </w:numPr>
        <w:tabs>
          <w:tab w:val="left" w:pos="284"/>
        </w:tabs>
        <w:spacing w:line="360" w:lineRule="auto"/>
        <w:ind w:left="0" w:firstLine="0"/>
        <w:jc w:val="both"/>
        <w:textAlignment w:val="auto"/>
      </w:pPr>
      <w:r>
        <w:t>Ультразвуковая допплерография сосудов (артерий и вен) нижних конечностей - при необходимости (при необходимости).</w:t>
      </w:r>
    </w:p>
    <w:p w14:paraId="174733B2" w14:textId="77777777" w:rsidR="00EA288F" w:rsidRDefault="00EA288F" w:rsidP="008F161A">
      <w:pPr>
        <w:pStyle w:val="Numlist"/>
        <w:numPr>
          <w:ilvl w:val="0"/>
          <w:numId w:val="139"/>
        </w:numPr>
        <w:tabs>
          <w:tab w:val="left" w:pos="284"/>
        </w:tabs>
        <w:spacing w:line="360" w:lineRule="auto"/>
        <w:ind w:left="0" w:firstLine="0"/>
        <w:jc w:val="both"/>
        <w:textAlignment w:val="auto"/>
      </w:pPr>
      <w:r>
        <w:t>Эзофагогастродуоденоскопия с биопсией (при необходимости).</w:t>
      </w:r>
    </w:p>
    <w:p w14:paraId="2196ED37" w14:textId="77777777" w:rsidR="00EA288F" w:rsidRDefault="00EA288F" w:rsidP="008F161A">
      <w:pPr>
        <w:pStyle w:val="Numlist"/>
        <w:numPr>
          <w:ilvl w:val="0"/>
          <w:numId w:val="139"/>
        </w:numPr>
        <w:tabs>
          <w:tab w:val="left" w:pos="284"/>
        </w:tabs>
        <w:spacing w:line="360" w:lineRule="auto"/>
        <w:ind w:left="0" w:firstLine="0"/>
        <w:jc w:val="both"/>
        <w:textAlignment w:val="auto"/>
      </w:pPr>
      <w:r>
        <w:t xml:space="preserve">МРТ головного мозга. </w:t>
      </w:r>
    </w:p>
    <w:p w14:paraId="36170E47" w14:textId="77777777" w:rsidR="00EA288F" w:rsidRDefault="00EA288F" w:rsidP="008F161A">
      <w:pPr>
        <w:pStyle w:val="Numlist"/>
        <w:numPr>
          <w:ilvl w:val="0"/>
          <w:numId w:val="139"/>
        </w:numPr>
        <w:tabs>
          <w:tab w:val="left" w:pos="284"/>
        </w:tabs>
        <w:spacing w:line="360" w:lineRule="auto"/>
        <w:ind w:left="0" w:firstLine="0"/>
        <w:jc w:val="both"/>
        <w:textAlignment w:val="auto"/>
      </w:pPr>
      <w:r>
        <w:t>КТ органов грудной полости.</w:t>
      </w:r>
    </w:p>
    <w:p w14:paraId="2D8B9595" w14:textId="70FAAAE6" w:rsidR="00EA288F" w:rsidRDefault="00EA288F" w:rsidP="008F161A">
      <w:pPr>
        <w:pStyle w:val="Numlist"/>
        <w:numPr>
          <w:ilvl w:val="0"/>
          <w:numId w:val="139"/>
        </w:numPr>
        <w:tabs>
          <w:tab w:val="left" w:pos="284"/>
        </w:tabs>
        <w:spacing w:line="360" w:lineRule="auto"/>
        <w:ind w:left="0" w:firstLine="0"/>
        <w:jc w:val="both"/>
        <w:textAlignment w:val="auto"/>
      </w:pPr>
      <w:r>
        <w:t>Люмбальная пункция с последующим цитологическим, комплексным иммунохимическим и иммунофенотипическим исследованием ликвора</w:t>
      </w:r>
      <w:r w:rsidR="00686A22">
        <w:t xml:space="preserve"> </w:t>
      </w:r>
      <w:r w:rsidR="00686A22" w:rsidRPr="0053428B">
        <w:t>(цитологическое исследование клеток спинномозговой жидкости, исследование физических свойств спинномозговой жидкости, микроскопическое исследование спинномозговой жидкости, подсчет клеток в счетной камере (определение цитоза), общий (клинический) анализ спинномозговой жидкости)</w:t>
      </w:r>
      <w:r w:rsidRPr="0053428B">
        <w:t xml:space="preserve"> при подозрении на вовлечение в патолог</w:t>
      </w:r>
      <w:r>
        <w:t>ический процесс центральной нервной системы или с целью диагностики инфекционного процесса на фоне миелотоксического агранулоцитоза.</w:t>
      </w:r>
    </w:p>
    <w:p w14:paraId="5EF63C29" w14:textId="0C33FA8A" w:rsidR="00EA288F" w:rsidRDefault="00EA288F" w:rsidP="008F161A">
      <w:pPr>
        <w:pStyle w:val="af0"/>
        <w:numPr>
          <w:ilvl w:val="0"/>
          <w:numId w:val="135"/>
        </w:numPr>
        <w:spacing w:line="360" w:lineRule="auto"/>
        <w:ind w:left="0" w:firstLine="0"/>
        <w:rPr>
          <w:b/>
        </w:rPr>
      </w:pPr>
      <w:r>
        <w:rPr>
          <w:b/>
        </w:rPr>
        <w:t>Лабораторные и инструментальные методы исследования на этапе диспансерного наблюдения больных симптоматической множественной миеломой</w:t>
      </w:r>
      <w:r w:rsidR="0058100B">
        <w:fldChar w:fldCharType="begin" w:fldLock="1"/>
      </w:r>
      <w:r w:rsidR="00E430FD">
        <w:instrText>ADDIN CSL_CITATION {"citationItems":[{"id":"ITEM-1","itemData":{"DOI":"10.1002/cyto.b.21249","ISBN":"1552-4957 (Electronic)\\r1552-4949 (Linking)","ISSN":"15524957","PMID":"25907102","abstract":"BACKGROUND Flow cytometric (FC) detection of minimal residual disease (MRD) in multiple myeloma (MM) is prognostic and predictive of response to therapy. Therefore, standardization of FC MM MRD testing is vital to ensure better and uniform assessment of response to therapy and clinical prognostication. The International Clinical Cytometry Society and European Society for Clinical Cell Analysis, recognizing the need for standardized FC approaches, organized a working group to develop consensus guidelines on good clinical practice in FC MM MRD. Consensus guidelines are presented for specimen quality, staining process, reagent combinations, and the data acquisition process, all key factors in achieving high quality FC MM MRD testing. METHODS A group of eight flow cytometrists currently performing FC testing in MM evaluated available literature on FC MM MRD testing. A document presenting best practice was developed and reviewed in successive rounds until consensus was reached. RESULTS/CONCLUSION The consensus on best practice for detection of MRD in MM is that CD38, CD138, and CD45 are analyzed in combination with CD19, CD56, CD27, CD81, and CD117. Consensus guidelines on acceptable specimen quality, staining procedures, panel design, and data acquisition were developed.","author":[{"dropping-particle":"","family":"Stetler-Stevenson","given":"Maryalice","non-dropping-particle":"","parse-names":false,"suffix":""},{"dropping-particle":"","family":"Paiva","given":"Bruno","non-dropping-particle":"","parse-names":false,"suffix":""},{"dropping-particle":"","family":"Stoolman","given":"Lloyd","non-dropping-particle":"","parse-names":false,"suffix":""},{"dropping-particle":"","family":"Lin","given":"Pei","non-dropping-particle":"","parse-names":false,"suffix":""},{"dropping-particle":"","family":"Jorgensen","given":"Jeffrey L.","non-dropping-particle":"","parse-names":false,"suffix":""},{"dropping-particle":"","family":"Orfao","given":"Alberto","non-dropping-particle":"","parse-names":false,"suffix":""},{"dropping-particle":"","family":"Dongen","given":"Jacques","non-dropping-particle":"Van","parse-names":false,"suffix":""},{"dropping-particle":"","family":"Rawstron","given":"Andy C.","non-dropping-particle":"","parse-names":false,"suffix":""}],"container-title":"Cytometry Part B - Clinical Cytometry","id":"ITEM-1","issued":{"date-parts":[["2016"]]},"title":"Consensus guidelines for myeloma minimal residual disease sample staining and data acquisition","type":"article-journal"},"uris":["http://www.mendeley.com/documents/?uuid=4d2e689a-d2ca-40eb-b8bc-eb438e72dc2d"]},{"id":"ITEM-2","itemData":{"DOI":"10.7860/JCDR/2012/4213.2532","ISSN":"2249782X","abstract":"BACKGROUND Multiple Myeloma (M.M) is a neoplasm of B cell lineage characterized by excessive proliferation of abnormal plasma cells, secreting abnormal immunoglobulin causing monoclonal gammopathy which can be detected by the presence of M protein in serum and urine electrophoresis. AIM To detect and quantify monoclonal gammopathy in suspected cases of multiple myeloma and to differentiate them from benign conditions, because of the vast difference between their prognosis and management. METHOD Serum samples from 150 suspected cases of M.M were subjected to serum protein electrophoresis on cellulose acetate strip. M band detected visually and estimation of M protein was done by densitometer. Bone Marrow biopsy and clinical profile were correlated in M band positive cases. RESULT Out of 150 cases 10.66% cases had monoclonal gammopathy. Ten percent cases were diagnosed to be multiple myeloma and one case was found to be Monoclonal gammopathy of undetermined significance. CONCLUSION SPEP is an easy to perform laboratory test which can be used for detection and quantification of monoclonal gammopathy and should be recommended as preliminary test for suspected cases of multiple myeloma. MGUS must be differentiated from M.M, as management and prognosis of these two cases is totally different.","author":[{"dropping-particle":"","family":"Tripathy","given":"Sunita","non-dropping-particle":"","parse-names":false,"suffix":""}],"container-title":"Journal of Clinical and Diagnostic Research","id":"ITEM-2","issue":"9","issued":{"date-parts":[["2012","11","15"]]},"page":"1458-1461","title":"The role of serum protein electrophoresis in the detection of multiple myeloma: An experience of a corporate hospital","type":"article-journal","volume":"6"},"uris":["http://www.mendeley.com/documents/?uuid=a2ea1b2f-2116-3cd0-819c-31f187d28fa1"]},{"id":"ITEM-3","itemData":{"DOI":"10.1016/S1470-2045(14)70442-5","ISSN":"14745488","abstract":"This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[16,18,130]","plainTextFormattedCitation":"[16,18,130]","previouslyFormattedCitation":"[16,18,130]"},"properties":{"noteIndex":0},"schema":"https://github.com/citation-style-language/schema/raw/master/csl-citation.json"}</w:instrText>
      </w:r>
      <w:r w:rsidR="0058100B">
        <w:fldChar w:fldCharType="separate"/>
      </w:r>
      <w:r w:rsidR="00E430FD" w:rsidRPr="00E430FD">
        <w:rPr>
          <w:noProof/>
        </w:rPr>
        <w:t>[16,18,130]</w:t>
      </w:r>
      <w:r w:rsidR="0058100B">
        <w:fldChar w:fldCharType="end"/>
      </w:r>
    </w:p>
    <w:p w14:paraId="3CF33E8C" w14:textId="77777777" w:rsidR="005B71A1" w:rsidRDefault="005B71A1" w:rsidP="008F161A">
      <w:pPr>
        <w:pStyle w:val="Numlist"/>
        <w:numPr>
          <w:ilvl w:val="0"/>
          <w:numId w:val="140"/>
        </w:numPr>
        <w:tabs>
          <w:tab w:val="left" w:pos="284"/>
        </w:tabs>
        <w:spacing w:line="360" w:lineRule="auto"/>
        <w:ind w:left="0" w:firstLine="0"/>
        <w:jc w:val="both"/>
        <w:textAlignment w:val="auto"/>
      </w:pPr>
      <w:r>
        <w:t xml:space="preserve">Общий (клинический) </w:t>
      </w:r>
      <w:proofErr w:type="gramStart"/>
      <w:r>
        <w:t>анализ крови</w:t>
      </w:r>
      <w:proofErr w:type="gramEnd"/>
      <w:r>
        <w:t xml:space="preserve"> развернутый.</w:t>
      </w:r>
    </w:p>
    <w:p w14:paraId="6183D309" w14:textId="6B37952A" w:rsidR="00EA288F" w:rsidRDefault="005B71A1" w:rsidP="008F161A">
      <w:pPr>
        <w:pStyle w:val="Numlist"/>
        <w:numPr>
          <w:ilvl w:val="0"/>
          <w:numId w:val="140"/>
        </w:numPr>
        <w:tabs>
          <w:tab w:val="left" w:pos="284"/>
        </w:tabs>
        <w:spacing w:line="360" w:lineRule="auto"/>
        <w:ind w:left="0" w:firstLine="0"/>
        <w:jc w:val="both"/>
        <w:textAlignment w:val="auto"/>
      </w:pPr>
      <w:r>
        <w:lastRenderedPageBreak/>
        <w:t xml:space="preserve">Анализ крови биохимический общетерапевтический </w:t>
      </w:r>
      <w:r w:rsidR="00EA288F">
        <w:t>с обязательным определением: уровней общего белка, альбумина, креатинина, мочевой кислоты, калия, кальция, активности ЛДГ.</w:t>
      </w:r>
    </w:p>
    <w:p w14:paraId="1943E38D" w14:textId="77777777" w:rsidR="00EA288F" w:rsidRDefault="00EA288F" w:rsidP="008F161A">
      <w:pPr>
        <w:pStyle w:val="Numlist"/>
        <w:numPr>
          <w:ilvl w:val="0"/>
          <w:numId w:val="140"/>
        </w:numPr>
        <w:tabs>
          <w:tab w:val="left" w:pos="284"/>
        </w:tabs>
        <w:spacing w:line="360" w:lineRule="auto"/>
        <w:ind w:left="0" w:firstLine="0"/>
        <w:jc w:val="both"/>
        <w:textAlignment w:val="auto"/>
      </w:pPr>
      <w:r>
        <w:t>Общий анализ мочи.</w:t>
      </w:r>
    </w:p>
    <w:p w14:paraId="5C7D658C" w14:textId="77777777" w:rsidR="00EA288F" w:rsidRDefault="00EA288F" w:rsidP="008F161A">
      <w:pPr>
        <w:pStyle w:val="Numlist"/>
        <w:numPr>
          <w:ilvl w:val="0"/>
          <w:numId w:val="140"/>
        </w:numPr>
        <w:tabs>
          <w:tab w:val="left" w:pos="284"/>
        </w:tabs>
        <w:spacing w:line="360" w:lineRule="auto"/>
        <w:ind w:left="0" w:firstLine="0"/>
        <w:jc w:val="both"/>
        <w:textAlignment w:val="auto"/>
      </w:pPr>
      <w:r>
        <w:t>Определение количества белка в суточной моче.</w:t>
      </w:r>
    </w:p>
    <w:p w14:paraId="51AD9715" w14:textId="77777777" w:rsidR="00EA288F" w:rsidRDefault="00EA288F" w:rsidP="008F161A">
      <w:pPr>
        <w:pStyle w:val="Numlist"/>
        <w:numPr>
          <w:ilvl w:val="0"/>
          <w:numId w:val="140"/>
        </w:numPr>
        <w:tabs>
          <w:tab w:val="left" w:pos="284"/>
        </w:tabs>
        <w:spacing w:line="360" w:lineRule="auto"/>
        <w:ind w:left="0" w:firstLine="0"/>
        <w:jc w:val="both"/>
        <w:textAlignment w:val="auto"/>
      </w:pPr>
      <w:r>
        <w:t>Определение скорости клубочковой фильтрации.</w:t>
      </w:r>
    </w:p>
    <w:p w14:paraId="0B89D7B3" w14:textId="77777777" w:rsidR="00EA288F" w:rsidRDefault="00EA288F" w:rsidP="008F161A">
      <w:pPr>
        <w:pStyle w:val="Numlist"/>
        <w:numPr>
          <w:ilvl w:val="0"/>
          <w:numId w:val="140"/>
        </w:numPr>
        <w:tabs>
          <w:tab w:val="left" w:pos="284"/>
        </w:tabs>
        <w:spacing w:line="360" w:lineRule="auto"/>
        <w:ind w:left="0" w:firstLine="0"/>
        <w:jc w:val="both"/>
        <w:textAlignment w:val="auto"/>
      </w:pPr>
      <w:r>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4224A40D" w14:textId="77777777" w:rsidR="00EA288F" w:rsidRDefault="00EA288F" w:rsidP="008F161A">
      <w:pPr>
        <w:pStyle w:val="Numlist"/>
        <w:numPr>
          <w:ilvl w:val="0"/>
          <w:numId w:val="140"/>
        </w:numPr>
        <w:tabs>
          <w:tab w:val="left" w:pos="284"/>
        </w:tabs>
        <w:spacing w:line="360" w:lineRule="auto"/>
        <w:ind w:left="0" w:firstLine="0"/>
        <w:jc w:val="both"/>
        <w:textAlignment w:val="auto"/>
      </w:pPr>
      <w:r>
        <w:t xml:space="preserve">Комплексное иммунохимическое исследование сыворотки и мочи (каждые три месяца), включающее </w:t>
      </w:r>
    </w:p>
    <w:p w14:paraId="12B65F24" w14:textId="6C3EB0DE" w:rsidR="00EA288F" w:rsidRDefault="00EA288F" w:rsidP="00EA288F">
      <w:pPr>
        <w:pStyle w:val="Numlist"/>
        <w:tabs>
          <w:tab w:val="left" w:pos="284"/>
        </w:tabs>
        <w:spacing w:line="360" w:lineRule="auto"/>
        <w:ind w:firstLine="0"/>
        <w:jc w:val="both"/>
      </w:pPr>
      <w:r>
        <w:t>- электрофорез и иммунофиксация белков сыворотки и мочи с определением белка Бенс-Джонса</w:t>
      </w:r>
      <w:r w:rsidR="00D90B88">
        <w:t xml:space="preserve"> </w:t>
      </w:r>
      <w:r w:rsidR="00D90B88" w:rsidRPr="0053428B">
        <w:t>(исследование моноклональности иммуноглобулинов в крови методом иммунофиксации, исследование моноклональности легких цепей иммуноглобулинов в крови методом иммунофиксации, исследование моноклональности иммуноглобулинов в моче методом иммунофиксации, исследование моноклональности легких цепей иммуноглобулинов в моче методом иммунофиксации)</w:t>
      </w:r>
      <w:r w:rsidRPr="0053428B">
        <w:t>;</w:t>
      </w:r>
    </w:p>
    <w:p w14:paraId="796CA870" w14:textId="77777777" w:rsidR="00EA288F" w:rsidRDefault="00EA288F" w:rsidP="00EA288F">
      <w:pPr>
        <w:pStyle w:val="Numlist"/>
        <w:tabs>
          <w:tab w:val="left" w:pos="284"/>
        </w:tabs>
        <w:spacing w:line="360" w:lineRule="auto"/>
        <w:ind w:firstLine="0"/>
        <w:jc w:val="both"/>
      </w:pPr>
      <w:r>
        <w:t>- определение уровня поликлональных иммуноглобулинов (</w:t>
      </w:r>
      <w:r>
        <w:rPr>
          <w:lang w:val="en-US"/>
        </w:rPr>
        <w:t>A</w:t>
      </w:r>
      <w:r>
        <w:t xml:space="preserve">, </w:t>
      </w:r>
      <w:r>
        <w:rPr>
          <w:lang w:val="en-US"/>
        </w:rPr>
        <w:t>G</w:t>
      </w:r>
      <w:r>
        <w:t xml:space="preserve">, </w:t>
      </w:r>
      <w:r>
        <w:rPr>
          <w:lang w:val="en-US"/>
        </w:rPr>
        <w:t>M</w:t>
      </w:r>
      <w:r>
        <w:t>);</w:t>
      </w:r>
    </w:p>
    <w:p w14:paraId="5886D203" w14:textId="77777777" w:rsidR="00EA288F" w:rsidRDefault="00EA288F" w:rsidP="00EA288F">
      <w:pPr>
        <w:pStyle w:val="Numlist"/>
        <w:tabs>
          <w:tab w:val="left" w:pos="284"/>
        </w:tabs>
        <w:spacing w:line="360" w:lineRule="auto"/>
        <w:ind w:firstLine="0"/>
        <w:jc w:val="both"/>
      </w:pPr>
      <w:r>
        <w:t>- определение свободных легких цепей и их соотношения при «неизмеряемом» заболевании.</w:t>
      </w:r>
    </w:p>
    <w:p w14:paraId="4733AA8F" w14:textId="52575881" w:rsidR="00EA288F" w:rsidRDefault="005B71A1" w:rsidP="008F161A">
      <w:pPr>
        <w:pStyle w:val="Numlist"/>
        <w:numPr>
          <w:ilvl w:val="0"/>
          <w:numId w:val="140"/>
        </w:numPr>
        <w:tabs>
          <w:tab w:val="left" w:pos="284"/>
        </w:tabs>
        <w:spacing w:line="360" w:lineRule="auto"/>
        <w:ind w:left="0" w:firstLine="0"/>
        <w:jc w:val="both"/>
        <w:textAlignment w:val="auto"/>
      </w:pPr>
      <w:r>
        <w:t xml:space="preserve">Получение цитологического препарата костного мозга путем пункции с дальнейшим цитологическим исследованием мазка костного мозга (миелограмма) </w:t>
      </w:r>
      <w:r w:rsidR="00EA288F">
        <w:t>– ежегодно.</w:t>
      </w:r>
    </w:p>
    <w:p w14:paraId="24231840" w14:textId="10738CD3" w:rsidR="00EA288F" w:rsidRDefault="00EA288F" w:rsidP="008F161A">
      <w:pPr>
        <w:pStyle w:val="af0"/>
        <w:numPr>
          <w:ilvl w:val="0"/>
          <w:numId w:val="135"/>
        </w:numPr>
        <w:tabs>
          <w:tab w:val="left" w:pos="284"/>
        </w:tabs>
        <w:spacing w:line="360" w:lineRule="auto"/>
        <w:ind w:left="0" w:firstLine="0"/>
        <w:rPr>
          <w:b/>
        </w:rPr>
      </w:pPr>
      <w:r>
        <w:rPr>
          <w:b/>
        </w:rPr>
        <w:t>Лабораторные и инструментальные методы исследования на этапе констатации рецидива/прогрессии симптоматической множественной миеломы</w:t>
      </w:r>
      <w:r>
        <w:fldChar w:fldCharType="begin" w:fldLock="1"/>
      </w:r>
      <w:r w:rsidR="00500F37">
        <w:instrText>ADDIN CSL_CITATION {"citationItems":[{"id":"ITEM-1","itemData":{"DOI":"10.1016/S1470-2045(17)30189-4","ISSN":"14745488","abstract":"The International Myeloma Working Group consensus aimed to provide recommendations for the optimal use of 18fluorodeoxyglucose (18F-FDG) PET/CT in patients with multiple myeloma and other plasma cell disorders, including smouldering multiple myeloma and solitary plasmacytoma. 18F-FDG PET/CT can be considered a valuable tool for the work-up of patients with both newly diagnosed and relapsed or refractory multiple myeloma because it assesses bone damage with relatively high sensitivity and specificity, and detects extramedullary sites of proliferating clonal plasma cells while providing important prognostic information. The use of 18F-FDG PET/CT is mandatory to confirm a suspected diagnosis of solitary plasmacytoma, provided that whole-body MRI is unable to be performed, and to distinguish between smouldering and active multiple myeloma, if whole-body X-ray (WBXR) is negative and whole-body MRI is unavailable. Based on the ability of 18F-FDG PET/CT to distinguish between metabolically active and inactive disease, this technique is now the preferred functional imaging modality to evaluate and to monitor the effect of therapy on myeloma-cell metabolism. Changes in FDG avidity can provide an earlier evaluation of response to therapy compared to MRI scans, and can predict outcomes, particularly for patients who are eligible to receive autologous stem-cell transplantation. 18F-FDG PET/CT can be coupled with sensitive bone marrow-based techniques to detect minimal residual disease (MRD) inside and outside the bone marrow, helping to identify those patients who are defined as having imaging MRD negativity.","author":[{"dropping-particle":"","family":"Cavo","given":"Michele","non-dropping-particle":"","parse-names":false,"suffix":""},{"dropping-particle":"","family":"Terpos","given":"Evangelos","non-dropping-particle":"","parse-names":false,"suffix":""},{"dropping-particle":"","family":"Nanni","given":"Cristina","non-dropping-particle":"","parse-names":false,"suffix":""},{"dropping-particle":"","family":"Moreau","given":"Philippe","non-dropping-particle":"","parse-names":false,"suffix":""},{"dropping-particle":"","family":"Lentzsch","given":"Suzanne","non-dropping-particle":"","parse-names":false,"suffix":""},{"dropping-particle":"","family":"Zweegman","given":"Sonja","non-dropping-particle":"","parse-names":false,"suffix":""},{"dropping-particle":"","family":"Hillengass","given":"Jens","non-dropping-particle":"","parse-names":false,"suffix":""},{"dropping-particle":"","family":"Engelhardt","given":"Monika","non-dropping-particle":"","parse-names":false,"suffix":""},{"dropping-particle":"","family":"Usmani","given":"Saad Z.","non-dropping-particle":"","parse-names":false,"suffix":""},{"dropping-particle":"","family":"Vesole","given":"David H.","non-dropping-particle":"","parse-names":false,"suffix":""},{"dropping-particle":"","family":"San-Miguel","given":"Jesus","non-dropping-particle":"","parse-names":false,"suffix":""},{"dropping-particle":"","family":"Kumar","given":"Shaji K.","non-dropping-particle":"","parse-names":false,"suffix":""},{"dropping-particle":"","family":"Richardson","given":"Paul G.","non-dropping-particle":"","parse-names":false,"suffix":""},{"dropping-particle":"","family":"Mikhael","given":"Joseph R.","non-dropping-particle":"","parse-names":false,"suffix":""},{"dropping-particle":"","family":"Costa","given":"Fernando Leal","non-dropping-particle":"da","parse-names":false,"suffix":""},{"dropping-particle":"","family":"Dimopoulos","given":"Meletios Athanassios","non-dropping-particle":"","parse-names":false,"suffix":""},{"dropping-particle":"","family":"Zingaretti","given":"Chiara","non-dropping-particle":"","parse-names":false,"suffix":""},{"dropping-particle":"","family":"Abildgaard","given":"Niels","non-dropping-particle":"","parse-names":false,"suffix":""},{"dropping-particle":"","family":"Goldschmidt","given":"Hartmut","non-dropping-particle":"","parse-names":false,"suffix":""},{"dropping-particle":"","family":"Orlowski","given":"Robert Z.","non-dropping-particle":"","parse-names":false,"suffix":""},{"dropping-particle":"","family":"Chng","given":"Wee Joo","non-dropping-particle":"","parse-names":false,"suffix":""},{"dropping-particle":"","family":"Einsele","given":"Hermann","non-dropping-particle":"","parse-names":false,"suffix":""},{"dropping-particle":"","family":"Lonial","given":"Sagar","non-dropping-particle":"","parse-names":false,"suffix":""},{"dropping-particle":"","family":"Barlogie","given":"Bart","non-dropping-particle":"","parse-names":false,"suffix":""},{"dropping-particle":"","family":"Anderson","given":"Kenneth C.","non-dropping-particle":"","parse-names":false,"suffix":""},{"dropping-particle":"","family":"Rajkumar","given":"S. Vincent","non-dropping-particle":"","parse-names":false,"suffix":""},{"dropping-particle":"","family":"Durie","given":"Brian G.M.","non-dropping-particle":"","parse-names":false,"suffix":""},{"dropping-particle":"","family":"Zamagni","given":"Elena","non-dropping-particle":"","parse-names":false,"suffix":""}],"container-title":"The Lancet Oncology","id":"ITEM-1","issue":"4","issued":{"date-parts":[["2017","4","1"]]},"page":"e206-e217","publisher":"Lancet Publishing Group","title":"Role of 18F-FDG PET/CT in the diagnosis and management of multiple myeloma and other plasma cell disorders: a consensus statement by the International Myeloma Working Group","type":"article","volume":"18"},"uris":["http://www.mendeley.com/documents/?uuid=dac9c8c9-a485-3d92-bc6b-3cf43e0d4f6b"]}],"mendeley":{"formattedCitation":"[23]","plainTextFormattedCitation":"[23]","previouslyFormattedCitation":"[23]"},"properties":{"noteIndex":0},"schema":"https://github.com/citation-style-language/schema/raw/master/csl-citation.json"}</w:instrText>
      </w:r>
      <w:r>
        <w:fldChar w:fldCharType="separate"/>
      </w:r>
      <w:r w:rsidR="00E03159" w:rsidRPr="00E03159">
        <w:rPr>
          <w:noProof/>
        </w:rPr>
        <w:t>[23]</w:t>
      </w:r>
      <w:r>
        <w:fldChar w:fldCharType="end"/>
      </w:r>
      <w:r>
        <w:fldChar w:fldCharType="begin" w:fldLock="1"/>
      </w:r>
      <w:r w:rsidR="00E430FD">
        <w:instrText>ADDIN CSL_CITATION {"citationItems":[{"id":"ITEM-1","itemData":{"DOI":"10.1016/S1470-2045(16)30206-6","ISSN":"14745488","abstract":"Treatment of multiple myeloma has substantially changed over the past decade with the introduction of several classes of new effective drugs that have greatly improved the rates and depth of response. Response criteria in multiple myeloma were developed to use serum and urine assessment of monoclonal proteins and bone marrow assessment (which is relatively insensitive). Given the high rates of complete response seen in patients with multiple myeloma with new treatment approaches, new response categories need to be defined that can identify responses that are deeper than those conventionally defined as complete response. Recent attempts have focused on the identification of residual tumour cells in the bone marrow using flow cytometry or gene sequencing. Furthermore, sensitive imaging techniques can be used to detect the presence of residual disease outside of the bone marrow. Combining these new methods, the International Myeloma Working Group has defined new response categories of minimal residual disease negativity, with or without imaging-based absence of extramedullary disease, to allow uniform reporting within and outside clinical trials. In this Review, we clarify several aspects of disease response assessment, along with endpoints for clinical trials, and highlight future directions for disease response assessments.","author":[{"dropping-particle":"","family":"Kumar","given":"Shaji","non-dropping-particle":"","parse-names":false,"suffix":""},{"dropping-particle":"","family":"Paiva","given":"Bruno","non-dropping-particle":"","parse-names":false,"suffix":""},{"dropping-particle":"","family":"Anderson","given":"Kenneth C.","non-dropping-particle":"","parse-names":false,"suffix":""},{"dropping-particle":"","family":"Durie","given":"Brian","non-dropping-particle":"","parse-names":false,"suffix":""},{"dropping-particle":"","family":"Landgren","given":"Ola","non-dropping-particle":"","parse-names":false,"suffix":""},{"dropping-particle":"","family":"Moreau","given":"Philippe","non-dropping-particle":"","parse-names":false,"suffix":""},{"dropping-particle":"","family":"Munshi","given":"Nikhil","non-dropping-particle":"","parse-names":false,"suffix":""},{"dropping-particle":"","family":"Lonial","given":"Sagar","non-dropping-particle":"","parse-names":false,"suffix":""},{"dropping-particle":"","family":"Bladé","given":"Joan","non-dropping-particle":"","parse-names":false,"suffix":""},{"dropping-particle":"","family":"Mateos","given":"Maria Victoria","non-dropping-particle":"","parse-names":false,"suffix":""},{"dropping-particle":"","family":"Dimopoulos","given":"Meletios","non-dropping-particle":"","parse-names":false,"suffix":""},{"dropping-particle":"","family":"Kastritis","given":"Efstathios","non-dropping-particle":"","parse-names":false,"suffix":""},{"dropping-particle":"","family":"Boccadoro","given":"Mario","non-dropping-particle":"","parse-names":false,"suffix":""},{"dropping-particle":"","family":"Orlowski","given":"Robert","non-dropping-particle":"","parse-names":false,"suffix":""},{"dropping-particle":"","family":"Goldschmidt","given":"Hartmut","non-dropping-particle":"","parse-names":false,"suffix":""},{"dropping-particle":"","family":"Spencer","given":"Andrew","non-dropping-particle":"","parse-names":false,"suffix":""},{"dropping-particle":"","family":"Hou","given":"Jian","non-dropping-particle":"","parse-names":false,"suffix":""},{"dropping-particle":"","family":"Chng","given":"Wee Joo","non-dropping-particle":"","parse-names":false,"suffix":""},{"dropping-particle":"","family":"Usmani","given":"Saad Z.","non-dropping-particle":"","parse-names":false,"suffix":""},{"dropping-particle":"","family":"Zamagni","given":"Elena","non-dropping-particle":"","parse-names":false,"suffix":""},{"dropping-particle":"","family":"Shimizu","given":"Kazuyuki","non-dropping-particle":"","parse-names":false,"suffix":""},{"dropping-particle":"","family":"Jagannath","given":"Sundar","non-dropping-particle":"","parse-names":false,"suffix":""},{"dropping-particle":"","family":"Johnsen","given":"Hans E.","non-dropping-particle":"","parse-names":false,"suffix":""},{"dropping-particle":"","family":"Terpos","given":"Evangelos","non-dropping-particle":"","parse-names":false,"suffix":""},{"dropping-particle":"","family":"Reiman","given":"Anthony","non-dropping-particle":"","parse-names":false,"suffix":""},{"dropping-particle":"","family":"Kyle","given":"Robert A.","non-dropping-particle":"","parse-names":false,"suffix":""},{"dropping-particle":"","family":"Sonneveld","given":"Pieter","non-dropping-particle":"","parse-names":false,"suffix":""},{"dropping-particle":"","family":"Richardson","given":"Paul G.","non-dropping-particle":"","parse-names":false,"suffix":""},{"dropping-particle":"","family":"McCarthy","given":"Philip","non-dropping-particle":"","parse-names":false,"suffix":""},{"dropping-particle":"","family":"Ludwig","given":"Heinz","non-dropping-particle":"","parse-names":false,"suffix":""},{"dropping-particle":"","family":"Chen","given":"Wenming","non-dropping-particle":"","parse-names":false,"suffix":""},{"dropping-particle":"","family":"Cavo","given":"Michele","non-dropping-particle":"","parse-names":false,"suffix":""},{"dropping-particle":"","family":"Harousseau","given":"Jean Luc","non-dropping-particle":"","parse-names":false,"suffix":""},{"dropping-particle":"","family":"Lentzsch","given":"Suzanne","non-dropping-particle":"","parse-names":false,"suffix":""},{"dropping-particle":"","family":"Hillengass","given":"Jens","non-dropping-particle":"","parse-names":false,"suffix":""},{"dropping-particle":"","family":"Palumbo","given":"Antonio","non-dropping-particle":"","parse-names":false,"suffix":""},{"dropping-particle":"","family":"Orfao","given":"Alberto","non-dropping-particle":"","parse-names":false,"suffix":""},{"dropping-particle":"","family":"Rajkumar","given":"S. Vincent","non-dropping-particle":"","parse-names":false,"suffix":""},{"dropping-particle":"","family":"Miguel","given":"Jesus San","non-dropping-particle":"","parse-names":false,"suffix":""},{"dropping-particle":"","family":"Avet-Loiseau","given":"Herve","non-dropping-particle":"","parse-names":false,"suffix":""}],"container-title":"The Lancet Oncology","id":"ITEM-1","issue":"8","issued":{"date-parts":[["2016","8","1"]]},"page":"e328-e346","publisher":"Lancet Publishing Group","title":"International Myeloma Working Group consensus criteria for response and minimal residual disease assessment in multiple myeloma","type":"article","volume":"17"},"uris":["http://www.mendeley.com/documents/?uuid=530a8544-f504-385c-8004-3a945290d1b0"]}],"mendeley":{"formattedCitation":"[87]","plainTextFormattedCitation":"[87]","previouslyFormattedCitation":"[87]"},"properties":{"noteIndex":0},"schema":"https://github.com/citation-style-language/schema/raw/master/csl-citation.json"}</w:instrText>
      </w:r>
      <w:r>
        <w:fldChar w:fldCharType="separate"/>
      </w:r>
      <w:r w:rsidR="00E430FD" w:rsidRPr="00E430FD">
        <w:rPr>
          <w:noProof/>
        </w:rPr>
        <w:t>[87]</w:t>
      </w:r>
      <w:r>
        <w:fldChar w:fldCharType="end"/>
      </w:r>
      <w:r>
        <w:fldChar w:fldCharType="begin" w:fldLock="1"/>
      </w:r>
      <w:r w:rsidR="00E430FD">
        <w:instrText>ADDIN CSL_CITATION {"citationItems":[{"id":"ITEM-1","itemData":{"DOI":"10.4084/MJHID.2014.002","ISSN":"20353006","abstract":"Introduction: Bone marrow examination is an indispensable diagnostic tool to evaluate neoplastic and non neoplastic hematological diseases. Aims: To compare bone marrow aspirate with trephine biopsy in hematological disorders. To determine the optimum trephine preprocessing length in lymphoma infiltration. Methods: Diagnostic comparison was done between simultaneous bone marrow aspirates and trephine biopsies in 449 patients. Biopsies were fixed in formalin, decalcified in 5.5% EDTA and routinely processed. Concordance rates and validity parameters for aspirate were calculated. Three deeper sections of trephine biopsy, cut at 0.1-0.2 mm intervals, were assessed for lymphoma involvement. Proportion of biopsies showing marrow infiltration by lymphoma cells was plotted against trephine length and correlation was assessed. Results: Aspirate had a high sensitivity for acute leukemia (89.4%) and multiple myeloma (88.5%), moderate for NHL (67.6%) and nonhematopoietic metastases (58.3%) and low for aplastic anemia (38.5%) and Hodgkin lymphoma (5%). Aspirate has no role in granulomatous myelitis and myelofibrosis. Lymphoma positivity increased with trephine length, with maximum positivity (68.9%) seen in 17-20 mm group and no further gain beyond 20 mm. (lymphoma positivity ≤16mm=40.3% and ≥17mm=66.1%, p=0.0011). Conclusion: Aspirate has a high specificity; its sensitivity depends upon the type of disease. Apart from few conditions, in which aspirate alone is sufficient, biopsy is mandatory in most. Preprocessing trephine length of 17-20 mm examined at multiple deeper levels was found optimal for assessing lymphoma positivity.","author":[{"dropping-particle":"","family":"Goyal","given":"Surbhi","non-dropping-particle":"","parse-names":false,"suffix":""},{"dropping-particle":"","family":"Singh","given":"Usha Rani","non-dropping-particle":"","parse-names":false,"suffix":""},{"dropping-particle":"","family":"Rusia","given":"Usha","non-dropping-particle":"","parse-names":false,"suffix":""}],"container-title":"Mediterranean Journal of Hematology and Infectious Diseases","id":"ITEM-1","issue":"1","issued":{"date-parts":[["2014"]]},"page":"2014002","publisher":"Catholic University in Rome","title":"Comparative evaluation of bone marrow aspirate with trephine biopsy in hematological disorders and determination of optimum trephine length in lymphoma infiltration","type":"article-journal","volume":"6"},"uris":["http://www.mendeley.com/documents/?uuid=1b832a6f-a760-4fb8-bb80-b71815932f30"]}],"mendeley":{"formattedCitation":"[131]","plainTextFormattedCitation":"[131]","previouslyFormattedCitation":"[131]"},"properties":{"noteIndex":0},"schema":"https://github.com/citation-style-language/schema/raw/master/csl-citation.json"}</w:instrText>
      </w:r>
      <w:r>
        <w:fldChar w:fldCharType="separate"/>
      </w:r>
      <w:r w:rsidR="00E430FD" w:rsidRPr="00E430FD">
        <w:rPr>
          <w:noProof/>
        </w:rPr>
        <w:t>[131]</w:t>
      </w:r>
      <w:r>
        <w:fldChar w:fldCharType="end"/>
      </w:r>
    </w:p>
    <w:p w14:paraId="1951C6A7" w14:textId="77777777" w:rsidR="005B71A1" w:rsidRDefault="005B71A1" w:rsidP="008F161A">
      <w:pPr>
        <w:pStyle w:val="Numlist"/>
        <w:numPr>
          <w:ilvl w:val="0"/>
          <w:numId w:val="141"/>
        </w:numPr>
        <w:tabs>
          <w:tab w:val="left" w:pos="284"/>
        </w:tabs>
        <w:spacing w:line="360" w:lineRule="auto"/>
        <w:ind w:left="0" w:firstLine="0"/>
        <w:jc w:val="both"/>
        <w:textAlignment w:val="auto"/>
      </w:pPr>
      <w:r>
        <w:t xml:space="preserve">Общий (клинический) </w:t>
      </w:r>
      <w:proofErr w:type="gramStart"/>
      <w:r>
        <w:t>анализ крови</w:t>
      </w:r>
      <w:proofErr w:type="gramEnd"/>
      <w:r>
        <w:t xml:space="preserve"> развернутый.</w:t>
      </w:r>
    </w:p>
    <w:p w14:paraId="7A00D7D3" w14:textId="713EBA20" w:rsidR="005B71A1" w:rsidRDefault="005B71A1" w:rsidP="008F161A">
      <w:pPr>
        <w:pStyle w:val="Numlist"/>
        <w:numPr>
          <w:ilvl w:val="0"/>
          <w:numId w:val="141"/>
        </w:numPr>
        <w:tabs>
          <w:tab w:val="left" w:pos="284"/>
        </w:tabs>
        <w:spacing w:line="360" w:lineRule="auto"/>
        <w:ind w:left="0" w:firstLine="0"/>
        <w:jc w:val="both"/>
        <w:textAlignment w:val="auto"/>
      </w:pPr>
      <w:r>
        <w:t>Анализ крови биохимический общетерапевтический с обязательным определением: уровней общего белка, альбумина, креатинина, мочевой кислоты, калия, кальция, активности ЛДГ.</w:t>
      </w:r>
    </w:p>
    <w:p w14:paraId="7088B3AD" w14:textId="77777777" w:rsidR="00EA288F" w:rsidRDefault="00EA288F" w:rsidP="008F161A">
      <w:pPr>
        <w:pStyle w:val="Numlist"/>
        <w:numPr>
          <w:ilvl w:val="0"/>
          <w:numId w:val="141"/>
        </w:numPr>
        <w:tabs>
          <w:tab w:val="left" w:pos="284"/>
        </w:tabs>
        <w:spacing w:line="360" w:lineRule="auto"/>
        <w:ind w:left="0" w:firstLine="0"/>
        <w:jc w:val="both"/>
        <w:textAlignment w:val="auto"/>
      </w:pPr>
      <w:r>
        <w:t>Общий анализ мочи.</w:t>
      </w:r>
    </w:p>
    <w:p w14:paraId="4761F0E7" w14:textId="77777777" w:rsidR="00EA288F" w:rsidRDefault="00EA288F" w:rsidP="008F161A">
      <w:pPr>
        <w:pStyle w:val="Numlist"/>
        <w:numPr>
          <w:ilvl w:val="0"/>
          <w:numId w:val="141"/>
        </w:numPr>
        <w:tabs>
          <w:tab w:val="left" w:pos="284"/>
        </w:tabs>
        <w:spacing w:line="360" w:lineRule="auto"/>
        <w:ind w:left="0" w:firstLine="0"/>
        <w:jc w:val="both"/>
        <w:textAlignment w:val="auto"/>
      </w:pPr>
      <w:r>
        <w:t>Определение количества белка в суточной моче.</w:t>
      </w:r>
    </w:p>
    <w:p w14:paraId="1363ADE7" w14:textId="77777777" w:rsidR="00EA288F" w:rsidRDefault="00EA288F" w:rsidP="008F161A">
      <w:pPr>
        <w:pStyle w:val="Numlist"/>
        <w:numPr>
          <w:ilvl w:val="0"/>
          <w:numId w:val="141"/>
        </w:numPr>
        <w:tabs>
          <w:tab w:val="left" w:pos="284"/>
        </w:tabs>
        <w:spacing w:line="360" w:lineRule="auto"/>
        <w:ind w:left="0" w:firstLine="0"/>
        <w:jc w:val="both"/>
        <w:textAlignment w:val="auto"/>
      </w:pPr>
      <w:r>
        <w:t>Определение скорости клубочковой фильтрации.</w:t>
      </w:r>
    </w:p>
    <w:p w14:paraId="7213448A" w14:textId="77777777" w:rsidR="00EA288F" w:rsidRDefault="00EA288F" w:rsidP="008F161A">
      <w:pPr>
        <w:pStyle w:val="Numlist"/>
        <w:numPr>
          <w:ilvl w:val="0"/>
          <w:numId w:val="141"/>
        </w:numPr>
        <w:tabs>
          <w:tab w:val="left" w:pos="284"/>
        </w:tabs>
        <w:spacing w:line="360" w:lineRule="auto"/>
        <w:ind w:left="0" w:firstLine="0"/>
        <w:jc w:val="both"/>
        <w:textAlignment w:val="auto"/>
      </w:pPr>
      <w:r>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6839693A" w14:textId="77777777" w:rsidR="00EA288F" w:rsidRDefault="00EA288F" w:rsidP="008F161A">
      <w:pPr>
        <w:pStyle w:val="Numlist"/>
        <w:numPr>
          <w:ilvl w:val="0"/>
          <w:numId w:val="141"/>
        </w:numPr>
        <w:tabs>
          <w:tab w:val="left" w:pos="284"/>
        </w:tabs>
        <w:spacing w:line="360" w:lineRule="auto"/>
        <w:ind w:left="0" w:firstLine="0"/>
        <w:jc w:val="both"/>
        <w:textAlignment w:val="auto"/>
      </w:pPr>
      <w:r>
        <w:lastRenderedPageBreak/>
        <w:t xml:space="preserve">Комплексное иммунохимическое исследование сыворотки и мочи, включающее </w:t>
      </w:r>
    </w:p>
    <w:p w14:paraId="7D86C316" w14:textId="5C502EA4" w:rsidR="00EA288F" w:rsidRDefault="00EA288F" w:rsidP="00EA288F">
      <w:pPr>
        <w:pStyle w:val="Numlist"/>
        <w:tabs>
          <w:tab w:val="left" w:pos="284"/>
        </w:tabs>
        <w:spacing w:line="360" w:lineRule="auto"/>
        <w:ind w:firstLine="0"/>
        <w:jc w:val="both"/>
      </w:pPr>
      <w:r>
        <w:t>- электрофорез и иммунофиксация белков сыворотки и мочи с определением белка Бенс-Джонса</w:t>
      </w:r>
      <w:r w:rsidR="00D90B88">
        <w:t xml:space="preserve"> </w:t>
      </w:r>
      <w:r w:rsidR="00D90B88" w:rsidRPr="0053428B">
        <w:t>(исследование моноклональности иммуноглобулинов в крови методом иммунофиксации, исследование моноклональности легких цепей иммуноглобулинов в крови методом иммунофиксации, исследование моноклональности иммуноглобулинов в моче методом иммунофиксации, исследование моноклональности легких цепей иммуноглобулинов в моче методом иммунофиксации)</w:t>
      </w:r>
      <w:r w:rsidRPr="0053428B">
        <w:t>;</w:t>
      </w:r>
    </w:p>
    <w:p w14:paraId="35F72E36" w14:textId="77777777" w:rsidR="00EA288F" w:rsidRDefault="00EA288F" w:rsidP="00EA288F">
      <w:pPr>
        <w:pStyle w:val="Numlist"/>
        <w:tabs>
          <w:tab w:val="left" w:pos="284"/>
        </w:tabs>
        <w:spacing w:line="360" w:lineRule="auto"/>
        <w:ind w:firstLine="0"/>
        <w:jc w:val="both"/>
      </w:pPr>
      <w:r>
        <w:t>- определение уровня поликлональных иммуноглобулинов (</w:t>
      </w:r>
      <w:r>
        <w:rPr>
          <w:lang w:val="en-US"/>
        </w:rPr>
        <w:t>A</w:t>
      </w:r>
      <w:r>
        <w:t xml:space="preserve">, </w:t>
      </w:r>
      <w:r>
        <w:rPr>
          <w:lang w:val="en-US"/>
        </w:rPr>
        <w:t>G</w:t>
      </w:r>
      <w:r>
        <w:t xml:space="preserve">, </w:t>
      </w:r>
      <w:r>
        <w:rPr>
          <w:lang w:val="en-US"/>
        </w:rPr>
        <w:t>M</w:t>
      </w:r>
      <w:r>
        <w:t>);</w:t>
      </w:r>
    </w:p>
    <w:p w14:paraId="66B493D3" w14:textId="77777777" w:rsidR="00EA288F" w:rsidRDefault="00EA288F" w:rsidP="00EA288F">
      <w:pPr>
        <w:pStyle w:val="Numlist"/>
        <w:tabs>
          <w:tab w:val="left" w:pos="284"/>
        </w:tabs>
        <w:spacing w:line="360" w:lineRule="auto"/>
        <w:ind w:firstLine="0"/>
        <w:jc w:val="both"/>
      </w:pPr>
      <w:r>
        <w:t>- определение свободных легких цепей и их соотношения при «неизмеряемом» заболевании.</w:t>
      </w:r>
    </w:p>
    <w:p w14:paraId="19B943F3" w14:textId="3DE82E84" w:rsidR="005B71A1" w:rsidRDefault="005B71A1" w:rsidP="008F161A">
      <w:pPr>
        <w:pStyle w:val="Numlist"/>
        <w:numPr>
          <w:ilvl w:val="0"/>
          <w:numId w:val="141"/>
        </w:numPr>
        <w:tabs>
          <w:tab w:val="left" w:pos="284"/>
        </w:tabs>
        <w:spacing w:line="360" w:lineRule="auto"/>
        <w:ind w:left="0" w:firstLine="0"/>
        <w:jc w:val="both"/>
        <w:textAlignment w:val="auto"/>
      </w:pPr>
      <w:r>
        <w:t>Получение цитологического препарата костного мозга путем пункции с дальнейшим цитологическим исследованием мазка костного мозга (миелограмма).</w:t>
      </w:r>
    </w:p>
    <w:p w14:paraId="36880962" w14:textId="73707FEA" w:rsidR="00EA288F" w:rsidRDefault="00CB0539" w:rsidP="008F161A">
      <w:pPr>
        <w:pStyle w:val="Numlist"/>
        <w:numPr>
          <w:ilvl w:val="0"/>
          <w:numId w:val="141"/>
        </w:numPr>
        <w:tabs>
          <w:tab w:val="left" w:pos="284"/>
        </w:tabs>
        <w:spacing w:line="360" w:lineRule="auto"/>
        <w:ind w:left="0" w:firstLine="0"/>
        <w:jc w:val="both"/>
        <w:textAlignment w:val="auto"/>
      </w:pPr>
      <w:r>
        <w:t xml:space="preserve">Паталогоанатомическое исследование </w:t>
      </w:r>
      <w:r w:rsidRPr="00C528FA">
        <w:t xml:space="preserve">биопсийного (операционного) материала </w:t>
      </w:r>
      <w:r w:rsidR="00EA288F">
        <w:t>плазмоцитомы и/или костного мозга.</w:t>
      </w:r>
    </w:p>
    <w:p w14:paraId="1BDCD3C3" w14:textId="3350A836" w:rsidR="00EA288F" w:rsidRDefault="00CB0539" w:rsidP="008F161A">
      <w:pPr>
        <w:pStyle w:val="Numlist"/>
        <w:numPr>
          <w:ilvl w:val="0"/>
          <w:numId w:val="141"/>
        </w:numPr>
        <w:tabs>
          <w:tab w:val="left" w:pos="284"/>
        </w:tabs>
        <w:spacing w:line="360" w:lineRule="auto"/>
        <w:ind w:left="0" w:firstLine="0"/>
        <w:jc w:val="both"/>
        <w:textAlignment w:val="auto"/>
      </w:pPr>
      <w:r>
        <w:t xml:space="preserve">Паталогоанатомическое исследование </w:t>
      </w:r>
      <w:r w:rsidRPr="00C528FA">
        <w:t xml:space="preserve">биопсийного (операционного) материала </w:t>
      </w:r>
      <w:r>
        <w:t xml:space="preserve">плазмоцитомы и/или костного мозга </w:t>
      </w:r>
      <w:r w:rsidR="00EA288F">
        <w:t>с применением иммуногистохимических методов.</w:t>
      </w:r>
    </w:p>
    <w:p w14:paraId="30088692" w14:textId="367F4D33" w:rsidR="00CB0539" w:rsidRPr="0053428B" w:rsidRDefault="00EA288F" w:rsidP="00AB3E79">
      <w:pPr>
        <w:pStyle w:val="Numlist"/>
        <w:numPr>
          <w:ilvl w:val="0"/>
          <w:numId w:val="141"/>
        </w:numPr>
        <w:tabs>
          <w:tab w:val="left" w:pos="284"/>
        </w:tabs>
        <w:spacing w:line="360" w:lineRule="auto"/>
        <w:ind w:left="0" w:firstLine="0"/>
        <w:jc w:val="both"/>
        <w:textAlignment w:val="auto"/>
      </w:pPr>
      <w:r w:rsidRPr="0053428B">
        <w:t xml:space="preserve">Определение </w:t>
      </w:r>
      <w:r w:rsidR="00AB3E79" w:rsidRPr="0053428B">
        <w:t xml:space="preserve">основных групп по системе АВ0, определение антигена </w:t>
      </w:r>
      <w:r w:rsidR="00AB3E79" w:rsidRPr="0053428B">
        <w:rPr>
          <w:lang w:val="en-US"/>
        </w:rPr>
        <w:t>D</w:t>
      </w:r>
      <w:r w:rsidR="00AB3E79" w:rsidRPr="0053428B">
        <w:t xml:space="preserve"> системы Резус (резус-фактор), определение подгрупп и других групп крови меньшего значения А-1. А-2, </w:t>
      </w:r>
      <w:r w:rsidR="00AB3E79" w:rsidRPr="0053428B">
        <w:rPr>
          <w:lang w:val="en-US"/>
        </w:rPr>
        <w:t>D</w:t>
      </w:r>
      <w:r w:rsidR="00AB3E79" w:rsidRPr="0053428B">
        <w:t xml:space="preserve">, </w:t>
      </w:r>
      <w:r w:rsidR="00AB3E79" w:rsidRPr="0053428B">
        <w:rPr>
          <w:lang w:val="en-US"/>
        </w:rPr>
        <w:t>Cc</w:t>
      </w:r>
      <w:r w:rsidR="00AB3E79" w:rsidRPr="0053428B">
        <w:t xml:space="preserve">, </w:t>
      </w:r>
      <w:r w:rsidR="00AB3E79" w:rsidRPr="0053428B">
        <w:rPr>
          <w:lang w:val="en-US"/>
        </w:rPr>
        <w:t>E</w:t>
      </w:r>
      <w:r w:rsidR="00AB3E79" w:rsidRPr="0053428B">
        <w:t xml:space="preserve">, </w:t>
      </w:r>
      <w:r w:rsidR="00AB3E79" w:rsidRPr="0053428B">
        <w:rPr>
          <w:lang w:val="en-US"/>
        </w:rPr>
        <w:t>Kell</w:t>
      </w:r>
      <w:r w:rsidR="00AB3E79" w:rsidRPr="0053428B">
        <w:t xml:space="preserve">, </w:t>
      </w:r>
      <w:r w:rsidR="00AB3E79" w:rsidRPr="0053428B">
        <w:rPr>
          <w:lang w:val="en-US"/>
        </w:rPr>
        <w:t>Duffy</w:t>
      </w:r>
      <w:r w:rsidR="00AB3E79" w:rsidRPr="0053428B">
        <w:t xml:space="preserve">, определение фенотипа по антигенам С, с, Е, е, </w:t>
      </w:r>
      <w:r w:rsidR="00AB3E79" w:rsidRPr="0053428B">
        <w:rPr>
          <w:lang w:val="en-US"/>
        </w:rPr>
        <w:t>Cw</w:t>
      </w:r>
      <w:r w:rsidR="00AB3E79" w:rsidRPr="0053428B">
        <w:t xml:space="preserve">, </w:t>
      </w:r>
      <w:r w:rsidR="00AB3E79" w:rsidRPr="0053428B">
        <w:rPr>
          <w:lang w:val="en-US"/>
        </w:rPr>
        <w:t>K</w:t>
      </w:r>
      <w:r w:rsidR="00AB3E79" w:rsidRPr="0053428B">
        <w:t xml:space="preserve">, </w:t>
      </w:r>
      <w:r w:rsidR="00AB3E79" w:rsidRPr="0053428B">
        <w:rPr>
          <w:lang w:val="en-US"/>
        </w:rPr>
        <w:t>k</w:t>
      </w:r>
      <w:r w:rsidR="00AB3E79" w:rsidRPr="0053428B">
        <w:t xml:space="preserve"> и определение антиэритроцитарных антител, определение содержания антител к антигенам групп крови</w:t>
      </w:r>
      <w:r w:rsidR="00CB0539" w:rsidRPr="0053428B">
        <w:t>.</w:t>
      </w:r>
    </w:p>
    <w:p w14:paraId="4012CA35" w14:textId="77777777" w:rsidR="00EA288F" w:rsidRDefault="00EA288F" w:rsidP="008F161A">
      <w:pPr>
        <w:pStyle w:val="Numlist"/>
        <w:numPr>
          <w:ilvl w:val="0"/>
          <w:numId w:val="141"/>
        </w:numPr>
        <w:tabs>
          <w:tab w:val="left" w:pos="284"/>
        </w:tabs>
        <w:spacing w:line="360" w:lineRule="auto"/>
        <w:ind w:left="0" w:firstLine="0"/>
        <w:jc w:val="both"/>
        <w:textAlignment w:val="auto"/>
      </w:pPr>
      <w:r>
        <w:t xml:space="preserve">Молекулярно-цитогенетическое исследование (FISH-метод) для выявления наиболее прогностически важных цитогенетических аномалий: </w:t>
      </w:r>
      <w:r>
        <w:rPr>
          <w:lang w:val="en-US"/>
        </w:rPr>
        <w:t>t</w:t>
      </w:r>
      <w:r>
        <w:t xml:space="preserve">(4;14), </w:t>
      </w:r>
      <w:r>
        <w:rPr>
          <w:lang w:val="en-US"/>
        </w:rPr>
        <w:t>t</w:t>
      </w:r>
      <w:r>
        <w:t xml:space="preserve">(14;16), </w:t>
      </w:r>
      <w:r>
        <w:rPr>
          <w:lang w:val="en-US"/>
        </w:rPr>
        <w:t>t</w:t>
      </w:r>
      <w:r>
        <w:t xml:space="preserve">(6;14), </w:t>
      </w:r>
      <w:r>
        <w:rPr>
          <w:lang w:val="en-US"/>
        </w:rPr>
        <w:t>del</w:t>
      </w:r>
      <w:r>
        <w:t xml:space="preserve"> 17</w:t>
      </w:r>
      <w:r>
        <w:rPr>
          <w:lang w:val="en-US"/>
        </w:rPr>
        <w:t>p</w:t>
      </w:r>
      <w:r>
        <w:t xml:space="preserve">13, </w:t>
      </w:r>
      <w:r>
        <w:rPr>
          <w:lang w:val="en-US"/>
        </w:rPr>
        <w:t>t</w:t>
      </w:r>
      <w:r>
        <w:t xml:space="preserve">(11;14), </w:t>
      </w:r>
      <w:r>
        <w:rPr>
          <w:lang w:val="en-US"/>
        </w:rPr>
        <w:t>del</w:t>
      </w:r>
      <w:r>
        <w:t>13, плоидности и изменений хромосомы 1.</w:t>
      </w:r>
    </w:p>
    <w:p w14:paraId="2BE42225" w14:textId="77777777" w:rsidR="00EA288F" w:rsidRDefault="00EA288F" w:rsidP="008F161A">
      <w:pPr>
        <w:pStyle w:val="Numlist"/>
        <w:numPr>
          <w:ilvl w:val="0"/>
          <w:numId w:val="141"/>
        </w:numPr>
        <w:tabs>
          <w:tab w:val="left" w:pos="284"/>
        </w:tabs>
        <w:spacing w:line="360" w:lineRule="auto"/>
        <w:ind w:left="0" w:firstLine="0"/>
        <w:jc w:val="both"/>
        <w:textAlignment w:val="auto"/>
      </w:pPr>
      <w:r>
        <w:t>Исследование на маркеры вирусов гепатитов</w:t>
      </w:r>
      <w:r>
        <w:rPr>
          <w:lang w:val="en-US"/>
        </w:rPr>
        <w:t> B</w:t>
      </w:r>
      <w:r>
        <w:t xml:space="preserve"> и </w:t>
      </w:r>
      <w:r>
        <w:rPr>
          <w:lang w:val="en-US"/>
        </w:rPr>
        <w:t>C</w:t>
      </w:r>
      <w:r>
        <w:t>, ВИЧ.</w:t>
      </w:r>
    </w:p>
    <w:p w14:paraId="69FEBA42" w14:textId="77777777" w:rsidR="00EA288F" w:rsidRDefault="00EA288F" w:rsidP="008F161A">
      <w:pPr>
        <w:pStyle w:val="Numlist"/>
        <w:numPr>
          <w:ilvl w:val="0"/>
          <w:numId w:val="141"/>
        </w:numPr>
        <w:tabs>
          <w:tab w:val="left" w:pos="284"/>
        </w:tabs>
        <w:spacing w:line="360" w:lineRule="auto"/>
        <w:ind w:left="0" w:firstLine="0"/>
        <w:jc w:val="both"/>
        <w:textAlignment w:val="auto"/>
      </w:pPr>
      <w:r>
        <w:t>Низкодозная компьютерная томография костей скелета – предпочтительный метод визуализации.</w:t>
      </w:r>
    </w:p>
    <w:p w14:paraId="6C3C677E" w14:textId="77777777" w:rsidR="00EA288F" w:rsidRDefault="00EA288F" w:rsidP="008F161A">
      <w:pPr>
        <w:pStyle w:val="Numlist"/>
        <w:numPr>
          <w:ilvl w:val="0"/>
          <w:numId w:val="141"/>
        </w:numPr>
        <w:tabs>
          <w:tab w:val="left" w:pos="284"/>
        </w:tabs>
        <w:spacing w:line="360" w:lineRule="auto"/>
        <w:ind w:left="0" w:firstLine="0"/>
        <w:jc w:val="both"/>
        <w:textAlignment w:val="auto"/>
      </w:pPr>
      <w:r>
        <w:t>КТ костей позвоночника, таза, грудной полости (при отсутствии возможности выполнения низкодозной КТ костей скелета).</w:t>
      </w:r>
    </w:p>
    <w:p w14:paraId="645B2DBB" w14:textId="77777777" w:rsidR="00EA288F" w:rsidRDefault="00EA288F" w:rsidP="008F161A">
      <w:pPr>
        <w:pStyle w:val="Numlist"/>
        <w:numPr>
          <w:ilvl w:val="0"/>
          <w:numId w:val="141"/>
        </w:numPr>
        <w:tabs>
          <w:tab w:val="left" w:pos="284"/>
        </w:tabs>
        <w:spacing w:line="360" w:lineRule="auto"/>
        <w:ind w:left="0" w:firstLine="0"/>
        <w:jc w:val="both"/>
        <w:textAlignment w:val="auto"/>
      </w:pPr>
      <w:r>
        <w:t>Позитронно-эмиссионная томография, совмещенная с КТ (при отсутствии возможности выполнения низкодозной КТ костей скелета и КТ в стандартном режиме).</w:t>
      </w:r>
    </w:p>
    <w:p w14:paraId="18F63A6C" w14:textId="77777777" w:rsidR="00EA288F" w:rsidRDefault="00EA288F" w:rsidP="008F161A">
      <w:pPr>
        <w:pStyle w:val="Numlist"/>
        <w:numPr>
          <w:ilvl w:val="0"/>
          <w:numId w:val="141"/>
        </w:numPr>
        <w:tabs>
          <w:tab w:val="left" w:pos="284"/>
        </w:tabs>
        <w:spacing w:line="360" w:lineRule="auto"/>
        <w:ind w:left="0" w:firstLine="0"/>
        <w:jc w:val="both"/>
        <w:textAlignment w:val="auto"/>
      </w:pPr>
      <w:r>
        <w:t>Рентгенография костей скелета (при отсутствии возможности выполнения низкодозной КТ костей скелета, КТ в стандартном режиме или ПЭТ/КТ).</w:t>
      </w:r>
    </w:p>
    <w:p w14:paraId="392C12C2" w14:textId="77777777" w:rsidR="00EA288F" w:rsidRDefault="00EA288F" w:rsidP="008F161A">
      <w:pPr>
        <w:pStyle w:val="Numlist"/>
        <w:numPr>
          <w:ilvl w:val="0"/>
          <w:numId w:val="141"/>
        </w:numPr>
        <w:tabs>
          <w:tab w:val="left" w:pos="284"/>
        </w:tabs>
        <w:spacing w:line="360" w:lineRule="auto"/>
        <w:ind w:left="0" w:firstLine="0"/>
        <w:jc w:val="both"/>
        <w:textAlignment w:val="auto"/>
      </w:pPr>
      <w:r>
        <w:lastRenderedPageBreak/>
        <w:t>Магнитно-резонансная томография области мягкотканного компонента для оценки размеров.</w:t>
      </w:r>
    </w:p>
    <w:p w14:paraId="6AD867ED" w14:textId="77777777" w:rsidR="00EA288F" w:rsidRDefault="00EA288F" w:rsidP="008F161A">
      <w:pPr>
        <w:pStyle w:val="Numlist"/>
        <w:numPr>
          <w:ilvl w:val="0"/>
          <w:numId w:val="141"/>
        </w:numPr>
        <w:tabs>
          <w:tab w:val="left" w:pos="284"/>
        </w:tabs>
        <w:spacing w:line="360" w:lineRule="auto"/>
        <w:ind w:left="0" w:firstLine="0"/>
        <w:jc w:val="both"/>
        <w:textAlignment w:val="auto"/>
      </w:pPr>
      <w:r>
        <w:t>Электрокардиограмма.</w:t>
      </w:r>
    </w:p>
    <w:p w14:paraId="0B17EBEF" w14:textId="77777777" w:rsidR="00EA288F" w:rsidRDefault="00EA288F" w:rsidP="008F161A">
      <w:pPr>
        <w:pStyle w:val="Numlist"/>
        <w:numPr>
          <w:ilvl w:val="0"/>
          <w:numId w:val="141"/>
        </w:numPr>
        <w:tabs>
          <w:tab w:val="left" w:pos="284"/>
        </w:tabs>
        <w:spacing w:line="360" w:lineRule="auto"/>
        <w:ind w:left="0" w:firstLine="0"/>
        <w:jc w:val="both"/>
        <w:textAlignment w:val="auto"/>
      </w:pPr>
      <w:r>
        <w:t>Эхокардиография (при необходимости).</w:t>
      </w:r>
    </w:p>
    <w:p w14:paraId="2FC2D477" w14:textId="77777777" w:rsidR="00EA288F" w:rsidRDefault="00EA288F" w:rsidP="008F161A">
      <w:pPr>
        <w:pStyle w:val="Numlist"/>
        <w:numPr>
          <w:ilvl w:val="0"/>
          <w:numId w:val="141"/>
        </w:numPr>
        <w:tabs>
          <w:tab w:val="left" w:pos="284"/>
        </w:tabs>
        <w:spacing w:line="360" w:lineRule="auto"/>
        <w:ind w:left="0" w:firstLine="0"/>
        <w:jc w:val="both"/>
        <w:textAlignment w:val="auto"/>
      </w:pPr>
      <w:r>
        <w:t>УЗИ брюшной полости (комплексное).</w:t>
      </w:r>
    </w:p>
    <w:p w14:paraId="605DAC40" w14:textId="77777777" w:rsidR="00EA288F" w:rsidRDefault="00EA288F" w:rsidP="008F161A">
      <w:pPr>
        <w:pStyle w:val="Numlist"/>
        <w:numPr>
          <w:ilvl w:val="0"/>
          <w:numId w:val="141"/>
        </w:numPr>
        <w:tabs>
          <w:tab w:val="left" w:pos="284"/>
        </w:tabs>
        <w:spacing w:line="360" w:lineRule="auto"/>
        <w:ind w:left="0" w:firstLine="0"/>
        <w:jc w:val="both"/>
        <w:textAlignment w:val="auto"/>
      </w:pPr>
      <w:r>
        <w:t>Ультразвуковая допплерография сосудов (артерий и вен) нижних конечностей (при необходимости).</w:t>
      </w:r>
    </w:p>
    <w:p w14:paraId="04A5F6FC" w14:textId="77777777" w:rsidR="00EA288F" w:rsidRDefault="00EA288F" w:rsidP="008F161A">
      <w:pPr>
        <w:pStyle w:val="Numlist"/>
        <w:numPr>
          <w:ilvl w:val="0"/>
          <w:numId w:val="141"/>
        </w:numPr>
        <w:tabs>
          <w:tab w:val="left" w:pos="284"/>
        </w:tabs>
        <w:spacing w:line="360" w:lineRule="auto"/>
        <w:ind w:left="0" w:firstLine="0"/>
        <w:jc w:val="both"/>
        <w:textAlignment w:val="auto"/>
      </w:pPr>
      <w:r>
        <w:t>Эзофагогастродуоденоскопия с биопсией (при необходимости).</w:t>
      </w:r>
    </w:p>
    <w:p w14:paraId="1DD332CE" w14:textId="77777777" w:rsidR="00497EAA" w:rsidRPr="00497EAA" w:rsidRDefault="00EA288F" w:rsidP="00EA288F">
      <w:pPr>
        <w:pStyle w:val="Numlist"/>
        <w:numPr>
          <w:ilvl w:val="0"/>
          <w:numId w:val="141"/>
        </w:numPr>
        <w:tabs>
          <w:tab w:val="left" w:pos="284"/>
        </w:tabs>
        <w:spacing w:line="360" w:lineRule="auto"/>
        <w:ind w:left="0" w:firstLine="0"/>
        <w:jc w:val="both"/>
        <w:textAlignment w:val="auto"/>
      </w:pPr>
      <w:r>
        <w:t xml:space="preserve">МРТ головного мозга (при необходимости). </w:t>
      </w:r>
    </w:p>
    <w:p w14:paraId="2F9D4880" w14:textId="4A50D33D" w:rsidR="00EA288F" w:rsidRPr="00497EAA" w:rsidRDefault="00EA288F" w:rsidP="00EA288F">
      <w:pPr>
        <w:pStyle w:val="Numlist"/>
        <w:numPr>
          <w:ilvl w:val="0"/>
          <w:numId w:val="141"/>
        </w:numPr>
        <w:tabs>
          <w:tab w:val="left" w:pos="284"/>
        </w:tabs>
        <w:spacing w:line="360" w:lineRule="auto"/>
        <w:ind w:left="0" w:firstLine="0"/>
        <w:jc w:val="both"/>
        <w:textAlignment w:val="auto"/>
      </w:pPr>
      <w:r w:rsidRPr="00497EAA">
        <w:t>Люмбальная пункция с последующим цитологическим, комплексным иммунохимическим и иммунофенотипическим исследованием ликвора</w:t>
      </w:r>
      <w:r w:rsidR="00686A22" w:rsidRPr="00497EAA">
        <w:t xml:space="preserve"> (</w:t>
      </w:r>
      <w:r w:rsidR="00686A22" w:rsidRPr="0053428B">
        <w:t>цитологическое исследование клеток спинномозговой жидкости, исследование физических свойств спинномозговой жидкости, микроскопическое исследование спинномозговой жидкости, подсчет клеток в счетной камере (определение цитоза), общий (клинический) анализ спинномозговой жидкости)</w:t>
      </w:r>
      <w:r w:rsidRPr="0053428B">
        <w:t xml:space="preserve"> при подозрении на вовлечение в патологический</w:t>
      </w:r>
      <w:r w:rsidRPr="00497EAA">
        <w:t xml:space="preserve"> процесс центральной нервной системы. </w:t>
      </w:r>
    </w:p>
    <w:p w14:paraId="74A6A07B" w14:textId="77777777" w:rsidR="00EA288F" w:rsidRDefault="00EA288F">
      <w:pPr>
        <w:spacing w:before="0" w:after="0" w:line="240" w:lineRule="auto"/>
        <w:jc w:val="left"/>
        <w:rPr>
          <w:rFonts w:eastAsia="Times New Roman"/>
          <w:szCs w:val="26"/>
        </w:rPr>
      </w:pPr>
      <w:r>
        <w:rPr>
          <w:b/>
        </w:rPr>
        <w:br w:type="page"/>
      </w:r>
    </w:p>
    <w:p w14:paraId="021FDD8D" w14:textId="79D241D5" w:rsidR="00EA288F" w:rsidRPr="00EA288F" w:rsidRDefault="00EA288F" w:rsidP="00EA288F">
      <w:pPr>
        <w:pStyle w:val="2"/>
        <w:rPr>
          <w:rStyle w:val="ac"/>
          <w:b/>
          <w:bCs w:val="0"/>
        </w:rPr>
      </w:pPr>
      <w:bookmarkStart w:id="97" w:name="_Toc97734650"/>
      <w:r w:rsidRPr="00EA288F">
        <w:rPr>
          <w:rStyle w:val="ac"/>
          <w:b/>
          <w:bCs w:val="0"/>
        </w:rPr>
        <w:lastRenderedPageBreak/>
        <w:t>Приложение А3.5</w:t>
      </w:r>
      <w:r w:rsidR="00805C9F">
        <w:rPr>
          <w:rStyle w:val="ac"/>
          <w:b/>
          <w:bCs w:val="0"/>
        </w:rPr>
        <w:t xml:space="preserve">. </w:t>
      </w:r>
      <w:r w:rsidRPr="00EA288F">
        <w:rPr>
          <w:rStyle w:val="ac"/>
          <w:b/>
          <w:bCs w:val="0"/>
        </w:rPr>
        <w:t>Препараты, улучшающие метаболизм костной ткани у больных множественной миеломой</w:t>
      </w:r>
      <w:bookmarkEnd w:id="97"/>
    </w:p>
    <w:p w14:paraId="1B830AD2" w14:textId="77777777" w:rsidR="00EA288F" w:rsidRPr="00EA288F" w:rsidRDefault="00EA288F" w:rsidP="008F161A">
      <w:pPr>
        <w:numPr>
          <w:ilvl w:val="0"/>
          <w:numId w:val="142"/>
        </w:numPr>
        <w:shd w:val="clear" w:color="auto" w:fill="FFFFFF"/>
        <w:tabs>
          <w:tab w:val="left" w:pos="0"/>
          <w:tab w:val="left" w:pos="394"/>
        </w:tabs>
        <w:spacing w:before="5" w:after="0" w:line="256" w:lineRule="auto"/>
        <w:ind w:left="0" w:firstLine="0"/>
        <w:jc w:val="left"/>
        <w:rPr>
          <w:rFonts w:eastAsia="Arial Unicode MS"/>
          <w:color w:val="000000"/>
          <w:spacing w:val="4"/>
          <w:szCs w:val="28"/>
          <w:u w:color="000000"/>
          <w:shd w:val="clear" w:color="auto" w:fill="FFFFFF"/>
          <w:lang w:eastAsia="ru-RU"/>
        </w:rPr>
      </w:pPr>
      <w:r w:rsidRPr="00EA288F">
        <w:rPr>
          <w:rFonts w:eastAsia="Arial Unicode MS"/>
          <w:b/>
          <w:color w:val="000000"/>
          <w:spacing w:val="4"/>
          <w:szCs w:val="28"/>
          <w:u w:color="000000"/>
          <w:lang w:eastAsia="ru-RU"/>
        </w:rPr>
        <w:t xml:space="preserve">Общие сведения </w:t>
      </w:r>
    </w:p>
    <w:p w14:paraId="024556B8" w14:textId="77777777" w:rsidR="00EA288F" w:rsidRDefault="00EA288F" w:rsidP="00EA288F">
      <w:pPr>
        <w:tabs>
          <w:tab w:val="left" w:pos="0"/>
        </w:tabs>
        <w:ind w:firstLine="709"/>
        <w:contextualSpacing/>
        <w:rPr>
          <w:rFonts w:eastAsia="Times New Roman"/>
          <w:szCs w:val="24"/>
          <w:lang w:eastAsia="ru-RU"/>
        </w:rPr>
      </w:pPr>
      <w:r w:rsidRPr="00EA288F">
        <w:rPr>
          <w:rFonts w:eastAsia="Times New Roman"/>
          <w:szCs w:val="24"/>
          <w:lang w:eastAsia="ru-RU"/>
        </w:rPr>
        <w:t xml:space="preserve">Ключевым звеном, регулирующим гомеостаз костной ткани, является лиганд-рецепторная система </w:t>
      </w:r>
      <w:r w:rsidRPr="00EA288F">
        <w:rPr>
          <w:rFonts w:eastAsia="Times New Roman"/>
          <w:szCs w:val="24"/>
          <w:lang w:val="en-US" w:eastAsia="ru-RU"/>
        </w:rPr>
        <w:t>RANK</w:t>
      </w:r>
      <w:r w:rsidRPr="00EA288F">
        <w:rPr>
          <w:rFonts w:eastAsia="Times New Roman"/>
          <w:szCs w:val="24"/>
          <w:lang w:eastAsia="ru-RU"/>
        </w:rPr>
        <w:t>/</w:t>
      </w:r>
      <w:r w:rsidRPr="00EA288F">
        <w:rPr>
          <w:rFonts w:eastAsia="Times New Roman"/>
          <w:szCs w:val="24"/>
          <w:lang w:val="en-US" w:eastAsia="ru-RU"/>
        </w:rPr>
        <w:t>RANKL</w:t>
      </w:r>
      <w:r w:rsidRPr="00EA288F">
        <w:rPr>
          <w:rFonts w:eastAsia="Times New Roman"/>
          <w:szCs w:val="24"/>
          <w:lang w:eastAsia="ru-RU"/>
        </w:rPr>
        <w:t>/</w:t>
      </w:r>
      <w:r w:rsidRPr="00EA288F">
        <w:rPr>
          <w:rFonts w:eastAsia="Times New Roman"/>
          <w:szCs w:val="24"/>
          <w:lang w:val="en-US" w:eastAsia="ru-RU"/>
        </w:rPr>
        <w:t>OPG</w:t>
      </w:r>
      <w:r w:rsidRPr="00EA288F">
        <w:rPr>
          <w:rFonts w:eastAsia="Times New Roman"/>
          <w:szCs w:val="24"/>
          <w:lang w:eastAsia="ru-RU"/>
        </w:rPr>
        <w:t xml:space="preserve">. Рецептор-активатор ядерного траскрипционного фактора </w:t>
      </w:r>
      <w:r w:rsidRPr="00EA288F">
        <w:rPr>
          <w:rFonts w:eastAsia="Times New Roman"/>
          <w:szCs w:val="24"/>
          <w:lang w:val="en-US" w:eastAsia="ru-RU"/>
        </w:rPr>
        <w:t>NF</w:t>
      </w:r>
      <w:r w:rsidRPr="00EA288F">
        <w:rPr>
          <w:rFonts w:eastAsia="Times New Roman"/>
          <w:szCs w:val="24"/>
          <w:lang w:eastAsia="ru-RU"/>
        </w:rPr>
        <w:t>-κ</w:t>
      </w:r>
      <w:r w:rsidRPr="00EA288F">
        <w:rPr>
          <w:rFonts w:eastAsia="Times New Roman"/>
          <w:szCs w:val="24"/>
          <w:lang w:val="en-US" w:eastAsia="ru-RU"/>
        </w:rPr>
        <w:t>B</w:t>
      </w:r>
      <w:r w:rsidRPr="00EA288F">
        <w:rPr>
          <w:rFonts w:eastAsia="Times New Roman"/>
          <w:szCs w:val="24"/>
          <w:lang w:eastAsia="ru-RU"/>
        </w:rPr>
        <w:t xml:space="preserve"> (</w:t>
      </w:r>
      <w:r w:rsidRPr="00EA288F">
        <w:rPr>
          <w:rFonts w:eastAsia="Times New Roman"/>
          <w:szCs w:val="24"/>
          <w:lang w:val="en-US" w:eastAsia="ru-RU"/>
        </w:rPr>
        <w:t>receptor</w:t>
      </w:r>
      <w:r w:rsidRPr="00EA288F">
        <w:rPr>
          <w:rFonts w:eastAsia="Times New Roman"/>
          <w:szCs w:val="24"/>
          <w:lang w:eastAsia="ru-RU"/>
        </w:rPr>
        <w:t xml:space="preserve"> </w:t>
      </w:r>
      <w:r w:rsidRPr="00EA288F">
        <w:rPr>
          <w:rFonts w:eastAsia="Times New Roman"/>
          <w:szCs w:val="24"/>
          <w:lang w:val="en-US" w:eastAsia="ru-RU"/>
        </w:rPr>
        <w:t>activator</w:t>
      </w:r>
      <w:r w:rsidRPr="00EA288F">
        <w:rPr>
          <w:rFonts w:eastAsia="Times New Roman"/>
          <w:szCs w:val="24"/>
          <w:lang w:eastAsia="ru-RU"/>
        </w:rPr>
        <w:t xml:space="preserve"> </w:t>
      </w:r>
      <w:r w:rsidRPr="00EA288F">
        <w:rPr>
          <w:rFonts w:eastAsia="Times New Roman"/>
          <w:szCs w:val="24"/>
          <w:lang w:val="en-US" w:eastAsia="ru-RU"/>
        </w:rPr>
        <w:t>of</w:t>
      </w:r>
      <w:r w:rsidRPr="00EA288F">
        <w:rPr>
          <w:rFonts w:eastAsia="Times New Roman"/>
          <w:szCs w:val="24"/>
          <w:lang w:eastAsia="ru-RU"/>
        </w:rPr>
        <w:t xml:space="preserve"> </w:t>
      </w:r>
      <w:r w:rsidRPr="00EA288F">
        <w:rPr>
          <w:rFonts w:eastAsia="Times New Roman"/>
          <w:szCs w:val="24"/>
          <w:lang w:val="en-US" w:eastAsia="ru-RU"/>
        </w:rPr>
        <w:t>NF</w:t>
      </w:r>
      <w:r w:rsidRPr="00EA288F">
        <w:rPr>
          <w:rFonts w:eastAsia="Times New Roman"/>
          <w:szCs w:val="24"/>
          <w:lang w:eastAsia="ru-RU"/>
        </w:rPr>
        <w:t>-κ</w:t>
      </w:r>
      <w:r w:rsidRPr="00EA288F">
        <w:rPr>
          <w:rFonts w:eastAsia="Times New Roman"/>
          <w:szCs w:val="24"/>
          <w:lang w:val="en-US" w:eastAsia="ru-RU"/>
        </w:rPr>
        <w:t>B</w:t>
      </w:r>
      <w:r w:rsidRPr="00EA288F">
        <w:rPr>
          <w:rFonts w:eastAsia="Times New Roman"/>
          <w:szCs w:val="24"/>
          <w:lang w:eastAsia="ru-RU"/>
        </w:rPr>
        <w:t xml:space="preserve">, </w:t>
      </w:r>
      <w:r w:rsidRPr="00EA288F">
        <w:rPr>
          <w:rFonts w:eastAsia="Times New Roman"/>
          <w:szCs w:val="24"/>
          <w:lang w:val="en-US" w:eastAsia="ru-RU"/>
        </w:rPr>
        <w:t>RANK</w:t>
      </w:r>
      <w:r w:rsidRPr="00EA288F">
        <w:rPr>
          <w:rFonts w:eastAsia="Times New Roman"/>
          <w:szCs w:val="24"/>
          <w:lang w:eastAsia="ru-RU"/>
        </w:rPr>
        <w:t xml:space="preserve">) и его лиганд – </w:t>
      </w:r>
      <w:r w:rsidRPr="00EA288F">
        <w:rPr>
          <w:rFonts w:eastAsia="Times New Roman"/>
          <w:szCs w:val="24"/>
          <w:lang w:val="en-US" w:eastAsia="ru-RU"/>
        </w:rPr>
        <w:t>RANKL</w:t>
      </w:r>
      <w:r w:rsidRPr="00EA288F">
        <w:rPr>
          <w:rFonts w:eastAsia="Times New Roman"/>
          <w:szCs w:val="24"/>
          <w:lang w:eastAsia="ru-RU"/>
        </w:rPr>
        <w:t xml:space="preserve"> - это часть суперсемейства фактора некроза опухоли. Связывание RANKL с RANK приводит к активации зрелых остеокластов. Природный антагонист RANKL – остеопротегерин (OPG) - блокирует взаимодействие RANK и RANKL. </w:t>
      </w:r>
    </w:p>
    <w:p w14:paraId="0D42CE4C" w14:textId="3FD07D85" w:rsidR="00EA288F" w:rsidRPr="00EA288F" w:rsidRDefault="00EA288F" w:rsidP="00EA288F">
      <w:pPr>
        <w:tabs>
          <w:tab w:val="left" w:pos="0"/>
        </w:tabs>
        <w:ind w:firstLine="709"/>
        <w:contextualSpacing/>
        <w:rPr>
          <w:rFonts w:eastAsia="Times New Roman"/>
          <w:szCs w:val="24"/>
          <w:lang w:eastAsia="ru-RU"/>
        </w:rPr>
      </w:pPr>
      <w:r w:rsidRPr="00EA288F">
        <w:rPr>
          <w:rFonts w:eastAsia="Times New Roman"/>
          <w:szCs w:val="24"/>
          <w:lang w:eastAsia="ru-RU"/>
        </w:rPr>
        <w:t>Нарушения в системе RANK/RANKL/OPG приводят к изменению баланса ремоделирования кости, что способствует развитию таких патологических процессов, как разрушение костей (остеодеструктивный процесс) и метастазирование. Повышенная сигнальная активность RANKL была выявлена при раке молочной железы, простаты, почки, множественной миеломе, и некоторых других солидных опухолях. С целью снижения активности остеокластов и подавления остеолиза при различных нозологических формах, сопровождающихся деструкцией костной ткани, используются ингибиторы взаимодействия RANK/RANKL</w:t>
      </w:r>
      <w:r>
        <w:rPr>
          <w:bCs/>
          <w:szCs w:val="24"/>
          <w:lang w:eastAsia="ru-RU"/>
        </w:rPr>
        <w:fldChar w:fldCharType="begin" w:fldLock="1"/>
      </w:r>
      <w:r w:rsidR="00E430FD">
        <w:rPr>
          <w:bCs/>
          <w:szCs w:val="24"/>
          <w:lang w:eastAsia="ru-RU"/>
        </w:rPr>
        <w:instrText>ADDIN CSL_CITATION {"citationItems":[{"id":"ITEM-1","itemData":{"id":"ITEM-1","issued":{"date-parts":[["0"]]},"title":"Инструкция по медицинскому применению лекарственного препарата деносумаб (ЛП-000871) - Министерство здравоохранения России, 21 с","type":"report"},"uris":["http://www.mendeley.com/documents/?uuid=884aa4b3-6ee8-4f0f-8b9e-b1ce80122861"]},{"id":"ITEM-2","itemData":{"DOI":"10.1016/S1470-2045(18)30072-X","ISSN":"14745488","PMID":"29429912","abstract":"Background: Multiple myeloma is characterised by monoclonal paraprotein production and osteolytic lesions, commonly leading to skeletal-related events (spinal cord compression, pathological fracture, or surgery or radiotherapy to affected bone). Denosumab, a monoclonal antibody targeting RANKL, reduces skeletal-related events associated with bone lesions or metastases in patients with advanced solid tumours. This study aimed to assess the efficacy and safety of denosumab compared with zoledronic acid for the prevention of skeletal-related events in patients with newly diagnosed multiple myeloma. Methods: In this international, double-blind, double-dummy, randomised, active-controlled, phase 3 study, patients in 259 centres and 29 countries aged 18 years or older with symptomatic newly diagnosed multiple myeloma who had at least one documented lytic bone lesion were randomly assigned (1:1; centrally, by interactive voice response system using a fixed stratified permuted block randomisation list with a block size of four) to subcutaneous denosumab 120 mg plus intravenous placebo every 4 weeks or intravenous zoledronic acid 4 mg plus subcutaneous placebo every 4 weeks (both groups also received investigators' choice of first-line antimyeloma therapy). Stratification was by intent to undergo autologous transplantation, antimyeloma therapy, International Staging System stage, previous skeletal-related events, and region. The clinical study team and patients were masked to treatment assignments. The primary endpoint was non-inferiority of denosumab to zoledronic acid with respect to time to first skeletal-related event in the full analysis set (all randomly assigned patients). All safety endpoints were analysed in the safety analysis set, which includes all randomly assigned patients who received at least one dose of active study drug. This study is registered with ClinicalTrials.gov, number NCT01345019. Findings: From May 17, 2012, to March 29, 2016, we enrolled 1718 patients and randomly assigned 859 to each treatment group. The study met the primary endpoint; denosumab was non-inferior to zoledronic acid for time to first skeletal-related event (hazard ratio 0·98, 95% CI 0·85–1·14; pnon-inferiority=0·010). 1702 patients received at least one dose of the investigational drug and were included in the safety analysis (850 patients receiving denosumab and 852 receiving zoledronic acid). The most common grade 3 or worse treatment-emergent adverse events for den…","author":[{"dropping-particle":"","family":"Raje","given":"Noopur","non-dropping-particle":"","parse-names":false,"suffix":""},{"dropping-particle":"","family":"Terpos","given":"Evangelos","non-dropping-particle":"","parse-names":false,"suffix":""},{"dropping-particle":"","family":"Willenbacher","given":"Wolfgang","non-dropping-particle":"","parse-names":false,"suffix":""},{"dropping-particle":"","family":"Shimizu","given":"Kazuyuki","non-dropping-particle":"","parse-names":false,"suffix":""},{"dropping-particle":"","family":"García-Sanz","given":"Ramón","non-dropping-particle":"","parse-names":false,"suffix":""},{"dropping-particle":"","family":"Durie","given":"Brian","non-dropping-particle":"","parse-names":false,"suffix":""},{"dropping-particle":"","family":"Legieć","given":"Wojciech","non-dropping-particle":"","parse-names":false,"suffix":""},{"dropping-particle":"","family":"Krejčí","given":"Marta","non-dropping-particle":"","parse-names":false,"suffix":""},{"dropping-particle":"","family":"Laribi","given":"Kamel","non-dropping-particle":"","parse-names":false,"suffix":""},{"dropping-particle":"","family":"Zhu","given":"Li","non-dropping-particle":"","parse-names":false,"suffix":""},{"dropping-particle":"","family":"Cheng","given":"Paul","non-dropping-particle":"","parse-names":false,"suffix":""},{"dropping-particle":"","family":"Warner","given":"Douglas","non-dropping-particle":"","parse-names":false,"suffix":""},{"dropping-particle":"","family":"Roodman","given":"G. David","non-dropping-particle":"","parse-names":false,"suffix":""}],"container-title":"The Lancet Oncology","id":"ITEM-2","issue":"3","issued":{"date-parts":[["2018","3"]]},"page":"370-381","publisher":"Lancet Publishing Group","title":"Denosumab versus zoledronic acid in bone disease treatment of newly diagnosed multiple myeloma: an international, double-blind, double-dummy, randomised, controlled, phase 3 study","type":"article-journal","volume":"19"},"uris":["http://www.mendeley.com/documents/?uuid=99ee65cd-c51b-4976-9fb8-f20450eb11cf"]},{"id":"ITEM-3","itemData":{"DOI":"10.1345/aph.1M102","abstract":"B one remodeling throughout life is a delicate balance between bone formation and resorption. Multiple factors, including the presence of hormones, growth factors, and cytokines, influence the rate of bone loss. Degradation of bone requires careful attention and appropriate treatment. Bisphosphonates are the primary treatment modalities for os-teoporosis and metastatic bone disease; however, this drug class is not without limitations and the long-term effects on bone quality are not yet known. Bisphosphonates effectively reduce fracture rate in patients with osteoporosis, but the strict administration instructions and gastrointestinal adverse effects may discourage adherence and negatively influence the achievable benefit. 1 Evaluation of 2 databases containing data for more than 35,000 women demonstrated an inverse relationship between adherence to bisphosphonate therapy and fracture risk after 2 years of therapy. 2 More recently, a study of nearly 9000 patients with osteoporosis demonstrated that less than 80% adherence to the medication regimen resulted in an increase of nearly 50% in fracture risk compared with patients with greater than 80% adherence. 1 Patients with low adherence rates (&lt;50%) received no benefit. Additional options to treat osteoporosis with fewer adherence barriers would be welcomed. OBJECTIVE: To review the pharmacology, pharmacokinetics, pharmacodynamics, safety, efficacy, and use of denosumab in osteoporosis, breast cancer, prostate cancer, and multiple myeloma. DATA SOURCES: Studies and abstracts were identified through MEDLINE and International Pharmaceutical Abstracts (1966-July 2009). Key search terms include denosumab, AMG-162, and receptor activator of nuclear factor-κB ligand system. Information available in abstract form was retrieved from major oncology and bone metabolism meetings. Additional data were obtained from the manufacturer .","author":[{"dropping-particle":"","family":"Burkiewicz","given":"Jill S","non-dropping-particle":"","parse-names":false,"suffix":""},{"dropping-particle":"","family":"Scarpace","given":"Sarah L","non-dropping-particle":"","parse-names":false,"suffix":""},{"dropping-particle":"","family":"Bruce","given":"Susan P","non-dropping-particle":"","parse-names":false,"suffix":""}],"container-title":"The Annals of Pharmacotherapy I","id":"ITEM-3","issued":{"date-parts":[["2009"]]},"page":"1445","title":"Denosumab in Osteoporosis and Oncology New Drug Developments","type":"article-journal","volume":"43"},"uris":["http://www.mendeley.com/documents/?uuid=dbb5c497-a69e-4e1e-b1eb-83699917e282"]}],"mendeley":{"formattedCitation":"[132–134]","plainTextFormattedCitation":"[132–134]","previouslyFormattedCitation":"[132–134]"},"properties":{"noteIndex":0},"schema":"https://github.com/citation-style-language/schema/raw/master/csl-citation.json"}</w:instrText>
      </w:r>
      <w:r>
        <w:rPr>
          <w:bCs/>
          <w:szCs w:val="24"/>
          <w:lang w:eastAsia="ru-RU"/>
        </w:rPr>
        <w:fldChar w:fldCharType="separate"/>
      </w:r>
      <w:r w:rsidR="00E430FD" w:rsidRPr="00E430FD">
        <w:rPr>
          <w:bCs/>
          <w:noProof/>
          <w:szCs w:val="24"/>
          <w:lang w:eastAsia="ru-RU"/>
        </w:rPr>
        <w:t>[132–134]</w:t>
      </w:r>
      <w:r>
        <w:rPr>
          <w:bCs/>
          <w:szCs w:val="24"/>
          <w:lang w:eastAsia="ru-RU"/>
        </w:rPr>
        <w:fldChar w:fldCharType="end"/>
      </w:r>
      <w:r w:rsidRPr="00EA288F">
        <w:rPr>
          <w:rFonts w:eastAsia="Times New Roman"/>
          <w:b/>
          <w:szCs w:val="24"/>
          <w:lang w:eastAsia="ru-RU"/>
        </w:rPr>
        <w:t>.</w:t>
      </w:r>
    </w:p>
    <w:p w14:paraId="56F0DFF9" w14:textId="65AC71B7" w:rsidR="00EA288F" w:rsidRPr="00EA288F" w:rsidRDefault="00EA288F" w:rsidP="00EA288F">
      <w:pPr>
        <w:tabs>
          <w:tab w:val="left" w:pos="0"/>
        </w:tabs>
        <w:contextualSpacing/>
        <w:rPr>
          <w:rFonts w:eastAsia="Times New Roman"/>
          <w:szCs w:val="24"/>
          <w:lang w:eastAsia="ru-RU"/>
        </w:rPr>
      </w:pPr>
      <w:r w:rsidRPr="00EA288F">
        <w:rPr>
          <w:rFonts w:eastAsia="Times New Roman"/>
          <w:szCs w:val="24"/>
          <w:lang w:eastAsia="ru-RU"/>
        </w:rPr>
        <w:tab/>
        <w:t>В связи с тем, что абсолютное большинство протоколов противоопухолевого и иммуносупрессивного лечения множественной миеломы включает высокие дозы глюкокортикостероидов, оправдано применение препаратов, улучшающих метаболизм костной ткани, с целью профилактики костных осложнений</w:t>
      </w:r>
      <w:r w:rsidRPr="00EA288F">
        <w:rPr>
          <w:b/>
          <w:bCs/>
          <w:szCs w:val="24"/>
          <w:lang w:eastAsia="ru-RU"/>
        </w:rPr>
        <w:t xml:space="preserve"> </w:t>
      </w:r>
      <w:r>
        <w:rPr>
          <w:bCs/>
          <w:szCs w:val="24"/>
          <w:lang w:eastAsia="ru-RU"/>
        </w:rPr>
        <w:fldChar w:fldCharType="begin" w:fldLock="1"/>
      </w:r>
      <w:r w:rsidR="00E430FD">
        <w:rPr>
          <w:bCs/>
          <w:szCs w:val="24"/>
          <w:lang w:eastAsia="ru-RU"/>
        </w:rPr>
        <w:instrText>ADDIN CSL_CITATION {"citationItems":[{"id":"ITEM-1","itemData":{"DOI":"10.4065/81.8.1047","ISSN":"00256196","abstract":"Bisphosphonates are effective in the prevention and treatment of bone disease in multiple myeloma (MM). Osteonecrosis of the jaw is Increasingly recognized as a serious complication of long-term bisphosphonate therapy. Issues such as the choice of blsphosphonate and duration of therapy have become the subject of intense debate given patient safety concerns. We reviewed available data concerning the use of bisphosphonates in MM. Guidelines for the use of bisphosphonates in MM were developed by a multidisciplinary panel consisting of hematologists, dental specialists, and nurses specializing in the treatment of MM. We conclude that intravenous pamidronate and intravenous zoledronic acid are equally effective and superior to placebo in reducing skeletal complications. Pamidronate is favored over zoledronic acid until more data are available on the risk of complications (osteonecrosis of the jaw). We recommend discontinuing bisphosphonates after 2 years of therapy for patients who achieve complete response and/or plateau phase. For patients whose disease is active, who have not achieved a response, or who have threatening bone disease beyond 2 years, therapy can be decreased to every 3 months. These guidelines were developed in the interest of patient safety and will be reexamined as new data emerge regarding risks and benefits. © 2006 Mayo Foundation for Medical Education and Research.","author":[{"dropping-particle":"","family":"Lacy","given":"Martha Q.","non-dropping-particle":"","parse-names":false,"suffix":""},{"dropping-particle":"","family":"Dispenzieri","given":"Angela","non-dropping-particle":"","parse-names":false,"suffix":""},{"dropping-particle":"","family":"Gertz","given":"Morie A.","non-dropping-particle":"","parse-names":false,"suffix":""},{"dropping-particle":"","family":"Greipp","given":"Philip R.","non-dropping-particle":"","parse-names":false,"suffix":""},{"dropping-particle":"","family":"Gollbach","given":"Kimberly L.","non-dropping-particle":"","parse-names":false,"suffix":""},{"dropping-particle":"","family":"Hayman","given":"Suzanne R.","non-dropping-particle":"","parse-names":false,"suffix":""},{"dropping-particle":"","family":"Kumar","given":"Shaji","non-dropping-particle":"","parse-names":false,"suffix":""},{"dropping-particle":"","family":"Lust","given":"John A.","non-dropping-particle":"","parse-names":false,"suffix":""},{"dropping-particle":"","family":"Rajkumar","given":"S. Vincent","non-dropping-particle":"","parse-names":false,"suffix":""},{"dropping-particle":"","family":"Russell","given":"Stephen J.","non-dropping-particle":"","parse-names":false,"suffix":""},{"dropping-particle":"","family":"Witzig","given":"Thomas E.","non-dropping-particle":"","parse-names":false,"suffix":""},{"dropping-particle":"","family":"Zeldenrust","given":"Steven R.","non-dropping-particle":"","parse-names":false,"suffix":""},{"dropping-particle":"","family":"Dingli","given":"David","non-dropping-particle":"","parse-names":false,"suffix":""},{"dropping-particle":"","family":"Bergsagel","given":"P. Lief","non-dropping-particle":"","parse-names":false,"suffix":""},{"dropping-particle":"","family":"Fonseca","given":"Rafael","non-dropping-particle":"","parse-names":false,"suffix":""},{"dropping-particle":"","family":"Reeder","given":"Craig B.","non-dropping-particle":"","parse-names":false,"suffix":""},{"dropping-particle":"","family":"Stewart","given":"A. Keith","non-dropping-particle":"","parse-names":false,"suffix":""},{"dropping-particle":"","family":"Roy","given":"Vivek","non-dropping-particle":"","parse-names":false,"suffix":""},{"dropping-particle":"","family":"Dalton","given":"Robert J.","non-dropping-particle":"","parse-names":false,"suffix":""},{"dropping-particle":"","family":"Carr","given":"Alan B.","non-dropping-particle":"","parse-names":false,"suffix":""},{"dropping-particle":"","family":"Kademani","given":"Deepak","non-dropping-particle":"","parse-names":false,"suffix":""},{"dropping-particle":"","family":"Keller","given":"Eugene E.","non-dropping-particle":"","parse-names":false,"suffix":""},{"dropping-particle":"","family":"Viozzi","given":"Christopher F.","non-dropping-particle":"","parse-names":false,"suffix":""},{"dropping-particle":"","family":"Kyle","given":"Robert A.","non-dropping-particle":"","parse-names":false,"suffix":""}],"container-title":"Mayo Clinic Proceedings","id":"ITEM-1","issue":"8","issued":{"date-parts":[["2006"]]},"page":"1047-1053","publisher":"Elsevier Ltd","title":"Mayo Clinic consensus statement for the use of bisphosphonates in multiple myeloma","type":"article-journal","volume":"81"},"uris":["http://www.mendeley.com/documents/?uuid=066cae39-7b0c-408c-aa80-40f53374884b"]},{"id":"ITEM-2","itemData":{"DOI":"10.1093/annonc/mdn796","ISSN":"09237534","PMID":"19465418","abstract":"Background: Bisphosphonates (BPs) prevent, reduce, and delay multiple myeloma (MM)-related skeletal complications. Intravenous pamidronate and zoledronic acid, and oral clodronate are used for the management of MM bone disease. The purpose of this paper is to review the current evidence for the use of BPs in MM and provide European Union-specific recommendations to support the clinical practice of treating myeloma bone disease. Design and methods: An interdisciplinary, expert panel of specialists on MM and myeloma-related bone disease convened for a face-to-face meeting to review and assess the evidence and develop the recommendations. The panel reviewed and graded the evidence available from randomized clinical trials, clinical practice guidelines, and the body of published literature. Where published data were weak or unavailable, the panel used their own clinical experience to put forward recommendations based solely on their expert opinions. Results: The panel recommends the use of BPs in MM patients suffering from lytic bone disease or severe osteoporosis. Intravenous administration may be preferable; however, oral administration can be considered for patients unable to make hospital visits. Dosing should follow approved indications with adjustments if necessary. In general, BPs are well tolerated, but preventive steps should be taken to avoid renal impairment and osteonecrosis of the jaw (ONJ). The panel agrees that BPs should be given for 2 years, but this may be extended if there is evidence of active myeloma bone disease. Initial therapy of ONJ should include discontinuation of BPs until healing occurs. BPs should be restarted if there is disease progression. Conclusions: BPs are an essential component of MM therapy for minimizing skeletal morbidity. Recent retrospective data indicate that a modified dosing regimen and preventive measures can greatly reduce the incidence of ONJ. © The Author 2009. Published by Oxford University Press on behalf of the European Society for Medical Oncology. All rights reserved.","author":[{"dropping-particle":"","family":"Terpos","given":"E.","non-dropping-particle":"","parse-names":false,"suffix":""},{"dropping-particle":"","family":"Sezer","given":"O.","non-dropping-particle":"","parse-names":false,"suffix":""},{"dropping-particle":"","family":"Croucher","given":"P. I.","non-dropping-particle":"","parse-names":false,"suffix":""},{"dropping-particle":"","family":"García-Sanz","given":"R.","non-dropping-particle":"","parse-names":false,"suffix":""},{"dropping-particle":"","family":"Boccadoro","given":"M.","non-dropping-particle":"","parse-names":false,"suffix":""},{"dropping-particle":"","family":"San Miguel","given":"J.","non-dropping-particle":"","parse-names":false,"suffix":""},{"dropping-particle":"","family":"Ashcroft","given":"J.","non-dropping-particle":"","parse-names":false,"suffix":""},{"dropping-particle":"","family":"Bladé","given":"J.","non-dropping-particle":"","parse-names":false,"suffix":""},{"dropping-particle":"","family":"Cavo","given":"M.","non-dropping-particle":"","parse-names":false,"suffix":""},{"dropping-particle":"","family":"Delforge","given":"M.","non-dropping-particle":"","parse-names":false,"suffix":""},{"dropping-particle":"","family":"Dimopoulos","given":"M. A.","non-dropping-particle":"","parse-names":false,"suffix":""},{"dropping-particle":"","family":"Facon","given":"T.","non-dropping-particle":"","parse-names":false,"suffix":""},{"dropping-particle":"","family":"Macro","given":"M.","non-dropping-particle":"","parse-names":false,"suffix":""},{"dropping-particle":"","family":"Waage","given":"A.","non-dropping-particle":"","parse-names":false,"suffix":""},{"dropping-particle":"","family":"Sonneveld","given":"P.","non-dropping-particle":"","parse-names":false,"suffix":""}],"container-title":"Annals of Oncology","id":"ITEM-2","issue":"8","issued":{"date-parts":[["2009"]]},"page":"1303-1317","publisher":"Ann Oncol","title":"The use of bisphosphonates in multiple myeloma: Recommendations of an expert panel on behalf of the European Myeloma Network","type":"article","volume":"20"},"uris":["http://www.mendeley.com/documents/?uuid=7b7de041-597f-4784-ad52-e5c394516c90"]},{"id":"ITEM-3","itemData":{"DOI":"10.1200/JCO.2017.76.6402","ISSN":"15277755","PMID":"29341831","abstract":"Purpose: To update guideline recommendations on the role of bone-modifying agents in multiple myeloma. Methods: An update panel conducted a targeted systematic literature review by searching PubMed and the Cochrane Library for randomized controlled trials, systematic reviews, meta-analyses, clinical practice guidelines, and observational studies. Results: Thirty-five relevant studies were identified, and updated evidence supports the current recommendations. Recommendations: For patients with active symptomatic multiple myeloma that requires systemic therapy with or without evidence of lytic destruction of bone or compression fracture of the spine from osteopenia on plain radiograph(s) or other imaging studies, intravenous administration of pamidronate 90 mg over at least 2 hours or zoledronic acid 4 mg over at least 15 minutes every 3 to 4 weeks is recommended. Denosumab has shown to be noninferior to zoledronic acid for the prevention of skeletal-related events and provides an alternative. Fewer adverse events related to renal toxicity have been noted with denosumab compared with zoledronic acid and may be preferred in this setting. The update panel recommends that clinicians consider reducing the initial pamidronate dose in patients with preexisting renal impairment. Zoledronic acid has not been studied in patients with severe renal impairment and is not recommended in this setting. The update panel suggests that bone-modifying treatment continue for up to 2 years. Less frequent dosing has been evaluated and should be considered in patients with responsive or stable disease. Continuous use is at the discretion of the treating physician and the risk of ongoing skeletal morbidity. Retreatment should be initiated at the time of disease relapse. The update panel discusses measures regarding osteonecrosis of the jaw.","author":[{"dropping-particle":"","family":"Anderson","given":"Kenneth","non-dropping-particle":"","parse-names":false,"suffix":""},{"dropping-particle":"","family":"Ismaila","given":"Nofisat","non-dropping-particle":"","parse-names":false,"suffix":""},{"dropping-particle":"","family":"Flynn","given":"Patrick J.","non-dropping-particle":"","parse-names":false,"suffix":""},{"dropping-particle":"","family":"Halabi","given":"Susan","non-dropping-particle":"","parse-names":false,"suffix":""},{"dropping-particle":"","family":"Jagannath","given":"Sundar","non-dropping-particle":"","parse-names":false,"suffix":""},{"dropping-particle":"","family":"Ogaily","given":"Mohammed S.","non-dropping-particle":"","parse-names":false,"suffix":""},{"dropping-particle":"","family":"Omel","given":"Jim","non-dropping-particle":"","parse-names":false,"suffix":""},{"dropping-particle":"","family":"Raje","given":"Noopur","non-dropping-particle":"","parse-names":false,"suffix":""},{"dropping-particle":"","family":"Roodman","given":"G. David","non-dropping-particle":"","parse-names":false,"suffix":""},{"dropping-particle":"","family":"Yee","given":"Gary C.","non-dropping-particle":"","parse-names":false,"suffix":""},{"dropping-particle":"","family":"Kyle","given":"Robert A.","non-dropping-particle":"","parse-names":false,"suffix":""}],"container-title":"Journal of Clinical Oncology","id":"ITEM-3","issue":"8","issued":{"date-parts":[["2018","3"]]},"page":"812-818","publisher":"American Society of Clinical Oncology","title":"Role of bone-modifying agents in multiple myeloma: American society of clinical oncology clinical practice guideline update","type":"article-journal","volume":"36"},"uris":["http://www.mendeley.com/documents/?uuid=808c8bc4-cd81-413e-ab56-d76bb8009ba7"]}],"mendeley":{"formattedCitation":"[135–137]","plainTextFormattedCitation":"[135–137]","previouslyFormattedCitation":"[135–137]"},"properties":{"noteIndex":0},"schema":"https://github.com/citation-style-language/schema/raw/master/csl-citation.json"}</w:instrText>
      </w:r>
      <w:r>
        <w:rPr>
          <w:bCs/>
          <w:szCs w:val="24"/>
          <w:lang w:eastAsia="ru-RU"/>
        </w:rPr>
        <w:fldChar w:fldCharType="separate"/>
      </w:r>
      <w:r w:rsidR="00E430FD" w:rsidRPr="00E430FD">
        <w:rPr>
          <w:bCs/>
          <w:noProof/>
          <w:szCs w:val="24"/>
          <w:lang w:eastAsia="ru-RU"/>
        </w:rPr>
        <w:t>[135–137]</w:t>
      </w:r>
      <w:r>
        <w:rPr>
          <w:bCs/>
          <w:szCs w:val="24"/>
          <w:lang w:eastAsia="ru-RU"/>
        </w:rPr>
        <w:fldChar w:fldCharType="end"/>
      </w:r>
      <w:r w:rsidRPr="00EA288F">
        <w:rPr>
          <w:rFonts w:eastAsia="Times New Roman"/>
          <w:b/>
          <w:szCs w:val="24"/>
          <w:lang w:eastAsia="ru-RU"/>
        </w:rPr>
        <w:t>.</w:t>
      </w:r>
    </w:p>
    <w:p w14:paraId="71CD2D4B" w14:textId="77777777" w:rsidR="00EA288F" w:rsidRPr="00EA288F" w:rsidRDefault="00EA288F" w:rsidP="008F161A">
      <w:pPr>
        <w:numPr>
          <w:ilvl w:val="0"/>
          <w:numId w:val="142"/>
        </w:numPr>
        <w:shd w:val="clear" w:color="auto" w:fill="FFFFFF"/>
        <w:tabs>
          <w:tab w:val="left" w:pos="394"/>
        </w:tabs>
        <w:spacing w:before="5" w:after="0"/>
        <w:ind w:left="0" w:firstLine="0"/>
        <w:rPr>
          <w:rFonts w:eastAsia="Arial Unicode MS"/>
          <w:b/>
          <w:color w:val="000000"/>
          <w:spacing w:val="4"/>
          <w:szCs w:val="24"/>
          <w:u w:color="000000"/>
          <w:lang w:eastAsia="ru-RU"/>
        </w:rPr>
      </w:pPr>
      <w:r w:rsidRPr="00EA288F">
        <w:rPr>
          <w:rFonts w:eastAsia="Arial Unicode MS"/>
          <w:b/>
          <w:color w:val="000000"/>
          <w:spacing w:val="4"/>
          <w:szCs w:val="24"/>
          <w:u w:color="000000"/>
          <w:lang w:eastAsia="ru-RU"/>
        </w:rPr>
        <w:t>Диагностика остеодеструктивного процесса</w:t>
      </w:r>
    </w:p>
    <w:p w14:paraId="674F8E47" w14:textId="77777777" w:rsidR="00EA288F" w:rsidRPr="00EA288F" w:rsidRDefault="00EA288F" w:rsidP="00EA288F">
      <w:pPr>
        <w:shd w:val="clear" w:color="auto" w:fill="FFFFFF"/>
        <w:tabs>
          <w:tab w:val="left" w:pos="394"/>
        </w:tabs>
        <w:spacing w:before="5" w:after="0"/>
        <w:rPr>
          <w:rFonts w:eastAsia="Arial Unicode MS"/>
          <w:color w:val="000000"/>
          <w:spacing w:val="4"/>
          <w:szCs w:val="24"/>
          <w:u w:color="000000"/>
          <w:lang w:eastAsia="ru-RU"/>
        </w:rPr>
      </w:pPr>
      <w:r w:rsidRPr="00EA288F">
        <w:rPr>
          <w:rFonts w:eastAsia="Arial Unicode MS"/>
          <w:b/>
          <w:color w:val="000000"/>
          <w:spacing w:val="4"/>
          <w:szCs w:val="24"/>
          <w:u w:color="000000"/>
          <w:lang w:eastAsia="ru-RU"/>
        </w:rPr>
        <w:tab/>
      </w:r>
      <w:r w:rsidRPr="00EA288F">
        <w:rPr>
          <w:rFonts w:eastAsia="Arial Unicode MS"/>
          <w:b/>
          <w:color w:val="000000"/>
          <w:spacing w:val="4"/>
          <w:szCs w:val="24"/>
          <w:u w:color="000000"/>
          <w:lang w:eastAsia="ru-RU"/>
        </w:rPr>
        <w:tab/>
      </w:r>
      <w:r w:rsidRPr="00EA288F">
        <w:rPr>
          <w:rFonts w:eastAsia="Times New Roman"/>
          <w:szCs w:val="24"/>
          <w:u w:color="000000"/>
          <w:lang w:eastAsia="ru-RU"/>
        </w:rPr>
        <w:t>Для уточнения характера остеодеструктивного процесса рекомендуется проведение лабораторных и инструментальных исследований, при необходимости – консультации специалистов.</w:t>
      </w:r>
    </w:p>
    <w:p w14:paraId="7212398B" w14:textId="77777777" w:rsidR="00EA288F" w:rsidRPr="00EA288F" w:rsidRDefault="00EA288F" w:rsidP="008F161A">
      <w:pPr>
        <w:numPr>
          <w:ilvl w:val="0"/>
          <w:numId w:val="143"/>
        </w:numPr>
        <w:shd w:val="clear" w:color="auto" w:fill="FFFFFF"/>
        <w:tabs>
          <w:tab w:val="left" w:pos="394"/>
        </w:tabs>
        <w:spacing w:before="5" w:after="0"/>
        <w:ind w:left="0" w:firstLine="0"/>
        <w:rPr>
          <w:rFonts w:eastAsia="Times New Roman"/>
          <w:szCs w:val="24"/>
          <w:u w:color="000000"/>
          <w:lang w:eastAsia="ru-RU"/>
        </w:rPr>
      </w:pPr>
      <w:r w:rsidRPr="00EA288F">
        <w:rPr>
          <w:rFonts w:eastAsia="Times New Roman"/>
          <w:szCs w:val="24"/>
          <w:u w:color="000000"/>
          <w:lang w:eastAsia="ru-RU"/>
        </w:rPr>
        <w:t xml:space="preserve">Лабораторные исследования: </w:t>
      </w:r>
    </w:p>
    <w:p w14:paraId="40367E16" w14:textId="24E8E68E" w:rsidR="00EA288F" w:rsidRPr="00EA288F" w:rsidRDefault="00EA288F" w:rsidP="00EA288F">
      <w:pPr>
        <w:shd w:val="clear" w:color="auto" w:fill="FFFFFF"/>
        <w:tabs>
          <w:tab w:val="left" w:pos="394"/>
        </w:tabs>
        <w:spacing w:before="5" w:after="0"/>
        <w:rPr>
          <w:rFonts w:eastAsia="Times New Roman"/>
          <w:szCs w:val="24"/>
          <w:u w:color="000000"/>
          <w:lang w:eastAsia="ru-RU"/>
        </w:rPr>
      </w:pPr>
      <w:r w:rsidRPr="00EA288F">
        <w:rPr>
          <w:rFonts w:eastAsia="Times New Roman"/>
          <w:szCs w:val="24"/>
          <w:u w:color="000000"/>
          <w:lang w:eastAsia="ru-RU"/>
        </w:rPr>
        <w:t xml:space="preserve">- исследования маркеров костного метаболизма: уровень кальция крови, уровень кальция суточной мочи, паратгормон, активность щелочной фосфатазы, 25-(ОН) вит D, </w:t>
      </w:r>
      <w:r w:rsidR="00903B1C" w:rsidRPr="0053428B">
        <w:t>исследование уровня дезоксипиридинолина в моче</w:t>
      </w:r>
      <w:r w:rsidR="00903B1C" w:rsidRPr="0053428B">
        <w:rPr>
          <w:rFonts w:eastAsia="Times New Roman"/>
          <w:szCs w:val="24"/>
          <w:u w:color="000000"/>
          <w:lang w:eastAsia="ru-RU"/>
        </w:rPr>
        <w:t xml:space="preserve"> </w:t>
      </w:r>
      <w:r w:rsidRPr="0053428B">
        <w:rPr>
          <w:rFonts w:eastAsia="Times New Roman"/>
          <w:szCs w:val="24"/>
          <w:u w:color="000000"/>
          <w:lang w:eastAsia="ru-RU"/>
        </w:rPr>
        <w:t xml:space="preserve">или </w:t>
      </w:r>
      <w:r w:rsidR="00042E9E" w:rsidRPr="0053428B">
        <w:t>исследования уровня бетта-изомеризованного С-концевого телопептида коллагена 1 типа (β-</w:t>
      </w:r>
      <w:r w:rsidR="00042E9E" w:rsidRPr="0053428B">
        <w:rPr>
          <w:lang w:val="en-US"/>
        </w:rPr>
        <w:t>cross</w:t>
      </w:r>
      <w:r w:rsidR="00042E9E" w:rsidRPr="0053428B">
        <w:t xml:space="preserve"> </w:t>
      </w:r>
      <w:r w:rsidR="00042E9E" w:rsidRPr="0053428B">
        <w:rPr>
          <w:lang w:val="en-US"/>
        </w:rPr>
        <w:t>laps</w:t>
      </w:r>
      <w:r w:rsidR="00042E9E" w:rsidRPr="0053428B">
        <w:t xml:space="preserve">) в крови, исследование уровня С-концевых телопептидов в моче, определение </w:t>
      </w:r>
      <w:r w:rsidR="00042E9E" w:rsidRPr="0053428B">
        <w:rPr>
          <w:lang w:val="en-US"/>
        </w:rPr>
        <w:t>N</w:t>
      </w:r>
      <w:r w:rsidR="00042E9E" w:rsidRPr="0053428B">
        <w:t>-концевого телопептида в моче</w:t>
      </w:r>
      <w:r w:rsidRPr="0053428B">
        <w:rPr>
          <w:rFonts w:eastAsia="Times New Roman"/>
          <w:szCs w:val="24"/>
          <w:u w:color="000000"/>
          <w:lang w:eastAsia="ru-RU"/>
        </w:rPr>
        <w:t>, остеокальцин;</w:t>
      </w:r>
    </w:p>
    <w:p w14:paraId="058FDDC0" w14:textId="77777777" w:rsidR="00EA288F" w:rsidRPr="00EA288F" w:rsidRDefault="00EA288F" w:rsidP="008F161A">
      <w:pPr>
        <w:numPr>
          <w:ilvl w:val="0"/>
          <w:numId w:val="143"/>
        </w:numPr>
        <w:shd w:val="clear" w:color="auto" w:fill="FFFFFF"/>
        <w:tabs>
          <w:tab w:val="left" w:pos="394"/>
        </w:tabs>
        <w:spacing w:before="5" w:after="0"/>
        <w:ind w:left="0" w:firstLine="0"/>
        <w:rPr>
          <w:rFonts w:eastAsia="Times New Roman"/>
          <w:szCs w:val="24"/>
          <w:u w:color="000000"/>
          <w:lang w:eastAsia="ru-RU"/>
        </w:rPr>
      </w:pPr>
      <w:r w:rsidRPr="00EA288F">
        <w:rPr>
          <w:rFonts w:eastAsia="Times New Roman"/>
          <w:szCs w:val="24"/>
          <w:u w:color="000000"/>
          <w:lang w:eastAsia="ru-RU"/>
        </w:rPr>
        <w:t xml:space="preserve">исследование функции почек: </w:t>
      </w:r>
    </w:p>
    <w:p w14:paraId="7B3AB45C" w14:textId="77777777" w:rsidR="00EA288F" w:rsidRPr="00EA288F" w:rsidRDefault="00EA288F" w:rsidP="00EA288F">
      <w:pPr>
        <w:shd w:val="clear" w:color="auto" w:fill="FFFFFF"/>
        <w:tabs>
          <w:tab w:val="left" w:pos="394"/>
        </w:tabs>
        <w:spacing w:before="5" w:after="0"/>
        <w:rPr>
          <w:rFonts w:eastAsia="Times New Roman"/>
          <w:szCs w:val="24"/>
          <w:u w:color="000000"/>
          <w:lang w:eastAsia="ru-RU"/>
        </w:rPr>
      </w:pPr>
      <w:r w:rsidRPr="00EA288F">
        <w:rPr>
          <w:rFonts w:eastAsia="Times New Roman"/>
          <w:szCs w:val="24"/>
          <w:u w:color="000000"/>
          <w:lang w:eastAsia="ru-RU"/>
        </w:rPr>
        <w:lastRenderedPageBreak/>
        <w:t>мочевина, креатинин, скорость клубочковой фильтрации (СКФ), электролиты К, Na, Са общий и свободный.</w:t>
      </w:r>
    </w:p>
    <w:p w14:paraId="162634AC" w14:textId="77777777" w:rsidR="00EA288F" w:rsidRPr="00EA288F" w:rsidRDefault="00EA288F" w:rsidP="008F161A">
      <w:pPr>
        <w:numPr>
          <w:ilvl w:val="0"/>
          <w:numId w:val="143"/>
        </w:numPr>
        <w:shd w:val="clear" w:color="auto" w:fill="FFFFFF"/>
        <w:tabs>
          <w:tab w:val="left" w:pos="394"/>
        </w:tabs>
        <w:spacing w:before="5" w:after="0"/>
        <w:ind w:left="0" w:firstLine="0"/>
        <w:rPr>
          <w:rFonts w:eastAsia="Times New Roman"/>
          <w:szCs w:val="24"/>
          <w:u w:color="000000"/>
          <w:lang w:eastAsia="ru-RU"/>
        </w:rPr>
      </w:pPr>
      <w:r w:rsidRPr="00EA288F">
        <w:rPr>
          <w:rFonts w:eastAsia="Times New Roman"/>
          <w:szCs w:val="24"/>
          <w:u w:color="000000"/>
          <w:lang w:eastAsia="ru-RU"/>
        </w:rPr>
        <w:t>Инструментальные исследования: рентгенография/компьютерная томография/магнитно-резонансная томография соответствующего отдела костного скелета</w:t>
      </w:r>
    </w:p>
    <w:p w14:paraId="52BF58B7" w14:textId="77777777" w:rsidR="00EA288F" w:rsidRPr="00EA288F" w:rsidRDefault="00EA288F" w:rsidP="008F161A">
      <w:pPr>
        <w:numPr>
          <w:ilvl w:val="0"/>
          <w:numId w:val="142"/>
        </w:numPr>
        <w:shd w:val="clear" w:color="auto" w:fill="FFFFFF"/>
        <w:tabs>
          <w:tab w:val="left" w:pos="0"/>
          <w:tab w:val="left" w:pos="394"/>
          <w:tab w:val="left" w:pos="993"/>
        </w:tabs>
        <w:spacing w:before="5" w:after="0"/>
        <w:ind w:left="0" w:firstLine="0"/>
        <w:rPr>
          <w:rFonts w:eastAsia="Arial Unicode MS"/>
          <w:b/>
          <w:color w:val="000000"/>
          <w:spacing w:val="4"/>
          <w:szCs w:val="24"/>
          <w:u w:color="000000"/>
          <w:lang w:eastAsia="ru-RU"/>
        </w:rPr>
      </w:pPr>
      <w:r w:rsidRPr="00EA288F">
        <w:rPr>
          <w:rFonts w:eastAsia="Arial Unicode MS"/>
          <w:b/>
          <w:color w:val="000000"/>
          <w:spacing w:val="4"/>
          <w:szCs w:val="24"/>
          <w:u w:color="000000"/>
          <w:lang w:eastAsia="ru-RU"/>
        </w:rPr>
        <w:t>Лечение остеодеструктивного процесса</w:t>
      </w:r>
    </w:p>
    <w:p w14:paraId="11BB4118" w14:textId="77777777" w:rsidR="00EA288F" w:rsidRPr="00EA288F" w:rsidRDefault="00EA288F" w:rsidP="00EA288F">
      <w:pPr>
        <w:shd w:val="clear" w:color="auto" w:fill="FFFFFF"/>
        <w:tabs>
          <w:tab w:val="left" w:pos="0"/>
          <w:tab w:val="left" w:pos="394"/>
        </w:tabs>
        <w:spacing w:before="5" w:after="0"/>
        <w:rPr>
          <w:rFonts w:eastAsia="Times New Roman"/>
          <w:szCs w:val="24"/>
          <w:u w:color="000000"/>
          <w:lang w:eastAsia="ru-RU"/>
        </w:rPr>
      </w:pPr>
      <w:r w:rsidRPr="00EA288F">
        <w:rPr>
          <w:rFonts w:eastAsia="Arial Unicode MS"/>
          <w:color w:val="000000"/>
          <w:spacing w:val="4"/>
          <w:szCs w:val="24"/>
          <w:u w:color="000000"/>
          <w:shd w:val="clear" w:color="auto" w:fill="FFFFFF"/>
          <w:lang w:eastAsia="ru-RU"/>
        </w:rPr>
        <w:tab/>
      </w:r>
      <w:r w:rsidRPr="00EA288F">
        <w:rPr>
          <w:rFonts w:eastAsia="Arial Unicode MS"/>
          <w:color w:val="000000"/>
          <w:spacing w:val="4"/>
          <w:szCs w:val="24"/>
          <w:u w:color="000000"/>
          <w:shd w:val="clear" w:color="auto" w:fill="FFFFFF"/>
          <w:lang w:eastAsia="ru-RU"/>
        </w:rPr>
        <w:tab/>
      </w:r>
      <w:r w:rsidRPr="00EA288F">
        <w:rPr>
          <w:rFonts w:eastAsia="Times New Roman"/>
          <w:szCs w:val="24"/>
          <w:u w:color="000000"/>
          <w:lang w:eastAsia="ru-RU"/>
        </w:rPr>
        <w:t>В настоящее время применяется два класса препаратов, улучшающих метаболизм костной ткани у больных множественной миеломой: бисфосфонаты и моноклональные антитела.</w:t>
      </w:r>
    </w:p>
    <w:p w14:paraId="57BCFCAD" w14:textId="77777777" w:rsidR="00EA288F" w:rsidRPr="00EA288F" w:rsidRDefault="00EA288F" w:rsidP="008F161A">
      <w:pPr>
        <w:numPr>
          <w:ilvl w:val="1"/>
          <w:numId w:val="142"/>
        </w:numPr>
        <w:shd w:val="clear" w:color="auto" w:fill="FFFFFF"/>
        <w:tabs>
          <w:tab w:val="left" w:pos="0"/>
          <w:tab w:val="left" w:pos="394"/>
          <w:tab w:val="left" w:pos="993"/>
        </w:tabs>
        <w:spacing w:before="5" w:after="0"/>
        <w:ind w:left="0" w:firstLine="0"/>
        <w:rPr>
          <w:rFonts w:eastAsia="Arial Unicode MS"/>
          <w:b/>
          <w:color w:val="000000"/>
          <w:spacing w:val="4"/>
          <w:szCs w:val="24"/>
          <w:u w:color="000000"/>
          <w:lang w:eastAsia="ru-RU"/>
        </w:rPr>
      </w:pPr>
      <w:r w:rsidRPr="00EA288F">
        <w:rPr>
          <w:rFonts w:eastAsia="Arial Unicode MS"/>
          <w:b/>
          <w:color w:val="000000"/>
          <w:spacing w:val="4"/>
          <w:szCs w:val="24"/>
          <w:u w:color="000000"/>
          <w:lang w:eastAsia="ru-RU"/>
        </w:rPr>
        <w:t>Бисфосфонаты</w:t>
      </w:r>
    </w:p>
    <w:p w14:paraId="08365337" w14:textId="3ED0E23B" w:rsidR="00EA288F" w:rsidRPr="00EA288F" w:rsidRDefault="00EA288F" w:rsidP="00EA288F">
      <w:pPr>
        <w:shd w:val="clear" w:color="auto" w:fill="FFFFFF"/>
        <w:tabs>
          <w:tab w:val="left" w:pos="0"/>
          <w:tab w:val="left" w:pos="394"/>
        </w:tabs>
        <w:spacing w:before="5" w:after="0"/>
        <w:rPr>
          <w:rFonts w:eastAsia="Arial Unicode MS"/>
          <w:color w:val="000000"/>
          <w:spacing w:val="4"/>
          <w:szCs w:val="24"/>
          <w:u w:color="000000"/>
          <w:lang w:eastAsia="ru-RU"/>
        </w:rPr>
      </w:pPr>
      <w:r w:rsidRPr="00EA288F">
        <w:rPr>
          <w:rFonts w:eastAsia="Arial Unicode MS"/>
          <w:color w:val="000000"/>
          <w:spacing w:val="4"/>
          <w:szCs w:val="24"/>
          <w:u w:color="000000"/>
          <w:lang w:eastAsia="ru-RU"/>
        </w:rPr>
        <w:t>Бисфосфонаты ингибируют костную резорбцию, подавляя активность остеокластов. Селективное действие бисфосфонатов на костную ткань основано на высоком сродстве к минералу основного аморфного вещества кости гидроксиапатиту, поэтому они могут длительное время сохраняться в местах активного костеобразования</w:t>
      </w:r>
      <w:r>
        <w:rPr>
          <w:rFonts w:eastAsia="Arial Unicode MS"/>
          <w:color w:val="000000"/>
          <w:spacing w:val="4"/>
          <w:szCs w:val="24"/>
          <w:u w:color="000000"/>
          <w:lang w:eastAsia="ru-RU"/>
        </w:rPr>
        <w:t xml:space="preserve"> </w:t>
      </w:r>
      <w:r>
        <w:rPr>
          <w:rFonts w:eastAsia="Arial Unicode MS"/>
          <w:bCs/>
          <w:color w:val="000000"/>
          <w:spacing w:val="4"/>
          <w:szCs w:val="24"/>
          <w:u w:color="000000"/>
          <w:lang w:eastAsia="ru-RU"/>
        </w:rPr>
        <w:fldChar w:fldCharType="begin" w:fldLock="1"/>
      </w:r>
      <w:r w:rsidR="00E430FD">
        <w:rPr>
          <w:rFonts w:eastAsia="Arial Unicode MS"/>
          <w:bCs/>
          <w:color w:val="000000"/>
          <w:spacing w:val="4"/>
          <w:szCs w:val="24"/>
          <w:u w:color="000000"/>
          <w:lang w:eastAsia="ru-RU"/>
        </w:rPr>
        <w:instrText>ADDIN CSL_CITATION {"citationItems":[{"id":"ITEM-1","itemData":{"DOI":"10.1007/s00198-010-1272-8","ISSN":"0937941X","PMID":"20458572","abstract":"Functional, biochemical and genetic studies have over the past decade identified many causative genes in the osteoclast diseases osteopetrosis and Paget's disease of bone. Here, we outline all osteoclast diseases and their genetic associations and then focus specifically on those diseases caused by mutations in the critical osteoclast molecule Receptor Activator of Nuclear factor Kappa B (RANK). Both loss and gain-of-function mutations have been found in humans leading to osteopetrosis and high bone turnover phenotypes, respectively. Osteopetrosis-associated RANK mutations are widely distributed over the RANK molecule. It is likely that some negatively affect ligand binding, whereas others preclude appropriate association of RANK with downstream signalling molecules. In the Paget-like disorders, familial expansile osteolysis, early onset Paget's disease and expansile skeletal hyperphosphatasia, heterozygous insertion mutations are found in the RANK signal peptide. These prevent signal peptide cleavage, trapping the protein translated from the mutated allele in the endoplasmic reticulum. Whole animal studies replicate the hyperactive osteoclast phenotype associated with these disorders and present only with heterozygous expression of the mutation, suggesting an as yet unexplained effect of the mutant allele on normal RANK function. We discuss the cell biological studies and animal models that help us to understand the nature of these different RANK defects and describe how careful dissection of these conditions can help understand critical pathways in osteoclast development and function. We highlight areas that require further study, particularly in light of the pharmacological interest in targeting the RANK signalling pathway to treat diseases caused by excessive bone resorption. © 2010 International Osteoporosis Foundation and National Osteoporosis Foundation.","author":[{"dropping-particle":"","family":"Crockett","given":"J. C.","non-dropping-particle":"","parse-names":false,"suffix":""},{"dropping-particle":"","family":"Mellis","given":"D. J.","non-dropping-particle":"","parse-names":false,"suffix":""},{"dropping-particle":"","family":"Scott","given":"D. I.","non-dropping-particle":"","parse-names":false,"suffix":""},{"dropping-particle":"","family":"Helfrich","given":"M. H.","non-dropping-particle":"","parse-names":false,"suffix":""}],"container-title":"Osteoporosis International","id":"ITEM-1","issue":"1","issued":{"date-parts":[["2011","1"]]},"page":"1-20","publisher":"Osteoporos Int","title":"New knowledge on critical osteoclast formation and activation pathways from study of rare genetic diseases of osteoclasts: Focus on the RANK/RANKL axis","type":"article","volume":"22"},"uris":["http://www.mendeley.com/documents/?uuid=c8648a4f-d309-409b-9a85-50bb16d3b279"]},{"id":"ITEM-2","itemData":{"DOI":"10.1007/s00795-013-0064-6","ISSN":"18601499","PMID":"24213520","abstract":"Renal cell carcinoma (RCC) represents over 80 % of kidney cancer, and about 30 % of the patients with RCC develop metastasis after the surgery. Invasion of basement membrane (BM) and extracellular matrix (ECM) is an essential event in tumor invasion and metastasis. Matrix metalloproteinases (MMPs), which digest the main components of BM and ECM, are expressed in RCC. Heparanase, which degrades heparan sulfate proteoglycans, is predominantly expressed in high-grade RCCs with a positive correlation with pathological tumor stage and poor prognosis. Bone metastasis is common among the patients with RCC, and increased osteoclastic activity was observed at metastatic sites. Receptor activator of nuclear factor κB ligand (RANKL), which plays an important role in osteoclastogenesis, is predominantly expressed in high-grade RCC and its expression level is associated with bone metastasis and prognosis. Epithelial-mesenchymal transition (EMT), a switch of epithelial cells to sarcomatoid phenotype, is considered to be critical step during metastasis, and Snail, a major regulator of EMT, is predominantly expressed in high-grade RCC, and high Snail expression is a worse prognostic factor. Accordingly, heparanase, RANKL and Snail may be targets for the development of anti-tumor therapies for RCCs. © 2013 The Japanese Society for Clinical Molecular Morphology.","author":[{"dropping-particle":"","family":"Mikami","given":"Shuji","non-dropping-particle":"","parse-names":false,"suffix":""},{"dropping-particle":"","family":"Oya","given":"Mototsugu","non-dropping-particle":"","parse-names":false,"suffix":""},{"dropping-particle":"","family":"Mizuno","given":"Ryuichi","non-dropping-particle":"","parse-names":false,"suffix":""},{"dropping-particle":"","family":"Kosaka","given":"Takeo","non-dropping-particle":"","parse-names":false,"suffix":""},{"dropping-particle":"","family":"Katsube","given":"Ken Ichi","non-dropping-particle":"","parse-names":false,"suffix":""},{"dropping-particle":"","family":"Okada","given":"Yasunori","non-dropping-particle":"","parse-names":false,"suffix":""}],"container-title":"Medical Molecular Morphology","id":"ITEM-2","issue":"2","issued":{"date-parts":[["2014"]]},"page":"63-67","publisher":"Springer-Verlag Tokyo","title":"Invasion and metastasis of renal cell carcinoma","type":"article","volume":"47"},"uris":["http://www.mendeley.com/documents/?uuid=8d57e280-4380-4bde-9db2-5cd37064e1ae"]}],"mendeley":{"formattedCitation":"[138,139]","plainTextFormattedCitation":"[138,139]","previouslyFormattedCitation":"[138,139]"},"properties":{"noteIndex":0},"schema":"https://github.com/citation-style-language/schema/raw/master/csl-citation.json"}</w:instrText>
      </w:r>
      <w:r>
        <w:rPr>
          <w:rFonts w:eastAsia="Arial Unicode MS"/>
          <w:bCs/>
          <w:color w:val="000000"/>
          <w:spacing w:val="4"/>
          <w:szCs w:val="24"/>
          <w:u w:color="000000"/>
          <w:lang w:eastAsia="ru-RU"/>
        </w:rPr>
        <w:fldChar w:fldCharType="separate"/>
      </w:r>
      <w:r w:rsidR="00E430FD" w:rsidRPr="00E430FD">
        <w:rPr>
          <w:rFonts w:eastAsia="Arial Unicode MS"/>
          <w:bCs/>
          <w:noProof/>
          <w:color w:val="000000"/>
          <w:spacing w:val="4"/>
          <w:szCs w:val="24"/>
          <w:u w:color="000000"/>
          <w:lang w:eastAsia="ru-RU"/>
        </w:rPr>
        <w:t>[138,139]</w:t>
      </w:r>
      <w:r>
        <w:rPr>
          <w:rFonts w:eastAsia="Arial Unicode MS"/>
          <w:bCs/>
          <w:color w:val="000000"/>
          <w:spacing w:val="4"/>
          <w:szCs w:val="24"/>
          <w:u w:color="000000"/>
          <w:lang w:eastAsia="ru-RU"/>
        </w:rPr>
        <w:fldChar w:fldCharType="end"/>
      </w:r>
      <w:r w:rsidRPr="00EA288F">
        <w:rPr>
          <w:rFonts w:eastAsia="Arial Unicode MS"/>
          <w:color w:val="000000"/>
          <w:spacing w:val="4"/>
          <w:szCs w:val="24"/>
          <w:u w:color="000000"/>
          <w:lang w:eastAsia="ru-RU"/>
        </w:rPr>
        <w:t>. При гиперкальциемии применение бисфосфонатов приводит к снижению концентрации кальция в сыворотке и уменьшению его выведения почками. Помимо ингибирующего действия на резорбцию костной ткани, бисфосфонаты обладают противоопухолевыми свойствами, обеспечивающими терапевтическую эффективность при костных метастазах</w:t>
      </w:r>
      <w:r>
        <w:rPr>
          <w:rFonts w:eastAsia="Arial Unicode MS"/>
          <w:color w:val="000000"/>
          <w:spacing w:val="4"/>
          <w:szCs w:val="24"/>
          <w:u w:color="000000"/>
          <w:lang w:eastAsia="ru-RU"/>
        </w:rPr>
        <w:t xml:space="preserve"> </w:t>
      </w:r>
      <w:r>
        <w:rPr>
          <w:rFonts w:eastAsia="Arial Unicode MS"/>
          <w:bCs/>
          <w:color w:val="000000"/>
          <w:spacing w:val="4"/>
          <w:szCs w:val="24"/>
          <w:u w:color="000000"/>
          <w:lang w:eastAsia="ru-RU"/>
        </w:rPr>
        <w:fldChar w:fldCharType="begin" w:fldLock="1"/>
      </w:r>
      <w:r w:rsidR="00E430FD">
        <w:rPr>
          <w:rFonts w:eastAsia="Arial Unicode MS"/>
          <w:bCs/>
          <w:color w:val="000000"/>
          <w:spacing w:val="4"/>
          <w:szCs w:val="24"/>
          <w:u w:color="000000"/>
          <w:lang w:eastAsia="ru-RU"/>
        </w:rPr>
        <w:instrText>ADDIN CSL_CITATION {"citationItems":[{"id":"ITEM-1","itemData":{"DOI":"10.1200/JCO.2012.47.7901","ISSN":"15277755","PMID":"23690408","abstract":"Purpose The aim of the International Myeloma Working Group was to develop practice recommendations for the management of multiple myeloma (MM) -related bone disease. Methodology An interdisciplinary panel of clinical experts on MM and myeloma bone disease developed recommendations based on published data through August 2012. Expert consensus was used to propose additional recommendations in situations where there were insufficient published data. Levels of evidence and grades of recommendations were assigned and approved by panel members. Recommendations Bisphosphonates (BPs) should be considered in all patients with MM receiving first-line antimyeloma therapy, regardless of presence of osteolytic bone lesions on conventional radiography. However, it is unknown if BPs offer any advantage in patients with no bone disease assessed by magnetic resonance imaging or positron emission tomography/computed tomography. Intravenous (IV) zoledronic acid (ZOL) or pamidronate (PAM) is recommended for preventing skeletal-related events in patients with MM. ZOL is preferred over oral clodronate in newly diagnosed patients with MM because of its potential antimyeloma effects and survival benefits. BPs should be administered every 3 to 4 weeks IV during initial therapy. ZOL or PAM should be continued in patients with active disease and should be resumed after disease relapse, if discontinued in patients achieving complete or very good partial response. BPs are well tolerated, but preventive strategies must be instituted to avoid renal toxicity or osteonecrosis of the jaw. Kyphoplasty should be considered for symptomatic vertebral compression fractures. Low-dose radiation therapy can be used for palliation of uncontrolled pain, impending pathologic fracture, or spinal cord compression. Orthopedic consultation should be sought for long-bone fractures, spinal cord compression, and vertebral column instability.","author":[{"dropping-particle":"","family":"Terpos","given":"Evangelos","non-dropping-particle":"","parse-names":false,"suffix":""},{"dropping-particle":"","family":"Morgan","given":"Gareth","non-dropping-particle":"","parse-names":false,"suffix":""},{"dropping-particle":"","family":"Dimopoulos","given":"Meletios A.","non-dropping-particle":"","parse-names":false,"suffix":""},{"dropping-particle":"","family":"Drake","given":"Matthew T.","non-dropping-particle":"","parse-names":false,"suffix":""},{"dropping-particle":"","family":"Lentzsch","given":"Suzanne","non-dropping-particle":"","parse-names":false,"suffix":""},{"dropping-particle":"","family":"Raje","given":"Noopur","non-dropping-particle":"","parse-names":false,"suffix":""},{"dropping-particle":"","family":"Sezer","given":"Orhan","non-dropping-particle":"","parse-names":false,"suffix":""},{"dropping-particle":"","family":"García-Sanz","given":"Ramón","non-dropping-particle":"","parse-names":false,"suffix":""},{"dropping-particle":"","family":"Shimizu","given":"Kazuyuki","non-dropping-particle":"","parse-names":false,"suffix":""},{"dropping-particle":"","family":"Turesson","given":"Ingemar","non-dropping-particle":"","parse-names":false,"suffix":""},{"dropping-particle":"","family":"Reiman","given":"Tony","non-dropping-particle":"","parse-names":false,"suffix":""},{"dropping-particle":"","family":"Jurczyszyn","given":"Artur","non-dropping-particle":"","parse-names":false,"suffix":""},{"dropping-particle":"","family":"Merlini","given":"Giampaolo","non-dropping-particle":"","parse-names":false,"suffix":""},{"dropping-particle":"","family":"Spencer","given":"Andrew","non-dropping-particle":"","parse-names":false,"suffix":""},{"dropping-particle":"","family":"Leleu","given":"Xavier","non-dropping-particle":"","parse-names":false,"suffix":""},{"dropping-particle":"","family":"Cavo","given":"Michele","non-dropping-particle":"","parse-names":false,"suffix":""},{"dropping-particle":"","family":"Munshi","given":"Nikhil","non-dropping-particle":"","parse-names":false,"suffix":""},{"dropping-particle":"","family":"Rajkumar","given":"S. Vincent","non-dropping-particle":"","parse-names":false,"suffix":""},{"dropping-particle":"","family":"Durie","given":"Brian G.M.","non-dropping-particle":"","parse-names":false,"suffix":""},{"dropping-particle":"","family":"Roodman","given":"G. David","non-dropping-particle":"","parse-names":false,"suffix":""}],"container-title":"Journal of Clinical Oncology","id":"ITEM-1","issue":"18","issued":{"date-parts":[["2013","6"]]},"page":"2347-2357","publisher":"American Society of Clinical Oncology","title":"International myeloma working group recommendations for the treatment of multiple myeloma-related bone disease","type":"article-journal","volume":"31"},"uris":["http://www.mendeley.com/documents/?uuid=4380a20f-3899-421a-9afc-e773595fa95e"]},{"id":"ITEM-2","itemData":{"DOI":"10.1182/blood-2011-11-392522","ISSN":"00064971","PMID":"22498739","abstract":"The Medical Research Council Myeloma IX Trial (ISRCTNG8454111) examined traditional and thalidomide-based induction and maintenance regimens and IV zoledronic acid (ZOL) and oral clodronate (CLO) in 1960 patients with newly diagnosed multiple myeloma. Overall survival (OS) and skeletal-related event (SRE) data have been reported for the overall trial population. The present analysis investigated optimal therapy regimens for different patient populations in Myeloma IX. Patients were assigned to intensive or nonintensive treatment pathways and randomized to induction cyclophosphamide, vincristine, doxorubicin, and dexamethasone (CVAD) versus cyclophosphamide, thalidomide, and dexamethasone (CTD; intensive) or melphalan and prednisolone versus attenuated oral CTD (CTDa; nonintensive). Patients were also randomized to ZOL or CLO. In the nonintensive pathway, CTDa produced better responses and lower SRE rates than melphalan and prednisolone. ZOL improved OS compared with CLO independently of sex, stage, or myeloma subtype, most profoundly in patients with base</w:instrText>
      </w:r>
      <w:r w:rsidR="00E430FD">
        <w:rPr>
          <w:rFonts w:eastAsia="Arial Unicode MS" w:hint="eastAsia"/>
          <w:bCs/>
          <w:color w:val="000000"/>
          <w:spacing w:val="4"/>
          <w:szCs w:val="24"/>
          <w:u w:color="000000"/>
          <w:lang w:eastAsia="ru-RU"/>
        </w:rPr>
        <w:instrText xml:space="preserve">line bone disease or other SREs. In patients treated for </w:instrText>
      </w:r>
      <w:r w:rsidR="00E430FD">
        <w:rPr>
          <w:rFonts w:eastAsia="Arial Unicode MS" w:hint="eastAsia"/>
          <w:bCs/>
          <w:color w:val="000000"/>
          <w:spacing w:val="4"/>
          <w:szCs w:val="24"/>
          <w:u w:color="000000"/>
          <w:lang w:eastAsia="ru-RU"/>
        </w:rPr>
        <w:instrText>≥</w:instrText>
      </w:r>
      <w:r w:rsidR="00E430FD">
        <w:rPr>
          <w:rFonts w:eastAsia="Arial Unicode MS" w:hint="eastAsia"/>
          <w:bCs/>
          <w:color w:val="000000"/>
          <w:spacing w:val="4"/>
          <w:szCs w:val="24"/>
          <w:u w:color="000000"/>
          <w:lang w:eastAsia="ru-RU"/>
        </w:rPr>
        <w:instrText xml:space="preserve"> 2 years, ZOL improved OS compared with CLO from randomization (median not reached for either; P = .02) and also from first on-study disease progression (median, 34 months for ZOL vs 27 months for </w:instrText>
      </w:r>
      <w:r w:rsidR="00E430FD">
        <w:rPr>
          <w:rFonts w:eastAsia="Arial Unicode MS"/>
          <w:bCs/>
          <w:color w:val="000000"/>
          <w:spacing w:val="4"/>
          <w:szCs w:val="24"/>
          <w:u w:color="000000"/>
          <w:lang w:eastAsia="ru-RU"/>
        </w:rPr>
        <w:instrText>CLO; P = .03). Thalidomide-containing regimens had better efficacy than traditional regimens, and ZOL demonstrated greater benefits than CLO. © 2012 by The American Society of Hematology.","author":[{"dropping-particle":"","family":"Morgan","given":"Gareth J.","non-dropping-particle":"","parse-names":false,"suffix":""},{"dropping-particle":"","family":"Davies","given":"Faith E.","non-dropping-particle":"","parse-names":false,"suffix":""},{"dropping-particle":"","family":"Gregory","given":"Walter M.","non-dropping-particle":"","parse-names":false,"suffix":""},{"dropping-particle":"","family":"Szubert","given":"Alex J.","non-dropping-particle":"","parse-names":false,"suffix":""},{"dropping-particle":"","family":"Bell","given":"Sue E.","non-dropping-particle":"","parse-names":false,"suffix":""},{"dropping-particle":"","family":"Drayson","given":"Mark T.","non-dropping-particle":"","parse-names":false,"suffix":""},{"dropping-particle":"","family":"Owen","given":"Roger G.","non-dropping-particle":"","parse-names":false,"suffix":""},{"dropping-particle":"","family":"Ashcroft","given":"A. John","non-dropping-particle":"","parse-names":false,"suffix":""},{"dropping-particle":"","family":"Jackson","given":"Graham H.","non-dropping-particle":"","parse-names":false,"suffix":""},{"dropping-particle":"","family":"Child","given":"J. Anthony","non-dropping-particle":"","parse-names":false,"suffix":""}],"container-title":"Blood","id":"ITEM-2","issue":"23","issued":{"date-parts":[["2012","6"]]},"page":"5374-5383","publisher":"Blood","title":"Effects of induction and maintenance plus long-term bisphosphonates on bone disease in patients with multiple myeloma: The Medical Research Council Myeloma IX Trial","type":"article-journal","volume":"119"},"uris":["http://www.mendeley.com/documents/?uuid=87e834c4-9cca-481b-ba92-b3312b268e22"]}],"mendeley":{"formattedCitation":"[140,141]","plainTextFormattedCitation":"[140,141]","previouslyFormattedCitation":"[140,141]"},"properties":{"noteIndex":0},"schema":"https://github.com/citation-style-language/schema/raw/master/csl-citation.json"}</w:instrText>
      </w:r>
      <w:r>
        <w:rPr>
          <w:rFonts w:eastAsia="Arial Unicode MS"/>
          <w:bCs/>
          <w:color w:val="000000"/>
          <w:spacing w:val="4"/>
          <w:szCs w:val="24"/>
          <w:u w:color="000000"/>
          <w:lang w:eastAsia="ru-RU"/>
        </w:rPr>
        <w:fldChar w:fldCharType="separate"/>
      </w:r>
      <w:r w:rsidR="00E430FD" w:rsidRPr="00E430FD">
        <w:rPr>
          <w:rFonts w:eastAsia="Arial Unicode MS"/>
          <w:bCs/>
          <w:noProof/>
          <w:color w:val="000000"/>
          <w:spacing w:val="4"/>
          <w:szCs w:val="24"/>
          <w:u w:color="000000"/>
          <w:lang w:eastAsia="ru-RU"/>
        </w:rPr>
        <w:t>[140,141]</w:t>
      </w:r>
      <w:r>
        <w:rPr>
          <w:rFonts w:eastAsia="Arial Unicode MS"/>
          <w:bCs/>
          <w:color w:val="000000"/>
          <w:spacing w:val="4"/>
          <w:szCs w:val="24"/>
          <w:u w:color="000000"/>
          <w:lang w:eastAsia="ru-RU"/>
        </w:rPr>
        <w:fldChar w:fldCharType="end"/>
      </w:r>
      <w:r w:rsidRPr="00EA288F">
        <w:rPr>
          <w:rFonts w:eastAsia="Arial Unicode MS"/>
          <w:bCs/>
          <w:color w:val="000000"/>
          <w:spacing w:val="4"/>
          <w:szCs w:val="24"/>
          <w:u w:color="000000"/>
          <w:lang w:eastAsia="ru-RU"/>
        </w:rPr>
        <w:t>.</w:t>
      </w:r>
      <w:r w:rsidRPr="00EA288F">
        <w:rPr>
          <w:rFonts w:eastAsia="Arial Unicode MS"/>
          <w:b/>
          <w:bCs/>
          <w:color w:val="000000"/>
          <w:spacing w:val="4"/>
          <w:szCs w:val="24"/>
          <w:u w:color="000000"/>
          <w:lang w:eastAsia="ru-RU"/>
        </w:rPr>
        <w:t xml:space="preserve"> </w:t>
      </w:r>
    </w:p>
    <w:p w14:paraId="27231AB5" w14:textId="77777777" w:rsidR="00EA288F" w:rsidRPr="00EA288F" w:rsidRDefault="00EA288F" w:rsidP="00EA288F">
      <w:pPr>
        <w:shd w:val="clear" w:color="auto" w:fill="FFFFFF"/>
        <w:tabs>
          <w:tab w:val="left" w:pos="0"/>
          <w:tab w:val="left" w:pos="394"/>
        </w:tabs>
        <w:spacing w:before="5" w:after="0"/>
        <w:rPr>
          <w:rFonts w:eastAsia="Arial Unicode MS"/>
          <w:color w:val="000000"/>
          <w:spacing w:val="4"/>
          <w:szCs w:val="24"/>
          <w:u w:color="000000"/>
          <w:lang w:eastAsia="ru-RU"/>
        </w:rPr>
      </w:pPr>
      <w:r w:rsidRPr="00EA288F">
        <w:rPr>
          <w:rFonts w:eastAsia="Arial Unicode MS"/>
          <w:color w:val="000000"/>
          <w:spacing w:val="4"/>
          <w:szCs w:val="24"/>
          <w:u w:color="000000"/>
          <w:lang w:eastAsia="ru-RU"/>
        </w:rPr>
        <w:t>Бисфосфонаты применяются для купирования болевого синдрома в костях, с целью снижения риска патологических переломов, компрессии спинного мозга, опухолевой гиперкальциемии.</w:t>
      </w:r>
    </w:p>
    <w:p w14:paraId="08C44E4D" w14:textId="77777777" w:rsidR="00EA288F" w:rsidRPr="00EA288F" w:rsidRDefault="00EA288F" w:rsidP="00EA288F">
      <w:pPr>
        <w:shd w:val="clear" w:color="auto" w:fill="FFFFFF"/>
        <w:tabs>
          <w:tab w:val="left" w:pos="0"/>
          <w:tab w:val="left" w:pos="394"/>
        </w:tabs>
        <w:spacing w:before="5" w:after="0"/>
        <w:rPr>
          <w:rFonts w:eastAsia="Arial Unicode MS"/>
          <w:b/>
          <w:i/>
          <w:color w:val="000000"/>
          <w:spacing w:val="4"/>
          <w:szCs w:val="24"/>
          <w:u w:color="000000"/>
          <w:lang w:eastAsia="ru-RU"/>
        </w:rPr>
      </w:pPr>
      <w:r w:rsidRPr="00EA288F">
        <w:rPr>
          <w:rFonts w:eastAsia="Arial Unicode MS"/>
          <w:b/>
          <w:i/>
          <w:color w:val="000000"/>
          <w:spacing w:val="4"/>
          <w:szCs w:val="24"/>
          <w:u w:color="000000"/>
          <w:lang w:eastAsia="ru-RU"/>
        </w:rPr>
        <w:tab/>
        <w:t>Показания к назначению бисфосфонатов:</w:t>
      </w:r>
    </w:p>
    <w:p w14:paraId="6DFC8A74" w14:textId="4EE87EF8" w:rsidR="00EA288F" w:rsidRPr="00EA288F" w:rsidRDefault="00EA288F" w:rsidP="008F161A">
      <w:pPr>
        <w:numPr>
          <w:ilvl w:val="0"/>
          <w:numId w:val="144"/>
        </w:numPr>
        <w:shd w:val="clear" w:color="auto" w:fill="FFFFFF"/>
        <w:tabs>
          <w:tab w:val="left" w:pos="0"/>
          <w:tab w:val="left" w:pos="394"/>
        </w:tabs>
        <w:spacing w:before="5" w:after="0"/>
        <w:ind w:left="0" w:firstLine="0"/>
        <w:rPr>
          <w:rFonts w:eastAsia="Arial Unicode MS"/>
          <w:color w:val="000000"/>
          <w:spacing w:val="4"/>
          <w:szCs w:val="24"/>
          <w:u w:color="000000"/>
          <w:lang w:eastAsia="ru-RU"/>
        </w:rPr>
      </w:pPr>
      <w:r w:rsidRPr="00EA288F">
        <w:rPr>
          <w:rFonts w:eastAsia="Arial Unicode MS"/>
          <w:color w:val="000000"/>
          <w:spacing w:val="4"/>
          <w:szCs w:val="24"/>
          <w:u w:color="000000"/>
          <w:lang w:eastAsia="ru-RU"/>
        </w:rPr>
        <w:t>Множественная миелома;</w:t>
      </w:r>
    </w:p>
    <w:p w14:paraId="0C5883F9" w14:textId="243636FE" w:rsidR="00EA288F" w:rsidRPr="00EA288F" w:rsidRDefault="00EA288F" w:rsidP="008F161A">
      <w:pPr>
        <w:numPr>
          <w:ilvl w:val="0"/>
          <w:numId w:val="144"/>
        </w:numPr>
        <w:shd w:val="clear" w:color="auto" w:fill="FFFFFF"/>
        <w:tabs>
          <w:tab w:val="left" w:pos="0"/>
          <w:tab w:val="left" w:pos="394"/>
        </w:tabs>
        <w:spacing w:before="5" w:after="0"/>
        <w:ind w:left="0" w:firstLine="0"/>
        <w:rPr>
          <w:rFonts w:eastAsia="Arial Unicode MS"/>
          <w:color w:val="000000"/>
          <w:spacing w:val="4"/>
          <w:szCs w:val="24"/>
          <w:u w:color="000000"/>
          <w:lang w:eastAsia="ru-RU"/>
        </w:rPr>
      </w:pPr>
      <w:r w:rsidRPr="00EA288F">
        <w:rPr>
          <w:rFonts w:eastAsia="Arial Unicode MS"/>
          <w:color w:val="000000"/>
          <w:spacing w:val="4"/>
          <w:szCs w:val="24"/>
          <w:u w:color="000000"/>
          <w:lang w:eastAsia="ru-RU"/>
        </w:rPr>
        <w:t>Гиперкальциемия, обусловленная злокачественными опухолями;</w:t>
      </w:r>
    </w:p>
    <w:p w14:paraId="3ACB964A" w14:textId="77777777" w:rsidR="00EA288F" w:rsidRPr="00EA288F" w:rsidRDefault="00EA288F" w:rsidP="008F161A">
      <w:pPr>
        <w:numPr>
          <w:ilvl w:val="0"/>
          <w:numId w:val="144"/>
        </w:numPr>
        <w:shd w:val="clear" w:color="auto" w:fill="FFFFFF"/>
        <w:tabs>
          <w:tab w:val="left" w:pos="0"/>
          <w:tab w:val="left" w:pos="394"/>
        </w:tabs>
        <w:spacing w:before="5" w:after="0"/>
        <w:ind w:left="0" w:firstLine="0"/>
        <w:rPr>
          <w:rFonts w:eastAsia="Arial Unicode MS"/>
          <w:color w:val="000000"/>
          <w:spacing w:val="4"/>
          <w:szCs w:val="24"/>
          <w:u w:color="000000"/>
          <w:lang w:eastAsia="ru-RU"/>
        </w:rPr>
      </w:pPr>
      <w:r w:rsidRPr="00EA288F">
        <w:rPr>
          <w:rFonts w:eastAsia="Arial Unicode MS"/>
          <w:color w:val="000000"/>
          <w:spacing w:val="4"/>
          <w:szCs w:val="24"/>
          <w:u w:color="000000"/>
          <w:lang w:eastAsia="ru-RU"/>
        </w:rPr>
        <w:t>Профилактика и лечение остеопороза, вызванного применением глюкокортикостероидов (ГКС);</w:t>
      </w:r>
    </w:p>
    <w:p w14:paraId="2F515C84" w14:textId="77777777" w:rsidR="00EA288F" w:rsidRPr="00EA288F" w:rsidRDefault="00EA288F" w:rsidP="00EA288F">
      <w:pPr>
        <w:spacing w:before="0" w:after="0"/>
        <w:rPr>
          <w:rFonts w:eastAsia="Arial Unicode MS"/>
          <w:b/>
          <w:i/>
          <w:color w:val="000000"/>
          <w:spacing w:val="4"/>
          <w:szCs w:val="24"/>
          <w:lang w:eastAsia="ru-RU"/>
        </w:rPr>
      </w:pPr>
      <w:r w:rsidRPr="00EA288F">
        <w:rPr>
          <w:rFonts w:eastAsia="Arial Unicode MS"/>
          <w:b/>
          <w:i/>
          <w:color w:val="000000"/>
          <w:spacing w:val="4"/>
          <w:szCs w:val="24"/>
          <w:lang w:eastAsia="ru-RU"/>
        </w:rPr>
        <w:t>Режим дозирования бифосфонатов:</w:t>
      </w:r>
    </w:p>
    <w:p w14:paraId="5F57004E" w14:textId="3D8FE201" w:rsidR="00EA288F" w:rsidRDefault="00EA288F" w:rsidP="00EA288F">
      <w:pPr>
        <w:tabs>
          <w:tab w:val="left" w:pos="0"/>
        </w:tabs>
        <w:spacing w:before="0" w:after="0"/>
        <w:rPr>
          <w:szCs w:val="24"/>
          <w:lang w:eastAsia="ru-RU"/>
        </w:rPr>
      </w:pPr>
      <w:r w:rsidRPr="00EA288F">
        <w:rPr>
          <w:szCs w:val="24"/>
          <w:lang w:eastAsia="ru-RU"/>
        </w:rPr>
        <w:t>Режим применения препаратов для улучшения метаболизма костной ткани приведены в таб</w:t>
      </w:r>
      <w:r w:rsidR="003B3601">
        <w:rPr>
          <w:szCs w:val="24"/>
          <w:lang w:eastAsia="ru-RU"/>
        </w:rPr>
        <w:t>лице А3.</w:t>
      </w:r>
      <w:r w:rsidR="00F32920">
        <w:rPr>
          <w:szCs w:val="24"/>
          <w:lang w:eastAsia="ru-RU"/>
        </w:rPr>
        <w:t>6</w:t>
      </w:r>
      <w:r w:rsidRPr="00EA288F">
        <w:rPr>
          <w:szCs w:val="24"/>
          <w:lang w:eastAsia="ru-RU"/>
        </w:rPr>
        <w:t xml:space="preserve"> </w:t>
      </w:r>
    </w:p>
    <w:p w14:paraId="21473631" w14:textId="77777777" w:rsidR="00292402" w:rsidRPr="00EA288F" w:rsidRDefault="00292402" w:rsidP="00292402">
      <w:pPr>
        <w:tabs>
          <w:tab w:val="left" w:pos="0"/>
        </w:tabs>
        <w:spacing w:before="0" w:after="0"/>
        <w:ind w:firstLine="709"/>
        <w:rPr>
          <w:szCs w:val="24"/>
          <w:lang w:eastAsia="ru-RU"/>
        </w:rPr>
      </w:pPr>
      <w:r w:rsidRPr="00EA288F">
        <w:rPr>
          <w:szCs w:val="24"/>
          <w:lang w:eastAsia="ru-RU"/>
        </w:rPr>
        <w:t xml:space="preserve">Для поддержания кальциевого гомеостаза во время терапии бисфосфонатами следует принимать препараты кальция и витамина </w:t>
      </w:r>
      <w:r w:rsidRPr="00EA288F">
        <w:rPr>
          <w:szCs w:val="24"/>
          <w:lang w:val="en-US" w:eastAsia="ru-RU"/>
        </w:rPr>
        <w:t>D</w:t>
      </w:r>
      <w:r w:rsidRPr="00EA288F">
        <w:rPr>
          <w:szCs w:val="24"/>
          <w:lang w:eastAsia="ru-RU"/>
        </w:rPr>
        <w:t>3 при отсутствии гиперкальциемии (с осторожностью при почечной недостаточности).</w:t>
      </w:r>
    </w:p>
    <w:p w14:paraId="2DB814D1" w14:textId="77777777" w:rsidR="00292402" w:rsidRDefault="00292402" w:rsidP="00EA288F">
      <w:pPr>
        <w:tabs>
          <w:tab w:val="left" w:pos="0"/>
        </w:tabs>
        <w:spacing w:before="0" w:after="0"/>
        <w:rPr>
          <w:szCs w:val="24"/>
          <w:lang w:eastAsia="ru-RU"/>
        </w:rPr>
      </w:pPr>
    </w:p>
    <w:p w14:paraId="27B38DB3" w14:textId="3FE5835D" w:rsidR="00EA288F" w:rsidRPr="00EA288F" w:rsidRDefault="00EA288F" w:rsidP="00EA288F">
      <w:pPr>
        <w:tabs>
          <w:tab w:val="left" w:pos="0"/>
        </w:tabs>
        <w:spacing w:before="0" w:after="160"/>
        <w:rPr>
          <w:szCs w:val="24"/>
          <w:lang w:eastAsia="ru-RU"/>
        </w:rPr>
      </w:pPr>
      <w:r w:rsidRPr="00292402">
        <w:rPr>
          <w:b/>
          <w:szCs w:val="24"/>
          <w:lang w:eastAsia="ru-RU"/>
        </w:rPr>
        <w:t xml:space="preserve">Таблица </w:t>
      </w:r>
      <w:r w:rsidR="003B3601" w:rsidRPr="00292402">
        <w:rPr>
          <w:b/>
          <w:szCs w:val="24"/>
          <w:lang w:eastAsia="ru-RU"/>
        </w:rPr>
        <w:t>А3.</w:t>
      </w:r>
      <w:r w:rsidR="00F32920" w:rsidRPr="00292402">
        <w:rPr>
          <w:b/>
          <w:szCs w:val="24"/>
          <w:lang w:eastAsia="ru-RU"/>
        </w:rPr>
        <w:t>6</w:t>
      </w:r>
      <w:r w:rsidRPr="00292402">
        <w:rPr>
          <w:b/>
          <w:szCs w:val="24"/>
          <w:lang w:eastAsia="ru-RU"/>
        </w:rPr>
        <w:t>.</w:t>
      </w:r>
      <w:r w:rsidRPr="00EA288F">
        <w:rPr>
          <w:szCs w:val="24"/>
          <w:lang w:eastAsia="ru-RU"/>
        </w:rPr>
        <w:t xml:space="preserve"> Режим дозирования бисфосфонатов.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1213"/>
        <w:gridCol w:w="2078"/>
        <w:gridCol w:w="3851"/>
      </w:tblGrid>
      <w:tr w:rsidR="00EA288F" w:rsidRPr="00EA288F" w14:paraId="1A683545" w14:textId="77777777" w:rsidTr="00EA288F">
        <w:trPr>
          <w:tblHeader/>
        </w:trPr>
        <w:tc>
          <w:tcPr>
            <w:tcW w:w="1970" w:type="dxa"/>
            <w:tcBorders>
              <w:top w:val="single" w:sz="4" w:space="0" w:color="auto"/>
              <w:left w:val="single" w:sz="4" w:space="0" w:color="auto"/>
              <w:bottom w:val="single" w:sz="4" w:space="0" w:color="auto"/>
              <w:right w:val="single" w:sz="4" w:space="0" w:color="auto"/>
            </w:tcBorders>
            <w:hideMark/>
          </w:tcPr>
          <w:p w14:paraId="2E4FCBF1" w14:textId="77777777" w:rsidR="00EA288F" w:rsidRPr="00EA288F" w:rsidRDefault="00EA288F" w:rsidP="00EA288F">
            <w:pPr>
              <w:tabs>
                <w:tab w:val="left" w:pos="0"/>
              </w:tabs>
              <w:spacing w:before="0" w:after="0"/>
              <w:rPr>
                <w:b/>
                <w:szCs w:val="24"/>
                <w:lang w:eastAsia="ru-RU"/>
              </w:rPr>
            </w:pPr>
            <w:r w:rsidRPr="00EA288F">
              <w:rPr>
                <w:b/>
                <w:szCs w:val="24"/>
                <w:lang w:eastAsia="ru-RU"/>
              </w:rPr>
              <w:lastRenderedPageBreak/>
              <w:t>Препарат</w:t>
            </w:r>
          </w:p>
        </w:tc>
        <w:tc>
          <w:tcPr>
            <w:tcW w:w="1223" w:type="dxa"/>
            <w:tcBorders>
              <w:top w:val="single" w:sz="4" w:space="0" w:color="auto"/>
              <w:left w:val="single" w:sz="4" w:space="0" w:color="auto"/>
              <w:bottom w:val="single" w:sz="4" w:space="0" w:color="auto"/>
              <w:right w:val="single" w:sz="4" w:space="0" w:color="auto"/>
            </w:tcBorders>
            <w:hideMark/>
          </w:tcPr>
          <w:p w14:paraId="464FB411" w14:textId="77777777" w:rsidR="00EA288F" w:rsidRPr="00EA288F" w:rsidRDefault="00EA288F" w:rsidP="00EA288F">
            <w:pPr>
              <w:tabs>
                <w:tab w:val="left" w:pos="0"/>
              </w:tabs>
              <w:spacing w:before="0" w:after="0"/>
              <w:rPr>
                <w:b/>
                <w:szCs w:val="24"/>
                <w:lang w:eastAsia="ru-RU"/>
              </w:rPr>
            </w:pPr>
            <w:r w:rsidRPr="00EA288F">
              <w:rPr>
                <w:b/>
                <w:szCs w:val="24"/>
                <w:lang w:eastAsia="ru-RU"/>
              </w:rPr>
              <w:t>Разовая доза</w:t>
            </w:r>
          </w:p>
        </w:tc>
        <w:tc>
          <w:tcPr>
            <w:tcW w:w="2116" w:type="dxa"/>
            <w:tcBorders>
              <w:top w:val="single" w:sz="4" w:space="0" w:color="auto"/>
              <w:left w:val="single" w:sz="4" w:space="0" w:color="auto"/>
              <w:bottom w:val="single" w:sz="4" w:space="0" w:color="auto"/>
              <w:right w:val="single" w:sz="4" w:space="0" w:color="auto"/>
            </w:tcBorders>
            <w:hideMark/>
          </w:tcPr>
          <w:p w14:paraId="7ABBD001" w14:textId="77777777" w:rsidR="00EA288F" w:rsidRPr="00EA288F" w:rsidRDefault="00EA288F" w:rsidP="00EA288F">
            <w:pPr>
              <w:tabs>
                <w:tab w:val="left" w:pos="0"/>
                <w:tab w:val="left" w:pos="176"/>
              </w:tabs>
              <w:spacing w:before="0" w:after="0"/>
              <w:rPr>
                <w:b/>
                <w:szCs w:val="24"/>
                <w:lang w:eastAsia="ru-RU"/>
              </w:rPr>
            </w:pPr>
            <w:r w:rsidRPr="00EA288F">
              <w:rPr>
                <w:b/>
                <w:szCs w:val="24"/>
                <w:lang w:eastAsia="ru-RU"/>
              </w:rPr>
              <w:t>Частота применения</w:t>
            </w:r>
          </w:p>
        </w:tc>
        <w:tc>
          <w:tcPr>
            <w:tcW w:w="4012" w:type="dxa"/>
            <w:tcBorders>
              <w:top w:val="single" w:sz="4" w:space="0" w:color="auto"/>
              <w:left w:val="single" w:sz="4" w:space="0" w:color="auto"/>
              <w:bottom w:val="single" w:sz="4" w:space="0" w:color="auto"/>
              <w:right w:val="single" w:sz="4" w:space="0" w:color="auto"/>
            </w:tcBorders>
            <w:hideMark/>
          </w:tcPr>
          <w:p w14:paraId="1227C2C8" w14:textId="77777777" w:rsidR="00EA288F" w:rsidRPr="00EA288F" w:rsidRDefault="00EA288F" w:rsidP="00EA288F">
            <w:pPr>
              <w:tabs>
                <w:tab w:val="left" w:pos="0"/>
              </w:tabs>
              <w:spacing w:before="0" w:after="0"/>
              <w:rPr>
                <w:b/>
                <w:szCs w:val="24"/>
                <w:lang w:eastAsia="ru-RU"/>
              </w:rPr>
            </w:pPr>
            <w:r w:rsidRPr="00EA288F">
              <w:rPr>
                <w:b/>
                <w:szCs w:val="24"/>
                <w:lang w:eastAsia="ru-RU"/>
              </w:rPr>
              <w:t>Способ введения</w:t>
            </w:r>
          </w:p>
        </w:tc>
      </w:tr>
      <w:tr w:rsidR="00EA288F" w:rsidRPr="00EA288F" w14:paraId="650400C4" w14:textId="77777777" w:rsidTr="00EA288F">
        <w:tc>
          <w:tcPr>
            <w:tcW w:w="1970" w:type="dxa"/>
            <w:tcBorders>
              <w:top w:val="single" w:sz="4" w:space="0" w:color="auto"/>
              <w:left w:val="single" w:sz="4" w:space="0" w:color="auto"/>
              <w:bottom w:val="single" w:sz="4" w:space="0" w:color="auto"/>
              <w:right w:val="single" w:sz="4" w:space="0" w:color="auto"/>
            </w:tcBorders>
            <w:hideMark/>
          </w:tcPr>
          <w:p w14:paraId="2AD05DE7" w14:textId="77777777" w:rsidR="00EA288F" w:rsidRPr="00EA288F" w:rsidRDefault="00EA288F" w:rsidP="00EA288F">
            <w:pPr>
              <w:tabs>
                <w:tab w:val="left" w:pos="0"/>
              </w:tabs>
              <w:spacing w:before="0" w:after="0"/>
              <w:rPr>
                <w:szCs w:val="24"/>
                <w:lang w:eastAsia="ru-RU"/>
              </w:rPr>
            </w:pPr>
            <w:r w:rsidRPr="00EA288F">
              <w:rPr>
                <w:szCs w:val="24"/>
                <w:lang w:eastAsia="ru-RU"/>
              </w:rPr>
              <w:t>Золедроновая кислота**</w:t>
            </w:r>
          </w:p>
        </w:tc>
        <w:tc>
          <w:tcPr>
            <w:tcW w:w="1223" w:type="dxa"/>
            <w:tcBorders>
              <w:top w:val="single" w:sz="4" w:space="0" w:color="auto"/>
              <w:left w:val="single" w:sz="4" w:space="0" w:color="auto"/>
              <w:bottom w:val="single" w:sz="4" w:space="0" w:color="auto"/>
              <w:right w:val="single" w:sz="4" w:space="0" w:color="auto"/>
            </w:tcBorders>
            <w:hideMark/>
          </w:tcPr>
          <w:p w14:paraId="16AF257C" w14:textId="77777777" w:rsidR="00EA288F" w:rsidRPr="00EA288F" w:rsidRDefault="00EA288F" w:rsidP="00EA288F">
            <w:pPr>
              <w:tabs>
                <w:tab w:val="left" w:pos="0"/>
              </w:tabs>
              <w:spacing w:before="0" w:after="0"/>
              <w:rPr>
                <w:szCs w:val="24"/>
                <w:lang w:eastAsia="ru-RU"/>
              </w:rPr>
            </w:pPr>
            <w:r w:rsidRPr="00EA288F">
              <w:rPr>
                <w:szCs w:val="24"/>
                <w:lang w:eastAsia="ru-RU"/>
              </w:rPr>
              <w:t>4 мг</w:t>
            </w:r>
          </w:p>
        </w:tc>
        <w:tc>
          <w:tcPr>
            <w:tcW w:w="2116" w:type="dxa"/>
            <w:tcBorders>
              <w:top w:val="single" w:sz="4" w:space="0" w:color="auto"/>
              <w:left w:val="single" w:sz="4" w:space="0" w:color="auto"/>
              <w:bottom w:val="single" w:sz="4" w:space="0" w:color="auto"/>
              <w:right w:val="single" w:sz="4" w:space="0" w:color="auto"/>
            </w:tcBorders>
            <w:hideMark/>
          </w:tcPr>
          <w:p w14:paraId="583DD339" w14:textId="77777777" w:rsidR="00EA288F" w:rsidRPr="00EA288F" w:rsidRDefault="00EA288F" w:rsidP="00EA288F">
            <w:pPr>
              <w:tabs>
                <w:tab w:val="left" w:pos="0"/>
                <w:tab w:val="left" w:pos="176"/>
              </w:tabs>
              <w:spacing w:before="0" w:after="0"/>
              <w:rPr>
                <w:szCs w:val="24"/>
                <w:lang w:eastAsia="ru-RU"/>
              </w:rPr>
            </w:pPr>
            <w:r w:rsidRPr="00EA288F">
              <w:rPr>
                <w:szCs w:val="24"/>
                <w:lang w:eastAsia="ru-RU"/>
              </w:rPr>
              <w:t>Ежемесячно</w:t>
            </w:r>
          </w:p>
        </w:tc>
        <w:tc>
          <w:tcPr>
            <w:tcW w:w="4012" w:type="dxa"/>
            <w:tcBorders>
              <w:top w:val="single" w:sz="4" w:space="0" w:color="auto"/>
              <w:left w:val="single" w:sz="4" w:space="0" w:color="auto"/>
              <w:bottom w:val="single" w:sz="4" w:space="0" w:color="auto"/>
              <w:right w:val="single" w:sz="4" w:space="0" w:color="auto"/>
            </w:tcBorders>
            <w:hideMark/>
          </w:tcPr>
          <w:p w14:paraId="56DD0EFE" w14:textId="77777777" w:rsidR="00EA288F" w:rsidRPr="00EA288F" w:rsidRDefault="00EA288F" w:rsidP="00EA288F">
            <w:pPr>
              <w:tabs>
                <w:tab w:val="left" w:pos="0"/>
              </w:tabs>
              <w:spacing w:before="0" w:after="0"/>
              <w:rPr>
                <w:szCs w:val="24"/>
                <w:lang w:eastAsia="ru-RU"/>
              </w:rPr>
            </w:pPr>
            <w:r w:rsidRPr="00EA288F">
              <w:rPr>
                <w:szCs w:val="24"/>
                <w:lang w:eastAsia="ru-RU"/>
              </w:rPr>
              <w:t xml:space="preserve">Внутривенно, </w:t>
            </w:r>
          </w:p>
          <w:p w14:paraId="79950594" w14:textId="77777777" w:rsidR="00EA288F" w:rsidRPr="00EA288F" w:rsidRDefault="00EA288F" w:rsidP="00EA288F">
            <w:pPr>
              <w:tabs>
                <w:tab w:val="left" w:pos="0"/>
              </w:tabs>
              <w:spacing w:before="0" w:after="0"/>
              <w:rPr>
                <w:szCs w:val="24"/>
                <w:lang w:eastAsia="ru-RU"/>
              </w:rPr>
            </w:pPr>
            <w:r w:rsidRPr="00EA288F">
              <w:rPr>
                <w:szCs w:val="24"/>
                <w:lang w:eastAsia="ru-RU"/>
              </w:rPr>
              <w:t>разводят в 0.9% растворе хлорида натрия, вводят в течение 15 минут</w:t>
            </w:r>
          </w:p>
        </w:tc>
      </w:tr>
      <w:tr w:rsidR="00EA288F" w:rsidRPr="00EA288F" w14:paraId="661454A6" w14:textId="77777777" w:rsidTr="00EA288F">
        <w:tc>
          <w:tcPr>
            <w:tcW w:w="1970" w:type="dxa"/>
            <w:tcBorders>
              <w:top w:val="single" w:sz="4" w:space="0" w:color="auto"/>
              <w:left w:val="single" w:sz="4" w:space="0" w:color="auto"/>
              <w:bottom w:val="single" w:sz="4" w:space="0" w:color="auto"/>
              <w:right w:val="single" w:sz="4" w:space="0" w:color="auto"/>
            </w:tcBorders>
            <w:hideMark/>
          </w:tcPr>
          <w:p w14:paraId="659E3EBC" w14:textId="77777777" w:rsidR="00EA288F" w:rsidRPr="00EA288F" w:rsidRDefault="00EA288F" w:rsidP="00EA288F">
            <w:pPr>
              <w:tabs>
                <w:tab w:val="left" w:pos="0"/>
              </w:tabs>
              <w:spacing w:before="0" w:after="0"/>
              <w:rPr>
                <w:szCs w:val="24"/>
                <w:lang w:eastAsia="ru-RU"/>
              </w:rPr>
            </w:pPr>
            <w:r w:rsidRPr="00EA288F">
              <w:rPr>
                <w:szCs w:val="24"/>
                <w:lang w:eastAsia="ru-RU"/>
              </w:rPr>
              <w:t>Памидроновая кислота</w:t>
            </w:r>
          </w:p>
        </w:tc>
        <w:tc>
          <w:tcPr>
            <w:tcW w:w="1223" w:type="dxa"/>
            <w:tcBorders>
              <w:top w:val="single" w:sz="4" w:space="0" w:color="auto"/>
              <w:left w:val="single" w:sz="4" w:space="0" w:color="auto"/>
              <w:bottom w:val="single" w:sz="4" w:space="0" w:color="auto"/>
              <w:right w:val="single" w:sz="4" w:space="0" w:color="auto"/>
            </w:tcBorders>
            <w:hideMark/>
          </w:tcPr>
          <w:p w14:paraId="02D9A2D8" w14:textId="77777777" w:rsidR="00EA288F" w:rsidRPr="00EA288F" w:rsidRDefault="00EA288F" w:rsidP="00EA288F">
            <w:pPr>
              <w:tabs>
                <w:tab w:val="left" w:pos="0"/>
              </w:tabs>
              <w:spacing w:before="0" w:after="0"/>
              <w:rPr>
                <w:szCs w:val="24"/>
                <w:lang w:eastAsia="ru-RU"/>
              </w:rPr>
            </w:pPr>
            <w:r w:rsidRPr="00EA288F">
              <w:rPr>
                <w:szCs w:val="24"/>
                <w:lang w:eastAsia="ru-RU"/>
              </w:rPr>
              <w:t>90 мг</w:t>
            </w:r>
          </w:p>
        </w:tc>
        <w:tc>
          <w:tcPr>
            <w:tcW w:w="2116" w:type="dxa"/>
            <w:tcBorders>
              <w:top w:val="single" w:sz="4" w:space="0" w:color="auto"/>
              <w:left w:val="single" w:sz="4" w:space="0" w:color="auto"/>
              <w:bottom w:val="single" w:sz="4" w:space="0" w:color="auto"/>
              <w:right w:val="single" w:sz="4" w:space="0" w:color="auto"/>
            </w:tcBorders>
            <w:hideMark/>
          </w:tcPr>
          <w:p w14:paraId="7248E533" w14:textId="77777777" w:rsidR="00EA288F" w:rsidRPr="00EA288F" w:rsidRDefault="00EA288F" w:rsidP="00EA288F">
            <w:pPr>
              <w:tabs>
                <w:tab w:val="left" w:pos="0"/>
                <w:tab w:val="left" w:pos="176"/>
              </w:tabs>
              <w:spacing w:before="0" w:after="0"/>
              <w:rPr>
                <w:szCs w:val="24"/>
                <w:lang w:eastAsia="ru-RU"/>
              </w:rPr>
            </w:pPr>
            <w:r w:rsidRPr="00EA288F">
              <w:rPr>
                <w:szCs w:val="24"/>
                <w:lang w:eastAsia="ru-RU"/>
              </w:rPr>
              <w:t>Ежемесячно</w:t>
            </w:r>
          </w:p>
        </w:tc>
        <w:tc>
          <w:tcPr>
            <w:tcW w:w="4012" w:type="dxa"/>
            <w:tcBorders>
              <w:top w:val="single" w:sz="4" w:space="0" w:color="auto"/>
              <w:left w:val="single" w:sz="4" w:space="0" w:color="auto"/>
              <w:bottom w:val="single" w:sz="4" w:space="0" w:color="auto"/>
              <w:right w:val="single" w:sz="4" w:space="0" w:color="auto"/>
            </w:tcBorders>
            <w:hideMark/>
          </w:tcPr>
          <w:p w14:paraId="718DC03A" w14:textId="77777777" w:rsidR="00EA288F" w:rsidRPr="00EA288F" w:rsidRDefault="00EA288F" w:rsidP="00EA288F">
            <w:pPr>
              <w:tabs>
                <w:tab w:val="left" w:pos="0"/>
              </w:tabs>
              <w:spacing w:before="0" w:after="0"/>
              <w:rPr>
                <w:szCs w:val="24"/>
                <w:lang w:eastAsia="ru-RU"/>
              </w:rPr>
            </w:pPr>
            <w:r w:rsidRPr="00EA288F">
              <w:rPr>
                <w:szCs w:val="24"/>
                <w:lang w:eastAsia="ru-RU"/>
              </w:rPr>
              <w:t>Внутривенно, разводят в 0.9% растворе хлорида натрия, вводят в течение 2-4 часов</w:t>
            </w:r>
          </w:p>
        </w:tc>
      </w:tr>
      <w:tr w:rsidR="00EA288F" w:rsidRPr="00EA288F" w14:paraId="00A87FFD" w14:textId="77777777" w:rsidTr="00EA288F">
        <w:tc>
          <w:tcPr>
            <w:tcW w:w="1970" w:type="dxa"/>
            <w:tcBorders>
              <w:top w:val="single" w:sz="4" w:space="0" w:color="auto"/>
              <w:left w:val="single" w:sz="4" w:space="0" w:color="auto"/>
              <w:bottom w:val="single" w:sz="4" w:space="0" w:color="auto"/>
              <w:right w:val="single" w:sz="4" w:space="0" w:color="auto"/>
            </w:tcBorders>
            <w:hideMark/>
          </w:tcPr>
          <w:p w14:paraId="35004D94" w14:textId="77777777" w:rsidR="00EA288F" w:rsidRPr="00EA288F" w:rsidRDefault="00EA288F" w:rsidP="00EA288F">
            <w:pPr>
              <w:tabs>
                <w:tab w:val="left" w:pos="0"/>
              </w:tabs>
              <w:spacing w:before="0" w:after="0"/>
              <w:rPr>
                <w:szCs w:val="24"/>
                <w:lang w:eastAsia="ru-RU"/>
              </w:rPr>
            </w:pPr>
            <w:r w:rsidRPr="00EA288F">
              <w:rPr>
                <w:szCs w:val="24"/>
                <w:lang w:eastAsia="ru-RU"/>
              </w:rPr>
              <w:t>Клодроновая кислота</w:t>
            </w:r>
          </w:p>
        </w:tc>
        <w:tc>
          <w:tcPr>
            <w:tcW w:w="1223" w:type="dxa"/>
            <w:tcBorders>
              <w:top w:val="single" w:sz="4" w:space="0" w:color="auto"/>
              <w:left w:val="single" w:sz="4" w:space="0" w:color="auto"/>
              <w:bottom w:val="single" w:sz="4" w:space="0" w:color="auto"/>
              <w:right w:val="single" w:sz="4" w:space="0" w:color="auto"/>
            </w:tcBorders>
            <w:hideMark/>
          </w:tcPr>
          <w:p w14:paraId="67AD0878" w14:textId="77777777" w:rsidR="00EA288F" w:rsidRPr="00EA288F" w:rsidRDefault="00EA288F" w:rsidP="00EA288F">
            <w:pPr>
              <w:tabs>
                <w:tab w:val="left" w:pos="0"/>
              </w:tabs>
              <w:spacing w:before="0" w:after="0"/>
              <w:rPr>
                <w:szCs w:val="24"/>
                <w:lang w:eastAsia="ru-RU"/>
              </w:rPr>
            </w:pPr>
            <w:r w:rsidRPr="00EA288F">
              <w:rPr>
                <w:szCs w:val="24"/>
                <w:lang w:eastAsia="ru-RU"/>
              </w:rPr>
              <w:t>1600 мг</w:t>
            </w:r>
          </w:p>
        </w:tc>
        <w:tc>
          <w:tcPr>
            <w:tcW w:w="2116" w:type="dxa"/>
            <w:tcBorders>
              <w:top w:val="single" w:sz="4" w:space="0" w:color="auto"/>
              <w:left w:val="single" w:sz="4" w:space="0" w:color="auto"/>
              <w:bottom w:val="single" w:sz="4" w:space="0" w:color="auto"/>
              <w:right w:val="single" w:sz="4" w:space="0" w:color="auto"/>
            </w:tcBorders>
            <w:hideMark/>
          </w:tcPr>
          <w:p w14:paraId="742ADE66" w14:textId="77777777" w:rsidR="00EA288F" w:rsidRPr="00EA288F" w:rsidRDefault="00EA288F" w:rsidP="00EA288F">
            <w:pPr>
              <w:tabs>
                <w:tab w:val="left" w:pos="0"/>
                <w:tab w:val="left" w:pos="176"/>
              </w:tabs>
              <w:spacing w:before="0" w:after="0"/>
              <w:rPr>
                <w:szCs w:val="24"/>
                <w:lang w:eastAsia="ru-RU"/>
              </w:rPr>
            </w:pPr>
            <w:r w:rsidRPr="00EA288F">
              <w:rPr>
                <w:szCs w:val="24"/>
                <w:lang w:eastAsia="ru-RU"/>
              </w:rPr>
              <w:t>Ежедневно</w:t>
            </w:r>
          </w:p>
        </w:tc>
        <w:tc>
          <w:tcPr>
            <w:tcW w:w="4012" w:type="dxa"/>
            <w:tcBorders>
              <w:top w:val="single" w:sz="4" w:space="0" w:color="auto"/>
              <w:left w:val="single" w:sz="4" w:space="0" w:color="auto"/>
              <w:bottom w:val="single" w:sz="4" w:space="0" w:color="auto"/>
              <w:right w:val="single" w:sz="4" w:space="0" w:color="auto"/>
            </w:tcBorders>
            <w:hideMark/>
          </w:tcPr>
          <w:p w14:paraId="2BA2E418" w14:textId="77777777" w:rsidR="00EA288F" w:rsidRPr="00EA288F" w:rsidRDefault="00EA288F" w:rsidP="00EA288F">
            <w:pPr>
              <w:tabs>
                <w:tab w:val="left" w:pos="0"/>
              </w:tabs>
              <w:spacing w:before="0" w:after="0"/>
              <w:rPr>
                <w:szCs w:val="24"/>
                <w:lang w:eastAsia="ru-RU"/>
              </w:rPr>
            </w:pPr>
            <w:r w:rsidRPr="00EA288F">
              <w:rPr>
                <w:szCs w:val="24"/>
                <w:lang w:eastAsia="ru-RU"/>
              </w:rPr>
              <w:t xml:space="preserve">Перорально, </w:t>
            </w:r>
          </w:p>
          <w:p w14:paraId="23153BEC" w14:textId="77777777" w:rsidR="00EA288F" w:rsidRPr="00EA288F" w:rsidRDefault="00EA288F" w:rsidP="00EA288F">
            <w:pPr>
              <w:tabs>
                <w:tab w:val="left" w:pos="0"/>
              </w:tabs>
              <w:spacing w:before="0" w:after="0"/>
              <w:rPr>
                <w:szCs w:val="24"/>
                <w:lang w:eastAsia="ru-RU"/>
              </w:rPr>
            </w:pPr>
            <w:r w:rsidRPr="00EA288F">
              <w:rPr>
                <w:szCs w:val="24"/>
                <w:lang w:eastAsia="ru-RU"/>
              </w:rPr>
              <w:t xml:space="preserve">Прием утром натощак, запивая стаканом воды. </w:t>
            </w:r>
          </w:p>
        </w:tc>
      </w:tr>
    </w:tbl>
    <w:p w14:paraId="2C3FD79A" w14:textId="77777777" w:rsidR="00EA288F" w:rsidRPr="00EA288F" w:rsidRDefault="00EA288F" w:rsidP="00BC516D">
      <w:pPr>
        <w:tabs>
          <w:tab w:val="left" w:pos="0"/>
        </w:tabs>
        <w:spacing w:before="0" w:after="0"/>
        <w:contextualSpacing/>
        <w:rPr>
          <w:b/>
          <w:i/>
          <w:szCs w:val="24"/>
          <w:lang w:eastAsia="ru-RU"/>
        </w:rPr>
      </w:pPr>
      <w:r w:rsidRPr="00EA288F">
        <w:rPr>
          <w:b/>
          <w:i/>
          <w:szCs w:val="24"/>
          <w:lang w:eastAsia="ru-RU"/>
        </w:rPr>
        <w:t>Применение бисфосфонатов при почечной недостаточности</w:t>
      </w:r>
    </w:p>
    <w:p w14:paraId="283F0783" w14:textId="13FD65C2" w:rsidR="00EA288F" w:rsidRPr="00EA288F" w:rsidRDefault="00EA288F" w:rsidP="00BC516D">
      <w:pPr>
        <w:tabs>
          <w:tab w:val="left" w:pos="0"/>
        </w:tabs>
        <w:spacing w:before="0" w:after="0"/>
        <w:ind w:firstLine="709"/>
        <w:contextualSpacing/>
        <w:rPr>
          <w:szCs w:val="24"/>
        </w:rPr>
      </w:pPr>
      <w:r w:rsidRPr="00EA288F">
        <w:rPr>
          <w:szCs w:val="24"/>
          <w:lang w:eastAsia="ru-RU"/>
        </w:rPr>
        <w:t xml:space="preserve">У пациентов с поражением почек требуется коррекция дозы бисфосфонатов в зависимости от скорости клубочковой фильтрации (СКФ), поскольку и золедроновая кислота**, и памидронат могут усугублять острое почечное повреждение, приводить к повышению концентрации креатинина (таб. </w:t>
      </w:r>
      <w:r w:rsidR="00F32920">
        <w:rPr>
          <w:szCs w:val="24"/>
          <w:lang w:eastAsia="ru-RU"/>
        </w:rPr>
        <w:t>А3.7</w:t>
      </w:r>
      <w:r w:rsidRPr="00EA288F">
        <w:rPr>
          <w:szCs w:val="24"/>
          <w:lang w:eastAsia="ru-RU"/>
        </w:rPr>
        <w:t>).</w:t>
      </w:r>
    </w:p>
    <w:p w14:paraId="150FFAE5" w14:textId="77777777" w:rsidR="00EA288F" w:rsidRPr="00EA288F" w:rsidRDefault="00EA288F" w:rsidP="00EA288F">
      <w:pPr>
        <w:tabs>
          <w:tab w:val="left" w:pos="0"/>
        </w:tabs>
        <w:spacing w:before="0" w:after="0"/>
        <w:ind w:firstLine="709"/>
        <w:contextualSpacing/>
        <w:rPr>
          <w:szCs w:val="24"/>
          <w:lang w:eastAsia="ru-RU"/>
        </w:rPr>
      </w:pPr>
      <w:r w:rsidRPr="00EA288F">
        <w:rPr>
          <w:szCs w:val="24"/>
          <w:lang w:eastAsia="ru-RU"/>
        </w:rPr>
        <w:t>Бисфосфонаты следует отменить в случае возникновения почечной токсичности и возобновить терапию, когда концентрация креатинина крови вернется в пределы 10% от базового значения.</w:t>
      </w:r>
    </w:p>
    <w:p w14:paraId="2118CF8D" w14:textId="77777777" w:rsidR="00EA288F" w:rsidRPr="00EA288F" w:rsidRDefault="00EA288F" w:rsidP="00EA288F">
      <w:pPr>
        <w:tabs>
          <w:tab w:val="left" w:pos="0"/>
        </w:tabs>
        <w:spacing w:before="0" w:after="0"/>
        <w:ind w:firstLine="709"/>
        <w:contextualSpacing/>
        <w:rPr>
          <w:szCs w:val="24"/>
          <w:lang w:eastAsia="ru-RU"/>
        </w:rPr>
      </w:pPr>
      <w:r w:rsidRPr="00EA288F">
        <w:rPr>
          <w:szCs w:val="24"/>
          <w:lang w:eastAsia="ru-RU"/>
        </w:rPr>
        <w:t xml:space="preserve">Памидроновую кислоту не следует назначать пациентам с тяжелой почечной недостаточностью (СКФ </w:t>
      </w:r>
      <w:r w:rsidRPr="00EA288F">
        <w:rPr>
          <w:rFonts w:eastAsia="Times New Roman"/>
          <w:color w:val="000000"/>
          <w:kern w:val="24"/>
          <w:szCs w:val="24"/>
          <w:lang w:eastAsia="ru-RU"/>
        </w:rPr>
        <w:t>&lt;30 мл/мин.), за исключением случаев угрожающей жизни гиперкальциемии.</w:t>
      </w:r>
    </w:p>
    <w:p w14:paraId="4FDF1C14" w14:textId="7FD94DE2" w:rsidR="00EA288F" w:rsidRPr="00EA288F" w:rsidRDefault="00EA288F" w:rsidP="00EA288F">
      <w:pPr>
        <w:tabs>
          <w:tab w:val="left" w:pos="0"/>
        </w:tabs>
        <w:spacing w:before="0" w:after="160"/>
        <w:rPr>
          <w:szCs w:val="24"/>
        </w:rPr>
      </w:pPr>
      <w:r w:rsidRPr="00292402">
        <w:rPr>
          <w:b/>
          <w:szCs w:val="24"/>
          <w:lang w:eastAsia="ru-RU"/>
        </w:rPr>
        <w:t xml:space="preserve">Таблица </w:t>
      </w:r>
      <w:r w:rsidR="00F32920" w:rsidRPr="00292402">
        <w:rPr>
          <w:b/>
          <w:szCs w:val="24"/>
          <w:lang w:eastAsia="ru-RU"/>
        </w:rPr>
        <w:t>А3.7</w:t>
      </w:r>
      <w:r w:rsidRPr="00292402">
        <w:rPr>
          <w:b/>
          <w:szCs w:val="24"/>
          <w:lang w:eastAsia="ru-RU"/>
        </w:rPr>
        <w:t>.</w:t>
      </w:r>
      <w:r w:rsidRPr="00EA288F">
        <w:rPr>
          <w:szCs w:val="24"/>
          <w:lang w:eastAsia="ru-RU"/>
        </w:rPr>
        <w:t xml:space="preserve"> Коррекция дозы бисфосфонатов в зависимости от СКФ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2518"/>
        <w:gridCol w:w="3702"/>
      </w:tblGrid>
      <w:tr w:rsidR="00EA288F" w:rsidRPr="00EA288F" w14:paraId="34477134" w14:textId="77777777" w:rsidTr="00EA288F">
        <w:trPr>
          <w:tblHeader/>
        </w:trPr>
        <w:tc>
          <w:tcPr>
            <w:tcW w:w="3190" w:type="dxa"/>
            <w:tcBorders>
              <w:top w:val="single" w:sz="4" w:space="0" w:color="auto"/>
              <w:left w:val="single" w:sz="4" w:space="0" w:color="auto"/>
              <w:bottom w:val="single" w:sz="4" w:space="0" w:color="auto"/>
              <w:right w:val="single" w:sz="4" w:space="0" w:color="auto"/>
            </w:tcBorders>
            <w:hideMark/>
          </w:tcPr>
          <w:p w14:paraId="3D450C86" w14:textId="77777777" w:rsidR="00EA288F" w:rsidRPr="00EA288F" w:rsidRDefault="00EA288F" w:rsidP="00EA288F">
            <w:pPr>
              <w:tabs>
                <w:tab w:val="left" w:pos="0"/>
              </w:tabs>
              <w:contextualSpacing/>
              <w:rPr>
                <w:szCs w:val="24"/>
              </w:rPr>
            </w:pPr>
            <w:r w:rsidRPr="00EA288F">
              <w:rPr>
                <w:b/>
                <w:szCs w:val="24"/>
                <w:lang w:eastAsia="ru-RU"/>
              </w:rPr>
              <w:t>Препараты</w:t>
            </w:r>
          </w:p>
        </w:tc>
        <w:tc>
          <w:tcPr>
            <w:tcW w:w="2588" w:type="dxa"/>
            <w:tcBorders>
              <w:top w:val="single" w:sz="4" w:space="0" w:color="auto"/>
              <w:left w:val="single" w:sz="4" w:space="0" w:color="auto"/>
              <w:bottom w:val="single" w:sz="4" w:space="0" w:color="auto"/>
              <w:right w:val="single" w:sz="4" w:space="0" w:color="auto"/>
            </w:tcBorders>
            <w:hideMark/>
          </w:tcPr>
          <w:p w14:paraId="1CFE41AE" w14:textId="77777777" w:rsidR="00EA288F" w:rsidRPr="00EA288F" w:rsidRDefault="00EA288F" w:rsidP="00EA288F">
            <w:pPr>
              <w:tabs>
                <w:tab w:val="left" w:pos="0"/>
              </w:tabs>
              <w:contextualSpacing/>
              <w:rPr>
                <w:b/>
                <w:szCs w:val="24"/>
              </w:rPr>
            </w:pPr>
            <w:r w:rsidRPr="00EA288F">
              <w:rPr>
                <w:b/>
                <w:szCs w:val="24"/>
                <w:lang w:eastAsia="ru-RU"/>
              </w:rPr>
              <w:t xml:space="preserve">СКФ, </w:t>
            </w:r>
            <w:r w:rsidRPr="00EA288F">
              <w:rPr>
                <w:rFonts w:eastAsia="Times New Roman"/>
                <w:b/>
                <w:color w:val="000000"/>
                <w:kern w:val="24"/>
                <w:szCs w:val="24"/>
                <w:lang w:eastAsia="ru-RU"/>
              </w:rPr>
              <w:t>мл/мин</w:t>
            </w:r>
          </w:p>
        </w:tc>
        <w:tc>
          <w:tcPr>
            <w:tcW w:w="3793" w:type="dxa"/>
            <w:tcBorders>
              <w:top w:val="single" w:sz="4" w:space="0" w:color="auto"/>
              <w:left w:val="single" w:sz="4" w:space="0" w:color="auto"/>
              <w:bottom w:val="single" w:sz="4" w:space="0" w:color="auto"/>
              <w:right w:val="single" w:sz="4" w:space="0" w:color="auto"/>
            </w:tcBorders>
            <w:hideMark/>
          </w:tcPr>
          <w:p w14:paraId="612A713F" w14:textId="77777777" w:rsidR="00EA288F" w:rsidRPr="00EA288F" w:rsidRDefault="00EA288F" w:rsidP="00EA288F">
            <w:pPr>
              <w:tabs>
                <w:tab w:val="left" w:pos="0"/>
              </w:tabs>
              <w:contextualSpacing/>
              <w:rPr>
                <w:b/>
                <w:szCs w:val="24"/>
              </w:rPr>
            </w:pPr>
            <w:r w:rsidRPr="00EA288F">
              <w:rPr>
                <w:b/>
                <w:szCs w:val="24"/>
                <w:lang w:eastAsia="ru-RU"/>
              </w:rPr>
              <w:t>Доза</w:t>
            </w:r>
          </w:p>
        </w:tc>
      </w:tr>
      <w:tr w:rsidR="00EA288F" w:rsidRPr="00EA288F" w14:paraId="0145CDCD" w14:textId="77777777" w:rsidTr="00EA288F">
        <w:trPr>
          <w:trHeight w:val="483"/>
        </w:trPr>
        <w:tc>
          <w:tcPr>
            <w:tcW w:w="3190" w:type="dxa"/>
            <w:tcBorders>
              <w:top w:val="single" w:sz="4" w:space="0" w:color="auto"/>
              <w:left w:val="single" w:sz="4" w:space="0" w:color="auto"/>
              <w:bottom w:val="single" w:sz="4" w:space="0" w:color="auto"/>
              <w:right w:val="single" w:sz="4" w:space="0" w:color="auto"/>
            </w:tcBorders>
            <w:hideMark/>
          </w:tcPr>
          <w:p w14:paraId="33CEA046" w14:textId="77777777" w:rsidR="00EA288F" w:rsidRPr="00EA288F" w:rsidRDefault="00EA288F" w:rsidP="00292402">
            <w:pPr>
              <w:tabs>
                <w:tab w:val="left" w:pos="0"/>
              </w:tabs>
              <w:spacing w:before="0" w:after="0"/>
              <w:rPr>
                <w:rFonts w:eastAsia="Times New Roman"/>
                <w:szCs w:val="24"/>
                <w:lang w:val="en-US" w:eastAsia="ru-RU"/>
              </w:rPr>
            </w:pPr>
            <w:r w:rsidRPr="00EA288F">
              <w:rPr>
                <w:rFonts w:eastAsia="Times New Roman"/>
                <w:color w:val="000000"/>
                <w:kern w:val="24"/>
                <w:szCs w:val="24"/>
                <w:lang w:eastAsia="ru-RU"/>
              </w:rPr>
              <w:t>Золедроновая кислота</w:t>
            </w:r>
            <w:r w:rsidRPr="00EA288F">
              <w:rPr>
                <w:rFonts w:eastAsia="Times New Roman"/>
                <w:color w:val="000000"/>
                <w:kern w:val="24"/>
                <w:szCs w:val="24"/>
                <w:lang w:val="en-US" w:eastAsia="ru-RU"/>
              </w:rPr>
              <w:t>**</w:t>
            </w:r>
          </w:p>
        </w:tc>
        <w:tc>
          <w:tcPr>
            <w:tcW w:w="2588" w:type="dxa"/>
            <w:tcBorders>
              <w:top w:val="single" w:sz="4" w:space="0" w:color="auto"/>
              <w:left w:val="single" w:sz="4" w:space="0" w:color="auto"/>
              <w:bottom w:val="single" w:sz="4" w:space="0" w:color="auto"/>
              <w:right w:val="single" w:sz="4" w:space="0" w:color="auto"/>
            </w:tcBorders>
            <w:hideMark/>
          </w:tcPr>
          <w:p w14:paraId="18E762BE" w14:textId="77777777" w:rsidR="00EA288F" w:rsidRPr="00EA288F" w:rsidRDefault="00EA288F" w:rsidP="00292402">
            <w:pPr>
              <w:tabs>
                <w:tab w:val="left" w:pos="0"/>
              </w:tabs>
              <w:spacing w:before="0" w:after="0"/>
              <w:rPr>
                <w:rFonts w:eastAsia="Times New Roman"/>
                <w:szCs w:val="24"/>
                <w:lang w:eastAsia="ru-RU"/>
              </w:rPr>
            </w:pPr>
            <w:r w:rsidRPr="00EA288F">
              <w:rPr>
                <w:rFonts w:eastAsia="Times New Roman"/>
                <w:color w:val="000000"/>
                <w:kern w:val="24"/>
                <w:szCs w:val="24"/>
                <w:lang w:eastAsia="ru-RU"/>
              </w:rPr>
              <w:t xml:space="preserve">30-60 </w:t>
            </w:r>
          </w:p>
          <w:p w14:paraId="7FC3C72C" w14:textId="77777777" w:rsidR="00EA288F" w:rsidRPr="00EA288F" w:rsidRDefault="00EA288F" w:rsidP="00292402">
            <w:pPr>
              <w:tabs>
                <w:tab w:val="left" w:pos="0"/>
              </w:tabs>
              <w:spacing w:before="0" w:after="0"/>
              <w:rPr>
                <w:rFonts w:eastAsia="Times New Roman"/>
                <w:szCs w:val="24"/>
                <w:lang w:eastAsia="ru-RU"/>
              </w:rPr>
            </w:pPr>
            <w:r w:rsidRPr="00EA288F">
              <w:rPr>
                <w:rFonts w:eastAsia="Times New Roman"/>
                <w:color w:val="000000"/>
                <w:kern w:val="24"/>
                <w:szCs w:val="24"/>
                <w:lang w:eastAsia="ru-RU"/>
              </w:rPr>
              <w:t xml:space="preserve">  </w:t>
            </w:r>
            <w:r w:rsidRPr="00EA288F">
              <w:rPr>
                <w:rFonts w:eastAsia="Times New Roman"/>
                <w:color w:val="000000"/>
                <w:kern w:val="24"/>
                <w:szCs w:val="24"/>
                <w:lang w:val="en-US" w:eastAsia="ru-RU"/>
              </w:rPr>
              <w:t xml:space="preserve">&lt; 30 </w:t>
            </w:r>
          </w:p>
        </w:tc>
        <w:tc>
          <w:tcPr>
            <w:tcW w:w="3793" w:type="dxa"/>
            <w:tcBorders>
              <w:top w:val="single" w:sz="4" w:space="0" w:color="auto"/>
              <w:left w:val="single" w:sz="4" w:space="0" w:color="auto"/>
              <w:bottom w:val="single" w:sz="4" w:space="0" w:color="auto"/>
              <w:right w:val="single" w:sz="4" w:space="0" w:color="auto"/>
            </w:tcBorders>
            <w:hideMark/>
          </w:tcPr>
          <w:p w14:paraId="14BCCD03" w14:textId="77777777" w:rsidR="00EA288F" w:rsidRPr="00EA288F" w:rsidRDefault="00EA288F" w:rsidP="00292402">
            <w:pPr>
              <w:tabs>
                <w:tab w:val="left" w:pos="0"/>
              </w:tabs>
              <w:spacing w:before="0" w:after="0"/>
              <w:rPr>
                <w:rFonts w:eastAsia="Times New Roman"/>
                <w:color w:val="000000"/>
                <w:kern w:val="24"/>
                <w:szCs w:val="24"/>
                <w:lang w:eastAsia="ru-RU"/>
              </w:rPr>
            </w:pPr>
            <w:r w:rsidRPr="00EA288F">
              <w:rPr>
                <w:rFonts w:eastAsia="Times New Roman"/>
                <w:color w:val="000000"/>
                <w:kern w:val="24"/>
                <w:szCs w:val="24"/>
                <w:lang w:eastAsia="ru-RU"/>
              </w:rPr>
              <w:t>100% (4 мг)</w:t>
            </w:r>
          </w:p>
          <w:p w14:paraId="2A11A077" w14:textId="77777777" w:rsidR="00EA288F" w:rsidRPr="00EA288F" w:rsidRDefault="00EA288F" w:rsidP="00292402">
            <w:pPr>
              <w:tabs>
                <w:tab w:val="left" w:pos="0"/>
              </w:tabs>
              <w:spacing w:before="0" w:after="0"/>
              <w:rPr>
                <w:rFonts w:eastAsia="Times New Roman"/>
                <w:szCs w:val="24"/>
                <w:lang w:eastAsia="ru-RU"/>
              </w:rPr>
            </w:pPr>
            <w:r w:rsidRPr="00EA288F">
              <w:rPr>
                <w:rFonts w:eastAsia="Times New Roman"/>
                <w:color w:val="000000"/>
                <w:kern w:val="24"/>
                <w:szCs w:val="24"/>
                <w:lang w:eastAsia="ru-RU"/>
              </w:rPr>
              <w:t>Не рекомендовано</w:t>
            </w:r>
          </w:p>
        </w:tc>
      </w:tr>
      <w:tr w:rsidR="00EA288F" w:rsidRPr="00EA288F" w14:paraId="3FC45DAE" w14:textId="77777777" w:rsidTr="00EA288F">
        <w:tc>
          <w:tcPr>
            <w:tcW w:w="3190" w:type="dxa"/>
            <w:tcBorders>
              <w:top w:val="single" w:sz="4" w:space="0" w:color="auto"/>
              <w:left w:val="single" w:sz="4" w:space="0" w:color="auto"/>
              <w:bottom w:val="single" w:sz="4" w:space="0" w:color="auto"/>
              <w:right w:val="single" w:sz="4" w:space="0" w:color="auto"/>
            </w:tcBorders>
            <w:hideMark/>
          </w:tcPr>
          <w:p w14:paraId="6DF4D968" w14:textId="77777777" w:rsidR="00EA288F" w:rsidRPr="00EA288F" w:rsidRDefault="00EA288F" w:rsidP="00292402">
            <w:pPr>
              <w:tabs>
                <w:tab w:val="left" w:pos="0"/>
              </w:tabs>
              <w:spacing w:before="0" w:after="0"/>
              <w:rPr>
                <w:rFonts w:eastAsia="Times New Roman"/>
                <w:szCs w:val="24"/>
                <w:lang w:eastAsia="ru-RU"/>
              </w:rPr>
            </w:pPr>
            <w:r w:rsidRPr="00EA288F">
              <w:rPr>
                <w:rFonts w:eastAsia="Times New Roman"/>
                <w:color w:val="000000"/>
                <w:kern w:val="24"/>
                <w:szCs w:val="24"/>
                <w:lang w:eastAsia="ru-RU"/>
              </w:rPr>
              <w:t>Памидроновая кислота</w:t>
            </w:r>
          </w:p>
        </w:tc>
        <w:tc>
          <w:tcPr>
            <w:tcW w:w="2588" w:type="dxa"/>
            <w:tcBorders>
              <w:top w:val="single" w:sz="4" w:space="0" w:color="auto"/>
              <w:left w:val="single" w:sz="4" w:space="0" w:color="auto"/>
              <w:bottom w:val="single" w:sz="4" w:space="0" w:color="auto"/>
              <w:right w:val="single" w:sz="4" w:space="0" w:color="auto"/>
            </w:tcBorders>
            <w:hideMark/>
          </w:tcPr>
          <w:p w14:paraId="654563DD" w14:textId="77777777" w:rsidR="00EA288F" w:rsidRPr="00EA288F" w:rsidRDefault="00EA288F" w:rsidP="00292402">
            <w:pPr>
              <w:tabs>
                <w:tab w:val="left" w:pos="0"/>
              </w:tabs>
              <w:spacing w:before="0" w:after="0"/>
              <w:rPr>
                <w:rFonts w:eastAsia="Times New Roman"/>
                <w:szCs w:val="24"/>
                <w:lang w:eastAsia="ru-RU"/>
              </w:rPr>
            </w:pPr>
            <w:r w:rsidRPr="00EA288F">
              <w:rPr>
                <w:rFonts w:eastAsia="Times New Roman"/>
                <w:color w:val="000000"/>
                <w:kern w:val="24"/>
                <w:szCs w:val="24"/>
                <w:lang w:eastAsia="ru-RU"/>
              </w:rPr>
              <w:t xml:space="preserve">30-60 </w:t>
            </w:r>
          </w:p>
          <w:p w14:paraId="32150F0B" w14:textId="77777777" w:rsidR="00EA288F" w:rsidRPr="00EA288F" w:rsidRDefault="00EA288F" w:rsidP="00292402">
            <w:pPr>
              <w:tabs>
                <w:tab w:val="left" w:pos="0"/>
              </w:tabs>
              <w:spacing w:before="0" w:after="0"/>
              <w:rPr>
                <w:rFonts w:eastAsia="Times New Roman"/>
                <w:szCs w:val="24"/>
                <w:lang w:eastAsia="ru-RU"/>
              </w:rPr>
            </w:pPr>
            <w:r w:rsidRPr="00EA288F">
              <w:rPr>
                <w:rFonts w:eastAsia="Times New Roman"/>
                <w:color w:val="000000"/>
                <w:kern w:val="24"/>
                <w:szCs w:val="24"/>
                <w:lang w:eastAsia="ru-RU"/>
              </w:rPr>
              <w:t xml:space="preserve">&lt;30 </w:t>
            </w:r>
          </w:p>
        </w:tc>
        <w:tc>
          <w:tcPr>
            <w:tcW w:w="3793" w:type="dxa"/>
            <w:tcBorders>
              <w:top w:val="single" w:sz="4" w:space="0" w:color="auto"/>
              <w:left w:val="single" w:sz="4" w:space="0" w:color="auto"/>
              <w:bottom w:val="single" w:sz="4" w:space="0" w:color="auto"/>
              <w:right w:val="single" w:sz="4" w:space="0" w:color="auto"/>
            </w:tcBorders>
            <w:hideMark/>
          </w:tcPr>
          <w:p w14:paraId="6CEEF934" w14:textId="77777777" w:rsidR="00EA288F" w:rsidRPr="00EA288F" w:rsidRDefault="00EA288F" w:rsidP="00292402">
            <w:pPr>
              <w:tabs>
                <w:tab w:val="left" w:pos="0"/>
              </w:tabs>
              <w:spacing w:before="0" w:after="0"/>
              <w:rPr>
                <w:rFonts w:eastAsia="Times New Roman"/>
                <w:szCs w:val="24"/>
                <w:lang w:eastAsia="ru-RU"/>
              </w:rPr>
            </w:pPr>
            <w:r w:rsidRPr="00EA288F">
              <w:rPr>
                <w:rFonts w:eastAsia="Times New Roman"/>
                <w:color w:val="000000"/>
                <w:kern w:val="24"/>
                <w:szCs w:val="24"/>
                <w:lang w:eastAsia="ru-RU"/>
              </w:rPr>
              <w:t>100% (90 мг)</w:t>
            </w:r>
          </w:p>
          <w:p w14:paraId="26DB226C" w14:textId="77777777" w:rsidR="00EA288F" w:rsidRPr="00EA288F" w:rsidRDefault="00EA288F" w:rsidP="00292402">
            <w:pPr>
              <w:tabs>
                <w:tab w:val="left" w:pos="0"/>
              </w:tabs>
              <w:spacing w:before="0" w:after="0"/>
              <w:rPr>
                <w:rFonts w:eastAsia="Times New Roman"/>
                <w:szCs w:val="24"/>
                <w:lang w:eastAsia="ru-RU"/>
              </w:rPr>
            </w:pPr>
            <w:r w:rsidRPr="00EA288F">
              <w:rPr>
                <w:rFonts w:eastAsia="Times New Roman"/>
                <w:color w:val="000000"/>
                <w:kern w:val="24"/>
                <w:szCs w:val="24"/>
                <w:lang w:eastAsia="ru-RU"/>
              </w:rPr>
              <w:t>Не рекомендовано</w:t>
            </w:r>
          </w:p>
        </w:tc>
      </w:tr>
      <w:tr w:rsidR="00EA288F" w:rsidRPr="00EA288F" w14:paraId="09680501" w14:textId="77777777" w:rsidTr="00EA288F">
        <w:tc>
          <w:tcPr>
            <w:tcW w:w="3190" w:type="dxa"/>
            <w:tcBorders>
              <w:top w:val="single" w:sz="4" w:space="0" w:color="auto"/>
              <w:left w:val="single" w:sz="4" w:space="0" w:color="auto"/>
              <w:bottom w:val="single" w:sz="4" w:space="0" w:color="auto"/>
              <w:right w:val="single" w:sz="4" w:space="0" w:color="auto"/>
            </w:tcBorders>
            <w:hideMark/>
          </w:tcPr>
          <w:p w14:paraId="6B4AAAE2" w14:textId="77777777" w:rsidR="00EA288F" w:rsidRPr="00EA288F" w:rsidRDefault="00EA288F" w:rsidP="00292402">
            <w:pPr>
              <w:tabs>
                <w:tab w:val="left" w:pos="0"/>
              </w:tabs>
              <w:spacing w:before="0" w:after="0"/>
              <w:rPr>
                <w:szCs w:val="24"/>
              </w:rPr>
            </w:pPr>
            <w:r w:rsidRPr="00EA288F">
              <w:rPr>
                <w:szCs w:val="24"/>
                <w:lang w:eastAsia="ru-RU"/>
              </w:rPr>
              <w:t>Клодроновая кислота</w:t>
            </w:r>
          </w:p>
        </w:tc>
        <w:tc>
          <w:tcPr>
            <w:tcW w:w="2588" w:type="dxa"/>
            <w:tcBorders>
              <w:top w:val="single" w:sz="4" w:space="0" w:color="auto"/>
              <w:left w:val="single" w:sz="4" w:space="0" w:color="auto"/>
              <w:bottom w:val="single" w:sz="4" w:space="0" w:color="auto"/>
              <w:right w:val="single" w:sz="4" w:space="0" w:color="auto"/>
            </w:tcBorders>
            <w:hideMark/>
          </w:tcPr>
          <w:p w14:paraId="2A8A95AA" w14:textId="77777777" w:rsidR="00EA288F" w:rsidRPr="00EA288F" w:rsidRDefault="00EA288F" w:rsidP="00292402">
            <w:pPr>
              <w:tabs>
                <w:tab w:val="left" w:pos="0"/>
              </w:tabs>
              <w:spacing w:after="0"/>
              <w:contextualSpacing/>
              <w:rPr>
                <w:szCs w:val="24"/>
                <w:lang w:eastAsia="ru-RU"/>
              </w:rPr>
            </w:pPr>
            <w:r w:rsidRPr="00EA288F">
              <w:rPr>
                <w:szCs w:val="24"/>
                <w:lang w:eastAsia="ru-RU"/>
              </w:rPr>
              <w:t xml:space="preserve">50-80 </w:t>
            </w:r>
          </w:p>
          <w:p w14:paraId="219C7473" w14:textId="77777777" w:rsidR="00EA288F" w:rsidRPr="00EA288F" w:rsidRDefault="00EA288F" w:rsidP="00292402">
            <w:pPr>
              <w:tabs>
                <w:tab w:val="left" w:pos="0"/>
              </w:tabs>
              <w:spacing w:after="0"/>
              <w:contextualSpacing/>
              <w:rPr>
                <w:szCs w:val="24"/>
                <w:lang w:eastAsia="ru-RU"/>
              </w:rPr>
            </w:pPr>
            <w:r w:rsidRPr="00EA288F">
              <w:rPr>
                <w:szCs w:val="24"/>
                <w:lang w:eastAsia="ru-RU"/>
              </w:rPr>
              <w:t>30-50</w:t>
            </w:r>
          </w:p>
          <w:p w14:paraId="0A2C2384" w14:textId="77777777" w:rsidR="00EA288F" w:rsidRPr="00EA288F" w:rsidRDefault="00EA288F" w:rsidP="00292402">
            <w:pPr>
              <w:tabs>
                <w:tab w:val="left" w:pos="0"/>
              </w:tabs>
              <w:spacing w:after="0"/>
              <w:contextualSpacing/>
              <w:rPr>
                <w:szCs w:val="24"/>
                <w:lang w:eastAsia="ru-RU"/>
              </w:rPr>
            </w:pPr>
            <w:r w:rsidRPr="00EA288F">
              <w:rPr>
                <w:szCs w:val="24"/>
                <w:lang w:eastAsia="ru-RU"/>
              </w:rPr>
              <w:t>10-30</w:t>
            </w:r>
          </w:p>
          <w:p w14:paraId="5A5B3A38" w14:textId="77777777" w:rsidR="00EA288F" w:rsidRPr="00EA288F" w:rsidRDefault="00EA288F" w:rsidP="00292402">
            <w:pPr>
              <w:tabs>
                <w:tab w:val="left" w:pos="0"/>
              </w:tabs>
              <w:spacing w:after="0"/>
              <w:contextualSpacing/>
              <w:rPr>
                <w:szCs w:val="24"/>
              </w:rPr>
            </w:pPr>
            <w:r w:rsidRPr="00EA288F">
              <w:rPr>
                <w:rFonts w:eastAsia="Times New Roman"/>
                <w:color w:val="000000"/>
                <w:kern w:val="24"/>
                <w:szCs w:val="24"/>
                <w:lang w:eastAsia="ru-RU"/>
              </w:rPr>
              <w:t>&lt;10</w:t>
            </w:r>
          </w:p>
        </w:tc>
        <w:tc>
          <w:tcPr>
            <w:tcW w:w="3793" w:type="dxa"/>
            <w:tcBorders>
              <w:top w:val="single" w:sz="4" w:space="0" w:color="auto"/>
              <w:left w:val="single" w:sz="4" w:space="0" w:color="auto"/>
              <w:bottom w:val="single" w:sz="4" w:space="0" w:color="auto"/>
              <w:right w:val="single" w:sz="4" w:space="0" w:color="auto"/>
            </w:tcBorders>
            <w:hideMark/>
          </w:tcPr>
          <w:p w14:paraId="78D56A2E" w14:textId="77777777" w:rsidR="00EA288F" w:rsidRPr="00EA288F" w:rsidRDefault="00EA288F" w:rsidP="00292402">
            <w:pPr>
              <w:tabs>
                <w:tab w:val="left" w:pos="0"/>
              </w:tabs>
              <w:spacing w:after="0"/>
              <w:contextualSpacing/>
              <w:rPr>
                <w:szCs w:val="24"/>
                <w:lang w:eastAsia="ru-RU"/>
              </w:rPr>
            </w:pPr>
            <w:r w:rsidRPr="00EA288F">
              <w:rPr>
                <w:rFonts w:eastAsia="Times New Roman"/>
                <w:color w:val="000000"/>
                <w:kern w:val="24"/>
                <w:szCs w:val="24"/>
                <w:lang w:eastAsia="ru-RU"/>
              </w:rPr>
              <w:t>100% (</w:t>
            </w:r>
            <w:r w:rsidRPr="00EA288F">
              <w:rPr>
                <w:szCs w:val="24"/>
                <w:lang w:eastAsia="ru-RU"/>
              </w:rPr>
              <w:t>1600 мг)</w:t>
            </w:r>
          </w:p>
          <w:p w14:paraId="2E575FDF" w14:textId="77777777" w:rsidR="00EA288F" w:rsidRPr="00EA288F" w:rsidRDefault="00EA288F" w:rsidP="00292402">
            <w:pPr>
              <w:tabs>
                <w:tab w:val="left" w:pos="0"/>
              </w:tabs>
              <w:spacing w:after="0"/>
              <w:contextualSpacing/>
              <w:rPr>
                <w:szCs w:val="24"/>
                <w:lang w:eastAsia="ru-RU"/>
              </w:rPr>
            </w:pPr>
            <w:r w:rsidRPr="00EA288F">
              <w:rPr>
                <w:szCs w:val="24"/>
                <w:lang w:eastAsia="ru-RU"/>
              </w:rPr>
              <w:t>1200 мг</w:t>
            </w:r>
          </w:p>
          <w:p w14:paraId="6905BCE9" w14:textId="77777777" w:rsidR="00EA288F" w:rsidRPr="00EA288F" w:rsidRDefault="00EA288F" w:rsidP="00292402">
            <w:pPr>
              <w:tabs>
                <w:tab w:val="left" w:pos="0"/>
              </w:tabs>
              <w:spacing w:after="0"/>
              <w:contextualSpacing/>
              <w:rPr>
                <w:szCs w:val="24"/>
                <w:lang w:eastAsia="ru-RU"/>
              </w:rPr>
            </w:pPr>
            <w:r w:rsidRPr="00EA288F">
              <w:rPr>
                <w:szCs w:val="24"/>
                <w:lang w:eastAsia="ru-RU"/>
              </w:rPr>
              <w:t>800 мг</w:t>
            </w:r>
          </w:p>
          <w:p w14:paraId="1C2D1AC0" w14:textId="77777777" w:rsidR="00EA288F" w:rsidRPr="00EA288F" w:rsidRDefault="00EA288F" w:rsidP="00292402">
            <w:pPr>
              <w:tabs>
                <w:tab w:val="left" w:pos="0"/>
              </w:tabs>
              <w:spacing w:after="0"/>
              <w:contextualSpacing/>
              <w:rPr>
                <w:szCs w:val="24"/>
              </w:rPr>
            </w:pPr>
            <w:r w:rsidRPr="00EA288F">
              <w:rPr>
                <w:rFonts w:eastAsia="Times New Roman"/>
                <w:color w:val="000000"/>
                <w:kern w:val="24"/>
                <w:szCs w:val="24"/>
                <w:lang w:eastAsia="ru-RU"/>
              </w:rPr>
              <w:t>Не рекомендовано</w:t>
            </w:r>
          </w:p>
        </w:tc>
      </w:tr>
    </w:tbl>
    <w:p w14:paraId="7694B540" w14:textId="77777777" w:rsidR="00EA288F" w:rsidRPr="00EA288F" w:rsidRDefault="00EA288F" w:rsidP="00EA288F">
      <w:pPr>
        <w:tabs>
          <w:tab w:val="left" w:pos="0"/>
        </w:tabs>
        <w:spacing w:before="0" w:after="0"/>
        <w:ind w:firstLine="709"/>
        <w:contextualSpacing/>
        <w:rPr>
          <w:i/>
          <w:szCs w:val="24"/>
        </w:rPr>
      </w:pPr>
      <w:r w:rsidRPr="00EA288F">
        <w:rPr>
          <w:szCs w:val="24"/>
          <w:lang w:eastAsia="ru-RU"/>
        </w:rPr>
        <w:lastRenderedPageBreak/>
        <w:t xml:space="preserve">Во время терапии бисфосфонатами требуется мониторинг показателей мочевины, креатинина, электролитов К, </w:t>
      </w:r>
      <w:r w:rsidRPr="00EA288F">
        <w:rPr>
          <w:szCs w:val="24"/>
          <w:lang w:val="en-US" w:eastAsia="ru-RU"/>
        </w:rPr>
        <w:t>Na</w:t>
      </w:r>
      <w:r w:rsidRPr="00EA288F">
        <w:rPr>
          <w:szCs w:val="24"/>
          <w:lang w:eastAsia="ru-RU"/>
        </w:rPr>
        <w:t>, Са общий и свободный.</w:t>
      </w:r>
    </w:p>
    <w:p w14:paraId="41FA59CD" w14:textId="77777777" w:rsidR="00EA288F" w:rsidRPr="00EA288F" w:rsidRDefault="00EA288F" w:rsidP="00EA288F">
      <w:pPr>
        <w:tabs>
          <w:tab w:val="left" w:pos="0"/>
        </w:tabs>
        <w:spacing w:before="0" w:after="0"/>
        <w:ind w:firstLine="709"/>
        <w:rPr>
          <w:szCs w:val="24"/>
        </w:rPr>
      </w:pPr>
      <w:r w:rsidRPr="00EA288F">
        <w:rPr>
          <w:szCs w:val="24"/>
        </w:rPr>
        <w:t>Согласно рекомендациям экспертов Международной рабочей группы по изучению множественной миеломы (</w:t>
      </w:r>
      <w:r w:rsidRPr="00EA288F">
        <w:rPr>
          <w:szCs w:val="24"/>
          <w:lang w:val="en-US"/>
        </w:rPr>
        <w:t>IMWG</w:t>
      </w:r>
      <w:r w:rsidRPr="00EA288F">
        <w:rPr>
          <w:szCs w:val="24"/>
        </w:rPr>
        <w:t xml:space="preserve">), назначение бисфосфонатов следует рассматривать у всех пациентов с множественной миеломой, получающих специфическую терапию. Золедроновая кислота** предпочтительнее перорального клодроната для пациентов с вновь диагностированной множественной миеломой из-за потенциального антимиеломного эффекта, доказанного при применении золедроновой кислоты. </w:t>
      </w:r>
    </w:p>
    <w:p w14:paraId="3C53E98F" w14:textId="1F57216A" w:rsidR="00EA288F" w:rsidRPr="00EA288F" w:rsidRDefault="00EA288F" w:rsidP="00EA288F">
      <w:pPr>
        <w:tabs>
          <w:tab w:val="left" w:pos="0"/>
        </w:tabs>
        <w:spacing w:before="0" w:after="0"/>
        <w:ind w:firstLine="709"/>
        <w:rPr>
          <w:szCs w:val="24"/>
        </w:rPr>
      </w:pPr>
      <w:r w:rsidRPr="00EA288F">
        <w:rPr>
          <w:szCs w:val="24"/>
        </w:rPr>
        <w:t>Длительность терапии препаратами, улучшающие метаболизм костной ткани, четко не регламентирована. Ежемесячное введение бисфосфонатов может быть продолжено в течение 2 лет. Пациентам, получающим поддерживающую терапию, без признаков активности заболевания, возможно уменьшение кратности введения бисфосфонатов до одного введения в три месяца</w:t>
      </w:r>
      <w:r w:rsidRPr="00EA288F">
        <w:rPr>
          <w:bCs/>
          <w:szCs w:val="24"/>
        </w:rPr>
        <w:fldChar w:fldCharType="begin" w:fldLock="1"/>
      </w:r>
      <w:r w:rsidR="00E430FD">
        <w:rPr>
          <w:b/>
          <w:bCs/>
          <w:szCs w:val="24"/>
        </w:rPr>
        <w:instrText>ADDIN CSL_CITATION {"citationItems":[{"id":"ITEM-1","itemData":{"DOI":"10.1056/nejm199602223340802","ISSN":"0028-4793","PMID":"8559201","abstract":"Background. Skeletal complications are a major clinical manifestation of multiple myeloma. These complications are caused by soluble factors that stimulate osteoclasts to resorb bone. Bisphosphonates such as pamidronate inhibit osteoclastic activity and reduce bone resorption. Methods. Patients with stage III multiple myeloma and at least one lytic lesion received either placebo or pamidronate (90 mg) as a four-hour intravenous infusion given every four weeks for nine cycles in addition to antimyeloma therapy. The patients were stratified according to whether they were receiving first-line (stratum 1) or second-line (stratum 2) antimyeloma chemotherapy at entry into the study. Skeletal events (pathologic fracture, irradiation of or surgery on bone, and spinal cord compression), hypercalcemia (symptoms or a serum calcium concentration ≥12 mg per deciliter [3.0 mmol per liter]), bone pain, analgesic-drug use, performance status and quality of life were assessed monthly. Results. Among  392 treated patients, the efficacy of treatment could be evaluated in 196 who received pamidronate and 181 who received placebo. The proportion of patients who had any skeletal events was significantly lower in the pamidronate group (24 percent) than in the placebo group (41 percent, P &lt; 0.001), and the reduction was evident in both stratum 1 (P=0.04) and stratum 2 (P=0.004). The patients who received pamidronate had significant decreases in bone pain and no deterioration in performance status and quality of life. Pamidronate was well tolerated. Conclusions. Monthly infusions of pamidronate provide significant protection against skeletal complications and improve the quality of life of patients with stage III multiple myeloma.","author":[{"dropping-particle":"","family":"Berenson","given":"James R.","non-dropping-particle":"","parse-names":false,"suffix":""},{"dropping-particle":"","family":"Lichtenstein","given":"Alan","non-dropping-particle":"","parse-names":false,"suffix":""},{"dropping-particle":"","family":"Porter","given":"Lester","non-dropping-particle":"","parse-names":false,"suffix":""},{"dropping-particle":"","family":"Dimopoulos","given":"Meletios A.","non-dropping-particle":"","parse-names":false,"suffix":""},{"dropping-particle":"","family":"Bordoni","given":"Roldolfo","non-dropping-particle":"","parse-names":false,"suffix":""},{"dropping-particle":"","family":"George","given":"Sebastian","non-dropping-particle":"","parse-names":false,"suffix":""},{"dropping-particle":"","family":"Lipton","given":"Allan","non-dropping-particle":"","parse-names":false,"suffix":""},{"dropping-particle":"","family":"Keller","given":"Alan","non-dropping-particle":"","parse-names":false,"suffix":""},{"dropping-particle":"","family":"Ballester","given":"Oscar","non-dropping-particle":"","parse-names":false,"suffix":""},{"dropping-particle":"","family":"Kovacs","given":"Michael J.","non-dropping-particle":"","parse-names":false,"suffix":""},{"dropping-particle":"","family":"Blacklock","given":"Hilary A.","non-dropping-particle":"","parse-names":false,"suffix":""},{"dropping-particle":"","family":"Bell","given":"Richard","non-dropping-particle":"","parse-names":false,"suffix":""},{"dropping-particle":"","family":"Simeone","given":"Joseph","non-dropping-particle":"","parse-names":false,"suffix":""},{"dropping-particle":"","family":"Reitsma","given":"Dirk J.","non-dropping-particle":"","parse-names":false,"suffix":""},{"dropping-particle":"","family":"Heffernan","given":"Maika","non-dropping-particle":"","parse-names":false,"suffix":""},{"dropping-particle":"","family":"Seaman","given":"John","non-dropping-particle":"","parse-names":false,"suffix":""},{"dropping-particle":"","family":"Knight","given":"Robert D.","non-dropping-particle":"","parse-names":false,"suffix":""}],"container-title":"New England Journal of Medicine","id":"ITEM-1","issue":"8","issued":{"date-parts":[["1996","2"]]},"page":"488-493","publisher":"Massachusetts Medical Society","title":"Efficacy of Pamidronate in Reducing Skeletal Events in Patients with Advanced Multiple Myeloma","type":"article-journal","volume":"334"},"uris":["http://www.mendeley.com/documents/?uuid=42565dd5-737a-451f-9b4c-406b8db0b847"]}],"mendeley":{"formattedCitation":"[142]","plainTextFormattedCitation":"[142]","previouslyFormattedCitation":"[142]"},"properties":{"noteIndex":0},"schema":"https://github.com/citation-style-language/schema/raw/master/csl-citation.json"}</w:instrText>
      </w:r>
      <w:r w:rsidRPr="00EA288F">
        <w:rPr>
          <w:bCs/>
          <w:szCs w:val="24"/>
        </w:rPr>
        <w:fldChar w:fldCharType="separate"/>
      </w:r>
      <w:r w:rsidR="00E430FD" w:rsidRPr="00E430FD">
        <w:rPr>
          <w:bCs/>
          <w:noProof/>
          <w:szCs w:val="24"/>
        </w:rPr>
        <w:t>[142]</w:t>
      </w:r>
      <w:r w:rsidRPr="00EA288F">
        <w:rPr>
          <w:bCs/>
          <w:szCs w:val="24"/>
        </w:rPr>
        <w:fldChar w:fldCharType="end"/>
      </w:r>
      <w:r w:rsidRPr="00EA288F">
        <w:rPr>
          <w:szCs w:val="24"/>
        </w:rPr>
        <w:t xml:space="preserve">. При длительной терапии бифосфонатами может наблюдаься специфическое осложнение – остеонекроз челюсти, что может ограничивать их длительное использование. Согласно рекомендациям экспертов </w:t>
      </w:r>
      <w:r w:rsidRPr="00EA288F">
        <w:rPr>
          <w:szCs w:val="24"/>
          <w:lang w:val="en-US"/>
        </w:rPr>
        <w:t>IMWG</w:t>
      </w:r>
      <w:r w:rsidRPr="00EA288F">
        <w:rPr>
          <w:szCs w:val="24"/>
        </w:rPr>
        <w:t>, после окончания первого года терапии бисфосфонатами лечение может быть прекращено при достижении полной ремиссии (ПР) или очень хорошей частичной ремиссии (ОХЧР). При наличии менее чем ОХЧР, терапию бисфосфонатами рекомендовано продолжить. По окончании 2 лет, лечение бисфосфонатами следует продолжать при наличии активной костной болезни и возможно прекратить при ее отсутствии. Терапию бисфосфонатами рекомендуется возобновить при развитии рецидива заболевания</w:t>
      </w:r>
      <w:r w:rsidR="00BC516D">
        <w:rPr>
          <w:bCs/>
          <w:szCs w:val="24"/>
        </w:rPr>
        <w:fldChar w:fldCharType="begin" w:fldLock="1"/>
      </w:r>
      <w:r w:rsidR="00E430FD">
        <w:rPr>
          <w:bCs/>
          <w:szCs w:val="24"/>
        </w:rPr>
        <w:instrText>ADDIN CSL_CITATION {"citationItems":[{"id":"ITEM-1","itemData":{"DOI":"10.1016/S0140-6736(10)62051-X","ISSN":"01406736","PMID":"21131037","abstract":"Bisphosphonates reduce the risk of skeletal events in patients with malignant bone disease, and zoledronic acid has shown potential anticancer effects in preclinical and clinical studies. We aimed to establish whether bisphosphonates can affect clinical outcomes in patients with multiple myeloma. Patients of age 18 years or older with newly diagnosed multiple myeloma were enrolled from 120 centres in the UK. Computer-generated randomisation sequence was used to allocate patients equally, via an automated telephone service, to receive 4 mg zoledronic acid as an infusion every 3-4 weeks or 1600 mg oral clodronic acid daily. Patients also received intensive or non-intensive induction chemotherapy. No investigators, staff, or patients were masked to treatment allocation, and bisphosphonate and maintenance therapy continued at least until disease progression. The primary endpoints were overall survival, progression-free survival, and overall response rate. We assessed between-group differences with Cox proportional hazards models for progression-free survival and overall survival, and with logistic regression models for overall response rate. Analysis was by intention to treat. This trial is registered, number ISRCTN68454111. 1970 patients were enrolled between May, 2003, and November, 2007, of whom 1960 were eligible for intention-to-treat analysis: 981 in the zoledronic acid group (555 on intensive chemotherapy, 426 on non-intensive chemotherapy); and 979 on clodronic acid (556 on intensive chemotherapy, 423 on non-intensive chemotherapy). The treatment cutoff was Oct 5, 2009, with patients receiving bisphosphonates for a median of 350 days (IQR 137-632) before disease progression, with a median of 3·7 years' follow-up (IQR 2·9-4·7). Zoledronic acid reduced mortality by 16 (95 CI 4-26) versus clodronic acid (hazard ratio [HR] 0·84, 95 CI 0·74- 0·96; p=0·0118), and extended median overall survival by 5·5 months (50·0 months, IQR 21·0 to not reached vs 44·5 months, IQR 16·5 to not reached; p=0·04). Zoledronic acid also significantly improved progression-free survival by 12 (95 CI 2-20) versus clodronic acid (HR 0·88, 95 CI 0·80-0·98; p=0·0179), and increased median progression-free survival by 2·0 months (19·5 months, IQR 9·0-38·0 vs 17·5 months, IQR 8·5-34·0; p=0·07). Rates of complete, very good partial, or partial response did not differ significantly between the zoledronic acid and clodronic acid groups for patients receiving intensive induction chemothe…","author":[{"dropping-particle":"","family":"Morgan","given":"Gareth J.","non-dropping-particle":"","parse-names":false,"suffix":""},{"dropping-particle":"","family":"Davies","given":"Faith E.","non-dropping-particle":"","parse-names":false,"suffix":""},{"dropping-particle":"","family":"Gregory","given":"Walter M.","non-dropping-particle":"","parse-names":false,"suffix":""},{"dropping-particle":"","family":"Cocks","given":"Kim","non-dropping-particle":"","parse-names":false,"suffix":""},{"dropping-particle":"","family":"Bell","given":"Sue E.","non-dropping-particle":"","parse-names":false,"suffix":""},{"dropping-particle":"","family":"Szubert","given":"Alex J.","non-dropping-particle":"","parse-names":false,"suffix":""},{"dropping-particle":"","family":"Navarro-Coy","given":"Nuria","non-dropping-particle":"","parse-names":false,"suffix":""},{"dropping-particle":"","family":"Drayson","given":"Mark T.","non-dropping-particle":"","parse-names":false,"suffix":""},{"dropping-particle":"","family":"Owen","given":"Roger G.","non-dropping-particle":"","parse-names":false,"suffix":""},{"dropping-particle":"","family":"Feyler","given":"Sylvia","non-dropping-particle":"","parse-names":false,"suffix":""},{"dropping-particle":"","family":"Ashcroft","given":"A. John","non-dropping-particle":"","parse-names":false,"suffix":""},{"dropping-particle":"","family":"Ross","given":"Fiona","non-dropping-particle":"","parse-names":false,"suffix":""},{"dropping-particle":"","family":"Byrne","given":"Jennifer","non-dropping-particle":"","parse-names":false,"suffix":""},{"dropping-particle":"","family":"Roddie","given":"Huw","non-dropping-particle":"","parse-names":false,"suffix":""},{"dropping-particle":"","family":"Rudin","given":"Claudius","non-dropping-particle":"","parse-names":false,"suffix":""},{"dropping-particle":"","family":"Cook","given":"Gordon","non-dropping-particle":"","parse-names":false,"suffix":""},{"dropping-particle":"","family":"Jackson","given":"Graham H.","non-dropping-particle":"","parse-names":false,"suffix":""},{"dropping-particle":"","family":"Child","given":"J. Anthony","non-dropping-particle":"","parse-names":false,"suffix":""}],"container-title":"The Lancet","id":"ITEM-1","issue":"9757","issued":{"date-parts":[["2010","12"]]},"page":"1989-1999","publisher":"Lancet","title":"First-line treatment with zoledronic acid as compared with clodronic acid in multiple myeloma (MRC Myeloma IX): A randomised controlled trial","type":"article-journal","volume":"376"},"uris":["http://www.mendeley.com/documents/?uuid=cf06d579-44f1-439d-935c-99e87ce5bff6"]},{"id":"ITEM-2","itemData":{"DOI":"10.1002/cncr.11701","ISSN":"0008543X","PMID":"14534891","abstract":"BACKGROUND. The goal of the current study was to compare the long-term (25-month) safety and efficacy of zoledronic acid with pamidronate in patients with bone lesions secondary to advanced breast carcinoma or multiple myeloma. METHODS. Patients (n = 1648) were randomized to receive 4 mg or 8 mg (reduced to 4 mg) zoledronic acid as a 15-minute infusion or to receive 90 mg pamidronate as a 2-hour infusion every 3-4 weeks for 24 months. The primary endpoint was the proportion of patients with at least 1 skeletal-related event (SRE), defined as pathologic fracture, spinal cord compression, radiation therapy, or surgery to bone. Secondary analyses included time to first SRE, skeletal morbidity rate, and multiple-event analysis. Hypercalcemia of malignancy (HCM) was included as an SRE in some secondary analyses. RESULTS. After 25 months of follow-up, zoledronic acid reduced the overall proportion of patients with an SRE and reduced the skeletal morbidity rate similar to pamidronate. Compared with pamidronate, zoledronic acid (4 mg) reduced the overall risk of developing skeletal complications (including HCM) by an additional 16% (P = 0.030). In patients with breast carcinoma, zoledronic acid (4 mg) was significantly more effective than pamidronate, reducing the risk of SREs by an additional 20% (P = 0.025) compared with pamidronate and by an additional 30% in patients receiving hormonal therapy (P = 0.009). Zoledronic acid (4 mg) and pamidronate were tolerated equally well. The most common adverse events included bone pain, nausea, and fatigue. CONCLUSIONS. Long-term follow-up data confirm that zoledronic acid was more effective than pamidronate in reducing the risk of skeletal complications in patients with bone metastases from breast carcinoma and was of similar efficacy in patients with multiple myeloma. © 2003 American Cancer Society.","author":[{"dropping-particle":"","family":"Rosen","given":"Lee S.","non-dropping-particle":"","parse-names":false,"suffix":""},{"dropping-particle":"","family":"Gordon","given":"David","non-dropping-particle":"","parse-names":false,"suffix":""},{"dropping-particle":"","family":"Kaminski","given":"Mary","non-dropping-particle":"","parse-names":false,"suffix":""},{"dropping-particle":"","family":"Howell","given":"Anthony","non-dropping-particle":"","parse-names":false,"suffix":""},{"dropping-particle":"","family":"Belch","given":"Andrew","non-dropping-particle":"","parse-names":false,"suffix":""},{"dropping-particle":"","family":"Mackey","given":"John","non-dropping-particle":"","parse-names":false,"suffix":""},{"dropping-particle":"","family":"Apffelstaedt","given":"Justus","non-dropping-particle":"","parse-names":false,"suffix":""},{"dropping-particle":"","family":"Hussein","given":"Mohamad A.","non-dropping-particle":"","parse-names":false,"suffix":""},{"dropping-particle":"","family":"Coleman","given":"Robert E.","non-dropping-particle":"","parse-names":false,"suffix":""},{"dropping-particle":"","family":"Reitsma","given":"Dirk J.","non-dropping-particle":"","parse-names":false,"suffix":""},{"dropping-particle":"","family":"Chen","given":"Bee Lian","non-dropping-particle":"","parse-names":false,"suffix":""},{"dropping-particle":"","family":"Seaman","given":"John J.","non-dropping-particle":"","parse-names":false,"suffix":""}],"container-title":"Cancer","id":"ITEM-2","issue":"8","issued":{"date-parts":[["2003","10"]]},"page":"1735-1744","publisher":"Cancer","title":"Long-term efficacy and safety of zoledronic acid compared with pamidronate disodium in the treatment of skeletal complications in patients with advanced multiple myeloma or breast carcinoma: A randomized, double-blind, multicenter, comparative trial","type":"article-journal","volume":"98"},"uris":["http://www.mendeley.com/documents/?uuid=aeddc8ff-cd99-42c6-b995-47cccd3f0f12"]},{"id":"ITEM-3","itemData":{"DOI":"10.1517/13543780903048929","ISSN":"13543784","PMID":"19558335","abstract":"The receptor activator of NF-κB ligand (RANKL) is a member of the TNF receptor superfamily, essential for osteoclastogenesis. It binds to its receptor activator of NF-κB on the surface of osteoclast precursors and enhances their differentiation, survival and fusion, while it activates mature osteoclasts and inhibits their apoptosis. The effects of RANKL are counteracted by osteoprotegerin (OPG), a neutralizing decoy receptor. Derangement of the balance in RANKL/OPG action is implicated in the pathophysiology of metabolic bone diseases, including osteoporosis. Current therapies used to prevent or treat metabolic bone diseases are thought to act, at least in part, through modification of the RANKL/OPG dipole. The idea of using a molecule that could specifically bind and neutralize RANKL to decrease bone resorption and subsequent bone loss is appealing. Recombinant OPG was initially tested. Denosumab, a fully human mono clonal antibody against RANKL, is a promising antiresorptive agent under investigation. It rapidly decreases bone turnover markers resulting in a significant increase in bone mineral density and reduction in fracture risk. However, because receptor activator of NF-κB activation by RANKL is also essential for T-cell growth and dendritic-cell function, inhibition of its action could simultaneously affect the immune system, leading to susceptibility in infections or malignancies. © 2009 Informa UK Ltd. All rights reserved.","author":[{"dropping-particle":"","family":"Anastasilakis","given":"Athanasios D.","non-dropping-particle":"","parse-names":false,"suffix":""},{"dropping-particle":"","family":"Toulis","given":"Konstantinos A.","non-dropping-particle":"","parse-names":false,"suffix":""},{"dropping-particle":"","family":"Polyzos","given":"Stergios A.","non-dropping-particle":"","parse-names":false,"suffix":""},{"dropping-particle":"","family":"Terpos","given":"Evangelos","non-dropping-particle":"","parse-names":false,"suffix":""}],"container-title":"Expert Opinion on Investigational Drugs","id":"ITEM-3","issue":"8","issued":{"date-parts":[["2009","8"]]},"page":"1085-1102","publisher":"Expert Opin Investig Drugs","title":"RANKL inhibition for the management of patients with benign metabolic bone disorders","type":"article","volume":"18"},"uris":["http://www.mendeley.com/documents/?uuid=06a26d39-ba2f-41d6-9b77-0c52f191d4d5"]},{"id":"ITEM-4","itemData":{"DOI":"10.1002/jcp.22402","ISSN":"00219541","PMID":"20857484","abstract":"Receptor activator of NFκB ligand (RANKL), RANK, and osteoprotegerin (OPG) represent the key regulators of bone metabolism both in normal and pathological conditions, including bone metastases. To our knowledge, no previous studies investigated and compared RANK expression in primary tumors and in bone metastases from the same patient. We retrospectively examined RANK expression by immunohistochemistry in 74 bone metastases tissues from solid tumors, mostly breast, colorectal, renal, lung, and prostate cancer. For 40 cases, tissue from the corresponding primary tumor was also analyzed. Sixty-six (89%) of the 74 bone metastases were RANK-positive and, among these, 40 (59.5%) showed more than 50% of positive tumor cells. The median percentage of RANK-positive cells was 60% in primary tumors and metastases, without any statistically significant difference between the two groups (P = 0.194). The same percentage was obtained by considering only cases with availability of samples both from primary and metastasis. Our study shows that RANK is expressed by solid tumors, with high concordance between bone metastasis and corresponding primary tumor. These data highlight the central role of RANK/RANKL/OPG pathway as potential therapeutic target not only in bone metastasis management, but also in the adjuvant setting. © 2010 Wiley-Liss, Inc.","author":[{"dropping-particle":"","family":"Santini","given":"Daniele","non-dropping-particle":"","parse-names":false,"suffix":""},{"dropping-particle":"","family":"Perrone","given":"Giuseppe","non-dropping-particle":"","parse-names":false,"suffix":""},{"dropping-particle":"","family":"Roato","given":"Ilaria","non-dropping-particle":"","parse-names":false,"suffix":""},{"dropping-particle":"","family":"Godio","given":"Laura","non-dropping-particle":"","parse-names":false,"suffix":""},{"dropping-particle":"","family":"Pantano","given":"Francesco","non-dropping-particle":"","parse-names":false,"suffix":""},{"dropping-particle":"","family":"Grasso","given":"Donatella","non-dropping-particle":"","parse-names":false,"suffix":""},{"dropping-particle":"","family":"Russo","given":"Antonio","non-dropping-particle":"","parse-names":false,"suffix":""},{"dropping-particle":"","family":"Vincenzi","given":"Bruno","non-dropping-particle":"","parse-names":false,"suffix":""},{"dropping-particle":"","family":"Fratto","given":"Maria Elisabetta","non-dropping-particle":"","parse-names":false,"suffix":""},{"dropping-particle":"","family":"Sabbatini","given":"Roberto","non-dropping-particle":"","parse-names":false,"suffix":""},{"dropping-particle":"","family":"Pepa","given":"Chiara","non-dropping-particle":"Della","parse-names":false,"suffix":""},{"dropping-particle":"","family":"Porta","given":"Camillo","non-dropping-particle":"","parse-names":false,"suffix":""},{"dropping-particle":"","family":"Conte","given":"Alessandro","non-dropping-particle":"Del","parse-names":false,"suffix":""},{"dropping-particle":"","family":"Schiavon","given":"Gaia","non-dropping-particle":"","parse-names":false,"suffix":""},{"dropping-particle":"","family":"Berruti","given":"Alfredo","non-dropping-particle":"","parse-names":false,"suffix":""},{"dropping-particle":"","family":"Tomasino","given":"Rosa Maria","non-dropping-particle":"","parse-names":false,"suffix":""},{"dropping-particle":"","family":"Papotti","given":"Mauro","non-dropping-particle":"","parse-names":false,"suffix":""},{"dropping-particle":"","family":"Papapietro","given":"Nicola","non-dropping-particle":"","parse-names":false,"suffix":""},{"dropping-particle":"","family":"Onetti Muda","given":"Andrea","non-dropping-particle":"","parse-names":false,"suffix":""},{"dropping-particle":"","family":"Denaro","given":"Vincenzo","non-dropping-particle":"","parse-names":false,"suffix":""},{"dropping-particle":"","family":"Tonini","given":"Giuseppe","non-dropping-particle":"","parse-names":false,"suffix":""}],"container-title":"Journal of Cellular Physiology","id":"ITEM-4","issue":"3","issued":{"date-parts":[["2011","3"]]},"page":"780-784","publisher":"J Cell Physiol","title":"Expression pattern of receptor activator of NFκB (RANK) in a series of primary solid tumors and related bone metastases","type":"article-journal","volume":"226"},"uris":["http://www.mendeley.com/documents/?uuid=21f73872-c5d0-4f65-a127-3b41f67818de"]}],"mendeley":{"formattedCitation":"[143–146]","plainTextFormattedCitation":"[143–146]","previouslyFormattedCitation":"[143–146]"},"properties":{"noteIndex":0},"schema":"https://github.com/citation-style-language/schema/raw/master/csl-citation.json"}</w:instrText>
      </w:r>
      <w:r w:rsidR="00BC516D">
        <w:rPr>
          <w:bCs/>
          <w:szCs w:val="24"/>
        </w:rPr>
        <w:fldChar w:fldCharType="separate"/>
      </w:r>
      <w:r w:rsidR="00E430FD" w:rsidRPr="00E430FD">
        <w:rPr>
          <w:bCs/>
          <w:noProof/>
          <w:szCs w:val="24"/>
        </w:rPr>
        <w:t>[143–146]</w:t>
      </w:r>
      <w:r w:rsidR="00BC516D">
        <w:rPr>
          <w:bCs/>
          <w:szCs w:val="24"/>
        </w:rPr>
        <w:fldChar w:fldCharType="end"/>
      </w:r>
      <w:r w:rsidRPr="00EA288F">
        <w:rPr>
          <w:b/>
          <w:szCs w:val="24"/>
        </w:rPr>
        <w:t>.</w:t>
      </w:r>
      <w:r w:rsidRPr="00EA288F">
        <w:rPr>
          <w:szCs w:val="24"/>
        </w:rPr>
        <w:t xml:space="preserve"> </w:t>
      </w:r>
    </w:p>
    <w:p w14:paraId="7A33F5DA" w14:textId="77777777" w:rsidR="00EA288F" w:rsidRPr="00EA288F" w:rsidRDefault="00EA288F" w:rsidP="008F161A">
      <w:pPr>
        <w:numPr>
          <w:ilvl w:val="1"/>
          <w:numId w:val="142"/>
        </w:numPr>
        <w:tabs>
          <w:tab w:val="left" w:pos="0"/>
        </w:tabs>
        <w:spacing w:before="0" w:after="0"/>
        <w:ind w:left="0" w:firstLine="0"/>
        <w:contextualSpacing/>
        <w:rPr>
          <w:b/>
          <w:szCs w:val="24"/>
          <w:lang w:eastAsia="ru-RU"/>
        </w:rPr>
      </w:pPr>
      <w:r w:rsidRPr="00EA288F">
        <w:rPr>
          <w:b/>
          <w:szCs w:val="24"/>
          <w:lang w:eastAsia="ru-RU"/>
        </w:rPr>
        <w:t>Моноклональное антитело деносумаб</w:t>
      </w:r>
      <w:r w:rsidRPr="00EA288F">
        <w:rPr>
          <w:b/>
          <w:szCs w:val="24"/>
          <w:lang w:val="en-US" w:eastAsia="ru-RU"/>
        </w:rPr>
        <w:t>**</w:t>
      </w:r>
    </w:p>
    <w:p w14:paraId="366BA368" w14:textId="18B7812D" w:rsidR="00EA288F" w:rsidRPr="00EA288F" w:rsidRDefault="00EA288F" w:rsidP="00EA288F">
      <w:pPr>
        <w:tabs>
          <w:tab w:val="left" w:pos="0"/>
        </w:tabs>
        <w:spacing w:before="0" w:after="0"/>
        <w:ind w:firstLine="709"/>
        <w:rPr>
          <w:szCs w:val="24"/>
        </w:rPr>
      </w:pPr>
      <w:r w:rsidRPr="00EA288F">
        <w:rPr>
          <w:szCs w:val="24"/>
        </w:rPr>
        <w:t>Деносумаб** – человеческое моноклональное антитело к RANKL (IgG2), обладающее высоким сродством и специфичностью, препятствующей активации RANK. Предотвращение взаимодействия RANKL/RANK ингибирует созревание, функционирование и продолжительность существования остеокластов. В результате деносумаб уменьшает костную резорбцию и увеличивает массу и прочность кортикального и губчатого слоев кости</w:t>
      </w:r>
      <w:r w:rsidR="00BC516D">
        <w:rPr>
          <w:bCs/>
          <w:szCs w:val="24"/>
        </w:rPr>
        <w:fldChar w:fldCharType="begin" w:fldLock="1"/>
      </w:r>
      <w:r w:rsidR="00E430FD">
        <w:rPr>
          <w:bCs/>
          <w:szCs w:val="24"/>
        </w:rPr>
        <w:instrText>ADDIN CSL_CITATION {"citationItems":[{"id":"ITEM-1","itemData":{"DOI":"10.1371/journal.pone.0063153","ISSN":"19326203","PMID":"23696795","abstract":"The osteolytic nature of bone metastasis results from a tumor-driven increased bone resorption. Bone remodeling is orchestrated by the molecular triad RANK-RANKL-OPG. This process is dysregulated in bone metastases, mostly via induction of RANKL by tumor-derived factors. These factors increase expression of RANKL, which induce osteoclast formation, function, and survival, thereby increasing bone resorption. RANK is unexpectedly expressed by cancer cells, and the activation of RANKL-RANK pathway correlates with an increased invasive phenotype. To investigate the interaction between RANK expression in human breast and prostate cancer cells and their pro-metastatic phenotype we analyzed the activation of RANKL-RANK pathway and its effects on cell migration, invasion, gene expression in vitro, and osteolysis-inducing ability in vivo. RANKL activates kinase signaling pathways, stimulates cell migration, increases cell invasion, and up-regulates MMP-1 expression. In vivo, MMP-1 knockdown resulted in smaller x-ray osteolytic lesions and osteoclastogenesis, and decreased tumor burden. Therefore, RANKL inhibition in bone metastatic disease may decrease the levels of the osteoclastogenesis inducer MMP-1, contributing to a better clinical outcome. © 2013 Casimiro et al.","author":[{"dropping-particle":"","family":"Casimiro","given":"Sandra","non-dropping-particle":"","parse-names":false,"suffix":""},{"dropping-particle":"","family":"Mohammad","given":"Khalid S.","non-dropping-particle":"","parse-names":false,"suffix":""},{"dropping-particle":"","family":"Pires","given":"Ricardo","non-dropping-particle":"","parse-names":false,"suffix":""},{"dropping-particle":"","family":"Tato-Costa","given":"Joana","non-dropping-particle":"","parse-names":false,"suffix":""},{"dropping-particle":"","family":"Alho","given":"Irina","non-dropping-particle":"","parse-names":false,"suffix":""},{"dropping-particle":"","family":"Teixeira","given":"Rui","non-dropping-particle":"","parse-names":false,"suffix":""},{"dropping-particle":"","family":"Carvalho","given":"António","non-dropping-particle":"","parse-names":false,"suffix":""},{"dropping-particle":"","family":"Ribeiro","given":"Sofia","non-dropping-particle":"","parse-names":false,"suffix":""},{"dropping-particle":"","family":"Lipton","given":"Allan","non-dropping-particle":"","parse-names":false,"suffix":""},{"dropping-particle":"","family":"Guise","given":"Theresa A.","non-dropping-particle":"","parse-names":false,"suffix":""},{"dropping-particle":"","family":"Costa","given":"Luis","non-dropping-particle":"","parse-names":false,"suffix":""}],"container-title":"PLoS ONE","id":"ITEM-1","issue":"5","issued":{"date-parts":[["2013","5"]]},"publisher":"PLoS One","title":"RANKL/RANK/MMP-1 Molecular Triad Contributes to the Metastatic Phenotype of Breast and Prostate Cancer Cells In Vitro","type":"article-journal","volume":"8"},"uris":["http://www.mendeley.com/documents/?uuid=f03b7e29-822a-4b7e-ab1d-6e956d5f1117"]},{"id":"ITEM-2","itemData":{"DOI":"10.1016/j.jocd.2008.02.002","ISSN":"10946950","PMID":"18375161","abstract":"Osteoporosis affects millions of people worldwide, causing decreases in bone strength and a marked increase in fracture risk. Current therapies increase bone mineral density and reduce the risk of fractures, but dosing requirements are often considered inconvenient, and patient compliance with therapy is poor. This review will discuss recent discoveries in bone biology, which have demonstrated that the interaction of osteoprotegerin (OPG), receptor activator of nuclear factor-kappa B (RANK), and RANK ligand (RANKL) is critical for the regulation of bone remodeling. Collectively, these preclinical studies have shown that endogenous RANKL inhibition by OPG underlies the normal mechanism for maintaining the correct balance between bone resorption and bone formation. Multiple clinical trials are in progress to investigate the therapeutic potential of RANKL inhibition by denosumab, a fully human monoclonal anti-RANKL antibody, in the treatment of postmenopausal osteoporosis and other bone loss diseases. The results of these human trials will also be discussed. © 2008 The International Society for Clinical Densitometry.","author":[{"dropping-particle":"","family":"Delmas","given":"Pierre D.","non-dropping-particle":"","parse-names":false,"suffix":""}],"container-title":"Journal of Clinical Densitometry","id":"ITEM-2","issue":"2","issued":{"date-parts":[["2008","4"]]},"page":"325-338","publisher":"J Clin Densitom","title":"Clinical Potential of RANKL Inhibition for the Management of Postmenopausal Osteoporosis and Other Metabolic Bone Diseases","type":"article","volume":"11"},"uris":["http://www.mendeley.com/documents/?uuid=2def94e8-e6b3-4616-a28c-6bbe465dbca0"]}],"mendeley":{"formattedCitation":"[147,148]","plainTextFormattedCitation":"[147,148]","previouslyFormattedCitation":"[147,148]"},"properties":{"noteIndex":0},"schema":"https://github.com/citation-style-language/schema/raw/master/csl-citation.json"}</w:instrText>
      </w:r>
      <w:r w:rsidR="00BC516D">
        <w:rPr>
          <w:bCs/>
          <w:szCs w:val="24"/>
        </w:rPr>
        <w:fldChar w:fldCharType="separate"/>
      </w:r>
      <w:r w:rsidR="00E430FD" w:rsidRPr="00E430FD">
        <w:rPr>
          <w:bCs/>
          <w:noProof/>
          <w:szCs w:val="24"/>
        </w:rPr>
        <w:t>[147,148]</w:t>
      </w:r>
      <w:r w:rsidR="00BC516D">
        <w:rPr>
          <w:bCs/>
          <w:szCs w:val="24"/>
        </w:rPr>
        <w:fldChar w:fldCharType="end"/>
      </w:r>
      <w:r w:rsidRPr="00EA288F">
        <w:rPr>
          <w:b/>
          <w:szCs w:val="24"/>
        </w:rPr>
        <w:t>.</w:t>
      </w:r>
      <w:r w:rsidRPr="00EA288F">
        <w:rPr>
          <w:b/>
          <w:bCs/>
          <w:szCs w:val="24"/>
        </w:rPr>
        <w:t xml:space="preserve"> </w:t>
      </w:r>
    </w:p>
    <w:p w14:paraId="5A68A652" w14:textId="300D9718" w:rsidR="00C736DB" w:rsidRDefault="00EA288F" w:rsidP="00EA288F">
      <w:pPr>
        <w:tabs>
          <w:tab w:val="left" w:pos="0"/>
        </w:tabs>
        <w:spacing w:before="0" w:after="0"/>
        <w:ind w:firstLine="709"/>
        <w:rPr>
          <w:szCs w:val="24"/>
        </w:rPr>
      </w:pPr>
      <w:r w:rsidRPr="00EA288F">
        <w:rPr>
          <w:szCs w:val="24"/>
        </w:rPr>
        <w:t xml:space="preserve">При множественной миеломе деносумаб применяется в виде подкожной инъекции 120 мг препарата каждые 4 недели. </w:t>
      </w:r>
      <w:r w:rsidRPr="00EA288F">
        <w:rPr>
          <w:szCs w:val="24"/>
          <w:lang w:eastAsia="ru-RU"/>
        </w:rPr>
        <w:t xml:space="preserve">Для поддержания кальциевого гомеостаза во время терапии деносумабом** следует принимать препараты кальция и витамина </w:t>
      </w:r>
      <w:r w:rsidRPr="00EA288F">
        <w:rPr>
          <w:szCs w:val="24"/>
          <w:lang w:val="en-US" w:eastAsia="ru-RU"/>
        </w:rPr>
        <w:t>D</w:t>
      </w:r>
      <w:r w:rsidRPr="00EA288F">
        <w:rPr>
          <w:szCs w:val="24"/>
          <w:lang w:eastAsia="ru-RU"/>
        </w:rPr>
        <w:t xml:space="preserve">3 (при отсутствии гиперкальциемии). </w:t>
      </w:r>
      <w:r w:rsidRPr="00EA288F">
        <w:rPr>
          <w:szCs w:val="24"/>
        </w:rPr>
        <w:t>Коррекции режима дозирования деносумаба** при нарушении функции почек не требуется. Нет необходимости в мониторинге почечной функции во время лечения деносумабом**.</w:t>
      </w:r>
      <w:r w:rsidRPr="00EA288F">
        <w:rPr>
          <w:szCs w:val="24"/>
          <w:lang w:eastAsia="ru-RU"/>
        </w:rPr>
        <w:t xml:space="preserve"> П</w:t>
      </w:r>
      <w:r w:rsidRPr="00EA288F">
        <w:rPr>
          <w:szCs w:val="24"/>
        </w:rPr>
        <w:t xml:space="preserve">о эффективности деносумаб** не уступает </w:t>
      </w:r>
      <w:r w:rsidRPr="00EA288F">
        <w:rPr>
          <w:szCs w:val="24"/>
        </w:rPr>
        <w:lastRenderedPageBreak/>
        <w:t>золедроновой кислоте**, а подкожная форма введения и отсутствие негативного влияния на функцию почек являются преимуществами препарата</w:t>
      </w:r>
      <w:r w:rsidR="00BC516D">
        <w:rPr>
          <w:bCs/>
          <w:szCs w:val="24"/>
        </w:rPr>
        <w:fldChar w:fldCharType="begin" w:fldLock="1"/>
      </w:r>
      <w:r w:rsidR="00E430FD">
        <w:rPr>
          <w:bCs/>
          <w:szCs w:val="24"/>
        </w:rPr>
        <w:instrText>ADDIN CSL_CITATION {"citationItems":[{"id":"ITEM-1","itemData":{"DOI":"10.1007/s00223-003-0011-y","ISSN":"0171967X","PMID":"14523602","abstract":"The clinical coincidence of osteoporosis and vascular disease has long indicated that common mediators may adversely affect bone metabolism and vascular integrity alike. Receptor activator of NF-κB ligand (RANKL) is an important cytokine for bone resorption that acts through its osteoclastic receptor, receptor activator of NF-κB (RANK), while osteoprotegerin serves as a decoy receptor that binds RANKL and prevents activation of RANK. Skeletal and vascular cells are sources and targets of RANKL and OPG both in vitro and in vivo. Modulation of the RANKL/RANK/OPG system in animals results in a skeletal and vascular phenotype, and administration of OPG may prevent osteoporosis and vascular calcification. Recent studies on OPG serum levels and gene polymorphisms also suggest an important role of this cytokine system in skeletal and vascular diseases. In summary, there is increasing evidence that RANKL and OPG may link the skeletal with the vascular system.","author":[{"dropping-particle":"","family":"Sattler","given":"A. M.","non-dropping-particle":"","parse-names":false,"suffix":""},{"dropping-particle":"","family":"Schoppet","given":"M.","non-dropping-particle":"","parse-names":false,"suffix":""},{"dropping-particle":"","family":"Schaefer","given":"J. R.","non-dropping-particle":"","parse-names":false,"suffix":""},{"dropping-particle":"","family":"Hofbauer","given":"L. C.","non-dropping-particle":"","parse-names":false,"suffix":""}],"container-title":"Calcified Tissue International","id":"ITEM-1","issue":"1","issued":{"date-parts":[["2004","1"]]},"page":"103-106","title":"Novel Aspects on RANK Ligand and Osteoprotegerin in Osteoporosis and Vascular Disease","type":"article-journal","volume":"74"},"uris":["http://www.mendeley.com/documents/?uuid=35eb56ab-aa06-4c93-9dc2-13e334d44335"]},{"id":"ITEM-2","itemData":{"DOI":"10.1016/j.abb.2008.03.018","ISSN":"00039861","PMID":"18395508","abstract":"The discovery of the RANKL/RANK/OPG system in the mid 1990s for the regulation of bone resorption has led to major advances in our understanding of how bone modeling and remodeling are regulated. It had been known for many years before this discovery that osteoblastic stromal cells regulated osteoclast formation, but it had not been anticipated that they would do this through expression of members of the TNF superfamily: receptor activator of NF-κB ligand (RANKL) and osteoprotegerin (OPG), or that these cytokines and signaling through receptor activator of NF-κB (RANK) would have extensive functions beyond regulation of bone remodeling. RANKL/RANK signaling regulates osteoclast formation, activation and survival in normal bone modeling and remodeling and in a variety of pathologic conditions characterized by increased bone turnover. OPG protects bone from excessive resorption by binding to RANKL and preventing it from binding to RANK. Thus, the relative concentration of RANKL and OPG in bone is a major determinant of bone mass and strength. Here, we review our current understanding of the role of the RANKL/RANK/OPG system in bone modeling and remodeling. © 2008 Elsevier Inc. All rights reserved.","author":[{"dropping-particle":"","family":"Boyce","given":"Brendan F.","non-dropping-particle":"","parse-names":false,"suffix":""},{"dropping-particle":"","family":"Xing","given":"Lianping","non-dropping-particle":"","parse-names":false,"suffix":""}],"container-title":"Archives of Biochemistry and Biophysics","id":"ITEM-2","issue":"2","issued":{"date-parts":[["2008","5"]]},"page":"139-146","publisher":"NIH Public Access","title":"Functions of RANKL/RANK/OPG in bone modeling and remodeling","type":"article","volume":"473"},"uris":["http://www.mendeley.com/documents/?uuid=e501abde-1223-4763-a24a-82f252dcea57"]},{"id":"ITEM-3","itemData":{"DOI":"10.1016/j.tranon.2017.05.006","ISSN":"19365233","abstract":"BACKGROUND: Prevention of bone metastases is a major issue for breast cancer patients, as it would improve quality of life in a population where long survival is anticipated. PATIENTS AND METHODS: Early breast cancer patients, who had been treated with anthracycline-based chemotherapy within two randomized trials, were included in the study. We evaluated, by quantitative reverse transcription–polymerase chain reaction, 819 formalin-fixed paraffin-embedded tumor tissue samples for mRNA expression of RANK, OPG, and RANKL, as well as their ratios, for potential prognostic significance for the development of bone metastases and also for disease-free survival (DFS) and overall survival. RESULTS: Median age was 52.7 years, whereas 54.2% of the patients were postmenopausal and 78.3% estrogen receptor/progesterone receptor positive. After a median follow-up of 119.9 months, 226 patients (27.6%) had died and 291 patients (35.5%) had disease progression. Low mRNA expression of RANKL was associated with postmenopausal status and greater number of positive lymph nodes (P = .002 and P &lt; .001, respectively). In the univariate analysis, low RANKL mRNA expression was found to be an unfavorable factor for DFS [hazard ratio (HR) = 1.33, 95% confidence interval (CI) 1.05-1.68, Wald's P = .018] and bone metastasis–free survival (HR = 1.67, 95% CI 1.09-2.56, P = .018), although it did not retain its significance in the multivariate analysis. CONCLUSIONS: Low RANKL mRNA expression in early breast cancer patients is of prognostic significance for increased risk for relapse and bone metastases and might potentially guide clinical decision-making for the use of anti-RANKL agents in the treatment of early breast cancer patients at high risk for metastatic spread, provided that our findings are validated in independent cohorts.","author":[{"dropping-particle":"","family":"Timotheadou","given":"Eleni","non-dropping-particle":"","parse-names":false,"suffix":""},{"dropping-particle":"","family":"Kalogeras","given":"Konstantine T.","non-dropping-particle":"","parse-names":false,"suffix":""},{"dropping-particle":"","family":"Koliou","given":"Georgia Angeliki","non-dropping-particle":"","parse-names":false,"suffix":""},{"dropping-particle":"","family":"Wirtz","given":"Ralph M.","non-dropping-particle":"","parse-names":false,"suffix":""},{"dropping-particle":"","family":"Zagouri","given":"Flora","non-dropping-particle":"","parse-names":false,"suffix":""},{"dropping-particle":"","family":"Koutras","given":"Angelos","non-dropping-particle":"","parse-names":false,"suffix":""},{"dropping-particle":"","family":"Veltrup","given":"Elke","non-dropping-particle":"","parse-names":false,"suffix":""},{"dropping-particle":"","family":"Christodoulou","given":"Christos","non-dropping-particle":"","parse-names":false,"suffix":""},{"dropping-particle":"","family":"Pentheroudakis","given":"George","non-dropping-particle":"","parse-names":false,"suffix":""},{"dropping-particle":"","family":"Tsiftsoglou","given":"Aris","non-dropping-particle":"","parse-names":false,"suffix":""},{"dropping-particle":"","family":"Papakostas","given":"Pavlos","non-dropping-particle":"","parse-names":false,"suffix":""},{"dropping-particle":"","family":"Aravantinos","given":"Gerasimos","non-dropping-particle":"","parse-names":false,"suffix":""},{"dropping-particle":"","family":"Venizelos","given":"Vasilios","non-dropping-particle":"","parse-names":false,"suffix":""},{"dropping-particle":"","family":"Pectasides","given":"Dimitrios","non-dropping-particle":"","parse-names":false,"suffix":""},{"dropping-particle":"","family":"Kosmidis","given":"Paris","non-dropping-particle":"","parse-names":false,"suffix":""},{"dropping-particle":"","family":"Karanikiotis","given":"Charisios","non-dropping-particle":"","parse-names":false,"suffix":""},{"dropping-particle":"","family":"Markopoulos","given":"Christos","non-dropping-particle":"","parse-names":false,"suffix":""},{"dropping-particle":"","family":"Gogas","given":"Helen","non-dropping-particle":"","parse-names":false,"suffix":""},{"dropping-particle":"","family":"Fountzilas","given":"George","non-dropping-particle":"","parse-names":false,"suffix":""}],"container-title":"Translational Oncology","id":"ITEM-3","issue":"4","issued":{"date-parts":[["2017","8"]]},"page":"589-598","publisher":"Neoplasia Press, Inc.","title":"Evaluation of the Prognostic Value of RANK, OPG, and RANKL mRNA Expression in Early Breast Cancer Patients Treated with Anthracycline-Based Adjuvant Chemotherapy","type":"article-journal","volume":"10"},"uris":["http://www.mendeley.com/documents/?uuid=c23c4b08-20c7-42c9-960f-fc3ea7f9a4e8"]},{"id":"ITEM-4","itemData":{"DOI":"10.1182/blood-2011-06-361386","ISSN":"00064971","PMID":"21900189","abstract":"We prospectively analyzed the prognostic relevance of positron emission tomography-computed tomography (PET/CT) at diagnosis, after thalidomide- dexamethasone (TD) induction therapy and double autotransplantation (ASCT) in 192 newly diagnosed multiple myeloma (MM) patients. Presence at baseline of at least 3 focal lesions (FLs; 44% of cases), a standardized uptake value (SUV) &gt; 4.2 (46%), and extramedullary disease (EMD; 6%) adversely affected 4-year estimates of progression-free survival (PFS; ≥ 3 FLs: 50%; SUV &gt; 4.2: 43%; presence of EMD: 28%). SUV &gt; 4.2 and EMD were also correlated with shorter overall survival (OS; 4-year rates: 77% and 66%, respectively). Persistence of SUV &gt; 4.2 after TD induction wasan early predictor for shorter PFS. Three months after ASCT, PET/CT was negative in 65% of patients whose 4-year rates of PFS and OS were superior to those of PETpositive patients (PFS:66%and OS: 89%). In a multivariate analysis, both EMD and SUV &gt; 4.2 at baseline and persistence of fluorodeoxyglucose (FDG) uptake afterASCTwere independent variables adversely affecting PFS. PET/CT involvement at diagnosis, after novel agent-based induction and subsequentASCTis a reliable predictor of prognosis in MM patients. This study is registered at www.clinicaltrials.gov as NTC01341262. © 2011 by The American Society of Hematology.","author":[{"dropping-particle":"","family":"Zamagni","given":"Elena","non-dropping-particle":"","parse-names":false,"suffix":""},{"dropping-particle":"","family":"Patriarca","given":"Francesca","non-dropping-particle":"","parse-names":false,"suffix":""},{"dropping-particle":"","family":"Nanni","given":"Cristina","non-dropping-particle":"","parse-names":false,"suffix":""},{"dropping-particle":"","family":"Zannetti","given":"Beatrice","non-dropping-particle":"","parse-names":false,"suffix":""},{"dropping-particle":"","family":"Englaro","given":"Emanuela","non-dropping-particle":"","parse-names":false,"suffix":""},{"dropping-particle":"","family":"Pezzi","given":"Annalisa","non-dropping-particle":"","parse-names":false,"suffix":""},{"dropping-particle":"","family":"Tacchetti","given":"Paola","non-dropping-particle":"","parse-names":false,"suffix":""},{"dropping-particle":"","family":"Buttignol","given":"Silvia","non-dropping-particle":"","parse-names":false,"suffix":""},{"dropping-particle":"","family":"Perrone","given":"Giulia","non-dropping-particle":"","parse-names":false,"suffix":""},{"dropping-particle":"","family":"Brioli","given":"Annamaria","non-dropping-particle":"","parse-names":false,"suffix":""},{"dropping-particle":"","family":"Pantani","given":"Lucia","non-dropping-particle":"","parse-names":false,"suffix":""},{"dropping-particle":"","family":"Terragna","given":"Carolina","non-dropping-particle":"","parse-names":false,"suffix":""},{"dropping-particle":"","family":"Carobolante","given":"Francesca","non-dropping-particle":"","parse-names":false,"suffix":""},{"dropping-particle":"","family":"Baccarani","given":"Michele","non-dropping-particle":"","parse-names":false,"suffix":""},{"dropping-particle":"","family":"Fanin","given":"Renato","non-dropping-particle":"","parse-names":false,"suffix":""},{"dropping-particle":"","family":"Fanti","given":"Stefano","non-dropping-particle":"","parse-names":false,"suffix":""},{"dropping-particle":"","family":"Cavo","given":"Michele","non-dropping-particle":"","parse-names":false,"suffix":""}],"container-title":"Blood","id":"ITEM-4","issue":"23","issued":{"date-parts":[["2011","12"]]},"page":"5989-5995","publisher":"Blood","title":"Prognostic relevance of 18-F FDG PET/CT in newly diagnosed multiple myeloma patients treated with up-front autologous transplantation","type":"article-journal","volume":"118"},"uris":["http://www.mendeley.com/documents/?uuid=ebb46231-ab03-44cb-9be2-30370a9b7249"]}],"mendeley":{"formattedCitation":"[149–152]","plainTextFormattedCitation":"[149–152]","previouslyFormattedCitation":"[149–152]"},"properties":{"noteIndex":0},"schema":"https://github.com/citation-style-language/schema/raw/master/csl-citation.json"}</w:instrText>
      </w:r>
      <w:r w:rsidR="00BC516D">
        <w:rPr>
          <w:bCs/>
          <w:szCs w:val="24"/>
        </w:rPr>
        <w:fldChar w:fldCharType="separate"/>
      </w:r>
      <w:r w:rsidR="00E430FD" w:rsidRPr="00E430FD">
        <w:rPr>
          <w:bCs/>
          <w:noProof/>
          <w:szCs w:val="24"/>
        </w:rPr>
        <w:t>[149–152]</w:t>
      </w:r>
      <w:r w:rsidR="00BC516D">
        <w:rPr>
          <w:bCs/>
          <w:szCs w:val="24"/>
        </w:rPr>
        <w:fldChar w:fldCharType="end"/>
      </w:r>
      <w:r w:rsidRPr="00EA288F">
        <w:rPr>
          <w:b/>
          <w:szCs w:val="24"/>
        </w:rPr>
        <w:t>.</w:t>
      </w:r>
      <w:r w:rsidRPr="00EA288F">
        <w:rPr>
          <w:szCs w:val="24"/>
        </w:rPr>
        <w:t xml:space="preserve"> </w:t>
      </w:r>
    </w:p>
    <w:p w14:paraId="160D51A3" w14:textId="77777777" w:rsidR="00C736DB" w:rsidRDefault="00C736DB">
      <w:pPr>
        <w:spacing w:before="0" w:after="0" w:line="240" w:lineRule="auto"/>
        <w:jc w:val="left"/>
        <w:rPr>
          <w:szCs w:val="24"/>
        </w:rPr>
      </w:pPr>
      <w:r>
        <w:rPr>
          <w:szCs w:val="24"/>
        </w:rPr>
        <w:br w:type="page"/>
      </w:r>
    </w:p>
    <w:p w14:paraId="7BC173F3" w14:textId="5E23889D" w:rsidR="00EA288F" w:rsidRPr="00BC516D" w:rsidRDefault="00EA288F" w:rsidP="00BC516D">
      <w:pPr>
        <w:pStyle w:val="2"/>
        <w:spacing w:before="0" w:after="0"/>
        <w:rPr>
          <w:rStyle w:val="ac"/>
          <w:b/>
          <w:szCs w:val="24"/>
        </w:rPr>
      </w:pPr>
      <w:bookmarkStart w:id="98" w:name="_Toc62739010"/>
      <w:bookmarkStart w:id="99" w:name="_Toc97734651"/>
      <w:r w:rsidRPr="00BC516D">
        <w:rPr>
          <w:rStyle w:val="ac"/>
          <w:b/>
          <w:szCs w:val="24"/>
        </w:rPr>
        <w:lastRenderedPageBreak/>
        <w:t>Приложение А3.6</w:t>
      </w:r>
      <w:r w:rsidR="00805C9F">
        <w:rPr>
          <w:rStyle w:val="ac"/>
          <w:b/>
          <w:szCs w:val="24"/>
        </w:rPr>
        <w:t>.</w:t>
      </w:r>
      <w:r w:rsidRPr="00BC516D">
        <w:rPr>
          <w:rStyle w:val="ac"/>
          <w:b/>
          <w:szCs w:val="24"/>
        </w:rPr>
        <w:t xml:space="preserve"> Профилактика и лечение тошноты и рвоты</w:t>
      </w:r>
      <w:bookmarkEnd w:id="98"/>
      <w:bookmarkEnd w:id="99"/>
    </w:p>
    <w:p w14:paraId="478A1B27" w14:textId="77777777" w:rsidR="00EA288F" w:rsidRPr="00BC516D" w:rsidRDefault="00EA288F" w:rsidP="008F161A">
      <w:pPr>
        <w:numPr>
          <w:ilvl w:val="3"/>
          <w:numId w:val="145"/>
        </w:numPr>
        <w:shd w:val="clear" w:color="auto" w:fill="FFFFFF"/>
        <w:tabs>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b/>
          <w:color w:val="000000"/>
          <w:spacing w:val="4"/>
          <w:szCs w:val="24"/>
          <w:u w:color="000000"/>
          <w:lang w:eastAsia="ru-RU"/>
        </w:rPr>
        <w:t xml:space="preserve">Общие сведения </w:t>
      </w:r>
    </w:p>
    <w:p w14:paraId="184073F9" w14:textId="21543B28" w:rsidR="00EA288F" w:rsidRPr="00BC516D" w:rsidRDefault="00EA288F" w:rsidP="00BC516D">
      <w:pPr>
        <w:shd w:val="clear" w:color="auto" w:fill="FFFFFF"/>
        <w:tabs>
          <w:tab w:val="left" w:pos="0"/>
          <w:tab w:val="left" w:pos="394"/>
        </w:tabs>
        <w:spacing w:before="0" w:after="0"/>
        <w:ind w:firstLine="709"/>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Одним из частых клинически значимых побочных эффектов химиотерапии (ХТ) является тошнота и рвота. Эти побочные явления приводят не только к ухудшению самочувствия пациента, снижению качества жизни, но и препятствуют применению лекарственных препаратов в пероральной форме, а также приему пищи. Появление новых комбинаций противоопухолевых средств приводит к улучшению результатов терапии онкогематологических больных, однако выраженная тошнота и рвота могут ограничивать применение химиопрепаратов в полных дозах, отрицательно влиять на приверженность больных лечению. В связи с этим контроль тошноты и рвоты играет жизненно важную роль в сопроводительной терапии больных множественной миеломой</w:t>
      </w:r>
      <w:r w:rsidR="00BC516D" w:rsidRPr="00BC516D">
        <w:rPr>
          <w:rFonts w:eastAsia="Arial Unicode MS"/>
          <w:color w:val="000000"/>
          <w:spacing w:val="4"/>
          <w:szCs w:val="24"/>
          <w:u w:color="000000"/>
          <w:lang w:eastAsia="ru-RU"/>
        </w:rPr>
        <w:fldChar w:fldCharType="begin" w:fldLock="1"/>
      </w:r>
      <w:r w:rsidR="00E430FD">
        <w:rPr>
          <w:rFonts w:eastAsia="Arial Unicode MS"/>
          <w:color w:val="000000"/>
          <w:spacing w:val="4"/>
          <w:szCs w:val="24"/>
          <w:u w:color="000000"/>
          <w:lang w:eastAsia="ru-RU"/>
        </w:rPr>
        <w:instrText>ADDIN CSL_CITATION {"citationItems":[{"id":"ITEM-1","itemData":{"DOI":"10.1056/NEJMra0706547","ISSN":"1533-4406","PMID":"18525044","author":[{"dropping-particle":"","family":"Hesketh","given":"Paul J","non-dropping-particle":"","parse-names":false,"suffix":""}],"container-title":"The New England journal of medicine","id":"ITEM-1","issue":"23","issued":{"date-parts":[["2008","6"]]},"page":"2482-94","publisher":"N Engl J Med","title":"Chemotherapy-induced nausea and vomiting.","type":"article-journal","volume":"358"},"uris":["http://www.mendeley.com/documents/?uuid=3d39545b-52f7-4a39-8cc4-197164e199ef"]},{"id":"ITEM-2","itemData":{"DOI":"10.1158/0008-5472.CAN-07-6611","ISSN":"1538-7445","PMID":"18974103","abstract":"The use of chemotherapy to treat cancer began at the start of the 20th century with attempts to narrow the universe of chemicals that might affect the disease by developing methods to screen chemicals using transplantable tumors in rodents. It was, however, four World War II-related programs, and the effects of drugs that evolved from them, that provided the impetus to establish in 1955 the national drug development effort known as the Cancer Chemotherapy National Service Center. The ability of combination chemotherapy to cure acute childhood leukemia and advanced Hodgkin's disease in the 1960s and early 1970s overcame the prevailing pessimism about the ability of drugs to cure advanced cancers, facilitated the study of adjuvant chemotherapy, and helped foster the national cancer program. Today, chemotherapy has changed as important molecular abnormalities are being used to screen for potential new drugs as well as for targeted treatments.","author":[{"dropping-particle":"","family":"DeVita","given":"Vincent T","non-dropping-particle":"","parse-names":false,"suffix":""},{"dropping-particle":"","family":"Chu","given":"Edward","non-dropping-particle":"","parse-names":false,"suffix":""}],"container-title":"Cancer research","id":"ITEM-2","issue":"21","issued":{"date-parts":[["2008","11"]]},"page":"8643-53","publisher":"Cancer Res","title":"A history of cancer chemotherapy.","type":"article-journal","volume":"68"},"uris":["http://www.mendeley.com/documents/?uuid=fbf43b14-da05-4efc-9083-76b86089d83e"]},{"id":"ITEM-3","itemData":{"DOI":"10.1056/nejmra1515442","ISSN":"0028-4793","PMID":"27050207","abstract":"One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Medicine","id":"ITEM-3","issue":"14","issued":{"date-parts":[["2016","4","7"]]},"page":"1356-1367","publisher":"New England Journal of Medicine (NEJM/MMS)","title":"Antiemetic Prophylaxis for Chemotherapy-Induced Nausea and Vomiting","type":"article-journal","volume":"374"},"uris":["http://www.mendeley.com/documents/?uuid=29ca644e-1c2a-3fa9-8d3e-90c52d8c3c4f"]}],"mendeley":{"formattedCitation":"[153–155]","plainTextFormattedCitation":"[153–155]","previouslyFormattedCitation":"[153–155]"},"properties":{"noteIndex":0},"schema":"https://github.com/citation-style-language/schema/raw/master/csl-citation.json"}</w:instrText>
      </w:r>
      <w:r w:rsidR="00BC516D" w:rsidRPr="00BC516D">
        <w:rPr>
          <w:rFonts w:eastAsia="Arial Unicode MS"/>
          <w:color w:val="000000"/>
          <w:spacing w:val="4"/>
          <w:szCs w:val="24"/>
          <w:u w:color="000000"/>
          <w:lang w:eastAsia="ru-RU"/>
        </w:rPr>
        <w:fldChar w:fldCharType="separate"/>
      </w:r>
      <w:r w:rsidR="00E430FD" w:rsidRPr="00E430FD">
        <w:rPr>
          <w:rFonts w:eastAsia="Arial Unicode MS"/>
          <w:noProof/>
          <w:color w:val="000000"/>
          <w:spacing w:val="4"/>
          <w:szCs w:val="24"/>
          <w:u w:color="000000"/>
          <w:lang w:eastAsia="ru-RU"/>
        </w:rPr>
        <w:t>[153–155]</w:t>
      </w:r>
      <w:r w:rsidR="00BC516D" w:rsidRPr="00BC516D">
        <w:rPr>
          <w:rFonts w:eastAsia="Arial Unicode MS"/>
          <w:color w:val="000000"/>
          <w:spacing w:val="4"/>
          <w:szCs w:val="24"/>
          <w:u w:color="000000"/>
          <w:lang w:eastAsia="ru-RU"/>
        </w:rPr>
        <w:fldChar w:fldCharType="end"/>
      </w:r>
      <w:r w:rsidRPr="00BC516D">
        <w:rPr>
          <w:rFonts w:eastAsia="Arial Unicode MS"/>
          <w:color w:val="000000"/>
          <w:spacing w:val="4"/>
          <w:szCs w:val="24"/>
          <w:u w:color="000000"/>
          <w:shd w:val="clear" w:color="auto" w:fill="FFFFFF"/>
          <w:lang w:eastAsia="ru-RU"/>
        </w:rPr>
        <w:t xml:space="preserve">. </w:t>
      </w:r>
    </w:p>
    <w:p w14:paraId="7BADD1E6" w14:textId="0F4BBB53" w:rsidR="00EA288F" w:rsidRPr="00BC516D" w:rsidRDefault="00EA288F" w:rsidP="00BC516D">
      <w:pPr>
        <w:shd w:val="clear" w:color="auto" w:fill="FFFFFF"/>
        <w:tabs>
          <w:tab w:val="left" w:pos="0"/>
          <w:tab w:val="left" w:pos="394"/>
        </w:tabs>
        <w:spacing w:before="0" w:after="0"/>
        <w:ind w:firstLine="709"/>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 xml:space="preserve">Тошнота и рвота развиваются при возбуждении рвотного центра несколькими путями - при воздействии нейротрансмиттеров на его рецепторы, или при поступлении в него импульсов от хеморецепторов триггерной зоны. Химическими веществами, вызывающими активацию рвотного центра, являются дофамин, серотонин, гистамин, ацетилхолин и субстанция Р (нейрокинин-1 - </w:t>
      </w:r>
      <w:r w:rsidRPr="00BC516D">
        <w:rPr>
          <w:rFonts w:eastAsia="Arial Unicode MS"/>
          <w:color w:val="000000"/>
          <w:spacing w:val="4"/>
          <w:szCs w:val="24"/>
          <w:u w:color="000000"/>
          <w:shd w:val="clear" w:color="auto" w:fill="FFFFFF"/>
          <w:lang w:val="en-US" w:eastAsia="ru-RU"/>
        </w:rPr>
        <w:t>NK</w:t>
      </w:r>
      <w:r w:rsidRPr="00BC516D">
        <w:rPr>
          <w:rFonts w:eastAsia="Arial Unicode MS"/>
          <w:color w:val="000000"/>
          <w:spacing w:val="4"/>
          <w:szCs w:val="24"/>
          <w:u w:color="000000"/>
          <w:shd w:val="clear" w:color="auto" w:fill="FFFFFF"/>
          <w:lang w:eastAsia="ru-RU"/>
        </w:rPr>
        <w:t>-1). Противорвотные препараты избирательно блокируют какой-либо из перечисленных нейротрансмиттеров</w:t>
      </w:r>
      <w:r w:rsidR="00BC516D" w:rsidRPr="00BC516D">
        <w:rPr>
          <w:rFonts w:eastAsia="Arial Unicode MS"/>
          <w:color w:val="000000"/>
          <w:spacing w:val="4"/>
          <w:szCs w:val="24"/>
          <w:u w:color="000000"/>
          <w:lang w:eastAsia="ru-RU"/>
        </w:rPr>
        <w:fldChar w:fldCharType="begin" w:fldLock="1"/>
      </w:r>
      <w:r w:rsidR="00E430FD">
        <w:rPr>
          <w:rFonts w:eastAsia="Arial Unicode MS"/>
          <w:color w:val="000000"/>
          <w:spacing w:val="4"/>
          <w:szCs w:val="24"/>
          <w:u w:color="000000"/>
          <w:lang w:eastAsia="ru-RU"/>
        </w:rPr>
        <w:instrText>ADDIN CSL_CITATION {"citationItems":[{"id":"ITEM-1","itemData":{"DOI":"10.1159/000227649","ISSN":"0030-2414","PMID":"8692545","abstract":"The introduction of 5-HT3 antagonists, such as ondansetron, as antiemetic agents has transformed the management of patients receiving chemotherapy or radiation therapy. Studies in animal models with NK1 antagonists suggest that these represent a new class of antiemetic agents having a broader spectrum of activity than 5-HT3 antagonists. Compounds of this class may prove to be more effective in man against delayed emesis induced by cisplatin, post-operative nausea and vomiting and motion sickness. Thus, they have the potential to complement 5-HT3 antagonists and so provide a further advance in the management of nausea and vomiting.","author":[{"dropping-particle":"","family":"Bountra","given":"C","non-dropping-particle":"","parse-names":false,"suffix":""},{"dropping-particle":"","family":"Gale","given":"J D","non-dropping-particle":"","parse-names":false,"suffix":""},{"dropping-particle":"","family":"Gardner","given":"C J","non-dropping-particle":"","parse-names":false,"suffix":""},{"dropping-particle":"","family":"Jordan","given":"C C","non-dropping-particle":"","parse-names":false,"suffix":""},{"dropping-particle":"","family":"Kilpatrick","given":"G J","non-dropping-particle":"","parse-names":false,"suffix":""},{"dropping-particle":"","family":"Twissell","given":"D J","non-dropping-particle":"","parse-names":false,"suffix":""},{"dropping-particle":"","family":"Ward","given":"P","non-dropping-particle":"","parse-names":false,"suffix":""}],"container-title":"Oncology","id":"ITEM-1","issued":{"date-parts":[["1996","6"]]},"page":"102-9","publisher":"Oncology","title":"Towards understanding the aetiology and pathophysiology of the emetic reflex: novel approaches to antiemetic drugs.","type":"article-journal","volume":"53 Suppl 1"},"uris":["http://www.mendeley.com/documents/?uuid=c28a5375-d5ad-4bb3-9719-c5e5d9038a08"]},{"id":"ITEM-2","itemData":{"DOI":"10.2165/00003495-199243030-00002","ISSN":"0012-6667","PMID":"1374316","abstract":"The availability of radiolabelled ligands selective for various putative neurotransmitter receptor sites and the development of quantitative autoradiography has led to a greater understanding of the neuronal pathway and receptor subtypes involved in the vomiting reflex induced by various mechanisms both within the central nervous system and the periphery. Receptors for acetylcholine, dopamine, histamine and serotonin have been detected in a number of brain regions associated with the vomiting reflex, and provide a rational basis for the antiemetic action of drugs that inhibit receptor subtypes for these neurotransmitters. The basis of the antiemetic action of other drugs such as dexamethasone and the cannabinoids is still obscure. Some drugs act on more than 1 receptor subtype. Metoclopramide may inhibit both dopamine D2- and 5-HT3 receptors in producing its antiemetic effect. Both metoclopramide and domperidone appear to have additional peripheral actions that contribute to their effectiveness. The cannabinoids are effective in cytotoxic-induced vomiting, perhaps acting via endorphin receptors or by inhibiting prostaglandin synthesis. The effectiveness of 5-HT3 receptor antagonists may depend on the block of both central and peripheral neuronal 5-HT3 receptors. Vomiting constitutes a major disadvantage to the use of many drugs; vomiting induced by aminoglycoside antibiotics appears to be due to ototoxicity and is relieved by histamine H1-receptor antagonists. The protracted vomiting associated with the use of some cytotoxics in cancer chemotherapy may involve psychic components, the chemoreceptor trigger zone and peripheral sensory neurons. Both 5-HT3 and dopamine D2-receptor antagonists exert some control, the former being more effective with cytotoxics of high emetogenic potential, such as cisplatin. Serotonin 5-HT3 receptor antagonists or high doses of metoclopramide in combination with anxiolytics and steroids as well as greater attention to pharmacokinetic profiles of the drugs involved would appear to offer improved control. The use of dopamine receptor antagonists in controlling emesis induced by dopamine agonists used in Parkinson's disease poses theoretical problems which can be overcome by using drugs with selectivity for the chemoreceptor trigger zone, such as domperidone or metoclopramide. However, higher doses of these drugs may produce some impairment of therapeutic responses to the agonists. Muscarinic and nicotinic agonists currently un…","author":[{"dropping-particle":"","family":"Mitchelson","given":"F","non-dropping-particle":"","parse-names":false,"suffix":""}],"container-title":"Drugs","id":"ITEM-2","issue":"3","issued":{"date-parts":[["1992","3"]]},"page":"295-315","publisher":"Drugs","title":"Pharmacological agents affecting emesis. A review (Part I).","type":"article-journal","volume":"43"},"uris":["http://www.mendeley.com/documents/?uuid=420c4d57-1fad-4e8e-821b-99ffd751fb65"]}],"mendeley":{"formattedCitation":"[156,157]","plainTextFormattedCitation":"[156,157]","previouslyFormattedCitation":"[156,157]"},"properties":{"noteIndex":0},"schema":"https://github.com/citation-style-language/schema/raw/master/csl-citation.json"}</w:instrText>
      </w:r>
      <w:r w:rsidR="00BC516D" w:rsidRPr="00BC516D">
        <w:rPr>
          <w:rFonts w:eastAsia="Arial Unicode MS"/>
          <w:color w:val="000000"/>
          <w:spacing w:val="4"/>
          <w:szCs w:val="24"/>
          <w:u w:color="000000"/>
          <w:lang w:eastAsia="ru-RU"/>
        </w:rPr>
        <w:fldChar w:fldCharType="separate"/>
      </w:r>
      <w:r w:rsidR="00E430FD" w:rsidRPr="00E430FD">
        <w:rPr>
          <w:rFonts w:eastAsia="Arial Unicode MS"/>
          <w:noProof/>
          <w:color w:val="000000"/>
          <w:spacing w:val="4"/>
          <w:szCs w:val="24"/>
          <w:u w:color="000000"/>
          <w:lang w:eastAsia="ru-RU"/>
        </w:rPr>
        <w:t>[156,157]</w:t>
      </w:r>
      <w:r w:rsidR="00BC516D" w:rsidRPr="00BC516D">
        <w:rPr>
          <w:rFonts w:eastAsia="Arial Unicode MS"/>
          <w:color w:val="000000"/>
          <w:spacing w:val="4"/>
          <w:szCs w:val="24"/>
          <w:u w:color="000000"/>
          <w:lang w:eastAsia="ru-RU"/>
        </w:rPr>
        <w:fldChar w:fldCharType="end"/>
      </w:r>
      <w:r w:rsidRPr="00BC516D">
        <w:rPr>
          <w:rFonts w:eastAsia="Arial Unicode MS"/>
          <w:color w:val="000000"/>
          <w:spacing w:val="4"/>
          <w:szCs w:val="24"/>
          <w:u w:color="000000"/>
          <w:shd w:val="clear" w:color="auto" w:fill="FFFFFF"/>
          <w:lang w:eastAsia="ru-RU"/>
        </w:rPr>
        <w:t>.</w:t>
      </w:r>
    </w:p>
    <w:p w14:paraId="565A5878" w14:textId="77777777" w:rsidR="00EA288F" w:rsidRPr="00BC516D" w:rsidRDefault="00EA288F" w:rsidP="008F161A">
      <w:pPr>
        <w:numPr>
          <w:ilvl w:val="3"/>
          <w:numId w:val="145"/>
        </w:numPr>
        <w:shd w:val="clear" w:color="auto" w:fill="FFFFFF"/>
        <w:tabs>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b/>
          <w:color w:val="000000"/>
          <w:spacing w:val="4"/>
          <w:szCs w:val="24"/>
          <w:u w:color="000000"/>
          <w:shd w:val="clear" w:color="auto" w:fill="FFFFFF"/>
          <w:lang w:eastAsia="ru-RU"/>
        </w:rPr>
        <w:t>Типы тошноты и рвоты</w:t>
      </w:r>
    </w:p>
    <w:p w14:paraId="6300CD6E" w14:textId="77777777" w:rsidR="00EA288F" w:rsidRPr="00BC516D" w:rsidRDefault="00EA288F" w:rsidP="008F161A">
      <w:pPr>
        <w:numPr>
          <w:ilvl w:val="0"/>
          <w:numId w:val="146"/>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Острая рвота – развивается в первые 24 ч после ХТ; отличается высокой интенсивностью; редко сопровождается тошнотой.</w:t>
      </w:r>
    </w:p>
    <w:p w14:paraId="30D5ECFF" w14:textId="77777777" w:rsidR="00EA288F" w:rsidRPr="00BC516D" w:rsidRDefault="00EA288F" w:rsidP="008F161A">
      <w:pPr>
        <w:numPr>
          <w:ilvl w:val="0"/>
          <w:numId w:val="146"/>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Отсроченная рвота – развивается на 2-5 сутки после начала ХТ; менее интенсивна, чем острая; часто сопровождается постоянной тошнотой.</w:t>
      </w:r>
    </w:p>
    <w:p w14:paraId="19F1CC07" w14:textId="77777777" w:rsidR="00EA288F" w:rsidRPr="00BC516D" w:rsidRDefault="00EA288F" w:rsidP="008F161A">
      <w:pPr>
        <w:numPr>
          <w:ilvl w:val="0"/>
          <w:numId w:val="146"/>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Условно-рефлекторная рвота – развивается как условный рефлекс на ХТ и/или сопутствующие ей манипуляции и окружающую обстановку; риск ее развития увеличивается с количеством курсов ХТ; может сохраняться в течение длительного времени после окончания ХТ.</w:t>
      </w:r>
    </w:p>
    <w:p w14:paraId="6C2CF6C4" w14:textId="77777777" w:rsidR="00EA288F" w:rsidRPr="00BC516D" w:rsidRDefault="00EA288F" w:rsidP="008F161A">
      <w:pPr>
        <w:numPr>
          <w:ilvl w:val="0"/>
          <w:numId w:val="146"/>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Неконтролируемая тошнота и рвота – развивается на фоне адекватной антиэметической профилактики и требует дополнительной коррекции.</w:t>
      </w:r>
    </w:p>
    <w:p w14:paraId="1403AF52" w14:textId="77777777" w:rsidR="00EA288F" w:rsidRPr="00BC516D" w:rsidRDefault="00EA288F" w:rsidP="008F161A">
      <w:pPr>
        <w:numPr>
          <w:ilvl w:val="0"/>
          <w:numId w:val="146"/>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Рефрактерная рвота – возникает на последующих курсах ХТ при неэффективности противорвотной профилактики и/или препаратов резерва на предыдущих курсах лечения.</w:t>
      </w:r>
    </w:p>
    <w:p w14:paraId="6C69A8D7" w14:textId="77777777" w:rsidR="00EA288F" w:rsidRPr="00BC516D" w:rsidRDefault="00EA288F" w:rsidP="008F161A">
      <w:pPr>
        <w:numPr>
          <w:ilvl w:val="0"/>
          <w:numId w:val="145"/>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b/>
          <w:color w:val="000000"/>
          <w:spacing w:val="4"/>
          <w:szCs w:val="24"/>
          <w:u w:color="000000"/>
          <w:shd w:val="clear" w:color="auto" w:fill="FFFFFF"/>
          <w:lang w:eastAsia="ru-RU"/>
        </w:rPr>
        <w:t>Эметогенный потенциал противоопухолевых препаратов</w:t>
      </w:r>
    </w:p>
    <w:p w14:paraId="2C7F27F5" w14:textId="77777777" w:rsidR="00EA288F" w:rsidRPr="00BC516D" w:rsidRDefault="00EA288F" w:rsidP="00BC516D">
      <w:pPr>
        <w:shd w:val="clear" w:color="auto" w:fill="FFFFFF"/>
        <w:tabs>
          <w:tab w:val="left" w:pos="0"/>
          <w:tab w:val="left" w:pos="394"/>
        </w:tabs>
        <w:spacing w:before="0" w:after="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lastRenderedPageBreak/>
        <w:tab/>
      </w:r>
      <w:r w:rsidRPr="00BC516D">
        <w:rPr>
          <w:rFonts w:eastAsia="Arial Unicode MS"/>
          <w:color w:val="000000"/>
          <w:spacing w:val="4"/>
          <w:szCs w:val="24"/>
          <w:u w:color="000000"/>
          <w:shd w:val="clear" w:color="auto" w:fill="FFFFFF"/>
          <w:lang w:eastAsia="ru-RU"/>
        </w:rPr>
        <w:tab/>
        <w:t>Эметогенность – это риск развития рвоты у больных, получающих противоопухолевый препарат (в монорежиме, без противорвотной терапии). Выделено 4 градации эметогенного потенциала:</w:t>
      </w:r>
    </w:p>
    <w:p w14:paraId="252CB267" w14:textId="77777777" w:rsidR="00EA288F" w:rsidRPr="00BC516D" w:rsidRDefault="00EA288F" w:rsidP="008F161A">
      <w:pPr>
        <w:numPr>
          <w:ilvl w:val="0"/>
          <w:numId w:val="147"/>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минимальный -  развитие рвоты менее чем у 10% больных;</w:t>
      </w:r>
    </w:p>
    <w:p w14:paraId="3EC4EF70" w14:textId="77777777" w:rsidR="00EA288F" w:rsidRPr="00BC516D" w:rsidRDefault="00EA288F" w:rsidP="008F161A">
      <w:pPr>
        <w:numPr>
          <w:ilvl w:val="0"/>
          <w:numId w:val="147"/>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низкий - развитие рвоты у 10 - 30% больных;</w:t>
      </w:r>
    </w:p>
    <w:p w14:paraId="2422633F" w14:textId="77777777" w:rsidR="00EA288F" w:rsidRPr="00BC516D" w:rsidRDefault="00EA288F" w:rsidP="008F161A">
      <w:pPr>
        <w:numPr>
          <w:ilvl w:val="0"/>
          <w:numId w:val="147"/>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средний - развитие рвоты у 30 - 90% больных;</w:t>
      </w:r>
    </w:p>
    <w:p w14:paraId="56462D45" w14:textId="77777777" w:rsidR="00EA288F" w:rsidRPr="00BC516D" w:rsidRDefault="00EA288F" w:rsidP="008F161A">
      <w:pPr>
        <w:numPr>
          <w:ilvl w:val="0"/>
          <w:numId w:val="147"/>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высокий - развитие рвоты более чем у 90 % больных.</w:t>
      </w:r>
    </w:p>
    <w:p w14:paraId="5D43918C" w14:textId="244E6B93" w:rsidR="00EA288F" w:rsidRPr="00BC516D" w:rsidRDefault="00EA288F" w:rsidP="00BC516D">
      <w:pPr>
        <w:shd w:val="clear" w:color="auto" w:fill="FFFFFF"/>
        <w:tabs>
          <w:tab w:val="left" w:pos="0"/>
          <w:tab w:val="left" w:pos="394"/>
        </w:tabs>
        <w:spacing w:before="0" w:after="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ab/>
      </w:r>
      <w:r w:rsidRPr="00BC516D">
        <w:rPr>
          <w:rFonts w:eastAsia="Arial Unicode MS"/>
          <w:color w:val="000000"/>
          <w:spacing w:val="4"/>
          <w:szCs w:val="24"/>
          <w:u w:color="000000"/>
          <w:shd w:val="clear" w:color="auto" w:fill="FFFFFF"/>
          <w:lang w:eastAsia="ru-RU"/>
        </w:rPr>
        <w:tab/>
        <w:t>Рекомендации экспертов по принципам противорвотного (антиэметогенного) лечения основываются на том, в какую категорию эметогенного потенциала входит цитостатик. Эметогенный потенциал препаратов для внутривенного введения определяется, как правило, для режима однодневного введения, то есть определяется эметогенность разовой дозы. В основу эметогенной классификации таблетированных препаратов положен учет эметогенности полного курса лечения. Эметогенность комбинированного режима ХТ определяется, как правило, препаратом, обладающим наибольшим эметогенным потенциалом. Это положение является абсолютно верным для режимов, включающих высокоэметогенные цитостатики. Комбинация средне-эметогенных цитостатиков может повышать эметогенность режима в целом</w:t>
      </w:r>
      <w:r w:rsidR="00BC516D">
        <w:rPr>
          <w:rFonts w:eastAsia="Arial Unicode MS"/>
          <w:color w:val="000000"/>
          <w:spacing w:val="4"/>
          <w:szCs w:val="24"/>
          <w:u w:color="000000"/>
          <w:lang w:eastAsia="ru-RU"/>
        </w:rPr>
        <w:fldChar w:fldCharType="begin" w:fldLock="1"/>
      </w:r>
      <w:r w:rsidR="00E430FD">
        <w:rPr>
          <w:rFonts w:eastAsia="Arial Unicode MS"/>
          <w:color w:val="000000"/>
          <w:spacing w:val="4"/>
          <w:szCs w:val="24"/>
          <w:u w:color="000000"/>
          <w:lang w:eastAsia="ru-RU"/>
        </w:rPr>
        <w:instrText>ADDIN CSL_CITATION {"citationItems":[{"id":"ITEM-1","itemData":{"DOI":"10.6004/jnccn.2017.0117","ISSN":"15401413","PMID":"28687576","abstract":"The NCCN Clinical Practice Guidelines in Oncology (NCCN Guidelines) for Antiemesis address all aspects of management for chemotherapy-induced nausea and vomiting. These NCCN Guidelines Insights focus on recent updates to the NCCN Guidelines for Antiemesis, specifically those regarding carboplatin, granisetron, and olanzapine.","author":[{"dropping-particle":"","family":"Berger","given":"Michael J.","non-dropping-particle":"","parse-names":false,"suffix":""},{"dropping-particle":"","family":"Ettinger","given":"David S.","non-dropping-particle":"","parse-names":false,"suffix":""},{"dropping-particle":"","family":"Aston","given":"Jonathan","non-dropping-particle":"","parse-names":false,"suffix":""},{"dropping-particle":"","family":"Barbour","given":"Sally","non-dropping-particle":"","parse-names":false,"suffix":""},{"dropping-particle":"","family":"Bergsbaken","given":"Jason","non-dropping-particle":"","parse-names":false,"suffix":""},{"dropping-particle":"","family":"Bierman","given":"Philip J.","non-dropping-particle":"","parse-names":false,"suffix":""},{"dropping-particle":"","family":"Brandt","given":"Debra","non-dropping-particle":"","parse-names":false,"suffix":""},{"dropping-particle":"","family":"Dolan","given":"Dawn E.","non-dropping-particle":"","parse-names":false,"suffix":""},{"dropping-particle":"","family":"Ellis","given":"Georgiana","non-dropping-particle":"","parse-names":false,"suffix":""},{"dropping-particle":"","family":"Kim","given":"Eun Jeong","non-dropping-particle":"","parse-names":false,"suffix":""},{"dropping-particle":"","family":"Kirkegaard","given":"Steve","non-dropping-particle":"","parse-names":false,"suffix":""},{"dropping-particle":"","family":"Kloth","given":"Dwight D.","non-dropping-particle":"","parse-names":false,"suffix":""},{"dropping-particle":"","family":"Lagman","given":"Ruth","non-dropping-particle":"","parse-names":false,"suffix":""},{"dropping-particle":"","family":"Lim","given":"Dean","non-dropping-particle":"","parse-names":false,"suffix":""},{"dropping-particle":"","family":"Loprinzi","given":"Charles","non-dropping-particle":"","parse-names":false,"suffix":""},{"dropping-particle":"","family":"Ma","given":"Cynthia X.","non-dropping-particle":"","parse-names":false,"suffix":""},{"dropping-particle":"","family":"Maurer","given":"Victoria","non-dropping-particle":"","parse-names":false,"suffix":""},{"dropping-particle":"","family":"Michaud","given":"Laura Boehnke","non-dropping-particle":"","parse-names":false,"suffix":""},{"dropping-particle":"","family":"Nabell","given":"Lisle M.","non-dropping-particle":"","parse-names":false,"suffix":""},{"dropping-particle":"","family":"Noonan","given":"Kim","non-dropping-particle":"","parse-names":false,"suffix":""},{"dropping-particle":"","family":"Roeland","given":"Eric","non-dropping-particle":"","parse-names":false,"suffix":""},{"dropping-particle":"","family":"Rugo","given":"Hope S.","non-dropping-particle":"","parse-names":false,"suffix":""},{"dropping-particle":"","family":"Schwartzberg","given":"Lee S.","non-dropping-particle":"","parse-names":false,"suffix":""},{"dropping-particle":"","family":"Scullion","given":"Bridget","non-dropping-particle":"","parse-names":false,"suffix":""},{"dropping-particle":"","family":"Timoney","given":"John","non-dropping-particle":"","parse-names":false,"suffix":""},{"dropping-particle":"","family":"Todaro","given":"Barbara","non-dropping-particle":"","parse-names":false,"suffix":""},{"dropping-particle":"","family":"Urba","given":"Susan G.","non-dropping-particle":"","parse-names":false,"suffix":""},{"dropping-particle":"","family":"Shead","given":"Dorothy A.","non-dropping-particle":"","parse-names":false,"suffix":""},{"dropping-particle":"","family":"Hughes","given":"Miranda","non-dropping-particle":"","parse-names":false,"suffix":""}],"container-title":"JNCCN Journal of the National Comprehensive Cancer Network","id":"ITEM-1","issue":"7","issued":{"date-parts":[["2017","7"]]},"page":"883-893","publisher":"Harborside Press","title":"Antiemesis, version 2.2017 featured updates to the NCCN guidelines","type":"article","volume":"15"},"uris":["http://www.mendeley.com/documents/?uuid=45b3a12f-3d36-4ec5-b81d-2e8aea023c75"]},{"id":"ITEM-2","itemData":{"DOI":"10.1016/0197-0186(85)90106-8","ISSN":"0197-0186","PMID":"20492915","abstract":"The distributions of classical and putative neurotransmitters within somata and fibres of the dorsal vagal complex are reviewed. The occurrence within the dorsal medulla oblongata of receptors specific for some of these substances is examined, and possible functional correlations of the specific neurochemicals with respect to their distribution within the dorsal vagal complex are discussed. Many of the known transmitters and putative transmitters are represented in the dorsal vagal complex, particularly within various subnuclei of the nucleus of the solitary tract, the main vagal afferent nucleus. In a few cases, some of these have been examined in detail, particularly with respect to their possible mediation of cardiovascular or gastrointestinal functions. For example, the catecholamines, substance P and angiotensin II in the nucleus of the solitary tract have all been strongly implicated as playing a role in the central control of cardiovascular function. Other neurotransmitters or putative transmitters may be involved as well, but probably to a lesser extent. Similarly, the roles in the dorsal vagal complex of dopamine, the endorphins and cholecystokinin in control of the gut have been studied in some detail. Future investigations of the distributions of and electrophysiological parameters of neurotransmitters at the cellular level should provide much needed clues to advance our knowledge of the correlations between anatomical distributions of specific neurochemicals and physiological functions mediated by them.","author":[{"dropping-particle":"","family":"Leslie","given":"R A","non-dropping-particle":"","parse-names":false,"suffix":""}],"container-title":"Neurochemistry international","id":"ITEM-2","issue":"2","issued":{"date-parts":[["1985"]]},"page":"191-211","publisher":"Neurochem Int","title":"Neuroactive substances in the dorsal vagal complex of the medulla oblongata: nucleus of the tractus solitarius, area postrema, and dorsal motor nucleus of the vagus.","type":"article-journal","volume":"7"},"uris":["http://www.mendeley.com/documents/?uuid=853b142c-5edc-458e-9473-b57dd38539e2"]}],"mendeley":{"formattedCitation":"[158,159]","plainTextFormattedCitation":"[158,159]","previouslyFormattedCitation":"[158,159]"},"properties":{"noteIndex":0},"schema":"https://github.com/citation-style-language/schema/raw/master/csl-citation.json"}</w:instrText>
      </w:r>
      <w:r w:rsidR="00BC516D">
        <w:rPr>
          <w:rFonts w:eastAsia="Arial Unicode MS"/>
          <w:color w:val="000000"/>
          <w:spacing w:val="4"/>
          <w:szCs w:val="24"/>
          <w:u w:color="000000"/>
          <w:lang w:eastAsia="ru-RU"/>
        </w:rPr>
        <w:fldChar w:fldCharType="separate"/>
      </w:r>
      <w:r w:rsidR="00E430FD" w:rsidRPr="00E430FD">
        <w:rPr>
          <w:rFonts w:eastAsia="Arial Unicode MS"/>
          <w:noProof/>
          <w:color w:val="000000"/>
          <w:spacing w:val="4"/>
          <w:szCs w:val="24"/>
          <w:u w:color="000000"/>
          <w:lang w:eastAsia="ru-RU"/>
        </w:rPr>
        <w:t>[158,159]</w:t>
      </w:r>
      <w:r w:rsidR="00BC516D">
        <w:rPr>
          <w:rFonts w:eastAsia="Arial Unicode MS"/>
          <w:color w:val="000000"/>
          <w:spacing w:val="4"/>
          <w:szCs w:val="24"/>
          <w:u w:color="000000"/>
          <w:lang w:eastAsia="ru-RU"/>
        </w:rPr>
        <w:fldChar w:fldCharType="end"/>
      </w:r>
      <w:r w:rsidRPr="00BC516D">
        <w:rPr>
          <w:rFonts w:eastAsia="Arial Unicode MS"/>
          <w:color w:val="000000"/>
          <w:spacing w:val="4"/>
          <w:szCs w:val="24"/>
          <w:u w:color="000000"/>
          <w:shd w:val="clear" w:color="auto" w:fill="FFFFFF"/>
          <w:lang w:eastAsia="ru-RU"/>
        </w:rPr>
        <w:t>.</w:t>
      </w:r>
    </w:p>
    <w:p w14:paraId="04338DC4" w14:textId="77777777" w:rsidR="00EA288F" w:rsidRPr="00BC516D" w:rsidRDefault="00EA288F" w:rsidP="008F161A">
      <w:pPr>
        <w:numPr>
          <w:ilvl w:val="1"/>
          <w:numId w:val="148"/>
        </w:numPr>
        <w:shd w:val="clear" w:color="auto" w:fill="FFFFFF"/>
        <w:tabs>
          <w:tab w:val="left" w:pos="0"/>
          <w:tab w:val="left" w:pos="394"/>
        </w:tabs>
        <w:spacing w:before="0" w:after="0"/>
        <w:ind w:left="0" w:firstLine="0"/>
        <w:rPr>
          <w:rFonts w:eastAsia="Arial Unicode MS"/>
          <w:b/>
          <w:color w:val="000000"/>
          <w:spacing w:val="4"/>
          <w:szCs w:val="24"/>
          <w:u w:color="000000"/>
          <w:shd w:val="clear" w:color="auto" w:fill="FFFFFF"/>
          <w:lang w:eastAsia="ru-RU"/>
        </w:rPr>
      </w:pPr>
      <w:r w:rsidRPr="00BC516D">
        <w:rPr>
          <w:rFonts w:eastAsia="Arial Unicode MS"/>
          <w:b/>
          <w:color w:val="000000"/>
          <w:spacing w:val="4"/>
          <w:szCs w:val="24"/>
          <w:u w:color="000000"/>
          <w:shd w:val="clear" w:color="auto" w:fill="FFFFFF"/>
          <w:lang w:eastAsia="ru-RU"/>
        </w:rPr>
        <w:t>Схемы противоопухолевого лечения, применяемые в гематологии</w:t>
      </w:r>
    </w:p>
    <w:p w14:paraId="48D24CE1" w14:textId="79E2862F" w:rsidR="00EA288F" w:rsidRPr="00BC516D" w:rsidRDefault="00BC516D" w:rsidP="00BC516D">
      <w:pPr>
        <w:shd w:val="clear" w:color="auto" w:fill="FFFFFF"/>
        <w:tabs>
          <w:tab w:val="left" w:pos="0"/>
          <w:tab w:val="left" w:pos="394"/>
        </w:tabs>
        <w:spacing w:before="0" w:after="0"/>
        <w:rPr>
          <w:rFonts w:eastAsia="Arial Unicode MS"/>
          <w:color w:val="000000"/>
          <w:spacing w:val="4"/>
          <w:szCs w:val="24"/>
          <w:u w:color="000000"/>
          <w:shd w:val="clear" w:color="auto" w:fill="FFFFFF"/>
          <w:lang w:eastAsia="ru-RU"/>
        </w:rPr>
      </w:pPr>
      <w:r>
        <w:rPr>
          <w:rFonts w:eastAsia="Arial Unicode MS"/>
          <w:color w:val="000000"/>
          <w:spacing w:val="4"/>
          <w:szCs w:val="24"/>
          <w:u w:color="000000"/>
          <w:shd w:val="clear" w:color="auto" w:fill="FFFFFF"/>
          <w:lang w:eastAsia="ru-RU"/>
        </w:rPr>
        <w:tab/>
      </w:r>
      <w:r w:rsidR="00EA288F" w:rsidRPr="00BC516D">
        <w:rPr>
          <w:rFonts w:eastAsia="Arial Unicode MS"/>
          <w:color w:val="000000"/>
          <w:spacing w:val="4"/>
          <w:szCs w:val="24"/>
          <w:u w:color="000000"/>
          <w:shd w:val="clear" w:color="auto" w:fill="FFFFFF"/>
          <w:lang w:eastAsia="ru-RU"/>
        </w:rPr>
        <w:t xml:space="preserve">Курсы ХТ, применяющиеся в онкогематологии, как правило, относятся к категории среднего и высокого эметогенного потенциала. </w:t>
      </w:r>
    </w:p>
    <w:p w14:paraId="46DC21D0" w14:textId="77777777" w:rsidR="00EA288F" w:rsidRPr="00BC516D" w:rsidRDefault="00EA288F" w:rsidP="008F161A">
      <w:pPr>
        <w:numPr>
          <w:ilvl w:val="0"/>
          <w:numId w:val="149"/>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Примеры ХТ с высокой эметогенностью: DHAP, применение высоких доз мелфалана**, циклофосфамида**.</w:t>
      </w:r>
    </w:p>
    <w:p w14:paraId="060A0CBF" w14:textId="77777777" w:rsidR="00EA288F" w:rsidRPr="00BC516D" w:rsidRDefault="00EA288F" w:rsidP="008F161A">
      <w:pPr>
        <w:numPr>
          <w:ilvl w:val="0"/>
          <w:numId w:val="149"/>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 xml:space="preserve">Примеры ХТ со средней эметогенностью: </w:t>
      </w:r>
      <w:r w:rsidRPr="00BC516D">
        <w:rPr>
          <w:rFonts w:eastAsia="Arial Unicode MS"/>
          <w:color w:val="000000"/>
          <w:spacing w:val="4"/>
          <w:szCs w:val="24"/>
          <w:u w:color="000000"/>
          <w:shd w:val="clear" w:color="auto" w:fill="FFFFFF"/>
          <w:lang w:val="en-US" w:eastAsia="ru-RU"/>
        </w:rPr>
        <w:t>VCD</w:t>
      </w:r>
      <w:r w:rsidRPr="00BC516D">
        <w:rPr>
          <w:rFonts w:eastAsia="Arial Unicode MS"/>
          <w:color w:val="000000"/>
          <w:spacing w:val="4"/>
          <w:szCs w:val="24"/>
          <w:u w:color="000000"/>
          <w:shd w:val="clear" w:color="auto" w:fill="FFFFFF"/>
          <w:lang w:eastAsia="ru-RU"/>
        </w:rPr>
        <w:t>, комбинации с мелфаланом** (в средних и низких дозах).</w:t>
      </w:r>
    </w:p>
    <w:p w14:paraId="4A97A93E" w14:textId="77777777" w:rsidR="00EA288F" w:rsidRPr="00BC516D" w:rsidRDefault="00EA288F" w:rsidP="008F161A">
      <w:pPr>
        <w:numPr>
          <w:ilvl w:val="0"/>
          <w:numId w:val="149"/>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lang w:eastAsia="ru-RU"/>
        </w:rPr>
      </w:pPr>
      <w:r w:rsidRPr="00BC516D">
        <w:rPr>
          <w:rFonts w:eastAsia="Arial Unicode MS"/>
          <w:color w:val="000000"/>
          <w:spacing w:val="4"/>
          <w:szCs w:val="24"/>
          <w:u w:color="000000"/>
          <w:shd w:val="clear" w:color="auto" w:fill="FFFFFF"/>
          <w:lang w:eastAsia="ru-RU"/>
        </w:rPr>
        <w:t xml:space="preserve">Примеры ХТ с минимальной эметогенностью: метотрексат**. </w:t>
      </w:r>
    </w:p>
    <w:p w14:paraId="37448FA8" w14:textId="77777777" w:rsidR="00EA288F" w:rsidRPr="00BC516D" w:rsidRDefault="00EA288F" w:rsidP="008F161A">
      <w:pPr>
        <w:numPr>
          <w:ilvl w:val="1"/>
          <w:numId w:val="148"/>
        </w:numPr>
        <w:shd w:val="clear" w:color="auto" w:fill="FFFFFF"/>
        <w:tabs>
          <w:tab w:val="left" w:pos="0"/>
          <w:tab w:val="left" w:pos="394"/>
        </w:tabs>
        <w:spacing w:before="0" w:after="0"/>
        <w:ind w:left="0" w:firstLine="0"/>
        <w:rPr>
          <w:rFonts w:eastAsia="Arial Unicode MS"/>
          <w:b/>
          <w:color w:val="000000"/>
          <w:spacing w:val="4"/>
          <w:szCs w:val="24"/>
          <w:u w:color="000000"/>
          <w:lang w:eastAsia="ru-RU"/>
        </w:rPr>
      </w:pPr>
      <w:r w:rsidRPr="00BC516D">
        <w:rPr>
          <w:rFonts w:eastAsia="Arial Unicode MS"/>
          <w:b/>
          <w:color w:val="000000"/>
          <w:spacing w:val="4"/>
          <w:szCs w:val="24"/>
          <w:u w:color="000000"/>
          <w:lang w:eastAsia="ru-RU"/>
        </w:rPr>
        <w:t>Противорвотные препараты</w:t>
      </w:r>
    </w:p>
    <w:p w14:paraId="5C47FB98" w14:textId="77777777" w:rsidR="00EA288F" w:rsidRPr="00BC516D" w:rsidRDefault="00EA288F" w:rsidP="00BC516D">
      <w:pPr>
        <w:shd w:val="clear" w:color="auto" w:fill="FFFFFF"/>
        <w:tabs>
          <w:tab w:val="left" w:pos="0"/>
          <w:tab w:val="left" w:pos="394"/>
        </w:tabs>
        <w:spacing w:before="0" w:after="0"/>
        <w:rPr>
          <w:rFonts w:eastAsia="Arial Unicode MS"/>
          <w:color w:val="000000"/>
          <w:spacing w:val="4"/>
          <w:szCs w:val="24"/>
          <w:u w:color="000000"/>
          <w:lang w:eastAsia="ru-RU"/>
        </w:rPr>
      </w:pPr>
      <w:r w:rsidRPr="00BC516D">
        <w:rPr>
          <w:rFonts w:eastAsia="Arial Unicode MS"/>
          <w:color w:val="000000"/>
          <w:spacing w:val="4"/>
          <w:szCs w:val="24"/>
          <w:u w:color="000000"/>
          <w:lang w:eastAsia="ru-RU"/>
        </w:rPr>
        <w:tab/>
      </w:r>
      <w:r w:rsidRPr="00BC516D">
        <w:rPr>
          <w:rFonts w:eastAsia="Arial Unicode MS"/>
          <w:color w:val="000000"/>
          <w:spacing w:val="4"/>
          <w:szCs w:val="24"/>
          <w:u w:color="000000"/>
          <w:lang w:eastAsia="ru-RU"/>
        </w:rPr>
        <w:tab/>
        <w:t>Для клинического применения используется 5 групп препаратов, обладающих противорвотным действием:</w:t>
      </w:r>
    </w:p>
    <w:p w14:paraId="508BCEB5" w14:textId="77777777" w:rsidR="00EA288F" w:rsidRPr="00BC516D" w:rsidRDefault="00EA288F" w:rsidP="008F161A">
      <w:pPr>
        <w:numPr>
          <w:ilvl w:val="0"/>
          <w:numId w:val="150"/>
        </w:numPr>
        <w:shd w:val="clear" w:color="auto" w:fill="FFFFFF"/>
        <w:tabs>
          <w:tab w:val="left" w:pos="0"/>
          <w:tab w:val="left" w:pos="394"/>
        </w:tabs>
        <w:spacing w:before="0" w:after="0"/>
        <w:ind w:left="0" w:firstLine="0"/>
        <w:rPr>
          <w:rFonts w:eastAsia="Arial Unicode MS"/>
          <w:color w:val="000000"/>
          <w:spacing w:val="4"/>
          <w:szCs w:val="24"/>
          <w:u w:color="000000"/>
          <w:lang w:eastAsia="ru-RU"/>
        </w:rPr>
      </w:pPr>
      <w:r w:rsidRPr="00BC516D">
        <w:rPr>
          <w:rFonts w:eastAsia="Arial Unicode MS"/>
          <w:color w:val="000000"/>
          <w:spacing w:val="4"/>
          <w:szCs w:val="24"/>
          <w:u w:color="000000"/>
          <w:lang w:eastAsia="ru-RU"/>
        </w:rPr>
        <w:t>Антагонисты 5-HT3-рецепторов (</w:t>
      </w:r>
      <w:r w:rsidRPr="00BC516D">
        <w:rPr>
          <w:rFonts w:eastAsia="Arial Unicode MS"/>
          <w:color w:val="000000"/>
          <w:spacing w:val="4"/>
          <w:szCs w:val="24"/>
          <w:u w:color="000000"/>
          <w:lang w:val="en-US" w:eastAsia="ru-RU"/>
        </w:rPr>
        <w:t>HT</w:t>
      </w:r>
      <w:r w:rsidRPr="00BC516D">
        <w:rPr>
          <w:rFonts w:eastAsia="Arial Unicode MS"/>
          <w:color w:val="000000"/>
          <w:spacing w:val="4"/>
          <w:szCs w:val="24"/>
          <w:u w:color="000000"/>
          <w:lang w:eastAsia="ru-RU"/>
        </w:rPr>
        <w:t xml:space="preserve"> - гидрокситриптамин)</w:t>
      </w:r>
    </w:p>
    <w:p w14:paraId="1E85E374" w14:textId="77777777" w:rsidR="00EA288F" w:rsidRPr="00BC516D" w:rsidRDefault="00EA288F" w:rsidP="008F161A">
      <w:pPr>
        <w:numPr>
          <w:ilvl w:val="0"/>
          <w:numId w:val="150"/>
        </w:numPr>
        <w:shd w:val="clear" w:color="auto" w:fill="FFFFFF"/>
        <w:tabs>
          <w:tab w:val="left" w:pos="0"/>
          <w:tab w:val="left" w:pos="394"/>
        </w:tabs>
        <w:spacing w:before="0" w:after="0"/>
        <w:ind w:left="0" w:firstLine="0"/>
        <w:rPr>
          <w:rFonts w:eastAsia="Arial Unicode MS"/>
          <w:color w:val="000000"/>
          <w:spacing w:val="4"/>
          <w:szCs w:val="24"/>
          <w:u w:color="000000"/>
          <w:lang w:eastAsia="ru-RU"/>
        </w:rPr>
      </w:pPr>
      <w:r w:rsidRPr="00BC516D">
        <w:rPr>
          <w:rFonts w:eastAsia="Arial Unicode MS"/>
          <w:bCs/>
          <w:color w:val="000000"/>
          <w:spacing w:val="4"/>
          <w:szCs w:val="24"/>
          <w:u w:color="000000"/>
          <w:lang w:eastAsia="ru-RU"/>
        </w:rPr>
        <w:t>Кортикостероиды</w:t>
      </w:r>
    </w:p>
    <w:p w14:paraId="1173899F" w14:textId="77777777" w:rsidR="00EA288F" w:rsidRPr="00BC516D" w:rsidRDefault="00EA288F" w:rsidP="008F161A">
      <w:pPr>
        <w:numPr>
          <w:ilvl w:val="0"/>
          <w:numId w:val="150"/>
        </w:numPr>
        <w:shd w:val="clear" w:color="auto" w:fill="FFFFFF"/>
        <w:tabs>
          <w:tab w:val="left" w:pos="0"/>
          <w:tab w:val="left" w:pos="394"/>
        </w:tabs>
        <w:spacing w:before="0" w:after="0"/>
        <w:ind w:left="0" w:firstLine="0"/>
        <w:rPr>
          <w:rFonts w:eastAsia="Arial Unicode MS"/>
          <w:color w:val="000000"/>
          <w:spacing w:val="4"/>
          <w:szCs w:val="24"/>
          <w:u w:color="000000"/>
          <w:lang w:eastAsia="ru-RU"/>
        </w:rPr>
      </w:pPr>
      <w:r w:rsidRPr="00BC516D">
        <w:rPr>
          <w:rFonts w:eastAsia="Arial Unicode MS"/>
          <w:bCs/>
          <w:color w:val="000000"/>
          <w:spacing w:val="4"/>
          <w:szCs w:val="24"/>
          <w:u w:color="000000"/>
          <w:lang w:eastAsia="ru-RU"/>
        </w:rPr>
        <w:t xml:space="preserve">Антагонисты рецепторов </w:t>
      </w:r>
      <w:r w:rsidRPr="00BC516D">
        <w:rPr>
          <w:rFonts w:eastAsia="Arial Unicode MS"/>
          <w:color w:val="000000"/>
          <w:spacing w:val="4"/>
          <w:szCs w:val="24"/>
          <w:u w:color="000000"/>
          <w:lang w:eastAsia="ru-RU"/>
        </w:rPr>
        <w:t>нейрокинина-1 (</w:t>
      </w:r>
      <w:r w:rsidRPr="00BC516D">
        <w:rPr>
          <w:rFonts w:eastAsia="Arial Unicode MS"/>
          <w:bCs/>
          <w:color w:val="000000"/>
          <w:spacing w:val="4"/>
          <w:szCs w:val="24"/>
          <w:u w:color="000000"/>
          <w:lang w:eastAsia="ru-RU"/>
        </w:rPr>
        <w:t>NK-1)</w:t>
      </w:r>
    </w:p>
    <w:p w14:paraId="1873603F" w14:textId="77777777" w:rsidR="00EA288F" w:rsidRPr="00BC516D" w:rsidRDefault="00EA288F" w:rsidP="008F161A">
      <w:pPr>
        <w:numPr>
          <w:ilvl w:val="0"/>
          <w:numId w:val="150"/>
        </w:numPr>
        <w:shd w:val="clear" w:color="auto" w:fill="FFFFFF"/>
        <w:tabs>
          <w:tab w:val="left" w:pos="0"/>
          <w:tab w:val="left" w:pos="394"/>
        </w:tabs>
        <w:spacing w:before="0" w:after="0"/>
        <w:ind w:left="0" w:firstLine="0"/>
        <w:rPr>
          <w:rFonts w:eastAsia="Arial Unicode MS"/>
          <w:color w:val="000000"/>
          <w:spacing w:val="4"/>
          <w:szCs w:val="24"/>
          <w:u w:color="000000"/>
          <w:lang w:eastAsia="ru-RU"/>
        </w:rPr>
      </w:pPr>
      <w:r w:rsidRPr="00BC516D">
        <w:rPr>
          <w:rFonts w:eastAsia="Arial Unicode MS"/>
          <w:bCs/>
          <w:color w:val="000000"/>
          <w:spacing w:val="4"/>
          <w:szCs w:val="24"/>
          <w:u w:color="000000"/>
          <w:lang w:eastAsia="ru-RU"/>
        </w:rPr>
        <w:t>Блокаторы рецепторов допамина</w:t>
      </w:r>
    </w:p>
    <w:p w14:paraId="1D400F4E" w14:textId="77777777" w:rsidR="00EA288F" w:rsidRPr="00BC516D" w:rsidRDefault="00EA288F" w:rsidP="008F161A">
      <w:pPr>
        <w:numPr>
          <w:ilvl w:val="0"/>
          <w:numId w:val="150"/>
        </w:numPr>
        <w:shd w:val="clear" w:color="auto" w:fill="FFFFFF"/>
        <w:tabs>
          <w:tab w:val="left" w:pos="0"/>
          <w:tab w:val="left" w:pos="394"/>
        </w:tabs>
        <w:spacing w:before="0" w:after="0"/>
        <w:ind w:left="0" w:firstLine="0"/>
        <w:rPr>
          <w:rFonts w:eastAsia="Arial Unicode MS"/>
          <w:color w:val="000000"/>
          <w:spacing w:val="4"/>
          <w:szCs w:val="24"/>
          <w:u w:color="000000"/>
          <w:lang w:eastAsia="ru-RU"/>
        </w:rPr>
      </w:pPr>
      <w:r w:rsidRPr="00BC516D">
        <w:rPr>
          <w:rFonts w:eastAsia="Arial Unicode MS"/>
          <w:bCs/>
          <w:color w:val="000000"/>
          <w:spacing w:val="4"/>
          <w:szCs w:val="24"/>
          <w:u w:color="000000"/>
          <w:lang w:eastAsia="ru-RU"/>
        </w:rPr>
        <w:t>Нейролептики</w:t>
      </w:r>
    </w:p>
    <w:p w14:paraId="3D97E293" w14:textId="77777777" w:rsidR="00EA288F" w:rsidRPr="00BC516D" w:rsidRDefault="00EA288F" w:rsidP="00BC516D">
      <w:pPr>
        <w:shd w:val="clear" w:color="auto" w:fill="FFFFFF"/>
        <w:tabs>
          <w:tab w:val="left" w:pos="0"/>
          <w:tab w:val="left" w:pos="394"/>
        </w:tabs>
        <w:spacing w:before="0" w:after="0"/>
        <w:rPr>
          <w:rFonts w:eastAsia="Arial Unicode MS"/>
          <w:b/>
          <w:color w:val="000000"/>
          <w:spacing w:val="4"/>
          <w:szCs w:val="24"/>
          <w:u w:color="000000"/>
          <w:lang w:eastAsia="ru-RU"/>
        </w:rPr>
      </w:pPr>
      <w:r w:rsidRPr="00BC516D">
        <w:rPr>
          <w:rFonts w:eastAsia="Arial Unicode MS"/>
          <w:b/>
          <w:color w:val="000000"/>
          <w:spacing w:val="4"/>
          <w:szCs w:val="24"/>
          <w:u w:color="000000"/>
          <w:lang w:eastAsia="ru-RU"/>
        </w:rPr>
        <w:lastRenderedPageBreak/>
        <w:tab/>
      </w:r>
      <w:proofErr w:type="gramStart"/>
      <w:r w:rsidRPr="00BC516D">
        <w:rPr>
          <w:rFonts w:eastAsia="Arial Unicode MS"/>
          <w:b/>
          <w:color w:val="000000"/>
          <w:spacing w:val="4"/>
          <w:szCs w:val="24"/>
          <w:u w:color="000000"/>
          <w:lang w:eastAsia="ru-RU"/>
        </w:rPr>
        <w:t>3.2.1  Антагонисты</w:t>
      </w:r>
      <w:proofErr w:type="gramEnd"/>
      <w:r w:rsidRPr="00BC516D">
        <w:rPr>
          <w:rFonts w:eastAsia="Arial Unicode MS"/>
          <w:b/>
          <w:color w:val="000000"/>
          <w:spacing w:val="4"/>
          <w:szCs w:val="24"/>
          <w:u w:color="000000"/>
          <w:lang w:eastAsia="ru-RU"/>
        </w:rPr>
        <w:t xml:space="preserve"> 5-HT3-рецепторов</w:t>
      </w:r>
    </w:p>
    <w:p w14:paraId="06DC06EF" w14:textId="42A71D05" w:rsidR="00EA288F" w:rsidRPr="00BC516D" w:rsidRDefault="00BC516D" w:rsidP="00BC516D">
      <w:pPr>
        <w:spacing w:before="0" w:after="0"/>
        <w:rPr>
          <w:szCs w:val="24"/>
        </w:rPr>
      </w:pPr>
      <w:r>
        <w:rPr>
          <w:szCs w:val="24"/>
        </w:rPr>
        <w:tab/>
      </w:r>
      <w:r w:rsidR="00EA288F" w:rsidRPr="00BC516D">
        <w:rPr>
          <w:szCs w:val="24"/>
        </w:rPr>
        <w:t>Эта группа препаратов включает ондансетрон**, гранисетрон, трописетрон, палоносетрон. Механизм действия препаратов обусловлен способностью селективно блокировать серотониновые 5-HT3-рецепторы, предупреждая возникновение рвотного рефлекса вследствие стимуляции афферентных волокон блуждающего нерва серотонином, выделяющимся из энтерохромаффинных клеток слизистой оболочки желудочно-кишечного тракта (ЖКТ). Антагонисты 5-HT3-рецепторов также угнетают центральные звенья рвотного рефлекса, блокируя 5-HT3-рецепторы дна IV желудочка головного мозга. Препараты назначаются з</w:t>
      </w:r>
      <w:r w:rsidR="00DD36E7">
        <w:rPr>
          <w:szCs w:val="24"/>
        </w:rPr>
        <w:t xml:space="preserve">а 30-60 минут до ХТ. В таблице </w:t>
      </w:r>
      <w:r w:rsidR="00F32920">
        <w:rPr>
          <w:szCs w:val="24"/>
        </w:rPr>
        <w:t>А.3.8</w:t>
      </w:r>
      <w:r w:rsidR="00EA288F" w:rsidRPr="00BC516D">
        <w:rPr>
          <w:szCs w:val="24"/>
        </w:rPr>
        <w:t xml:space="preserve"> указан режим дозирования антагонистов 5-HT3-рецепторов</w:t>
      </w:r>
      <w:r w:rsidR="00EA288F" w:rsidRPr="00BC516D">
        <w:rPr>
          <w:szCs w:val="24"/>
        </w:rPr>
        <w:fldChar w:fldCharType="begin" w:fldLock="1"/>
      </w:r>
      <w:r w:rsidR="00500F37">
        <w:rPr>
          <w:szCs w:val="24"/>
        </w:rPr>
        <w:instrText>ADDIN CSL_CITATION {"citationItems":[{"id":"ITEM-1","itemData":{"DOI":"10.18027/2224-5057-2016-4s2-378-389","author":[{"dropping-particle":"","family":"Снеговой А. В., Абрамов М. Е., Бяхов М. Ю., Владимирова Л. Ю., Возный Э. К., Гладков О. А., Когония Л. М., Кононенко И. Б., Копп М. В., Королева И. А., Ларионова В. Б., Личиницер М. Р., Поддубная И. В.","given":"Птушкин В. В.","non-dropping-particle":"","parse-names":false,"suffix":""}],"container-title":"Практические рекомендации","id":"ITEM-1","issued":{"date-parts":[["2016"]]},"title":"Практические рекомендации по профилактике и лечению тошноты и рвоты у онкологических больных.","type":"article-journal"},"uris":["http://www.mendeley.com/documents/?uuid=024ffa3e-933b-4189-91a9-70a174746f6a"]}],"mendeley":{"formattedCitation":"[80]","plainTextFormattedCitation":"[80]","previouslyFormattedCitation":"[80]"},"properties":{"noteIndex":0},"schema":"https://github.com/citation-style-language/schema/raw/master/csl-citation.json"}</w:instrText>
      </w:r>
      <w:r w:rsidR="00EA288F" w:rsidRPr="00BC516D">
        <w:rPr>
          <w:szCs w:val="24"/>
        </w:rPr>
        <w:fldChar w:fldCharType="separate"/>
      </w:r>
      <w:r w:rsidR="00C15DA7" w:rsidRPr="00C15DA7">
        <w:rPr>
          <w:noProof/>
          <w:szCs w:val="24"/>
        </w:rPr>
        <w:t>[80]</w:t>
      </w:r>
      <w:r w:rsidR="00EA288F" w:rsidRPr="00BC516D">
        <w:rPr>
          <w:szCs w:val="24"/>
        </w:rPr>
        <w:fldChar w:fldCharType="end"/>
      </w:r>
      <w:r w:rsidR="00EA288F" w:rsidRPr="00BC516D">
        <w:rPr>
          <w:szCs w:val="24"/>
        </w:rPr>
        <w:t xml:space="preserve">. </w:t>
      </w:r>
    </w:p>
    <w:p w14:paraId="7D341D7E" w14:textId="3F089193" w:rsidR="00EA288F" w:rsidRPr="00BC516D" w:rsidRDefault="00EA288F" w:rsidP="00BC516D">
      <w:pPr>
        <w:shd w:val="clear" w:color="auto" w:fill="FFFFFF"/>
        <w:tabs>
          <w:tab w:val="left" w:pos="0"/>
          <w:tab w:val="left" w:pos="394"/>
        </w:tabs>
        <w:spacing w:before="0" w:after="0"/>
        <w:rPr>
          <w:rFonts w:eastAsia="Arial Unicode MS"/>
          <w:b/>
          <w:color w:val="000000"/>
          <w:spacing w:val="4"/>
          <w:szCs w:val="24"/>
          <w:u w:color="000000"/>
          <w:lang w:eastAsia="ru-RU"/>
        </w:rPr>
      </w:pPr>
      <w:r w:rsidRPr="00BC516D">
        <w:rPr>
          <w:rFonts w:eastAsia="Arial Unicode MS"/>
          <w:b/>
          <w:color w:val="000000"/>
          <w:spacing w:val="4"/>
          <w:szCs w:val="24"/>
          <w:u w:color="000000"/>
          <w:lang w:eastAsia="ru-RU"/>
        </w:rPr>
        <w:tab/>
        <w:t xml:space="preserve">Таблица </w:t>
      </w:r>
      <w:r w:rsidR="00F32920">
        <w:rPr>
          <w:rFonts w:eastAsia="Arial Unicode MS"/>
          <w:b/>
          <w:color w:val="000000"/>
          <w:spacing w:val="4"/>
          <w:szCs w:val="24"/>
          <w:u w:color="000000"/>
          <w:lang w:eastAsia="ru-RU"/>
        </w:rPr>
        <w:t>А3.8</w:t>
      </w:r>
      <w:r w:rsidRPr="00BC516D">
        <w:rPr>
          <w:rFonts w:eastAsia="Arial Unicode MS"/>
          <w:b/>
          <w:color w:val="000000"/>
          <w:spacing w:val="4"/>
          <w:szCs w:val="24"/>
          <w:u w:color="000000"/>
          <w:lang w:eastAsia="ru-RU"/>
        </w:rPr>
        <w:t xml:space="preserve">. </w:t>
      </w:r>
      <w:r w:rsidRPr="00292402">
        <w:rPr>
          <w:rFonts w:eastAsia="Arial Unicode MS"/>
          <w:color w:val="000000"/>
          <w:spacing w:val="4"/>
          <w:szCs w:val="24"/>
          <w:u w:color="000000"/>
          <w:lang w:eastAsia="ru-RU"/>
        </w:rPr>
        <w:t>Режим дозирования антагонистов 5-HT3-рецепторов</w:t>
      </w:r>
      <w:r w:rsidRPr="00BC516D">
        <w:rPr>
          <w:rFonts w:eastAsia="Arial Unicode MS"/>
          <w:b/>
          <w:color w:val="000000"/>
          <w:spacing w:val="4"/>
          <w:szCs w:val="24"/>
          <w:u w:color="000000"/>
          <w:lang w:eastAsia="ru-R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756"/>
        <w:gridCol w:w="3557"/>
      </w:tblGrid>
      <w:tr w:rsidR="00EA288F" w:rsidRPr="00BC516D" w14:paraId="034C0966" w14:textId="77777777" w:rsidTr="00EA288F">
        <w:trPr>
          <w:tblHeader/>
          <w:jc w:val="center"/>
        </w:trPr>
        <w:tc>
          <w:tcPr>
            <w:tcW w:w="2220" w:type="dxa"/>
            <w:tcBorders>
              <w:top w:val="single" w:sz="4" w:space="0" w:color="auto"/>
              <w:left w:val="single" w:sz="4" w:space="0" w:color="auto"/>
              <w:bottom w:val="single" w:sz="4" w:space="0" w:color="auto"/>
              <w:right w:val="single" w:sz="4" w:space="0" w:color="auto"/>
            </w:tcBorders>
            <w:hideMark/>
          </w:tcPr>
          <w:p w14:paraId="535C7371" w14:textId="77777777" w:rsidR="00EA288F" w:rsidRPr="00BC516D" w:rsidRDefault="00EA288F" w:rsidP="00BC516D">
            <w:pPr>
              <w:tabs>
                <w:tab w:val="left" w:pos="0"/>
              </w:tabs>
              <w:spacing w:before="0" w:after="0"/>
              <w:rPr>
                <w:szCs w:val="24"/>
                <w:lang w:eastAsia="ru-RU"/>
              </w:rPr>
            </w:pPr>
            <w:r w:rsidRPr="00BC516D">
              <w:rPr>
                <w:szCs w:val="24"/>
                <w:lang w:eastAsia="ru-RU"/>
              </w:rPr>
              <w:t>Препарат</w:t>
            </w:r>
          </w:p>
        </w:tc>
        <w:tc>
          <w:tcPr>
            <w:tcW w:w="2756" w:type="dxa"/>
            <w:tcBorders>
              <w:top w:val="single" w:sz="4" w:space="0" w:color="auto"/>
              <w:left w:val="single" w:sz="4" w:space="0" w:color="auto"/>
              <w:bottom w:val="single" w:sz="4" w:space="0" w:color="auto"/>
              <w:right w:val="single" w:sz="4" w:space="0" w:color="auto"/>
            </w:tcBorders>
            <w:hideMark/>
          </w:tcPr>
          <w:p w14:paraId="1CC59BE1" w14:textId="77777777" w:rsidR="00EA288F" w:rsidRPr="00BC516D" w:rsidRDefault="00EA288F" w:rsidP="00BC516D">
            <w:pPr>
              <w:tabs>
                <w:tab w:val="left" w:pos="0"/>
              </w:tabs>
              <w:spacing w:before="0" w:after="0"/>
              <w:rPr>
                <w:szCs w:val="24"/>
                <w:lang w:eastAsia="ru-RU"/>
              </w:rPr>
            </w:pPr>
            <w:r w:rsidRPr="00BC516D">
              <w:rPr>
                <w:szCs w:val="24"/>
                <w:lang w:eastAsia="ru-RU"/>
              </w:rPr>
              <w:t>Разовая доза, мг</w:t>
            </w:r>
          </w:p>
        </w:tc>
        <w:tc>
          <w:tcPr>
            <w:tcW w:w="3557" w:type="dxa"/>
            <w:tcBorders>
              <w:top w:val="single" w:sz="4" w:space="0" w:color="auto"/>
              <w:left w:val="single" w:sz="4" w:space="0" w:color="auto"/>
              <w:bottom w:val="single" w:sz="4" w:space="0" w:color="auto"/>
              <w:right w:val="single" w:sz="4" w:space="0" w:color="auto"/>
            </w:tcBorders>
            <w:hideMark/>
          </w:tcPr>
          <w:p w14:paraId="63F9DACE" w14:textId="77777777" w:rsidR="00EA288F" w:rsidRPr="00BC516D" w:rsidRDefault="00EA288F" w:rsidP="00BC516D">
            <w:pPr>
              <w:tabs>
                <w:tab w:val="left" w:pos="0"/>
              </w:tabs>
              <w:spacing w:before="0" w:after="0"/>
              <w:rPr>
                <w:szCs w:val="24"/>
                <w:lang w:eastAsia="ru-RU"/>
              </w:rPr>
            </w:pPr>
            <w:r w:rsidRPr="00BC516D">
              <w:rPr>
                <w:szCs w:val="24"/>
                <w:lang w:eastAsia="ru-RU"/>
              </w:rPr>
              <w:t xml:space="preserve">Способ применения </w:t>
            </w:r>
          </w:p>
        </w:tc>
      </w:tr>
      <w:tr w:rsidR="00EA288F" w:rsidRPr="00BC516D" w14:paraId="6F5A989C" w14:textId="77777777" w:rsidTr="00EA288F">
        <w:trPr>
          <w:jc w:val="center"/>
        </w:trPr>
        <w:tc>
          <w:tcPr>
            <w:tcW w:w="2220" w:type="dxa"/>
            <w:tcBorders>
              <w:top w:val="single" w:sz="4" w:space="0" w:color="auto"/>
              <w:left w:val="single" w:sz="4" w:space="0" w:color="auto"/>
              <w:bottom w:val="single" w:sz="4" w:space="0" w:color="auto"/>
              <w:right w:val="single" w:sz="4" w:space="0" w:color="auto"/>
            </w:tcBorders>
            <w:hideMark/>
          </w:tcPr>
          <w:p w14:paraId="17114B80" w14:textId="77777777" w:rsidR="00EA288F" w:rsidRPr="00BC516D" w:rsidRDefault="00EA288F" w:rsidP="00BC516D">
            <w:pPr>
              <w:tabs>
                <w:tab w:val="left" w:pos="0"/>
              </w:tabs>
              <w:spacing w:before="0" w:after="0"/>
              <w:rPr>
                <w:szCs w:val="24"/>
                <w:lang w:eastAsia="ru-RU"/>
              </w:rPr>
            </w:pPr>
            <w:r w:rsidRPr="00BC516D">
              <w:rPr>
                <w:szCs w:val="24"/>
                <w:lang w:eastAsia="ru-RU"/>
              </w:rPr>
              <w:t>Ондансетрон**</w:t>
            </w:r>
          </w:p>
        </w:tc>
        <w:tc>
          <w:tcPr>
            <w:tcW w:w="2756" w:type="dxa"/>
            <w:tcBorders>
              <w:top w:val="single" w:sz="4" w:space="0" w:color="auto"/>
              <w:left w:val="single" w:sz="4" w:space="0" w:color="auto"/>
              <w:bottom w:val="single" w:sz="4" w:space="0" w:color="auto"/>
              <w:right w:val="single" w:sz="4" w:space="0" w:color="auto"/>
            </w:tcBorders>
            <w:hideMark/>
          </w:tcPr>
          <w:p w14:paraId="0D8A1EE2" w14:textId="77777777" w:rsidR="00EA288F" w:rsidRPr="00BC516D" w:rsidRDefault="00EA288F" w:rsidP="00BC516D">
            <w:pPr>
              <w:tabs>
                <w:tab w:val="left" w:pos="0"/>
              </w:tabs>
              <w:spacing w:before="0" w:after="0"/>
              <w:rPr>
                <w:szCs w:val="24"/>
                <w:lang w:eastAsia="ru-RU"/>
              </w:rPr>
            </w:pPr>
            <w:r w:rsidRPr="00BC516D">
              <w:rPr>
                <w:szCs w:val="24"/>
                <w:lang w:eastAsia="ru-RU"/>
              </w:rPr>
              <w:t>8</w:t>
            </w:r>
          </w:p>
          <w:p w14:paraId="06CF831F" w14:textId="77777777" w:rsidR="00EA288F" w:rsidRPr="00BC516D" w:rsidRDefault="00EA288F" w:rsidP="00BC516D">
            <w:pPr>
              <w:tabs>
                <w:tab w:val="left" w:pos="0"/>
              </w:tabs>
              <w:spacing w:before="0" w:after="0"/>
              <w:rPr>
                <w:szCs w:val="24"/>
                <w:lang w:eastAsia="ru-RU"/>
              </w:rPr>
            </w:pPr>
            <w:r w:rsidRPr="00BC516D">
              <w:rPr>
                <w:szCs w:val="24"/>
                <w:lang w:eastAsia="ru-RU"/>
              </w:rPr>
              <w:t xml:space="preserve">16 </w:t>
            </w:r>
          </w:p>
          <w:p w14:paraId="61E5E685" w14:textId="77777777" w:rsidR="00EA288F" w:rsidRPr="00BC516D" w:rsidRDefault="00EA288F" w:rsidP="00BC516D">
            <w:pPr>
              <w:tabs>
                <w:tab w:val="left" w:pos="0"/>
              </w:tabs>
              <w:spacing w:before="0" w:after="0"/>
              <w:rPr>
                <w:szCs w:val="24"/>
                <w:lang w:eastAsia="ru-RU"/>
              </w:rPr>
            </w:pPr>
            <w:r w:rsidRPr="00BC516D">
              <w:rPr>
                <w:szCs w:val="24"/>
                <w:lang w:eastAsia="ru-RU"/>
              </w:rPr>
              <w:t>8</w:t>
            </w:r>
          </w:p>
        </w:tc>
        <w:tc>
          <w:tcPr>
            <w:tcW w:w="3557" w:type="dxa"/>
            <w:tcBorders>
              <w:top w:val="single" w:sz="4" w:space="0" w:color="auto"/>
              <w:left w:val="single" w:sz="4" w:space="0" w:color="auto"/>
              <w:bottom w:val="single" w:sz="4" w:space="0" w:color="auto"/>
              <w:right w:val="single" w:sz="4" w:space="0" w:color="auto"/>
            </w:tcBorders>
            <w:hideMark/>
          </w:tcPr>
          <w:p w14:paraId="4BC9673D" w14:textId="77777777" w:rsidR="00EA288F" w:rsidRPr="00BC516D" w:rsidRDefault="00EA288F" w:rsidP="00BC516D">
            <w:pPr>
              <w:tabs>
                <w:tab w:val="left" w:pos="0"/>
              </w:tabs>
              <w:spacing w:before="0" w:after="0"/>
              <w:rPr>
                <w:szCs w:val="24"/>
                <w:lang w:eastAsia="ru-RU"/>
              </w:rPr>
            </w:pPr>
            <w:r w:rsidRPr="00BC516D">
              <w:rPr>
                <w:szCs w:val="24"/>
                <w:lang w:eastAsia="ru-RU"/>
              </w:rPr>
              <w:t xml:space="preserve">в/в </w:t>
            </w:r>
          </w:p>
          <w:p w14:paraId="088A70B8" w14:textId="77777777" w:rsidR="00EA288F" w:rsidRPr="00BC516D" w:rsidRDefault="00EA288F" w:rsidP="00BC516D">
            <w:pPr>
              <w:tabs>
                <w:tab w:val="left" w:pos="0"/>
              </w:tabs>
              <w:spacing w:before="0" w:after="0"/>
              <w:rPr>
                <w:szCs w:val="24"/>
                <w:lang w:eastAsia="ru-RU"/>
              </w:rPr>
            </w:pPr>
            <w:r w:rsidRPr="00BC516D">
              <w:rPr>
                <w:szCs w:val="24"/>
                <w:lang w:eastAsia="ru-RU"/>
              </w:rPr>
              <w:t>внутрь</w:t>
            </w:r>
          </w:p>
          <w:p w14:paraId="4213095A" w14:textId="77777777" w:rsidR="00EA288F" w:rsidRPr="00BC516D" w:rsidRDefault="00EA288F" w:rsidP="00BC516D">
            <w:pPr>
              <w:tabs>
                <w:tab w:val="left" w:pos="0"/>
              </w:tabs>
              <w:spacing w:before="0" w:after="0"/>
              <w:rPr>
                <w:szCs w:val="24"/>
                <w:lang w:eastAsia="ru-RU"/>
              </w:rPr>
            </w:pPr>
            <w:r w:rsidRPr="00BC516D">
              <w:rPr>
                <w:szCs w:val="24"/>
                <w:lang w:eastAsia="ru-RU"/>
              </w:rPr>
              <w:t>суппозитории ректальные</w:t>
            </w:r>
          </w:p>
        </w:tc>
      </w:tr>
      <w:tr w:rsidR="00EA288F" w:rsidRPr="00BC516D" w14:paraId="09EA0820" w14:textId="77777777" w:rsidTr="00EA288F">
        <w:trPr>
          <w:jc w:val="center"/>
        </w:trPr>
        <w:tc>
          <w:tcPr>
            <w:tcW w:w="2220" w:type="dxa"/>
            <w:tcBorders>
              <w:top w:val="single" w:sz="4" w:space="0" w:color="auto"/>
              <w:left w:val="single" w:sz="4" w:space="0" w:color="auto"/>
              <w:bottom w:val="single" w:sz="4" w:space="0" w:color="auto"/>
              <w:right w:val="single" w:sz="4" w:space="0" w:color="auto"/>
            </w:tcBorders>
            <w:hideMark/>
          </w:tcPr>
          <w:p w14:paraId="019D8D7D" w14:textId="77777777" w:rsidR="00EA288F" w:rsidRPr="00BC516D" w:rsidRDefault="00EA288F" w:rsidP="00BC516D">
            <w:pPr>
              <w:tabs>
                <w:tab w:val="left" w:pos="0"/>
              </w:tabs>
              <w:spacing w:before="0" w:after="0"/>
              <w:rPr>
                <w:szCs w:val="24"/>
                <w:lang w:eastAsia="ru-RU"/>
              </w:rPr>
            </w:pPr>
            <w:r w:rsidRPr="00BC516D">
              <w:rPr>
                <w:szCs w:val="24"/>
                <w:lang w:eastAsia="ru-RU"/>
              </w:rPr>
              <w:t>Гранисетрон</w:t>
            </w:r>
          </w:p>
        </w:tc>
        <w:tc>
          <w:tcPr>
            <w:tcW w:w="2756" w:type="dxa"/>
            <w:tcBorders>
              <w:top w:val="single" w:sz="4" w:space="0" w:color="auto"/>
              <w:left w:val="single" w:sz="4" w:space="0" w:color="auto"/>
              <w:bottom w:val="single" w:sz="4" w:space="0" w:color="auto"/>
              <w:right w:val="single" w:sz="4" w:space="0" w:color="auto"/>
            </w:tcBorders>
            <w:hideMark/>
          </w:tcPr>
          <w:p w14:paraId="1449AEC8" w14:textId="77777777" w:rsidR="00EA288F" w:rsidRPr="00BC516D" w:rsidRDefault="00EA288F" w:rsidP="00BC516D">
            <w:pPr>
              <w:tabs>
                <w:tab w:val="left" w:pos="0"/>
              </w:tabs>
              <w:spacing w:before="0" w:after="0"/>
              <w:rPr>
                <w:szCs w:val="24"/>
                <w:lang w:eastAsia="ru-RU"/>
              </w:rPr>
            </w:pPr>
            <w:r w:rsidRPr="00BC516D">
              <w:rPr>
                <w:szCs w:val="24"/>
                <w:lang w:eastAsia="ru-RU"/>
              </w:rPr>
              <w:t>1-3</w:t>
            </w:r>
          </w:p>
          <w:p w14:paraId="69C2F53D" w14:textId="77777777" w:rsidR="00EA288F" w:rsidRPr="00BC516D" w:rsidRDefault="00EA288F" w:rsidP="00BC516D">
            <w:pPr>
              <w:tabs>
                <w:tab w:val="left" w:pos="0"/>
              </w:tabs>
              <w:spacing w:before="0" w:after="0"/>
              <w:rPr>
                <w:szCs w:val="24"/>
                <w:lang w:eastAsia="ru-RU"/>
              </w:rPr>
            </w:pPr>
            <w:r w:rsidRPr="00BC516D">
              <w:rPr>
                <w:szCs w:val="24"/>
                <w:lang w:eastAsia="ru-RU"/>
              </w:rPr>
              <w:t>2</w:t>
            </w:r>
          </w:p>
        </w:tc>
        <w:tc>
          <w:tcPr>
            <w:tcW w:w="3557" w:type="dxa"/>
            <w:tcBorders>
              <w:top w:val="single" w:sz="4" w:space="0" w:color="auto"/>
              <w:left w:val="single" w:sz="4" w:space="0" w:color="auto"/>
              <w:bottom w:val="single" w:sz="4" w:space="0" w:color="auto"/>
              <w:right w:val="single" w:sz="4" w:space="0" w:color="auto"/>
            </w:tcBorders>
            <w:hideMark/>
          </w:tcPr>
          <w:p w14:paraId="77470E8B" w14:textId="77777777" w:rsidR="00EA288F" w:rsidRPr="00BC516D" w:rsidRDefault="00EA288F" w:rsidP="00BC516D">
            <w:pPr>
              <w:tabs>
                <w:tab w:val="left" w:pos="0"/>
              </w:tabs>
              <w:spacing w:before="0" w:after="0"/>
              <w:rPr>
                <w:szCs w:val="24"/>
                <w:lang w:eastAsia="ru-RU"/>
              </w:rPr>
            </w:pPr>
            <w:r w:rsidRPr="00BC516D">
              <w:rPr>
                <w:szCs w:val="24"/>
                <w:lang w:eastAsia="ru-RU"/>
              </w:rPr>
              <w:t xml:space="preserve">в/в  </w:t>
            </w:r>
          </w:p>
          <w:p w14:paraId="7C05E9DF" w14:textId="77777777" w:rsidR="00EA288F" w:rsidRPr="00BC516D" w:rsidRDefault="00EA288F" w:rsidP="00BC516D">
            <w:pPr>
              <w:spacing w:before="0" w:after="0"/>
              <w:rPr>
                <w:szCs w:val="24"/>
              </w:rPr>
            </w:pPr>
            <w:r w:rsidRPr="00BC516D">
              <w:rPr>
                <w:szCs w:val="24"/>
                <w:lang w:eastAsia="ru-RU"/>
              </w:rPr>
              <w:t>внутрь</w:t>
            </w:r>
          </w:p>
        </w:tc>
      </w:tr>
      <w:tr w:rsidR="00EA288F" w:rsidRPr="00BC516D" w14:paraId="66C320F3" w14:textId="77777777" w:rsidTr="00EA288F">
        <w:trPr>
          <w:jc w:val="center"/>
        </w:trPr>
        <w:tc>
          <w:tcPr>
            <w:tcW w:w="2220" w:type="dxa"/>
            <w:tcBorders>
              <w:top w:val="single" w:sz="4" w:space="0" w:color="auto"/>
              <w:left w:val="single" w:sz="4" w:space="0" w:color="auto"/>
              <w:bottom w:val="single" w:sz="4" w:space="0" w:color="auto"/>
              <w:right w:val="single" w:sz="4" w:space="0" w:color="auto"/>
            </w:tcBorders>
            <w:hideMark/>
          </w:tcPr>
          <w:p w14:paraId="72466DB1" w14:textId="77777777" w:rsidR="00EA288F" w:rsidRPr="00BC516D" w:rsidRDefault="00EA288F" w:rsidP="00BC516D">
            <w:pPr>
              <w:tabs>
                <w:tab w:val="left" w:pos="0"/>
              </w:tabs>
              <w:spacing w:before="0" w:after="0"/>
              <w:rPr>
                <w:szCs w:val="24"/>
                <w:lang w:eastAsia="ru-RU"/>
              </w:rPr>
            </w:pPr>
            <w:r w:rsidRPr="00BC516D">
              <w:rPr>
                <w:szCs w:val="24"/>
                <w:lang w:eastAsia="ru-RU"/>
              </w:rPr>
              <w:t>Трописетрон</w:t>
            </w:r>
          </w:p>
        </w:tc>
        <w:tc>
          <w:tcPr>
            <w:tcW w:w="2756" w:type="dxa"/>
            <w:tcBorders>
              <w:top w:val="single" w:sz="4" w:space="0" w:color="auto"/>
              <w:left w:val="single" w:sz="4" w:space="0" w:color="auto"/>
              <w:bottom w:val="single" w:sz="4" w:space="0" w:color="auto"/>
              <w:right w:val="single" w:sz="4" w:space="0" w:color="auto"/>
            </w:tcBorders>
            <w:hideMark/>
          </w:tcPr>
          <w:p w14:paraId="12EB16BD" w14:textId="77777777" w:rsidR="00EA288F" w:rsidRPr="00BC516D" w:rsidRDefault="00EA288F" w:rsidP="00BC516D">
            <w:pPr>
              <w:tabs>
                <w:tab w:val="left" w:pos="0"/>
              </w:tabs>
              <w:spacing w:before="0" w:after="0"/>
              <w:rPr>
                <w:szCs w:val="24"/>
                <w:lang w:eastAsia="ru-RU"/>
              </w:rPr>
            </w:pPr>
            <w:r w:rsidRPr="00BC516D">
              <w:rPr>
                <w:szCs w:val="24"/>
                <w:lang w:eastAsia="ru-RU"/>
              </w:rPr>
              <w:t xml:space="preserve">5 </w:t>
            </w:r>
          </w:p>
        </w:tc>
        <w:tc>
          <w:tcPr>
            <w:tcW w:w="3557" w:type="dxa"/>
            <w:tcBorders>
              <w:top w:val="single" w:sz="4" w:space="0" w:color="auto"/>
              <w:left w:val="single" w:sz="4" w:space="0" w:color="auto"/>
              <w:bottom w:val="single" w:sz="4" w:space="0" w:color="auto"/>
              <w:right w:val="single" w:sz="4" w:space="0" w:color="auto"/>
            </w:tcBorders>
            <w:hideMark/>
          </w:tcPr>
          <w:p w14:paraId="5FD418AA" w14:textId="77777777" w:rsidR="00EA288F" w:rsidRPr="00BC516D" w:rsidRDefault="00EA288F" w:rsidP="00BC516D">
            <w:pPr>
              <w:spacing w:before="0" w:after="0"/>
              <w:rPr>
                <w:szCs w:val="24"/>
              </w:rPr>
            </w:pPr>
            <w:r w:rsidRPr="00BC516D">
              <w:rPr>
                <w:szCs w:val="24"/>
                <w:lang w:eastAsia="ru-RU"/>
              </w:rPr>
              <w:t>в/в или внутрь</w:t>
            </w:r>
          </w:p>
        </w:tc>
      </w:tr>
      <w:tr w:rsidR="00EA288F" w:rsidRPr="00BC516D" w14:paraId="77EB19D8" w14:textId="77777777" w:rsidTr="00EA288F">
        <w:trPr>
          <w:jc w:val="center"/>
        </w:trPr>
        <w:tc>
          <w:tcPr>
            <w:tcW w:w="2220" w:type="dxa"/>
            <w:tcBorders>
              <w:top w:val="single" w:sz="4" w:space="0" w:color="auto"/>
              <w:left w:val="single" w:sz="4" w:space="0" w:color="auto"/>
              <w:bottom w:val="single" w:sz="4" w:space="0" w:color="auto"/>
              <w:right w:val="single" w:sz="4" w:space="0" w:color="auto"/>
            </w:tcBorders>
            <w:hideMark/>
          </w:tcPr>
          <w:p w14:paraId="66D3F965" w14:textId="77777777" w:rsidR="00EA288F" w:rsidRPr="00BC516D" w:rsidRDefault="00EA288F" w:rsidP="00BC516D">
            <w:pPr>
              <w:tabs>
                <w:tab w:val="left" w:pos="0"/>
              </w:tabs>
              <w:spacing w:before="0" w:after="0"/>
              <w:rPr>
                <w:szCs w:val="24"/>
                <w:lang w:eastAsia="ru-RU"/>
              </w:rPr>
            </w:pPr>
            <w:r w:rsidRPr="00BC516D">
              <w:rPr>
                <w:szCs w:val="24"/>
              </w:rPr>
              <w:t>Палоносетрон</w:t>
            </w:r>
          </w:p>
        </w:tc>
        <w:tc>
          <w:tcPr>
            <w:tcW w:w="2756" w:type="dxa"/>
            <w:tcBorders>
              <w:top w:val="single" w:sz="4" w:space="0" w:color="auto"/>
              <w:left w:val="single" w:sz="4" w:space="0" w:color="auto"/>
              <w:bottom w:val="single" w:sz="4" w:space="0" w:color="auto"/>
              <w:right w:val="single" w:sz="4" w:space="0" w:color="auto"/>
            </w:tcBorders>
            <w:hideMark/>
          </w:tcPr>
          <w:p w14:paraId="6D137FD7" w14:textId="77777777" w:rsidR="00EA288F" w:rsidRPr="00BC516D" w:rsidRDefault="00EA288F" w:rsidP="00BC516D">
            <w:pPr>
              <w:tabs>
                <w:tab w:val="left" w:pos="0"/>
              </w:tabs>
              <w:spacing w:before="0" w:after="0"/>
              <w:rPr>
                <w:szCs w:val="24"/>
                <w:lang w:eastAsia="ru-RU"/>
              </w:rPr>
            </w:pPr>
            <w:r w:rsidRPr="00BC516D">
              <w:rPr>
                <w:szCs w:val="24"/>
                <w:lang w:eastAsia="ru-RU"/>
              </w:rPr>
              <w:t>0,25</w:t>
            </w:r>
          </w:p>
        </w:tc>
        <w:tc>
          <w:tcPr>
            <w:tcW w:w="3557" w:type="dxa"/>
            <w:tcBorders>
              <w:top w:val="single" w:sz="4" w:space="0" w:color="auto"/>
              <w:left w:val="single" w:sz="4" w:space="0" w:color="auto"/>
              <w:bottom w:val="single" w:sz="4" w:space="0" w:color="auto"/>
              <w:right w:val="single" w:sz="4" w:space="0" w:color="auto"/>
            </w:tcBorders>
            <w:hideMark/>
          </w:tcPr>
          <w:p w14:paraId="201C4761" w14:textId="77777777" w:rsidR="00EA288F" w:rsidRPr="00BC516D" w:rsidRDefault="00EA288F" w:rsidP="00BC516D">
            <w:pPr>
              <w:spacing w:before="0" w:after="0"/>
              <w:rPr>
                <w:szCs w:val="24"/>
              </w:rPr>
            </w:pPr>
            <w:r w:rsidRPr="00BC516D">
              <w:rPr>
                <w:szCs w:val="24"/>
                <w:lang w:eastAsia="ru-RU"/>
              </w:rPr>
              <w:t>в/в</w:t>
            </w:r>
          </w:p>
        </w:tc>
      </w:tr>
    </w:tbl>
    <w:p w14:paraId="114B69DC" w14:textId="77777777" w:rsidR="00EA288F" w:rsidRPr="00BC516D" w:rsidRDefault="00EA288F" w:rsidP="00BC516D">
      <w:pPr>
        <w:spacing w:before="0" w:after="0"/>
        <w:ind w:firstLine="567"/>
        <w:rPr>
          <w:szCs w:val="24"/>
          <w:lang w:eastAsia="ru-RU"/>
        </w:rPr>
      </w:pPr>
      <w:r w:rsidRPr="00BC516D">
        <w:rPr>
          <w:szCs w:val="24"/>
          <w:lang w:eastAsia="ru-RU"/>
        </w:rPr>
        <w:t>Рекомендуется мониторинг ЭКГ, электролитов у больных с признаками кардиальных нарушений. Антагонисты 5-HT3-рецепторов могут удлинять интервал QT, в связи с чем у пациентов с синдромом удлинения QT следует избегать применения 5-HT3-антагонистов, за исключением палоносетрона, который не оказывает влияния на интервал QT. Палоносетрон – высокоселективный антагонист серотониновых рецепторов, имеющий самый длительный период полувыведения (до 40 часов). Применяется однократно с 1-го дня 1-го цикла при однодневном курсе ХТ и через день - при многодневном курсе ХТ.</w:t>
      </w:r>
    </w:p>
    <w:p w14:paraId="1528D01A" w14:textId="77777777" w:rsidR="00EA288F" w:rsidRPr="00BC516D" w:rsidRDefault="00EA288F" w:rsidP="008F161A">
      <w:pPr>
        <w:numPr>
          <w:ilvl w:val="2"/>
          <w:numId w:val="151"/>
        </w:numPr>
        <w:spacing w:before="0" w:after="0"/>
        <w:ind w:left="0" w:firstLine="0"/>
        <w:contextualSpacing/>
        <w:rPr>
          <w:b/>
          <w:szCs w:val="24"/>
          <w:lang w:eastAsia="ru-RU"/>
        </w:rPr>
      </w:pPr>
      <w:r w:rsidRPr="00BC516D">
        <w:rPr>
          <w:b/>
          <w:szCs w:val="24"/>
          <w:lang w:eastAsia="ru-RU"/>
        </w:rPr>
        <w:t>Кортикостероиды (дексаметазон**)</w:t>
      </w:r>
    </w:p>
    <w:p w14:paraId="59C42B3E" w14:textId="77777777" w:rsidR="00EA288F" w:rsidRPr="00BC516D" w:rsidRDefault="00EA288F" w:rsidP="00BC516D">
      <w:pPr>
        <w:spacing w:before="0" w:after="0"/>
        <w:ind w:firstLine="709"/>
        <w:rPr>
          <w:szCs w:val="24"/>
          <w:lang w:eastAsia="ru-RU"/>
        </w:rPr>
      </w:pPr>
      <w:r w:rsidRPr="00BC516D">
        <w:rPr>
          <w:szCs w:val="24"/>
          <w:lang w:eastAsia="ru-RU"/>
        </w:rPr>
        <w:t xml:space="preserve">Если схема ХТ содержит кортикостероиды, дополнительного назначения дексаметазона** с противорвотной целью не требуется. </w:t>
      </w:r>
    </w:p>
    <w:p w14:paraId="55BBD365" w14:textId="77777777" w:rsidR="00EA288F" w:rsidRPr="00BC516D" w:rsidRDefault="00EA288F" w:rsidP="00BC516D">
      <w:pPr>
        <w:spacing w:before="0" w:after="0"/>
        <w:ind w:firstLine="709"/>
        <w:rPr>
          <w:szCs w:val="24"/>
          <w:lang w:eastAsia="ru-RU"/>
        </w:rPr>
      </w:pPr>
      <w:r w:rsidRPr="00BC516D">
        <w:rPr>
          <w:szCs w:val="24"/>
          <w:lang w:eastAsia="ru-RU"/>
        </w:rPr>
        <w:t>Добавление дексаметазона** к антагонистам серотониновых рецепторов позволяет уменьшить риск появления острой тошноты и рвоты и предотвращает развитие отсроченной тошноты и рвоты. Кроме того, он обладает самостоятельной противорвотной активностью и может использоваться в монотерапии для профилактики острой рвоты после введения низкоэметогенных цитостатиков. Препарат назначается в дозе 12</w:t>
      </w:r>
      <w:r w:rsidRPr="00BC516D">
        <w:rPr>
          <w:szCs w:val="24"/>
        </w:rPr>
        <w:t xml:space="preserve"> </w:t>
      </w:r>
      <w:r w:rsidRPr="00BC516D">
        <w:rPr>
          <w:szCs w:val="24"/>
          <w:lang w:eastAsia="ru-RU"/>
        </w:rPr>
        <w:t xml:space="preserve">мг внутривенно </w:t>
      </w:r>
      <w:r w:rsidRPr="00BC516D">
        <w:rPr>
          <w:szCs w:val="24"/>
          <w:lang w:eastAsia="ru-RU"/>
        </w:rPr>
        <w:lastRenderedPageBreak/>
        <w:t>однократно за 30–60 минут до ХТ. В случае высокоэметогенной терапии в последующие дни назначается внутрь в дозе 8 мг два раза в сутки, продолжительностью до 5 дней.</w:t>
      </w:r>
    </w:p>
    <w:p w14:paraId="21A9BCC9" w14:textId="77777777" w:rsidR="00EA288F" w:rsidRPr="00BC516D" w:rsidRDefault="00EA288F" w:rsidP="008F161A">
      <w:pPr>
        <w:numPr>
          <w:ilvl w:val="2"/>
          <w:numId w:val="151"/>
        </w:numPr>
        <w:spacing w:before="0" w:after="0"/>
        <w:ind w:left="0" w:firstLine="0"/>
        <w:contextualSpacing/>
        <w:rPr>
          <w:b/>
          <w:szCs w:val="24"/>
          <w:lang w:eastAsia="ru-RU"/>
        </w:rPr>
      </w:pPr>
      <w:r w:rsidRPr="00BC516D">
        <w:rPr>
          <w:b/>
          <w:szCs w:val="24"/>
          <w:lang w:eastAsia="ru-RU"/>
        </w:rPr>
        <w:t>Антагонисты NK1-рецепторов</w:t>
      </w:r>
    </w:p>
    <w:p w14:paraId="07BC1E80" w14:textId="640AC77A" w:rsidR="00EA288F" w:rsidRPr="00BC516D" w:rsidRDefault="00EA288F" w:rsidP="00BC516D">
      <w:pPr>
        <w:spacing w:before="0" w:after="0"/>
        <w:ind w:firstLine="709"/>
        <w:rPr>
          <w:bCs/>
          <w:szCs w:val="24"/>
        </w:rPr>
      </w:pPr>
      <w:r w:rsidRPr="00BC516D">
        <w:rPr>
          <w:szCs w:val="24"/>
        </w:rPr>
        <w:t>В эту группу препаратов входят</w:t>
      </w:r>
      <w:r w:rsidRPr="00BC516D">
        <w:rPr>
          <w:bCs/>
          <w:szCs w:val="24"/>
        </w:rPr>
        <w:t xml:space="preserve"> апрепитант и фосапрепитант. Апрепитант – селективный высокоаффинный антагонист рецепторов </w:t>
      </w:r>
      <w:r w:rsidRPr="00BC516D">
        <w:rPr>
          <w:szCs w:val="24"/>
        </w:rPr>
        <w:t xml:space="preserve">NK-1 </w:t>
      </w:r>
      <w:r w:rsidRPr="00BC516D">
        <w:rPr>
          <w:bCs/>
          <w:szCs w:val="24"/>
        </w:rPr>
        <w:t>центрального механизма действия (за счет связывания с NK1-рецепторами головного мозга). Центральное действие апрепитанта обладает большой продолжительностью, причем он ингибирует как острую, так и отсроченную фазы рвоты, а также повышает противорвотную активность антагонистов 5-НТ3-рецепторов (например, ондансетрона**) и глюкокортикостероидов (дексаметазона**). Антагонисты NK1-рецепторов являются умеренными ингибиторами CYP3A4, что необходимо учитывать при одновременном использовании препаратов, метаболизируемых этой же системой (так, апрепитант снижает эффективность гормональных контрацептивов, в связи с чем, необходимо использовать альтернативные методы контрацепции; апрепитант повышает концентрацию кортикостероидов, в связи с чем в комбинации с апрепитантом доза дексаметазона** должна быть снижена приблизительно на 50%; у пациентов, получающих варфарин**, необходимо дополнительно контролировать уровень международного нормализованного отношения)</w:t>
      </w:r>
      <w:r w:rsidRPr="00BC516D">
        <w:rPr>
          <w:szCs w:val="24"/>
        </w:rPr>
        <w:t xml:space="preserve"> </w:t>
      </w:r>
      <w:r w:rsidR="00BC516D">
        <w:rPr>
          <w:szCs w:val="24"/>
        </w:rPr>
        <w:fldChar w:fldCharType="begin" w:fldLock="1"/>
      </w:r>
      <w:r w:rsidR="00E430FD">
        <w:rPr>
          <w:szCs w:val="24"/>
        </w:rPr>
        <w:instrText>ADDIN CSL_CITATION {"citationItems":[{"id":"ITEM-1","itemData":{"DOI":"10.1111/bcp.13322","ISSN":"1365-2125","PMID":"28470980","abstract":"AIMS Aprepitant and fosaprepitant, commonly used for the prevention of chemotherapy-induced nausea and vomiting, alter cytochrome P450 activity. This systematic review evaluates clinically significant pharmacokinetic drug interactions with aprepitant and fosaprepitant and describes adverse events ascribed to drug interactions with aprepitant or fosaprepitant. METHODS We systematically reviewed the literature to September 11, 2016, to identify articles evaluating drug interactions involving aprepitant/fosaprepitant. The clinical significance of each reported pharmacokinetic drug interaction was evaluated based on the United States Food and Drug Administration guidance document on conducting drug interaction studies. The probability of an adverse event reported in case reports being due to a drug interaction with aprepitant/fosaprepitant was determined using the Drug Interaction Probability Scale. RESULTS A total of 4377 publications were identified. Of these, 64 met inclusion eligibility criteria: 34 described pharmacokinetic drug interactions and 30 described adverse events ascribed to a drug interaction. Clinically significant pharmacokinetic interactions between aprepitant/fosaprepitant and bosutinib PO, cabazitaxel IV, cyclophosphamide IV, dexamethasone PO, methylprednisolone IV, midazolam PO/IV, oxycodone PO and tolbutamide PO were identified, as were adverse events resulting from an interaction between aprepitant/fosaprepitant and alcohol, anthracyclines, ifosfamide, oxycodone, quetiapine, selective serotonin reuptake inhibitors/serotonin-norepinephrine reuptake inhibitors and warfarin. CONCLUSIONS The potential for a drug interaction with aprepitant and fosaprepitant should be considered when selecting antiemetic therapy.","author":[{"dropping-particle":"","family":"Patel","given":"Priya","non-dropping-particle":"","parse-names":false,"suffix":""},{"dropping-particle":"","family":"Leeder","given":"J Steven","non-dropping-particle":"","parse-names":false,"suffix":""},{"dropping-particle":"","family":"Piquette-Miller","given":"Micheline","non-dropping-particle":"","parse-names":false,"suffix":""},{"dropping-particle":"","family":"Dupuis","given":"L Lee","non-dropping-particle":"","parse-names":false,"suffix":""}],"container-title":"British journal of clinical pharmacology","id":"ITEM-1","issue":"10","issued":{"date-parts":[["2017","10"]]},"page":"2148-2162","publisher":"Br J Clin Pharmacol","title":"Aprepitant and fosaprepitant drug interactions: a systematic review.","type":"article-journal","volume":"83"},"uris":["http://www.mendeley.com/documents/?uuid=4abfd21e-1301-496b-a9fb-0d761cf8edd8"]},{"id":"ITEM-2","itemData":{"DOI":"10.1093/annonc/mdj078","ISSN":"09237534","PMID":"16314401","abstract":"Background: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Oncology","id":"ITEM-2","issue":"1","issued":{"date-parts":[["2006","1"]]},"page":"20-28","publisher":"Ann Oncol","title":"Prevention of chemotherapy- and radiotherapy-induced emesis: Results of the 2004 Perugia International Antiemetic Consensus Conference","type":"article","volume":"17"},"uris":["http://www.mendeley.com/documents/?uuid=825243f5-cc2f-3e21-94bf-f18023974a1d"]}],"mendeley":{"formattedCitation":"[160,161]","plainTextFormattedCitation":"[160,161]","previouslyFormattedCitation":"[160,161]"},"properties":{"noteIndex":0},"schema":"https://github.com/citation-style-language/schema/raw/master/csl-citation.json"}</w:instrText>
      </w:r>
      <w:r w:rsidR="00BC516D">
        <w:rPr>
          <w:szCs w:val="24"/>
        </w:rPr>
        <w:fldChar w:fldCharType="separate"/>
      </w:r>
      <w:r w:rsidR="00E430FD" w:rsidRPr="00E430FD">
        <w:rPr>
          <w:noProof/>
          <w:szCs w:val="24"/>
        </w:rPr>
        <w:t>[160,161]</w:t>
      </w:r>
      <w:r w:rsidR="00BC516D">
        <w:rPr>
          <w:szCs w:val="24"/>
        </w:rPr>
        <w:fldChar w:fldCharType="end"/>
      </w:r>
      <w:r w:rsidRPr="00BC516D">
        <w:rPr>
          <w:bCs/>
          <w:szCs w:val="24"/>
        </w:rPr>
        <w:t>.</w:t>
      </w:r>
    </w:p>
    <w:p w14:paraId="56EABFCF" w14:textId="238736DA" w:rsidR="00EA288F" w:rsidRPr="00BC516D" w:rsidRDefault="00EA288F" w:rsidP="00BC516D">
      <w:pPr>
        <w:spacing w:before="0" w:after="0"/>
        <w:ind w:firstLine="709"/>
        <w:rPr>
          <w:bCs/>
          <w:szCs w:val="24"/>
        </w:rPr>
      </w:pPr>
      <w:r w:rsidRPr="00BC516D">
        <w:rPr>
          <w:bCs/>
          <w:szCs w:val="24"/>
        </w:rPr>
        <w:t>Антагонисты NK1-рецепторов применяют в комбинации с кортикостероидами и антагонистами серотониновых 5-НТ</w:t>
      </w:r>
      <w:r w:rsidRPr="00BC516D">
        <w:rPr>
          <w:bCs/>
          <w:szCs w:val="24"/>
          <w:vertAlign w:val="subscript"/>
        </w:rPr>
        <w:t>3</w:t>
      </w:r>
      <w:r w:rsidRPr="00BC516D">
        <w:rPr>
          <w:bCs/>
          <w:szCs w:val="24"/>
        </w:rPr>
        <w:t xml:space="preserve">-рецепторов. Апрепитант принимается за час до ХТ, фосапрепитант вводится за 30 минут до ХТ в дозах, представленных в таблице </w:t>
      </w:r>
      <w:r w:rsidR="00F32920">
        <w:rPr>
          <w:bCs/>
          <w:szCs w:val="24"/>
        </w:rPr>
        <w:t>А</w:t>
      </w:r>
      <w:r w:rsidRPr="00BC516D">
        <w:rPr>
          <w:bCs/>
          <w:szCs w:val="24"/>
        </w:rPr>
        <w:t>3.</w:t>
      </w:r>
      <w:r w:rsidR="00F32920">
        <w:rPr>
          <w:bCs/>
          <w:szCs w:val="24"/>
        </w:rPr>
        <w:t>9.</w:t>
      </w:r>
      <w:r w:rsidRPr="00BC516D">
        <w:rPr>
          <w:bCs/>
          <w:szCs w:val="24"/>
        </w:rPr>
        <w:t xml:space="preserve"> </w:t>
      </w:r>
    </w:p>
    <w:p w14:paraId="06CD4198" w14:textId="13437A14" w:rsidR="00EA288F" w:rsidRPr="00BC516D" w:rsidRDefault="00EA288F" w:rsidP="00BC516D">
      <w:pPr>
        <w:spacing w:before="0" w:after="0"/>
        <w:contextualSpacing/>
        <w:rPr>
          <w:b/>
          <w:szCs w:val="24"/>
          <w:lang w:eastAsia="ru-RU"/>
        </w:rPr>
      </w:pPr>
      <w:r w:rsidRPr="00BC516D">
        <w:rPr>
          <w:b/>
          <w:szCs w:val="24"/>
          <w:lang w:eastAsia="ru-RU"/>
        </w:rPr>
        <w:t xml:space="preserve">Таблица </w:t>
      </w:r>
      <w:r w:rsidR="00F32920">
        <w:rPr>
          <w:b/>
          <w:szCs w:val="24"/>
          <w:lang w:eastAsia="ru-RU"/>
        </w:rPr>
        <w:t>А3.9.</w:t>
      </w:r>
      <w:r w:rsidRPr="00BC516D">
        <w:rPr>
          <w:b/>
          <w:szCs w:val="24"/>
          <w:lang w:eastAsia="ru-RU"/>
        </w:rPr>
        <w:t xml:space="preserve"> </w:t>
      </w:r>
      <w:r w:rsidRPr="00292402">
        <w:rPr>
          <w:szCs w:val="24"/>
          <w:lang w:eastAsia="ru-RU"/>
        </w:rPr>
        <w:t>Режим дозирования антагонистов NK1-рецепторов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1857"/>
        <w:gridCol w:w="4456"/>
      </w:tblGrid>
      <w:tr w:rsidR="00EA288F" w:rsidRPr="00BC516D" w14:paraId="2047DED3" w14:textId="77777777" w:rsidTr="00EA288F">
        <w:trPr>
          <w:tblHeader/>
          <w:jc w:val="center"/>
        </w:trPr>
        <w:tc>
          <w:tcPr>
            <w:tcW w:w="2631" w:type="dxa"/>
            <w:tcBorders>
              <w:top w:val="single" w:sz="4" w:space="0" w:color="auto"/>
              <w:left w:val="single" w:sz="4" w:space="0" w:color="auto"/>
              <w:bottom w:val="single" w:sz="4" w:space="0" w:color="auto"/>
              <w:right w:val="single" w:sz="4" w:space="0" w:color="auto"/>
            </w:tcBorders>
            <w:hideMark/>
          </w:tcPr>
          <w:p w14:paraId="0B5A0C16" w14:textId="77777777" w:rsidR="00EA288F" w:rsidRPr="00BC516D" w:rsidRDefault="00EA288F" w:rsidP="00BC516D">
            <w:pPr>
              <w:tabs>
                <w:tab w:val="left" w:pos="0"/>
              </w:tabs>
              <w:spacing w:before="0" w:after="0"/>
              <w:rPr>
                <w:b/>
                <w:szCs w:val="24"/>
                <w:lang w:eastAsia="ru-RU"/>
              </w:rPr>
            </w:pPr>
            <w:r w:rsidRPr="00BC516D">
              <w:rPr>
                <w:b/>
                <w:szCs w:val="24"/>
                <w:lang w:eastAsia="ru-RU"/>
              </w:rPr>
              <w:t>Препарат</w:t>
            </w:r>
          </w:p>
        </w:tc>
        <w:tc>
          <w:tcPr>
            <w:tcW w:w="1857" w:type="dxa"/>
            <w:tcBorders>
              <w:top w:val="single" w:sz="4" w:space="0" w:color="auto"/>
              <w:left w:val="single" w:sz="4" w:space="0" w:color="auto"/>
              <w:bottom w:val="single" w:sz="4" w:space="0" w:color="auto"/>
              <w:right w:val="single" w:sz="4" w:space="0" w:color="auto"/>
            </w:tcBorders>
            <w:hideMark/>
          </w:tcPr>
          <w:p w14:paraId="188E4D62" w14:textId="77777777" w:rsidR="00EA288F" w:rsidRPr="00BC516D" w:rsidRDefault="00EA288F" w:rsidP="00BC516D">
            <w:pPr>
              <w:tabs>
                <w:tab w:val="left" w:pos="0"/>
              </w:tabs>
              <w:spacing w:before="0" w:after="0"/>
              <w:rPr>
                <w:b/>
                <w:szCs w:val="24"/>
                <w:lang w:eastAsia="ru-RU"/>
              </w:rPr>
            </w:pPr>
            <w:r w:rsidRPr="00BC516D">
              <w:rPr>
                <w:b/>
                <w:szCs w:val="24"/>
                <w:lang w:eastAsia="ru-RU"/>
              </w:rPr>
              <w:t>Разовая доза, мг</w:t>
            </w:r>
          </w:p>
        </w:tc>
        <w:tc>
          <w:tcPr>
            <w:tcW w:w="4456" w:type="dxa"/>
            <w:tcBorders>
              <w:top w:val="single" w:sz="4" w:space="0" w:color="auto"/>
              <w:left w:val="single" w:sz="4" w:space="0" w:color="auto"/>
              <w:bottom w:val="single" w:sz="4" w:space="0" w:color="auto"/>
              <w:right w:val="single" w:sz="4" w:space="0" w:color="auto"/>
            </w:tcBorders>
            <w:hideMark/>
          </w:tcPr>
          <w:p w14:paraId="263B7495" w14:textId="77777777" w:rsidR="00EA288F" w:rsidRPr="00BC516D" w:rsidRDefault="00EA288F" w:rsidP="00BC516D">
            <w:pPr>
              <w:tabs>
                <w:tab w:val="left" w:pos="0"/>
              </w:tabs>
              <w:spacing w:before="0" w:after="0"/>
              <w:rPr>
                <w:b/>
                <w:szCs w:val="24"/>
                <w:lang w:eastAsia="ru-RU"/>
              </w:rPr>
            </w:pPr>
            <w:r w:rsidRPr="00BC516D">
              <w:rPr>
                <w:b/>
                <w:szCs w:val="24"/>
                <w:lang w:eastAsia="ru-RU"/>
              </w:rPr>
              <w:t xml:space="preserve">Способ применения/ </w:t>
            </w:r>
          </w:p>
          <w:p w14:paraId="51F432A6" w14:textId="77777777" w:rsidR="00EA288F" w:rsidRPr="00BC516D" w:rsidRDefault="00EA288F" w:rsidP="00BC516D">
            <w:pPr>
              <w:tabs>
                <w:tab w:val="left" w:pos="0"/>
              </w:tabs>
              <w:spacing w:before="0" w:after="0"/>
              <w:rPr>
                <w:b/>
                <w:szCs w:val="24"/>
                <w:lang w:eastAsia="ru-RU"/>
              </w:rPr>
            </w:pPr>
            <w:r w:rsidRPr="00BC516D">
              <w:rPr>
                <w:b/>
                <w:szCs w:val="24"/>
                <w:lang w:eastAsia="ru-RU"/>
              </w:rPr>
              <w:t>Режим дозирования</w:t>
            </w:r>
          </w:p>
        </w:tc>
      </w:tr>
      <w:tr w:rsidR="00EA288F" w:rsidRPr="00BC516D" w14:paraId="517D7FE6" w14:textId="77777777" w:rsidTr="00EA288F">
        <w:trPr>
          <w:jc w:val="center"/>
        </w:trPr>
        <w:tc>
          <w:tcPr>
            <w:tcW w:w="2631" w:type="dxa"/>
            <w:tcBorders>
              <w:top w:val="single" w:sz="4" w:space="0" w:color="auto"/>
              <w:left w:val="single" w:sz="4" w:space="0" w:color="auto"/>
              <w:bottom w:val="single" w:sz="4" w:space="0" w:color="auto"/>
              <w:right w:val="single" w:sz="4" w:space="0" w:color="auto"/>
            </w:tcBorders>
            <w:hideMark/>
          </w:tcPr>
          <w:p w14:paraId="003C1A4D" w14:textId="77777777" w:rsidR="00EA288F" w:rsidRPr="00BC516D" w:rsidRDefault="00EA288F" w:rsidP="00BC516D">
            <w:pPr>
              <w:tabs>
                <w:tab w:val="left" w:pos="0"/>
              </w:tabs>
              <w:spacing w:before="0" w:after="0"/>
              <w:rPr>
                <w:szCs w:val="24"/>
                <w:lang w:eastAsia="ru-RU"/>
              </w:rPr>
            </w:pPr>
            <w:r w:rsidRPr="00BC516D">
              <w:rPr>
                <w:szCs w:val="24"/>
                <w:lang w:eastAsia="ru-RU"/>
              </w:rPr>
              <w:t>Апрепитант</w:t>
            </w:r>
          </w:p>
        </w:tc>
        <w:tc>
          <w:tcPr>
            <w:tcW w:w="1857" w:type="dxa"/>
            <w:tcBorders>
              <w:top w:val="single" w:sz="4" w:space="0" w:color="auto"/>
              <w:left w:val="single" w:sz="4" w:space="0" w:color="auto"/>
              <w:bottom w:val="single" w:sz="4" w:space="0" w:color="auto"/>
              <w:right w:val="single" w:sz="4" w:space="0" w:color="auto"/>
            </w:tcBorders>
            <w:hideMark/>
          </w:tcPr>
          <w:p w14:paraId="1CC9A0B1" w14:textId="77777777" w:rsidR="00EA288F" w:rsidRPr="00BC516D" w:rsidRDefault="00EA288F" w:rsidP="00BC516D">
            <w:pPr>
              <w:tabs>
                <w:tab w:val="left" w:pos="0"/>
              </w:tabs>
              <w:spacing w:before="0" w:after="0"/>
              <w:rPr>
                <w:szCs w:val="24"/>
                <w:lang w:eastAsia="ru-RU"/>
              </w:rPr>
            </w:pPr>
            <w:r w:rsidRPr="00BC516D">
              <w:rPr>
                <w:szCs w:val="24"/>
                <w:lang w:eastAsia="ru-RU"/>
              </w:rPr>
              <w:t xml:space="preserve">125  </w:t>
            </w:r>
          </w:p>
          <w:p w14:paraId="7E2659ED" w14:textId="77777777" w:rsidR="00EA288F" w:rsidRPr="00BC516D" w:rsidRDefault="00EA288F" w:rsidP="00BC516D">
            <w:pPr>
              <w:tabs>
                <w:tab w:val="left" w:pos="0"/>
              </w:tabs>
              <w:spacing w:before="0" w:after="0"/>
              <w:rPr>
                <w:szCs w:val="24"/>
                <w:lang w:eastAsia="ru-RU"/>
              </w:rPr>
            </w:pPr>
            <w:r w:rsidRPr="00BC516D">
              <w:rPr>
                <w:szCs w:val="24"/>
                <w:lang w:eastAsia="ru-RU"/>
              </w:rPr>
              <w:t xml:space="preserve">80 </w:t>
            </w:r>
          </w:p>
        </w:tc>
        <w:tc>
          <w:tcPr>
            <w:tcW w:w="4456" w:type="dxa"/>
            <w:tcBorders>
              <w:top w:val="single" w:sz="4" w:space="0" w:color="auto"/>
              <w:left w:val="single" w:sz="4" w:space="0" w:color="auto"/>
              <w:bottom w:val="single" w:sz="4" w:space="0" w:color="auto"/>
              <w:right w:val="single" w:sz="4" w:space="0" w:color="auto"/>
            </w:tcBorders>
            <w:hideMark/>
          </w:tcPr>
          <w:p w14:paraId="2054C718" w14:textId="77777777" w:rsidR="00EA288F" w:rsidRPr="00BC516D" w:rsidRDefault="00EA288F" w:rsidP="00BC516D">
            <w:pPr>
              <w:tabs>
                <w:tab w:val="left" w:pos="0"/>
              </w:tabs>
              <w:spacing w:before="0" w:after="0"/>
              <w:rPr>
                <w:szCs w:val="24"/>
                <w:lang w:eastAsia="ru-RU"/>
              </w:rPr>
            </w:pPr>
            <w:r w:rsidRPr="00BC516D">
              <w:rPr>
                <w:szCs w:val="24"/>
                <w:lang w:eastAsia="ru-RU"/>
              </w:rPr>
              <w:t>Внутрь в 1 день</w:t>
            </w:r>
          </w:p>
          <w:p w14:paraId="6F66B011" w14:textId="77777777" w:rsidR="00EA288F" w:rsidRPr="00BC516D" w:rsidRDefault="00EA288F" w:rsidP="00BC516D">
            <w:pPr>
              <w:tabs>
                <w:tab w:val="left" w:pos="0"/>
              </w:tabs>
              <w:spacing w:before="0" w:after="0"/>
              <w:rPr>
                <w:szCs w:val="24"/>
                <w:lang w:eastAsia="ru-RU"/>
              </w:rPr>
            </w:pPr>
            <w:r w:rsidRPr="00BC516D">
              <w:rPr>
                <w:szCs w:val="24"/>
                <w:lang w:eastAsia="ru-RU"/>
              </w:rPr>
              <w:t>Внутрь во 2</w:t>
            </w:r>
            <w:r w:rsidRPr="00BC516D">
              <w:rPr>
                <w:szCs w:val="24"/>
                <w:vertAlign w:val="superscript"/>
                <w:lang w:eastAsia="ru-RU"/>
              </w:rPr>
              <w:t>ой</w:t>
            </w:r>
            <w:r w:rsidRPr="00BC516D">
              <w:rPr>
                <w:szCs w:val="24"/>
                <w:lang w:eastAsia="ru-RU"/>
              </w:rPr>
              <w:t xml:space="preserve"> и 3</w:t>
            </w:r>
            <w:r w:rsidRPr="00BC516D">
              <w:rPr>
                <w:szCs w:val="24"/>
                <w:vertAlign w:val="superscript"/>
                <w:lang w:eastAsia="ru-RU"/>
              </w:rPr>
              <w:t>ий</w:t>
            </w:r>
            <w:r w:rsidRPr="00BC516D">
              <w:rPr>
                <w:szCs w:val="24"/>
                <w:lang w:eastAsia="ru-RU"/>
              </w:rPr>
              <w:t xml:space="preserve"> дни ХТ</w:t>
            </w:r>
          </w:p>
        </w:tc>
      </w:tr>
      <w:tr w:rsidR="00EA288F" w:rsidRPr="00BC516D" w14:paraId="30F96B3C" w14:textId="77777777" w:rsidTr="00EA288F">
        <w:trPr>
          <w:jc w:val="center"/>
        </w:trPr>
        <w:tc>
          <w:tcPr>
            <w:tcW w:w="2631" w:type="dxa"/>
            <w:tcBorders>
              <w:top w:val="single" w:sz="4" w:space="0" w:color="auto"/>
              <w:left w:val="single" w:sz="4" w:space="0" w:color="auto"/>
              <w:bottom w:val="single" w:sz="4" w:space="0" w:color="auto"/>
              <w:right w:val="single" w:sz="4" w:space="0" w:color="auto"/>
            </w:tcBorders>
            <w:hideMark/>
          </w:tcPr>
          <w:p w14:paraId="56A080D5" w14:textId="77777777" w:rsidR="00EA288F" w:rsidRPr="00BC516D" w:rsidRDefault="00EA288F" w:rsidP="00BC516D">
            <w:pPr>
              <w:tabs>
                <w:tab w:val="left" w:pos="0"/>
              </w:tabs>
              <w:spacing w:before="0" w:after="0"/>
              <w:rPr>
                <w:szCs w:val="24"/>
                <w:lang w:eastAsia="ru-RU"/>
              </w:rPr>
            </w:pPr>
            <w:r w:rsidRPr="00BC516D">
              <w:rPr>
                <w:bCs/>
                <w:szCs w:val="24"/>
              </w:rPr>
              <w:t>Фосапрепитант</w:t>
            </w:r>
          </w:p>
        </w:tc>
        <w:tc>
          <w:tcPr>
            <w:tcW w:w="1857" w:type="dxa"/>
            <w:tcBorders>
              <w:top w:val="single" w:sz="4" w:space="0" w:color="auto"/>
              <w:left w:val="single" w:sz="4" w:space="0" w:color="auto"/>
              <w:bottom w:val="single" w:sz="4" w:space="0" w:color="auto"/>
              <w:right w:val="single" w:sz="4" w:space="0" w:color="auto"/>
            </w:tcBorders>
            <w:hideMark/>
          </w:tcPr>
          <w:p w14:paraId="667B42E5" w14:textId="77777777" w:rsidR="00EA288F" w:rsidRPr="00BC516D" w:rsidRDefault="00EA288F" w:rsidP="00BC516D">
            <w:pPr>
              <w:tabs>
                <w:tab w:val="left" w:pos="0"/>
              </w:tabs>
              <w:spacing w:before="0" w:after="0"/>
              <w:rPr>
                <w:szCs w:val="24"/>
                <w:lang w:eastAsia="ru-RU"/>
              </w:rPr>
            </w:pPr>
            <w:r w:rsidRPr="00BC516D">
              <w:rPr>
                <w:szCs w:val="24"/>
                <w:lang w:eastAsia="ru-RU"/>
              </w:rPr>
              <w:t>150</w:t>
            </w:r>
          </w:p>
        </w:tc>
        <w:tc>
          <w:tcPr>
            <w:tcW w:w="4456" w:type="dxa"/>
            <w:tcBorders>
              <w:top w:val="single" w:sz="4" w:space="0" w:color="auto"/>
              <w:left w:val="single" w:sz="4" w:space="0" w:color="auto"/>
              <w:bottom w:val="single" w:sz="4" w:space="0" w:color="auto"/>
              <w:right w:val="single" w:sz="4" w:space="0" w:color="auto"/>
            </w:tcBorders>
            <w:hideMark/>
          </w:tcPr>
          <w:p w14:paraId="21C22B07" w14:textId="77777777" w:rsidR="00EA288F" w:rsidRPr="00BC516D" w:rsidRDefault="00EA288F" w:rsidP="00BC516D">
            <w:pPr>
              <w:tabs>
                <w:tab w:val="left" w:pos="0"/>
              </w:tabs>
              <w:spacing w:before="0" w:after="0"/>
              <w:rPr>
                <w:szCs w:val="24"/>
              </w:rPr>
            </w:pPr>
            <w:r w:rsidRPr="00BC516D">
              <w:rPr>
                <w:szCs w:val="24"/>
                <w:lang w:eastAsia="ru-RU"/>
              </w:rPr>
              <w:t>В/в однократно</w:t>
            </w:r>
          </w:p>
        </w:tc>
      </w:tr>
    </w:tbl>
    <w:p w14:paraId="6B939F68" w14:textId="77777777" w:rsidR="00EA288F" w:rsidRPr="00BC516D" w:rsidRDefault="00EA288F" w:rsidP="008F161A">
      <w:pPr>
        <w:numPr>
          <w:ilvl w:val="2"/>
          <w:numId w:val="151"/>
        </w:numPr>
        <w:tabs>
          <w:tab w:val="left" w:pos="0"/>
        </w:tabs>
        <w:spacing w:before="0" w:after="0"/>
        <w:ind w:left="0" w:firstLine="0"/>
        <w:contextualSpacing/>
        <w:rPr>
          <w:b/>
          <w:szCs w:val="24"/>
        </w:rPr>
      </w:pPr>
      <w:r w:rsidRPr="00BC516D">
        <w:rPr>
          <w:b/>
          <w:szCs w:val="24"/>
          <w:lang w:eastAsia="ru-RU"/>
        </w:rPr>
        <w:t xml:space="preserve">Блокаторы рецепторов допамина </w:t>
      </w:r>
    </w:p>
    <w:p w14:paraId="195744FB" w14:textId="59A86E03" w:rsidR="00EA288F" w:rsidRPr="00BC516D" w:rsidRDefault="00EA288F" w:rsidP="00BC516D">
      <w:pPr>
        <w:tabs>
          <w:tab w:val="left" w:pos="0"/>
        </w:tabs>
        <w:spacing w:before="0" w:after="0"/>
        <w:ind w:firstLine="709"/>
        <w:rPr>
          <w:szCs w:val="24"/>
        </w:rPr>
      </w:pPr>
      <w:r w:rsidRPr="00BC516D">
        <w:rPr>
          <w:szCs w:val="24"/>
        </w:rPr>
        <w:t>В эту группу входят бензамиды (метоклопрамид**, итоприд), фенотиазины (хлорпромазин** или аминазин, прометазин), бутирофеноны (дроперидол**, галоперидол**), бензодиазепины (диазепам**, лоразепам**). Препараты обладают седативными и анксиолитическими свойствами</w:t>
      </w:r>
      <w:r w:rsidRPr="00BC516D">
        <w:rPr>
          <w:szCs w:val="24"/>
        </w:rPr>
        <w:fldChar w:fldCharType="begin" w:fldLock="1"/>
      </w:r>
      <w:r w:rsidR="00E430FD">
        <w:rPr>
          <w:szCs w:val="24"/>
        </w:rPr>
        <w:instrText>ADDIN CSL_CITATION {"citationItems":[{"id":"ITEM-1","itemData":{"DOI":"10.1200/JCO.2010.34.4614","ISSN":"0732183X","PMID":"21947834","abstract":"Purpose: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Oncology","id":"ITEM-1","issue":"31","issued":{"date-parts":[["2011","11","1"]]},"page":"4189-4198","publisher":"J Clin Oncol","title":"Antiemetics: American Society of Clinical Oncology clinical practice guideline update","type":"article-journal","volume":"29"},"uris":["http://www.mendeley.com/documents/?uuid=41d2ee7c-8665-3f1c-9a47-c490f096b0df"]}],"mendeley":{"formattedCitation":"[162]","plainTextFormattedCitation":"[162]","previouslyFormattedCitation":"[162]"},"properties":{"noteIndex":0},"schema":"https://github.com/citation-style-language/schema/raw/master/csl-citation.json"}</w:instrText>
      </w:r>
      <w:r w:rsidRPr="00BC516D">
        <w:rPr>
          <w:szCs w:val="24"/>
        </w:rPr>
        <w:fldChar w:fldCharType="separate"/>
      </w:r>
      <w:r w:rsidR="00E430FD" w:rsidRPr="00E430FD">
        <w:rPr>
          <w:noProof/>
          <w:szCs w:val="24"/>
        </w:rPr>
        <w:t>[162]</w:t>
      </w:r>
      <w:r w:rsidRPr="00BC516D">
        <w:rPr>
          <w:szCs w:val="24"/>
        </w:rPr>
        <w:fldChar w:fldCharType="end"/>
      </w:r>
      <w:r w:rsidRPr="00BC516D">
        <w:rPr>
          <w:szCs w:val="24"/>
        </w:rPr>
        <w:t>.</w:t>
      </w:r>
    </w:p>
    <w:p w14:paraId="43FE0FC0" w14:textId="12737C85" w:rsidR="00EA288F" w:rsidRPr="00BC516D" w:rsidRDefault="00EA288F" w:rsidP="00BC516D">
      <w:pPr>
        <w:tabs>
          <w:tab w:val="left" w:pos="0"/>
        </w:tabs>
        <w:spacing w:before="0" w:after="0"/>
        <w:ind w:firstLine="709"/>
        <w:rPr>
          <w:szCs w:val="24"/>
        </w:rPr>
      </w:pPr>
      <w:r w:rsidRPr="00BC516D">
        <w:rPr>
          <w:szCs w:val="24"/>
        </w:rPr>
        <w:t xml:space="preserve">Метоклопрамид**, широко использовавшийся ранее в высоких дозах для профилактики острой тошноты и рвоты после высоко- и среднеэметогенной ХТ, в </w:t>
      </w:r>
      <w:r w:rsidRPr="00BC516D">
        <w:rPr>
          <w:szCs w:val="24"/>
        </w:rPr>
        <w:lastRenderedPageBreak/>
        <w:t>настоящее время применяется реже, так как при сопоставимой эффективности с антагонистами серотониновых рецепторов имеет значительное количество выраженных побочных эффектов. Согласно международным рекомендациям, использование метоклопрамида** допустимо в стандартных дозах для профилактики острой тошноты и рвоты после низкоэметогенной химиотерапии, для профилактики отсроченной рвоты в комбинации с дексаметазоном**. Режим дозирования – 10 мг 1 - 4 раза в сутки внутривенно или внутрь.</w:t>
      </w:r>
    </w:p>
    <w:p w14:paraId="04AF05EE" w14:textId="77777777" w:rsidR="00EA288F" w:rsidRPr="00BC516D" w:rsidRDefault="00EA288F" w:rsidP="00BC516D">
      <w:pPr>
        <w:tabs>
          <w:tab w:val="left" w:pos="0"/>
        </w:tabs>
        <w:spacing w:before="0" w:after="0"/>
        <w:ind w:firstLine="709"/>
        <w:rPr>
          <w:szCs w:val="24"/>
        </w:rPr>
      </w:pPr>
      <w:r w:rsidRPr="00BC516D">
        <w:rPr>
          <w:szCs w:val="24"/>
        </w:rPr>
        <w:t xml:space="preserve">Добавление блокаторов рецепторов допамина к схеме противорвотной терапии проводится по показаниям на усмотрение лечащего врача. </w:t>
      </w:r>
    </w:p>
    <w:p w14:paraId="49833262" w14:textId="77777777" w:rsidR="00EA288F" w:rsidRPr="00BC516D" w:rsidRDefault="00EA288F" w:rsidP="008F161A">
      <w:pPr>
        <w:numPr>
          <w:ilvl w:val="2"/>
          <w:numId w:val="151"/>
        </w:numPr>
        <w:tabs>
          <w:tab w:val="left" w:pos="0"/>
        </w:tabs>
        <w:spacing w:before="0" w:after="0"/>
        <w:ind w:left="0" w:firstLine="0"/>
        <w:contextualSpacing/>
        <w:rPr>
          <w:b/>
          <w:szCs w:val="24"/>
          <w:lang w:eastAsia="ru-RU"/>
        </w:rPr>
      </w:pPr>
      <w:r w:rsidRPr="00BC516D">
        <w:rPr>
          <w:b/>
          <w:szCs w:val="24"/>
          <w:lang w:eastAsia="ru-RU"/>
        </w:rPr>
        <w:t>Нейролептики</w:t>
      </w:r>
    </w:p>
    <w:p w14:paraId="4930B8E9" w14:textId="77777777" w:rsidR="00EA288F" w:rsidRPr="00BC516D" w:rsidRDefault="00EA288F" w:rsidP="00BC516D">
      <w:pPr>
        <w:tabs>
          <w:tab w:val="left" w:pos="0"/>
        </w:tabs>
        <w:spacing w:before="0" w:after="0"/>
        <w:rPr>
          <w:szCs w:val="24"/>
        </w:rPr>
      </w:pPr>
      <w:r w:rsidRPr="00BC516D">
        <w:rPr>
          <w:szCs w:val="24"/>
        </w:rPr>
        <w:tab/>
        <w:t xml:space="preserve">Добавление нейролептиков к схеме противорвотной терапии проводится по показаниям на усмотрение лечащего врача (например, при возникновении неконтролируемой тошноты и рвоты – оланзапин** 5–10 мг в сутки внутрь). </w:t>
      </w:r>
    </w:p>
    <w:p w14:paraId="6D329E48" w14:textId="77777777" w:rsidR="00EA288F" w:rsidRPr="00BC516D" w:rsidRDefault="00EA288F" w:rsidP="008F161A">
      <w:pPr>
        <w:numPr>
          <w:ilvl w:val="0"/>
          <w:numId w:val="145"/>
        </w:numPr>
        <w:shd w:val="clear" w:color="auto" w:fill="FFFFFF"/>
        <w:tabs>
          <w:tab w:val="left" w:pos="394"/>
        </w:tabs>
        <w:spacing w:before="0" w:after="0"/>
        <w:ind w:left="0" w:firstLine="0"/>
        <w:rPr>
          <w:rFonts w:eastAsia="Arial Unicode MS"/>
          <w:b/>
          <w:color w:val="000000"/>
          <w:spacing w:val="4"/>
          <w:szCs w:val="24"/>
          <w:u w:color="000000"/>
          <w:shd w:val="clear" w:color="auto" w:fill="FFFFFF"/>
          <w:lang w:eastAsia="ru-RU"/>
        </w:rPr>
      </w:pPr>
      <w:r w:rsidRPr="00BC516D">
        <w:rPr>
          <w:rFonts w:eastAsia="Arial Unicode MS"/>
          <w:b/>
          <w:color w:val="000000"/>
          <w:spacing w:val="4"/>
          <w:szCs w:val="24"/>
          <w:u w:color="000000"/>
          <w:lang w:eastAsia="ru-RU"/>
        </w:rPr>
        <w:t xml:space="preserve">Принципы профилактики и терапии тошноты и рвоты. </w:t>
      </w:r>
    </w:p>
    <w:p w14:paraId="49EF0F9D" w14:textId="77777777" w:rsidR="00EA288F" w:rsidRPr="00BC516D" w:rsidRDefault="00EA288F" w:rsidP="00BC516D">
      <w:pPr>
        <w:tabs>
          <w:tab w:val="left" w:pos="0"/>
        </w:tabs>
        <w:spacing w:before="0" w:after="0"/>
        <w:ind w:firstLine="709"/>
        <w:rPr>
          <w:szCs w:val="24"/>
        </w:rPr>
      </w:pPr>
      <w:r w:rsidRPr="00BC516D">
        <w:rPr>
          <w:szCs w:val="24"/>
        </w:rPr>
        <w:t xml:space="preserve">Эксперты Международной ассоциации по поддерживающему лечению в онкологии (MASCC) разработали принципы антиэметической терапии, согласно которым используются следующие алогритм и методы профилактики тошноты и рвоты. </w:t>
      </w:r>
    </w:p>
    <w:p w14:paraId="7336E39B" w14:textId="77777777" w:rsidR="00EA288F" w:rsidRPr="00BC516D" w:rsidRDefault="00EA288F" w:rsidP="00BC516D">
      <w:pPr>
        <w:tabs>
          <w:tab w:val="left" w:pos="0"/>
        </w:tabs>
        <w:spacing w:before="0" w:after="0"/>
        <w:rPr>
          <w:b/>
          <w:szCs w:val="24"/>
        </w:rPr>
      </w:pPr>
      <w:r w:rsidRPr="00BC516D">
        <w:rPr>
          <w:b/>
          <w:szCs w:val="24"/>
        </w:rPr>
        <w:t>4.1 Алгоритм профилактики и терапии тошноты и рвоты</w:t>
      </w:r>
    </w:p>
    <w:p w14:paraId="1BC6AEE4" w14:textId="77777777" w:rsidR="00EA288F" w:rsidRPr="00BC516D" w:rsidRDefault="00EA288F" w:rsidP="008F161A">
      <w:pPr>
        <w:numPr>
          <w:ilvl w:val="0"/>
          <w:numId w:val="152"/>
        </w:numPr>
        <w:tabs>
          <w:tab w:val="left" w:pos="0"/>
        </w:tabs>
        <w:spacing w:before="0" w:after="0"/>
        <w:ind w:left="0" w:firstLine="0"/>
        <w:contextualSpacing/>
        <w:rPr>
          <w:szCs w:val="24"/>
          <w:lang w:eastAsia="ru-RU"/>
        </w:rPr>
      </w:pPr>
      <w:r w:rsidRPr="00BC516D">
        <w:rPr>
          <w:szCs w:val="24"/>
          <w:lang w:eastAsia="ru-RU"/>
        </w:rPr>
        <w:t xml:space="preserve">Определить эметогенный потенциал назначенного режима ХТ </w:t>
      </w:r>
    </w:p>
    <w:p w14:paraId="303024CA" w14:textId="77777777" w:rsidR="00EA288F" w:rsidRPr="00BC516D" w:rsidRDefault="00EA288F" w:rsidP="008F161A">
      <w:pPr>
        <w:numPr>
          <w:ilvl w:val="0"/>
          <w:numId w:val="152"/>
        </w:numPr>
        <w:tabs>
          <w:tab w:val="left" w:pos="0"/>
        </w:tabs>
        <w:spacing w:before="0" w:after="0"/>
        <w:ind w:left="0" w:firstLine="0"/>
        <w:contextualSpacing/>
        <w:rPr>
          <w:szCs w:val="24"/>
          <w:lang w:eastAsia="ru-RU"/>
        </w:rPr>
      </w:pPr>
      <w:r w:rsidRPr="00BC516D">
        <w:rPr>
          <w:szCs w:val="24"/>
          <w:lang w:eastAsia="ru-RU"/>
        </w:rPr>
        <w:t>Назначить профилактическую терапию, исходя из эметогенности режима ХТ, начиная с первого курса</w:t>
      </w:r>
    </w:p>
    <w:p w14:paraId="4200298E" w14:textId="77777777" w:rsidR="00EA288F" w:rsidRPr="00BC516D" w:rsidRDefault="00EA288F" w:rsidP="008F161A">
      <w:pPr>
        <w:numPr>
          <w:ilvl w:val="0"/>
          <w:numId w:val="152"/>
        </w:numPr>
        <w:tabs>
          <w:tab w:val="left" w:pos="0"/>
        </w:tabs>
        <w:spacing w:before="0" w:after="0"/>
        <w:ind w:left="0" w:firstLine="0"/>
        <w:contextualSpacing/>
        <w:rPr>
          <w:szCs w:val="24"/>
          <w:lang w:eastAsia="ru-RU"/>
        </w:rPr>
      </w:pPr>
      <w:r w:rsidRPr="00BC516D">
        <w:rPr>
          <w:szCs w:val="24"/>
          <w:lang w:eastAsia="ru-RU"/>
        </w:rPr>
        <w:t>Назначить лечение в случае развития тошноты и рвоты на фоне профилактической терапии</w:t>
      </w:r>
    </w:p>
    <w:p w14:paraId="1B471411" w14:textId="77777777" w:rsidR="00EA288F" w:rsidRPr="00BC516D" w:rsidRDefault="00EA288F" w:rsidP="008F161A">
      <w:pPr>
        <w:numPr>
          <w:ilvl w:val="0"/>
          <w:numId w:val="152"/>
        </w:numPr>
        <w:tabs>
          <w:tab w:val="left" w:pos="0"/>
        </w:tabs>
        <w:spacing w:before="0" w:after="0"/>
        <w:ind w:left="0" w:firstLine="0"/>
        <w:contextualSpacing/>
        <w:rPr>
          <w:szCs w:val="24"/>
          <w:lang w:eastAsia="ru-RU"/>
        </w:rPr>
      </w:pPr>
      <w:r w:rsidRPr="00BC516D">
        <w:rPr>
          <w:szCs w:val="24"/>
          <w:lang w:eastAsia="ru-RU"/>
        </w:rPr>
        <w:t>В случае развития тошноты и рвоты внести изменения в профилактическую терапию на последующих циклах ХТ</w:t>
      </w:r>
    </w:p>
    <w:p w14:paraId="10D97DBC" w14:textId="77777777" w:rsidR="00EA288F" w:rsidRPr="00BC516D" w:rsidRDefault="00EA288F" w:rsidP="008F161A">
      <w:pPr>
        <w:numPr>
          <w:ilvl w:val="0"/>
          <w:numId w:val="152"/>
        </w:numPr>
        <w:tabs>
          <w:tab w:val="left" w:pos="0"/>
        </w:tabs>
        <w:spacing w:before="0" w:after="0"/>
        <w:ind w:left="0" w:firstLine="0"/>
        <w:contextualSpacing/>
        <w:rPr>
          <w:szCs w:val="24"/>
          <w:lang w:eastAsia="ru-RU"/>
        </w:rPr>
      </w:pPr>
      <w:r w:rsidRPr="00BC516D">
        <w:rPr>
          <w:szCs w:val="24"/>
          <w:lang w:eastAsia="ru-RU"/>
        </w:rPr>
        <w:t>Критерием эффективности противорвотной терапии является полное отсутствие (полный контроль) рвоты и тошноты в течение 24 часов (период развития острой рвоты) с момента введения противоопухолевых препаратов.</w:t>
      </w:r>
    </w:p>
    <w:p w14:paraId="02B95990" w14:textId="77777777" w:rsidR="00EA288F" w:rsidRPr="00BC516D" w:rsidRDefault="00EA288F" w:rsidP="00BC516D">
      <w:pPr>
        <w:tabs>
          <w:tab w:val="left" w:pos="0"/>
        </w:tabs>
        <w:spacing w:before="0" w:after="0"/>
        <w:rPr>
          <w:b/>
          <w:szCs w:val="24"/>
        </w:rPr>
      </w:pPr>
      <w:r w:rsidRPr="00BC516D">
        <w:rPr>
          <w:b/>
          <w:szCs w:val="24"/>
        </w:rPr>
        <w:t>4.2 Профилактика острой и отсроченной тошноты и рвоты при высоко-эметогенной ХТ</w:t>
      </w:r>
    </w:p>
    <w:p w14:paraId="1BAD88A3" w14:textId="2CD41270" w:rsidR="00EA288F" w:rsidRPr="00BC516D" w:rsidRDefault="00EA288F" w:rsidP="00BC516D">
      <w:pPr>
        <w:tabs>
          <w:tab w:val="left" w:pos="0"/>
        </w:tabs>
        <w:spacing w:before="0" w:after="0"/>
        <w:rPr>
          <w:szCs w:val="24"/>
        </w:rPr>
      </w:pPr>
      <w:r w:rsidRPr="00BC516D">
        <w:rPr>
          <w:szCs w:val="24"/>
        </w:rPr>
        <w:tab/>
        <w:t xml:space="preserve">Профилактика тошноты и рвоты должна начинаться до начала ХТ и проводиться не менее 2-3 дней после ее окончания. Антиэметики назначают во все дни ХТ ежедневно (исключение: палоносетрон – через день) на основе эметогенного потенциала цитостатиков, вводимых в тот или иной день. Выбор противорвотной комбинации осуществляется на </w:t>
      </w:r>
      <w:r w:rsidRPr="00BC516D">
        <w:rPr>
          <w:szCs w:val="24"/>
        </w:rPr>
        <w:lastRenderedPageBreak/>
        <w:t xml:space="preserve">основе компонента ХТ, обладающего наибольшей эметогенностью. В настоящее время наиболее эффективной антиэметической комбинацией является комбинация противорвотных препаратов, включающая антагонист NK1-рецепторов + антагонист рецепторов серотонина (5-HT3) + дексаметазон** (не добавляют при наличии дексаметазона в схеме ХТ). Дополнительно по показаниям на усмотрение лечащего врача могут применяться бензодиазепины, </w:t>
      </w:r>
      <w:r w:rsidRPr="00BC516D">
        <w:rPr>
          <w:rFonts w:eastAsia="GaramondC-Light"/>
          <w:color w:val="000000"/>
          <w:szCs w:val="24"/>
        </w:rPr>
        <w:t>блокаторы H2-рецепторов гистамина, ингибиторы протонной помпы</w:t>
      </w:r>
      <w:r w:rsidRPr="00BC516D">
        <w:rPr>
          <w:szCs w:val="24"/>
        </w:rPr>
        <w:t xml:space="preserve">. </w:t>
      </w:r>
      <w:r w:rsidRPr="00BC516D">
        <w:rPr>
          <w:rFonts w:eastAsia="GaramondC-Light"/>
          <w:color w:val="000000"/>
          <w:szCs w:val="24"/>
        </w:rPr>
        <w:t>Может быть назначен апрепитант в дозе 125 мг в 1 день и 80 мг в последующие дни</w:t>
      </w:r>
      <w:r w:rsidR="00BC516D">
        <w:rPr>
          <w:szCs w:val="24"/>
        </w:rPr>
        <w:fldChar w:fldCharType="begin" w:fldLock="1"/>
      </w:r>
      <w:r w:rsidR="00E430FD">
        <w:rPr>
          <w:szCs w:val="24"/>
        </w:rPr>
        <w:instrText>ADDIN CSL_CITATION {"citationItems":[{"id":"ITEM-1","itemData":{"DOI":"10.1200/JCO.2017.74.4789","ISSN":"15277755","PMID":"28759346","abstract":"Purpose: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Oncology","id":"ITEM-1","issue":"28","issued":{"date-parts":[["2017","10","1"]]},"page":"3240-3261","publisher":"American Society of Clinical Oncology","title":"Antiemetics: American Society of Clinical Oncology clinical practice guideline update","type":"article","volume":"35"},"uris":["http://www.mendeley.com/documents/?uuid=8480470c-4e57-389e-bf26-55799547471b"]},{"id":"ITEM-2","itemData":{"DOI":"10.1007/s00520-018-4464-y","ISSN":"14337339","PMID":"30284039","abstract":"Chemotherapy-induced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Cancer","id":"ITEM-2","issue":"1","issued":{"date-parts":[["2019","1","1"]]},"page":"87-95","publisher":"Springer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mendeley":{"formattedCitation":"[163,164]","plainTextFormattedCitation":"[163,164]","previouslyFormattedCitation":"[163,164]"},"properties":{"noteIndex":0},"schema":"https://github.com/citation-style-language/schema/raw/master/csl-citation.json"}</w:instrText>
      </w:r>
      <w:r w:rsidR="00BC516D">
        <w:rPr>
          <w:szCs w:val="24"/>
        </w:rPr>
        <w:fldChar w:fldCharType="separate"/>
      </w:r>
      <w:r w:rsidR="00E430FD" w:rsidRPr="00E430FD">
        <w:rPr>
          <w:noProof/>
          <w:szCs w:val="24"/>
        </w:rPr>
        <w:t>[163,164]</w:t>
      </w:r>
      <w:r w:rsidR="00BC516D">
        <w:rPr>
          <w:szCs w:val="24"/>
        </w:rPr>
        <w:fldChar w:fldCharType="end"/>
      </w:r>
      <w:r w:rsidRPr="00BC516D">
        <w:rPr>
          <w:rFonts w:eastAsia="GaramondC-Light"/>
          <w:color w:val="000000"/>
          <w:szCs w:val="24"/>
        </w:rPr>
        <w:t>.</w:t>
      </w:r>
    </w:p>
    <w:p w14:paraId="6B5F85D8" w14:textId="77777777" w:rsidR="00EA288F" w:rsidRPr="00BC516D" w:rsidRDefault="00EA288F" w:rsidP="008F161A">
      <w:pPr>
        <w:numPr>
          <w:ilvl w:val="1"/>
          <w:numId w:val="153"/>
        </w:numPr>
        <w:tabs>
          <w:tab w:val="left" w:pos="0"/>
        </w:tabs>
        <w:spacing w:before="0" w:after="0"/>
        <w:ind w:left="0" w:firstLine="0"/>
        <w:contextualSpacing/>
        <w:rPr>
          <w:b/>
          <w:szCs w:val="24"/>
          <w:lang w:eastAsia="ru-RU"/>
        </w:rPr>
      </w:pPr>
      <w:r w:rsidRPr="00BC516D">
        <w:rPr>
          <w:b/>
          <w:szCs w:val="24"/>
          <w:lang w:eastAsia="ru-RU"/>
        </w:rPr>
        <w:t>Профилактика острой и отсроченной тошноты и рвоты при умеренно-эметогенной ХТ</w:t>
      </w:r>
    </w:p>
    <w:p w14:paraId="4A9E9BE4" w14:textId="77777777" w:rsidR="00EA288F" w:rsidRPr="00BC516D" w:rsidRDefault="00EA288F" w:rsidP="00BC516D">
      <w:pPr>
        <w:tabs>
          <w:tab w:val="left" w:pos="0"/>
        </w:tabs>
        <w:spacing w:before="0" w:after="0"/>
        <w:rPr>
          <w:szCs w:val="24"/>
        </w:rPr>
      </w:pPr>
      <w:r w:rsidRPr="00BC516D">
        <w:rPr>
          <w:szCs w:val="24"/>
        </w:rPr>
        <w:tab/>
        <w:t>Профилактика тошноты и рвоты должна начинаться до начала ХТ и проводиться при необходимости еще 2-3 дня после ее окончания. В настоящее время наиболее эффективной антиэметической комбинацией является комбинация противорвотных препаратов, включающая антагонист рецепторов серотонина (5-HT3) + дексаметазон**. При некоторых умеренно-эметогенных режимах, включающих карбоплатин**, рекомендовано назначение апрепитанта/фосапрепитанта в комбинации с 5-НТ3-антагонистом и дексаметазоном**.</w:t>
      </w:r>
    </w:p>
    <w:p w14:paraId="41CF4D60" w14:textId="77777777" w:rsidR="00EA288F" w:rsidRPr="00BC516D" w:rsidRDefault="00EA288F" w:rsidP="008F161A">
      <w:pPr>
        <w:numPr>
          <w:ilvl w:val="1"/>
          <w:numId w:val="153"/>
        </w:numPr>
        <w:tabs>
          <w:tab w:val="left" w:pos="0"/>
        </w:tabs>
        <w:spacing w:before="0" w:after="0"/>
        <w:ind w:left="0" w:firstLine="0"/>
        <w:contextualSpacing/>
        <w:rPr>
          <w:b/>
          <w:szCs w:val="24"/>
          <w:lang w:eastAsia="ru-RU"/>
        </w:rPr>
      </w:pPr>
      <w:r w:rsidRPr="00BC516D">
        <w:rPr>
          <w:b/>
          <w:szCs w:val="24"/>
          <w:lang w:eastAsia="ru-RU"/>
        </w:rPr>
        <w:t>Профилактика острой и отсроченной тошноты и рвоты при низко-эметогенной и минимально-эметогенной ХТ</w:t>
      </w:r>
    </w:p>
    <w:p w14:paraId="48D823A8" w14:textId="77777777" w:rsidR="00EA288F" w:rsidRPr="00BC516D" w:rsidRDefault="00EA288F" w:rsidP="00BC516D">
      <w:pPr>
        <w:tabs>
          <w:tab w:val="left" w:pos="0"/>
        </w:tabs>
        <w:spacing w:before="0" w:after="0"/>
        <w:rPr>
          <w:szCs w:val="24"/>
        </w:rPr>
      </w:pPr>
      <w:r w:rsidRPr="00BC516D">
        <w:rPr>
          <w:szCs w:val="24"/>
        </w:rPr>
        <w:tab/>
        <w:t>Для профилактики тошноты и рвоты при химиотерапии с низкой эметогенностью следует использовать только один из препаратов: дексаметазон**, антагонист 5-HT3-рецепторов или антагонист рецепторов допамина (например, метоклопрамид**). При минимально-эметогенной ХТ профилактика тошноты и рвоты не требуется.</w:t>
      </w:r>
    </w:p>
    <w:p w14:paraId="26DCBE52" w14:textId="77777777" w:rsidR="00EA288F" w:rsidRPr="00BC516D" w:rsidRDefault="00EA288F" w:rsidP="008F161A">
      <w:pPr>
        <w:numPr>
          <w:ilvl w:val="1"/>
          <w:numId w:val="153"/>
        </w:numPr>
        <w:tabs>
          <w:tab w:val="left" w:pos="0"/>
        </w:tabs>
        <w:spacing w:before="0" w:after="0"/>
        <w:ind w:left="0" w:firstLine="0"/>
        <w:contextualSpacing/>
        <w:rPr>
          <w:b/>
          <w:szCs w:val="24"/>
          <w:lang w:eastAsia="ru-RU"/>
        </w:rPr>
      </w:pPr>
      <w:r w:rsidRPr="00BC516D">
        <w:rPr>
          <w:b/>
          <w:szCs w:val="24"/>
          <w:lang w:eastAsia="ru-RU"/>
        </w:rPr>
        <w:t xml:space="preserve">Профилактика тошноты и рвоты при лучевой терапии </w:t>
      </w:r>
    </w:p>
    <w:p w14:paraId="7D7E24E7" w14:textId="77777777" w:rsidR="00EA288F" w:rsidRPr="00BC516D" w:rsidRDefault="00EA288F" w:rsidP="00BC516D">
      <w:pPr>
        <w:tabs>
          <w:tab w:val="left" w:pos="0"/>
        </w:tabs>
        <w:spacing w:before="0" w:after="0"/>
        <w:rPr>
          <w:rFonts w:eastAsia="GaramondC-Light"/>
          <w:color w:val="000000"/>
          <w:szCs w:val="24"/>
        </w:rPr>
      </w:pPr>
      <w:r w:rsidRPr="00BC516D">
        <w:rPr>
          <w:rFonts w:eastAsia="GaramondC-Light"/>
          <w:color w:val="000000"/>
          <w:szCs w:val="24"/>
        </w:rPr>
        <w:tab/>
        <w:t>При облучении верхней половины туловища и конечностей в большинстве случаев антиэметическая терапия не требуется. При необходимости назначения антиэметиков эметогенный потенциал определяется по максимально эметогенному воздействию (по зоне лучевой нагрузки или по лекарственному препарату, в случае сочетания лучевой терапии и ХТ) и с учетом зоны облучения. Антиэметики (в основном антагонисты 5-НТ3-рецепторов) чаще применяют неивазивным путем (перорально, ректально) за 30-60 мин до облучения. При недостаточной эффективности антагонистов 5-НТ3-рецепторов в монотерапии возможно присоединение глюкокортикоидов.</w:t>
      </w:r>
    </w:p>
    <w:p w14:paraId="6B5ABF4E" w14:textId="77777777" w:rsidR="00EA288F" w:rsidRPr="00BC516D" w:rsidRDefault="00EA288F" w:rsidP="008F161A">
      <w:pPr>
        <w:numPr>
          <w:ilvl w:val="1"/>
          <w:numId w:val="153"/>
        </w:numPr>
        <w:tabs>
          <w:tab w:val="left" w:pos="0"/>
        </w:tabs>
        <w:spacing w:before="0" w:after="0"/>
        <w:ind w:left="0" w:firstLine="0"/>
        <w:contextualSpacing/>
        <w:rPr>
          <w:b/>
          <w:szCs w:val="24"/>
          <w:lang w:eastAsia="ru-RU"/>
        </w:rPr>
      </w:pPr>
      <w:r w:rsidRPr="00BC516D">
        <w:rPr>
          <w:rFonts w:eastAsia="GaramondC-Light"/>
          <w:b/>
          <w:color w:val="000000"/>
          <w:szCs w:val="24"/>
          <w:lang w:eastAsia="ru-RU"/>
        </w:rPr>
        <w:t>Терапия неконтролируемой тошноты и рвоты</w:t>
      </w:r>
    </w:p>
    <w:p w14:paraId="136A0A40" w14:textId="77777777" w:rsidR="00EA288F" w:rsidRPr="00BC516D" w:rsidRDefault="00EA288F" w:rsidP="00BC516D">
      <w:pPr>
        <w:tabs>
          <w:tab w:val="left" w:pos="0"/>
        </w:tabs>
        <w:spacing w:before="0" w:after="0"/>
        <w:rPr>
          <w:rFonts w:eastAsia="GaramondC-Light"/>
          <w:color w:val="000000"/>
          <w:szCs w:val="24"/>
        </w:rPr>
      </w:pPr>
      <w:r w:rsidRPr="00BC516D">
        <w:rPr>
          <w:rFonts w:eastAsia="GaramondC-Light"/>
          <w:color w:val="000000"/>
          <w:szCs w:val="24"/>
        </w:rPr>
        <w:tab/>
        <w:t xml:space="preserve">При возникновении неконтролируемой тошноты и рвоты, несмотря на плановое назначение стандартной для эметогенности данного режима ХТ антиэметической схемы, </w:t>
      </w:r>
      <w:r w:rsidRPr="00BC516D">
        <w:rPr>
          <w:rFonts w:eastAsia="GaramondC-Light"/>
          <w:color w:val="000000"/>
          <w:szCs w:val="24"/>
        </w:rPr>
        <w:lastRenderedPageBreak/>
        <w:t xml:space="preserve">необходимо исключить причины, не связанные с непосредственным назначением цитостатиков (патология ЖКТ, электролитные нарушения, гипергликемия, уремия, метастазы в головной мозг, побочное действие опиоидных анальгетиков, психофизиологические причины). В случае их исключения необходимо перевести пациента на схему профилактики с низко-эметогенного потенциала на умеренно-эметогенный и с умеренно-эметогенного на высоко-эметогенный. При возникновении неконтролируемой тошноты и рвоты на фоне стандартных противорвотных схем (без использования апрепитанта или фосапрепитанта) необходимо при последующих курсах ввести в противорвотный режим апрепитант или фосапрепитант. </w:t>
      </w:r>
    </w:p>
    <w:p w14:paraId="6617F6EA" w14:textId="77777777" w:rsidR="00EA288F" w:rsidRPr="00BC516D" w:rsidRDefault="00EA288F" w:rsidP="00BC516D">
      <w:pPr>
        <w:tabs>
          <w:tab w:val="left" w:pos="0"/>
        </w:tabs>
        <w:spacing w:before="0" w:after="0"/>
        <w:rPr>
          <w:rFonts w:eastAsia="GaramondC-Light"/>
          <w:color w:val="000000"/>
          <w:szCs w:val="24"/>
        </w:rPr>
      </w:pPr>
      <w:r w:rsidRPr="00BC516D">
        <w:rPr>
          <w:rFonts w:eastAsia="GaramondC-Light"/>
          <w:color w:val="000000"/>
          <w:szCs w:val="24"/>
        </w:rPr>
        <w:tab/>
        <w:t>Развитие неконтролируемой или рефрактерной рвоты может развиться у пациентов с так называемым сверхбыстрым метаболическим фенотипом (ускоренный метаболизм антагонистов 5-HT3-рецепторов в печени). В таком случае целесообразна смена 5-HT3-блокатора на другой антиэметик данного класса препаратов.</w:t>
      </w:r>
    </w:p>
    <w:p w14:paraId="40685BA7" w14:textId="77777777" w:rsidR="00EA288F" w:rsidRPr="00BC516D" w:rsidRDefault="00EA288F" w:rsidP="00BC516D">
      <w:pPr>
        <w:autoSpaceDE w:val="0"/>
        <w:autoSpaceDN w:val="0"/>
        <w:adjustRightInd w:val="0"/>
        <w:spacing w:before="0" w:after="0"/>
        <w:rPr>
          <w:rFonts w:eastAsia="GaramondC-Light"/>
          <w:color w:val="000000"/>
          <w:szCs w:val="24"/>
        </w:rPr>
      </w:pPr>
      <w:r w:rsidRPr="00BC516D">
        <w:rPr>
          <w:rFonts w:eastAsia="GaramondC-Light"/>
          <w:color w:val="000000"/>
          <w:szCs w:val="24"/>
        </w:rPr>
        <w:t>Кроме того, следует выполнять ряд общих принципов профилактики и лечения тошноты и рвоты:</w:t>
      </w:r>
    </w:p>
    <w:p w14:paraId="7E90FE0A" w14:textId="77777777" w:rsidR="00EA288F" w:rsidRPr="00BC516D" w:rsidRDefault="00EA288F" w:rsidP="008F161A">
      <w:pPr>
        <w:numPr>
          <w:ilvl w:val="0"/>
          <w:numId w:val="154"/>
        </w:numPr>
        <w:autoSpaceDE w:val="0"/>
        <w:autoSpaceDN w:val="0"/>
        <w:adjustRightInd w:val="0"/>
        <w:spacing w:before="0" w:after="0"/>
        <w:ind w:left="0" w:firstLine="0"/>
        <w:contextualSpacing/>
        <w:rPr>
          <w:rFonts w:eastAsia="GaramondC-Light"/>
          <w:color w:val="000000"/>
          <w:szCs w:val="24"/>
          <w:lang w:eastAsia="ru-RU"/>
        </w:rPr>
      </w:pPr>
      <w:r w:rsidRPr="00BC516D">
        <w:rPr>
          <w:rFonts w:eastAsia="GaramondC-Light"/>
          <w:color w:val="000000"/>
          <w:szCs w:val="24"/>
          <w:lang w:eastAsia="ru-RU"/>
        </w:rPr>
        <w:t>Назначать антиэметики строго по часам, а не при появлении тошноты или рвоты.</w:t>
      </w:r>
    </w:p>
    <w:p w14:paraId="1B6EC6D0" w14:textId="77777777" w:rsidR="00EA288F" w:rsidRPr="00BC516D" w:rsidRDefault="00EA288F" w:rsidP="008F161A">
      <w:pPr>
        <w:numPr>
          <w:ilvl w:val="0"/>
          <w:numId w:val="154"/>
        </w:numPr>
        <w:autoSpaceDE w:val="0"/>
        <w:autoSpaceDN w:val="0"/>
        <w:adjustRightInd w:val="0"/>
        <w:spacing w:before="0" w:after="0"/>
        <w:ind w:left="0" w:firstLine="0"/>
        <w:contextualSpacing/>
        <w:rPr>
          <w:rFonts w:eastAsia="GaramondC-Light"/>
          <w:color w:val="000000"/>
          <w:szCs w:val="24"/>
          <w:lang w:eastAsia="ru-RU"/>
        </w:rPr>
      </w:pPr>
      <w:r w:rsidRPr="00BC516D">
        <w:rPr>
          <w:rFonts w:eastAsia="GaramondC-Light"/>
          <w:color w:val="000000"/>
          <w:szCs w:val="24"/>
          <w:lang w:eastAsia="ru-RU"/>
        </w:rPr>
        <w:t xml:space="preserve">Оценивать предпочтительный путь введения препаратов (парентерально, в ректальных суппозиториях, или внутрь). </w:t>
      </w:r>
    </w:p>
    <w:p w14:paraId="03CDD2BD" w14:textId="77777777" w:rsidR="00EA288F" w:rsidRPr="00BC516D" w:rsidRDefault="00EA288F" w:rsidP="008F161A">
      <w:pPr>
        <w:numPr>
          <w:ilvl w:val="0"/>
          <w:numId w:val="154"/>
        </w:numPr>
        <w:autoSpaceDE w:val="0"/>
        <w:autoSpaceDN w:val="0"/>
        <w:adjustRightInd w:val="0"/>
        <w:spacing w:before="0" w:after="0"/>
        <w:ind w:left="0" w:firstLine="0"/>
        <w:contextualSpacing/>
        <w:rPr>
          <w:rFonts w:eastAsia="GaramondC-Light"/>
          <w:color w:val="000000"/>
          <w:szCs w:val="24"/>
          <w:lang w:eastAsia="ru-RU"/>
        </w:rPr>
      </w:pPr>
      <w:r w:rsidRPr="00BC516D">
        <w:rPr>
          <w:rFonts w:eastAsia="GaramondC-Light"/>
          <w:color w:val="000000"/>
          <w:szCs w:val="24"/>
          <w:lang w:eastAsia="ru-RU"/>
        </w:rPr>
        <w:t>Осуществлять адекватную гидратацию и коррекцию электролитов.</w:t>
      </w:r>
    </w:p>
    <w:p w14:paraId="0A1A407B" w14:textId="77777777" w:rsidR="00EA288F" w:rsidRPr="00BC516D" w:rsidRDefault="00EA288F" w:rsidP="008F161A">
      <w:pPr>
        <w:numPr>
          <w:ilvl w:val="0"/>
          <w:numId w:val="154"/>
        </w:numPr>
        <w:autoSpaceDE w:val="0"/>
        <w:autoSpaceDN w:val="0"/>
        <w:adjustRightInd w:val="0"/>
        <w:spacing w:before="0" w:after="0"/>
        <w:ind w:left="0" w:firstLine="0"/>
        <w:contextualSpacing/>
        <w:rPr>
          <w:rFonts w:eastAsia="GaramondC-Light"/>
          <w:color w:val="000000"/>
          <w:szCs w:val="24"/>
          <w:lang w:eastAsia="ru-RU"/>
        </w:rPr>
      </w:pPr>
      <w:r w:rsidRPr="00BC516D">
        <w:rPr>
          <w:rFonts w:eastAsia="GaramondC-Light"/>
          <w:color w:val="000000"/>
          <w:szCs w:val="24"/>
          <w:lang w:eastAsia="ru-RU"/>
        </w:rPr>
        <w:t>Добавлять при диспепсии Н2-блокаторы или блокаторы протонной помпы.</w:t>
      </w:r>
    </w:p>
    <w:p w14:paraId="2C285B6B" w14:textId="77777777" w:rsidR="00EA288F" w:rsidRPr="00BC516D" w:rsidRDefault="00EA288F" w:rsidP="00BC516D">
      <w:pPr>
        <w:tabs>
          <w:tab w:val="left" w:pos="0"/>
        </w:tabs>
        <w:spacing w:before="0" w:after="0"/>
        <w:rPr>
          <w:rFonts w:eastAsia="GaramondC-Light"/>
          <w:color w:val="000000"/>
          <w:szCs w:val="24"/>
        </w:rPr>
      </w:pPr>
      <w:r w:rsidRPr="00BC516D">
        <w:rPr>
          <w:rFonts w:eastAsia="GaramondC-Light"/>
          <w:color w:val="000000"/>
          <w:szCs w:val="24"/>
        </w:rPr>
        <w:tab/>
        <w:t xml:space="preserve">При возникновении неконтролируемой тошноты и рвоты на фоне трехкомпонентной противорвотной схемы стандартного подхода нет, следует рассмотреть добавление препаратов иного класса из группы резерва: </w:t>
      </w:r>
    </w:p>
    <w:p w14:paraId="2347DC35" w14:textId="77777777" w:rsidR="00EA288F" w:rsidRPr="00BC516D" w:rsidRDefault="00EA288F" w:rsidP="00BC516D">
      <w:pPr>
        <w:autoSpaceDE w:val="0"/>
        <w:autoSpaceDN w:val="0"/>
        <w:adjustRightInd w:val="0"/>
        <w:spacing w:before="0" w:after="0"/>
        <w:rPr>
          <w:rFonts w:eastAsia="GaramondC-Light"/>
          <w:color w:val="000000"/>
          <w:szCs w:val="24"/>
        </w:rPr>
      </w:pPr>
      <w:r w:rsidRPr="00BC516D">
        <w:rPr>
          <w:rFonts w:eastAsia="GaramondC-Light"/>
          <w:color w:val="000000"/>
          <w:szCs w:val="24"/>
        </w:rPr>
        <w:t>1) бензодиазепины (например, лоразепам** по 0,5–2 мг каждые 4–6 ч);</w:t>
      </w:r>
    </w:p>
    <w:p w14:paraId="16D7A9E9" w14:textId="77777777" w:rsidR="00EA288F" w:rsidRPr="00BC516D" w:rsidRDefault="00EA288F" w:rsidP="00BC516D">
      <w:pPr>
        <w:autoSpaceDE w:val="0"/>
        <w:autoSpaceDN w:val="0"/>
        <w:adjustRightInd w:val="0"/>
        <w:spacing w:before="0" w:after="0"/>
        <w:rPr>
          <w:rFonts w:eastAsia="GaramondC-Light"/>
          <w:color w:val="000000"/>
          <w:szCs w:val="24"/>
        </w:rPr>
      </w:pPr>
      <w:r w:rsidRPr="00BC516D">
        <w:rPr>
          <w:rFonts w:eastAsia="GaramondC-Light"/>
          <w:color w:val="000000"/>
          <w:szCs w:val="24"/>
        </w:rPr>
        <w:t>2) блокаторы рецепторов допамина (например, метоклопрамид** по 20 мг каждые 6 ч);</w:t>
      </w:r>
    </w:p>
    <w:p w14:paraId="6A9DFC26" w14:textId="77777777" w:rsidR="00EA288F" w:rsidRPr="00BC516D" w:rsidRDefault="00EA288F" w:rsidP="00BC516D">
      <w:pPr>
        <w:autoSpaceDE w:val="0"/>
        <w:autoSpaceDN w:val="0"/>
        <w:adjustRightInd w:val="0"/>
        <w:spacing w:before="0" w:after="0"/>
        <w:rPr>
          <w:rFonts w:eastAsia="GaramondC-Light"/>
          <w:color w:val="000000"/>
          <w:szCs w:val="24"/>
        </w:rPr>
      </w:pPr>
      <w:r w:rsidRPr="00BC516D">
        <w:rPr>
          <w:rFonts w:eastAsia="GaramondC-Light"/>
          <w:color w:val="000000"/>
          <w:szCs w:val="24"/>
        </w:rPr>
        <w:t>3) фенотиазины (например, аминазин** 25 мг 4 раза в сутки);</w:t>
      </w:r>
    </w:p>
    <w:p w14:paraId="49DF39F6" w14:textId="77777777" w:rsidR="00EA288F" w:rsidRPr="00BC516D" w:rsidRDefault="00EA288F" w:rsidP="00BC516D">
      <w:pPr>
        <w:autoSpaceDE w:val="0"/>
        <w:autoSpaceDN w:val="0"/>
        <w:adjustRightInd w:val="0"/>
        <w:spacing w:before="0" w:after="0"/>
        <w:rPr>
          <w:rFonts w:eastAsia="GaramondC-Light"/>
          <w:color w:val="000000"/>
          <w:szCs w:val="24"/>
        </w:rPr>
      </w:pPr>
      <w:r w:rsidRPr="00BC516D">
        <w:rPr>
          <w:rFonts w:eastAsia="GaramondC-Light"/>
          <w:color w:val="000000"/>
          <w:szCs w:val="24"/>
        </w:rPr>
        <w:t>4) бутирофеноны (например, галоперидол** 1–2 мг каждые 4–6 ч).</w:t>
      </w:r>
    </w:p>
    <w:p w14:paraId="13BF6B63" w14:textId="77777777" w:rsidR="00EA288F" w:rsidRPr="00BC516D" w:rsidRDefault="00EA288F" w:rsidP="00BC516D">
      <w:pPr>
        <w:autoSpaceDE w:val="0"/>
        <w:autoSpaceDN w:val="0"/>
        <w:adjustRightInd w:val="0"/>
        <w:spacing w:before="0" w:after="0"/>
        <w:rPr>
          <w:rFonts w:eastAsia="GaramondC-Light"/>
          <w:color w:val="000000"/>
          <w:szCs w:val="24"/>
        </w:rPr>
      </w:pPr>
      <w:r w:rsidRPr="00BC516D">
        <w:rPr>
          <w:rFonts w:eastAsia="GaramondC-Light"/>
          <w:color w:val="000000"/>
          <w:szCs w:val="24"/>
        </w:rPr>
        <w:t>Возможно также использование альтернативного варианта профилактики тошноты и рвоты:</w:t>
      </w:r>
    </w:p>
    <w:p w14:paraId="31876059" w14:textId="46818B22" w:rsidR="00EA288F" w:rsidRPr="00BC516D" w:rsidRDefault="00EA288F" w:rsidP="008F161A">
      <w:pPr>
        <w:numPr>
          <w:ilvl w:val="0"/>
          <w:numId w:val="155"/>
        </w:numPr>
        <w:autoSpaceDE w:val="0"/>
        <w:autoSpaceDN w:val="0"/>
        <w:adjustRightInd w:val="0"/>
        <w:spacing w:before="0" w:after="0"/>
        <w:ind w:left="0" w:firstLine="0"/>
        <w:contextualSpacing/>
        <w:rPr>
          <w:rFonts w:eastAsia="GaramondC-Light"/>
          <w:color w:val="000000"/>
          <w:szCs w:val="24"/>
          <w:lang w:eastAsia="ru-RU"/>
        </w:rPr>
      </w:pPr>
      <w:r w:rsidRPr="00BC516D">
        <w:rPr>
          <w:rFonts w:eastAsia="GaramondC-Light"/>
          <w:color w:val="000000"/>
          <w:szCs w:val="24"/>
          <w:lang w:eastAsia="ru-RU"/>
        </w:rPr>
        <w:t>оланзапин** 5–10 мг в сутки внутрь с 1 по 3 дни;</w:t>
      </w:r>
    </w:p>
    <w:p w14:paraId="318816B1" w14:textId="77777777" w:rsidR="00EA288F" w:rsidRPr="00BC516D" w:rsidRDefault="00EA288F" w:rsidP="008F161A">
      <w:pPr>
        <w:numPr>
          <w:ilvl w:val="0"/>
          <w:numId w:val="155"/>
        </w:numPr>
        <w:autoSpaceDE w:val="0"/>
        <w:autoSpaceDN w:val="0"/>
        <w:adjustRightInd w:val="0"/>
        <w:spacing w:before="0" w:after="0"/>
        <w:ind w:left="0" w:firstLine="0"/>
        <w:contextualSpacing/>
        <w:rPr>
          <w:rFonts w:eastAsia="GaramondC-Light"/>
          <w:color w:val="000000"/>
          <w:szCs w:val="24"/>
          <w:lang w:eastAsia="ru-RU"/>
        </w:rPr>
      </w:pPr>
      <w:r w:rsidRPr="00BC516D">
        <w:rPr>
          <w:rFonts w:eastAsia="GaramondC-Light"/>
          <w:color w:val="000000"/>
          <w:szCs w:val="24"/>
          <w:lang w:eastAsia="ru-RU"/>
        </w:rPr>
        <w:t>палоносетрон 0,25 мг в/в за 60 минут до ХТ в 1 день однократно;</w:t>
      </w:r>
    </w:p>
    <w:p w14:paraId="4CDB4E68" w14:textId="77777777" w:rsidR="00EA288F" w:rsidRPr="00BC516D" w:rsidRDefault="00EA288F" w:rsidP="008F161A">
      <w:pPr>
        <w:numPr>
          <w:ilvl w:val="0"/>
          <w:numId w:val="155"/>
        </w:numPr>
        <w:autoSpaceDE w:val="0"/>
        <w:autoSpaceDN w:val="0"/>
        <w:adjustRightInd w:val="0"/>
        <w:spacing w:before="0" w:after="0"/>
        <w:ind w:left="0" w:firstLine="0"/>
        <w:contextualSpacing/>
        <w:rPr>
          <w:rFonts w:eastAsia="GaramondC-Light"/>
          <w:color w:val="000000"/>
          <w:szCs w:val="24"/>
          <w:lang w:eastAsia="ru-RU"/>
        </w:rPr>
      </w:pPr>
      <w:r w:rsidRPr="00BC516D">
        <w:rPr>
          <w:rFonts w:eastAsia="GaramondC-Light"/>
          <w:color w:val="000000"/>
          <w:szCs w:val="24"/>
          <w:lang w:eastAsia="ru-RU"/>
        </w:rPr>
        <w:t>дексаметазон** 20 мг в/в за 30 минут до ХТ в 1 день.</w:t>
      </w:r>
    </w:p>
    <w:p w14:paraId="145BB7E9" w14:textId="77777777" w:rsidR="00EA288F" w:rsidRPr="00BC516D" w:rsidRDefault="00EA288F" w:rsidP="008F161A">
      <w:pPr>
        <w:numPr>
          <w:ilvl w:val="1"/>
          <w:numId w:val="153"/>
        </w:numPr>
        <w:autoSpaceDE w:val="0"/>
        <w:autoSpaceDN w:val="0"/>
        <w:adjustRightInd w:val="0"/>
        <w:spacing w:before="0" w:after="0"/>
        <w:ind w:left="0" w:firstLine="0"/>
        <w:contextualSpacing/>
        <w:rPr>
          <w:rFonts w:eastAsia="GaramondC-Light"/>
          <w:b/>
          <w:color w:val="000000"/>
          <w:szCs w:val="24"/>
          <w:lang w:eastAsia="ru-RU"/>
        </w:rPr>
      </w:pPr>
      <w:r w:rsidRPr="00BC516D">
        <w:rPr>
          <w:rFonts w:eastAsia="GaramondC-Light"/>
          <w:b/>
          <w:color w:val="000000"/>
          <w:szCs w:val="24"/>
          <w:lang w:eastAsia="ru-RU"/>
        </w:rPr>
        <w:t>Профилактика и терапия условно-рефлекторной рвоты</w:t>
      </w:r>
    </w:p>
    <w:p w14:paraId="1DAB2E1A" w14:textId="77777777" w:rsidR="00EA288F" w:rsidRPr="00BC516D" w:rsidRDefault="00EA288F" w:rsidP="00BC516D">
      <w:pPr>
        <w:autoSpaceDE w:val="0"/>
        <w:autoSpaceDN w:val="0"/>
        <w:adjustRightInd w:val="0"/>
        <w:spacing w:before="0" w:after="0"/>
        <w:rPr>
          <w:rFonts w:eastAsia="GaramondC-Light"/>
          <w:color w:val="000000"/>
          <w:szCs w:val="24"/>
        </w:rPr>
      </w:pPr>
      <w:r w:rsidRPr="00BC516D">
        <w:rPr>
          <w:rFonts w:eastAsia="GaramondC-Light"/>
          <w:color w:val="000000"/>
          <w:szCs w:val="24"/>
        </w:rPr>
        <w:lastRenderedPageBreak/>
        <w:t>Для профилактики и лечения условно-рефлекторной тошноты и рвоты, в первую очередь, важна оптимальная профилактика тошноты и рвоты в каждом цикле ХТ. Также, с учетом психогенного механизма, применяют бензодиазепины (например, лоразепам** по 0,5-2 мг на ночь накануне и утром перед ХТ), и нефармакологические методы – психотерапия, гипноз, системная десенсибилизация.</w:t>
      </w:r>
    </w:p>
    <w:p w14:paraId="4B1467B9" w14:textId="7F326F2E" w:rsidR="00EA288F" w:rsidRPr="00BC516D" w:rsidRDefault="00EA288F" w:rsidP="00BC516D">
      <w:pPr>
        <w:shd w:val="clear" w:color="auto" w:fill="FFFFFF"/>
        <w:tabs>
          <w:tab w:val="left" w:pos="0"/>
          <w:tab w:val="left" w:pos="394"/>
        </w:tabs>
        <w:spacing w:before="0" w:after="0"/>
        <w:rPr>
          <w:rFonts w:eastAsia="Arial Unicode MS"/>
          <w:b/>
          <w:color w:val="000000"/>
          <w:spacing w:val="4"/>
          <w:szCs w:val="24"/>
          <w:u w:color="000000"/>
          <w:shd w:val="clear" w:color="auto" w:fill="FFFFFF"/>
          <w:lang w:eastAsia="ru-RU"/>
        </w:rPr>
      </w:pPr>
      <w:r w:rsidRPr="00BC516D">
        <w:rPr>
          <w:rFonts w:eastAsia="Arial Unicode MS"/>
          <w:b/>
          <w:color w:val="000000"/>
          <w:spacing w:val="4"/>
          <w:szCs w:val="24"/>
          <w:u w:color="000000"/>
          <w:shd w:val="clear" w:color="auto" w:fill="FFFFFF"/>
          <w:lang w:eastAsia="ru-RU"/>
        </w:rPr>
        <w:t xml:space="preserve">Таблица </w:t>
      </w:r>
      <w:r w:rsidR="00436F47">
        <w:rPr>
          <w:rFonts w:eastAsia="Arial Unicode MS"/>
          <w:b/>
          <w:color w:val="000000"/>
          <w:spacing w:val="4"/>
          <w:szCs w:val="24"/>
          <w:u w:color="000000"/>
          <w:shd w:val="clear" w:color="auto" w:fill="FFFFFF"/>
          <w:lang w:eastAsia="ru-RU"/>
        </w:rPr>
        <w:t>А3.10</w:t>
      </w:r>
      <w:r w:rsidRPr="00BC516D">
        <w:rPr>
          <w:rFonts w:eastAsia="Arial Unicode MS"/>
          <w:b/>
          <w:color w:val="000000"/>
          <w:spacing w:val="4"/>
          <w:szCs w:val="24"/>
          <w:u w:color="000000"/>
          <w:shd w:val="clear" w:color="auto" w:fill="FFFFFF"/>
          <w:lang w:eastAsia="ru-RU"/>
        </w:rPr>
        <w:t xml:space="preserve">. </w:t>
      </w:r>
      <w:r w:rsidRPr="00292402">
        <w:rPr>
          <w:rFonts w:eastAsia="Arial Unicode MS"/>
          <w:color w:val="000000"/>
          <w:spacing w:val="4"/>
          <w:szCs w:val="24"/>
          <w:u w:color="000000"/>
          <w:shd w:val="clear" w:color="auto" w:fill="FFFFFF"/>
          <w:lang w:eastAsia="ru-RU"/>
        </w:rPr>
        <w:t>Эметогенный потенциал противоопухолевых препаратов.</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4600"/>
        <w:gridCol w:w="2880"/>
      </w:tblGrid>
      <w:tr w:rsidR="00EA288F" w:rsidRPr="00BC516D" w14:paraId="1D202882" w14:textId="77777777" w:rsidTr="00EA288F">
        <w:trPr>
          <w:tblHeader/>
        </w:trPr>
        <w:tc>
          <w:tcPr>
            <w:tcW w:w="1799" w:type="dxa"/>
            <w:tcBorders>
              <w:top w:val="single" w:sz="4" w:space="0" w:color="auto"/>
              <w:left w:val="single" w:sz="4" w:space="0" w:color="auto"/>
              <w:bottom w:val="single" w:sz="4" w:space="0" w:color="auto"/>
              <w:right w:val="single" w:sz="4" w:space="0" w:color="auto"/>
            </w:tcBorders>
            <w:hideMark/>
          </w:tcPr>
          <w:p w14:paraId="68DBFA99" w14:textId="77777777" w:rsidR="00EA288F" w:rsidRPr="00BC516D" w:rsidRDefault="00EA288F" w:rsidP="00BC516D">
            <w:pPr>
              <w:tabs>
                <w:tab w:val="left" w:pos="0"/>
                <w:tab w:val="left" w:pos="394"/>
              </w:tabs>
              <w:spacing w:before="0" w:after="0"/>
              <w:rPr>
                <w:rFonts w:eastAsia="Arial Unicode MS"/>
                <w:b/>
                <w:color w:val="000000"/>
                <w:spacing w:val="4"/>
                <w:szCs w:val="24"/>
                <w:u w:color="000000"/>
                <w:shd w:val="clear" w:color="auto" w:fill="FFFFFF"/>
              </w:rPr>
            </w:pPr>
            <w:r w:rsidRPr="00BC516D">
              <w:rPr>
                <w:rFonts w:eastAsia="Arial Unicode MS"/>
                <w:b/>
                <w:color w:val="000000"/>
                <w:spacing w:val="4"/>
                <w:szCs w:val="24"/>
                <w:u w:color="000000"/>
                <w:shd w:val="clear" w:color="auto" w:fill="FFFFFF"/>
              </w:rPr>
              <w:t>Уровень эметогенности</w:t>
            </w:r>
          </w:p>
        </w:tc>
        <w:tc>
          <w:tcPr>
            <w:tcW w:w="4820" w:type="dxa"/>
            <w:tcBorders>
              <w:top w:val="single" w:sz="4" w:space="0" w:color="auto"/>
              <w:left w:val="single" w:sz="4" w:space="0" w:color="auto"/>
              <w:bottom w:val="single" w:sz="4" w:space="0" w:color="auto"/>
              <w:right w:val="single" w:sz="4" w:space="0" w:color="auto"/>
            </w:tcBorders>
            <w:hideMark/>
          </w:tcPr>
          <w:p w14:paraId="5A29A9FB" w14:textId="77777777" w:rsidR="00EA288F" w:rsidRPr="00BC516D" w:rsidRDefault="00EA288F" w:rsidP="00BC516D">
            <w:pPr>
              <w:tabs>
                <w:tab w:val="left" w:pos="0"/>
                <w:tab w:val="left" w:pos="394"/>
              </w:tabs>
              <w:spacing w:before="0" w:after="0"/>
              <w:rPr>
                <w:rFonts w:eastAsia="Arial Unicode MS"/>
                <w:b/>
                <w:color w:val="000000"/>
                <w:spacing w:val="4"/>
                <w:szCs w:val="24"/>
                <w:u w:color="000000"/>
                <w:shd w:val="clear" w:color="auto" w:fill="FFFFFF"/>
              </w:rPr>
            </w:pPr>
            <w:r w:rsidRPr="00BC516D">
              <w:rPr>
                <w:rFonts w:eastAsia="Arial Unicode MS"/>
                <w:b/>
                <w:color w:val="000000"/>
                <w:spacing w:val="4"/>
                <w:szCs w:val="24"/>
                <w:u w:color="000000"/>
                <w:shd w:val="clear" w:color="auto" w:fill="FFFFFF"/>
              </w:rPr>
              <w:t>Противоопухолевые препараты для внутривенного введения</w:t>
            </w:r>
          </w:p>
        </w:tc>
        <w:tc>
          <w:tcPr>
            <w:tcW w:w="2942" w:type="dxa"/>
            <w:tcBorders>
              <w:top w:val="single" w:sz="4" w:space="0" w:color="auto"/>
              <w:left w:val="single" w:sz="4" w:space="0" w:color="auto"/>
              <w:bottom w:val="single" w:sz="4" w:space="0" w:color="auto"/>
              <w:right w:val="single" w:sz="4" w:space="0" w:color="auto"/>
            </w:tcBorders>
            <w:hideMark/>
          </w:tcPr>
          <w:p w14:paraId="0B6AD954" w14:textId="77777777" w:rsidR="00EA288F" w:rsidRPr="00BC516D" w:rsidRDefault="00EA288F" w:rsidP="00BC516D">
            <w:pPr>
              <w:tabs>
                <w:tab w:val="left" w:pos="0"/>
                <w:tab w:val="left" w:pos="394"/>
              </w:tabs>
              <w:spacing w:before="0" w:after="0"/>
              <w:rPr>
                <w:rFonts w:eastAsia="Arial Unicode MS"/>
                <w:b/>
                <w:color w:val="000000"/>
                <w:spacing w:val="4"/>
                <w:szCs w:val="24"/>
                <w:u w:color="000000"/>
                <w:shd w:val="clear" w:color="auto" w:fill="FFFFFF"/>
              </w:rPr>
            </w:pPr>
            <w:r w:rsidRPr="00BC516D">
              <w:rPr>
                <w:rFonts w:eastAsia="Arial Unicode MS"/>
                <w:b/>
                <w:color w:val="000000"/>
                <w:spacing w:val="4"/>
                <w:szCs w:val="24"/>
                <w:u w:color="000000"/>
                <w:shd w:val="clear" w:color="auto" w:fill="FFFFFF"/>
              </w:rPr>
              <w:t xml:space="preserve">Противоопухолевые препараты для перорального приема </w:t>
            </w:r>
          </w:p>
        </w:tc>
      </w:tr>
      <w:tr w:rsidR="00EA288F" w:rsidRPr="00BC516D" w14:paraId="378442DF" w14:textId="77777777" w:rsidTr="00EA288F">
        <w:tc>
          <w:tcPr>
            <w:tcW w:w="1799" w:type="dxa"/>
            <w:tcBorders>
              <w:top w:val="single" w:sz="4" w:space="0" w:color="auto"/>
              <w:left w:val="single" w:sz="4" w:space="0" w:color="auto"/>
              <w:bottom w:val="single" w:sz="4" w:space="0" w:color="auto"/>
              <w:right w:val="single" w:sz="4" w:space="0" w:color="auto"/>
            </w:tcBorders>
            <w:hideMark/>
          </w:tcPr>
          <w:p w14:paraId="75BED785" w14:textId="77777777" w:rsidR="00EA288F" w:rsidRPr="00BC516D" w:rsidRDefault="00EA288F" w:rsidP="00BC516D">
            <w:pPr>
              <w:tabs>
                <w:tab w:val="left" w:pos="0"/>
                <w:tab w:val="left" w:pos="394"/>
              </w:tabs>
              <w:spacing w:before="0" w:after="0"/>
              <w:rPr>
                <w:rFonts w:eastAsia="Arial Unicode MS"/>
                <w:color w:val="000000"/>
                <w:spacing w:val="4"/>
                <w:szCs w:val="24"/>
                <w:u w:color="000000"/>
              </w:rPr>
            </w:pPr>
            <w:r w:rsidRPr="00BC516D">
              <w:rPr>
                <w:rFonts w:eastAsia="Arial Unicode MS"/>
                <w:color w:val="000000"/>
                <w:spacing w:val="4"/>
                <w:szCs w:val="24"/>
                <w:u w:color="000000"/>
              </w:rPr>
              <w:t xml:space="preserve">Высокий </w:t>
            </w:r>
          </w:p>
          <w:p w14:paraId="355EF06B" w14:textId="77777777" w:rsidR="00EA288F" w:rsidRPr="00BC516D" w:rsidRDefault="00EA288F" w:rsidP="00BC516D">
            <w:pPr>
              <w:tabs>
                <w:tab w:val="left" w:pos="0"/>
                <w:tab w:val="left" w:pos="394"/>
              </w:tabs>
              <w:spacing w:before="0" w:after="0"/>
              <w:rPr>
                <w:rFonts w:eastAsia="Arial Unicode MS"/>
                <w:color w:val="000000"/>
                <w:spacing w:val="4"/>
                <w:szCs w:val="24"/>
                <w:u w:color="000000"/>
                <w:shd w:val="clear" w:color="auto" w:fill="FFFFFF"/>
              </w:rPr>
            </w:pPr>
            <w:r w:rsidRPr="00BC516D">
              <w:rPr>
                <w:rFonts w:eastAsia="Arial Unicode MS"/>
                <w:color w:val="000000"/>
                <w:spacing w:val="4"/>
                <w:szCs w:val="24"/>
                <w:u w:color="000000"/>
              </w:rPr>
              <w:t>(</w:t>
            </w:r>
            <w:r w:rsidRPr="00BC516D">
              <w:rPr>
                <w:rFonts w:eastAsia="Arial Unicode MS"/>
                <w:color w:val="000000"/>
                <w:spacing w:val="4"/>
                <w:szCs w:val="24"/>
                <w:u w:color="000000"/>
                <w:shd w:val="clear" w:color="auto" w:fill="FFFFFF"/>
              </w:rPr>
              <w:t>&gt;</w:t>
            </w:r>
            <w:r w:rsidRPr="00BC516D">
              <w:rPr>
                <w:rFonts w:eastAsia="Arial Unicode MS"/>
                <w:color w:val="000000"/>
                <w:spacing w:val="4"/>
                <w:szCs w:val="24"/>
                <w:u w:color="000000"/>
              </w:rPr>
              <w:t>90 %)</w:t>
            </w:r>
          </w:p>
        </w:tc>
        <w:tc>
          <w:tcPr>
            <w:tcW w:w="4820" w:type="dxa"/>
            <w:tcBorders>
              <w:top w:val="single" w:sz="4" w:space="0" w:color="auto"/>
              <w:left w:val="single" w:sz="4" w:space="0" w:color="auto"/>
              <w:bottom w:val="single" w:sz="4" w:space="0" w:color="auto"/>
              <w:right w:val="single" w:sz="4" w:space="0" w:color="auto"/>
            </w:tcBorders>
            <w:hideMark/>
          </w:tcPr>
          <w:p w14:paraId="163A1051" w14:textId="77777777" w:rsidR="00EA288F" w:rsidRPr="00BC516D" w:rsidRDefault="00EA288F" w:rsidP="008F161A">
            <w:pPr>
              <w:numPr>
                <w:ilvl w:val="0"/>
                <w:numId w:val="156"/>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комбинация антрациклин / циклофосфамид</w:t>
            </w:r>
            <w:r w:rsidRPr="00BC516D">
              <w:rPr>
                <w:rFonts w:eastAsia="Arial Unicode MS"/>
                <w:color w:val="000000"/>
                <w:spacing w:val="4"/>
                <w:szCs w:val="24"/>
                <w:u w:color="000000"/>
                <w:shd w:val="clear" w:color="auto" w:fill="FFFFFF"/>
                <w:lang w:val="en-US"/>
              </w:rPr>
              <w:t xml:space="preserve">** </w:t>
            </w:r>
          </w:p>
          <w:p w14:paraId="4C90A5ED" w14:textId="77777777" w:rsidR="00EA288F" w:rsidRPr="00BC516D" w:rsidRDefault="00EA288F" w:rsidP="008F161A">
            <w:pPr>
              <w:numPr>
                <w:ilvl w:val="0"/>
                <w:numId w:val="156"/>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дакарбазин</w:t>
            </w:r>
            <w:r w:rsidRPr="00BC516D">
              <w:rPr>
                <w:rFonts w:eastAsia="Arial Unicode MS"/>
                <w:color w:val="000000"/>
                <w:spacing w:val="4"/>
                <w:szCs w:val="24"/>
                <w:u w:color="000000"/>
                <w:shd w:val="clear" w:color="auto" w:fill="FFFFFF"/>
                <w:lang w:val="en-US"/>
              </w:rPr>
              <w:t>**</w:t>
            </w:r>
          </w:p>
          <w:p w14:paraId="643A5F45" w14:textId="77777777" w:rsidR="00EA288F" w:rsidRPr="00BC516D" w:rsidRDefault="00EA288F" w:rsidP="008F161A">
            <w:pPr>
              <w:numPr>
                <w:ilvl w:val="0"/>
                <w:numId w:val="156"/>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кармустин</w:t>
            </w:r>
            <w:r w:rsidRPr="00BC516D">
              <w:rPr>
                <w:rFonts w:eastAsia="Arial Unicode MS"/>
                <w:color w:val="000000"/>
                <w:spacing w:val="4"/>
                <w:szCs w:val="24"/>
                <w:u w:color="000000"/>
                <w:shd w:val="clear" w:color="auto" w:fill="FFFFFF"/>
                <w:lang w:val="en-US"/>
              </w:rPr>
              <w:t>**</w:t>
            </w:r>
          </w:p>
          <w:p w14:paraId="2E65C2AB" w14:textId="77777777" w:rsidR="00EA288F" w:rsidRPr="00BC516D" w:rsidRDefault="00EA288F" w:rsidP="008F161A">
            <w:pPr>
              <w:numPr>
                <w:ilvl w:val="0"/>
                <w:numId w:val="156"/>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мелфалан</w:t>
            </w:r>
            <w:r w:rsidRPr="00BC516D">
              <w:rPr>
                <w:rFonts w:eastAsia="Arial Unicode MS"/>
                <w:color w:val="000000"/>
                <w:spacing w:val="4"/>
                <w:szCs w:val="24"/>
                <w:u w:color="000000"/>
                <w:shd w:val="clear" w:color="auto" w:fill="FFFFFF"/>
                <w:lang w:val="en-US"/>
              </w:rPr>
              <w:t>**</w:t>
            </w:r>
          </w:p>
          <w:p w14:paraId="10E9E37B" w14:textId="77777777" w:rsidR="00EA288F" w:rsidRPr="00BC516D" w:rsidRDefault="00EA288F" w:rsidP="008F161A">
            <w:pPr>
              <w:numPr>
                <w:ilvl w:val="0"/>
                <w:numId w:val="156"/>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 xml:space="preserve">циклофосфамид </w:t>
            </w:r>
            <w:r w:rsidRPr="00BC516D">
              <w:rPr>
                <w:rFonts w:eastAsia="Arial Unicode MS"/>
                <w:color w:val="000000"/>
                <w:spacing w:val="4"/>
                <w:szCs w:val="24"/>
                <w:u w:color="000000"/>
                <w:shd w:val="clear" w:color="auto" w:fill="FFFFFF"/>
                <w:lang w:val="en-US"/>
              </w:rPr>
              <w:t>**</w:t>
            </w:r>
            <w:r w:rsidRPr="00BC516D">
              <w:rPr>
                <w:rFonts w:eastAsia="Arial Unicode MS"/>
                <w:color w:val="000000"/>
                <w:spacing w:val="4"/>
                <w:szCs w:val="24"/>
                <w:u w:color="000000"/>
                <w:shd w:val="clear" w:color="auto" w:fill="FFFFFF"/>
              </w:rPr>
              <w:t>≥ 1500 мг / м2</w:t>
            </w:r>
          </w:p>
          <w:p w14:paraId="77C8927D" w14:textId="77777777" w:rsidR="00EA288F" w:rsidRPr="00BC516D" w:rsidRDefault="00EA288F" w:rsidP="008F161A">
            <w:pPr>
              <w:numPr>
                <w:ilvl w:val="0"/>
                <w:numId w:val="156"/>
              </w:numPr>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цисплатин</w:t>
            </w:r>
            <w:r w:rsidRPr="00BC516D">
              <w:rPr>
                <w:rFonts w:eastAsia="Arial Unicode MS"/>
                <w:color w:val="000000"/>
                <w:spacing w:val="4"/>
                <w:szCs w:val="24"/>
                <w:u w:color="000000"/>
                <w:shd w:val="clear" w:color="auto" w:fill="FFFFFF"/>
                <w:lang w:val="en-US"/>
              </w:rPr>
              <w:t>**</w:t>
            </w:r>
          </w:p>
        </w:tc>
        <w:tc>
          <w:tcPr>
            <w:tcW w:w="2942" w:type="dxa"/>
            <w:tcBorders>
              <w:top w:val="single" w:sz="4" w:space="0" w:color="auto"/>
              <w:left w:val="single" w:sz="4" w:space="0" w:color="auto"/>
              <w:bottom w:val="single" w:sz="4" w:space="0" w:color="auto"/>
              <w:right w:val="single" w:sz="4" w:space="0" w:color="auto"/>
            </w:tcBorders>
            <w:hideMark/>
          </w:tcPr>
          <w:p w14:paraId="64A8B713" w14:textId="77777777" w:rsidR="00EA288F" w:rsidRPr="00BC516D" w:rsidRDefault="00EA288F" w:rsidP="008F161A">
            <w:pPr>
              <w:numPr>
                <w:ilvl w:val="0"/>
                <w:numId w:val="156"/>
              </w:numPr>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прокарбазин</w:t>
            </w:r>
            <w:r w:rsidRPr="00BC516D">
              <w:rPr>
                <w:rFonts w:eastAsia="Arial Unicode MS"/>
                <w:color w:val="000000"/>
                <w:spacing w:val="4"/>
                <w:szCs w:val="24"/>
                <w:u w:color="000000"/>
                <w:shd w:val="clear" w:color="auto" w:fill="FFFFFF"/>
                <w:lang w:val="en-US"/>
              </w:rPr>
              <w:t>**</w:t>
            </w:r>
          </w:p>
        </w:tc>
      </w:tr>
      <w:tr w:rsidR="00EA288F" w:rsidRPr="00BC516D" w14:paraId="0B0BB668" w14:textId="77777777" w:rsidTr="00EA288F">
        <w:tc>
          <w:tcPr>
            <w:tcW w:w="1799" w:type="dxa"/>
            <w:tcBorders>
              <w:top w:val="single" w:sz="4" w:space="0" w:color="auto"/>
              <w:left w:val="single" w:sz="4" w:space="0" w:color="auto"/>
              <w:bottom w:val="single" w:sz="4" w:space="0" w:color="auto"/>
              <w:right w:val="single" w:sz="4" w:space="0" w:color="auto"/>
            </w:tcBorders>
            <w:hideMark/>
          </w:tcPr>
          <w:p w14:paraId="68063F39" w14:textId="77777777" w:rsidR="00EA288F" w:rsidRPr="00BC516D" w:rsidRDefault="00EA288F" w:rsidP="00BC516D">
            <w:pPr>
              <w:tabs>
                <w:tab w:val="left" w:pos="0"/>
                <w:tab w:val="left" w:pos="394"/>
              </w:tabs>
              <w:spacing w:before="0" w:after="0"/>
              <w:rPr>
                <w:rFonts w:eastAsia="Arial Unicode MS"/>
                <w:color w:val="000000"/>
                <w:spacing w:val="4"/>
                <w:szCs w:val="24"/>
                <w:u w:color="000000"/>
                <w:shd w:val="clear" w:color="auto" w:fill="FFFFFF"/>
              </w:rPr>
            </w:pPr>
            <w:r w:rsidRPr="00BC516D">
              <w:rPr>
                <w:rFonts w:eastAsia="Arial Unicode MS"/>
                <w:color w:val="000000"/>
                <w:spacing w:val="4"/>
                <w:szCs w:val="24"/>
                <w:u w:color="000000"/>
              </w:rPr>
              <w:t>Умеренный (30–90 %)</w:t>
            </w:r>
          </w:p>
        </w:tc>
        <w:tc>
          <w:tcPr>
            <w:tcW w:w="4820" w:type="dxa"/>
            <w:tcBorders>
              <w:top w:val="single" w:sz="4" w:space="0" w:color="auto"/>
              <w:left w:val="single" w:sz="4" w:space="0" w:color="auto"/>
              <w:bottom w:val="single" w:sz="4" w:space="0" w:color="auto"/>
              <w:right w:val="single" w:sz="4" w:space="0" w:color="auto"/>
            </w:tcBorders>
            <w:hideMark/>
          </w:tcPr>
          <w:p w14:paraId="52B46238" w14:textId="77777777" w:rsidR="00EA288F" w:rsidRPr="00BC516D" w:rsidRDefault="00EA288F" w:rsidP="008F161A">
            <w:pPr>
              <w:numPr>
                <w:ilvl w:val="0"/>
                <w:numId w:val="157"/>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бендамустин</w:t>
            </w:r>
            <w:r w:rsidRPr="00BC516D">
              <w:rPr>
                <w:rFonts w:eastAsia="Arial Unicode MS"/>
                <w:color w:val="000000"/>
                <w:spacing w:val="4"/>
                <w:szCs w:val="24"/>
                <w:u w:color="000000"/>
                <w:shd w:val="clear" w:color="auto" w:fill="FFFFFF"/>
                <w:lang w:val="en-US"/>
              </w:rPr>
              <w:t>**</w:t>
            </w:r>
          </w:p>
          <w:p w14:paraId="6D28E97D" w14:textId="77777777" w:rsidR="00EA288F" w:rsidRPr="00BC516D" w:rsidRDefault="00EA288F" w:rsidP="008F161A">
            <w:pPr>
              <w:numPr>
                <w:ilvl w:val="0"/>
                <w:numId w:val="157"/>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бусульфан</w:t>
            </w:r>
            <w:r w:rsidRPr="00BC516D">
              <w:rPr>
                <w:rFonts w:eastAsia="Arial Unicode MS"/>
                <w:color w:val="000000"/>
                <w:spacing w:val="4"/>
                <w:szCs w:val="24"/>
                <w:u w:color="000000"/>
                <w:shd w:val="clear" w:color="auto" w:fill="FFFFFF"/>
                <w:lang w:val="en-US"/>
              </w:rPr>
              <w:t>**</w:t>
            </w:r>
          </w:p>
          <w:p w14:paraId="559256DF" w14:textId="77777777" w:rsidR="00EA288F" w:rsidRPr="00BC516D" w:rsidRDefault="00EA288F" w:rsidP="008F161A">
            <w:pPr>
              <w:numPr>
                <w:ilvl w:val="0"/>
                <w:numId w:val="157"/>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доксорубицин</w:t>
            </w:r>
            <w:r w:rsidRPr="00BC516D">
              <w:rPr>
                <w:rFonts w:eastAsia="Arial Unicode MS"/>
                <w:color w:val="000000"/>
                <w:spacing w:val="4"/>
                <w:szCs w:val="24"/>
                <w:u w:color="000000"/>
                <w:shd w:val="clear" w:color="auto" w:fill="FFFFFF"/>
                <w:lang w:val="en-US"/>
              </w:rPr>
              <w:t>**</w:t>
            </w:r>
          </w:p>
          <w:p w14:paraId="6A1B8998" w14:textId="77777777" w:rsidR="00EA288F" w:rsidRPr="00BC516D" w:rsidRDefault="00EA288F" w:rsidP="008F161A">
            <w:pPr>
              <w:numPr>
                <w:ilvl w:val="0"/>
                <w:numId w:val="157"/>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ифосфамид</w:t>
            </w:r>
            <w:r w:rsidRPr="00BC516D">
              <w:rPr>
                <w:rFonts w:eastAsia="Arial Unicode MS"/>
                <w:color w:val="000000"/>
                <w:spacing w:val="4"/>
                <w:szCs w:val="24"/>
                <w:u w:color="000000"/>
                <w:shd w:val="clear" w:color="auto" w:fill="FFFFFF"/>
                <w:lang w:val="en-US"/>
              </w:rPr>
              <w:t>**</w:t>
            </w:r>
          </w:p>
          <w:p w14:paraId="3D7A6B3A" w14:textId="77777777" w:rsidR="00EA288F" w:rsidRPr="00BC516D" w:rsidRDefault="00EA288F" w:rsidP="008F161A">
            <w:pPr>
              <w:numPr>
                <w:ilvl w:val="0"/>
                <w:numId w:val="157"/>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карбоплатин</w:t>
            </w:r>
            <w:r w:rsidRPr="00BC516D">
              <w:rPr>
                <w:rFonts w:eastAsia="Arial Unicode MS"/>
                <w:color w:val="000000"/>
                <w:spacing w:val="4"/>
                <w:szCs w:val="24"/>
                <w:u w:color="000000"/>
                <w:shd w:val="clear" w:color="auto" w:fill="FFFFFF"/>
                <w:lang w:val="en-US"/>
              </w:rPr>
              <w:t>**</w:t>
            </w:r>
          </w:p>
          <w:p w14:paraId="1C707633" w14:textId="77777777" w:rsidR="00EA288F" w:rsidRPr="00BC516D" w:rsidRDefault="00EA288F" w:rsidP="008F161A">
            <w:pPr>
              <w:numPr>
                <w:ilvl w:val="0"/>
                <w:numId w:val="157"/>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циклофосфамид** &lt;1500 мг / м2</w:t>
            </w:r>
          </w:p>
          <w:p w14:paraId="21734C1C" w14:textId="77777777" w:rsidR="00EA288F" w:rsidRPr="00BC516D" w:rsidRDefault="00EA288F" w:rsidP="008F161A">
            <w:pPr>
              <w:numPr>
                <w:ilvl w:val="0"/>
                <w:numId w:val="157"/>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 xml:space="preserve">цитарабин </w:t>
            </w:r>
            <w:r w:rsidRPr="00BC516D">
              <w:rPr>
                <w:rFonts w:eastAsia="Arial Unicode MS"/>
                <w:color w:val="000000"/>
                <w:spacing w:val="4"/>
                <w:szCs w:val="24"/>
                <w:u w:color="000000"/>
                <w:shd w:val="clear" w:color="auto" w:fill="FFFFFF"/>
                <w:lang w:val="en-US"/>
              </w:rPr>
              <w:t>**</w:t>
            </w:r>
            <w:r w:rsidRPr="00BC516D">
              <w:rPr>
                <w:rFonts w:eastAsia="Arial Unicode MS"/>
                <w:color w:val="000000"/>
                <w:spacing w:val="4"/>
                <w:szCs w:val="24"/>
                <w:u w:color="000000"/>
                <w:shd w:val="clear" w:color="auto" w:fill="FFFFFF"/>
              </w:rPr>
              <w:t>&gt;1000 мг / м2</w:t>
            </w:r>
          </w:p>
        </w:tc>
        <w:tc>
          <w:tcPr>
            <w:tcW w:w="2942" w:type="dxa"/>
            <w:tcBorders>
              <w:top w:val="single" w:sz="4" w:space="0" w:color="auto"/>
              <w:left w:val="single" w:sz="4" w:space="0" w:color="auto"/>
              <w:bottom w:val="single" w:sz="4" w:space="0" w:color="auto"/>
              <w:right w:val="single" w:sz="4" w:space="0" w:color="auto"/>
            </w:tcBorders>
            <w:hideMark/>
          </w:tcPr>
          <w:p w14:paraId="5F3B8FE2" w14:textId="77777777" w:rsidR="00EA288F" w:rsidRPr="00BC516D" w:rsidRDefault="00EA288F" w:rsidP="008F161A">
            <w:pPr>
              <w:numPr>
                <w:ilvl w:val="0"/>
                <w:numId w:val="157"/>
              </w:numPr>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Циклофосфамид</w:t>
            </w:r>
            <w:r w:rsidRPr="00BC516D">
              <w:rPr>
                <w:rFonts w:eastAsia="Arial Unicode MS"/>
                <w:color w:val="000000"/>
                <w:spacing w:val="4"/>
                <w:szCs w:val="24"/>
                <w:u w:color="000000"/>
                <w:shd w:val="clear" w:color="auto" w:fill="FFFFFF"/>
                <w:lang w:val="en-US"/>
              </w:rPr>
              <w:t>**</w:t>
            </w:r>
          </w:p>
        </w:tc>
      </w:tr>
      <w:tr w:rsidR="00EA288F" w:rsidRPr="00BC516D" w14:paraId="47DFB700" w14:textId="77777777" w:rsidTr="00EA288F">
        <w:tc>
          <w:tcPr>
            <w:tcW w:w="1799" w:type="dxa"/>
            <w:tcBorders>
              <w:top w:val="single" w:sz="4" w:space="0" w:color="auto"/>
              <w:left w:val="single" w:sz="4" w:space="0" w:color="auto"/>
              <w:bottom w:val="single" w:sz="4" w:space="0" w:color="auto"/>
              <w:right w:val="single" w:sz="4" w:space="0" w:color="auto"/>
            </w:tcBorders>
            <w:hideMark/>
          </w:tcPr>
          <w:p w14:paraId="5B617D6F" w14:textId="77777777" w:rsidR="00EA288F" w:rsidRPr="00BC516D" w:rsidRDefault="00EA288F" w:rsidP="00BC516D">
            <w:pPr>
              <w:tabs>
                <w:tab w:val="left" w:pos="0"/>
                <w:tab w:val="left" w:pos="394"/>
              </w:tabs>
              <w:spacing w:before="0" w:after="0"/>
              <w:rPr>
                <w:rFonts w:eastAsia="Arial Unicode MS"/>
                <w:color w:val="000000"/>
                <w:spacing w:val="4"/>
                <w:szCs w:val="24"/>
                <w:u w:color="000000"/>
              </w:rPr>
            </w:pPr>
            <w:r w:rsidRPr="00BC516D">
              <w:rPr>
                <w:rFonts w:eastAsia="Arial Unicode MS"/>
                <w:color w:val="000000"/>
                <w:spacing w:val="4"/>
                <w:szCs w:val="24"/>
                <w:u w:color="000000"/>
              </w:rPr>
              <w:t xml:space="preserve">Низкий </w:t>
            </w:r>
          </w:p>
          <w:p w14:paraId="4615FA5E" w14:textId="77777777" w:rsidR="00EA288F" w:rsidRPr="00BC516D" w:rsidRDefault="00EA288F" w:rsidP="00BC516D">
            <w:pPr>
              <w:tabs>
                <w:tab w:val="left" w:pos="0"/>
                <w:tab w:val="left" w:pos="394"/>
              </w:tabs>
              <w:spacing w:before="0" w:after="0"/>
              <w:rPr>
                <w:rFonts w:eastAsia="Arial Unicode MS"/>
                <w:color w:val="000000"/>
                <w:spacing w:val="4"/>
                <w:szCs w:val="24"/>
                <w:u w:color="000000"/>
                <w:shd w:val="clear" w:color="auto" w:fill="FFFFFF"/>
              </w:rPr>
            </w:pPr>
            <w:r w:rsidRPr="00BC516D">
              <w:rPr>
                <w:rFonts w:eastAsia="Arial Unicode MS"/>
                <w:color w:val="000000"/>
                <w:spacing w:val="4"/>
                <w:szCs w:val="24"/>
                <w:u w:color="000000"/>
              </w:rPr>
              <w:t>(10–30 %)</w:t>
            </w:r>
          </w:p>
        </w:tc>
        <w:tc>
          <w:tcPr>
            <w:tcW w:w="4820" w:type="dxa"/>
            <w:tcBorders>
              <w:top w:val="single" w:sz="4" w:space="0" w:color="auto"/>
              <w:left w:val="single" w:sz="4" w:space="0" w:color="auto"/>
              <w:bottom w:val="single" w:sz="4" w:space="0" w:color="auto"/>
              <w:right w:val="single" w:sz="4" w:space="0" w:color="auto"/>
            </w:tcBorders>
          </w:tcPr>
          <w:p w14:paraId="5432C954" w14:textId="77777777" w:rsidR="00EA288F" w:rsidRPr="00BC516D" w:rsidRDefault="00EA288F" w:rsidP="008F161A">
            <w:pPr>
              <w:numPr>
                <w:ilvl w:val="0"/>
                <w:numId w:val="158"/>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Бортезомиб</w:t>
            </w:r>
            <w:r w:rsidRPr="00BC516D">
              <w:rPr>
                <w:rFonts w:eastAsia="Arial Unicode MS"/>
                <w:color w:val="000000"/>
                <w:spacing w:val="4"/>
                <w:szCs w:val="24"/>
                <w:u w:color="000000"/>
                <w:shd w:val="clear" w:color="auto" w:fill="FFFFFF"/>
                <w:lang w:val="en-US"/>
              </w:rPr>
              <w:t>**</w:t>
            </w:r>
          </w:p>
          <w:p w14:paraId="3B628BE9" w14:textId="77777777" w:rsidR="00EA288F" w:rsidRPr="00BC516D" w:rsidRDefault="00EA288F" w:rsidP="008F161A">
            <w:pPr>
              <w:numPr>
                <w:ilvl w:val="0"/>
                <w:numId w:val="158"/>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доксорубицин пегилированный липосомальный</w:t>
            </w:r>
            <w:r w:rsidRPr="00BC516D">
              <w:rPr>
                <w:rFonts w:eastAsia="Arial Unicode MS"/>
                <w:color w:val="000000"/>
                <w:spacing w:val="4"/>
                <w:szCs w:val="24"/>
                <w:u w:color="000000"/>
                <w:shd w:val="clear" w:color="auto" w:fill="FFFFFF"/>
                <w:lang w:val="en-US"/>
              </w:rPr>
              <w:t>**</w:t>
            </w:r>
          </w:p>
          <w:p w14:paraId="4E9E2ECE" w14:textId="77777777" w:rsidR="00EA288F" w:rsidRPr="00BC516D" w:rsidRDefault="00EA288F" w:rsidP="008F161A">
            <w:pPr>
              <w:numPr>
                <w:ilvl w:val="0"/>
                <w:numId w:val="158"/>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карфилзомиб</w:t>
            </w:r>
            <w:r w:rsidRPr="00BC516D">
              <w:rPr>
                <w:rFonts w:eastAsia="Arial Unicode MS"/>
                <w:color w:val="000000"/>
                <w:spacing w:val="4"/>
                <w:szCs w:val="24"/>
                <w:u w:color="000000"/>
                <w:shd w:val="clear" w:color="auto" w:fill="FFFFFF"/>
                <w:lang w:val="en-US"/>
              </w:rPr>
              <w:t>**</w:t>
            </w:r>
          </w:p>
          <w:p w14:paraId="2576616A" w14:textId="77777777" w:rsidR="00EA288F" w:rsidRPr="00BC516D" w:rsidRDefault="00EA288F" w:rsidP="008F161A">
            <w:pPr>
              <w:numPr>
                <w:ilvl w:val="0"/>
                <w:numId w:val="158"/>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метотрексат</w:t>
            </w:r>
            <w:r w:rsidRPr="00BC516D">
              <w:rPr>
                <w:rFonts w:eastAsia="Arial Unicode MS"/>
                <w:color w:val="000000"/>
                <w:spacing w:val="4"/>
                <w:szCs w:val="24"/>
                <w:u w:color="000000"/>
                <w:shd w:val="clear" w:color="auto" w:fill="FFFFFF"/>
                <w:lang w:val="en-US"/>
              </w:rPr>
              <w:t>**</w:t>
            </w:r>
          </w:p>
          <w:p w14:paraId="4983EB69" w14:textId="77777777" w:rsidR="00EA288F" w:rsidRPr="00BC516D" w:rsidRDefault="00EA288F" w:rsidP="008F161A">
            <w:pPr>
              <w:numPr>
                <w:ilvl w:val="0"/>
                <w:numId w:val="158"/>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 xml:space="preserve">цитарабин </w:t>
            </w:r>
            <w:r w:rsidRPr="00BC516D">
              <w:rPr>
                <w:rFonts w:eastAsia="Arial Unicode MS"/>
                <w:color w:val="000000"/>
                <w:spacing w:val="4"/>
                <w:szCs w:val="24"/>
                <w:u w:color="000000"/>
                <w:shd w:val="clear" w:color="auto" w:fill="FFFFFF"/>
                <w:lang w:val="en-US"/>
              </w:rPr>
              <w:t>**</w:t>
            </w:r>
            <w:r w:rsidRPr="00BC516D">
              <w:rPr>
                <w:rFonts w:eastAsia="Arial Unicode MS"/>
                <w:color w:val="000000"/>
                <w:spacing w:val="4"/>
                <w:szCs w:val="24"/>
                <w:u w:color="000000"/>
                <w:shd w:val="clear" w:color="auto" w:fill="FFFFFF"/>
              </w:rPr>
              <w:t>≤ 1000 мг / м2</w:t>
            </w:r>
          </w:p>
          <w:p w14:paraId="64EAF50E" w14:textId="77777777" w:rsidR="00EA288F" w:rsidRPr="00BC516D" w:rsidRDefault="00EA288F" w:rsidP="008F161A">
            <w:pPr>
              <w:numPr>
                <w:ilvl w:val="0"/>
                <w:numId w:val="158"/>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элотузумаб</w:t>
            </w:r>
            <w:r w:rsidRPr="00BC516D">
              <w:rPr>
                <w:rFonts w:eastAsia="Arial Unicode MS"/>
                <w:color w:val="000000"/>
                <w:spacing w:val="4"/>
                <w:szCs w:val="24"/>
                <w:u w:color="000000"/>
                <w:shd w:val="clear" w:color="auto" w:fill="FFFFFF"/>
                <w:lang w:val="en-US"/>
              </w:rPr>
              <w:t>**</w:t>
            </w:r>
          </w:p>
          <w:p w14:paraId="24C81917" w14:textId="77777777" w:rsidR="00EA288F" w:rsidRPr="00BC516D" w:rsidRDefault="00EA288F" w:rsidP="008F161A">
            <w:pPr>
              <w:numPr>
                <w:ilvl w:val="0"/>
                <w:numId w:val="158"/>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этопозид</w:t>
            </w:r>
            <w:r w:rsidRPr="00BC516D">
              <w:rPr>
                <w:rFonts w:eastAsia="Arial Unicode MS"/>
                <w:color w:val="000000"/>
                <w:spacing w:val="4"/>
                <w:szCs w:val="24"/>
                <w:u w:color="000000"/>
                <w:shd w:val="clear" w:color="auto" w:fill="FFFFFF"/>
                <w:lang w:val="en-US"/>
              </w:rPr>
              <w:t>**</w:t>
            </w:r>
          </w:p>
          <w:p w14:paraId="2B775CA0" w14:textId="77777777" w:rsidR="00EA288F" w:rsidRPr="00BC516D" w:rsidRDefault="00EA288F" w:rsidP="00BC516D">
            <w:pPr>
              <w:tabs>
                <w:tab w:val="left" w:pos="0"/>
                <w:tab w:val="left" w:pos="394"/>
              </w:tabs>
              <w:spacing w:before="0" w:after="0"/>
              <w:rPr>
                <w:rFonts w:eastAsia="Arial Unicode MS"/>
                <w:color w:val="000000"/>
                <w:spacing w:val="4"/>
                <w:szCs w:val="24"/>
                <w:u w:color="000000"/>
                <w:shd w:val="clear" w:color="auto" w:fill="FFFFFF"/>
              </w:rPr>
            </w:pPr>
          </w:p>
        </w:tc>
        <w:tc>
          <w:tcPr>
            <w:tcW w:w="2942" w:type="dxa"/>
            <w:tcBorders>
              <w:top w:val="single" w:sz="4" w:space="0" w:color="auto"/>
              <w:left w:val="single" w:sz="4" w:space="0" w:color="auto"/>
              <w:bottom w:val="single" w:sz="4" w:space="0" w:color="auto"/>
              <w:right w:val="single" w:sz="4" w:space="0" w:color="auto"/>
            </w:tcBorders>
            <w:hideMark/>
          </w:tcPr>
          <w:p w14:paraId="1D2934BA" w14:textId="77777777" w:rsidR="00EA288F" w:rsidRPr="00BC516D" w:rsidRDefault="00EA288F" w:rsidP="008F161A">
            <w:pPr>
              <w:numPr>
                <w:ilvl w:val="0"/>
                <w:numId w:val="158"/>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иксазомиб**</w:t>
            </w:r>
          </w:p>
          <w:p w14:paraId="50D88BCD" w14:textId="77777777" w:rsidR="00EA288F" w:rsidRPr="00BC516D" w:rsidRDefault="00EA288F" w:rsidP="008F161A">
            <w:pPr>
              <w:numPr>
                <w:ilvl w:val="0"/>
                <w:numId w:val="158"/>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леналидомид</w:t>
            </w:r>
            <w:r w:rsidRPr="00BC516D">
              <w:rPr>
                <w:rFonts w:eastAsia="Arial Unicode MS"/>
                <w:color w:val="000000"/>
                <w:spacing w:val="4"/>
                <w:szCs w:val="24"/>
                <w:u w:color="000000"/>
                <w:shd w:val="clear" w:color="auto" w:fill="FFFFFF"/>
                <w:lang w:val="en-US"/>
              </w:rPr>
              <w:t>**</w:t>
            </w:r>
          </w:p>
          <w:p w14:paraId="1E781536" w14:textId="77777777" w:rsidR="00EA288F" w:rsidRPr="00BC516D" w:rsidRDefault="00EA288F" w:rsidP="008F161A">
            <w:pPr>
              <w:numPr>
                <w:ilvl w:val="0"/>
                <w:numId w:val="158"/>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флударабин</w:t>
            </w:r>
            <w:r w:rsidRPr="00BC516D">
              <w:rPr>
                <w:rFonts w:eastAsia="Arial Unicode MS"/>
                <w:color w:val="000000"/>
                <w:spacing w:val="4"/>
                <w:szCs w:val="24"/>
                <w:u w:color="000000"/>
                <w:shd w:val="clear" w:color="auto" w:fill="FFFFFF"/>
                <w:lang w:val="en-US"/>
              </w:rPr>
              <w:t>**</w:t>
            </w:r>
          </w:p>
          <w:p w14:paraId="7FD27501" w14:textId="77777777" w:rsidR="00EA288F" w:rsidRPr="00BC516D" w:rsidRDefault="00EA288F" w:rsidP="008F161A">
            <w:pPr>
              <w:numPr>
                <w:ilvl w:val="0"/>
                <w:numId w:val="158"/>
              </w:numPr>
              <w:tabs>
                <w:tab w:val="left" w:pos="0"/>
                <w:tab w:val="left" w:pos="394"/>
              </w:tabs>
              <w:spacing w:before="0" w:after="0"/>
              <w:ind w:left="0" w:firstLine="0"/>
              <w:rPr>
                <w:rFonts w:eastAsia="Arial Unicode MS"/>
                <w:color w:val="000000"/>
                <w:spacing w:val="4"/>
                <w:szCs w:val="24"/>
                <w:u w:color="000000"/>
                <w:shd w:val="clear" w:color="auto" w:fill="FFFFFF"/>
              </w:rPr>
            </w:pPr>
            <w:r w:rsidRPr="00BC516D">
              <w:rPr>
                <w:rFonts w:eastAsia="Arial Unicode MS"/>
                <w:color w:val="000000"/>
                <w:spacing w:val="4"/>
                <w:szCs w:val="24"/>
                <w:u w:color="000000"/>
                <w:shd w:val="clear" w:color="auto" w:fill="FFFFFF"/>
              </w:rPr>
              <w:t>этопозид</w:t>
            </w:r>
            <w:r w:rsidRPr="00BC516D">
              <w:rPr>
                <w:rFonts w:eastAsia="Arial Unicode MS"/>
                <w:color w:val="000000"/>
                <w:spacing w:val="4"/>
                <w:szCs w:val="24"/>
                <w:u w:color="000000"/>
                <w:shd w:val="clear" w:color="auto" w:fill="FFFFFF"/>
                <w:lang w:val="en-US"/>
              </w:rPr>
              <w:t>**</w:t>
            </w:r>
          </w:p>
        </w:tc>
      </w:tr>
      <w:tr w:rsidR="00EA288F" w:rsidRPr="00BC516D" w14:paraId="0582A75C" w14:textId="77777777" w:rsidTr="00EA288F">
        <w:tc>
          <w:tcPr>
            <w:tcW w:w="1799" w:type="dxa"/>
            <w:tcBorders>
              <w:top w:val="single" w:sz="4" w:space="0" w:color="auto"/>
              <w:left w:val="single" w:sz="4" w:space="0" w:color="auto"/>
              <w:bottom w:val="single" w:sz="4" w:space="0" w:color="auto"/>
              <w:right w:val="single" w:sz="4" w:space="0" w:color="auto"/>
            </w:tcBorders>
            <w:hideMark/>
          </w:tcPr>
          <w:p w14:paraId="6C7C5CC7" w14:textId="77777777" w:rsidR="00EA288F" w:rsidRPr="00CD6C97" w:rsidRDefault="00EA288F" w:rsidP="00BC516D">
            <w:pPr>
              <w:tabs>
                <w:tab w:val="left" w:pos="0"/>
                <w:tab w:val="left" w:pos="394"/>
              </w:tabs>
              <w:spacing w:before="0" w:after="0"/>
              <w:rPr>
                <w:rFonts w:eastAsia="Arial Unicode MS"/>
                <w:color w:val="000000"/>
                <w:spacing w:val="4"/>
                <w:szCs w:val="24"/>
                <w:u w:color="000000"/>
                <w:shd w:val="clear" w:color="auto" w:fill="FFFFFF"/>
              </w:rPr>
            </w:pPr>
            <w:r w:rsidRPr="00CD6C97">
              <w:rPr>
                <w:rFonts w:eastAsia="Arial Unicode MS"/>
                <w:color w:val="000000"/>
                <w:spacing w:val="4"/>
                <w:szCs w:val="24"/>
                <w:u w:color="000000"/>
              </w:rPr>
              <w:lastRenderedPageBreak/>
              <w:t>Минимальный (&lt;10 %)</w:t>
            </w:r>
          </w:p>
        </w:tc>
        <w:tc>
          <w:tcPr>
            <w:tcW w:w="4820" w:type="dxa"/>
            <w:tcBorders>
              <w:top w:val="single" w:sz="4" w:space="0" w:color="auto"/>
              <w:left w:val="single" w:sz="4" w:space="0" w:color="auto"/>
              <w:bottom w:val="single" w:sz="4" w:space="0" w:color="auto"/>
              <w:right w:val="single" w:sz="4" w:space="0" w:color="auto"/>
            </w:tcBorders>
          </w:tcPr>
          <w:p w14:paraId="7A004011" w14:textId="77777777" w:rsidR="00EA288F" w:rsidRPr="00CD6C97" w:rsidRDefault="00EA288F" w:rsidP="008F161A">
            <w:pPr>
              <w:numPr>
                <w:ilvl w:val="0"/>
                <w:numId w:val="159"/>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CD6C97">
              <w:rPr>
                <w:rFonts w:eastAsia="Arial Unicode MS"/>
                <w:color w:val="000000"/>
                <w:spacing w:val="4"/>
                <w:szCs w:val="24"/>
                <w:u w:color="000000"/>
                <w:shd w:val="clear" w:color="auto" w:fill="FFFFFF"/>
              </w:rPr>
              <w:t>даратумумаб</w:t>
            </w:r>
            <w:r w:rsidRPr="00CD6C97">
              <w:rPr>
                <w:rFonts w:eastAsia="Arial Unicode MS"/>
                <w:color w:val="000000"/>
                <w:spacing w:val="4"/>
                <w:szCs w:val="24"/>
                <w:u w:color="000000"/>
                <w:shd w:val="clear" w:color="auto" w:fill="FFFFFF"/>
                <w:lang w:val="en-US"/>
              </w:rPr>
              <w:t>**</w:t>
            </w:r>
          </w:p>
          <w:p w14:paraId="76A6BD17" w14:textId="77777777" w:rsidR="00EA288F" w:rsidRPr="00CD6C97" w:rsidRDefault="00EA288F" w:rsidP="00BC516D">
            <w:pPr>
              <w:tabs>
                <w:tab w:val="left" w:pos="0"/>
                <w:tab w:val="left" w:pos="394"/>
              </w:tabs>
              <w:spacing w:before="0" w:after="0"/>
              <w:rPr>
                <w:rFonts w:eastAsia="Arial Unicode MS"/>
                <w:color w:val="000000"/>
                <w:spacing w:val="4"/>
                <w:szCs w:val="24"/>
                <w:u w:color="000000"/>
                <w:shd w:val="clear" w:color="auto" w:fill="FFFFFF"/>
              </w:rPr>
            </w:pPr>
          </w:p>
        </w:tc>
        <w:tc>
          <w:tcPr>
            <w:tcW w:w="2942" w:type="dxa"/>
            <w:tcBorders>
              <w:top w:val="single" w:sz="4" w:space="0" w:color="auto"/>
              <w:left w:val="single" w:sz="4" w:space="0" w:color="auto"/>
              <w:bottom w:val="single" w:sz="4" w:space="0" w:color="auto"/>
              <w:right w:val="single" w:sz="4" w:space="0" w:color="auto"/>
            </w:tcBorders>
            <w:hideMark/>
          </w:tcPr>
          <w:p w14:paraId="75B1115D" w14:textId="77777777" w:rsidR="00EA288F" w:rsidRPr="00CD6C97" w:rsidRDefault="00EA288F" w:rsidP="008F161A">
            <w:pPr>
              <w:numPr>
                <w:ilvl w:val="0"/>
                <w:numId w:val="159"/>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CD6C97">
              <w:rPr>
                <w:rFonts w:eastAsia="Arial Unicode MS"/>
                <w:color w:val="000000"/>
                <w:spacing w:val="4"/>
                <w:szCs w:val="24"/>
                <w:u w:color="000000"/>
                <w:shd w:val="clear" w:color="auto" w:fill="FFFFFF"/>
              </w:rPr>
              <w:t>бусульфан</w:t>
            </w:r>
            <w:r w:rsidRPr="00CD6C97">
              <w:rPr>
                <w:rFonts w:eastAsia="Arial Unicode MS"/>
                <w:color w:val="000000"/>
                <w:spacing w:val="4"/>
                <w:szCs w:val="24"/>
                <w:u w:color="000000"/>
                <w:shd w:val="clear" w:color="auto" w:fill="FFFFFF"/>
                <w:lang w:val="en-US"/>
              </w:rPr>
              <w:t>**</w:t>
            </w:r>
          </w:p>
          <w:p w14:paraId="24F42049" w14:textId="77777777" w:rsidR="00EA288F" w:rsidRPr="00CD6C97" w:rsidRDefault="00EA288F" w:rsidP="008F161A">
            <w:pPr>
              <w:numPr>
                <w:ilvl w:val="0"/>
                <w:numId w:val="159"/>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CD6C97">
              <w:rPr>
                <w:rFonts w:eastAsia="Arial Unicode MS"/>
                <w:color w:val="000000"/>
                <w:spacing w:val="4"/>
                <w:szCs w:val="24"/>
                <w:u w:color="000000"/>
                <w:shd w:val="clear" w:color="auto" w:fill="FFFFFF"/>
              </w:rPr>
              <w:t>мелфалан</w:t>
            </w:r>
            <w:r w:rsidRPr="00CD6C97">
              <w:rPr>
                <w:rFonts w:eastAsia="Arial Unicode MS"/>
                <w:color w:val="000000"/>
                <w:spacing w:val="4"/>
                <w:szCs w:val="24"/>
                <w:u w:color="000000"/>
                <w:shd w:val="clear" w:color="auto" w:fill="FFFFFF"/>
                <w:lang w:val="en-US"/>
              </w:rPr>
              <w:t>**</w:t>
            </w:r>
          </w:p>
          <w:p w14:paraId="448761F7" w14:textId="77777777" w:rsidR="00EA288F" w:rsidRPr="00CD6C97" w:rsidRDefault="00EA288F" w:rsidP="008F161A">
            <w:pPr>
              <w:numPr>
                <w:ilvl w:val="0"/>
                <w:numId w:val="159"/>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CD6C97">
              <w:rPr>
                <w:rFonts w:eastAsia="Arial Unicode MS"/>
                <w:color w:val="000000"/>
                <w:spacing w:val="4"/>
                <w:szCs w:val="24"/>
                <w:u w:color="000000"/>
                <w:shd w:val="clear" w:color="auto" w:fill="FFFFFF"/>
              </w:rPr>
              <w:t>метотрексат</w:t>
            </w:r>
            <w:r w:rsidRPr="00CD6C97">
              <w:rPr>
                <w:rFonts w:eastAsia="Arial Unicode MS"/>
                <w:color w:val="000000"/>
                <w:spacing w:val="4"/>
                <w:szCs w:val="24"/>
                <w:u w:color="000000"/>
                <w:shd w:val="clear" w:color="auto" w:fill="FFFFFF"/>
                <w:lang w:val="en-US"/>
              </w:rPr>
              <w:t>**</w:t>
            </w:r>
          </w:p>
          <w:p w14:paraId="18C62B95" w14:textId="77777777" w:rsidR="00EA288F" w:rsidRPr="00CD6C97" w:rsidRDefault="00EA288F" w:rsidP="008F161A">
            <w:pPr>
              <w:numPr>
                <w:ilvl w:val="0"/>
                <w:numId w:val="159"/>
              </w:numPr>
              <w:shd w:val="clear" w:color="auto" w:fill="FFFFFF"/>
              <w:tabs>
                <w:tab w:val="left" w:pos="0"/>
                <w:tab w:val="left" w:pos="394"/>
              </w:tabs>
              <w:spacing w:before="0" w:after="0"/>
              <w:ind w:left="0" w:firstLine="0"/>
              <w:rPr>
                <w:rFonts w:eastAsia="Arial Unicode MS"/>
                <w:color w:val="000000"/>
                <w:spacing w:val="4"/>
                <w:szCs w:val="24"/>
                <w:u w:color="000000"/>
                <w:shd w:val="clear" w:color="auto" w:fill="FFFFFF"/>
              </w:rPr>
            </w:pPr>
            <w:r w:rsidRPr="00CD6C97">
              <w:rPr>
                <w:rFonts w:eastAsia="Arial Unicode MS"/>
                <w:color w:val="000000"/>
                <w:spacing w:val="4"/>
                <w:szCs w:val="24"/>
                <w:u w:color="000000"/>
                <w:shd w:val="clear" w:color="auto" w:fill="FFFFFF"/>
              </w:rPr>
              <w:t>помалидомид</w:t>
            </w:r>
            <w:r w:rsidRPr="00CD6C97">
              <w:rPr>
                <w:rFonts w:eastAsia="Arial Unicode MS"/>
                <w:color w:val="000000"/>
                <w:spacing w:val="4"/>
                <w:szCs w:val="24"/>
                <w:u w:color="000000"/>
                <w:shd w:val="clear" w:color="auto" w:fill="FFFFFF"/>
                <w:lang w:val="en-US"/>
              </w:rPr>
              <w:t>**</w:t>
            </w:r>
          </w:p>
        </w:tc>
      </w:tr>
    </w:tbl>
    <w:p w14:paraId="67777A7A" w14:textId="77777777" w:rsidR="009808A2" w:rsidRPr="00195680" w:rsidRDefault="009808A2" w:rsidP="002431B5">
      <w:pPr>
        <w:pStyle w:val="a6"/>
        <w:tabs>
          <w:tab w:val="left" w:pos="0"/>
        </w:tabs>
        <w:ind w:left="0"/>
        <w:rPr>
          <w:b/>
          <w:szCs w:val="24"/>
          <w:highlight w:val="yellow"/>
        </w:rPr>
      </w:pPr>
    </w:p>
    <w:p w14:paraId="3C4B09E8" w14:textId="77777777" w:rsidR="00B37E1F" w:rsidRDefault="00B37E1F" w:rsidP="002431B5">
      <w:pPr>
        <w:spacing w:before="0" w:after="0" w:line="240" w:lineRule="auto"/>
        <w:jc w:val="left"/>
        <w:rPr>
          <w:szCs w:val="24"/>
        </w:rPr>
      </w:pPr>
      <w:r>
        <w:rPr>
          <w:szCs w:val="24"/>
        </w:rPr>
        <w:br w:type="page"/>
      </w:r>
    </w:p>
    <w:p w14:paraId="3A626628" w14:textId="03EA4590" w:rsidR="00B37E1F" w:rsidRPr="00497EAA" w:rsidRDefault="00956A9E" w:rsidP="002431B5">
      <w:pPr>
        <w:pStyle w:val="2"/>
        <w:rPr>
          <w:rStyle w:val="ac"/>
          <w:b/>
        </w:rPr>
      </w:pPr>
      <w:bookmarkStart w:id="100" w:name="_Toc97734652"/>
      <w:r w:rsidRPr="00497EAA">
        <w:rPr>
          <w:rStyle w:val="ac"/>
          <w:b/>
        </w:rPr>
        <w:lastRenderedPageBreak/>
        <w:t>Приложение А3</w:t>
      </w:r>
      <w:r w:rsidR="00B37E1F" w:rsidRPr="00497EAA">
        <w:rPr>
          <w:rStyle w:val="ac"/>
          <w:b/>
        </w:rPr>
        <w:t>.</w:t>
      </w:r>
      <w:r w:rsidRPr="00497EAA">
        <w:rPr>
          <w:rStyle w:val="ac"/>
          <w:b/>
        </w:rPr>
        <w:t>7</w:t>
      </w:r>
      <w:r w:rsidR="00805C9F">
        <w:rPr>
          <w:rStyle w:val="ac"/>
          <w:b/>
        </w:rPr>
        <w:t>.</w:t>
      </w:r>
      <w:r w:rsidR="00B37E1F" w:rsidRPr="00497EAA">
        <w:rPr>
          <w:rStyle w:val="ac"/>
          <w:b/>
        </w:rPr>
        <w:t xml:space="preserve"> Профилактика язвенной болезни желудка и 12-перстной кишки на фоне терапии глюкокортикостероидами</w:t>
      </w:r>
      <w:bookmarkEnd w:id="100"/>
    </w:p>
    <w:p w14:paraId="6F608F0A" w14:textId="77777777" w:rsidR="00B37E1F" w:rsidRDefault="00B37E1F" w:rsidP="008A2329">
      <w:pPr>
        <w:tabs>
          <w:tab w:val="left" w:pos="993"/>
        </w:tabs>
        <w:spacing w:before="0" w:after="0"/>
        <w:ind w:firstLine="567"/>
      </w:pPr>
      <w:r>
        <w:t>1.</w:t>
      </w:r>
      <w:r>
        <w:tab/>
      </w:r>
      <w:r w:rsidRPr="008372B8">
        <w:rPr>
          <w:b/>
        </w:rPr>
        <w:t>Общие сведения</w:t>
      </w:r>
      <w:r>
        <w:t xml:space="preserve"> </w:t>
      </w:r>
    </w:p>
    <w:p w14:paraId="665C6D83" w14:textId="1C7FD24D" w:rsidR="00B37E1F" w:rsidRDefault="00B37E1F" w:rsidP="008A2329">
      <w:pPr>
        <w:tabs>
          <w:tab w:val="left" w:pos="993"/>
        </w:tabs>
        <w:spacing w:before="0" w:after="0"/>
        <w:ind w:firstLine="567"/>
      </w:pPr>
      <w:r>
        <w:t>В большинство протоколов противоопухолевого лечения множественной миеломы включены высокие дозы глюкокортикостероидов (ГКС). Язва желудка или двенадцатиперстной кишки является одним из серьёзных побочных эффектов терапии ГКС. Механизм ульцерогенного действия ГКС заключается в повышении секреции соляной кислоты в желудке, изменении качественного состава слизи, торможении регенерации поверхностного эпителия. При сочетанном применении ГКС с нестероидными противовоспалительными средствами и антикоагулянтами риск развития стероидных язв возрастает. В связи с ульцерогенностью, при использовании ГКС необходимо проводить антисекреторную терапию с целью профилактики стероидных язв</w:t>
      </w:r>
      <w:r w:rsidR="0058100B">
        <w:rPr>
          <w:rStyle w:val="ac"/>
          <w:b w:val="0"/>
        </w:rPr>
        <w:fldChar w:fldCharType="begin" w:fldLock="1"/>
      </w:r>
      <w:r w:rsidR="00E430FD">
        <w:rPr>
          <w:rStyle w:val="ac"/>
          <w:b w:val="0"/>
        </w:rPr>
        <w:instrText>ADDIN CSL_CITATION {"citationItems":[{"id":"ITEM-1","itemData":{"DOI":"10.1016/0016-5085(90)91015-X","ISSN":"00165085","PMID":"2142113","abstract":"The optimal degree and duration of suppression of gastric acidity required for the healing of peptic ulcers has never been established. Although very potent inhibitors of acid secretion are now available, the need for this degree of suppression has not been shown, and there is a possibility of adverse effects because of pronounced acid inhibition. Therefore, a model has been constructed that defines the relationship between duodenal ulcer healing and antisecretory therapy. Acid suppression data were obtained directly from investigators as raw data from 24-hour studies of acid secretion. Twenty-one experiments from seven investigators provided 490 24-hour studies using 19 different treatment regimens. Healing data were collected from a metaanalysis of published clinical trials of duodenal ulcer healing. A total of 144 published trials in 14,208 patients provided healing data at several endoscopic endpoints for the 19 drug regimens for which acidity data were provided. Weighted least-squares polynomial regression analysis was used to define those parameters of antisecretory therapy that contributed most to duodenal ulcer healing and to define the shape of the response surface. A highly significant correlation (r = 0.9814) was found between healing and the degree of acid suppression, the duration of acid suppression, and the length of therapy. The shape of the contour expressing this relationship shows that healing increases as the duration of suppression increases and as gastric pH increases. However, suppression that increased pH beyond 3.0 was not found to increase ulcer healing further. It is concluded that a longer duration of antisecretory effect and/or a longer duration of therapy are of greater importance than potency for duodenal ulcer healing. © 1990.","author":[{"dropping-particle":"","family":"Burget","given":"Douglas W.","non-dropping-particle":"","parse-names":false,"suffix":""},{"dropping-particle":"","family":"Chiverton","given":"Stephen G.","non-dropping-particle":"","parse-names":false,"suffix":""},{"dropping-particle":"","family":"Hunt","given":"Richard H.","non-dropping-particle":"","parse-names":false,"suffix":""}],"container-title":"Gastroenterology","id":"ITEM-1","issue":"2","issued":{"date-parts":[["1990","8"]]},"page":"345-351","publisher":"Gastroenterology","title":"Is there an optimal degree of acid suppression for healing of duodenal ulcers? A model of the relationship between ulcer healing and acid suppression","type":"article-journal","volume":"99"},"uris":["http://www.mendeley.com/documents/?uuid=55c5fe56-6faa-4e55-bfe2-e8e5c51854a2"]},{"id":"ITEM-2","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колопроктологии.","id":"ITEM-2","issue":"1","issued":{"date-parts":[["2020"]]},"page":"49-70","title":"Диагностика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mendeley":{"formattedCitation":"[165,166]","plainTextFormattedCitation":"[165,166]","previouslyFormattedCitation":"[165,166]"},"properties":{"noteIndex":0},"schema":"https://github.com/citation-style-language/schema/raw/master/csl-citation.json"}</w:instrText>
      </w:r>
      <w:r w:rsidR="0058100B">
        <w:rPr>
          <w:rStyle w:val="ac"/>
          <w:b w:val="0"/>
        </w:rPr>
        <w:fldChar w:fldCharType="separate"/>
      </w:r>
      <w:r w:rsidR="00E430FD" w:rsidRPr="00E430FD">
        <w:rPr>
          <w:rStyle w:val="ac"/>
          <w:b w:val="0"/>
          <w:noProof/>
        </w:rPr>
        <w:t>[165,166]</w:t>
      </w:r>
      <w:r w:rsidR="0058100B">
        <w:rPr>
          <w:rStyle w:val="ac"/>
          <w:b w:val="0"/>
        </w:rPr>
        <w:fldChar w:fldCharType="end"/>
      </w:r>
      <w:r w:rsidRPr="00F13491">
        <w:rPr>
          <w:b/>
        </w:rPr>
        <w:t xml:space="preserve">. </w:t>
      </w:r>
    </w:p>
    <w:p w14:paraId="02E2369A" w14:textId="77777777" w:rsidR="00B37E1F" w:rsidRDefault="00B37E1F" w:rsidP="008A2329">
      <w:pPr>
        <w:tabs>
          <w:tab w:val="left" w:pos="993"/>
        </w:tabs>
        <w:spacing w:before="0" w:after="0"/>
        <w:ind w:firstLine="567"/>
      </w:pPr>
      <w:r>
        <w:t>2.</w:t>
      </w:r>
      <w:r>
        <w:tab/>
      </w:r>
      <w:r w:rsidRPr="008372B8">
        <w:rPr>
          <w:b/>
        </w:rPr>
        <w:t xml:space="preserve">Диагностика язвенной болезни желудка и 12-перстной кишки </w:t>
      </w:r>
    </w:p>
    <w:p w14:paraId="3B5556A9" w14:textId="31506E70" w:rsidR="00B37E1F" w:rsidRDefault="00B37E1F" w:rsidP="008A2329">
      <w:pPr>
        <w:tabs>
          <w:tab w:val="left" w:pos="993"/>
        </w:tabs>
        <w:spacing w:before="0" w:after="0"/>
        <w:ind w:firstLine="567"/>
      </w:pPr>
      <w:r>
        <w:t>Формирование язв ЖКТ может проявляться диспепсическими явлениями и абдоминальными болями, но нередко протекает и бессимптомно, манифестируя кровотечением или перфорацией. Для диагностики язвенного поражения ЖКТ применяются эндоскопические методы исследования: эзофагодуоденоскопия, при необходимости с биопсийным исследованием и тестом на наличие H. Pylori</w:t>
      </w:r>
      <w:r w:rsidR="00F13491">
        <w:t xml:space="preserve"> </w:t>
      </w:r>
      <w:r w:rsidR="00F13491" w:rsidRPr="00F13491">
        <w:rPr>
          <w:rStyle w:val="ac"/>
          <w:b w:val="0"/>
        </w:rPr>
        <w:fldChar w:fldCharType="begin" w:fldLock="1"/>
      </w:r>
      <w:r w:rsidR="00E430FD">
        <w:rPr>
          <w:rStyle w:val="ac"/>
          <w:b w:val="0"/>
        </w:rPr>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mendeley":{"formattedCitation":"[166]","plainTextFormattedCitation":"[166]","previouslyFormattedCitation":"[166]"},"properties":{"noteIndex":0},"schema":"https://github.com/citation-style-language/schema/raw/master/csl-citation.json"}</w:instrText>
      </w:r>
      <w:r w:rsidR="00F13491" w:rsidRPr="00F13491">
        <w:rPr>
          <w:rStyle w:val="ac"/>
          <w:b w:val="0"/>
        </w:rPr>
        <w:fldChar w:fldCharType="separate"/>
      </w:r>
      <w:r w:rsidR="00E430FD" w:rsidRPr="00E430FD">
        <w:rPr>
          <w:rStyle w:val="ac"/>
          <w:b w:val="0"/>
          <w:noProof/>
        </w:rPr>
        <w:t>[166]</w:t>
      </w:r>
      <w:r w:rsidR="00F13491" w:rsidRPr="00F13491">
        <w:rPr>
          <w:rStyle w:val="ac"/>
          <w:b w:val="0"/>
        </w:rPr>
        <w:fldChar w:fldCharType="end"/>
      </w:r>
      <w:r w:rsidR="00F13491" w:rsidRPr="00F13491">
        <w:rPr>
          <w:rStyle w:val="ac"/>
          <w:b w:val="0"/>
        </w:rPr>
        <w:fldChar w:fldCharType="begin" w:fldLock="1"/>
      </w:r>
      <w:r w:rsidR="00E430FD">
        <w:rPr>
          <w:rStyle w:val="ac"/>
          <w:b w:val="0"/>
        </w:rPr>
        <w:instrText>ADDIN CSL_CITATION {"citationItems":[{"id":"ITEM-1","itemData":{"DOI":"10.1016/S2468-1253(18)30037-2","ISSN":"24681253","PMID":"29475806","abstract":"Background: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Hepatology","id":"ITEM-1","issue":"4","issued":{"date-parts":[["2018","4","1"]]},"page":"231-241","publisher":"Elsevier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mendeley":{"formattedCitation":"[167]","plainTextFormattedCitation":"[167]","previouslyFormattedCitation":"[167]"},"properties":{"noteIndex":0},"schema":"https://github.com/citation-style-language/schema/raw/master/csl-citation.json"}</w:instrText>
      </w:r>
      <w:r w:rsidR="00F13491" w:rsidRPr="00F13491">
        <w:rPr>
          <w:rStyle w:val="ac"/>
          <w:b w:val="0"/>
        </w:rPr>
        <w:fldChar w:fldCharType="separate"/>
      </w:r>
      <w:r w:rsidR="00E430FD" w:rsidRPr="00E430FD">
        <w:rPr>
          <w:rStyle w:val="ac"/>
          <w:b w:val="0"/>
          <w:noProof/>
        </w:rPr>
        <w:t>[167]</w:t>
      </w:r>
      <w:r w:rsidR="00F13491" w:rsidRPr="00F13491">
        <w:rPr>
          <w:rStyle w:val="ac"/>
          <w:b w:val="0"/>
        </w:rPr>
        <w:fldChar w:fldCharType="end"/>
      </w:r>
      <w:r w:rsidRPr="00F13491">
        <w:rPr>
          <w:b/>
        </w:rPr>
        <w:t>.</w:t>
      </w:r>
    </w:p>
    <w:p w14:paraId="53EA6B63" w14:textId="77777777" w:rsidR="00B37E1F" w:rsidRPr="008372B8" w:rsidRDefault="00B37E1F" w:rsidP="008A2329">
      <w:pPr>
        <w:tabs>
          <w:tab w:val="left" w:pos="993"/>
        </w:tabs>
        <w:spacing w:before="0" w:after="0"/>
        <w:ind w:firstLine="567"/>
        <w:rPr>
          <w:b/>
        </w:rPr>
      </w:pPr>
      <w:r>
        <w:t>3.</w:t>
      </w:r>
      <w:r>
        <w:tab/>
      </w:r>
      <w:r w:rsidRPr="008372B8">
        <w:rPr>
          <w:b/>
        </w:rPr>
        <w:t>Профилактика язвенной болезни желудка и 12-перстной кишки при применении ГКС</w:t>
      </w:r>
    </w:p>
    <w:p w14:paraId="63268536" w14:textId="6A7CC418" w:rsidR="00B37E1F" w:rsidRDefault="00B37E1F" w:rsidP="008A2329">
      <w:pPr>
        <w:tabs>
          <w:tab w:val="left" w:pos="993"/>
        </w:tabs>
        <w:spacing w:before="0" w:after="0"/>
        <w:ind w:firstLine="567"/>
      </w:pPr>
      <w:r>
        <w:tab/>
        <w:t>По результатам мета-анализа 300 работ (Burget и соавторы, 1990г.) язвы желудка и двенадцатиперстной кишки рубцуются практически во всех случаях, если рН внутрижелудочного содержимого поддерживается более 3 в течение суток на протяжении 18 часов. С учетом указанного правила в качестве противоязвенной терапии в настоящее время могут рассматриваться антациды, блокаторы Н2-гистаминовых рецепторов и ингибиторы протонной помпы (ИПП). Согласно одному из последних мета-анализов, при использовании ИПП или блокаторов Н2-гистаминовых рецепторов достоверно эффективнее достигается рубцевание язвенного дефекта, а также снижается риск повторного кровотечения. Лишь препараты этих двух групп позволяют достигать и поддерживать необходимую рН-среду желудка, при которой происходит заживление гастродуоденальных язв</w:t>
      </w:r>
      <w:r w:rsidR="00F13491" w:rsidRPr="00F13491">
        <w:rPr>
          <w:rStyle w:val="ac"/>
          <w:b w:val="0"/>
        </w:rPr>
        <w:fldChar w:fldCharType="begin" w:fldLock="1"/>
      </w:r>
      <w:r w:rsidR="00E430FD">
        <w:rPr>
          <w:rStyle w:val="ac"/>
          <w:b w:val="0"/>
        </w:rPr>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mendeley":{"formattedCitation":"[166]","plainTextFormattedCitation":"[166]","previouslyFormattedCitation":"[166]"},"properties":{"noteIndex":0},"schema":"https://github.com/citation-style-language/schema/raw/master/csl-citation.json"}</w:instrText>
      </w:r>
      <w:r w:rsidR="00F13491" w:rsidRPr="00F13491">
        <w:rPr>
          <w:rStyle w:val="ac"/>
          <w:b w:val="0"/>
        </w:rPr>
        <w:fldChar w:fldCharType="separate"/>
      </w:r>
      <w:r w:rsidR="00E430FD" w:rsidRPr="00E430FD">
        <w:rPr>
          <w:rStyle w:val="ac"/>
          <w:b w:val="0"/>
          <w:noProof/>
        </w:rPr>
        <w:t>[166]</w:t>
      </w:r>
      <w:r w:rsidR="00F13491" w:rsidRPr="00F13491">
        <w:rPr>
          <w:rStyle w:val="ac"/>
          <w:b w:val="0"/>
        </w:rPr>
        <w:fldChar w:fldCharType="end"/>
      </w:r>
      <w:r>
        <w:t xml:space="preserve">. </w:t>
      </w:r>
    </w:p>
    <w:p w14:paraId="57D1570F" w14:textId="4664E732" w:rsidR="00B37E1F" w:rsidRDefault="00B37E1F" w:rsidP="008A2329">
      <w:pPr>
        <w:tabs>
          <w:tab w:val="left" w:pos="993"/>
        </w:tabs>
        <w:spacing w:before="0" w:after="0"/>
        <w:ind w:firstLine="567"/>
      </w:pPr>
      <w:r>
        <w:t xml:space="preserve">В настоящее время с антисекреторной целью для профилактики язвенной болезни желудка и двенадцатиперстной кишки, в том числе на фоне терапии </w:t>
      </w:r>
      <w:r>
        <w:lastRenderedPageBreak/>
        <w:t>глюкокортикостероидами, применяются два класса препаратов: ингибиторы протонной помпы и блокаторы Н2-гистаминовых рецепторов</w:t>
      </w:r>
      <w:r w:rsidR="00F13491">
        <w:t xml:space="preserve"> </w:t>
      </w:r>
      <w:r w:rsidR="00F13491" w:rsidRPr="00F13491">
        <w:rPr>
          <w:rStyle w:val="ac"/>
          <w:b w:val="0"/>
        </w:rPr>
        <w:fldChar w:fldCharType="begin" w:fldLock="1"/>
      </w:r>
      <w:r w:rsidR="00E430FD">
        <w:rPr>
          <w:rStyle w:val="ac"/>
          <w:b w:val="0"/>
        </w:rPr>
        <w:instrText>ADDIN CSL_CITATION {"citationItems":[{"id":"ITEM-1","itemData":{"DOI":"10.4103/1319-3767.199117","ISSN":"1319-3767","abstract":"Background/Aim: To compare the efficacy and tolerance of different proton pump inhibitors (PPIs) in different doses for patients with duodenal ulcers. Materials and Methods: An electronic database was searched to collect all randomized clinical trials (RCTs), and a pairwise and network meta-analysis were performed. Results: A total of 24 RCTs involving 6188 patients were included. The network meta-analysis showed that there were no significant differences for the 4-week healing rate of duodenal ulcer treated with different PPI regimens except pantoprazle 40 mg/d versus lansoprazole 15 mg/d [Relative risk (RR) = 3.57; 95% confidence interval (CI) = 1.36-10.31)] and lansoprazole 30 mg/d versus lansoprazole 15 mg/d (RR = 2.45; 95% CI = 1.01-6.14). In comparison with H2receptor antagonists (H2RA), pantoprazole 40 mg/d and lansoprazole 30 mg/d significantly increase the healing rate (RR = 2.96; 95% CI = 1.78-5.14 and RR = 2.04; 95% CI = 1.13-3.53, respectively). There was no significant difference for the rate of adverse events between different regimens, including H2RA for a duration of 4-week of follow up. Conclusion: There was no significant difference for the efficacy and tolerance between the ordinary doses of different PPIs with the exception of lansoprazle 15 mg/d.","author":[{"dropping-particle":"","family":"Hu","given":"Zhan-Hong","non-dropping-particle":"","parse-names":false,"suffix":""},{"dropping-particle":"","family":"Shi","given":"Ai-Ming","non-dropping-particle":"","parse-names":false,"suffix":""},{"dropping-particle":"","family":"Hu","given":"Duan-Min","non-dropping-particle":"","parse-names":false,"suffix":""},{"dropping-particle":"","family":"Bao","given":"Jun-Jie","non-dropping-particle":"","parse-names":false,"suffix":""}],"container-title":"Saudi Journal of Gastroenterology","id":"ITEM-1","issue":"1","issued":{"date-parts":[["2017","1","1"]]},"page":"11","publisher":"Medknow Publications","title":"Efficacy of proton pump inhibitors for patients with duodenal ulcers: A pairwise and network meta-analysis of randomized controlled trials","type":"article-journal","volume":"23"},"uris":["http://www.mendeley.com/documents/?uuid=d523d0fc-026a-365d-b2ac-773ed8aed036"]}],"mendeley":{"formattedCitation":"[168]","plainTextFormattedCitation":"[168]","previouslyFormattedCitation":"[168]"},"properties":{"noteIndex":0},"schema":"https://github.com/citation-style-language/schema/raw/master/csl-citation.json"}</w:instrText>
      </w:r>
      <w:r w:rsidR="00F13491" w:rsidRPr="00F13491">
        <w:rPr>
          <w:rStyle w:val="ac"/>
          <w:b w:val="0"/>
        </w:rPr>
        <w:fldChar w:fldCharType="separate"/>
      </w:r>
      <w:r w:rsidR="00E430FD" w:rsidRPr="00E430FD">
        <w:rPr>
          <w:rStyle w:val="ac"/>
          <w:b w:val="0"/>
          <w:noProof/>
        </w:rPr>
        <w:t>[168]</w:t>
      </w:r>
      <w:r w:rsidR="00F13491" w:rsidRPr="00F13491">
        <w:rPr>
          <w:rStyle w:val="ac"/>
          <w:b w:val="0"/>
        </w:rPr>
        <w:fldChar w:fldCharType="end"/>
      </w:r>
      <w:r w:rsidRPr="00F13491">
        <w:rPr>
          <w:b/>
        </w:rPr>
        <w:t>.</w:t>
      </w:r>
    </w:p>
    <w:p w14:paraId="1505D09D" w14:textId="77777777" w:rsidR="00B37E1F" w:rsidRPr="008372B8" w:rsidRDefault="00B37E1F" w:rsidP="008A2329">
      <w:pPr>
        <w:tabs>
          <w:tab w:val="left" w:pos="993"/>
        </w:tabs>
        <w:spacing w:before="0" w:after="0"/>
        <w:ind w:firstLine="567"/>
        <w:rPr>
          <w:b/>
        </w:rPr>
      </w:pPr>
      <w:r w:rsidRPr="008372B8">
        <w:rPr>
          <w:b/>
        </w:rPr>
        <w:t>3.1</w:t>
      </w:r>
      <w:r w:rsidRPr="008372B8">
        <w:rPr>
          <w:b/>
        </w:rPr>
        <w:tab/>
        <w:t>Ингибиторы протонной помпы (ИПП)</w:t>
      </w:r>
    </w:p>
    <w:p w14:paraId="1B20DBAC" w14:textId="2FEA6E2E" w:rsidR="00B37E1F" w:rsidRDefault="00B37E1F" w:rsidP="008A2329">
      <w:pPr>
        <w:tabs>
          <w:tab w:val="left" w:pos="993"/>
        </w:tabs>
        <w:spacing w:before="0" w:after="0"/>
        <w:ind w:firstLine="567"/>
      </w:pPr>
      <w:r>
        <w:t xml:space="preserve">Ингибиторы протоновой помпы (ингибиторы протонового насоса, блокаторы протонного насоса, блокаторы Н+/К+-АТФазы, блокаторы водородной помпы) — антисекреторные лекарственные препараты, блокирующие Н+/К+-АТФазу обкладочных (париетальных) клеток слизистой оболочки желудка и уменьшающие секрецию соляной кислоты, путем проникновения в париетальные клетки слизистой оболочки желудка, концентрации в секреторных канальцах, и активации при кислом значении рН. При активации ИПП образуют прочные ковалентные связи с меркаптогруппами цистеиновых остатков Н+/К+-АТФазы, блокируя действие протонной помпы так, что она необратимо исключается из процесса секреции соляной кислоты. Влияние ИПП на последнюю стадию процесса образования соляной кислоты в желудке является дозозависимым и обеспечивает высокоэффективное ингибирование базальной и стимулированной секреции соляной кислоты независимо </w:t>
      </w:r>
      <w:proofErr w:type="gramStart"/>
      <w:r>
        <w:t>от фактора</w:t>
      </w:r>
      <w:proofErr w:type="gramEnd"/>
      <w:r>
        <w:t xml:space="preserve"> его вызывающего. В группу препаратов ИПП входят омепразол</w:t>
      </w:r>
      <w:r w:rsidR="00673B39" w:rsidRPr="00673B39">
        <w:t>**</w:t>
      </w:r>
      <w:r>
        <w:t xml:space="preserve">, лансопразол, пантопразол, рабепразол, </w:t>
      </w:r>
      <w:r w:rsidR="00673B39">
        <w:t>э</w:t>
      </w:r>
      <w:r>
        <w:t>зомепразол</w:t>
      </w:r>
      <w:r w:rsidR="00801E9C" w:rsidRPr="00801E9C">
        <w:t>**</w:t>
      </w:r>
      <w:r>
        <w:t xml:space="preserve">, применяемые во время проведения курсов специфической противоопухолевой терапии, включающей системные ГКС, в указанных в таблице </w:t>
      </w:r>
      <w:r w:rsidR="00436F47">
        <w:t>А3.11</w:t>
      </w:r>
      <w:r>
        <w:t xml:space="preserve"> дозах</w:t>
      </w:r>
      <w:r w:rsidR="00F13491" w:rsidRPr="00F13491">
        <w:rPr>
          <w:rStyle w:val="ac"/>
          <w:b w:val="0"/>
        </w:rPr>
        <w:fldChar w:fldCharType="begin" w:fldLock="1"/>
      </w:r>
      <w:r w:rsidR="00E430FD">
        <w:rPr>
          <w:rStyle w:val="ac"/>
          <w:b w:val="0"/>
        </w:rPr>
        <w:instrText>ADDIN CSL_CITATION {"citationItems":[{"id":"ITEM-1","itemData":{"author":[{"dropping-particle":"","family":"Poynard","given":"T.","non-dropping-particle":"","parse-names":false,"suffix":""},{"dropping-particle":"","family":"Lemaire","given":"M.","non-dropping-particle":"","parse-names":false,"suffix":""},{"dropping-particle":"","family":"Agostini","given":"H.","non-dropping-particle":"","parse-names":false,"suffix":""}],"container-title":"European Journal of Gastroenterology and Hepatology","id":"ITEM-1","issue":"7","issued":{"date-parts":[["1995"]]},"page":"661-665","title":"Meta-analysis of randomized clinical trials comparing lansoprazole with ranitidine or famotidine in the treatment of acute duodenal ulcer","type":"article-journal","volume":"7"},"uris":["http://www.mendeley.com/documents/?uuid=5db0b11d-6521-4aed-b5ed-29192f1bbc07"]}],"mendeley":{"formattedCitation":"[169]","plainTextFormattedCitation":"[169]","previouslyFormattedCitation":"[169]"},"properties":{"noteIndex":0},"schema":"https://github.com/citation-style-language/schema/raw/master/csl-citation.json"}</w:instrText>
      </w:r>
      <w:r w:rsidR="00F13491" w:rsidRPr="00F13491">
        <w:rPr>
          <w:rStyle w:val="ac"/>
          <w:b w:val="0"/>
        </w:rPr>
        <w:fldChar w:fldCharType="separate"/>
      </w:r>
      <w:r w:rsidR="00E430FD" w:rsidRPr="00E430FD">
        <w:rPr>
          <w:rStyle w:val="ac"/>
          <w:b w:val="0"/>
          <w:noProof/>
        </w:rPr>
        <w:t>[169]</w:t>
      </w:r>
      <w:r w:rsidR="00F13491" w:rsidRPr="00F13491">
        <w:rPr>
          <w:rStyle w:val="ac"/>
          <w:b w:val="0"/>
        </w:rPr>
        <w:fldChar w:fldCharType="end"/>
      </w:r>
      <w:r w:rsidR="00F13491" w:rsidRPr="00F13491">
        <w:rPr>
          <w:rStyle w:val="ac"/>
          <w:b w:val="0"/>
        </w:rPr>
        <w:fldChar w:fldCharType="begin" w:fldLock="1"/>
      </w:r>
      <w:r w:rsidR="00E430FD">
        <w:rPr>
          <w:rStyle w:val="ac"/>
          <w:b w:val="0"/>
        </w:rPr>
        <w:instrText>ADDIN CSL_CITATION {"citationItems":[{"id":"ITEM-1","itemData":{"DOI":"10.1016/S0140-6736(16)32404-7","ISSN":"1474-547X","PMID":"28242110","abstract":"The rapidly declining prevalence of Helicobacter pylori infection and widespread use of potent anti-secretory drugs means peptic ulcer disease has become substantially less prevalent than it was two decades ago. Management has, however, become more challenging than ever because of the threat of increasing antimicrobial resistance worldwide and widespread use of complex anti-thrombotic therapy in the ageing population. Peptic ulcers not associated with H pylori infection or the use of non-steroidal anti-inflammatory drugs are now also imposing substantial diagnostic and therapeutic challenges. This Seminar aims to provide a balanced overview of the latest advances in the pathogenetic mechanisms of peptic ulcers, guidelines on therapies targeting H pylori infection, approaches to treatment of peptic ulcer complications associated with anti-inflammatory analgesics and anti-thrombotic agents, and the unmet needs in terms of our knowledge and management of this increasingly challenging condition.","author":[{"dropping-particle":"","family":"Lanas","given":"Angel","non-dropping-particle":"","parse-names":false,"suffix":""},{"dropping-particle":"","family":"Chan","given":"Francis K L","non-dropping-particle":"","parse-names":false,"suffix":""}],"container-title":"Lancet (London, England)","id":"ITEM-1","issue":"10094","issued":{"date-parts":[["2017"]]},"page":"613-624","publisher":"Lancet","title":"Peptic ulcer disease.","type":"article-journal","volume":"390"},"uris":["http://www.mendeley.com/documents/?uuid=624fee9b-1b8b-4f2d-a0e5-4146c75dcad9"]}],"mendeley":{"formattedCitation":"[170]","plainTextFormattedCitation":"[170]","previouslyFormattedCitation":"[170]"},"properties":{"noteIndex":0},"schema":"https://github.com/citation-style-language/schema/raw/master/csl-citation.json"}</w:instrText>
      </w:r>
      <w:r w:rsidR="00F13491" w:rsidRPr="00F13491">
        <w:rPr>
          <w:rStyle w:val="ac"/>
          <w:b w:val="0"/>
        </w:rPr>
        <w:fldChar w:fldCharType="separate"/>
      </w:r>
      <w:r w:rsidR="00E430FD" w:rsidRPr="00E430FD">
        <w:rPr>
          <w:rStyle w:val="ac"/>
          <w:b w:val="0"/>
          <w:noProof/>
        </w:rPr>
        <w:t>[170]</w:t>
      </w:r>
      <w:r w:rsidR="00F13491" w:rsidRPr="00F13491">
        <w:rPr>
          <w:rStyle w:val="ac"/>
          <w:b w:val="0"/>
        </w:rPr>
        <w:fldChar w:fldCharType="end"/>
      </w:r>
      <w:r w:rsidRPr="00F13491">
        <w:rPr>
          <w:b/>
        </w:rPr>
        <w:t>.</w:t>
      </w:r>
      <w:r>
        <w:t xml:space="preserve"> </w:t>
      </w:r>
    </w:p>
    <w:p w14:paraId="569817A5" w14:textId="14CF21DD" w:rsidR="00B37E1F" w:rsidRPr="00292402" w:rsidRDefault="00B37E1F" w:rsidP="002431B5">
      <w:pPr>
        <w:pStyle w:val="Normal1"/>
        <w:tabs>
          <w:tab w:val="left" w:pos="0"/>
        </w:tabs>
        <w:spacing w:line="360" w:lineRule="auto"/>
        <w:ind w:left="0" w:firstLine="0"/>
        <w:jc w:val="both"/>
        <w:rPr>
          <w:rFonts w:cs="Times New Roman"/>
        </w:rPr>
      </w:pPr>
      <w:r>
        <w:tab/>
      </w:r>
      <w:r w:rsidRPr="00C96416">
        <w:rPr>
          <w:rFonts w:cs="Times New Roman"/>
          <w:b/>
        </w:rPr>
        <w:t xml:space="preserve">Таблица </w:t>
      </w:r>
      <w:r w:rsidR="00436F47">
        <w:rPr>
          <w:rFonts w:cs="Times New Roman"/>
          <w:b/>
        </w:rPr>
        <w:t>А3.1</w:t>
      </w:r>
      <w:r w:rsidRPr="00C96416">
        <w:rPr>
          <w:rFonts w:cs="Times New Roman"/>
          <w:b/>
        </w:rPr>
        <w:t xml:space="preserve">1. </w:t>
      </w:r>
      <w:r w:rsidRPr="00292402">
        <w:rPr>
          <w:rFonts w:cs="Times New Roman"/>
        </w:rPr>
        <w:t>Режим дозирования ИПП с целью профилактики язвенной болезни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344"/>
        <w:gridCol w:w="3713"/>
      </w:tblGrid>
      <w:tr w:rsidR="00B37E1F" w:rsidRPr="00C96416" w14:paraId="3AF37DDC" w14:textId="77777777" w:rsidTr="00673B39">
        <w:trPr>
          <w:tblHeader/>
          <w:jc w:val="center"/>
        </w:trPr>
        <w:tc>
          <w:tcPr>
            <w:tcW w:w="2220" w:type="dxa"/>
          </w:tcPr>
          <w:p w14:paraId="23CFFDB1" w14:textId="77777777" w:rsidR="00B37E1F" w:rsidRPr="00C96416" w:rsidRDefault="00B37E1F" w:rsidP="00292402">
            <w:pPr>
              <w:tabs>
                <w:tab w:val="left" w:pos="0"/>
              </w:tabs>
              <w:spacing w:before="0" w:after="0"/>
              <w:jc w:val="center"/>
              <w:rPr>
                <w:b/>
                <w:szCs w:val="24"/>
                <w:lang w:eastAsia="ru-RU"/>
              </w:rPr>
            </w:pPr>
            <w:r>
              <w:rPr>
                <w:b/>
                <w:szCs w:val="24"/>
                <w:lang w:eastAsia="ru-RU"/>
              </w:rPr>
              <w:t>Препарат</w:t>
            </w:r>
          </w:p>
        </w:tc>
        <w:tc>
          <w:tcPr>
            <w:tcW w:w="2344" w:type="dxa"/>
          </w:tcPr>
          <w:p w14:paraId="7D444697" w14:textId="77777777" w:rsidR="00B37E1F" w:rsidRPr="00C96416" w:rsidRDefault="00B37E1F" w:rsidP="00292402">
            <w:pPr>
              <w:tabs>
                <w:tab w:val="left" w:pos="0"/>
              </w:tabs>
              <w:spacing w:before="0" w:after="0"/>
              <w:jc w:val="center"/>
              <w:rPr>
                <w:b/>
                <w:szCs w:val="24"/>
                <w:lang w:eastAsia="ru-RU"/>
              </w:rPr>
            </w:pPr>
            <w:r w:rsidRPr="00C96416">
              <w:rPr>
                <w:b/>
                <w:szCs w:val="24"/>
                <w:lang w:eastAsia="ru-RU"/>
              </w:rPr>
              <w:t xml:space="preserve">Суточная </w:t>
            </w:r>
            <w:r>
              <w:rPr>
                <w:b/>
                <w:szCs w:val="24"/>
                <w:lang w:eastAsia="ru-RU"/>
              </w:rPr>
              <w:t>д</w:t>
            </w:r>
            <w:r w:rsidRPr="00C96416">
              <w:rPr>
                <w:b/>
                <w:szCs w:val="24"/>
                <w:lang w:eastAsia="ru-RU"/>
              </w:rPr>
              <w:t>оза, мг</w:t>
            </w:r>
          </w:p>
        </w:tc>
        <w:tc>
          <w:tcPr>
            <w:tcW w:w="3713" w:type="dxa"/>
          </w:tcPr>
          <w:p w14:paraId="3F550026" w14:textId="77777777" w:rsidR="00B37E1F" w:rsidRPr="00C96416" w:rsidRDefault="00B37E1F" w:rsidP="00292402">
            <w:pPr>
              <w:tabs>
                <w:tab w:val="left" w:pos="0"/>
              </w:tabs>
              <w:spacing w:before="0" w:after="0"/>
              <w:jc w:val="center"/>
              <w:rPr>
                <w:b/>
                <w:szCs w:val="24"/>
                <w:lang w:eastAsia="ru-RU"/>
              </w:rPr>
            </w:pPr>
            <w:r>
              <w:rPr>
                <w:b/>
                <w:szCs w:val="24"/>
                <w:lang w:eastAsia="ru-RU"/>
              </w:rPr>
              <w:t>Способ применения и р</w:t>
            </w:r>
            <w:r w:rsidRPr="00C96416">
              <w:rPr>
                <w:b/>
                <w:szCs w:val="24"/>
                <w:lang w:eastAsia="ru-RU"/>
              </w:rPr>
              <w:t>ежим дозирования</w:t>
            </w:r>
          </w:p>
        </w:tc>
      </w:tr>
      <w:tr w:rsidR="00B37E1F" w:rsidRPr="00C96416" w14:paraId="60E09EF0" w14:textId="77777777" w:rsidTr="00B37E1F">
        <w:trPr>
          <w:jc w:val="center"/>
        </w:trPr>
        <w:tc>
          <w:tcPr>
            <w:tcW w:w="2220" w:type="dxa"/>
          </w:tcPr>
          <w:p w14:paraId="2A302269" w14:textId="4E39EF83" w:rsidR="00B37E1F" w:rsidRPr="00673B39" w:rsidRDefault="00B37E1F" w:rsidP="00292402">
            <w:pPr>
              <w:tabs>
                <w:tab w:val="left" w:pos="0"/>
              </w:tabs>
              <w:spacing w:before="0" w:after="0"/>
              <w:rPr>
                <w:szCs w:val="24"/>
                <w:lang w:val="en-US" w:eastAsia="ru-RU"/>
              </w:rPr>
            </w:pPr>
            <w:r w:rsidRPr="00C96416">
              <w:rPr>
                <w:szCs w:val="24"/>
                <w:lang w:eastAsia="ru-RU"/>
              </w:rPr>
              <w:t>Омепразол</w:t>
            </w:r>
            <w:r w:rsidR="00673B39">
              <w:rPr>
                <w:szCs w:val="24"/>
                <w:lang w:val="en-US" w:eastAsia="ru-RU"/>
              </w:rPr>
              <w:t>**</w:t>
            </w:r>
          </w:p>
        </w:tc>
        <w:tc>
          <w:tcPr>
            <w:tcW w:w="2344" w:type="dxa"/>
          </w:tcPr>
          <w:p w14:paraId="13A4E68C" w14:textId="77777777" w:rsidR="00B37E1F" w:rsidRDefault="00B37E1F" w:rsidP="00292402">
            <w:pPr>
              <w:tabs>
                <w:tab w:val="left" w:pos="0"/>
              </w:tabs>
              <w:spacing w:before="0" w:after="0"/>
              <w:jc w:val="center"/>
              <w:rPr>
                <w:szCs w:val="24"/>
                <w:lang w:eastAsia="ru-RU"/>
              </w:rPr>
            </w:pPr>
            <w:r w:rsidRPr="00C96416">
              <w:rPr>
                <w:szCs w:val="24"/>
                <w:lang w:eastAsia="ru-RU"/>
              </w:rPr>
              <w:t>20</w:t>
            </w:r>
          </w:p>
          <w:p w14:paraId="382D3884" w14:textId="77777777" w:rsidR="00B37E1F" w:rsidRPr="00C96416" w:rsidRDefault="00B37E1F" w:rsidP="00292402">
            <w:pPr>
              <w:tabs>
                <w:tab w:val="left" w:pos="0"/>
              </w:tabs>
              <w:spacing w:before="0" w:after="0"/>
              <w:jc w:val="center"/>
              <w:rPr>
                <w:szCs w:val="24"/>
                <w:lang w:eastAsia="ru-RU"/>
              </w:rPr>
            </w:pPr>
            <w:r>
              <w:rPr>
                <w:szCs w:val="24"/>
                <w:lang w:eastAsia="ru-RU"/>
              </w:rPr>
              <w:t>40</w:t>
            </w:r>
          </w:p>
        </w:tc>
        <w:tc>
          <w:tcPr>
            <w:tcW w:w="3713" w:type="dxa"/>
          </w:tcPr>
          <w:p w14:paraId="39DDE783" w14:textId="77777777" w:rsidR="00B37E1F" w:rsidRPr="00B56E4C" w:rsidRDefault="00B37E1F" w:rsidP="00292402">
            <w:pPr>
              <w:tabs>
                <w:tab w:val="left" w:pos="0"/>
              </w:tabs>
              <w:spacing w:before="0" w:after="0"/>
              <w:rPr>
                <w:szCs w:val="24"/>
                <w:lang w:eastAsia="ru-RU"/>
              </w:rPr>
            </w:pPr>
            <w:r>
              <w:rPr>
                <w:szCs w:val="24"/>
                <w:lang w:eastAsia="ru-RU"/>
              </w:rPr>
              <w:t>Внутрь, 1 раз в сутки;</w:t>
            </w:r>
          </w:p>
          <w:p w14:paraId="110751FA" w14:textId="77777777" w:rsidR="00B37E1F" w:rsidRPr="00D221D8" w:rsidRDefault="00B37E1F" w:rsidP="00292402">
            <w:pPr>
              <w:tabs>
                <w:tab w:val="left" w:pos="0"/>
              </w:tabs>
              <w:spacing w:before="0" w:after="0"/>
              <w:rPr>
                <w:szCs w:val="24"/>
                <w:lang w:eastAsia="ru-RU"/>
              </w:rPr>
            </w:pPr>
            <w:r>
              <w:rPr>
                <w:szCs w:val="24"/>
                <w:lang w:eastAsia="ru-RU"/>
              </w:rPr>
              <w:t xml:space="preserve"> в/в, 1 раз в сутки</w:t>
            </w:r>
          </w:p>
        </w:tc>
      </w:tr>
      <w:tr w:rsidR="00B37E1F" w:rsidRPr="00C96416" w14:paraId="68253761" w14:textId="77777777" w:rsidTr="00B37E1F">
        <w:trPr>
          <w:jc w:val="center"/>
        </w:trPr>
        <w:tc>
          <w:tcPr>
            <w:tcW w:w="2220" w:type="dxa"/>
          </w:tcPr>
          <w:p w14:paraId="243E4318" w14:textId="77777777" w:rsidR="00B37E1F" w:rsidRPr="00C96416" w:rsidRDefault="00B37E1F" w:rsidP="00292402">
            <w:pPr>
              <w:tabs>
                <w:tab w:val="left" w:pos="0"/>
              </w:tabs>
              <w:spacing w:before="0" w:after="0"/>
              <w:rPr>
                <w:szCs w:val="24"/>
                <w:lang w:eastAsia="ru-RU"/>
              </w:rPr>
            </w:pPr>
            <w:r w:rsidRPr="00C96416">
              <w:rPr>
                <w:szCs w:val="24"/>
                <w:lang w:eastAsia="ru-RU"/>
              </w:rPr>
              <w:t>Лансопразол</w:t>
            </w:r>
          </w:p>
        </w:tc>
        <w:tc>
          <w:tcPr>
            <w:tcW w:w="2344" w:type="dxa"/>
          </w:tcPr>
          <w:p w14:paraId="03A0A466" w14:textId="77777777" w:rsidR="00B37E1F" w:rsidRPr="00C96416" w:rsidRDefault="00B37E1F" w:rsidP="00292402">
            <w:pPr>
              <w:tabs>
                <w:tab w:val="left" w:pos="0"/>
              </w:tabs>
              <w:spacing w:before="0" w:after="0"/>
              <w:jc w:val="center"/>
              <w:rPr>
                <w:szCs w:val="24"/>
                <w:lang w:eastAsia="ru-RU"/>
              </w:rPr>
            </w:pPr>
            <w:r w:rsidRPr="00C96416">
              <w:rPr>
                <w:szCs w:val="24"/>
                <w:lang w:eastAsia="ru-RU"/>
              </w:rPr>
              <w:t>30</w:t>
            </w:r>
          </w:p>
        </w:tc>
        <w:tc>
          <w:tcPr>
            <w:tcW w:w="3713" w:type="dxa"/>
          </w:tcPr>
          <w:p w14:paraId="44CF84C4" w14:textId="77777777" w:rsidR="00B37E1F" w:rsidRDefault="00B37E1F" w:rsidP="00292402">
            <w:pPr>
              <w:spacing w:before="0" w:after="0"/>
            </w:pPr>
            <w:r w:rsidRPr="00826EC3">
              <w:rPr>
                <w:szCs w:val="24"/>
                <w:lang w:eastAsia="ru-RU"/>
              </w:rPr>
              <w:t>Внутрь, 1 раз в сутки</w:t>
            </w:r>
          </w:p>
        </w:tc>
      </w:tr>
      <w:tr w:rsidR="00B37E1F" w:rsidRPr="00C96416" w14:paraId="5D647A78" w14:textId="77777777" w:rsidTr="00B37E1F">
        <w:trPr>
          <w:jc w:val="center"/>
        </w:trPr>
        <w:tc>
          <w:tcPr>
            <w:tcW w:w="2220" w:type="dxa"/>
          </w:tcPr>
          <w:p w14:paraId="76CA7ED1" w14:textId="77777777" w:rsidR="00B37E1F" w:rsidRPr="00C96416" w:rsidRDefault="00B37E1F" w:rsidP="00292402">
            <w:pPr>
              <w:tabs>
                <w:tab w:val="left" w:pos="0"/>
              </w:tabs>
              <w:spacing w:before="0" w:after="0"/>
              <w:rPr>
                <w:szCs w:val="24"/>
                <w:lang w:eastAsia="ru-RU"/>
              </w:rPr>
            </w:pPr>
            <w:r>
              <w:rPr>
                <w:szCs w:val="24"/>
                <w:lang w:eastAsia="ru-RU"/>
              </w:rPr>
              <w:t>П</w:t>
            </w:r>
            <w:r w:rsidRPr="00C96416">
              <w:rPr>
                <w:szCs w:val="24"/>
                <w:lang w:eastAsia="ru-RU"/>
              </w:rPr>
              <w:t>антопразол</w:t>
            </w:r>
          </w:p>
        </w:tc>
        <w:tc>
          <w:tcPr>
            <w:tcW w:w="2344" w:type="dxa"/>
          </w:tcPr>
          <w:p w14:paraId="51701E6C" w14:textId="77777777" w:rsidR="00B37E1F" w:rsidRPr="00C96416" w:rsidRDefault="00B37E1F" w:rsidP="00292402">
            <w:pPr>
              <w:tabs>
                <w:tab w:val="left" w:pos="0"/>
              </w:tabs>
              <w:spacing w:before="0" w:after="0"/>
              <w:jc w:val="center"/>
              <w:rPr>
                <w:szCs w:val="24"/>
                <w:lang w:eastAsia="ru-RU"/>
              </w:rPr>
            </w:pPr>
            <w:r w:rsidRPr="00C96416">
              <w:rPr>
                <w:szCs w:val="24"/>
                <w:lang w:eastAsia="ru-RU"/>
              </w:rPr>
              <w:t>40</w:t>
            </w:r>
          </w:p>
        </w:tc>
        <w:tc>
          <w:tcPr>
            <w:tcW w:w="3713" w:type="dxa"/>
          </w:tcPr>
          <w:p w14:paraId="554BF0DF" w14:textId="77777777" w:rsidR="00B37E1F" w:rsidRDefault="00B37E1F" w:rsidP="00292402">
            <w:pPr>
              <w:spacing w:before="0" w:after="0"/>
            </w:pPr>
            <w:r w:rsidRPr="00826EC3">
              <w:rPr>
                <w:szCs w:val="24"/>
                <w:lang w:eastAsia="ru-RU"/>
              </w:rPr>
              <w:t>Внутрь, 1 раз в сутки</w:t>
            </w:r>
          </w:p>
        </w:tc>
      </w:tr>
      <w:tr w:rsidR="00B37E1F" w:rsidRPr="00C96416" w14:paraId="33BA835A" w14:textId="77777777" w:rsidTr="00B37E1F">
        <w:trPr>
          <w:jc w:val="center"/>
        </w:trPr>
        <w:tc>
          <w:tcPr>
            <w:tcW w:w="2220" w:type="dxa"/>
          </w:tcPr>
          <w:p w14:paraId="72BB372A" w14:textId="77777777" w:rsidR="00B37E1F" w:rsidRPr="00C96416" w:rsidRDefault="00B37E1F" w:rsidP="00292402">
            <w:pPr>
              <w:tabs>
                <w:tab w:val="left" w:pos="0"/>
              </w:tabs>
              <w:spacing w:before="0" w:after="0"/>
              <w:rPr>
                <w:szCs w:val="24"/>
                <w:lang w:eastAsia="ru-RU"/>
              </w:rPr>
            </w:pPr>
            <w:r>
              <w:rPr>
                <w:szCs w:val="24"/>
              </w:rPr>
              <w:t>Р</w:t>
            </w:r>
            <w:r w:rsidRPr="00C96416">
              <w:rPr>
                <w:szCs w:val="24"/>
              </w:rPr>
              <w:t>абепразол</w:t>
            </w:r>
          </w:p>
        </w:tc>
        <w:tc>
          <w:tcPr>
            <w:tcW w:w="2344" w:type="dxa"/>
          </w:tcPr>
          <w:p w14:paraId="134043D7" w14:textId="77777777" w:rsidR="00B37E1F" w:rsidRPr="00C96416" w:rsidRDefault="00B37E1F" w:rsidP="00292402">
            <w:pPr>
              <w:tabs>
                <w:tab w:val="left" w:pos="0"/>
              </w:tabs>
              <w:spacing w:before="0" w:after="0"/>
              <w:jc w:val="center"/>
              <w:rPr>
                <w:szCs w:val="24"/>
                <w:lang w:eastAsia="ru-RU"/>
              </w:rPr>
            </w:pPr>
            <w:r w:rsidRPr="00C96416">
              <w:rPr>
                <w:szCs w:val="24"/>
                <w:lang w:eastAsia="ru-RU"/>
              </w:rPr>
              <w:t>20</w:t>
            </w:r>
          </w:p>
        </w:tc>
        <w:tc>
          <w:tcPr>
            <w:tcW w:w="3713" w:type="dxa"/>
          </w:tcPr>
          <w:p w14:paraId="23775311" w14:textId="77777777" w:rsidR="00B37E1F" w:rsidRDefault="00B37E1F" w:rsidP="00292402">
            <w:pPr>
              <w:spacing w:before="0" w:after="0"/>
            </w:pPr>
            <w:r w:rsidRPr="00826EC3">
              <w:rPr>
                <w:szCs w:val="24"/>
                <w:lang w:eastAsia="ru-RU"/>
              </w:rPr>
              <w:t>Внутрь, 1 раз в сутки</w:t>
            </w:r>
          </w:p>
        </w:tc>
      </w:tr>
      <w:tr w:rsidR="00B37E1F" w:rsidRPr="00C96416" w14:paraId="15D1845E" w14:textId="77777777" w:rsidTr="00B37E1F">
        <w:trPr>
          <w:jc w:val="center"/>
        </w:trPr>
        <w:tc>
          <w:tcPr>
            <w:tcW w:w="2220" w:type="dxa"/>
          </w:tcPr>
          <w:p w14:paraId="154DD4D0" w14:textId="10D791AD" w:rsidR="00B37E1F" w:rsidRPr="00801E9C" w:rsidRDefault="00B37E1F" w:rsidP="00292402">
            <w:pPr>
              <w:tabs>
                <w:tab w:val="left" w:pos="0"/>
              </w:tabs>
              <w:spacing w:before="0" w:after="0"/>
              <w:rPr>
                <w:szCs w:val="24"/>
                <w:lang w:val="en-US"/>
              </w:rPr>
            </w:pPr>
            <w:r>
              <w:rPr>
                <w:szCs w:val="24"/>
              </w:rPr>
              <w:t>Э</w:t>
            </w:r>
            <w:r w:rsidRPr="00C96416">
              <w:rPr>
                <w:szCs w:val="24"/>
              </w:rPr>
              <w:t>зомепразол</w:t>
            </w:r>
            <w:r w:rsidR="00801E9C">
              <w:rPr>
                <w:szCs w:val="24"/>
                <w:lang w:val="en-US"/>
              </w:rPr>
              <w:t>**</w:t>
            </w:r>
          </w:p>
        </w:tc>
        <w:tc>
          <w:tcPr>
            <w:tcW w:w="2344" w:type="dxa"/>
          </w:tcPr>
          <w:p w14:paraId="65E9DD1E" w14:textId="77777777" w:rsidR="00B37E1F" w:rsidRPr="00C96416" w:rsidRDefault="00B37E1F" w:rsidP="00292402">
            <w:pPr>
              <w:tabs>
                <w:tab w:val="left" w:pos="0"/>
              </w:tabs>
              <w:spacing w:before="0" w:after="0"/>
              <w:jc w:val="center"/>
              <w:rPr>
                <w:szCs w:val="24"/>
                <w:lang w:eastAsia="ru-RU"/>
              </w:rPr>
            </w:pPr>
            <w:r w:rsidRPr="00C96416">
              <w:rPr>
                <w:szCs w:val="24"/>
                <w:lang w:eastAsia="ru-RU"/>
              </w:rPr>
              <w:t>20</w:t>
            </w:r>
          </w:p>
        </w:tc>
        <w:tc>
          <w:tcPr>
            <w:tcW w:w="3713" w:type="dxa"/>
          </w:tcPr>
          <w:p w14:paraId="57D4B285" w14:textId="77777777" w:rsidR="00B37E1F" w:rsidRDefault="00B37E1F" w:rsidP="00292402">
            <w:pPr>
              <w:spacing w:before="0" w:after="0"/>
            </w:pPr>
            <w:r w:rsidRPr="00826EC3">
              <w:rPr>
                <w:szCs w:val="24"/>
                <w:lang w:eastAsia="ru-RU"/>
              </w:rPr>
              <w:t>Внутрь</w:t>
            </w:r>
            <w:r>
              <w:rPr>
                <w:szCs w:val="24"/>
                <w:lang w:eastAsia="ru-RU"/>
              </w:rPr>
              <w:t xml:space="preserve"> или в/в</w:t>
            </w:r>
            <w:r w:rsidRPr="00826EC3">
              <w:rPr>
                <w:szCs w:val="24"/>
                <w:lang w:eastAsia="ru-RU"/>
              </w:rPr>
              <w:t>, 1 раз в сутки</w:t>
            </w:r>
          </w:p>
        </w:tc>
      </w:tr>
    </w:tbl>
    <w:p w14:paraId="393D39B6" w14:textId="31004295" w:rsidR="00B37E1F" w:rsidRDefault="00B37E1F" w:rsidP="002431B5">
      <w:pPr>
        <w:spacing w:before="0" w:after="0"/>
      </w:pPr>
      <w:r>
        <w:tab/>
        <w:t>Время суток и прием пищи не влияют на активность ИПП. Коррекции дозы при почечной недостаточности не требуется. При невозможности перорального приема ИПП вводятся внутривенно</w:t>
      </w:r>
      <w:r w:rsidR="00F13491" w:rsidRPr="00F13491">
        <w:rPr>
          <w:rStyle w:val="ac"/>
          <w:b w:val="0"/>
        </w:rPr>
        <w:fldChar w:fldCharType="begin" w:fldLock="1"/>
      </w:r>
      <w:r w:rsidR="00E430FD">
        <w:rPr>
          <w:rStyle w:val="ac"/>
          <w:b w:val="0"/>
        </w:rPr>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mendeley":{"formattedCitation":"[166]","plainTextFormattedCitation":"[166]","previouslyFormattedCitation":"[166]"},"properties":{"noteIndex":0},"schema":"https://github.com/citation-style-language/schema/raw/master/csl-citation.json"}</w:instrText>
      </w:r>
      <w:r w:rsidR="00F13491" w:rsidRPr="00F13491">
        <w:rPr>
          <w:rStyle w:val="ac"/>
          <w:b w:val="0"/>
        </w:rPr>
        <w:fldChar w:fldCharType="separate"/>
      </w:r>
      <w:r w:rsidR="00E430FD" w:rsidRPr="00E430FD">
        <w:rPr>
          <w:rStyle w:val="ac"/>
          <w:b w:val="0"/>
          <w:noProof/>
        </w:rPr>
        <w:t>[166]</w:t>
      </w:r>
      <w:r w:rsidR="00F13491" w:rsidRPr="00F13491">
        <w:rPr>
          <w:rStyle w:val="ac"/>
          <w:b w:val="0"/>
        </w:rPr>
        <w:fldChar w:fldCharType="end"/>
      </w:r>
      <w:r>
        <w:t>.</w:t>
      </w:r>
    </w:p>
    <w:p w14:paraId="7CDBD7A6" w14:textId="77777777" w:rsidR="00B37E1F" w:rsidRPr="008372B8" w:rsidRDefault="00B37E1F" w:rsidP="002431B5">
      <w:pPr>
        <w:spacing w:before="0" w:after="0"/>
        <w:rPr>
          <w:b/>
        </w:rPr>
      </w:pPr>
      <w:r w:rsidRPr="008372B8">
        <w:rPr>
          <w:b/>
        </w:rPr>
        <w:t xml:space="preserve">3.2 Блокаторы Н2-гистаминовых рецепторов </w:t>
      </w:r>
    </w:p>
    <w:p w14:paraId="18ED0806" w14:textId="2EC0F159" w:rsidR="00B37E1F" w:rsidRDefault="00B37E1F" w:rsidP="002431B5">
      <w:pPr>
        <w:spacing w:before="0" w:after="0"/>
      </w:pPr>
      <w:r>
        <w:t xml:space="preserve">Секреторные реакции желудка при действии экзогенного или эндогенного гистамина реализуются через Н2-гистаминорецепторы. Блокаторы гистаминовых Н2-рецепторов являются конкурентными антагонистами гистамина и подавляют вызванную различными </w:t>
      </w:r>
      <w:r>
        <w:lastRenderedPageBreak/>
        <w:t xml:space="preserve">раздражителями секрецию соляной кислоты за счет вытеснения гистамина из связи с Н2-рецепторами париетальных клеток. Препараты этой группы поддерживают показатели внутрижелудочного </w:t>
      </w:r>
      <w:proofErr w:type="gramStart"/>
      <w:r>
        <w:t>рН &gt;</w:t>
      </w:r>
      <w:proofErr w:type="gramEnd"/>
      <w:r>
        <w:t xml:space="preserve"> 3 на протяжении суток. Применение Н2-блокаторов в течение 1-1,5 месяца приводит к рубцеванию язвенного дефекта у 70–80 % пациентов с дуоденальными язвами и у 55–60 % пациентов с язвами желудка. Тем не менее, после внедрения ИПП в клиническую практику в качестве базисной антисекреторной терапии, Н2-блокаторы применяются реже, главным образом при невозможности применения ИПП</w:t>
      </w:r>
      <w:r w:rsidR="00F13491">
        <w:t xml:space="preserve"> </w:t>
      </w:r>
      <w:r w:rsidR="00F13491" w:rsidRPr="00F13491">
        <w:rPr>
          <w:rStyle w:val="ac"/>
          <w:b w:val="0"/>
        </w:rPr>
        <w:fldChar w:fldCharType="begin" w:fldLock="1"/>
      </w:r>
      <w:r w:rsidR="00E430FD">
        <w:rPr>
          <w:rStyle w:val="ac"/>
          <w:b w:val="0"/>
        </w:rPr>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mendeley":{"formattedCitation":"[166]","plainTextFormattedCitation":"[166]","previouslyFormattedCitation":"[166]"},"properties":{"noteIndex":0},"schema":"https://github.com/citation-style-language/schema/raw/master/csl-citation.json"}</w:instrText>
      </w:r>
      <w:r w:rsidR="00F13491" w:rsidRPr="00F13491">
        <w:rPr>
          <w:rStyle w:val="ac"/>
          <w:b w:val="0"/>
        </w:rPr>
        <w:fldChar w:fldCharType="separate"/>
      </w:r>
      <w:r w:rsidR="00E430FD" w:rsidRPr="00E430FD">
        <w:rPr>
          <w:rStyle w:val="ac"/>
          <w:b w:val="0"/>
          <w:noProof/>
        </w:rPr>
        <w:t>[166]</w:t>
      </w:r>
      <w:r w:rsidR="00F13491" w:rsidRPr="00F13491">
        <w:rPr>
          <w:rStyle w:val="ac"/>
          <w:b w:val="0"/>
        </w:rPr>
        <w:fldChar w:fldCharType="end"/>
      </w:r>
      <w:r w:rsidR="00F13491" w:rsidRPr="00F13491">
        <w:rPr>
          <w:rStyle w:val="ac"/>
          <w:b w:val="0"/>
        </w:rPr>
        <w:fldChar w:fldCharType="begin" w:fldLock="1"/>
      </w:r>
      <w:r w:rsidR="00E430FD">
        <w:rPr>
          <w:rStyle w:val="ac"/>
          <w:b w:val="0"/>
        </w:rPr>
        <w:instrText>ADDIN CSL_CITATION {"citationItems":[{"id":"ITEM-1","itemData":{"DOI":"10.1111/j.1365-2796.1994.tb00855.x","ISSN":"0954-6820","PMID":"7989897","abstract":"OBJECTIVES This meta-analysis was performed to determine whether corticosteroid therapy induces the development of peptic ulcer and other putative complications of steroid therapy. DESIGN A retrospective investigation in which we analysed all the randomized, double-blind, controlled trials (RDBCT) in which steroids had been administered that we were able to identify. The number of episodes of peptic ulcer, dermatological effects, sepsis, diabetes, hypertension, osteoporosis, psychosis and tuberculosis reported in both the placebo and steroid groups were compared. SETTING The international medical literature was analysed for any RDBCT in which any steroid or ACTH had been administered in any dosage for any duration, and any putative complication of steroid therapy was reported. SUBJECTS Of 1857 articles, 93 satisfied our requirements and were analysed by the meta-analytic techniques of Peto, DerSimonian and Laird. A total of 6602 patients were included. MAIN OUTCOME MEASURES The relative frequencies of each of these eight 'complications' were compared in the placebo and steroid groups using conventional statistics and meta-analysis. The relative frequencies of 'annualized' subgroups of patients who received treatment for 1 to 7 days, 1 week to 1 month, 1 to 3 months and more than 3 months, were similarly analysed. RESULTS Nine of 3267 patients in the placebo group (0.3%) and 13 of 3335 patients in the steroid group (0.4%) were reported to develop peptic ulcer (P &gt; 0.05). The dermatological cosmetic effects of steroid therapy were observed more frequently in the steroid group (P &lt; 0.001), as was diabetes (P &lt; 0.001), hypertension (P &lt; 0.01) and psychosis (P &lt; 0.001). Sepsis, osteoporosis and tuberculosis all occurred more frequently in the steroid than in the placebo group, but the differences are not statistically significant. CONCLUSIONS Peptic ulcer is a rare complication of corticosteroid therapy that should not be considered a contraindication when steroid therapy is indicated.","author":[{"dropping-particle":"","family":"Conn","given":"H O","non-dropping-particle":"","parse-names":false,"suffix":""},{"dropping-particle":"","family":"Poynard","given":"T","non-dropping-particle":"","parse-names":false,"suffix":""}],"container-title":"Journal of internal medicine","id":"ITEM-1","issue":"6","issued":{"date-parts":[["1994","12"]]},"page":"619-32","publisher":"J Intern Med","title":"Corticosteroids and peptic ulcer: meta-analysis of adverse events during steroid therapy.","type":"article-journal","volume":"236"},"uris":["http://www.mendeley.com/documents/?uuid=84af1729-7cf0-45a4-828e-6c0ee9132476"]}],"mendeley":{"formattedCitation":"[171]","plainTextFormattedCitation":"[171]","previouslyFormattedCitation":"[171]"},"properties":{"noteIndex":0},"schema":"https://github.com/citation-style-language/schema/raw/master/csl-citation.json"}</w:instrText>
      </w:r>
      <w:r w:rsidR="00F13491" w:rsidRPr="00F13491">
        <w:rPr>
          <w:rStyle w:val="ac"/>
          <w:b w:val="0"/>
        </w:rPr>
        <w:fldChar w:fldCharType="separate"/>
      </w:r>
      <w:r w:rsidR="00E430FD" w:rsidRPr="00E430FD">
        <w:rPr>
          <w:rStyle w:val="ac"/>
          <w:b w:val="0"/>
          <w:noProof/>
        </w:rPr>
        <w:t>[171]</w:t>
      </w:r>
      <w:r w:rsidR="00F13491" w:rsidRPr="00F13491">
        <w:rPr>
          <w:rStyle w:val="ac"/>
          <w:b w:val="0"/>
        </w:rPr>
        <w:fldChar w:fldCharType="end"/>
      </w:r>
      <w:r>
        <w:t xml:space="preserve">. </w:t>
      </w:r>
    </w:p>
    <w:p w14:paraId="5859864D" w14:textId="6952D14E" w:rsidR="00B37E1F" w:rsidRDefault="00B37E1F" w:rsidP="00C736DB">
      <w:pPr>
        <w:spacing w:before="0" w:after="0"/>
        <w:ind w:firstLine="709"/>
      </w:pPr>
      <w:r>
        <w:t>В группу препаратов – блокаторов Н2-гистаминовых рецепторов входят ранитидин</w:t>
      </w:r>
      <w:r w:rsidR="007B0ADC" w:rsidRPr="007B0ADC">
        <w:t>**</w:t>
      </w:r>
      <w:r>
        <w:t>, фамотидин</w:t>
      </w:r>
      <w:r w:rsidR="007B0ADC" w:rsidRPr="007B0ADC">
        <w:t>**</w:t>
      </w:r>
      <w:r>
        <w:t xml:space="preserve">, применяемые во время проведения курсов противоопухолевой терапии, включающей системные ГКС, в указанных в таблице </w:t>
      </w:r>
      <w:r w:rsidR="00436F47">
        <w:t>А3.1</w:t>
      </w:r>
      <w:r>
        <w:t>2 дозах.</w:t>
      </w:r>
    </w:p>
    <w:p w14:paraId="7D8213AE" w14:textId="29349C1E" w:rsidR="00B37E1F" w:rsidRPr="00C96416" w:rsidRDefault="00B37E1F" w:rsidP="002431B5">
      <w:pPr>
        <w:tabs>
          <w:tab w:val="left" w:pos="0"/>
        </w:tabs>
        <w:rPr>
          <w:b/>
          <w:szCs w:val="24"/>
        </w:rPr>
      </w:pPr>
      <w:r w:rsidRPr="00C96416">
        <w:rPr>
          <w:b/>
          <w:szCs w:val="24"/>
        </w:rPr>
        <w:t xml:space="preserve">Таблица </w:t>
      </w:r>
      <w:r w:rsidR="00436F47">
        <w:rPr>
          <w:b/>
          <w:szCs w:val="24"/>
        </w:rPr>
        <w:t>А3.1</w:t>
      </w:r>
      <w:r>
        <w:rPr>
          <w:b/>
          <w:szCs w:val="24"/>
        </w:rPr>
        <w:t>2</w:t>
      </w:r>
      <w:r w:rsidRPr="00C96416">
        <w:rPr>
          <w:b/>
          <w:szCs w:val="24"/>
        </w:rPr>
        <w:t xml:space="preserve">. </w:t>
      </w:r>
      <w:r w:rsidRPr="00292402">
        <w:rPr>
          <w:szCs w:val="24"/>
        </w:rPr>
        <w:t>Режим дозирования блокаторов Н2-гистаминовых рецепторов</w:t>
      </w:r>
      <w:r w:rsidRPr="00C96416">
        <w:rPr>
          <w:b/>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2268"/>
        <w:gridCol w:w="3358"/>
      </w:tblGrid>
      <w:tr w:rsidR="00B37E1F" w:rsidRPr="00C96416" w14:paraId="22AB129F" w14:textId="77777777" w:rsidTr="007B0ADC">
        <w:trPr>
          <w:tblHeader/>
          <w:jc w:val="center"/>
        </w:trPr>
        <w:tc>
          <w:tcPr>
            <w:tcW w:w="1942" w:type="dxa"/>
          </w:tcPr>
          <w:p w14:paraId="023A0701" w14:textId="77777777" w:rsidR="00B37E1F" w:rsidRPr="00C96416" w:rsidRDefault="00B37E1F" w:rsidP="002431B5">
            <w:pPr>
              <w:tabs>
                <w:tab w:val="left" w:pos="0"/>
              </w:tabs>
              <w:rPr>
                <w:b/>
                <w:szCs w:val="24"/>
                <w:lang w:eastAsia="ru-RU"/>
              </w:rPr>
            </w:pPr>
            <w:r w:rsidRPr="00C96416">
              <w:rPr>
                <w:b/>
                <w:szCs w:val="24"/>
                <w:lang w:eastAsia="ru-RU"/>
              </w:rPr>
              <w:t>Препараты</w:t>
            </w:r>
          </w:p>
        </w:tc>
        <w:tc>
          <w:tcPr>
            <w:tcW w:w="2268" w:type="dxa"/>
          </w:tcPr>
          <w:p w14:paraId="072B7088" w14:textId="77777777" w:rsidR="00B37E1F" w:rsidRPr="00C96416" w:rsidRDefault="00B37E1F" w:rsidP="002431B5">
            <w:pPr>
              <w:tabs>
                <w:tab w:val="left" w:pos="0"/>
              </w:tabs>
              <w:jc w:val="center"/>
              <w:rPr>
                <w:b/>
                <w:szCs w:val="24"/>
                <w:lang w:eastAsia="ru-RU"/>
              </w:rPr>
            </w:pPr>
            <w:r w:rsidRPr="00C96416">
              <w:rPr>
                <w:b/>
                <w:szCs w:val="24"/>
                <w:lang w:eastAsia="ru-RU"/>
              </w:rPr>
              <w:t xml:space="preserve">Суточная </w:t>
            </w:r>
            <w:r>
              <w:rPr>
                <w:b/>
                <w:szCs w:val="24"/>
                <w:lang w:eastAsia="ru-RU"/>
              </w:rPr>
              <w:t>д</w:t>
            </w:r>
            <w:r w:rsidRPr="00C96416">
              <w:rPr>
                <w:b/>
                <w:szCs w:val="24"/>
                <w:lang w:eastAsia="ru-RU"/>
              </w:rPr>
              <w:t>оза, мг</w:t>
            </w:r>
          </w:p>
        </w:tc>
        <w:tc>
          <w:tcPr>
            <w:tcW w:w="3358" w:type="dxa"/>
          </w:tcPr>
          <w:p w14:paraId="2888C99B" w14:textId="77777777" w:rsidR="00B37E1F" w:rsidRPr="00C96416" w:rsidRDefault="00B37E1F" w:rsidP="002431B5">
            <w:pPr>
              <w:tabs>
                <w:tab w:val="left" w:pos="0"/>
              </w:tabs>
              <w:jc w:val="center"/>
              <w:rPr>
                <w:b/>
                <w:szCs w:val="24"/>
                <w:lang w:eastAsia="ru-RU"/>
              </w:rPr>
            </w:pPr>
            <w:r w:rsidRPr="00C96416">
              <w:rPr>
                <w:b/>
                <w:szCs w:val="24"/>
                <w:lang w:eastAsia="ru-RU"/>
              </w:rPr>
              <w:t>Режим дозирования</w:t>
            </w:r>
          </w:p>
        </w:tc>
      </w:tr>
      <w:tr w:rsidR="00B37E1F" w:rsidRPr="00C96416" w14:paraId="3BCE5EC3" w14:textId="77777777" w:rsidTr="00B37E1F">
        <w:trPr>
          <w:jc w:val="center"/>
        </w:trPr>
        <w:tc>
          <w:tcPr>
            <w:tcW w:w="1942" w:type="dxa"/>
          </w:tcPr>
          <w:p w14:paraId="17F627C2" w14:textId="081E7ACB" w:rsidR="00B37E1F" w:rsidRPr="007B0ADC" w:rsidRDefault="00B37E1F" w:rsidP="002431B5">
            <w:pPr>
              <w:tabs>
                <w:tab w:val="left" w:pos="0"/>
              </w:tabs>
              <w:rPr>
                <w:szCs w:val="24"/>
                <w:lang w:val="en-US" w:eastAsia="ru-RU"/>
              </w:rPr>
            </w:pPr>
            <w:r>
              <w:rPr>
                <w:szCs w:val="24"/>
                <w:lang w:eastAsia="ru-RU"/>
              </w:rPr>
              <w:t>Ранитидин</w:t>
            </w:r>
            <w:r w:rsidR="007B0ADC">
              <w:rPr>
                <w:szCs w:val="24"/>
                <w:lang w:val="en-US" w:eastAsia="ru-RU"/>
              </w:rPr>
              <w:t>**</w:t>
            </w:r>
          </w:p>
        </w:tc>
        <w:tc>
          <w:tcPr>
            <w:tcW w:w="2268" w:type="dxa"/>
          </w:tcPr>
          <w:p w14:paraId="595FEBF8" w14:textId="77777777" w:rsidR="00B37E1F" w:rsidRPr="00C96416" w:rsidRDefault="00B37E1F" w:rsidP="002431B5">
            <w:pPr>
              <w:tabs>
                <w:tab w:val="left" w:pos="0"/>
              </w:tabs>
              <w:rPr>
                <w:szCs w:val="24"/>
                <w:lang w:eastAsia="ru-RU"/>
              </w:rPr>
            </w:pPr>
            <w:r>
              <w:rPr>
                <w:szCs w:val="24"/>
                <w:lang w:eastAsia="ru-RU"/>
              </w:rPr>
              <w:t>150</w:t>
            </w:r>
          </w:p>
        </w:tc>
        <w:tc>
          <w:tcPr>
            <w:tcW w:w="3358" w:type="dxa"/>
          </w:tcPr>
          <w:p w14:paraId="4FEC6AE9" w14:textId="77777777" w:rsidR="00B37E1F" w:rsidRPr="00C96416" w:rsidRDefault="00B37E1F" w:rsidP="002431B5">
            <w:pPr>
              <w:tabs>
                <w:tab w:val="left" w:pos="0"/>
              </w:tabs>
              <w:rPr>
                <w:szCs w:val="24"/>
                <w:lang w:eastAsia="ru-RU"/>
              </w:rPr>
            </w:pPr>
            <w:r>
              <w:rPr>
                <w:szCs w:val="24"/>
                <w:lang w:eastAsia="ru-RU"/>
              </w:rPr>
              <w:t>Внутрь, 1 раз в сутки, на ночь</w:t>
            </w:r>
          </w:p>
        </w:tc>
      </w:tr>
      <w:tr w:rsidR="00B37E1F" w:rsidRPr="00C96416" w14:paraId="032B315D" w14:textId="77777777" w:rsidTr="00B37E1F">
        <w:trPr>
          <w:jc w:val="center"/>
        </w:trPr>
        <w:tc>
          <w:tcPr>
            <w:tcW w:w="1942" w:type="dxa"/>
          </w:tcPr>
          <w:p w14:paraId="77162AD0" w14:textId="44B2DC64" w:rsidR="00B37E1F" w:rsidRPr="007B0ADC" w:rsidRDefault="00B37E1F" w:rsidP="002431B5">
            <w:pPr>
              <w:tabs>
                <w:tab w:val="left" w:pos="0"/>
              </w:tabs>
              <w:rPr>
                <w:szCs w:val="24"/>
                <w:lang w:val="en-US" w:eastAsia="ru-RU"/>
              </w:rPr>
            </w:pPr>
            <w:r>
              <w:rPr>
                <w:szCs w:val="24"/>
                <w:lang w:eastAsia="ru-RU"/>
              </w:rPr>
              <w:t>Фамотидин</w:t>
            </w:r>
            <w:r w:rsidR="007B0ADC">
              <w:rPr>
                <w:szCs w:val="24"/>
                <w:lang w:val="en-US" w:eastAsia="ru-RU"/>
              </w:rPr>
              <w:t>**</w:t>
            </w:r>
          </w:p>
        </w:tc>
        <w:tc>
          <w:tcPr>
            <w:tcW w:w="2268" w:type="dxa"/>
          </w:tcPr>
          <w:p w14:paraId="287574CF" w14:textId="77777777" w:rsidR="00B37E1F" w:rsidRPr="00C96416" w:rsidRDefault="00B37E1F" w:rsidP="002431B5">
            <w:pPr>
              <w:tabs>
                <w:tab w:val="left" w:pos="0"/>
              </w:tabs>
              <w:rPr>
                <w:szCs w:val="24"/>
                <w:lang w:eastAsia="ru-RU"/>
              </w:rPr>
            </w:pPr>
            <w:r>
              <w:rPr>
                <w:szCs w:val="24"/>
                <w:lang w:eastAsia="ru-RU"/>
              </w:rPr>
              <w:t>2</w:t>
            </w:r>
            <w:r w:rsidRPr="00C96416">
              <w:rPr>
                <w:szCs w:val="24"/>
                <w:lang w:eastAsia="ru-RU"/>
              </w:rPr>
              <w:t xml:space="preserve">0 </w:t>
            </w:r>
          </w:p>
        </w:tc>
        <w:tc>
          <w:tcPr>
            <w:tcW w:w="3358" w:type="dxa"/>
          </w:tcPr>
          <w:p w14:paraId="3D0EFDCB" w14:textId="77777777" w:rsidR="00B37E1F" w:rsidRDefault="00B37E1F" w:rsidP="002431B5">
            <w:r w:rsidRPr="00826EC3">
              <w:rPr>
                <w:szCs w:val="24"/>
                <w:lang w:eastAsia="ru-RU"/>
              </w:rPr>
              <w:t>Внутрь, 1 раз в сутки</w:t>
            </w:r>
            <w:r>
              <w:rPr>
                <w:szCs w:val="24"/>
                <w:lang w:eastAsia="ru-RU"/>
              </w:rPr>
              <w:t>, на ночь</w:t>
            </w:r>
          </w:p>
        </w:tc>
      </w:tr>
    </w:tbl>
    <w:p w14:paraId="2FD18742" w14:textId="77777777" w:rsidR="00F53B0A" w:rsidRPr="007B0ADC" w:rsidRDefault="00F53B0A" w:rsidP="002431B5">
      <w:pPr>
        <w:spacing w:before="0" w:after="0"/>
        <w:rPr>
          <w:b/>
          <w:highlight w:val="yellow"/>
        </w:rPr>
      </w:pPr>
    </w:p>
    <w:p w14:paraId="6BBC8AD1" w14:textId="2E131DFE" w:rsidR="00B37E1F" w:rsidRDefault="00B37E1F" w:rsidP="00F53B0A">
      <w:pPr>
        <w:spacing w:before="0" w:after="0"/>
      </w:pPr>
    </w:p>
    <w:p w14:paraId="3B26552F" w14:textId="77777777" w:rsidR="00B37E1F" w:rsidRDefault="00B37E1F" w:rsidP="002431B5">
      <w:pPr>
        <w:pStyle w:val="msonormalmrcssattr"/>
        <w:shd w:val="clear" w:color="auto" w:fill="FFFFFF"/>
        <w:rPr>
          <w:rFonts w:ascii="Arial" w:hAnsi="Arial" w:cs="Arial"/>
          <w:color w:val="333333"/>
          <w:sz w:val="23"/>
          <w:szCs w:val="23"/>
        </w:rPr>
      </w:pPr>
      <w:r w:rsidRPr="00FD15FE">
        <w:br w:type="page"/>
      </w:r>
    </w:p>
    <w:p w14:paraId="489EBD12" w14:textId="4DBA370A" w:rsidR="00B37E1F" w:rsidRPr="00430313" w:rsidRDefault="00B37E1F" w:rsidP="002431B5">
      <w:pPr>
        <w:pStyle w:val="2"/>
        <w:rPr>
          <w:rStyle w:val="ac"/>
          <w:b/>
        </w:rPr>
      </w:pPr>
      <w:bookmarkStart w:id="101" w:name="_Toc44926641"/>
      <w:bookmarkStart w:id="102" w:name="_Toc97734653"/>
      <w:r w:rsidRPr="00430313">
        <w:rPr>
          <w:rStyle w:val="ac"/>
          <w:b/>
        </w:rPr>
        <w:lastRenderedPageBreak/>
        <w:t xml:space="preserve">Приложение </w:t>
      </w:r>
      <w:r w:rsidR="00956A9E" w:rsidRPr="00430313">
        <w:rPr>
          <w:rStyle w:val="ac"/>
          <w:b/>
        </w:rPr>
        <w:t>А3.8</w:t>
      </w:r>
      <w:r w:rsidR="002D1222">
        <w:rPr>
          <w:rStyle w:val="ac"/>
          <w:b/>
        </w:rPr>
        <w:t xml:space="preserve">. </w:t>
      </w:r>
      <w:r w:rsidRPr="00430313">
        <w:rPr>
          <w:rStyle w:val="ac"/>
          <w:b/>
        </w:rPr>
        <w:t>Нутритивная терапия</w:t>
      </w:r>
      <w:bookmarkEnd w:id="101"/>
      <w:bookmarkEnd w:id="102"/>
    </w:p>
    <w:p w14:paraId="0CC842F2" w14:textId="77777777" w:rsidR="00B37E1F" w:rsidRPr="003E0025" w:rsidRDefault="00B37E1F" w:rsidP="008A2329">
      <w:pPr>
        <w:spacing w:before="0" w:after="0"/>
        <w:ind w:firstLine="567"/>
        <w:rPr>
          <w:szCs w:val="24"/>
        </w:rPr>
      </w:pPr>
      <w:r w:rsidRPr="003E0025">
        <w:rPr>
          <w:szCs w:val="24"/>
        </w:rPr>
        <w:t>Высокодозная химиотерапия с последующей ауто-ТГСК, длительный период гранулоцитопении, инфекционные осложнения, продолжительный период нахождения в стационаре – основные причины, приводящие к снижению поступления питательных веществ в организм и как следствие общей слабости, снижению физической активности, значимому уменьшению массы тела.</w:t>
      </w:r>
    </w:p>
    <w:p w14:paraId="79BCE480" w14:textId="3927EA73" w:rsidR="00B37E1F" w:rsidRPr="003E0025" w:rsidRDefault="00B37E1F" w:rsidP="008A2329">
      <w:pPr>
        <w:spacing w:before="0" w:after="0"/>
        <w:ind w:firstLine="567"/>
        <w:rPr>
          <w:szCs w:val="24"/>
        </w:rPr>
      </w:pPr>
      <w:r w:rsidRPr="003E0025">
        <w:rPr>
          <w:szCs w:val="24"/>
        </w:rPr>
        <w:t xml:space="preserve">Недостаточным следует считать питание, при котором пациент не может сам обеспечить поступление более чем 60% от своих энергетических потребностей в течение 1–2 недель </w:t>
      </w:r>
      <w:r w:rsidRPr="003E0025">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mendeley":{"formattedCitation":"[172]","plainTextFormattedCitation":"[172]","previouslyFormattedCitation":"[172]"},"properties":{"noteIndex":0},"schema":"https://github.com/citation-style-language/schema/raw/master/csl-citation.json"}</w:instrText>
      </w:r>
      <w:r w:rsidRPr="003E0025">
        <w:rPr>
          <w:szCs w:val="24"/>
        </w:rPr>
        <w:fldChar w:fldCharType="separate"/>
      </w:r>
      <w:r w:rsidR="00E430FD" w:rsidRPr="00E430FD">
        <w:rPr>
          <w:noProof/>
          <w:szCs w:val="24"/>
        </w:rPr>
        <w:t>[172]</w:t>
      </w:r>
      <w:r w:rsidRPr="003E0025">
        <w:rPr>
          <w:szCs w:val="24"/>
        </w:rPr>
        <w:fldChar w:fldCharType="end"/>
      </w:r>
      <w:r w:rsidRPr="003E0025">
        <w:rPr>
          <w:szCs w:val="24"/>
        </w:rPr>
        <w:t xml:space="preserve"> </w:t>
      </w:r>
      <w:r w:rsidRPr="003E0025">
        <w:rPr>
          <w:szCs w:val="24"/>
        </w:rPr>
        <w:fldChar w:fldCharType="begin" w:fldLock="1"/>
      </w:r>
      <w:r w:rsidR="00E430FD">
        <w:rPr>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mendeley":{"formattedCitation":"[173]","plainTextFormattedCitation":"[173]","previouslyFormattedCitation":"[173]"},"properties":{"noteIndex":0},"schema":"https://github.com/citation-style-language/schema/raw/master/csl-citation.json"}</w:instrText>
      </w:r>
      <w:r w:rsidRPr="003E0025">
        <w:rPr>
          <w:szCs w:val="24"/>
        </w:rPr>
        <w:fldChar w:fldCharType="separate"/>
      </w:r>
      <w:r w:rsidR="00E430FD" w:rsidRPr="00E430FD">
        <w:rPr>
          <w:noProof/>
          <w:szCs w:val="24"/>
        </w:rPr>
        <w:t>[173]</w:t>
      </w:r>
      <w:r w:rsidRPr="003E0025">
        <w:rPr>
          <w:szCs w:val="24"/>
        </w:rPr>
        <w:fldChar w:fldCharType="end"/>
      </w:r>
      <w:r w:rsidRPr="003E0025">
        <w:rPr>
          <w:szCs w:val="24"/>
        </w:rPr>
        <w:t>.</w:t>
      </w:r>
    </w:p>
    <w:p w14:paraId="5E96F13E" w14:textId="63814FD0" w:rsidR="00B37E1F" w:rsidRPr="003E0025" w:rsidRDefault="00B37E1F" w:rsidP="008A2329">
      <w:pPr>
        <w:spacing w:before="0" w:after="0"/>
        <w:ind w:firstLine="567"/>
        <w:rPr>
          <w:szCs w:val="24"/>
        </w:rPr>
      </w:pPr>
      <w:r w:rsidRPr="003E0025">
        <w:rPr>
          <w:szCs w:val="24"/>
        </w:rPr>
        <w:t>По данным ESPEN от 46 до 88% больных онкологического профиля в процессе противоопухолевого лечения требуют дополнительной нутритивной поддержк</w:t>
      </w:r>
      <w:r>
        <w:rPr>
          <w:szCs w:val="24"/>
        </w:rPr>
        <w:t>и</w:t>
      </w:r>
      <w:r w:rsidRPr="003E0025">
        <w:rPr>
          <w:szCs w:val="24"/>
        </w:rPr>
        <w:t xml:space="preserve"> </w:t>
      </w:r>
      <w:r w:rsidR="005E1A1B">
        <w:rPr>
          <w:szCs w:val="24"/>
        </w:rPr>
        <w:fldChar w:fldCharType="begin" w:fldLock="1"/>
      </w:r>
      <w:r w:rsidR="00E430FD">
        <w:rPr>
          <w:szCs w:val="24"/>
        </w:rPr>
        <w:instrText>ADDIN CSL_CITATION {"citationItems":[{"id":"ITEM-1","itemData":{"author":[{"dropping-particle":"","family":"Бесова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А.И.","non-dropping-particle":"","parse-names":false,"suffix":""}],"id":"ITEM-1","issued":{"date-parts":[["2014"]]},"title":"Клинические рекомендации по нутритивной поддержке при химиотерапии и/или лучевой терапии","type":"report"},"uris":["http://www.mendeley.com/documents/?uuid=59e000a3-48e0-4529-8954-5598c41cc72e"]},{"id":"ITEM-2","itemData":{"DOI":"10.1007/s12094-017-1757-4","ISSN":"16993055","PMID":"29043569","abstract":"Background: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c83d4cd9-a0be-448a-84b5-000651ccfa6e"]}],"mendeley":{"formattedCitation":"[173,174]","plainTextFormattedCitation":"[173,174]","previouslyFormattedCitation":"[173,174]"},"properties":{"noteIndex":0},"schema":"https://github.com/citation-style-language/schema/raw/master/csl-citation.json"}</w:instrText>
      </w:r>
      <w:r w:rsidR="005E1A1B">
        <w:rPr>
          <w:szCs w:val="24"/>
        </w:rPr>
        <w:fldChar w:fldCharType="separate"/>
      </w:r>
      <w:r w:rsidR="00E430FD" w:rsidRPr="00E430FD">
        <w:rPr>
          <w:noProof/>
          <w:szCs w:val="24"/>
        </w:rPr>
        <w:t>[173,174]</w:t>
      </w:r>
      <w:r w:rsidR="005E1A1B">
        <w:rPr>
          <w:szCs w:val="24"/>
        </w:rPr>
        <w:fldChar w:fldCharType="end"/>
      </w:r>
      <w:r w:rsidRPr="003E0025">
        <w:rPr>
          <w:szCs w:val="24"/>
        </w:rPr>
        <w:t>.</w:t>
      </w:r>
    </w:p>
    <w:p w14:paraId="5FB1C332" w14:textId="492DFD45" w:rsidR="00B37E1F" w:rsidRPr="003E0025" w:rsidRDefault="00B37E1F" w:rsidP="008A2329">
      <w:pPr>
        <w:spacing w:before="0" w:after="0"/>
        <w:ind w:firstLine="567"/>
        <w:rPr>
          <w:szCs w:val="24"/>
        </w:rPr>
      </w:pPr>
      <w:r w:rsidRPr="003E0025">
        <w:rPr>
          <w:szCs w:val="24"/>
        </w:rPr>
        <w:t xml:space="preserve">Нутритивная поддержка – это способ обеспечения полноценного питания больных с использованием специальных средств, максимально сбалансированных в количественном и качественном соотношении. Нутритивная поддержка необходима не только для поддержания метаболических резервов организма, но и для повышения его устойчивости к проводимой терапии </w:t>
      </w:r>
      <w:r w:rsidRPr="003E0025">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mendeley":{"formattedCitation":"[172]","plainTextFormattedCitation":"[172]","previouslyFormattedCitation":"[172]"},"properties":{"noteIndex":0},"schema":"https://github.com/citation-style-language/schema/raw/master/csl-citation.json"}</w:instrText>
      </w:r>
      <w:r w:rsidRPr="003E0025">
        <w:rPr>
          <w:szCs w:val="24"/>
        </w:rPr>
        <w:fldChar w:fldCharType="separate"/>
      </w:r>
      <w:r w:rsidR="00E430FD" w:rsidRPr="00E430FD">
        <w:rPr>
          <w:noProof/>
          <w:szCs w:val="24"/>
        </w:rPr>
        <w:t>[172]</w:t>
      </w:r>
      <w:r w:rsidRPr="003E0025">
        <w:rPr>
          <w:szCs w:val="24"/>
        </w:rPr>
        <w:fldChar w:fldCharType="end"/>
      </w:r>
      <w:r w:rsidRPr="003E0025">
        <w:rPr>
          <w:szCs w:val="24"/>
        </w:rPr>
        <w:t xml:space="preserve"> </w:t>
      </w:r>
      <w:r w:rsidRPr="003E0025">
        <w:rPr>
          <w:szCs w:val="24"/>
        </w:rPr>
        <w:fldChar w:fldCharType="begin" w:fldLock="1"/>
      </w:r>
      <w:r w:rsidR="00E430FD">
        <w:rPr>
          <w:szCs w:val="24"/>
        </w:rPr>
        <w:instrText>ADDIN CSL_CITATION {"citationItems":[{"id":"ITEM-1","itemData":{"DOI":"10.1016/j.clnu.2016.07.015","ISSN":"15321983","PMID":"27637832","abstract":"Cancers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Nutrition","id":"ITEM-1","issue":"1","issued":{"date-parts":[["2017"]]},"page":"11-48","publisher":"Churchill Livingstone","title":"ESPEN guidelines on nutrition in cancer patients","type":"article-journal","volume":"36"},"uris":["http://www.mendeley.com/documents/?uuid=2586b0c4-9eb6-4463-a0ba-87fe84fbad8f"]}],"mendeley":{"formattedCitation":"[175]","plainTextFormattedCitation":"[175]","previouslyFormattedCitation":"[175]"},"properties":{"noteIndex":0},"schema":"https://github.com/citation-style-language/schema/raw/master/csl-citation.json"}</w:instrText>
      </w:r>
      <w:r w:rsidRPr="003E0025">
        <w:rPr>
          <w:szCs w:val="24"/>
        </w:rPr>
        <w:fldChar w:fldCharType="separate"/>
      </w:r>
      <w:r w:rsidR="00E430FD" w:rsidRPr="00E430FD">
        <w:rPr>
          <w:noProof/>
          <w:szCs w:val="24"/>
        </w:rPr>
        <w:t>[175]</w:t>
      </w:r>
      <w:r w:rsidRPr="003E0025">
        <w:rPr>
          <w:szCs w:val="24"/>
        </w:rPr>
        <w:fldChar w:fldCharType="end"/>
      </w:r>
      <w:r w:rsidRPr="003E0025">
        <w:rPr>
          <w:szCs w:val="24"/>
        </w:rPr>
        <w:t>.</w:t>
      </w:r>
    </w:p>
    <w:p w14:paraId="419A2FAD" w14:textId="409FA246" w:rsidR="00B37E1F" w:rsidRPr="003E0025" w:rsidRDefault="00B37E1F" w:rsidP="008A2329">
      <w:pPr>
        <w:spacing w:before="0" w:after="0"/>
        <w:ind w:firstLine="567"/>
        <w:rPr>
          <w:szCs w:val="24"/>
        </w:rPr>
      </w:pPr>
      <w:r w:rsidRPr="003E0025">
        <w:rPr>
          <w:b/>
          <w:szCs w:val="24"/>
        </w:rPr>
        <w:t>Цели нутритивной поддержки</w:t>
      </w:r>
      <w:r w:rsidRPr="003E0025">
        <w:rPr>
          <w:szCs w:val="24"/>
        </w:rPr>
        <w:t xml:space="preserve"> </w:t>
      </w:r>
      <w:r w:rsidRPr="003E0025">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mendeley":{"formattedCitation":"[172]","plainTextFormattedCitation":"[172]","previouslyFormattedCitation":"[172]"},"properties":{"noteIndex":0},"schema":"https://github.com/citation-style-language/schema/raw/master/csl-citation.json"}</w:instrText>
      </w:r>
      <w:r w:rsidRPr="003E0025">
        <w:rPr>
          <w:szCs w:val="24"/>
        </w:rPr>
        <w:fldChar w:fldCharType="separate"/>
      </w:r>
      <w:r w:rsidR="00E430FD" w:rsidRPr="00E430FD">
        <w:rPr>
          <w:noProof/>
          <w:szCs w:val="24"/>
        </w:rPr>
        <w:t>[172]</w:t>
      </w:r>
      <w:r w:rsidRPr="003E0025">
        <w:rPr>
          <w:szCs w:val="24"/>
        </w:rPr>
        <w:fldChar w:fldCharType="end"/>
      </w:r>
      <w:r w:rsidRPr="003E0025">
        <w:rPr>
          <w:szCs w:val="24"/>
        </w:rPr>
        <w:t xml:space="preserve"> </w:t>
      </w:r>
      <w:r w:rsidRPr="003E0025">
        <w:rPr>
          <w:szCs w:val="24"/>
        </w:rPr>
        <w:fldChar w:fldCharType="begin" w:fldLock="1"/>
      </w:r>
      <w:r w:rsidR="00E430FD">
        <w:rPr>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mendeley":{"formattedCitation":"[173]","plainTextFormattedCitation":"[173]","previouslyFormattedCitation":"[173]"},"properties":{"noteIndex":0},"schema":"https://github.com/citation-style-language/schema/raw/master/csl-citation.json"}</w:instrText>
      </w:r>
      <w:r w:rsidRPr="003E0025">
        <w:rPr>
          <w:szCs w:val="24"/>
        </w:rPr>
        <w:fldChar w:fldCharType="separate"/>
      </w:r>
      <w:r w:rsidR="00E430FD" w:rsidRPr="00E430FD">
        <w:rPr>
          <w:noProof/>
          <w:szCs w:val="24"/>
        </w:rPr>
        <w:t>[173]</w:t>
      </w:r>
      <w:r w:rsidRPr="003E0025">
        <w:rPr>
          <w:szCs w:val="24"/>
        </w:rPr>
        <w:fldChar w:fldCharType="end"/>
      </w:r>
      <w:r w:rsidRPr="003E0025">
        <w:rPr>
          <w:szCs w:val="24"/>
        </w:rPr>
        <w:t xml:space="preserve">. </w:t>
      </w:r>
    </w:p>
    <w:p w14:paraId="5323E9DF" w14:textId="77777777" w:rsidR="00B37E1F" w:rsidRPr="003E0025" w:rsidRDefault="00B37E1F" w:rsidP="008A2329">
      <w:pPr>
        <w:spacing w:before="0" w:after="0"/>
        <w:ind w:firstLine="567"/>
        <w:rPr>
          <w:szCs w:val="24"/>
        </w:rPr>
      </w:pPr>
      <w:r w:rsidRPr="003E0025">
        <w:rPr>
          <w:szCs w:val="24"/>
        </w:rPr>
        <w:t>• Поддержание оптимальной массы тела.</w:t>
      </w:r>
    </w:p>
    <w:p w14:paraId="23CFEAAD" w14:textId="77777777" w:rsidR="00B37E1F" w:rsidRPr="003E0025" w:rsidRDefault="00B37E1F" w:rsidP="008A2329">
      <w:pPr>
        <w:spacing w:before="0" w:after="0"/>
        <w:ind w:firstLine="567"/>
        <w:rPr>
          <w:szCs w:val="24"/>
        </w:rPr>
      </w:pPr>
      <w:r w:rsidRPr="003E0025">
        <w:rPr>
          <w:szCs w:val="24"/>
        </w:rPr>
        <w:t>• Предотвращение или коррекция дефицита макро- и микронутриентов.</w:t>
      </w:r>
    </w:p>
    <w:p w14:paraId="7A6AC071" w14:textId="77777777" w:rsidR="00B37E1F" w:rsidRPr="003E0025" w:rsidRDefault="00B37E1F" w:rsidP="008A2329">
      <w:pPr>
        <w:spacing w:before="0" w:after="0"/>
        <w:ind w:firstLine="567"/>
        <w:rPr>
          <w:szCs w:val="24"/>
        </w:rPr>
      </w:pPr>
      <w:r w:rsidRPr="003E0025">
        <w:rPr>
          <w:szCs w:val="24"/>
        </w:rPr>
        <w:t>• Повышение переносимости высокодозной ХТ.</w:t>
      </w:r>
    </w:p>
    <w:p w14:paraId="6C65A7D5" w14:textId="77777777" w:rsidR="00B37E1F" w:rsidRPr="003E0025" w:rsidRDefault="00B37E1F" w:rsidP="008A2329">
      <w:pPr>
        <w:spacing w:before="0" w:after="0"/>
        <w:ind w:firstLine="567"/>
        <w:rPr>
          <w:szCs w:val="24"/>
        </w:rPr>
      </w:pPr>
      <w:r w:rsidRPr="003E0025">
        <w:rPr>
          <w:szCs w:val="24"/>
        </w:rPr>
        <w:t>• Снижение выраженности побочных эффектов ХТ.</w:t>
      </w:r>
    </w:p>
    <w:p w14:paraId="12E48F17" w14:textId="77777777" w:rsidR="00B37E1F" w:rsidRPr="003E0025" w:rsidRDefault="00B37E1F" w:rsidP="008A2329">
      <w:pPr>
        <w:spacing w:before="0" w:after="0"/>
        <w:ind w:firstLine="567"/>
        <w:rPr>
          <w:szCs w:val="24"/>
        </w:rPr>
      </w:pPr>
      <w:r w:rsidRPr="003E0025">
        <w:rPr>
          <w:szCs w:val="24"/>
        </w:rPr>
        <w:t>• Повышение качества жизни.</w:t>
      </w:r>
    </w:p>
    <w:p w14:paraId="655230CE" w14:textId="77777777" w:rsidR="00B37E1F" w:rsidRPr="003E0025" w:rsidRDefault="00B37E1F" w:rsidP="008A2329">
      <w:pPr>
        <w:spacing w:before="0" w:after="0"/>
        <w:ind w:firstLine="567"/>
        <w:rPr>
          <w:b/>
          <w:szCs w:val="24"/>
        </w:rPr>
      </w:pPr>
      <w:r w:rsidRPr="003E0025">
        <w:rPr>
          <w:b/>
          <w:szCs w:val="24"/>
        </w:rPr>
        <w:t xml:space="preserve">Показания к нутритивной поддержке </w:t>
      </w:r>
    </w:p>
    <w:p w14:paraId="1D274BAB" w14:textId="77777777" w:rsidR="00B37E1F" w:rsidRPr="003E0025" w:rsidRDefault="00B37E1F" w:rsidP="008A2329">
      <w:pPr>
        <w:spacing w:before="0" w:after="0"/>
        <w:ind w:firstLine="567"/>
        <w:rPr>
          <w:szCs w:val="24"/>
        </w:rPr>
      </w:pPr>
      <w:r w:rsidRPr="003E0025">
        <w:rPr>
          <w:szCs w:val="24"/>
        </w:rPr>
        <w:t>Скрининг недостаточности питания должен проводиться на протяжении всего периода лечения. Для диагностики степени недостаточности питания предложено много критериев, основными из которых являются:</w:t>
      </w:r>
    </w:p>
    <w:p w14:paraId="078EAA21" w14:textId="77777777" w:rsidR="00B37E1F" w:rsidRPr="003E0025" w:rsidRDefault="00B37E1F" w:rsidP="0024404E">
      <w:pPr>
        <w:pStyle w:val="a6"/>
        <w:numPr>
          <w:ilvl w:val="0"/>
          <w:numId w:val="59"/>
        </w:numPr>
        <w:spacing w:before="0" w:after="0"/>
        <w:ind w:left="0" w:firstLine="567"/>
        <w:rPr>
          <w:szCs w:val="24"/>
        </w:rPr>
      </w:pPr>
      <w:r w:rsidRPr="003E0025">
        <w:rPr>
          <w:szCs w:val="24"/>
        </w:rPr>
        <w:t xml:space="preserve">индекс массы тела </w:t>
      </w:r>
      <w:proofErr w:type="gramStart"/>
      <w:r w:rsidRPr="003E0025">
        <w:rPr>
          <w:szCs w:val="24"/>
        </w:rPr>
        <w:t>&lt; 20</w:t>
      </w:r>
      <w:proofErr w:type="gramEnd"/>
      <w:r w:rsidRPr="003E0025">
        <w:rPr>
          <w:szCs w:val="24"/>
        </w:rPr>
        <w:t xml:space="preserve"> кг/м2;</w:t>
      </w:r>
    </w:p>
    <w:p w14:paraId="072160A6" w14:textId="77777777" w:rsidR="00B37E1F" w:rsidRPr="003E0025" w:rsidRDefault="00B37E1F" w:rsidP="0024404E">
      <w:pPr>
        <w:pStyle w:val="a6"/>
        <w:numPr>
          <w:ilvl w:val="0"/>
          <w:numId w:val="59"/>
        </w:numPr>
        <w:spacing w:before="0" w:after="0"/>
        <w:ind w:left="0" w:firstLine="567"/>
        <w:rPr>
          <w:szCs w:val="24"/>
        </w:rPr>
      </w:pPr>
      <w:r w:rsidRPr="003E0025">
        <w:rPr>
          <w:szCs w:val="24"/>
        </w:rPr>
        <w:t>темп потери массы тела;</w:t>
      </w:r>
    </w:p>
    <w:p w14:paraId="26857DAC" w14:textId="77777777" w:rsidR="00B37E1F" w:rsidRPr="003E0025" w:rsidRDefault="00B37E1F" w:rsidP="0024404E">
      <w:pPr>
        <w:pStyle w:val="a6"/>
        <w:numPr>
          <w:ilvl w:val="0"/>
          <w:numId w:val="59"/>
        </w:numPr>
        <w:spacing w:before="0" w:after="0"/>
        <w:ind w:left="0" w:firstLine="567"/>
        <w:rPr>
          <w:szCs w:val="24"/>
        </w:rPr>
      </w:pPr>
      <w:r w:rsidRPr="003E0025">
        <w:rPr>
          <w:szCs w:val="24"/>
        </w:rPr>
        <w:t xml:space="preserve">гипопротеинемия </w:t>
      </w:r>
      <w:proofErr w:type="gramStart"/>
      <w:r w:rsidRPr="003E0025">
        <w:rPr>
          <w:szCs w:val="24"/>
        </w:rPr>
        <w:t>&lt; 60</w:t>
      </w:r>
      <w:proofErr w:type="gramEnd"/>
      <w:r w:rsidRPr="003E0025">
        <w:rPr>
          <w:szCs w:val="24"/>
        </w:rPr>
        <w:t xml:space="preserve"> г/л или гипоальбуминемия &lt; 30 г/л.;</w:t>
      </w:r>
    </w:p>
    <w:p w14:paraId="6A330041" w14:textId="77777777" w:rsidR="00B37E1F" w:rsidRPr="003E0025" w:rsidRDefault="00B37E1F" w:rsidP="0024404E">
      <w:pPr>
        <w:pStyle w:val="a6"/>
        <w:numPr>
          <w:ilvl w:val="0"/>
          <w:numId w:val="59"/>
        </w:numPr>
        <w:spacing w:before="0" w:after="0"/>
        <w:ind w:left="0" w:firstLine="567"/>
        <w:rPr>
          <w:szCs w:val="24"/>
        </w:rPr>
      </w:pPr>
      <w:r w:rsidRPr="003E0025">
        <w:rPr>
          <w:szCs w:val="24"/>
        </w:rPr>
        <w:t>невозможность адекватного энтерального питания;</w:t>
      </w:r>
    </w:p>
    <w:p w14:paraId="419DB679" w14:textId="77777777" w:rsidR="00B37E1F" w:rsidRPr="003E0025" w:rsidRDefault="00B37E1F" w:rsidP="0024404E">
      <w:pPr>
        <w:pStyle w:val="a6"/>
        <w:numPr>
          <w:ilvl w:val="0"/>
          <w:numId w:val="59"/>
        </w:numPr>
        <w:spacing w:before="0" w:after="0"/>
        <w:ind w:left="0" w:firstLine="567"/>
        <w:rPr>
          <w:szCs w:val="24"/>
        </w:rPr>
      </w:pPr>
      <w:r w:rsidRPr="003E0025">
        <w:rPr>
          <w:szCs w:val="24"/>
        </w:rPr>
        <w:t xml:space="preserve">побочные проявления высокодозной химиотерапии: </w:t>
      </w:r>
    </w:p>
    <w:p w14:paraId="5A6E1945" w14:textId="77777777" w:rsidR="00B37E1F" w:rsidRPr="003E0025" w:rsidRDefault="00B37E1F" w:rsidP="0024404E">
      <w:pPr>
        <w:pStyle w:val="a6"/>
        <w:numPr>
          <w:ilvl w:val="0"/>
          <w:numId w:val="59"/>
        </w:numPr>
        <w:spacing w:before="0" w:after="0"/>
        <w:ind w:left="0" w:firstLine="567"/>
        <w:rPr>
          <w:szCs w:val="24"/>
        </w:rPr>
      </w:pPr>
      <w:r w:rsidRPr="003E0025">
        <w:rPr>
          <w:szCs w:val="24"/>
        </w:rPr>
        <w:t>тошнота,</w:t>
      </w:r>
    </w:p>
    <w:p w14:paraId="4CCC59B0" w14:textId="77777777" w:rsidR="00B37E1F" w:rsidRPr="003E0025" w:rsidRDefault="00B37E1F" w:rsidP="0024404E">
      <w:pPr>
        <w:pStyle w:val="a6"/>
        <w:numPr>
          <w:ilvl w:val="0"/>
          <w:numId w:val="59"/>
        </w:numPr>
        <w:spacing w:before="0" w:after="0"/>
        <w:ind w:left="0" w:firstLine="567"/>
        <w:rPr>
          <w:szCs w:val="24"/>
        </w:rPr>
      </w:pPr>
      <w:r w:rsidRPr="003E0025">
        <w:rPr>
          <w:szCs w:val="24"/>
        </w:rPr>
        <w:t xml:space="preserve">рвота, </w:t>
      </w:r>
    </w:p>
    <w:p w14:paraId="569984CF" w14:textId="77777777" w:rsidR="00B37E1F" w:rsidRPr="003E0025" w:rsidRDefault="00B37E1F" w:rsidP="0024404E">
      <w:pPr>
        <w:pStyle w:val="a6"/>
        <w:numPr>
          <w:ilvl w:val="0"/>
          <w:numId w:val="59"/>
        </w:numPr>
        <w:spacing w:before="0" w:after="0"/>
        <w:ind w:left="0" w:firstLine="567"/>
        <w:rPr>
          <w:szCs w:val="24"/>
        </w:rPr>
      </w:pPr>
      <w:r w:rsidRPr="003E0025">
        <w:rPr>
          <w:szCs w:val="24"/>
        </w:rPr>
        <w:lastRenderedPageBreak/>
        <w:t xml:space="preserve">потеря аппетита, </w:t>
      </w:r>
    </w:p>
    <w:p w14:paraId="5A88EB2A" w14:textId="77777777" w:rsidR="00B37E1F" w:rsidRPr="003E0025" w:rsidRDefault="00B37E1F" w:rsidP="0024404E">
      <w:pPr>
        <w:pStyle w:val="a6"/>
        <w:numPr>
          <w:ilvl w:val="0"/>
          <w:numId w:val="59"/>
        </w:numPr>
        <w:spacing w:before="0" w:after="0"/>
        <w:ind w:left="0" w:firstLine="567"/>
        <w:rPr>
          <w:szCs w:val="24"/>
        </w:rPr>
      </w:pPr>
      <w:r w:rsidRPr="003E0025">
        <w:rPr>
          <w:szCs w:val="24"/>
        </w:rPr>
        <w:t xml:space="preserve">дисфагия, </w:t>
      </w:r>
    </w:p>
    <w:p w14:paraId="51B28EA9" w14:textId="77777777" w:rsidR="00B37E1F" w:rsidRPr="003E0025" w:rsidRDefault="00B37E1F" w:rsidP="0024404E">
      <w:pPr>
        <w:pStyle w:val="a6"/>
        <w:numPr>
          <w:ilvl w:val="0"/>
          <w:numId w:val="59"/>
        </w:numPr>
        <w:spacing w:before="0" w:after="0"/>
        <w:ind w:left="0" w:firstLine="567"/>
        <w:rPr>
          <w:szCs w:val="24"/>
        </w:rPr>
      </w:pPr>
      <w:r w:rsidRPr="003E0025">
        <w:rPr>
          <w:szCs w:val="24"/>
        </w:rPr>
        <w:t>мукозиты различной степени тяжести,</w:t>
      </w:r>
    </w:p>
    <w:p w14:paraId="4A17D285" w14:textId="77777777" w:rsidR="00B37E1F" w:rsidRPr="003E0025" w:rsidRDefault="00B37E1F" w:rsidP="0024404E">
      <w:pPr>
        <w:pStyle w:val="a6"/>
        <w:numPr>
          <w:ilvl w:val="0"/>
          <w:numId w:val="59"/>
        </w:numPr>
        <w:spacing w:before="0" w:after="0"/>
        <w:ind w:left="0" w:firstLine="567"/>
        <w:rPr>
          <w:szCs w:val="24"/>
        </w:rPr>
      </w:pPr>
      <w:r w:rsidRPr="003E0025">
        <w:rPr>
          <w:szCs w:val="24"/>
        </w:rPr>
        <w:t xml:space="preserve">нарушения вкуса и обоняния, </w:t>
      </w:r>
    </w:p>
    <w:p w14:paraId="0EF40C17" w14:textId="77777777" w:rsidR="00B37E1F" w:rsidRPr="003E0025" w:rsidRDefault="00B37E1F" w:rsidP="0024404E">
      <w:pPr>
        <w:pStyle w:val="a6"/>
        <w:numPr>
          <w:ilvl w:val="0"/>
          <w:numId w:val="59"/>
        </w:numPr>
        <w:spacing w:before="0" w:after="0"/>
        <w:ind w:left="0" w:firstLine="567"/>
        <w:rPr>
          <w:szCs w:val="24"/>
        </w:rPr>
      </w:pPr>
      <w:r w:rsidRPr="003E0025">
        <w:rPr>
          <w:szCs w:val="24"/>
        </w:rPr>
        <w:t>некротическая энтеропатия средней и тяжелой степени.</w:t>
      </w:r>
    </w:p>
    <w:p w14:paraId="438084AE" w14:textId="5479F3A2" w:rsidR="00B37E1F" w:rsidRPr="003E0025" w:rsidRDefault="00B37E1F" w:rsidP="008A2329">
      <w:pPr>
        <w:spacing w:before="0" w:after="0"/>
        <w:ind w:firstLine="567"/>
        <w:rPr>
          <w:szCs w:val="24"/>
        </w:rPr>
      </w:pPr>
      <w:r w:rsidRPr="003E0025">
        <w:rPr>
          <w:szCs w:val="24"/>
        </w:rPr>
        <w:t xml:space="preserve">Своевременное выявление пациентов из группы нутритивного риска позволяет защитить пациента от прогрессирующей потери массы тела и развития рефрактерной кахексии. Для первичного скрининга можно использовать хорошо зарекомендовавшие себя шкалы, такие как NRS-2002, ИНР (индекс нарушения питания по Buzby G.P.), бальную шкалу А.Б.В.Г. (ESMO, 2008), индекс массы тела по Кетле и другие </w:t>
      </w:r>
      <w:r w:rsidRPr="003E0025">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mendeley":{"formattedCitation":"[172]","plainTextFormattedCitation":"[172]","previouslyFormattedCitation":"[172]"},"properties":{"noteIndex":0},"schema":"https://github.com/citation-style-language/schema/raw/master/csl-citation.json"}</w:instrText>
      </w:r>
      <w:r w:rsidRPr="003E0025">
        <w:rPr>
          <w:szCs w:val="24"/>
        </w:rPr>
        <w:fldChar w:fldCharType="separate"/>
      </w:r>
      <w:r w:rsidR="00E430FD" w:rsidRPr="00E430FD">
        <w:rPr>
          <w:noProof/>
          <w:szCs w:val="24"/>
        </w:rPr>
        <w:t>[172]</w:t>
      </w:r>
      <w:r w:rsidRPr="003E0025">
        <w:rPr>
          <w:szCs w:val="24"/>
        </w:rPr>
        <w:fldChar w:fldCharType="end"/>
      </w:r>
      <w:r w:rsidRPr="003E0025">
        <w:rPr>
          <w:szCs w:val="24"/>
        </w:rPr>
        <w:t xml:space="preserve"> </w:t>
      </w:r>
      <w:r w:rsidRPr="003E0025">
        <w:rPr>
          <w:szCs w:val="24"/>
        </w:rPr>
        <w:fldChar w:fldCharType="begin" w:fldLock="1"/>
      </w:r>
      <w:r w:rsidR="00E430FD">
        <w:rPr>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mendeley":{"formattedCitation":"[173]","plainTextFormattedCitation":"[173]","previouslyFormattedCitation":"[173]"},"properties":{"noteIndex":0},"schema":"https://github.com/citation-style-language/schema/raw/master/csl-citation.json"}</w:instrText>
      </w:r>
      <w:r w:rsidRPr="003E0025">
        <w:rPr>
          <w:szCs w:val="24"/>
        </w:rPr>
        <w:fldChar w:fldCharType="separate"/>
      </w:r>
      <w:r w:rsidR="00E430FD" w:rsidRPr="00E430FD">
        <w:rPr>
          <w:noProof/>
          <w:szCs w:val="24"/>
        </w:rPr>
        <w:t>[173]</w:t>
      </w:r>
      <w:r w:rsidRPr="003E0025">
        <w:rPr>
          <w:szCs w:val="24"/>
        </w:rPr>
        <w:fldChar w:fldCharType="end"/>
      </w:r>
      <w:r w:rsidRPr="003E0025">
        <w:rPr>
          <w:szCs w:val="24"/>
        </w:rPr>
        <w:t xml:space="preserve"> </w:t>
      </w:r>
      <w:r w:rsidRPr="003E0025">
        <w:rPr>
          <w:szCs w:val="24"/>
        </w:rPr>
        <w:fldChar w:fldCharType="begin" w:fldLock="1"/>
      </w:r>
      <w:r w:rsidR="00E430FD">
        <w:rPr>
          <w:szCs w:val="24"/>
        </w:rPr>
        <w:instrText>ADDIN CSL_CITATION {"citationItems":[{"id":"ITEM-1","itemData":{"author":[{"dropping-particle":"","family":"Бесова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А.И.","non-dropping-particle":"","parse-names":false,"suffix":""}],"id":"ITEM-1","issued":{"date-parts":[["2014"]]},"title":"Клинические рекомендации по нутритивной поддержке при химиотерапии и/или лучевой терапии","type":"report"},"uris":["http://www.mendeley.com/documents/?uuid=59e000a3-48e0-4529-8954-5598c41cc72e"]}],"mendeley":{"formattedCitation":"[174]","plainTextFormattedCitation":"[174]","previouslyFormattedCitation":"[174]"},"properties":{"noteIndex":0},"schema":"https://github.com/citation-style-language/schema/raw/master/csl-citation.json"}</w:instrText>
      </w:r>
      <w:r w:rsidRPr="003E0025">
        <w:rPr>
          <w:szCs w:val="24"/>
        </w:rPr>
        <w:fldChar w:fldCharType="separate"/>
      </w:r>
      <w:r w:rsidR="00E430FD" w:rsidRPr="00E430FD">
        <w:rPr>
          <w:noProof/>
          <w:szCs w:val="24"/>
        </w:rPr>
        <w:t>[174]</w:t>
      </w:r>
      <w:r w:rsidRPr="003E0025">
        <w:rPr>
          <w:szCs w:val="24"/>
        </w:rPr>
        <w:fldChar w:fldCharType="end"/>
      </w:r>
      <w:r w:rsidRPr="003E0025">
        <w:rPr>
          <w:szCs w:val="24"/>
        </w:rPr>
        <w:t xml:space="preserve">. </w:t>
      </w:r>
    </w:p>
    <w:p w14:paraId="346ED523" w14:textId="7C0AA030" w:rsidR="00B37E1F" w:rsidRPr="003E0025" w:rsidRDefault="00B37E1F" w:rsidP="008A2329">
      <w:pPr>
        <w:spacing w:before="0" w:after="0"/>
        <w:ind w:firstLine="567"/>
        <w:rPr>
          <w:szCs w:val="24"/>
        </w:rPr>
      </w:pPr>
      <w:r w:rsidRPr="003E0025">
        <w:rPr>
          <w:szCs w:val="24"/>
        </w:rPr>
        <w:t xml:space="preserve">В том случае, если проведение энтерального питания невозможно или неэффективно, необходимо назначать парентеральное питание </w:t>
      </w:r>
      <w:r w:rsidRPr="003E0025">
        <w:rPr>
          <w:szCs w:val="24"/>
        </w:rPr>
        <w:fldChar w:fldCharType="begin" w:fldLock="1"/>
      </w:r>
      <w:r w:rsidR="00E430FD">
        <w:rPr>
          <w:szCs w:val="24"/>
        </w:rPr>
        <w:instrText>ADDIN CSL_CITATION {"citationItems":[{"id":"ITEM-1","itemData":{"DOI":"10.20960/nh.1361","ISSN":"0212-1611","abstract":"Introducción: La malnutrición es un problema médico frecuente de los pacientes oncológicos que impacta de forma negativa en la calidad de vida. Objetivo: analizar y dar respuesta a diferentes cuestiones a la hora de afrontar el manejo nutricional de un paciente oncológico en la práctica clínica. Métodos: Un grupo multidisciplinar de expertos en Oncología Médica, Farmacia y Nutrición elaboró una lista de temas relacionados con el estado nutricional del paciente oncológico, que fueron agrupados en tres bloques: soporte nutricional; nutrición parenteral (NP) y NP domiciliaria (NPD) en el paciente oncológico. Se realizó una revisión de la literatura que incluyó artículos publicados en español, inglés y francés hasta abril de 2017. El documento se estructuró como un cuestionario con aquellas preguntas que, según el criterio del panel, podrían generar mayor controversia o duda. Resultados: De las 17 cuestiones abordadas, 9 versaron sobre el soporte nutricional; 5 relacionadas con la NP y 3 trataron sobre la NPD. Dentro de las recomendaciones del panel destacar que, en el paciente oncológico, la NP está indicada principalmente cuando no es posible el uso del tubo digestivo y/o la alimentación oral y/o la nutrición enteral no es suficiente o posible. Además, el objetivo de la NPD es mejorar o mantener, el estado de nutrición de un paciente en el ámbito domiciliario. Conclusiones: Esta revisión constituye una herramienta para oncólogos y especialistas responsables del manejo nutricional del paciente con cáncer.","author":[{"dropping-particle":"","family":"Camblor-Álvarez","given":"Miguel","non-dropping-particle":"","parse-names":false,"suffix":""},{"dropping-particle":"","family":"Ocón-Bretón","given":"María Julia","non-dropping-particle":"","parse-names":false,"suffix":""},{"dropping-particle":"","family":"Luengo-Pérez","given":"Luis Miguel","non-dropping-particle":"","parse-names":false,"suffix":""},{"dropping-particle":"","family":"Viruzuela","given":"Juan Antonio","non-dropping-particle":"","parse-names":false,"suffix":""},{"dropping-particle":"","family":"Sendrós-Maroño","given":"María José","non-dropping-particle":"","parse-names":false,"suffix":""},{"dropping-particle":"","family":"Cervera-Peris","given":"Mercedes","non-dropping-particle":"","parse-names":false,"suffix":""},{"dropping-particle":"","family":"Grande","given":"Enrique","non-dropping-particle":"","parse-names":false,"suffix":""},{"dropping-particle":"","family":"Álvarez-Hernández","given":"Julia","non-dropping-particle":"","parse-names":false,"suffix":""},{"dropping-particle":"","family":"Jiménez-Fonseca","given":"Paula","non-dropping-particle":"","parse-names":false,"suffix":""}],"container-title":"Nutrición Hospitalaria","id":"ITEM-1","issue":"1","issued":{"date-parts":[["2018","1"]]},"publisher":"ARAN Ediciones","title":"Soporte nutricional y nutrición parenteral en el paciente oncológico: informe de consenso de un grupo de expertos","type":"article-journal","volume":"35"},"uris":["http://www.mendeley.com/documents/?uuid=28ec27e8-82e5-449f-987c-7f22bad4f962"]}],"mendeley":{"formattedCitation":"[176]","plainTextFormattedCitation":"[176]","previouslyFormattedCitation":"[176]"},"properties":{"noteIndex":0},"schema":"https://github.com/citation-style-language/schema/raw/master/csl-citation.json"}</w:instrText>
      </w:r>
      <w:r w:rsidRPr="003E0025">
        <w:rPr>
          <w:szCs w:val="24"/>
        </w:rPr>
        <w:fldChar w:fldCharType="separate"/>
      </w:r>
      <w:r w:rsidR="00E430FD" w:rsidRPr="00E430FD">
        <w:rPr>
          <w:noProof/>
          <w:szCs w:val="24"/>
        </w:rPr>
        <w:t>[176]</w:t>
      </w:r>
      <w:r w:rsidRPr="003E0025">
        <w:rPr>
          <w:szCs w:val="24"/>
        </w:rPr>
        <w:fldChar w:fldCharType="end"/>
      </w:r>
      <w:r w:rsidRPr="003E0025">
        <w:rPr>
          <w:szCs w:val="24"/>
        </w:rPr>
        <w:t xml:space="preserve">. Доставка белка должна быть не менее 1 г/кг/сут, однако при возможности нужно стремиться к 1,5 г/кг/сут. </w:t>
      </w:r>
    </w:p>
    <w:p w14:paraId="1AF375F6" w14:textId="60D9E095" w:rsidR="00B37E1F" w:rsidRPr="003E0025" w:rsidRDefault="00B37E1F" w:rsidP="008A2329">
      <w:pPr>
        <w:spacing w:before="0" w:after="0"/>
        <w:ind w:firstLine="567"/>
        <w:rPr>
          <w:szCs w:val="24"/>
        </w:rPr>
      </w:pPr>
      <w:r w:rsidRPr="003E0025">
        <w:rPr>
          <w:szCs w:val="24"/>
        </w:rPr>
        <w:t xml:space="preserve">У больных с сопутствующей хронической почечной недостаточностью белковое обеспечение не должно превышать 1–1,2 г/кг/сут. Энергетическое обеспечение больного с онкологическим заболеванием следует поддерживать на уровне 25–30 ккал/кг/сут </w:t>
      </w:r>
      <w:r w:rsidRPr="003E0025">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mendeley":{"formattedCitation":"[172]","plainTextFormattedCitation":"[172]","previouslyFormattedCitation":"[172]"},"properties":{"noteIndex":0},"schema":"https://github.com/citation-style-language/schema/raw/master/csl-citation.json"}</w:instrText>
      </w:r>
      <w:r w:rsidRPr="003E0025">
        <w:rPr>
          <w:szCs w:val="24"/>
        </w:rPr>
        <w:fldChar w:fldCharType="separate"/>
      </w:r>
      <w:r w:rsidR="00E430FD" w:rsidRPr="00E430FD">
        <w:rPr>
          <w:noProof/>
          <w:szCs w:val="24"/>
        </w:rPr>
        <w:t>[172]</w:t>
      </w:r>
      <w:r w:rsidRPr="003E0025">
        <w:rPr>
          <w:szCs w:val="24"/>
        </w:rPr>
        <w:fldChar w:fldCharType="end"/>
      </w:r>
      <w:r w:rsidRPr="003E0025">
        <w:rPr>
          <w:szCs w:val="24"/>
        </w:rPr>
        <w:t xml:space="preserve"> </w:t>
      </w:r>
      <w:r w:rsidRPr="003E0025">
        <w:rPr>
          <w:szCs w:val="24"/>
        </w:rPr>
        <w:fldChar w:fldCharType="begin" w:fldLock="1"/>
      </w:r>
      <w:r w:rsidR="00E430FD">
        <w:rPr>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mendeley":{"formattedCitation":"[173]","plainTextFormattedCitation":"[173]","previouslyFormattedCitation":"[173]"},"properties":{"noteIndex":0},"schema":"https://github.com/citation-style-language/schema/raw/master/csl-citation.json"}</w:instrText>
      </w:r>
      <w:r w:rsidRPr="003E0025">
        <w:rPr>
          <w:szCs w:val="24"/>
        </w:rPr>
        <w:fldChar w:fldCharType="separate"/>
      </w:r>
      <w:r w:rsidR="00E430FD" w:rsidRPr="00E430FD">
        <w:rPr>
          <w:noProof/>
          <w:szCs w:val="24"/>
        </w:rPr>
        <w:t>[173]</w:t>
      </w:r>
      <w:r w:rsidRPr="003E0025">
        <w:rPr>
          <w:szCs w:val="24"/>
        </w:rPr>
        <w:fldChar w:fldCharType="end"/>
      </w:r>
      <w:r w:rsidRPr="003E0025">
        <w:rPr>
          <w:szCs w:val="24"/>
        </w:rPr>
        <w:t>.</w:t>
      </w:r>
    </w:p>
    <w:p w14:paraId="09011478" w14:textId="01B72D35" w:rsidR="00B37E1F" w:rsidRPr="003E0025" w:rsidRDefault="00B37E1F" w:rsidP="008A2329">
      <w:pPr>
        <w:spacing w:before="0" w:after="0"/>
        <w:ind w:firstLine="567"/>
        <w:rPr>
          <w:szCs w:val="24"/>
        </w:rPr>
      </w:pPr>
      <w:r w:rsidRPr="003E0025">
        <w:rPr>
          <w:b/>
          <w:szCs w:val="24"/>
        </w:rPr>
        <w:t>Виды нутритивной поддержки</w:t>
      </w:r>
      <w:r w:rsidRPr="003E0025">
        <w:rPr>
          <w:szCs w:val="24"/>
        </w:rPr>
        <w:t xml:space="preserve"> </w:t>
      </w:r>
      <w:r w:rsidR="00430313">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report","type":"article-journal","volume":"20"},"uris":["http://www.mendeley.com/documents/?uuid=c83d4cd9-a0be-448a-84b5-000651ccfa6e"]},{"id":"ITEM-3","itemData":{"DOI":"10.1016/j.clnu.2016.07.015","ISSN":"15321983","PMID":"27637832","abstract":"Cancers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Nutrition","id":"ITEM-3","issue":"1","issued":{"date-parts":[["2017"]]},"page":"11-48","publisher":"Churchill Livingstone","title":"ESPEN guidelines on nutrition in cancer patients","type":"article-journal","volume":"36"},"uris":["http://www.mendeley.com/documents/?uuid=2586b0c4-9eb6-4463-a0ba-87fe84fbad8f"]}],"mendeley":{"formattedCitation":"[172,173,175]","plainTextFormattedCitation":"[172,173,175]","previouslyFormattedCitation":"[172,173,175]"},"properties":{"noteIndex":0},"schema":"https://github.com/citation-style-language/schema/raw/master/csl-citation.json"}</w:instrText>
      </w:r>
      <w:r w:rsidR="00430313">
        <w:rPr>
          <w:szCs w:val="24"/>
        </w:rPr>
        <w:fldChar w:fldCharType="separate"/>
      </w:r>
      <w:r w:rsidR="00E430FD" w:rsidRPr="00E430FD">
        <w:rPr>
          <w:noProof/>
          <w:szCs w:val="24"/>
        </w:rPr>
        <w:t>[172,173,175]</w:t>
      </w:r>
      <w:r w:rsidR="00430313">
        <w:rPr>
          <w:szCs w:val="24"/>
        </w:rPr>
        <w:fldChar w:fldCharType="end"/>
      </w:r>
    </w:p>
    <w:p w14:paraId="097AF89E" w14:textId="77777777" w:rsidR="00B37E1F" w:rsidRPr="003E0025" w:rsidRDefault="00B37E1F" w:rsidP="008A2329">
      <w:pPr>
        <w:spacing w:before="0" w:after="0"/>
        <w:ind w:firstLine="567"/>
        <w:rPr>
          <w:szCs w:val="24"/>
        </w:rPr>
      </w:pPr>
      <w:r w:rsidRPr="003E0025">
        <w:rPr>
          <w:szCs w:val="24"/>
        </w:rPr>
        <w:t xml:space="preserve">Выделяют три вида нутритивной поддержки: </w:t>
      </w:r>
    </w:p>
    <w:p w14:paraId="4DA081A4" w14:textId="77777777" w:rsidR="00B37E1F" w:rsidRPr="003E0025" w:rsidRDefault="00B37E1F" w:rsidP="008A2329">
      <w:pPr>
        <w:spacing w:before="0" w:after="0"/>
        <w:ind w:firstLine="567"/>
        <w:rPr>
          <w:szCs w:val="24"/>
        </w:rPr>
      </w:pPr>
      <w:r w:rsidRPr="003E0025">
        <w:rPr>
          <w:szCs w:val="24"/>
        </w:rPr>
        <w:t xml:space="preserve">• дополнение к пероральному питанию (сипинг) – пероральный прием лечебного (специализированного) питания маленькими глотками; </w:t>
      </w:r>
    </w:p>
    <w:p w14:paraId="219A4BEB" w14:textId="77777777" w:rsidR="00B37E1F" w:rsidRPr="003E0025" w:rsidRDefault="00B37E1F" w:rsidP="008A2329">
      <w:pPr>
        <w:spacing w:before="0" w:after="0"/>
        <w:ind w:firstLine="567"/>
        <w:rPr>
          <w:szCs w:val="24"/>
        </w:rPr>
      </w:pPr>
      <w:r w:rsidRPr="003E0025">
        <w:rPr>
          <w:szCs w:val="24"/>
        </w:rPr>
        <w:t xml:space="preserve">• энтеральное питание – возможно через назогастральный/назоинтестинальный зонд или через стому (чрескожную, эндоскопическую, лапароскопическую, лапаротомную); </w:t>
      </w:r>
    </w:p>
    <w:p w14:paraId="375F39F5" w14:textId="77777777" w:rsidR="00B37E1F" w:rsidRPr="003E0025" w:rsidRDefault="00B37E1F" w:rsidP="008A2329">
      <w:pPr>
        <w:spacing w:before="0" w:after="0"/>
        <w:ind w:firstLine="567"/>
        <w:rPr>
          <w:szCs w:val="24"/>
        </w:rPr>
      </w:pPr>
      <w:r w:rsidRPr="003E0025">
        <w:rPr>
          <w:szCs w:val="24"/>
        </w:rPr>
        <w:t xml:space="preserve">• парентеральное питание. </w:t>
      </w:r>
    </w:p>
    <w:p w14:paraId="5B3F3FB3" w14:textId="77777777" w:rsidR="00B37E1F" w:rsidRPr="003E0025" w:rsidRDefault="00B37E1F" w:rsidP="008A2329">
      <w:pPr>
        <w:spacing w:before="0" w:after="0"/>
        <w:ind w:firstLine="567"/>
        <w:rPr>
          <w:szCs w:val="24"/>
        </w:rPr>
      </w:pPr>
      <w:r w:rsidRPr="003E0025">
        <w:rPr>
          <w:szCs w:val="24"/>
        </w:rPr>
        <w:t>Энтеральное питание является предпочтительным способом нутритивной поддержки за счет его физиологичности, способности поддерживать функцию кишечника, уменьшать гиперметаболический ответ на повреждение, уменьшать транслокацию бактерий и токсинов из кишечника.</w:t>
      </w:r>
    </w:p>
    <w:p w14:paraId="247B8BBF" w14:textId="77777777" w:rsidR="00B37E1F" w:rsidRPr="003E0025" w:rsidRDefault="00B37E1F" w:rsidP="008A2329">
      <w:pPr>
        <w:spacing w:before="0" w:after="0"/>
        <w:ind w:firstLine="567"/>
        <w:rPr>
          <w:szCs w:val="24"/>
        </w:rPr>
      </w:pPr>
      <w:r w:rsidRPr="003E0025">
        <w:rPr>
          <w:szCs w:val="24"/>
        </w:rPr>
        <w:t>Энтеральное питание может проводиться при наличии хотя бы частичной функции ЖКТ. Отсутствие выслушиваемой перистальтики не является противопоказанием для энтерального питания.</w:t>
      </w:r>
    </w:p>
    <w:p w14:paraId="32ACF06F" w14:textId="4050EEDC" w:rsidR="00B37E1F" w:rsidRPr="003E0025" w:rsidRDefault="00B37E1F" w:rsidP="008A2329">
      <w:pPr>
        <w:spacing w:before="0" w:after="0"/>
        <w:ind w:firstLine="567"/>
        <w:rPr>
          <w:szCs w:val="24"/>
        </w:rPr>
      </w:pPr>
      <w:r w:rsidRPr="003E0025">
        <w:rPr>
          <w:szCs w:val="24"/>
        </w:rPr>
        <w:t xml:space="preserve">Классификация смесей для энтерального питания </w:t>
      </w:r>
      <w:r w:rsidRPr="003E0025">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mendeley":{"formattedCitation":"[172]","plainTextFormattedCitation":"[172]","previouslyFormattedCitation":"[172]"},"properties":{"noteIndex":0},"schema":"https://github.com/citation-style-language/schema/raw/master/csl-citation.json"}</w:instrText>
      </w:r>
      <w:r w:rsidRPr="003E0025">
        <w:rPr>
          <w:szCs w:val="24"/>
        </w:rPr>
        <w:fldChar w:fldCharType="separate"/>
      </w:r>
      <w:r w:rsidR="00E430FD" w:rsidRPr="00E430FD">
        <w:rPr>
          <w:noProof/>
          <w:szCs w:val="24"/>
        </w:rPr>
        <w:t>[172]</w:t>
      </w:r>
      <w:r w:rsidRPr="003E0025">
        <w:rPr>
          <w:szCs w:val="24"/>
        </w:rPr>
        <w:fldChar w:fldCharType="end"/>
      </w:r>
    </w:p>
    <w:p w14:paraId="2F90A832" w14:textId="77777777" w:rsidR="00B37E1F" w:rsidRPr="003E0025" w:rsidRDefault="00B37E1F" w:rsidP="008A2329">
      <w:pPr>
        <w:spacing w:before="0" w:after="0"/>
        <w:ind w:firstLine="567"/>
        <w:rPr>
          <w:szCs w:val="24"/>
        </w:rPr>
      </w:pPr>
      <w:r w:rsidRPr="003E0025">
        <w:rPr>
          <w:szCs w:val="24"/>
        </w:rPr>
        <w:t xml:space="preserve">• полимерные: состоят из неизмененных белков, жиров и углеводов; </w:t>
      </w:r>
    </w:p>
    <w:p w14:paraId="5B913FC8" w14:textId="77777777" w:rsidR="00B37E1F" w:rsidRPr="003E0025" w:rsidRDefault="00B37E1F" w:rsidP="008A2329">
      <w:pPr>
        <w:spacing w:before="0" w:after="0"/>
        <w:ind w:firstLine="567"/>
        <w:rPr>
          <w:szCs w:val="24"/>
        </w:rPr>
      </w:pPr>
      <w:r w:rsidRPr="003E0025">
        <w:rPr>
          <w:szCs w:val="24"/>
        </w:rPr>
        <w:lastRenderedPageBreak/>
        <w:t xml:space="preserve">• олигомерные (полуэлементные): состоят из расщепленных белков и простых углеводов и содержат масла среднецепочечных триглицеридов; </w:t>
      </w:r>
    </w:p>
    <w:p w14:paraId="6E48CFA5" w14:textId="77777777" w:rsidR="00B37E1F" w:rsidRPr="003E0025" w:rsidRDefault="00B37E1F" w:rsidP="008A2329">
      <w:pPr>
        <w:spacing w:before="0" w:after="0"/>
        <w:ind w:firstLine="567"/>
        <w:rPr>
          <w:szCs w:val="24"/>
        </w:rPr>
      </w:pPr>
      <w:r w:rsidRPr="003E0025">
        <w:rPr>
          <w:szCs w:val="24"/>
        </w:rPr>
        <w:t xml:space="preserve">• смеси для определенных состояний, изготовленные с учетом потребностей конкретного пациента, страдающего тем или иным заболеванием (сахарный диабет, заболевания почек, печени, легких). </w:t>
      </w:r>
    </w:p>
    <w:p w14:paraId="7A52CDAC" w14:textId="5E7BFC30" w:rsidR="00B37E1F" w:rsidRPr="003E0025" w:rsidRDefault="00B37E1F" w:rsidP="008A2329">
      <w:pPr>
        <w:spacing w:before="0" w:after="0"/>
        <w:ind w:firstLine="567"/>
        <w:rPr>
          <w:szCs w:val="24"/>
        </w:rPr>
      </w:pPr>
      <w:r w:rsidRPr="003E0025">
        <w:rPr>
          <w:szCs w:val="24"/>
        </w:rPr>
        <w:t xml:space="preserve">Противопоказания к энтеральному питанию </w:t>
      </w:r>
      <w:r w:rsidR="0058100B">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больных","type":"article-journal"},"uris":["http://www.mendeley.com/documents/?uuid=a6673349-099e-4c86-922d-b6b69b73ee38"]},{"id":"ITEM-2","itemData":{"author":[{"dropping-particle":"","family":"Бесова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А.И.","non-dropping-particle":"","parse-names":false,"suffix":""}],"id":"ITEM-2","issued":{"date-parts":[["2014"]]},"title":"Клинические рекомендации по нутритивной поддержке при химиотерапии и/или лучевой терапии","type":"report"},"uris":["http://www.mendeley.com/documents/?uuid=59e000a3-48e0-4529-8954-5598c41cc72e"]}],"mendeley":{"formattedCitation":"[172,174]","plainTextFormattedCitation":"[172,174]","previouslyFormattedCitation":"[172,174]"},"properties":{"noteIndex":0},"schema":"https://github.com/citation-style-language/schema/raw/master/csl-citation.json"}</w:instrText>
      </w:r>
      <w:r w:rsidR="0058100B">
        <w:rPr>
          <w:szCs w:val="24"/>
        </w:rPr>
        <w:fldChar w:fldCharType="separate"/>
      </w:r>
      <w:r w:rsidR="00E430FD" w:rsidRPr="00E430FD">
        <w:rPr>
          <w:noProof/>
          <w:szCs w:val="24"/>
        </w:rPr>
        <w:t>[172,174]</w:t>
      </w:r>
      <w:r w:rsidR="0058100B">
        <w:rPr>
          <w:szCs w:val="24"/>
        </w:rPr>
        <w:fldChar w:fldCharType="end"/>
      </w:r>
    </w:p>
    <w:p w14:paraId="55A92C81" w14:textId="77777777" w:rsidR="00B37E1F" w:rsidRPr="003E0025" w:rsidRDefault="00B37E1F" w:rsidP="008A2329">
      <w:pPr>
        <w:spacing w:before="0" w:after="0"/>
        <w:ind w:firstLine="567"/>
        <w:rPr>
          <w:szCs w:val="24"/>
        </w:rPr>
      </w:pPr>
      <w:r w:rsidRPr="003E0025">
        <w:rPr>
          <w:szCs w:val="24"/>
        </w:rPr>
        <w:t xml:space="preserve">• механическая кишечная непроходимость; </w:t>
      </w:r>
    </w:p>
    <w:p w14:paraId="561D35CA" w14:textId="77777777" w:rsidR="00B37E1F" w:rsidRPr="003E0025" w:rsidRDefault="00B37E1F" w:rsidP="008A2329">
      <w:pPr>
        <w:spacing w:before="0" w:after="0"/>
        <w:ind w:firstLine="567"/>
        <w:rPr>
          <w:szCs w:val="24"/>
        </w:rPr>
      </w:pPr>
      <w:r w:rsidRPr="003E0025">
        <w:rPr>
          <w:szCs w:val="24"/>
        </w:rPr>
        <w:t xml:space="preserve">• выраженная тошнота и рвота, не купирующаяся антиэметической терапией; </w:t>
      </w:r>
    </w:p>
    <w:p w14:paraId="39A579EC" w14:textId="77777777" w:rsidR="00B37E1F" w:rsidRPr="003E0025" w:rsidRDefault="00B37E1F" w:rsidP="008A2329">
      <w:pPr>
        <w:spacing w:before="0" w:after="0"/>
        <w:ind w:firstLine="567"/>
        <w:rPr>
          <w:szCs w:val="24"/>
        </w:rPr>
      </w:pPr>
      <w:r w:rsidRPr="003E0025">
        <w:rPr>
          <w:szCs w:val="24"/>
        </w:rPr>
        <w:t xml:space="preserve">• гипоксия (раО2 70 мм рт. ст.). </w:t>
      </w:r>
    </w:p>
    <w:p w14:paraId="1C433006" w14:textId="77777777" w:rsidR="00B37E1F" w:rsidRPr="003E0025" w:rsidRDefault="00B37E1F" w:rsidP="008A2329">
      <w:pPr>
        <w:spacing w:before="0" w:after="0"/>
        <w:ind w:firstLine="567"/>
        <w:jc w:val="center"/>
        <w:rPr>
          <w:b/>
          <w:szCs w:val="24"/>
        </w:rPr>
      </w:pPr>
      <w:r w:rsidRPr="003E0025">
        <w:rPr>
          <w:b/>
          <w:szCs w:val="24"/>
        </w:rPr>
        <w:t>Парентеральное питание</w:t>
      </w:r>
    </w:p>
    <w:p w14:paraId="58960F20" w14:textId="700BF856" w:rsidR="00B37E1F" w:rsidRPr="003E0025" w:rsidRDefault="00B37E1F" w:rsidP="008A2329">
      <w:pPr>
        <w:spacing w:before="0" w:after="0"/>
        <w:ind w:firstLine="567"/>
        <w:rPr>
          <w:szCs w:val="24"/>
        </w:rPr>
      </w:pPr>
      <w:r w:rsidRPr="003E0025">
        <w:rPr>
          <w:szCs w:val="24"/>
        </w:rPr>
        <w:t xml:space="preserve">Показанием к парентеральному питанию является невозможность адекватного энтерального питания более 3 суток </w:t>
      </w:r>
      <w:r w:rsidRPr="003E0025">
        <w:rPr>
          <w:szCs w:val="24"/>
        </w:rPr>
        <w:fldChar w:fldCharType="begin" w:fldLock="1"/>
      </w:r>
      <w:r w:rsidR="00E430FD">
        <w:rPr>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mendeley":{"formattedCitation":"[173]","plainTextFormattedCitation":"[173]","previouslyFormattedCitation":"[173]"},"properties":{"noteIndex":0},"schema":"https://github.com/citation-style-language/schema/raw/master/csl-citation.json"}</w:instrText>
      </w:r>
      <w:r w:rsidRPr="003E0025">
        <w:rPr>
          <w:szCs w:val="24"/>
        </w:rPr>
        <w:fldChar w:fldCharType="separate"/>
      </w:r>
      <w:r w:rsidR="00E430FD" w:rsidRPr="00E430FD">
        <w:rPr>
          <w:noProof/>
          <w:szCs w:val="24"/>
        </w:rPr>
        <w:t>[173]</w:t>
      </w:r>
      <w:r w:rsidRPr="003E0025">
        <w:rPr>
          <w:szCs w:val="24"/>
        </w:rPr>
        <w:fldChar w:fldCharType="end"/>
      </w:r>
      <w:r w:rsidRPr="003E0025">
        <w:rPr>
          <w:szCs w:val="24"/>
        </w:rPr>
        <w:t>. В зависимости от продолжительности парентеральное питание подразделяется на:</w:t>
      </w:r>
    </w:p>
    <w:p w14:paraId="0FCF1A44" w14:textId="77777777" w:rsidR="00B37E1F" w:rsidRPr="003E0025" w:rsidRDefault="00B37E1F" w:rsidP="008A2329">
      <w:pPr>
        <w:spacing w:before="0" w:after="0"/>
        <w:ind w:firstLine="567"/>
        <w:rPr>
          <w:szCs w:val="24"/>
        </w:rPr>
      </w:pPr>
      <w:r w:rsidRPr="003E0025">
        <w:rPr>
          <w:szCs w:val="24"/>
        </w:rPr>
        <w:t>• краткосрочное ПП (10–15 суток):</w:t>
      </w:r>
    </w:p>
    <w:p w14:paraId="172F5BCD" w14:textId="77777777" w:rsidR="00B37E1F" w:rsidRPr="003E0025" w:rsidRDefault="00B37E1F" w:rsidP="008A2329">
      <w:pPr>
        <w:spacing w:before="0" w:after="0"/>
        <w:ind w:firstLine="567"/>
        <w:rPr>
          <w:szCs w:val="24"/>
        </w:rPr>
      </w:pPr>
      <w:r w:rsidRPr="003E0025">
        <w:rPr>
          <w:szCs w:val="24"/>
        </w:rPr>
        <w:t>– острый и тяжелый мукозит, илеус, некупируемая рвота;</w:t>
      </w:r>
    </w:p>
    <w:p w14:paraId="0EE18AB0" w14:textId="77777777" w:rsidR="00B37E1F" w:rsidRPr="003E0025" w:rsidRDefault="00B37E1F" w:rsidP="008A2329">
      <w:pPr>
        <w:spacing w:before="0" w:after="0"/>
        <w:ind w:firstLine="567"/>
        <w:rPr>
          <w:szCs w:val="24"/>
        </w:rPr>
      </w:pPr>
      <w:r w:rsidRPr="003E0025">
        <w:rPr>
          <w:szCs w:val="24"/>
        </w:rPr>
        <w:t>• длительное (более 30 суток):</w:t>
      </w:r>
    </w:p>
    <w:p w14:paraId="7D9232CA" w14:textId="77777777" w:rsidR="00B37E1F" w:rsidRPr="003E0025" w:rsidRDefault="00B37E1F" w:rsidP="008A2329">
      <w:pPr>
        <w:spacing w:before="0" w:after="0"/>
        <w:ind w:firstLine="567"/>
        <w:rPr>
          <w:szCs w:val="24"/>
        </w:rPr>
      </w:pPr>
      <w:r w:rsidRPr="003E0025">
        <w:rPr>
          <w:szCs w:val="24"/>
        </w:rPr>
        <w:t>– тяжелая мальабсорбция;</w:t>
      </w:r>
    </w:p>
    <w:p w14:paraId="6CB359B4" w14:textId="77777777" w:rsidR="00B37E1F" w:rsidRPr="003E0025" w:rsidRDefault="00B37E1F" w:rsidP="008A2329">
      <w:pPr>
        <w:spacing w:before="0" w:after="0"/>
        <w:ind w:firstLine="567"/>
        <w:rPr>
          <w:szCs w:val="24"/>
        </w:rPr>
      </w:pPr>
      <w:r w:rsidRPr="003E0025">
        <w:rPr>
          <w:szCs w:val="24"/>
        </w:rPr>
        <w:t>– подострый или хронический энтерит;</w:t>
      </w:r>
    </w:p>
    <w:p w14:paraId="37854501" w14:textId="65196541" w:rsidR="00B37E1F" w:rsidRPr="003E0025" w:rsidRDefault="00B37E1F" w:rsidP="008A2329">
      <w:pPr>
        <w:spacing w:before="0" w:after="0"/>
        <w:ind w:firstLine="567"/>
        <w:rPr>
          <w:szCs w:val="24"/>
        </w:rPr>
      </w:pPr>
      <w:r w:rsidRPr="003E0025">
        <w:rPr>
          <w:szCs w:val="24"/>
        </w:rPr>
        <w:t xml:space="preserve">– тяжелая энтеропатия </w:t>
      </w:r>
      <w:r w:rsidRPr="003E0025">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mendeley":{"formattedCitation":"[172]","plainTextFormattedCitation":"[172]","previouslyFormattedCitation":"[172]"},"properties":{"noteIndex":0},"schema":"https://github.com/citation-style-language/schema/raw/master/csl-citation.json"}</w:instrText>
      </w:r>
      <w:r w:rsidRPr="003E0025">
        <w:rPr>
          <w:szCs w:val="24"/>
        </w:rPr>
        <w:fldChar w:fldCharType="separate"/>
      </w:r>
      <w:r w:rsidR="00E430FD" w:rsidRPr="00E430FD">
        <w:rPr>
          <w:noProof/>
          <w:szCs w:val="24"/>
        </w:rPr>
        <w:t>[172]</w:t>
      </w:r>
      <w:r w:rsidRPr="003E0025">
        <w:rPr>
          <w:szCs w:val="24"/>
        </w:rPr>
        <w:fldChar w:fldCharType="end"/>
      </w:r>
      <w:r w:rsidRPr="003E0025">
        <w:rPr>
          <w:szCs w:val="24"/>
        </w:rPr>
        <w:t xml:space="preserve"> </w:t>
      </w:r>
      <w:r w:rsidRPr="003E0025">
        <w:rPr>
          <w:szCs w:val="24"/>
        </w:rPr>
        <w:fldChar w:fldCharType="begin" w:fldLock="1"/>
      </w:r>
      <w:r w:rsidR="00E430FD">
        <w:rPr>
          <w:szCs w:val="24"/>
        </w:rPr>
        <w:instrText>ADDIN CSL_CITATION {"citationItems":[{"id":"ITEM-1","itemData":{"DOI":"10.1001/jama.2019.4410","ISSN":"15383598","PMID":"31162570","author":[{"dropping-particle":"","family":"Baiu","given":"Ioana","non-dropping-particle":"","parse-names":false,"suffix":""},{"dropping-particle":"","family":"Spain","given":"David A.","non-dropping-particle":"","parse-names":false,"suffix":""}],"container-title":"JAMA - Journal of the American Medical Association","id":"ITEM-1","issue":"21","issued":{"date-parts":[["2019","6"]]},"page":"2142","publisher":"American Medical Association","title":"Parenteral Nutrition","type":"article","volume":"321"},"uris":["http://www.mendeley.com/documents/?uuid=1967195b-eca8-4ade-9d2d-ff8332f19f7b"]}],"mendeley":{"formattedCitation":"[177]","plainTextFormattedCitation":"[177]","previouslyFormattedCitation":"[177]"},"properties":{"noteIndex":0},"schema":"https://github.com/citation-style-language/schema/raw/master/csl-citation.json"}</w:instrText>
      </w:r>
      <w:r w:rsidRPr="003E0025">
        <w:rPr>
          <w:szCs w:val="24"/>
        </w:rPr>
        <w:fldChar w:fldCharType="separate"/>
      </w:r>
      <w:r w:rsidR="00E430FD" w:rsidRPr="00E430FD">
        <w:rPr>
          <w:noProof/>
          <w:szCs w:val="24"/>
        </w:rPr>
        <w:t>[177]</w:t>
      </w:r>
      <w:r w:rsidRPr="003E0025">
        <w:rPr>
          <w:szCs w:val="24"/>
        </w:rPr>
        <w:fldChar w:fldCharType="end"/>
      </w:r>
      <w:r w:rsidRPr="003E0025">
        <w:rPr>
          <w:szCs w:val="24"/>
        </w:rPr>
        <w:t>.</w:t>
      </w:r>
    </w:p>
    <w:p w14:paraId="0EB4FF86" w14:textId="77777777" w:rsidR="00B37E1F" w:rsidRPr="003E0025" w:rsidRDefault="00B37E1F" w:rsidP="008A2329">
      <w:pPr>
        <w:spacing w:before="0" w:after="0"/>
        <w:ind w:firstLine="567"/>
        <w:rPr>
          <w:szCs w:val="24"/>
        </w:rPr>
      </w:pPr>
      <w:r w:rsidRPr="003E0025">
        <w:rPr>
          <w:szCs w:val="24"/>
        </w:rPr>
        <w:t xml:space="preserve">Необходимые организму нутриенты вводятся </w:t>
      </w:r>
      <w:r>
        <w:rPr>
          <w:szCs w:val="24"/>
        </w:rPr>
        <w:t>внутривенно</w:t>
      </w:r>
      <w:r w:rsidRPr="003E0025">
        <w:rPr>
          <w:szCs w:val="24"/>
        </w:rPr>
        <w:t xml:space="preserve">. Основными составляющими парентерального питания являются: </w:t>
      </w:r>
    </w:p>
    <w:p w14:paraId="50BB6815" w14:textId="77777777" w:rsidR="00B37E1F" w:rsidRPr="003E0025" w:rsidRDefault="00B37E1F" w:rsidP="008A2329">
      <w:pPr>
        <w:spacing w:before="0" w:after="0"/>
        <w:ind w:firstLine="567"/>
        <w:rPr>
          <w:szCs w:val="24"/>
        </w:rPr>
      </w:pPr>
      <w:r w:rsidRPr="003E0025">
        <w:rPr>
          <w:szCs w:val="24"/>
        </w:rPr>
        <w:t xml:space="preserve">• источники энергии: 10–20% растворы углеводов, жировые эмульсии; </w:t>
      </w:r>
    </w:p>
    <w:p w14:paraId="4094D481" w14:textId="77777777" w:rsidR="00B37E1F" w:rsidRPr="003E0025" w:rsidRDefault="00B37E1F" w:rsidP="008A2329">
      <w:pPr>
        <w:spacing w:before="0" w:after="0"/>
        <w:ind w:firstLine="567"/>
        <w:rPr>
          <w:szCs w:val="24"/>
        </w:rPr>
      </w:pPr>
      <w:r w:rsidRPr="003E0025">
        <w:rPr>
          <w:szCs w:val="24"/>
        </w:rPr>
        <w:t xml:space="preserve">• источники пластического материала: растворы кристаллических аминокислот; </w:t>
      </w:r>
    </w:p>
    <w:p w14:paraId="28A941C4" w14:textId="44B3D25F" w:rsidR="00B37E1F" w:rsidRPr="003E0025" w:rsidRDefault="00B37E1F" w:rsidP="008A2329">
      <w:pPr>
        <w:spacing w:before="0" w:after="0"/>
        <w:ind w:firstLine="567"/>
        <w:rPr>
          <w:szCs w:val="24"/>
        </w:rPr>
      </w:pPr>
      <w:r w:rsidRPr="003E0025">
        <w:rPr>
          <w:szCs w:val="24"/>
        </w:rPr>
        <w:t xml:space="preserve">• поливитаминные комплексы для парентерального введения: – препараты водорастворимых витаминов; – препараты жирорастворимых витаминов; – препараты водо- и жирорастворимых витаминов; – комплексы микроэлементов для парентерального введения </w:t>
      </w:r>
      <w:r w:rsidRPr="003E0025">
        <w:rPr>
          <w:szCs w:val="24"/>
        </w:rPr>
        <w:fldChar w:fldCharType="begin" w:fldLock="1"/>
      </w:r>
      <w:r w:rsidR="00E430FD">
        <w:rPr>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mendeley":{"formattedCitation":"[173]","plainTextFormattedCitation":"[173]","previouslyFormattedCitation":"[173]"},"properties":{"noteIndex":0},"schema":"https://github.com/citation-style-language/schema/raw/master/csl-citation.json"}</w:instrText>
      </w:r>
      <w:r w:rsidRPr="003E0025">
        <w:rPr>
          <w:szCs w:val="24"/>
        </w:rPr>
        <w:fldChar w:fldCharType="separate"/>
      </w:r>
      <w:r w:rsidR="00E430FD" w:rsidRPr="00E430FD">
        <w:rPr>
          <w:noProof/>
          <w:szCs w:val="24"/>
        </w:rPr>
        <w:t>[173]</w:t>
      </w:r>
      <w:r w:rsidRPr="003E0025">
        <w:rPr>
          <w:szCs w:val="24"/>
        </w:rPr>
        <w:fldChar w:fldCharType="end"/>
      </w:r>
      <w:r w:rsidRPr="003E0025">
        <w:rPr>
          <w:szCs w:val="24"/>
        </w:rPr>
        <w:t xml:space="preserve">. </w:t>
      </w:r>
    </w:p>
    <w:p w14:paraId="004CBB12" w14:textId="1DF2A6BB" w:rsidR="00B37E1F" w:rsidRPr="003E0025" w:rsidRDefault="00B37E1F" w:rsidP="008A2329">
      <w:pPr>
        <w:spacing w:before="0" w:after="0"/>
        <w:ind w:firstLine="567"/>
        <w:rPr>
          <w:szCs w:val="24"/>
        </w:rPr>
      </w:pPr>
      <w:r w:rsidRPr="003E0025">
        <w:rPr>
          <w:szCs w:val="24"/>
        </w:rPr>
        <w:t xml:space="preserve">Системы парентерального питания </w:t>
      </w:r>
      <w:r w:rsidRPr="003E0025">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mendeley":{"formattedCitation":"[172]","plainTextFormattedCitation":"[172]","previouslyFormattedCitation":"[172]"},"properties":{"noteIndex":0},"schema":"https://github.com/citation-style-language/schema/raw/master/csl-citation.json"}</w:instrText>
      </w:r>
      <w:r w:rsidRPr="003E0025">
        <w:rPr>
          <w:szCs w:val="24"/>
        </w:rPr>
        <w:fldChar w:fldCharType="separate"/>
      </w:r>
      <w:r w:rsidR="00E430FD" w:rsidRPr="00E430FD">
        <w:rPr>
          <w:noProof/>
          <w:szCs w:val="24"/>
        </w:rPr>
        <w:t>[172]</w:t>
      </w:r>
      <w:r w:rsidRPr="003E0025">
        <w:rPr>
          <w:szCs w:val="24"/>
        </w:rPr>
        <w:fldChar w:fldCharType="end"/>
      </w:r>
      <w:r w:rsidRPr="003E0025">
        <w:rPr>
          <w:szCs w:val="24"/>
        </w:rPr>
        <w:t xml:space="preserve"> </w:t>
      </w:r>
      <w:r w:rsidRPr="003E0025">
        <w:rPr>
          <w:szCs w:val="24"/>
        </w:rPr>
        <w:fldChar w:fldCharType="begin" w:fldLock="1"/>
      </w:r>
      <w:r w:rsidR="00E430FD">
        <w:rPr>
          <w:szCs w:val="24"/>
        </w:rPr>
        <w:instrText>ADDIN CSL_CITATION {"citationItems":[{"id":"ITEM-1","itemData":{"DOI":"10.1016/j.clnu.2016.07.015","ISSN":"15321983","PMID":"27637832","abstract":"Cancers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Nutrition","id":"ITEM-1","issue":"1","issued":{"date-parts":[["2017"]]},"page":"11-48","publisher":"Churchill Livingstone","title":"ESPEN guidelines on nutrition in cancer patients","type":"article-journal","volume":"36"},"uris":["http://www.mendeley.com/documents/?uuid=2586b0c4-9eb6-4463-a0ba-87fe84fbad8f"]}],"mendeley":{"formattedCitation":"[175]","plainTextFormattedCitation":"[175]","previouslyFormattedCitation":"[175]"},"properties":{"noteIndex":0},"schema":"https://github.com/citation-style-language/schema/raw/master/csl-citation.json"}</w:instrText>
      </w:r>
      <w:r w:rsidRPr="003E0025">
        <w:rPr>
          <w:szCs w:val="24"/>
        </w:rPr>
        <w:fldChar w:fldCharType="separate"/>
      </w:r>
      <w:r w:rsidR="00E430FD" w:rsidRPr="00E430FD">
        <w:rPr>
          <w:noProof/>
          <w:szCs w:val="24"/>
        </w:rPr>
        <w:t>[175]</w:t>
      </w:r>
      <w:r w:rsidRPr="003E0025">
        <w:rPr>
          <w:szCs w:val="24"/>
        </w:rPr>
        <w:fldChar w:fldCharType="end"/>
      </w:r>
    </w:p>
    <w:p w14:paraId="1AB1643A" w14:textId="77777777" w:rsidR="00B37E1F" w:rsidRPr="003E0025" w:rsidRDefault="00B37E1F" w:rsidP="008A2329">
      <w:pPr>
        <w:spacing w:before="0" w:after="0"/>
        <w:ind w:firstLine="567"/>
        <w:rPr>
          <w:szCs w:val="24"/>
        </w:rPr>
      </w:pPr>
      <w:r w:rsidRPr="003E0025">
        <w:rPr>
          <w:szCs w:val="24"/>
        </w:rPr>
        <w:t xml:space="preserve">• «модульная» – использование флаконов с аминокислотами, глюкозой, жировыми эмульсиями; (главным недостатком данного метода является различная скорость введения препаратов); </w:t>
      </w:r>
    </w:p>
    <w:p w14:paraId="225ED1E0" w14:textId="77777777" w:rsidR="00B37E1F" w:rsidRPr="003E0025" w:rsidRDefault="00B37E1F" w:rsidP="008A2329">
      <w:pPr>
        <w:spacing w:before="0" w:after="0"/>
        <w:ind w:firstLine="567"/>
        <w:rPr>
          <w:szCs w:val="24"/>
        </w:rPr>
      </w:pPr>
      <w:r w:rsidRPr="003E0025">
        <w:rPr>
          <w:szCs w:val="24"/>
        </w:rPr>
        <w:t xml:space="preserve">• система «все в одном» предполагает использование двух- и трехкомпонентных контейнеров с подобранным необходимым количеством и метаболически верным соотношением аминокислот, глюкозы, липидов и электролитов. </w:t>
      </w:r>
    </w:p>
    <w:p w14:paraId="2AA64735" w14:textId="5D5E68BE" w:rsidR="00B37E1F" w:rsidRPr="003E0025" w:rsidRDefault="00B37E1F" w:rsidP="008A2329">
      <w:pPr>
        <w:spacing w:before="0" w:after="0"/>
        <w:ind w:firstLine="567"/>
        <w:rPr>
          <w:szCs w:val="24"/>
        </w:rPr>
      </w:pPr>
      <w:r w:rsidRPr="003E0025">
        <w:rPr>
          <w:szCs w:val="24"/>
        </w:rPr>
        <w:lastRenderedPageBreak/>
        <w:t xml:space="preserve">Противопоказания к парентеральному питанию </w:t>
      </w:r>
      <w:r w:rsidRPr="003E0025">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mendeley":{"formattedCitation":"[172]","plainTextFormattedCitation":"[172]","previouslyFormattedCitation":"[172]"},"properties":{"noteIndex":0},"schema":"https://github.com/citation-style-language/schema/raw/master/csl-citation.json"}</w:instrText>
      </w:r>
      <w:r w:rsidRPr="003E0025">
        <w:rPr>
          <w:szCs w:val="24"/>
        </w:rPr>
        <w:fldChar w:fldCharType="separate"/>
      </w:r>
      <w:r w:rsidR="00E430FD" w:rsidRPr="00E430FD">
        <w:rPr>
          <w:noProof/>
          <w:szCs w:val="24"/>
        </w:rPr>
        <w:t>[172]</w:t>
      </w:r>
      <w:r w:rsidRPr="003E0025">
        <w:rPr>
          <w:szCs w:val="24"/>
        </w:rPr>
        <w:fldChar w:fldCharType="end"/>
      </w:r>
      <w:r w:rsidRPr="003E0025">
        <w:rPr>
          <w:szCs w:val="24"/>
        </w:rPr>
        <w:t xml:space="preserve"> </w:t>
      </w:r>
      <w:r w:rsidRPr="003E0025">
        <w:rPr>
          <w:szCs w:val="24"/>
        </w:rPr>
        <w:fldChar w:fldCharType="begin" w:fldLock="1"/>
      </w:r>
      <w:r w:rsidR="00E430FD">
        <w:rPr>
          <w:szCs w:val="24"/>
        </w:rPr>
        <w:instrText>ADDIN CSL_CITATION {"citationItems":[{"id":"ITEM-1","itemData":{"DOI":"10.1016/j.clnu.2016.07.015","ISSN":"15321983","PMID":"27637832","abstract":"Cancers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Nutrition","id":"ITEM-1","issue":"1","issued":{"date-parts":[["2017"]]},"page":"11-48","publisher":"Churchill Livingstone","title":"ESPEN guidelines on nutrition in cancer patients","type":"article-journal","volume":"36"},"uris":["http://www.mendeley.com/documents/?uuid=2586b0c4-9eb6-4463-a0ba-87fe84fbad8f"]}],"mendeley":{"formattedCitation":"[175]","plainTextFormattedCitation":"[175]","previouslyFormattedCitation":"[175]"},"properties":{"noteIndex":0},"schema":"https://github.com/citation-style-language/schema/raw/master/csl-citation.json"}</w:instrText>
      </w:r>
      <w:r w:rsidRPr="003E0025">
        <w:rPr>
          <w:szCs w:val="24"/>
        </w:rPr>
        <w:fldChar w:fldCharType="separate"/>
      </w:r>
      <w:r w:rsidR="00E430FD" w:rsidRPr="00E430FD">
        <w:rPr>
          <w:noProof/>
          <w:szCs w:val="24"/>
        </w:rPr>
        <w:t>[175]</w:t>
      </w:r>
      <w:r w:rsidRPr="003E0025">
        <w:rPr>
          <w:szCs w:val="24"/>
        </w:rPr>
        <w:fldChar w:fldCharType="end"/>
      </w:r>
    </w:p>
    <w:p w14:paraId="48068502" w14:textId="77777777" w:rsidR="00B37E1F" w:rsidRPr="003E0025" w:rsidRDefault="00B37E1F" w:rsidP="008A2329">
      <w:pPr>
        <w:spacing w:before="0" w:after="0"/>
        <w:ind w:firstLine="567"/>
        <w:rPr>
          <w:szCs w:val="24"/>
        </w:rPr>
      </w:pPr>
      <w:r w:rsidRPr="003E0025">
        <w:rPr>
          <w:szCs w:val="24"/>
        </w:rPr>
        <w:t>• возможность энтерального питания;</w:t>
      </w:r>
    </w:p>
    <w:p w14:paraId="3D2985E1" w14:textId="77777777" w:rsidR="00B37E1F" w:rsidRPr="003E0025" w:rsidRDefault="00B37E1F" w:rsidP="008A2329">
      <w:pPr>
        <w:spacing w:before="0" w:after="0"/>
        <w:ind w:firstLine="567"/>
        <w:rPr>
          <w:szCs w:val="24"/>
        </w:rPr>
      </w:pPr>
      <w:r w:rsidRPr="003E0025">
        <w:rPr>
          <w:szCs w:val="24"/>
        </w:rPr>
        <w:t xml:space="preserve">• невозможность обеспечения адекватного сосудистого доступа; </w:t>
      </w:r>
    </w:p>
    <w:p w14:paraId="7D01CEA5" w14:textId="77777777" w:rsidR="00B37E1F" w:rsidRPr="003E0025" w:rsidRDefault="00B37E1F" w:rsidP="008A2329">
      <w:pPr>
        <w:spacing w:before="0" w:after="0"/>
        <w:ind w:firstLine="567"/>
        <w:rPr>
          <w:szCs w:val="24"/>
        </w:rPr>
      </w:pPr>
      <w:r w:rsidRPr="003E0025">
        <w:rPr>
          <w:szCs w:val="24"/>
        </w:rPr>
        <w:t xml:space="preserve">• отсутствие признаков белково-энергетической недостаточности; </w:t>
      </w:r>
    </w:p>
    <w:p w14:paraId="49617BD7" w14:textId="77777777" w:rsidR="00B37E1F" w:rsidRPr="003E0025" w:rsidRDefault="00B37E1F" w:rsidP="008A2329">
      <w:pPr>
        <w:spacing w:before="0" w:after="0"/>
        <w:ind w:firstLine="567"/>
        <w:rPr>
          <w:szCs w:val="24"/>
        </w:rPr>
      </w:pPr>
      <w:r w:rsidRPr="003E0025">
        <w:rPr>
          <w:szCs w:val="24"/>
        </w:rPr>
        <w:t xml:space="preserve">• гипоксия (раО2 70 мм рт. ст., сывороточный </w:t>
      </w:r>
      <w:proofErr w:type="gramStart"/>
      <w:r w:rsidRPr="003E0025">
        <w:rPr>
          <w:szCs w:val="24"/>
        </w:rPr>
        <w:t>лактат &gt;</w:t>
      </w:r>
      <w:proofErr w:type="gramEnd"/>
      <w:r w:rsidRPr="003E0025">
        <w:rPr>
          <w:szCs w:val="24"/>
        </w:rPr>
        <w:t xml:space="preserve"> 3 ммоль/л); </w:t>
      </w:r>
    </w:p>
    <w:p w14:paraId="3BD8B029" w14:textId="77777777" w:rsidR="00B37E1F" w:rsidRPr="003E0025" w:rsidRDefault="00B37E1F" w:rsidP="008A2329">
      <w:pPr>
        <w:spacing w:before="0" w:after="0"/>
        <w:ind w:firstLine="567"/>
        <w:rPr>
          <w:szCs w:val="24"/>
        </w:rPr>
      </w:pPr>
      <w:r w:rsidRPr="003E0025">
        <w:rPr>
          <w:szCs w:val="24"/>
        </w:rPr>
        <w:t xml:space="preserve">• анурия или гипергидратация без диализа. </w:t>
      </w:r>
    </w:p>
    <w:p w14:paraId="02EAF28F" w14:textId="6C4B69C1" w:rsidR="00B37E1F" w:rsidRPr="003E0025" w:rsidRDefault="00B37E1F" w:rsidP="008A2329">
      <w:pPr>
        <w:spacing w:before="0" w:after="0"/>
        <w:ind w:firstLine="567"/>
        <w:rPr>
          <w:szCs w:val="24"/>
        </w:rPr>
      </w:pPr>
      <w:r w:rsidRPr="003E0025">
        <w:rPr>
          <w:szCs w:val="24"/>
        </w:rPr>
        <w:t xml:space="preserve">Смешанное питание </w:t>
      </w:r>
      <w:r w:rsidRPr="003E0025">
        <w:rPr>
          <w:szCs w:val="24"/>
        </w:rPr>
        <w:fldChar w:fldCharType="begin" w:fldLock="1"/>
      </w:r>
      <w:r w:rsidR="00E430FD">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mendeley":{"formattedCitation":"[172]","plainTextFormattedCitation":"[172]","previouslyFormattedCitation":"[172]"},"properties":{"noteIndex":0},"schema":"https://github.com/citation-style-language/schema/raw/master/csl-citation.json"}</w:instrText>
      </w:r>
      <w:r w:rsidRPr="003E0025">
        <w:rPr>
          <w:szCs w:val="24"/>
        </w:rPr>
        <w:fldChar w:fldCharType="separate"/>
      </w:r>
      <w:r w:rsidR="00E430FD" w:rsidRPr="00E430FD">
        <w:rPr>
          <w:noProof/>
          <w:szCs w:val="24"/>
        </w:rPr>
        <w:t>[172]</w:t>
      </w:r>
      <w:r w:rsidRPr="003E0025">
        <w:rPr>
          <w:szCs w:val="24"/>
        </w:rPr>
        <w:fldChar w:fldCharType="end"/>
      </w:r>
      <w:r w:rsidRPr="003E0025">
        <w:rPr>
          <w:szCs w:val="24"/>
        </w:rPr>
        <w:t xml:space="preserve"> </w:t>
      </w:r>
      <w:r w:rsidRPr="003E0025">
        <w:rPr>
          <w:szCs w:val="24"/>
        </w:rPr>
        <w:fldChar w:fldCharType="begin" w:fldLock="1"/>
      </w:r>
      <w:r w:rsidR="00E430FD">
        <w:rPr>
          <w:szCs w:val="24"/>
        </w:rPr>
        <w:instrText>ADDIN CSL_CITATION {"citationItems":[{"id":"ITEM-1","itemData":{"author":[{"dropping-particle":"","family":"Бесова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А.И.","non-dropping-particle":"","parse-names":false,"suffix":""}],"id":"ITEM-1","issued":{"date-parts":[["2014"]]},"title":"Клинические рекомендации по нутритивной поддержке при химиотерапии и/или лучевой терапии","type":"report"},"uris":["http://www.mendeley.com/documents/?uuid=59e000a3-48e0-4529-8954-5598c41cc72e"]}],"mendeley":{"formattedCitation":"[174]","plainTextFormattedCitation":"[174]","previouslyFormattedCitation":"[174]"},"properties":{"noteIndex":0},"schema":"https://github.com/citation-style-language/schema/raw/master/csl-citation.json"}</w:instrText>
      </w:r>
      <w:r w:rsidRPr="003E0025">
        <w:rPr>
          <w:szCs w:val="24"/>
        </w:rPr>
        <w:fldChar w:fldCharType="separate"/>
      </w:r>
      <w:r w:rsidR="00E430FD" w:rsidRPr="00E430FD">
        <w:rPr>
          <w:noProof/>
          <w:szCs w:val="24"/>
        </w:rPr>
        <w:t>[174]</w:t>
      </w:r>
      <w:r w:rsidRPr="003E0025">
        <w:rPr>
          <w:szCs w:val="24"/>
        </w:rPr>
        <w:fldChar w:fldCharType="end"/>
      </w:r>
    </w:p>
    <w:p w14:paraId="0A680D60" w14:textId="77777777" w:rsidR="00B37E1F" w:rsidRPr="003E0025" w:rsidRDefault="00B37E1F" w:rsidP="008A2329">
      <w:pPr>
        <w:spacing w:before="0" w:after="0"/>
        <w:ind w:firstLine="567"/>
        <w:rPr>
          <w:szCs w:val="24"/>
        </w:rPr>
      </w:pPr>
      <w:r w:rsidRPr="003E0025">
        <w:rPr>
          <w:szCs w:val="24"/>
        </w:rPr>
        <w:t xml:space="preserve">Энтеральное и парентеральное питание может назначаться пациентам одновременно при недостаточной эффективности одного из этих методов (не позволяющем обеспечить более 60% от потребности в энергии). </w:t>
      </w:r>
    </w:p>
    <w:p w14:paraId="54D5E2E9" w14:textId="77777777" w:rsidR="00B37E1F" w:rsidRPr="003E0025" w:rsidRDefault="00B37E1F" w:rsidP="008A2329">
      <w:pPr>
        <w:spacing w:before="0" w:after="0"/>
        <w:ind w:firstLine="567"/>
        <w:rPr>
          <w:szCs w:val="24"/>
        </w:rPr>
      </w:pPr>
      <w:r w:rsidRPr="003E0025">
        <w:rPr>
          <w:szCs w:val="24"/>
        </w:rPr>
        <w:t xml:space="preserve">Мониторинг эффективности нутритивной поддержки </w:t>
      </w:r>
    </w:p>
    <w:p w14:paraId="2C6ED69C" w14:textId="77777777" w:rsidR="00B37E1F" w:rsidRPr="003E0025" w:rsidRDefault="00B37E1F" w:rsidP="008A2329">
      <w:pPr>
        <w:spacing w:before="0" w:after="0"/>
        <w:ind w:firstLine="567"/>
        <w:rPr>
          <w:szCs w:val="24"/>
        </w:rPr>
      </w:pPr>
      <w:r w:rsidRPr="003E0025">
        <w:rPr>
          <w:szCs w:val="24"/>
        </w:rPr>
        <w:t>Частота исследования данных показателей может изменяться в зависимости от конкретной клинической ситуации.</w:t>
      </w:r>
    </w:p>
    <w:p w14:paraId="332BDE49" w14:textId="77777777" w:rsidR="00B37E1F" w:rsidRPr="003E0025" w:rsidRDefault="00B37E1F" w:rsidP="008A2329">
      <w:pPr>
        <w:spacing w:before="0" w:after="0"/>
        <w:ind w:firstLine="567"/>
        <w:rPr>
          <w:szCs w:val="24"/>
        </w:rPr>
      </w:pPr>
      <w:r w:rsidRPr="003E0025">
        <w:rPr>
          <w:szCs w:val="24"/>
        </w:rPr>
        <w:t>• Общий белок сыворотки крови 1 раз в 5–7 дней.</w:t>
      </w:r>
    </w:p>
    <w:p w14:paraId="34FB7887" w14:textId="77777777" w:rsidR="00B37E1F" w:rsidRPr="003E0025" w:rsidRDefault="00B37E1F" w:rsidP="008A2329">
      <w:pPr>
        <w:spacing w:before="0" w:after="0"/>
        <w:ind w:firstLine="567"/>
        <w:rPr>
          <w:szCs w:val="24"/>
        </w:rPr>
      </w:pPr>
      <w:r w:rsidRPr="003E0025">
        <w:rPr>
          <w:szCs w:val="24"/>
        </w:rPr>
        <w:t>• Альбумин сыворотки крови 1 раз в 5–7 дней.</w:t>
      </w:r>
    </w:p>
    <w:p w14:paraId="2E4B9D00" w14:textId="77777777" w:rsidR="00B37E1F" w:rsidRPr="003E0025" w:rsidRDefault="00B37E1F" w:rsidP="008A2329">
      <w:pPr>
        <w:spacing w:before="0" w:after="0"/>
        <w:ind w:firstLine="567"/>
        <w:rPr>
          <w:szCs w:val="24"/>
        </w:rPr>
      </w:pPr>
      <w:r w:rsidRPr="003E0025">
        <w:rPr>
          <w:szCs w:val="24"/>
        </w:rPr>
        <w:t>• Гемоглобин 1 раз в 5–7 дней.</w:t>
      </w:r>
    </w:p>
    <w:p w14:paraId="25D2C731" w14:textId="77777777" w:rsidR="00B37E1F" w:rsidRPr="003E0025" w:rsidRDefault="00B37E1F" w:rsidP="008A2329">
      <w:pPr>
        <w:spacing w:before="0" w:after="0"/>
        <w:ind w:firstLine="567"/>
        <w:rPr>
          <w:szCs w:val="24"/>
        </w:rPr>
      </w:pPr>
      <w:r w:rsidRPr="003E0025">
        <w:rPr>
          <w:szCs w:val="24"/>
        </w:rPr>
        <w:t>• Лимфоциты периферической крови 1 раз в 5–7 дней.</w:t>
      </w:r>
    </w:p>
    <w:p w14:paraId="22307380" w14:textId="77777777" w:rsidR="00B37E1F" w:rsidRDefault="00B37E1F" w:rsidP="008A2329">
      <w:pPr>
        <w:spacing w:before="0" w:after="0"/>
        <w:ind w:firstLine="567"/>
        <w:rPr>
          <w:szCs w:val="24"/>
        </w:rPr>
      </w:pPr>
      <w:r w:rsidRPr="003E0025">
        <w:rPr>
          <w:szCs w:val="24"/>
        </w:rPr>
        <w:t>• Масса тела и ИМТ тела 1 раз в 7–10 дней.</w:t>
      </w:r>
    </w:p>
    <w:p w14:paraId="6C74E419" w14:textId="557EB41F" w:rsidR="00B37E1F" w:rsidRDefault="00B37E1F" w:rsidP="002431B5">
      <w:pPr>
        <w:widowControl w:val="0"/>
        <w:autoSpaceDE w:val="0"/>
        <w:autoSpaceDN w:val="0"/>
        <w:adjustRightInd w:val="0"/>
        <w:rPr>
          <w:szCs w:val="24"/>
        </w:rPr>
      </w:pPr>
      <w:r>
        <w:rPr>
          <w:szCs w:val="24"/>
        </w:rPr>
        <w:br w:type="page"/>
      </w:r>
    </w:p>
    <w:p w14:paraId="77F33DF6" w14:textId="35E25F12" w:rsidR="00430313" w:rsidRPr="00430313" w:rsidRDefault="00430313" w:rsidP="00430313">
      <w:pPr>
        <w:pStyle w:val="2"/>
        <w:spacing w:before="0" w:after="0"/>
        <w:rPr>
          <w:rStyle w:val="ac"/>
          <w:b/>
        </w:rPr>
      </w:pPr>
      <w:bookmarkStart w:id="103" w:name="_Toc97734654"/>
      <w:r w:rsidRPr="00430313">
        <w:rPr>
          <w:rStyle w:val="ac"/>
          <w:b/>
        </w:rPr>
        <w:lastRenderedPageBreak/>
        <w:t>Приложение А3.9</w:t>
      </w:r>
      <w:r w:rsidR="002D1222">
        <w:rPr>
          <w:rStyle w:val="ac"/>
          <w:b/>
        </w:rPr>
        <w:t>.</w:t>
      </w:r>
      <w:r w:rsidRPr="00430313">
        <w:rPr>
          <w:rStyle w:val="ac"/>
          <w:b/>
        </w:rPr>
        <w:t xml:space="preserve"> Профилактика, диагностика и лечение геморрагических осложнений при множественной миеломе</w:t>
      </w:r>
      <w:bookmarkEnd w:id="103"/>
    </w:p>
    <w:p w14:paraId="3EA06681" w14:textId="499D0F43" w:rsidR="00430313" w:rsidRDefault="00430313" w:rsidP="00430313">
      <w:pPr>
        <w:spacing w:before="0" w:after="0"/>
        <w:rPr>
          <w:rFonts w:eastAsia="Times New Roman"/>
          <w:b/>
          <w:szCs w:val="24"/>
          <w:lang w:eastAsia="ru-RU"/>
        </w:rPr>
      </w:pPr>
      <w:r>
        <w:rPr>
          <w:rFonts w:eastAsia="Times New Roman"/>
          <w:b/>
          <w:szCs w:val="24"/>
          <w:lang w:eastAsia="ru-RU"/>
        </w:rPr>
        <w:t xml:space="preserve"> Общие сведения о геморрагических нарушениях.</w:t>
      </w:r>
    </w:p>
    <w:p w14:paraId="2A89495E" w14:textId="1FA9688C" w:rsidR="00430313" w:rsidRDefault="00430313" w:rsidP="00430313">
      <w:pPr>
        <w:spacing w:before="0" w:after="0"/>
        <w:ind w:firstLine="709"/>
        <w:rPr>
          <w:rFonts w:eastAsia="Times New Roman"/>
          <w:szCs w:val="24"/>
          <w:lang w:eastAsia="ru-RU"/>
        </w:rPr>
      </w:pPr>
      <w:r>
        <w:rPr>
          <w:rFonts w:eastAsia="Times New Roman"/>
          <w:szCs w:val="24"/>
          <w:lang w:eastAsia="ru-RU"/>
        </w:rPr>
        <w:t>Геморрагические проявления у гематологических пациентов отличаются многообразием и могут быть обусловлены как самим заболеванием, так и его осложнениями, в том числе вследствие проведения специфической терапии, а также появиться в результате проводимой антитромботической терапии. Геморрагические проявления могут встречаться на любом этапе диагностики и лечения у пациентов с любым гематологическим заболеванием. Для предотвращения геморрагических нарушений требуется динамический лабораторный контроль за показателями периферической крови и коагулограммы. Если появляются ранние признаки геморрагического синдрома или лабораторные параметры указывают на выраженную гипокоагуляцию, необходимо решить вопрос о прекращении антикоагулянтной терапии в случае ее проведения или снижении доз препаратов</w:t>
      </w:r>
      <w:r>
        <w:fldChar w:fldCharType="begin" w:fldLock="1"/>
      </w:r>
      <w:r w:rsidR="00E430FD">
        <w:instrText>ADDIN CSL_CITATION {"citationItems":[{"id":"ITEM-1","itemData":{"author":[{"dropping-particle":"","family":"Дементьева","given":"И.И.","non-dropping-particle":"","parse-names":false,"suffix":""},{"dropping-particle":"","family":"Морозов","given":"Ю.А.","non-dropping-particle":"","parse-names":false,"suffix":""},{"dropping-particle":"","family":"Чарная","given":"М.А.","non-dropping-particle":"","parse-names":false,"suffix":""}],"editor":[{"dropping-particle":"","family":"Алексина","given":"В.А.","non-dropping-particle":"","parse-names":false,"suffix":""}],"id":"ITEM-1","issued":{"date-parts":[["2013"]]},"number-of-pages":"288","publisher":"ГЭОТАР-МЕД","publisher-place":"Москва","title":"Патология системы гемостаза","type":"book"},"uris":["http://www.mendeley.com/documents/?uuid=0335f712-c1ae-4bbb-8b86-8c690b220e21"]}],"mendeley":{"formattedCitation":"[178]","plainTextFormattedCitation":"[178]","previouslyFormattedCitation":"[178]"},"properties":{"noteIndex":0},"schema":"https://github.com/citation-style-language/schema/raw/master/csl-citation.json"}</w:instrText>
      </w:r>
      <w:r>
        <w:fldChar w:fldCharType="separate"/>
      </w:r>
      <w:r w:rsidR="00E430FD" w:rsidRPr="00E430FD">
        <w:rPr>
          <w:noProof/>
        </w:rPr>
        <w:t>[178]</w:t>
      </w:r>
      <w:r>
        <w:fldChar w:fldCharType="end"/>
      </w:r>
      <w:r>
        <w:rPr>
          <w:rFonts w:eastAsia="Times New Roman"/>
          <w:szCs w:val="24"/>
          <w:lang w:eastAsia="ru-RU"/>
        </w:rPr>
        <w:t>.</w:t>
      </w:r>
    </w:p>
    <w:p w14:paraId="6FD06134" w14:textId="77777777" w:rsidR="00430313" w:rsidRDefault="00430313" w:rsidP="00430313">
      <w:pPr>
        <w:spacing w:before="0" w:after="0"/>
        <w:rPr>
          <w:rFonts w:eastAsia="Times New Roman"/>
          <w:b/>
          <w:szCs w:val="24"/>
          <w:lang w:eastAsia="ru-RU"/>
        </w:rPr>
      </w:pPr>
      <w:r>
        <w:rPr>
          <w:rFonts w:eastAsia="Times New Roman"/>
          <w:b/>
          <w:szCs w:val="24"/>
          <w:lang w:eastAsia="ru-RU"/>
        </w:rPr>
        <w:t>2. Клинические проявления.</w:t>
      </w:r>
    </w:p>
    <w:p w14:paraId="282E01BA" w14:textId="03BD037D" w:rsidR="00430313" w:rsidRDefault="00430313" w:rsidP="00430313">
      <w:pPr>
        <w:spacing w:before="0" w:after="0"/>
        <w:rPr>
          <w:rFonts w:eastAsiaTheme="minorHAnsi"/>
        </w:rPr>
      </w:pPr>
      <w:r>
        <w:rPr>
          <w:rFonts w:eastAsia="Times New Roman"/>
          <w:szCs w:val="24"/>
          <w:lang w:eastAsia="ru-RU"/>
        </w:rPr>
        <w:t>Геморрагический синдром может проявляться в виде экхимозов и петехиальных высыпаний; носовых, десневых, луночковых, геморроидальных, маточных и желудочно-кишечных кровотечений (ЖКК); гематурии или геморрагического цистита; кровоизлияний в орбиту; внутримозговых гематом и кровоизлияний в центральную нервную систему (ЦНС), забрюшинных гематом, гемартрозов, гематом мягких тканей и межмышечных гематом. Геморрагический синдром может быть спонтанным или посттравматическим/провокационным (после травм, инвазивных вмешательств и др.). С целью ранней диагностики геморрагических осложнений необходимо ежедневно осматривать кожные покровы и слизистые больного, активно выяснять, имеются ли какие-либо проявления геморрагического синдрома</w:t>
      </w:r>
      <w:r>
        <w:fldChar w:fldCharType="begin" w:fldLock="1"/>
      </w:r>
      <w:r w:rsidR="00E430FD">
        <w:instrText>ADDIN CSL_CITATION {"citationItems":[{"id":"ITEM-1","itemData":{"author":[{"dropping-particle":"","family":"Зозуля","given":"Надежда Ивановна","non-dropping-particle":"","parse-names":false,"suffix":""}],"id":"ITEM-1","issued":{"date-parts":[["2010"]]},"number-of-pages":"260","publisher-place":"Москва","title":"Диагностика и лечение ингибиторной формы гемофилии.","type":"book"},"uris":["http://www.mendeley.com/documents/?uuid=3cc9ff3c-908f-4daa-baf5-8dfb58654d57"]}],"mendeley":{"formattedCitation":"[179]","plainTextFormattedCitation":"[179]","previouslyFormattedCitation":"[179]"},"properties":{"noteIndex":0},"schema":"https://github.com/citation-style-language/schema/raw/master/csl-citation.json"}</w:instrText>
      </w:r>
      <w:r>
        <w:fldChar w:fldCharType="separate"/>
      </w:r>
      <w:r w:rsidR="00E430FD" w:rsidRPr="00E430FD">
        <w:rPr>
          <w:noProof/>
        </w:rPr>
        <w:t>[179]</w:t>
      </w:r>
      <w:r>
        <w:fldChar w:fldCharType="end"/>
      </w:r>
      <w:r>
        <w:t xml:space="preserve">. </w:t>
      </w:r>
    </w:p>
    <w:p w14:paraId="42797703" w14:textId="77777777" w:rsidR="00430313" w:rsidRDefault="00430313" w:rsidP="008F161A">
      <w:pPr>
        <w:pStyle w:val="a6"/>
        <w:numPr>
          <w:ilvl w:val="0"/>
          <w:numId w:val="160"/>
        </w:numPr>
        <w:tabs>
          <w:tab w:val="left" w:pos="851"/>
        </w:tabs>
        <w:spacing w:before="0" w:after="0"/>
        <w:ind w:left="0" w:firstLine="709"/>
        <w:rPr>
          <w:rFonts w:eastAsia="Times New Roman"/>
          <w:b/>
          <w:szCs w:val="24"/>
          <w:lang w:eastAsia="ru-RU"/>
        </w:rPr>
      </w:pPr>
      <w:r>
        <w:rPr>
          <w:rFonts w:eastAsia="Times New Roman"/>
          <w:b/>
          <w:szCs w:val="24"/>
          <w:lang w:eastAsia="ru-RU"/>
        </w:rPr>
        <w:t>Лабораторная диагностика.</w:t>
      </w:r>
    </w:p>
    <w:p w14:paraId="48D782D5" w14:textId="77777777" w:rsidR="00430313" w:rsidRDefault="00430313" w:rsidP="00430313">
      <w:pPr>
        <w:spacing w:before="0" w:after="0"/>
        <w:ind w:firstLine="709"/>
        <w:rPr>
          <w:rFonts w:eastAsiaTheme="minorHAnsi"/>
          <w:szCs w:val="24"/>
        </w:rPr>
      </w:pPr>
      <w:r>
        <w:rPr>
          <w:szCs w:val="24"/>
        </w:rPr>
        <w:t xml:space="preserve">Для определения конкретного нарушения, вследствие которого появились геморрагические проявления, помимо тщательного сбора анамнеза и жалоб, а также оценки проводимой специфической терапии, в том числе химиотерапии (ХТ), обязательно проведение поэтапного лабораторного исследования. </w:t>
      </w:r>
    </w:p>
    <w:p w14:paraId="0EC30FEE" w14:textId="77777777" w:rsidR="00430313" w:rsidRDefault="00430313" w:rsidP="00430313">
      <w:pPr>
        <w:spacing w:before="0" w:after="0"/>
        <w:ind w:firstLine="709"/>
        <w:rPr>
          <w:szCs w:val="24"/>
        </w:rPr>
      </w:pPr>
      <w:r>
        <w:rPr>
          <w:szCs w:val="24"/>
        </w:rPr>
        <w:t xml:space="preserve">Необходимо проведение следующих исследований: </w:t>
      </w:r>
    </w:p>
    <w:p w14:paraId="6C46DC2C" w14:textId="77777777" w:rsidR="00430313" w:rsidRDefault="00430313" w:rsidP="00430313">
      <w:pPr>
        <w:spacing w:before="0" w:after="0"/>
        <w:ind w:firstLine="709"/>
        <w:rPr>
          <w:szCs w:val="24"/>
        </w:rPr>
      </w:pPr>
      <w:r>
        <w:t xml:space="preserve">1) </w:t>
      </w:r>
      <w:r>
        <w:rPr>
          <w:szCs w:val="24"/>
        </w:rPr>
        <w:t xml:space="preserve">Исследование периферической крови с подсчетом количества эритроцитов, гемоглобина и гематокрита, тромбоцитов (с подсчетом в мазке по Фонио), лейкоцитов, лейкоцитарной формулы – обязательно при диагностике, далее - по показаниям с целью </w:t>
      </w:r>
      <w:r>
        <w:rPr>
          <w:szCs w:val="24"/>
        </w:rPr>
        <w:lastRenderedPageBreak/>
        <w:t>оценки динамики гематологических показателей и для контроля эффективности лечения</w:t>
      </w:r>
      <w:r>
        <w:t xml:space="preserve">. </w:t>
      </w:r>
      <w:r>
        <w:rPr>
          <w:szCs w:val="24"/>
        </w:rPr>
        <w:t>При снижении количества тромбоцитов ≤ 20х10</w:t>
      </w:r>
      <w:r>
        <w:rPr>
          <w:szCs w:val="24"/>
          <w:vertAlign w:val="superscript"/>
        </w:rPr>
        <w:t>9</w:t>
      </w:r>
      <w:r>
        <w:rPr>
          <w:szCs w:val="24"/>
        </w:rPr>
        <w:t xml:space="preserve"> мкл геморрагические осложнения высоковероятны. Однако не всегда тяжесть геморрагических проявлений прямо коррелирует со степенью тромбоцитопении.</w:t>
      </w:r>
    </w:p>
    <w:p w14:paraId="75798575" w14:textId="77777777" w:rsidR="00430313" w:rsidRDefault="00430313" w:rsidP="00430313">
      <w:pPr>
        <w:spacing w:before="0" w:after="0"/>
        <w:ind w:firstLine="709"/>
        <w:rPr>
          <w:szCs w:val="24"/>
        </w:rPr>
      </w:pPr>
      <w:r>
        <w:rPr>
          <w:szCs w:val="24"/>
        </w:rPr>
        <w:t>2) Коагулограмма с определением следующих показателей:</w:t>
      </w:r>
    </w:p>
    <w:p w14:paraId="5201D4E9" w14:textId="77777777" w:rsidR="00430313" w:rsidRDefault="00430313" w:rsidP="008F161A">
      <w:pPr>
        <w:pStyle w:val="a6"/>
        <w:widowControl w:val="0"/>
        <w:numPr>
          <w:ilvl w:val="0"/>
          <w:numId w:val="161"/>
        </w:numPr>
        <w:tabs>
          <w:tab w:val="left" w:pos="993"/>
        </w:tabs>
        <w:autoSpaceDE w:val="0"/>
        <w:autoSpaceDN w:val="0"/>
        <w:adjustRightInd w:val="0"/>
        <w:spacing w:before="0" w:after="0"/>
        <w:ind w:left="0" w:firstLine="709"/>
        <w:rPr>
          <w:szCs w:val="24"/>
        </w:rPr>
      </w:pPr>
      <w:r>
        <w:rPr>
          <w:szCs w:val="24"/>
        </w:rPr>
        <w:t>активированное частичное тромбопластиновое время (АЧТВ);</w:t>
      </w:r>
    </w:p>
    <w:p w14:paraId="2B51CEC7" w14:textId="77777777" w:rsidR="00430313" w:rsidRDefault="00430313" w:rsidP="008F161A">
      <w:pPr>
        <w:pStyle w:val="a6"/>
        <w:widowControl w:val="0"/>
        <w:numPr>
          <w:ilvl w:val="0"/>
          <w:numId w:val="161"/>
        </w:numPr>
        <w:tabs>
          <w:tab w:val="left" w:pos="993"/>
        </w:tabs>
        <w:autoSpaceDE w:val="0"/>
        <w:autoSpaceDN w:val="0"/>
        <w:adjustRightInd w:val="0"/>
        <w:spacing w:before="0" w:after="0"/>
        <w:ind w:left="0" w:firstLine="709"/>
        <w:rPr>
          <w:szCs w:val="24"/>
        </w:rPr>
      </w:pPr>
      <w:r>
        <w:rPr>
          <w:szCs w:val="24"/>
        </w:rPr>
        <w:t>тромбиновое время (ТВ);</w:t>
      </w:r>
    </w:p>
    <w:p w14:paraId="7C7683DA" w14:textId="77777777" w:rsidR="00430313" w:rsidRDefault="00430313" w:rsidP="008F161A">
      <w:pPr>
        <w:pStyle w:val="a6"/>
        <w:widowControl w:val="0"/>
        <w:numPr>
          <w:ilvl w:val="0"/>
          <w:numId w:val="161"/>
        </w:numPr>
        <w:tabs>
          <w:tab w:val="left" w:pos="993"/>
        </w:tabs>
        <w:autoSpaceDE w:val="0"/>
        <w:autoSpaceDN w:val="0"/>
        <w:adjustRightInd w:val="0"/>
        <w:spacing w:before="0" w:after="0"/>
        <w:ind w:left="0" w:firstLine="709"/>
        <w:rPr>
          <w:szCs w:val="24"/>
        </w:rPr>
      </w:pPr>
      <w:r>
        <w:rPr>
          <w:szCs w:val="24"/>
        </w:rPr>
        <w:t>протромбин по Квику (международное нормализованное отношение - МНО);</w:t>
      </w:r>
    </w:p>
    <w:p w14:paraId="69AD410C" w14:textId="77777777" w:rsidR="00430313" w:rsidRDefault="00430313" w:rsidP="008F161A">
      <w:pPr>
        <w:pStyle w:val="a6"/>
        <w:widowControl w:val="0"/>
        <w:numPr>
          <w:ilvl w:val="0"/>
          <w:numId w:val="161"/>
        </w:numPr>
        <w:tabs>
          <w:tab w:val="left" w:pos="993"/>
        </w:tabs>
        <w:autoSpaceDE w:val="0"/>
        <w:autoSpaceDN w:val="0"/>
        <w:adjustRightInd w:val="0"/>
        <w:spacing w:before="0" w:after="0"/>
        <w:ind w:left="0" w:firstLine="709"/>
        <w:rPr>
          <w:szCs w:val="24"/>
        </w:rPr>
      </w:pPr>
      <w:r>
        <w:rPr>
          <w:szCs w:val="24"/>
        </w:rPr>
        <w:t>плазменная концентрация фибриногена;</w:t>
      </w:r>
    </w:p>
    <w:p w14:paraId="36A55721" w14:textId="77777777" w:rsidR="00430313" w:rsidRDefault="00430313" w:rsidP="008F161A">
      <w:pPr>
        <w:pStyle w:val="a6"/>
        <w:widowControl w:val="0"/>
        <w:numPr>
          <w:ilvl w:val="0"/>
          <w:numId w:val="161"/>
        </w:numPr>
        <w:tabs>
          <w:tab w:val="left" w:pos="993"/>
        </w:tabs>
        <w:autoSpaceDE w:val="0"/>
        <w:autoSpaceDN w:val="0"/>
        <w:adjustRightInd w:val="0"/>
        <w:spacing w:before="0" w:after="0"/>
        <w:ind w:left="0" w:firstLine="709"/>
        <w:rPr>
          <w:szCs w:val="24"/>
        </w:rPr>
      </w:pPr>
      <w:r>
        <w:rPr>
          <w:szCs w:val="24"/>
        </w:rPr>
        <w:t>активность фактора Виллебранда (</w:t>
      </w:r>
      <w:r>
        <w:rPr>
          <w:szCs w:val="24"/>
          <w:lang w:val="en-US"/>
        </w:rPr>
        <w:t>vWF</w:t>
      </w:r>
      <w:r>
        <w:rPr>
          <w:szCs w:val="24"/>
        </w:rPr>
        <w:t xml:space="preserve">) и антигена </w:t>
      </w:r>
      <w:r>
        <w:rPr>
          <w:szCs w:val="24"/>
          <w:lang w:val="en-US"/>
        </w:rPr>
        <w:t>vWF</w:t>
      </w:r>
      <w:r>
        <w:rPr>
          <w:szCs w:val="24"/>
        </w:rPr>
        <w:t xml:space="preserve"> (</w:t>
      </w:r>
      <w:r>
        <w:rPr>
          <w:szCs w:val="24"/>
          <w:lang w:val="en-US"/>
        </w:rPr>
        <w:t>ag</w:t>
      </w:r>
      <w:r>
        <w:rPr>
          <w:szCs w:val="24"/>
        </w:rPr>
        <w:t>-</w:t>
      </w:r>
      <w:r>
        <w:rPr>
          <w:szCs w:val="24"/>
          <w:lang w:val="en-US"/>
        </w:rPr>
        <w:t>vWF</w:t>
      </w:r>
      <w:r>
        <w:rPr>
          <w:szCs w:val="24"/>
        </w:rPr>
        <w:t>) – по показаниям;</w:t>
      </w:r>
    </w:p>
    <w:p w14:paraId="000C6ACD" w14:textId="77777777" w:rsidR="00430313" w:rsidRDefault="00430313" w:rsidP="008F161A">
      <w:pPr>
        <w:pStyle w:val="a6"/>
        <w:widowControl w:val="0"/>
        <w:numPr>
          <w:ilvl w:val="0"/>
          <w:numId w:val="161"/>
        </w:numPr>
        <w:tabs>
          <w:tab w:val="left" w:pos="993"/>
        </w:tabs>
        <w:autoSpaceDE w:val="0"/>
        <w:autoSpaceDN w:val="0"/>
        <w:adjustRightInd w:val="0"/>
        <w:spacing w:before="0" w:after="0"/>
        <w:ind w:left="0" w:firstLine="709"/>
        <w:rPr>
          <w:szCs w:val="24"/>
        </w:rPr>
      </w:pPr>
      <w:r>
        <w:rPr>
          <w:szCs w:val="24"/>
        </w:rPr>
        <w:t xml:space="preserve">плазменная концентрация антитромбина III (АТ </w:t>
      </w:r>
      <w:r>
        <w:rPr>
          <w:szCs w:val="24"/>
          <w:lang w:val="en-US"/>
        </w:rPr>
        <w:t>III</w:t>
      </w:r>
      <w:r>
        <w:rPr>
          <w:szCs w:val="24"/>
        </w:rPr>
        <w:t>) – по показаниям;</w:t>
      </w:r>
    </w:p>
    <w:p w14:paraId="7769FDD5" w14:textId="7904D850" w:rsidR="00430313" w:rsidRDefault="00E10DA9" w:rsidP="008F161A">
      <w:pPr>
        <w:pStyle w:val="a6"/>
        <w:widowControl w:val="0"/>
        <w:numPr>
          <w:ilvl w:val="0"/>
          <w:numId w:val="161"/>
        </w:numPr>
        <w:tabs>
          <w:tab w:val="left" w:pos="993"/>
        </w:tabs>
        <w:autoSpaceDE w:val="0"/>
        <w:autoSpaceDN w:val="0"/>
        <w:adjustRightInd w:val="0"/>
        <w:spacing w:before="0" w:after="0"/>
        <w:ind w:left="0" w:firstLine="709"/>
        <w:rPr>
          <w:szCs w:val="24"/>
        </w:rPr>
      </w:pPr>
      <w:r w:rsidRPr="0053428B">
        <w:t>исследование агрегации тромбоцитов с помощью агрегат-гемагглютинационной пробы</w:t>
      </w:r>
      <w:r w:rsidR="00430313" w:rsidRPr="0053428B">
        <w:rPr>
          <w:szCs w:val="24"/>
        </w:rPr>
        <w:t>, индуцированн</w:t>
      </w:r>
      <w:r w:rsidRPr="0053428B">
        <w:rPr>
          <w:szCs w:val="24"/>
        </w:rPr>
        <w:t>ой</w:t>
      </w:r>
      <w:r w:rsidR="00430313">
        <w:rPr>
          <w:szCs w:val="24"/>
        </w:rPr>
        <w:t xml:space="preserve"> АДФ, адреналином, ристомицином, коллагеном, арахидоновой кислотой – по показаниям;</w:t>
      </w:r>
    </w:p>
    <w:p w14:paraId="383BB989" w14:textId="77777777" w:rsidR="00430313" w:rsidRDefault="00430313" w:rsidP="008F161A">
      <w:pPr>
        <w:pStyle w:val="a6"/>
        <w:widowControl w:val="0"/>
        <w:numPr>
          <w:ilvl w:val="0"/>
          <w:numId w:val="161"/>
        </w:numPr>
        <w:tabs>
          <w:tab w:val="left" w:pos="993"/>
          <w:tab w:val="left" w:pos="1134"/>
        </w:tabs>
        <w:autoSpaceDE w:val="0"/>
        <w:autoSpaceDN w:val="0"/>
        <w:adjustRightInd w:val="0"/>
        <w:spacing w:before="0" w:after="0"/>
        <w:ind w:left="0" w:firstLine="709"/>
        <w:rPr>
          <w:szCs w:val="24"/>
        </w:rPr>
      </w:pPr>
      <w:r>
        <w:rPr>
          <w:szCs w:val="24"/>
        </w:rPr>
        <w:t xml:space="preserve">активность факторов свертывания крови </w:t>
      </w:r>
      <w:r>
        <w:rPr>
          <w:szCs w:val="24"/>
          <w:lang w:val="en-US"/>
        </w:rPr>
        <w:t>II</w:t>
      </w:r>
      <w:r>
        <w:rPr>
          <w:szCs w:val="24"/>
        </w:rPr>
        <w:t xml:space="preserve">, </w:t>
      </w:r>
      <w:r>
        <w:rPr>
          <w:szCs w:val="24"/>
          <w:lang w:val="en-US"/>
        </w:rPr>
        <w:t>V</w:t>
      </w:r>
      <w:r>
        <w:rPr>
          <w:szCs w:val="24"/>
        </w:rPr>
        <w:t xml:space="preserve">, </w:t>
      </w:r>
      <w:r>
        <w:rPr>
          <w:szCs w:val="24"/>
          <w:lang w:val="en-US"/>
        </w:rPr>
        <w:t>VII</w:t>
      </w:r>
      <w:r>
        <w:rPr>
          <w:szCs w:val="24"/>
        </w:rPr>
        <w:t xml:space="preserve">, </w:t>
      </w:r>
      <w:r>
        <w:rPr>
          <w:szCs w:val="24"/>
          <w:lang w:val="en-US"/>
        </w:rPr>
        <w:t>VIII</w:t>
      </w:r>
      <w:r>
        <w:rPr>
          <w:szCs w:val="24"/>
        </w:rPr>
        <w:t xml:space="preserve">, </w:t>
      </w:r>
      <w:r>
        <w:rPr>
          <w:szCs w:val="24"/>
          <w:lang w:val="en-US"/>
        </w:rPr>
        <w:t>IX</w:t>
      </w:r>
      <w:r>
        <w:rPr>
          <w:szCs w:val="24"/>
        </w:rPr>
        <w:t xml:space="preserve">, </w:t>
      </w:r>
      <w:r>
        <w:rPr>
          <w:szCs w:val="24"/>
          <w:lang w:val="en-US"/>
        </w:rPr>
        <w:t>X</w:t>
      </w:r>
      <w:r>
        <w:rPr>
          <w:szCs w:val="24"/>
        </w:rPr>
        <w:t xml:space="preserve">, </w:t>
      </w:r>
      <w:r>
        <w:rPr>
          <w:szCs w:val="24"/>
          <w:lang w:val="en-US"/>
        </w:rPr>
        <w:t>XI</w:t>
      </w:r>
      <w:r>
        <w:rPr>
          <w:szCs w:val="24"/>
        </w:rPr>
        <w:t xml:space="preserve">, </w:t>
      </w:r>
      <w:r>
        <w:rPr>
          <w:szCs w:val="24"/>
          <w:lang w:val="en-US"/>
        </w:rPr>
        <w:t>XII</w:t>
      </w:r>
      <w:r>
        <w:rPr>
          <w:szCs w:val="24"/>
        </w:rPr>
        <w:t xml:space="preserve">, </w:t>
      </w:r>
      <w:r>
        <w:rPr>
          <w:szCs w:val="24"/>
          <w:lang w:val="en-US"/>
        </w:rPr>
        <w:t>XIII</w:t>
      </w:r>
      <w:r>
        <w:rPr>
          <w:szCs w:val="24"/>
        </w:rPr>
        <w:t xml:space="preserve"> – по показаниям;</w:t>
      </w:r>
    </w:p>
    <w:p w14:paraId="6649861F" w14:textId="77777777" w:rsidR="00430313" w:rsidRDefault="00430313" w:rsidP="008F161A">
      <w:pPr>
        <w:pStyle w:val="a6"/>
        <w:widowControl w:val="0"/>
        <w:numPr>
          <w:ilvl w:val="0"/>
          <w:numId w:val="161"/>
        </w:numPr>
        <w:tabs>
          <w:tab w:val="left" w:pos="993"/>
          <w:tab w:val="left" w:pos="1134"/>
        </w:tabs>
        <w:autoSpaceDE w:val="0"/>
        <w:autoSpaceDN w:val="0"/>
        <w:adjustRightInd w:val="0"/>
        <w:spacing w:before="0" w:after="0"/>
        <w:ind w:left="0" w:firstLine="709"/>
        <w:rPr>
          <w:szCs w:val="24"/>
        </w:rPr>
      </w:pPr>
      <w:r>
        <w:rPr>
          <w:szCs w:val="24"/>
        </w:rPr>
        <w:t>XIIa-зависимый фибринолиз.</w:t>
      </w:r>
    </w:p>
    <w:p w14:paraId="2DAB4CCC" w14:textId="77777777" w:rsidR="00430313" w:rsidRDefault="00430313" w:rsidP="00430313">
      <w:pPr>
        <w:widowControl w:val="0"/>
        <w:autoSpaceDE w:val="0"/>
        <w:autoSpaceDN w:val="0"/>
        <w:adjustRightInd w:val="0"/>
        <w:spacing w:before="0" w:after="0"/>
        <w:ind w:firstLine="709"/>
        <w:rPr>
          <w:szCs w:val="24"/>
        </w:rPr>
      </w:pPr>
      <w:r>
        <w:rPr>
          <w:szCs w:val="24"/>
        </w:rPr>
        <w:t>Для исследования показателей гемостаза забор крови производят строго натощак, с помощью вакуумных пробирок. Забор крови из катетеров запрещен. Кровь набирают в пробирки, содержащие 3,2% цитрат натрия в соотношении 1:9. Исследование должно проводиться не позднее 2-х часов после забора крови. Достоверность результатов агрегабельности тромбоцитов можно оценить только при содержании в крови тромбоцитов ≥ 100х10</w:t>
      </w:r>
      <w:r>
        <w:rPr>
          <w:szCs w:val="24"/>
          <w:vertAlign w:val="superscript"/>
        </w:rPr>
        <w:t>9</w:t>
      </w:r>
      <w:r>
        <w:rPr>
          <w:szCs w:val="24"/>
        </w:rPr>
        <w:t>/л.</w:t>
      </w:r>
    </w:p>
    <w:p w14:paraId="1FADF96A" w14:textId="77777777" w:rsidR="00430313" w:rsidRDefault="00430313" w:rsidP="00430313">
      <w:pPr>
        <w:autoSpaceDE w:val="0"/>
        <w:autoSpaceDN w:val="0"/>
        <w:adjustRightInd w:val="0"/>
        <w:spacing w:before="0" w:after="0"/>
        <w:ind w:firstLine="709"/>
        <w:rPr>
          <w:szCs w:val="24"/>
        </w:rPr>
      </w:pPr>
      <w:r>
        <w:rPr>
          <w:b/>
          <w:szCs w:val="24"/>
        </w:rPr>
        <w:t>4.</w:t>
      </w:r>
      <w:r>
        <w:rPr>
          <w:rStyle w:val="ac"/>
          <w:rFonts w:eastAsia="Times New Roman"/>
          <w:szCs w:val="24"/>
        </w:rPr>
        <w:t xml:space="preserve"> Инструментальная диагностика. </w:t>
      </w:r>
    </w:p>
    <w:p w14:paraId="70462009" w14:textId="77777777" w:rsidR="00430313" w:rsidRDefault="00430313" w:rsidP="00430313">
      <w:pPr>
        <w:pStyle w:val="af4"/>
        <w:spacing w:before="0" w:after="0" w:line="360" w:lineRule="auto"/>
        <w:ind w:firstLine="709"/>
        <w:contextualSpacing/>
        <w:rPr>
          <w:sz w:val="24"/>
          <w:szCs w:val="24"/>
        </w:rPr>
      </w:pPr>
      <w:r>
        <w:rPr>
          <w:sz w:val="24"/>
          <w:szCs w:val="24"/>
        </w:rPr>
        <w:t>Рекомендуется всем пациентам с геморрагическими проявлениями на любом этапе обследования и лечения, наблюдения пациента и позволяет визуализировать кровотечения/кровоизлияния различных локализаций, а также позволяет мониторировать проводимую терапию геморрагического синдрома.</w:t>
      </w:r>
    </w:p>
    <w:p w14:paraId="4D47F2E1" w14:textId="77777777" w:rsidR="00430313" w:rsidRDefault="00430313" w:rsidP="00430313">
      <w:pPr>
        <w:pStyle w:val="af4"/>
        <w:spacing w:before="0" w:after="0" w:line="360" w:lineRule="auto"/>
        <w:ind w:firstLine="709"/>
        <w:contextualSpacing/>
        <w:rPr>
          <w:sz w:val="24"/>
          <w:szCs w:val="24"/>
        </w:rPr>
      </w:pPr>
      <w:r>
        <w:rPr>
          <w:sz w:val="24"/>
          <w:szCs w:val="24"/>
        </w:rPr>
        <w:t xml:space="preserve">По показаниям проводится: эзофагогастродуоденоскопия </w:t>
      </w:r>
      <w:r>
        <w:rPr>
          <w:iCs/>
          <w:sz w:val="24"/>
          <w:szCs w:val="24"/>
        </w:rPr>
        <w:t>(ЭГДС)</w:t>
      </w:r>
      <w:r>
        <w:rPr>
          <w:sz w:val="24"/>
          <w:szCs w:val="24"/>
        </w:rPr>
        <w:t xml:space="preserve">; колоноскопия; бронхоскопия; видеокапсульная эндоскопия; ультразвуковое исследование (УЗИ) органов брюшной полости, мочевыводящих путей, забрюшинного пространства, органов малого таза, суставов (при наличии гемартрозов); рентгенологическое исследование органов грудной клетки, суставов; компьютерная томография (КТ) органов грудной клетки, </w:t>
      </w:r>
      <w:r>
        <w:rPr>
          <w:sz w:val="24"/>
          <w:szCs w:val="24"/>
        </w:rPr>
        <w:lastRenderedPageBreak/>
        <w:t>головного мозга, брюшной полости; магнитно-резонансная томография (МРТ) органов грудной клетки, головного мозга, органов брюшной полости и забрюшинного пространства, суставов, мягких тканей.</w:t>
      </w:r>
    </w:p>
    <w:p w14:paraId="5C3D7415" w14:textId="77777777" w:rsidR="00430313" w:rsidRDefault="00430313" w:rsidP="008F161A">
      <w:pPr>
        <w:pStyle w:val="a6"/>
        <w:numPr>
          <w:ilvl w:val="0"/>
          <w:numId w:val="162"/>
        </w:numPr>
        <w:spacing w:before="0" w:after="0"/>
        <w:ind w:left="0" w:firstLine="709"/>
        <w:rPr>
          <w:rFonts w:eastAsia="Times New Roman"/>
          <w:b/>
          <w:szCs w:val="24"/>
          <w:lang w:eastAsia="ru-RU"/>
        </w:rPr>
      </w:pPr>
      <w:r>
        <w:rPr>
          <w:rFonts w:eastAsia="Times New Roman"/>
          <w:b/>
          <w:szCs w:val="24"/>
          <w:lang w:eastAsia="ru-RU"/>
        </w:rPr>
        <w:t>Медикаментозная терапия.</w:t>
      </w:r>
    </w:p>
    <w:p w14:paraId="3C9B3B5F" w14:textId="77777777" w:rsidR="00430313" w:rsidRDefault="00430313" w:rsidP="00430313">
      <w:pPr>
        <w:spacing w:before="0" w:after="0"/>
        <w:ind w:firstLine="709"/>
        <w:rPr>
          <w:rFonts w:eastAsia="Times New Roman"/>
          <w:szCs w:val="24"/>
          <w:u w:val="single"/>
          <w:lang w:eastAsia="ru-RU"/>
        </w:rPr>
      </w:pPr>
      <w:r>
        <w:rPr>
          <w:rFonts w:eastAsia="Times New Roman"/>
          <w:szCs w:val="24"/>
          <w:u w:val="single"/>
          <w:lang w:eastAsia="ru-RU"/>
        </w:rPr>
        <w:t>5.1. Геморрагические осложнения при проведении антикоагулянтной терапии</w:t>
      </w:r>
    </w:p>
    <w:p w14:paraId="2A417B03" w14:textId="77777777" w:rsidR="00430313" w:rsidRDefault="00430313" w:rsidP="00430313">
      <w:pPr>
        <w:spacing w:before="0" w:after="0"/>
        <w:ind w:firstLine="709"/>
        <w:rPr>
          <w:rFonts w:eastAsia="Times New Roman"/>
          <w:szCs w:val="24"/>
          <w:lang w:eastAsia="ru-RU"/>
        </w:rPr>
      </w:pPr>
      <w:r>
        <w:rPr>
          <w:rFonts w:eastAsia="Times New Roman"/>
          <w:szCs w:val="24"/>
          <w:lang w:eastAsia="ru-RU"/>
        </w:rPr>
        <w:t>Тяжелые геморрагические осложнения при проведении антикоагулянтной терапии диктуют необходимость применения антидотов. При передозировке гепаринов в качестве антидота используют протамина сульфат**: 1 мг его нейтрализует 80</w:t>
      </w:r>
      <w:r>
        <w:rPr>
          <w:i/>
          <w:szCs w:val="24"/>
        </w:rPr>
        <w:t>—</w:t>
      </w:r>
      <w:r>
        <w:rPr>
          <w:rFonts w:eastAsia="Times New Roman"/>
          <w:szCs w:val="24"/>
          <w:lang w:eastAsia="ru-RU"/>
        </w:rPr>
        <w:t>120 Ед гепарина** в крови. Действие препарата после в/в введения наступает мгновенно и продолжается в течение 2 ч. После в/в введения образуется комплекс протамин</w:t>
      </w:r>
      <w:r>
        <w:rPr>
          <w:i/>
          <w:szCs w:val="24"/>
        </w:rPr>
        <w:t>—</w:t>
      </w:r>
      <w:r>
        <w:rPr>
          <w:rFonts w:eastAsia="Times New Roman"/>
          <w:szCs w:val="24"/>
          <w:lang w:eastAsia="ru-RU"/>
        </w:rPr>
        <w:t>гепарин, который может разрушаться с высвобождением гепарина**. При передозировке может снижаться свертываемость крови, поскольку сам протамина сульфат** проявляет антикоагулянтную активность. Если НФГ вводился в/в капельно, необходимо прекратить его инфузию и ввести 25</w:t>
      </w:r>
      <w:r>
        <w:rPr>
          <w:i/>
          <w:szCs w:val="24"/>
        </w:rPr>
        <w:t>—</w:t>
      </w:r>
      <w:r>
        <w:rPr>
          <w:rFonts w:eastAsia="Times New Roman"/>
          <w:szCs w:val="24"/>
          <w:lang w:eastAsia="ru-RU"/>
        </w:rPr>
        <w:t>30 мг протамина сульфата**.</w:t>
      </w:r>
    </w:p>
    <w:p w14:paraId="2D18F137" w14:textId="77777777" w:rsidR="00430313" w:rsidRDefault="00430313" w:rsidP="00430313">
      <w:pPr>
        <w:spacing w:before="0" w:after="0"/>
        <w:ind w:firstLine="709"/>
        <w:rPr>
          <w:rFonts w:eastAsia="Times New Roman"/>
          <w:szCs w:val="24"/>
          <w:lang w:eastAsia="ru-RU"/>
        </w:rPr>
      </w:pPr>
      <w:r>
        <w:rPr>
          <w:rFonts w:eastAsia="Times New Roman"/>
          <w:szCs w:val="24"/>
          <w:lang w:eastAsia="ru-RU"/>
        </w:rPr>
        <w:t>При передозировке варфарина** и значительном увеличении МНО (больше 3,5</w:t>
      </w:r>
      <w:r>
        <w:rPr>
          <w:i/>
          <w:szCs w:val="24"/>
        </w:rPr>
        <w:t>—</w:t>
      </w:r>
      <w:r>
        <w:rPr>
          <w:rFonts w:eastAsia="Times New Roman"/>
          <w:szCs w:val="24"/>
          <w:lang w:eastAsia="ru-RU"/>
        </w:rPr>
        <w:t>4) без геморрагических проявлений корректируют дозу варфарина**. Назначают препараты витамина К</w:t>
      </w:r>
      <w:r>
        <w:rPr>
          <w:rFonts w:eastAsia="Times New Roman"/>
          <w:szCs w:val="24"/>
          <w:vertAlign w:val="subscript"/>
          <w:lang w:eastAsia="ru-RU"/>
        </w:rPr>
        <w:t>1</w:t>
      </w:r>
      <w:r>
        <w:rPr>
          <w:rFonts w:eastAsia="Times New Roman"/>
          <w:szCs w:val="24"/>
          <w:lang w:eastAsia="ru-RU"/>
        </w:rPr>
        <w:t xml:space="preserve">. Для купирования геморрагического синдрома при передозировке варфарина** используют концентраты факторов протромбинового комплекса (концентрат </w:t>
      </w:r>
      <w:r>
        <w:rPr>
          <w:rFonts w:eastAsia="Times New Roman"/>
          <w:szCs w:val="24"/>
          <w:lang w:val="en-US" w:eastAsia="ru-RU"/>
        </w:rPr>
        <w:t>II</w:t>
      </w:r>
      <w:r>
        <w:rPr>
          <w:rFonts w:eastAsia="Times New Roman"/>
          <w:szCs w:val="24"/>
          <w:lang w:eastAsia="ru-RU"/>
        </w:rPr>
        <w:t>+</w:t>
      </w:r>
      <w:r>
        <w:rPr>
          <w:rFonts w:eastAsia="Times New Roman"/>
          <w:szCs w:val="24"/>
          <w:lang w:val="en-US" w:eastAsia="ru-RU"/>
        </w:rPr>
        <w:t>IX</w:t>
      </w:r>
      <w:r>
        <w:rPr>
          <w:rFonts w:eastAsia="Times New Roman"/>
          <w:szCs w:val="24"/>
          <w:lang w:eastAsia="ru-RU"/>
        </w:rPr>
        <w:t>+</w:t>
      </w:r>
      <w:r>
        <w:rPr>
          <w:rFonts w:eastAsia="Times New Roman"/>
          <w:szCs w:val="24"/>
          <w:lang w:val="en-US" w:eastAsia="ru-RU"/>
        </w:rPr>
        <w:t>X</w:t>
      </w:r>
      <w:r>
        <w:rPr>
          <w:rFonts w:eastAsia="Times New Roman"/>
          <w:szCs w:val="24"/>
          <w:lang w:eastAsia="ru-RU"/>
        </w:rPr>
        <w:t xml:space="preserve"> или концентрат </w:t>
      </w:r>
      <w:r>
        <w:rPr>
          <w:rFonts w:eastAsia="Times New Roman"/>
          <w:szCs w:val="24"/>
          <w:lang w:val="en-US" w:eastAsia="ru-RU"/>
        </w:rPr>
        <w:t>II</w:t>
      </w:r>
      <w:r>
        <w:rPr>
          <w:rFonts w:eastAsia="Times New Roman"/>
          <w:szCs w:val="24"/>
          <w:lang w:eastAsia="ru-RU"/>
        </w:rPr>
        <w:t>+</w:t>
      </w:r>
      <w:r>
        <w:rPr>
          <w:rFonts w:eastAsia="Times New Roman"/>
          <w:szCs w:val="24"/>
          <w:lang w:val="en-US" w:eastAsia="ru-RU"/>
        </w:rPr>
        <w:t>VIIa</w:t>
      </w:r>
      <w:r>
        <w:rPr>
          <w:rFonts w:eastAsia="Times New Roman"/>
          <w:szCs w:val="24"/>
          <w:lang w:eastAsia="ru-RU"/>
        </w:rPr>
        <w:t>+</w:t>
      </w:r>
      <w:r>
        <w:rPr>
          <w:rFonts w:eastAsia="Times New Roman"/>
          <w:szCs w:val="24"/>
          <w:lang w:val="en-US" w:eastAsia="ru-RU"/>
        </w:rPr>
        <w:t>IX</w:t>
      </w:r>
      <w:r>
        <w:rPr>
          <w:rFonts w:eastAsia="Times New Roman"/>
          <w:szCs w:val="24"/>
          <w:lang w:eastAsia="ru-RU"/>
        </w:rPr>
        <w:t>+</w:t>
      </w:r>
      <w:r>
        <w:rPr>
          <w:rFonts w:eastAsia="Times New Roman"/>
          <w:szCs w:val="24"/>
          <w:lang w:val="en-US" w:eastAsia="ru-RU"/>
        </w:rPr>
        <w:t>X</w:t>
      </w:r>
      <w:r>
        <w:rPr>
          <w:rFonts w:eastAsia="Times New Roman"/>
          <w:szCs w:val="24"/>
          <w:lang w:eastAsia="ru-RU"/>
        </w:rPr>
        <w:t>), которые вводят в/в в дозе 20-50 МЕ/кг массы тела пациента. Альтернативой введения концентратов факторов протромбинового комплекса является свежезамороженная плазма (СЗП) в дозе 20</w:t>
      </w:r>
      <w:r>
        <w:rPr>
          <w:i/>
          <w:szCs w:val="24"/>
        </w:rPr>
        <w:t>—</w:t>
      </w:r>
      <w:r>
        <w:rPr>
          <w:rFonts w:eastAsia="Times New Roman"/>
          <w:szCs w:val="24"/>
          <w:lang w:eastAsia="ru-RU"/>
        </w:rPr>
        <w:t>25 мл/кг массы тела. При тяжелых кровотечениях СЗП можно вводить в дозе 30</w:t>
      </w:r>
      <w:r>
        <w:rPr>
          <w:i/>
          <w:szCs w:val="24"/>
        </w:rPr>
        <w:t>—</w:t>
      </w:r>
      <w:r>
        <w:rPr>
          <w:rFonts w:eastAsia="Times New Roman"/>
          <w:szCs w:val="24"/>
          <w:lang w:eastAsia="ru-RU"/>
        </w:rPr>
        <w:t>45 мл на кг массы тела. Для купирования геморрагического синдрома в некоторых случаях используют также и эптаког альфа (активированный)**.</w:t>
      </w:r>
    </w:p>
    <w:p w14:paraId="30EA9DA1" w14:textId="77777777" w:rsidR="00430313" w:rsidRDefault="00430313" w:rsidP="00430313">
      <w:pPr>
        <w:spacing w:before="0" w:after="0"/>
        <w:ind w:firstLine="709"/>
        <w:rPr>
          <w:rFonts w:eastAsia="Times New Roman"/>
          <w:szCs w:val="24"/>
          <w:lang w:eastAsia="ru-RU"/>
        </w:rPr>
      </w:pPr>
      <w:r>
        <w:rPr>
          <w:rFonts w:eastAsia="Times New Roman"/>
          <w:szCs w:val="24"/>
          <w:lang w:eastAsia="ru-RU"/>
        </w:rPr>
        <w:t>Антидот дабигатрана этексилата** – идаруцизумаб: вводится по 2,5 мг в/в дважды с интервалом в 15 мин.</w:t>
      </w:r>
    </w:p>
    <w:p w14:paraId="33ADEA61" w14:textId="77777777" w:rsidR="00430313" w:rsidRDefault="00430313" w:rsidP="00430313">
      <w:pPr>
        <w:spacing w:before="0" w:after="0"/>
        <w:ind w:firstLine="709"/>
        <w:rPr>
          <w:rFonts w:eastAsia="Times New Roman"/>
          <w:szCs w:val="24"/>
          <w:lang w:eastAsia="ru-RU"/>
        </w:rPr>
      </w:pPr>
      <w:r>
        <w:rPr>
          <w:rFonts w:eastAsia="Times New Roman"/>
          <w:szCs w:val="24"/>
          <w:lang w:eastAsia="ru-RU"/>
        </w:rPr>
        <w:t>Решение о возможности применения или возобновления медикаментозной профилактики тромботических нарушений при цитостатической терапии должно приниматься на основании оценки соотношения ожидаемой пользы и возможного риска у каждого конкретного больного.</w:t>
      </w:r>
    </w:p>
    <w:p w14:paraId="32054A41" w14:textId="77777777" w:rsidR="00430313" w:rsidRDefault="00430313" w:rsidP="00430313">
      <w:pPr>
        <w:spacing w:before="0" w:after="0"/>
        <w:ind w:firstLine="709"/>
        <w:rPr>
          <w:rFonts w:eastAsia="Times New Roman"/>
          <w:szCs w:val="24"/>
          <w:lang w:eastAsia="ru-RU"/>
        </w:rPr>
      </w:pPr>
      <w:r>
        <w:rPr>
          <w:rFonts w:eastAsia="Times New Roman"/>
          <w:szCs w:val="24"/>
          <w:lang w:eastAsia="ru-RU"/>
        </w:rPr>
        <w:t>5.2 Геморрагический синдром у пациентов с гематологическими заболеваниями в экстренных ситуациях</w:t>
      </w:r>
    </w:p>
    <w:p w14:paraId="0FFE703D" w14:textId="77777777" w:rsidR="00430313" w:rsidRDefault="00430313" w:rsidP="00430313">
      <w:pPr>
        <w:spacing w:before="0" w:after="0"/>
        <w:ind w:firstLine="709"/>
        <w:rPr>
          <w:rFonts w:eastAsia="Times New Roman"/>
          <w:szCs w:val="24"/>
          <w:lang w:eastAsia="ru-RU"/>
        </w:rPr>
      </w:pPr>
      <w:r>
        <w:rPr>
          <w:rFonts w:eastAsia="Times New Roman"/>
          <w:szCs w:val="24"/>
          <w:lang w:eastAsia="ru-RU"/>
        </w:rPr>
        <w:t>В случае развития геморрагического синдрома у пациентов с гематологическими заболеваниями в экстренных ситуациях используются по показаниям:</w:t>
      </w:r>
    </w:p>
    <w:p w14:paraId="2F2498B9" w14:textId="77777777" w:rsidR="00430313" w:rsidRDefault="00430313" w:rsidP="00430313">
      <w:pPr>
        <w:spacing w:before="0" w:after="0"/>
        <w:rPr>
          <w:rFonts w:eastAsia="Times New Roman"/>
          <w:szCs w:val="24"/>
          <w:lang w:eastAsia="ru-RU"/>
        </w:rPr>
      </w:pPr>
      <w:r>
        <w:rPr>
          <w:rFonts w:eastAsia="Times New Roman"/>
          <w:szCs w:val="24"/>
          <w:lang w:eastAsia="ru-RU"/>
        </w:rPr>
        <w:lastRenderedPageBreak/>
        <w:tab/>
        <w:t>1) Трансфузии компонентов крови (дозы и режимы введения зависят от ситуации):</w:t>
      </w:r>
    </w:p>
    <w:p w14:paraId="2A03AC67" w14:textId="77777777" w:rsidR="00430313" w:rsidRDefault="00430313" w:rsidP="00430313">
      <w:pPr>
        <w:spacing w:before="0" w:after="0"/>
        <w:rPr>
          <w:rFonts w:eastAsia="Times New Roman"/>
          <w:szCs w:val="24"/>
          <w:lang w:eastAsia="ru-RU"/>
        </w:rPr>
      </w:pPr>
      <w:r>
        <w:rPr>
          <w:rFonts w:eastAsia="Times New Roman"/>
          <w:szCs w:val="24"/>
          <w:lang w:eastAsia="ru-RU"/>
        </w:rPr>
        <w:tab/>
        <w:t>- СЗП;</w:t>
      </w:r>
    </w:p>
    <w:p w14:paraId="69F9B1EC" w14:textId="77777777" w:rsidR="00430313" w:rsidRDefault="00430313" w:rsidP="00430313">
      <w:pPr>
        <w:spacing w:before="0" w:after="0"/>
        <w:rPr>
          <w:rFonts w:eastAsia="Times New Roman"/>
          <w:szCs w:val="24"/>
          <w:lang w:eastAsia="ru-RU"/>
        </w:rPr>
      </w:pPr>
      <w:r>
        <w:rPr>
          <w:rFonts w:eastAsia="Times New Roman"/>
          <w:szCs w:val="24"/>
          <w:lang w:eastAsia="ru-RU"/>
        </w:rPr>
        <w:tab/>
        <w:t>- криопреципитат;</w:t>
      </w:r>
    </w:p>
    <w:p w14:paraId="2B2BA804" w14:textId="77777777" w:rsidR="00430313" w:rsidRDefault="00430313" w:rsidP="00430313">
      <w:pPr>
        <w:spacing w:before="0" w:after="0"/>
        <w:rPr>
          <w:rFonts w:eastAsia="Times New Roman"/>
          <w:szCs w:val="24"/>
          <w:lang w:eastAsia="ru-RU"/>
        </w:rPr>
      </w:pPr>
      <w:r>
        <w:rPr>
          <w:rFonts w:eastAsia="Times New Roman"/>
          <w:szCs w:val="24"/>
          <w:lang w:eastAsia="ru-RU"/>
        </w:rPr>
        <w:tab/>
        <w:t>- концентрат нативной плазмы;</w:t>
      </w:r>
    </w:p>
    <w:p w14:paraId="44D96FE7" w14:textId="77777777" w:rsidR="00430313" w:rsidRDefault="00430313" w:rsidP="00430313">
      <w:pPr>
        <w:spacing w:before="0" w:after="0"/>
        <w:rPr>
          <w:rFonts w:eastAsia="Times New Roman"/>
          <w:szCs w:val="24"/>
          <w:lang w:eastAsia="ru-RU"/>
        </w:rPr>
      </w:pPr>
      <w:r>
        <w:rPr>
          <w:rFonts w:eastAsia="Times New Roman"/>
          <w:szCs w:val="24"/>
          <w:lang w:eastAsia="ru-RU"/>
        </w:rPr>
        <w:tab/>
        <w:t>- тромбоконцентрат.</w:t>
      </w:r>
    </w:p>
    <w:p w14:paraId="64A6D193" w14:textId="77777777" w:rsidR="00430313" w:rsidRDefault="00430313" w:rsidP="00430313">
      <w:pPr>
        <w:spacing w:before="0" w:after="0"/>
        <w:ind w:firstLine="709"/>
        <w:rPr>
          <w:rFonts w:eastAsia="Times New Roman"/>
          <w:szCs w:val="24"/>
          <w:lang w:eastAsia="ru-RU"/>
        </w:rPr>
      </w:pPr>
      <w:r>
        <w:rPr>
          <w:rFonts w:eastAsia="Times New Roman"/>
          <w:szCs w:val="24"/>
          <w:lang w:eastAsia="ru-RU"/>
        </w:rPr>
        <w:t xml:space="preserve">2) Антифибринолитические препараты: транексамовая кислота** по 750 мг х 2-3 раза в сут </w:t>
      </w:r>
      <w:r>
        <w:rPr>
          <w:rFonts w:eastAsia="Times New Roman"/>
          <w:szCs w:val="24"/>
          <w:lang w:val="en-US" w:eastAsia="ru-RU"/>
        </w:rPr>
        <w:t>per</w:t>
      </w:r>
      <w:r w:rsidRPr="00430313">
        <w:rPr>
          <w:rFonts w:eastAsia="Times New Roman"/>
          <w:szCs w:val="24"/>
          <w:lang w:eastAsia="ru-RU"/>
        </w:rPr>
        <w:t xml:space="preserve"> </w:t>
      </w:r>
      <w:r>
        <w:rPr>
          <w:rFonts w:eastAsia="Times New Roman"/>
          <w:szCs w:val="24"/>
          <w:lang w:val="en-US" w:eastAsia="ru-RU"/>
        </w:rPr>
        <w:t>os</w:t>
      </w:r>
      <w:r>
        <w:rPr>
          <w:rFonts w:eastAsia="Times New Roman"/>
          <w:szCs w:val="24"/>
          <w:lang w:eastAsia="ru-RU"/>
        </w:rPr>
        <w:t xml:space="preserve"> или 10-15 мг/кг массы тела пациента в/в каждые 8 часов до купирования кровотечения.</w:t>
      </w:r>
    </w:p>
    <w:p w14:paraId="0207E09F" w14:textId="77777777" w:rsidR="00430313" w:rsidRDefault="00430313" w:rsidP="002431B5">
      <w:pPr>
        <w:pStyle w:val="2"/>
        <w:rPr>
          <w:rStyle w:val="ac"/>
        </w:rPr>
      </w:pPr>
    </w:p>
    <w:p w14:paraId="0340E3B8" w14:textId="77777777" w:rsidR="00430313" w:rsidRDefault="00430313" w:rsidP="002431B5">
      <w:pPr>
        <w:pStyle w:val="2"/>
        <w:rPr>
          <w:rStyle w:val="ac"/>
        </w:rPr>
      </w:pPr>
    </w:p>
    <w:p w14:paraId="6B6CC6E9" w14:textId="77777777" w:rsidR="00430313" w:rsidRDefault="00430313" w:rsidP="002431B5">
      <w:pPr>
        <w:pStyle w:val="2"/>
        <w:rPr>
          <w:rStyle w:val="ac"/>
        </w:rPr>
      </w:pPr>
    </w:p>
    <w:p w14:paraId="4717CAE8" w14:textId="77777777" w:rsidR="00430313" w:rsidRDefault="00430313" w:rsidP="002431B5">
      <w:pPr>
        <w:pStyle w:val="2"/>
        <w:rPr>
          <w:rStyle w:val="ac"/>
        </w:rPr>
      </w:pPr>
    </w:p>
    <w:p w14:paraId="76CFF8A0" w14:textId="77777777" w:rsidR="00430313" w:rsidRDefault="00430313" w:rsidP="002431B5">
      <w:pPr>
        <w:pStyle w:val="2"/>
        <w:rPr>
          <w:rStyle w:val="ac"/>
        </w:rPr>
      </w:pPr>
    </w:p>
    <w:p w14:paraId="238203DE" w14:textId="77777777" w:rsidR="00430313" w:rsidRDefault="00430313" w:rsidP="002431B5">
      <w:pPr>
        <w:pStyle w:val="2"/>
        <w:rPr>
          <w:rStyle w:val="ac"/>
        </w:rPr>
      </w:pPr>
    </w:p>
    <w:p w14:paraId="4DDB2B26" w14:textId="77777777" w:rsidR="00430313" w:rsidRDefault="00430313" w:rsidP="002431B5">
      <w:pPr>
        <w:pStyle w:val="2"/>
        <w:rPr>
          <w:rStyle w:val="ac"/>
        </w:rPr>
      </w:pPr>
    </w:p>
    <w:p w14:paraId="6C131FED" w14:textId="77777777" w:rsidR="00430313" w:rsidRDefault="00430313" w:rsidP="002431B5">
      <w:pPr>
        <w:pStyle w:val="2"/>
        <w:rPr>
          <w:rStyle w:val="ac"/>
        </w:rPr>
      </w:pPr>
    </w:p>
    <w:p w14:paraId="34BCC01C" w14:textId="77777777" w:rsidR="00430313" w:rsidRDefault="00430313" w:rsidP="002431B5">
      <w:pPr>
        <w:pStyle w:val="2"/>
        <w:rPr>
          <w:rStyle w:val="ac"/>
        </w:rPr>
      </w:pPr>
    </w:p>
    <w:p w14:paraId="4822B322" w14:textId="77777777" w:rsidR="00430313" w:rsidRDefault="00430313" w:rsidP="002431B5">
      <w:pPr>
        <w:pStyle w:val="2"/>
        <w:rPr>
          <w:rStyle w:val="ac"/>
        </w:rPr>
      </w:pPr>
    </w:p>
    <w:p w14:paraId="763F0BB2" w14:textId="22BFB204" w:rsidR="00430313" w:rsidRDefault="00430313">
      <w:pPr>
        <w:spacing w:before="0" w:after="0" w:line="240" w:lineRule="auto"/>
        <w:jc w:val="left"/>
        <w:rPr>
          <w:rStyle w:val="ac"/>
          <w:rFonts w:eastAsia="Times New Roman"/>
          <w:b w:val="0"/>
          <w:szCs w:val="26"/>
          <w:u w:val="single"/>
        </w:rPr>
      </w:pPr>
      <w:r>
        <w:rPr>
          <w:rStyle w:val="ac"/>
        </w:rPr>
        <w:br w:type="page"/>
      </w:r>
    </w:p>
    <w:p w14:paraId="50D4DE10" w14:textId="50A55339" w:rsidR="00B37E1F" w:rsidRPr="00C736DB" w:rsidRDefault="00B37E1F" w:rsidP="002431B5">
      <w:pPr>
        <w:pStyle w:val="2"/>
        <w:rPr>
          <w:rStyle w:val="ac"/>
          <w:b/>
        </w:rPr>
      </w:pPr>
      <w:bookmarkStart w:id="104" w:name="_Toc97734655"/>
      <w:r w:rsidRPr="00C736DB">
        <w:rPr>
          <w:rStyle w:val="ac"/>
          <w:b/>
        </w:rPr>
        <w:lastRenderedPageBreak/>
        <w:t xml:space="preserve">Приложение </w:t>
      </w:r>
      <w:r w:rsidR="00956A9E" w:rsidRPr="00C736DB">
        <w:rPr>
          <w:rStyle w:val="ac"/>
          <w:b/>
        </w:rPr>
        <w:t>А3.10</w:t>
      </w:r>
      <w:r w:rsidR="002D1222">
        <w:rPr>
          <w:rStyle w:val="ac"/>
          <w:b/>
        </w:rPr>
        <w:t>.</w:t>
      </w:r>
      <w:r w:rsidRPr="00C736DB">
        <w:rPr>
          <w:rStyle w:val="ac"/>
          <w:b/>
        </w:rPr>
        <w:t xml:space="preserve"> Обеспечение сосудистого доступа</w:t>
      </w:r>
      <w:bookmarkEnd w:id="104"/>
    </w:p>
    <w:p w14:paraId="0F007B16" w14:textId="4411A052" w:rsidR="00B37E1F" w:rsidRPr="00DC556E" w:rsidRDefault="00CD6C97" w:rsidP="002431B5">
      <w:pPr>
        <w:pBdr>
          <w:top w:val="none" w:sz="4" w:space="0" w:color="000000"/>
          <w:left w:val="none" w:sz="4" w:space="0" w:color="000000"/>
          <w:bottom w:val="none" w:sz="4" w:space="0" w:color="000000"/>
          <w:right w:val="none" w:sz="4" w:space="0" w:color="000000"/>
          <w:between w:val="none" w:sz="4" w:space="0" w:color="000000"/>
        </w:pBdr>
        <w:spacing w:before="0" w:after="0"/>
        <w:rPr>
          <w:b/>
          <w:bCs/>
          <w:szCs w:val="24"/>
          <w:shd w:val="clear" w:color="auto" w:fill="FFFFFF"/>
        </w:rPr>
      </w:pPr>
      <w:r w:rsidRPr="00DC556E">
        <w:rPr>
          <w:b/>
          <w:bCs/>
          <w:szCs w:val="24"/>
          <w:shd w:val="clear" w:color="auto" w:fill="FFFFFF"/>
        </w:rPr>
        <w:t xml:space="preserve">Общие сведения </w:t>
      </w:r>
    </w:p>
    <w:p w14:paraId="207EA122" w14:textId="77777777" w:rsidR="00B37E1F" w:rsidRPr="00DC556E" w:rsidRDefault="00B37E1F" w:rsidP="008A2329">
      <w:pPr>
        <w:spacing w:before="0" w:after="0"/>
        <w:ind w:firstLine="567"/>
        <w:rPr>
          <w:szCs w:val="24"/>
          <w:shd w:val="clear" w:color="auto" w:fill="FFFFFF"/>
        </w:rPr>
      </w:pPr>
      <w:r w:rsidRPr="00DC556E">
        <w:rPr>
          <w:szCs w:val="24"/>
          <w:shd w:val="clear" w:color="auto" w:fill="FFFFFF"/>
        </w:rPr>
        <w:t>Обеспечение сосудистого доступа является неотъемлемой составляющей частью современной химиотерапии онкогематологических больных</w:t>
      </w:r>
      <w:r w:rsidRPr="00DC556E">
        <w:rPr>
          <w:szCs w:val="24"/>
        </w:rPr>
        <w:t xml:space="preserve">. </w:t>
      </w:r>
      <w:r w:rsidRPr="00DC556E">
        <w:rPr>
          <w:szCs w:val="24"/>
          <w:shd w:val="clear" w:color="auto" w:fill="FFFFFF"/>
        </w:rPr>
        <w:t xml:space="preserve">Через центральный венозный катетер (ЦВК) вводятся химиотерапевтические препараты, корригируются электролитные нарушения, проводится парентеральное питание, осуществляется взятие образцов крови для исследования и т.д. </w:t>
      </w:r>
    </w:p>
    <w:p w14:paraId="34F85A49" w14:textId="0520479D" w:rsidR="00B37E1F" w:rsidRPr="00DC556E" w:rsidRDefault="00B37E1F" w:rsidP="008A2329">
      <w:pPr>
        <w:spacing w:before="0" w:after="0"/>
        <w:ind w:firstLine="567"/>
        <w:rPr>
          <w:szCs w:val="24"/>
        </w:rPr>
      </w:pPr>
      <w:r w:rsidRPr="00DC556E">
        <w:rPr>
          <w:szCs w:val="24"/>
        </w:rPr>
        <w:t>Выделяют следующие особенности сосудистого доступа в гематологии: необходимость только внутривенного введения многих лекарственных препаратов, массивность инфузионных программ</w:t>
      </w:r>
      <w:r w:rsidRPr="004C0C25">
        <w:rPr>
          <w:szCs w:val="24"/>
        </w:rPr>
        <w:t>,</w:t>
      </w:r>
      <w:r w:rsidRPr="00DC556E">
        <w:rPr>
          <w:szCs w:val="24"/>
        </w:rPr>
        <w:t xml:space="preserve"> сдавление крупных венозных сосудов увеличенными лимфатическими узлами и/или опухолевой массой, </w:t>
      </w:r>
      <w:r w:rsidRPr="00DC556E">
        <w:rPr>
          <w:rFonts w:eastAsia="Times New Roman"/>
          <w:szCs w:val="24"/>
        </w:rPr>
        <w:t>как с внутригрудным, так и с внутрибрюшным поражением,</w:t>
      </w:r>
      <w:r w:rsidRPr="00DC556E">
        <w:rPr>
          <w:szCs w:val="24"/>
        </w:rPr>
        <w:t xml:space="preserve"> что значительно затрудняет задачу обеспечения сосудистого доступа </w:t>
      </w:r>
      <w:r w:rsidRPr="00DC556E">
        <w:rPr>
          <w:szCs w:val="24"/>
        </w:rPr>
        <w:fldChar w:fldCharType="begin" w:fldLock="1"/>
      </w:r>
      <w:r w:rsidR="00E430FD">
        <w:rPr>
          <w:szCs w:val="24"/>
        </w:rPr>
        <w:instrText>ADDIN CSL_CITATION {"citationItems":[{"id":"ITEM-1","itemData":{"abstract":"NTRODUCTION. SVCS results from compression of the superior vena cava. Lymphoma - one of the most frequent causes of the malignant SVCS.\r\nThe aim of the study was to identify the incidence of SVCS in lymphoma pts and features of the central venous access in lymphoma pts\r\nwith SVCS. METHODS. Materials and methods. 686 lymphoma pts (311 male,\r\n375 female) were included in the prospective study. The pts suffered\r\nfrom Hodgkin's lymphoma (HL) (69 pts) and non-Hodgkin's lymphoma (NHL) (617 pts). In all pts SVCS was diagnosed clinically and was\r\nconfirmed by CT scan or MRI. In pts with confirmed SVCS the central\r\nvenous access was provided by non-tunneled central venous catheters (non-tCVCs) (Certofix DUO 7Fr, BBraun) and totally implantable\r\ncentral venous port system (PowerPort, Bard Access System). The indwelling time, the number of the replaced CVCs and the incidence of complications were analyzed. Statistic: SPSS ver.23 (IBM, Chicago, II., USA). Pearson's chi-squared test and Fisher's exact test were used.\r\nRESULTS. . SVCS was revealed in 70 (10.2%) of 686 lymphoma pts (9 pts with HL and 61 pts with NHL). Among lymphoma pts the frequency of SVCS was highest in pts with primary mediastinal large Bcell lymphoma (PMBCL). SVCS was revealed in 49 (51.6%) of 95 PMBCL pts. In SVCS pts venous access was provided by non-tCVC\r\ninserted in femoral vein (50 pts) and TIVAPS (20 pts) implanted into v. cava inferior through the femoral vein. TIVAPS reservoirs were implanted on the thigh. During lymphoma treatment most pts with non-tCVCs needed repeated catheterizations: median 3 (1-14) CVCs. Among pts with TIVAPS only in 3 pts TIVAPS needed repeated catheterizations; their TIVAPS were removed due to complications. The median indwelling times were 6 (1-129) catheter days for CVCs and\r\n164 (1-280) catheter days for TIVAPS (p&lt;0.05). Incidences of CVC related bloodstream infections (CRBSI) were 2.1/1000 catheter days for\r\nCVCs and 0.1/1000 catheter days for TIVAPS. Incidence of CVC associated thrombosis (CAT) were 4.1/1000 catheter days for CVCs and 0.5/\r\n1000 catheter days for TIVAPS. One patient had infection of the subcutaneous pocket (0.3/1000 catheter days). The reasons for nontCVCs removal were the treatment completion (82.8%) and complications: CRBSI (7.1%), CAT (8.5%), malfunction (1.6%). The reasons for the TIVAPS removal were the treatment completion (85%), CRBSI (5%), infection of the subcutaneous pocket (5%) and CAT (5%). CONCLUSION. SVCS was revealed in 10.2% l…","author":[{"dropping-particle":"","family":"SPIRIN","given":"M.","non-dropping-particle":"","parse-names":false,"suffix":""},{"dropping-particle":"","family":"GALSTYAN","given":"G.","non-dropping-particle":"","parse-names":false,"suffix":""},{"dropping-particle":"","family":"DROKOV","given":"M.","non-dropping-particle":"","parse-names":false,"suffix":""}],"container-title":"INTENSIVE CARE MEDICINE EXPERIMENTAL","id":"ITEM-1","issue":"Suppl. 3:001341","issued":{"date-parts":[["2019"]]},"page":"388-389","title":"Central venous access in lymphoma patients (pts) with superior vena cava syndrome (SVCS)","type":"article-journal","volume":"7"},"uris":["http://www.mendeley.com/documents/?uuid=34ed67cd-3386-4746-82ca-e1d8edc0179d"]}],"mendeley":{"formattedCitation":"[180]","plainTextFormattedCitation":"[180]","previouslyFormattedCitation":"[180]"},"properties":{"noteIndex":0},"schema":"https://github.com/citation-style-language/schema/raw/master/csl-citation.json"}</w:instrText>
      </w:r>
      <w:r w:rsidRPr="00DC556E">
        <w:rPr>
          <w:szCs w:val="24"/>
        </w:rPr>
        <w:fldChar w:fldCharType="separate"/>
      </w:r>
      <w:r w:rsidR="00E430FD" w:rsidRPr="00E430FD">
        <w:rPr>
          <w:noProof/>
          <w:szCs w:val="24"/>
        </w:rPr>
        <w:t>[180]</w:t>
      </w:r>
      <w:r w:rsidRPr="00DC556E">
        <w:rPr>
          <w:szCs w:val="24"/>
        </w:rPr>
        <w:fldChar w:fldCharType="end"/>
      </w:r>
      <w:r w:rsidRPr="00DC556E">
        <w:rPr>
          <w:szCs w:val="24"/>
        </w:rPr>
        <w:t xml:space="preserve">, высокий риск геморрагического синдрома (врожденные и приобретенные коагулопатии, тромбоцитопения), тромбоза, большая продолжительность лечения. В общей сложности, в надежном сосудистом доступе онкогематологические пациенты нуждаются от нескольких месяцев до года, как в стационарных, так и амбулаторных условиях. Использование с этой целью периферического венозного доступа неприемлемо, поскольку большинство вводимых растворов обладает раздражающим действием (везиканты, ирританты, эксфолианты) и экстравазация таких препаратов в подкожную клетчатку может привести к ее некрозу </w:t>
      </w:r>
      <w:r w:rsidRPr="00DC556E">
        <w:rPr>
          <w:szCs w:val="24"/>
        </w:rPr>
        <w:fldChar w:fldCharType="begin" w:fldLock="1"/>
      </w:r>
      <w:r w:rsidR="00E430FD">
        <w:rPr>
          <w:szCs w:val="24"/>
        </w:rPr>
        <w:instrText>ADDIN CSL_CITATION {"citationItems":[{"id":"ITEM-1","itemData":{"DOI":"10.1007/s12254-016-0304-2","ISSN":"1865-5041","PMID":"28058065","abstract":"In cancer treatment, extravasation is defined as an inadvertent instillation or leakage of cytotoxic drugs into the perivascular space during infusion. As a dreaded complication of chemotherapy, extravasation has gained increasing attention in recent years. Classified according to their subcutaneous toxicity, three types of cytotoxins have been established: vesicants, irritants and nonvesicant drugs. Vesicant cytotoxic drugs may induce tissue damage, ulceration and tissue necrosis. Although we have established measures to manage extravasation emergencies, prevention is of paramount importance. This may be achieved within hospitals through regular training and education, which is best provided by a specialised and experienced task force including all disciplines involved in cancer therapy. Moreover, clinical and translational studies contribute to a better management of chemotherapy-induced extravasation as shown by our group in recent years. We were able to demonstrate that the evaluation of blood flow by indocyanine green angiography in the extravasation area predicts the extent of damage and the need of future surgical intervention. When a Port-a-Cath® extravasation is detected early, a subcutaneous wash-out procedure was found to be beneficial, corroborated by the analytical evaluation of the removed cytotoxic compound epirubicin. In another study, the tissue distribution of platinum was quantified at the anatomic level in cryosections of various tissues. This novel knowledge complements and supports our current efforts to handle extravasations better. On the other hand, a number of new drugs (chemotherapy, monoclonal antibodies, checkpoint inhibitors etc.) with many open issues to reliably classify their tissue toxicity still require our attention.","author":[{"dropping-particle":"","family":"Pluschnig","given":"Ursula","non-dropping-particle":"","parse-names":false,"suffix":""},{"dropping-particle":"","family":"Haslik","given":"Werner","non-dropping-particle":"","parse-names":false,"suffix":""},{"dropping-particle":"","family":"Bartsch","given":"Rupert","non-dropping-particle":"","parse-names":false,"suffix":""},{"dropping-particle":"","family":"Mader","given":"Robert M","non-dropping-particle":"","parse-names":false,"suffix":""}],"container-title":"Memo","id":"ITEM-1","issue":"4","issued":{"date-parts":[["2016"]]},"page":"226-230","publisher":"Springer","title":"Extravasation emergencies: state-of-the-art management and progress in clinical research.","type":"article-journal","volume":"9"},"uris":["http://www.mendeley.com/documents/?uuid=aed12f5b-d478-4cce-aae2-def10fec8352"]}],"mendeley":{"formattedCitation":"[181]","plainTextFormattedCitation":"[181]","previouslyFormattedCitation":"[181]"},"properties":{"noteIndex":0},"schema":"https://github.com/citation-style-language/schema/raw/master/csl-citation.json"}</w:instrText>
      </w:r>
      <w:r w:rsidRPr="00DC556E">
        <w:rPr>
          <w:szCs w:val="24"/>
        </w:rPr>
        <w:fldChar w:fldCharType="separate"/>
      </w:r>
      <w:r w:rsidR="00E430FD" w:rsidRPr="00E430FD">
        <w:rPr>
          <w:noProof/>
          <w:szCs w:val="24"/>
        </w:rPr>
        <w:t>[181]</w:t>
      </w:r>
      <w:r w:rsidRPr="00DC556E">
        <w:rPr>
          <w:szCs w:val="24"/>
        </w:rPr>
        <w:fldChar w:fldCharType="end"/>
      </w:r>
      <w:r w:rsidRPr="00DC556E">
        <w:rPr>
          <w:szCs w:val="24"/>
        </w:rPr>
        <w:t>. Помимо этого, у многих больных вследствие проводимой ранее химиотерапии нередко отсутствуют доступные периферические вены.</w:t>
      </w:r>
    </w:p>
    <w:p w14:paraId="36AC808E" w14:textId="77777777" w:rsidR="00B37E1F" w:rsidRPr="00DC556E" w:rsidRDefault="00B37E1F" w:rsidP="002431B5">
      <w:pPr>
        <w:spacing w:before="0" w:after="0"/>
        <w:rPr>
          <w:szCs w:val="24"/>
        </w:rPr>
      </w:pPr>
      <w:r w:rsidRPr="00DC556E">
        <w:rPr>
          <w:b/>
          <w:bCs/>
          <w:szCs w:val="24"/>
        </w:rPr>
        <w:t>Показания к катетеризации центральных вен.</w:t>
      </w:r>
    </w:p>
    <w:p w14:paraId="12CC9FDB" w14:textId="77777777" w:rsidR="00B37E1F" w:rsidRPr="00DC556E" w:rsidRDefault="00B37E1F" w:rsidP="0024404E">
      <w:pPr>
        <w:pStyle w:val="a6"/>
        <w:numPr>
          <w:ilvl w:val="0"/>
          <w:numId w:val="60"/>
        </w:numPr>
        <w:spacing w:before="0" w:after="0"/>
        <w:ind w:left="0" w:firstLine="0"/>
        <w:rPr>
          <w:rFonts w:eastAsia="Times New Roman"/>
          <w:szCs w:val="24"/>
          <w:lang w:eastAsia="ru-RU"/>
        </w:rPr>
      </w:pPr>
      <w:r w:rsidRPr="00DC556E">
        <w:rPr>
          <w:rFonts w:eastAsia="Times New Roman"/>
          <w:szCs w:val="24"/>
          <w:lang w:eastAsia="ru-RU"/>
        </w:rPr>
        <w:t>ограниченный доступ к периферическим венам,</w:t>
      </w:r>
    </w:p>
    <w:p w14:paraId="4F1D46FC" w14:textId="77777777" w:rsidR="00B37E1F" w:rsidRPr="00DC556E" w:rsidRDefault="00B37E1F" w:rsidP="0024404E">
      <w:pPr>
        <w:pStyle w:val="a6"/>
        <w:numPr>
          <w:ilvl w:val="0"/>
          <w:numId w:val="60"/>
        </w:numPr>
        <w:spacing w:before="0" w:after="0"/>
        <w:ind w:left="0" w:firstLine="0"/>
        <w:rPr>
          <w:rFonts w:eastAsia="Times New Roman"/>
          <w:szCs w:val="24"/>
          <w:lang w:eastAsia="ru-RU"/>
        </w:rPr>
      </w:pPr>
      <w:r w:rsidRPr="00DC556E">
        <w:rPr>
          <w:rFonts w:eastAsia="Times New Roman"/>
          <w:szCs w:val="24"/>
          <w:lang w:eastAsia="ru-RU"/>
        </w:rPr>
        <w:t>необходимость проведения химиотерапии или парентерального питания, массивная инфузионная терапия,</w:t>
      </w:r>
    </w:p>
    <w:p w14:paraId="313914C1" w14:textId="77777777" w:rsidR="00B37E1F" w:rsidRPr="00DC556E" w:rsidRDefault="00B37E1F" w:rsidP="0024404E">
      <w:pPr>
        <w:pStyle w:val="a6"/>
        <w:numPr>
          <w:ilvl w:val="0"/>
          <w:numId w:val="60"/>
        </w:numPr>
        <w:spacing w:before="0" w:after="0"/>
        <w:ind w:left="0" w:firstLine="0"/>
        <w:rPr>
          <w:rFonts w:eastAsia="Times New Roman"/>
          <w:szCs w:val="24"/>
          <w:lang w:eastAsia="ru-RU"/>
        </w:rPr>
      </w:pPr>
      <w:r w:rsidRPr="00DC556E">
        <w:rPr>
          <w:rFonts w:eastAsia="Times New Roman"/>
          <w:szCs w:val="24"/>
          <w:lang w:eastAsia="ru-RU"/>
        </w:rPr>
        <w:t>необходимость мониторинга гемодинамики (центральное венозное давление),</w:t>
      </w:r>
    </w:p>
    <w:p w14:paraId="75DDF678" w14:textId="77777777" w:rsidR="00B37E1F" w:rsidRPr="00DC556E" w:rsidRDefault="00B37E1F" w:rsidP="0024404E">
      <w:pPr>
        <w:pStyle w:val="a6"/>
        <w:numPr>
          <w:ilvl w:val="0"/>
          <w:numId w:val="60"/>
        </w:numPr>
        <w:spacing w:before="0" w:after="0"/>
        <w:ind w:left="0" w:firstLine="0"/>
        <w:rPr>
          <w:rFonts w:eastAsia="Times New Roman"/>
          <w:szCs w:val="24"/>
          <w:lang w:eastAsia="ru-RU"/>
        </w:rPr>
      </w:pPr>
      <w:r w:rsidRPr="00DC556E">
        <w:rPr>
          <w:rFonts w:eastAsia="Times New Roman"/>
          <w:szCs w:val="24"/>
          <w:lang w:eastAsia="ru-RU"/>
        </w:rPr>
        <w:t>необходимость мониторинга давления в легочной артерии,</w:t>
      </w:r>
    </w:p>
    <w:p w14:paraId="5F4548F0" w14:textId="77777777" w:rsidR="00B37E1F" w:rsidRPr="00DC556E" w:rsidRDefault="00B37E1F" w:rsidP="0024404E">
      <w:pPr>
        <w:pStyle w:val="a6"/>
        <w:numPr>
          <w:ilvl w:val="0"/>
          <w:numId w:val="60"/>
        </w:numPr>
        <w:spacing w:before="0" w:after="0"/>
        <w:ind w:left="0" w:firstLine="0"/>
        <w:rPr>
          <w:rFonts w:eastAsia="Times New Roman"/>
          <w:szCs w:val="24"/>
          <w:lang w:eastAsia="ru-RU"/>
        </w:rPr>
      </w:pPr>
      <w:r w:rsidRPr="00DC556E">
        <w:rPr>
          <w:rFonts w:eastAsia="Times New Roman"/>
          <w:szCs w:val="24"/>
          <w:lang w:eastAsia="ru-RU"/>
        </w:rPr>
        <w:t>установка кардиостимулятора,</w:t>
      </w:r>
    </w:p>
    <w:p w14:paraId="000BF5E2" w14:textId="77777777" w:rsidR="00B37E1F" w:rsidRPr="00DC556E" w:rsidRDefault="00B37E1F" w:rsidP="0024404E">
      <w:pPr>
        <w:pStyle w:val="a6"/>
        <w:numPr>
          <w:ilvl w:val="0"/>
          <w:numId w:val="60"/>
        </w:numPr>
        <w:spacing w:before="0" w:after="0"/>
        <w:ind w:left="0" w:firstLine="0"/>
        <w:rPr>
          <w:rFonts w:eastAsia="Times New Roman"/>
          <w:szCs w:val="24"/>
          <w:lang w:eastAsia="ru-RU"/>
        </w:rPr>
      </w:pPr>
      <w:r w:rsidRPr="00DC556E">
        <w:rPr>
          <w:rFonts w:eastAsia="Times New Roman"/>
          <w:szCs w:val="24"/>
          <w:lang w:eastAsia="ru-RU"/>
        </w:rPr>
        <w:t>необходимость проведения заместительной почечной терапии.</w:t>
      </w:r>
    </w:p>
    <w:p w14:paraId="65E498A5" w14:textId="77777777" w:rsidR="00B37E1F" w:rsidRPr="00DC556E" w:rsidRDefault="00B37E1F" w:rsidP="002431B5">
      <w:pPr>
        <w:spacing w:before="0" w:after="0"/>
        <w:rPr>
          <w:b/>
          <w:bCs/>
          <w:szCs w:val="24"/>
        </w:rPr>
      </w:pPr>
      <w:r w:rsidRPr="00DC556E">
        <w:rPr>
          <w:b/>
          <w:bCs/>
          <w:szCs w:val="24"/>
        </w:rPr>
        <w:t>Противопоказания к катетеризации центральных вен</w:t>
      </w:r>
    </w:p>
    <w:p w14:paraId="0DC0DEF8" w14:textId="77777777" w:rsidR="00B37E1F" w:rsidRPr="00DC556E" w:rsidRDefault="00B37E1F" w:rsidP="002431B5">
      <w:pPr>
        <w:spacing w:before="0" w:after="0"/>
        <w:rPr>
          <w:rFonts w:eastAsia="Times New Roman"/>
          <w:szCs w:val="24"/>
          <w:lang w:eastAsia="ru-RU"/>
        </w:rPr>
      </w:pPr>
      <w:r w:rsidRPr="00DC556E">
        <w:rPr>
          <w:rFonts w:eastAsia="Times New Roman"/>
          <w:i/>
          <w:szCs w:val="24"/>
          <w:lang w:eastAsia="ru-RU"/>
        </w:rPr>
        <w:t>Абсолютные</w:t>
      </w:r>
      <w:r w:rsidRPr="00DC556E">
        <w:rPr>
          <w:rFonts w:eastAsia="Times New Roman"/>
          <w:szCs w:val="24"/>
          <w:lang w:eastAsia="ru-RU"/>
        </w:rPr>
        <w:t>:</w:t>
      </w:r>
    </w:p>
    <w:p w14:paraId="3B3675DC" w14:textId="77777777" w:rsidR="00B37E1F" w:rsidRPr="00DC556E" w:rsidRDefault="00B37E1F" w:rsidP="002431B5">
      <w:pPr>
        <w:spacing w:before="0" w:after="0"/>
        <w:rPr>
          <w:rFonts w:eastAsia="Times New Roman"/>
          <w:szCs w:val="24"/>
          <w:lang w:eastAsia="ru-RU"/>
        </w:rPr>
      </w:pPr>
      <w:r w:rsidRPr="00DC556E">
        <w:rPr>
          <w:rFonts w:eastAsia="Times New Roman"/>
          <w:szCs w:val="24"/>
          <w:lang w:eastAsia="ru-RU"/>
        </w:rPr>
        <w:t>- воспаление в планируемом месте доступа</w:t>
      </w:r>
    </w:p>
    <w:p w14:paraId="33544161" w14:textId="77777777" w:rsidR="00B37E1F" w:rsidRPr="00DC556E" w:rsidRDefault="00B37E1F" w:rsidP="002431B5">
      <w:pPr>
        <w:spacing w:before="0" w:after="0"/>
        <w:rPr>
          <w:rFonts w:eastAsia="Times New Roman"/>
          <w:szCs w:val="24"/>
          <w:lang w:eastAsia="ru-RU"/>
        </w:rPr>
      </w:pPr>
      <w:r w:rsidRPr="00DC556E">
        <w:rPr>
          <w:rFonts w:eastAsia="Times New Roman"/>
          <w:szCs w:val="24"/>
          <w:lang w:eastAsia="ru-RU"/>
        </w:rPr>
        <w:t>- недавно проведенное оперативное вмешательство в месте доступа</w:t>
      </w:r>
    </w:p>
    <w:p w14:paraId="425CF284" w14:textId="77777777" w:rsidR="00B37E1F" w:rsidRPr="00DC556E" w:rsidRDefault="00B37E1F" w:rsidP="002431B5">
      <w:pPr>
        <w:spacing w:before="0" w:after="0"/>
        <w:rPr>
          <w:rFonts w:eastAsia="Times New Roman"/>
          <w:i/>
          <w:iCs/>
          <w:szCs w:val="24"/>
          <w:lang w:eastAsia="ru-RU"/>
        </w:rPr>
      </w:pPr>
      <w:r w:rsidRPr="00DC556E">
        <w:rPr>
          <w:rFonts w:eastAsia="Times New Roman"/>
          <w:i/>
          <w:iCs/>
          <w:szCs w:val="24"/>
          <w:lang w:eastAsia="ru-RU"/>
        </w:rPr>
        <w:lastRenderedPageBreak/>
        <w:t>Относительные</w:t>
      </w:r>
    </w:p>
    <w:p w14:paraId="02D08859" w14:textId="77777777" w:rsidR="00B37E1F" w:rsidRPr="00DC556E" w:rsidRDefault="00B37E1F" w:rsidP="002431B5">
      <w:pPr>
        <w:spacing w:before="0" w:after="0"/>
        <w:rPr>
          <w:rFonts w:eastAsia="Times New Roman"/>
          <w:szCs w:val="24"/>
          <w:lang w:eastAsia="ru-RU"/>
        </w:rPr>
      </w:pPr>
      <w:r w:rsidRPr="00DC556E">
        <w:rPr>
          <w:rFonts w:eastAsia="Times New Roman"/>
          <w:szCs w:val="24"/>
          <w:lang w:eastAsia="ru-RU"/>
        </w:rPr>
        <w:t>- выраженный геморрагический синдром (вследствие тромбоцитопении, гипофибриногенемии, наследственных или приобретенных коагулопатий).</w:t>
      </w:r>
    </w:p>
    <w:p w14:paraId="150B825F" w14:textId="77777777" w:rsidR="00B37E1F" w:rsidRPr="00DC556E" w:rsidRDefault="00B37E1F" w:rsidP="002431B5">
      <w:pPr>
        <w:pStyle w:val="Default"/>
        <w:spacing w:line="360" w:lineRule="auto"/>
        <w:jc w:val="both"/>
        <w:rPr>
          <w:color w:val="auto"/>
        </w:rPr>
      </w:pPr>
      <w:r w:rsidRPr="00DC556E">
        <w:rPr>
          <w:i/>
          <w:color w:val="auto"/>
        </w:rPr>
        <w:t>Тромбоцитопения</w:t>
      </w:r>
      <w:r w:rsidRPr="00DC556E">
        <w:rPr>
          <w:color w:val="auto"/>
        </w:rPr>
        <w:t xml:space="preserve"> – одна из самых частых причин геморрагического синдрома. Хотя безопасным уровнем для катетеризации мы считаем количество тромбоцитов крови более 20 х 10</w:t>
      </w:r>
      <w:r w:rsidRPr="00DC556E">
        <w:rPr>
          <w:color w:val="auto"/>
          <w:vertAlign w:val="superscript"/>
        </w:rPr>
        <w:t>9</w:t>
      </w:r>
      <w:r w:rsidRPr="00DC556E">
        <w:rPr>
          <w:color w:val="auto"/>
        </w:rPr>
        <w:t>/л, у ряда пациентов достичь этого порогового уровня не удается вследствие различных причин, например, рефрактерность к трансфузиям. В этих случаях катетеризация центральной вены под контролем ультразвука без использования дилататора, может быть безопасной даже при количестве тромбоцитов менее 20 х 10</w:t>
      </w:r>
      <w:r w:rsidRPr="00DC556E">
        <w:rPr>
          <w:color w:val="auto"/>
          <w:vertAlign w:val="superscript"/>
        </w:rPr>
        <w:t>9</w:t>
      </w:r>
      <w:r w:rsidRPr="00DC556E">
        <w:rPr>
          <w:color w:val="auto"/>
        </w:rPr>
        <w:t>/л.</w:t>
      </w:r>
    </w:p>
    <w:p w14:paraId="7595274A" w14:textId="6E61EC9E" w:rsidR="00B37E1F" w:rsidRPr="00DC556E" w:rsidRDefault="00B37E1F" w:rsidP="002431B5">
      <w:pPr>
        <w:spacing w:before="0" w:after="0"/>
        <w:rPr>
          <w:szCs w:val="24"/>
        </w:rPr>
      </w:pPr>
      <w:r w:rsidRPr="00DC556E">
        <w:rPr>
          <w:i/>
          <w:szCs w:val="24"/>
        </w:rPr>
        <w:t>Плазменная концентрация фибриногена</w:t>
      </w:r>
      <w:r w:rsidRPr="00DC556E">
        <w:rPr>
          <w:szCs w:val="24"/>
        </w:rPr>
        <w:t xml:space="preserve"> ассоциируется с геморрагическими осложнениями при установке ЦВК: она значимо ниже у больных с геморрагическими осложнениями, чем без осложнений </w:t>
      </w:r>
      <w:r w:rsidRPr="00DC556E">
        <w:rPr>
          <w:szCs w:val="24"/>
        </w:rPr>
        <w:fldChar w:fldCharType="begin" w:fldLock="1"/>
      </w:r>
      <w:r w:rsidR="00E430FD">
        <w:rPr>
          <w:szCs w:val="24"/>
        </w:rPr>
        <w:instrText>ADDIN CSL_CITATION {"citationItems":[{"id":"ITEM-1","itemData":{"DOI":"10.1111/j.1537-2995.2011.03147.x","ISSN":"1537-2995","PMID":"21517892","abstract":"BACKGROUND Patients with severe thrombocytopenia are at risk for bleeding during insertion of central venous catheters (CVCs). Although most guidelines recommend preprocedural platelet (PLT) transfusions at a threshold of less than 50 × 10(9) /L, there is only weak evidence supporting such recommendations. STUDY DESIGN AND METHODS The current study aimed to establish a safe PLT transfusion trigger in patients with CVC placements. We performed a retrospective single-center analysis of 604 CVC insertions in 193 patients with acute leukemia receiving intensive chemotherapy or stem cell transplantation. RESULTS A total of 48% of the patients had a bleeding risk during CVC insertions, mostly due to thrombocytopenia. The bleeding incidence was 32% with 96% Grade 1 and 4% Grade 2 bleedings requiring prolonged local compression. There were no Grade 3 to 4 bleedings. Hemoglobin levels were similar before and 24 and 48 hours after the CVC insertion in the bleeding and nonbleeding group and there was no difference in the red blood cell (p = 0.72) and PLT transfusion requirements (p = 0.057) after CVC insertion. In multivariate analysis, only patients with PLT counts of less than 20 × 10(9) /L were at higher risk for bleeding before (p = 0.015) and after preprocedural PLT transfusions (p =0.006) compared to patients with PLT counts of 100 × 10(9) /L or more. CONCLUSION CVC placements can safely be performed in patients with PLT counts of 20 × 10(9) /L or more without preprocedural PLT transfusions.","author":[{"dropping-particle":"","family":"Zeidler","given":"Kristin","non-dropping-particle":"","parse-names":false,"suffix":""},{"dropping-particle":"","family":"Arn","given":"Kornelius","non-dropping-particle":"","parse-names":false,"suffix":""},{"dropping-particle":"","family":"Senn","given":"Oliver","non-dropping-particle":"","parse-names":false,"suffix":""},{"dropping-particle":"","family":"Schanz","given":"Urs","non-dropping-particle":"","parse-names":false,"suffix":""},{"dropping-particle":"","family":"Stussi","given":"Georg","non-dropping-particle":"","parse-names":false,"suffix":""}],"container-title":"Transfusion","id":"ITEM-1","issue":"11","issued":{"date-parts":[["2011","11"]]},"page":"2269-76","title":"Optimal preprocedural platelet transfusion threshold for central venous catheter insertions in patients with thrombocytopenia.","type":"article-journal","volume":"51"},"uris":["http://www.mendeley.com/documents/?uuid=11f6a6da-e80c-4c12-b31e-ce8ac19b442b"]}],"mendeley":{"formattedCitation":"[182]","plainTextFormattedCitation":"[182]","previouslyFormattedCitation":"[182]"},"properties":{"noteIndex":0},"schema":"https://github.com/citation-style-language/schema/raw/master/csl-citation.json"}</w:instrText>
      </w:r>
      <w:r w:rsidRPr="00DC556E">
        <w:rPr>
          <w:szCs w:val="24"/>
        </w:rPr>
        <w:fldChar w:fldCharType="separate"/>
      </w:r>
      <w:r w:rsidR="00E430FD" w:rsidRPr="00E430FD">
        <w:rPr>
          <w:noProof/>
          <w:szCs w:val="24"/>
        </w:rPr>
        <w:t>[182]</w:t>
      </w:r>
      <w:r w:rsidRPr="00DC556E">
        <w:rPr>
          <w:szCs w:val="24"/>
        </w:rPr>
        <w:fldChar w:fldCharType="end"/>
      </w:r>
      <w:r w:rsidRPr="00DC556E">
        <w:rPr>
          <w:szCs w:val="24"/>
        </w:rPr>
        <w:t>.</w:t>
      </w:r>
    </w:p>
    <w:p w14:paraId="76113C3D" w14:textId="77777777" w:rsidR="00B37E1F" w:rsidRPr="00DC556E" w:rsidRDefault="00B37E1F" w:rsidP="008A2329">
      <w:pPr>
        <w:spacing w:before="0" w:after="0"/>
        <w:ind w:firstLine="567"/>
        <w:rPr>
          <w:b/>
          <w:bCs/>
          <w:szCs w:val="24"/>
        </w:rPr>
      </w:pPr>
      <w:r w:rsidRPr="00DC556E">
        <w:rPr>
          <w:b/>
          <w:bCs/>
          <w:szCs w:val="24"/>
        </w:rPr>
        <w:t>Типы катетеров</w:t>
      </w:r>
    </w:p>
    <w:p w14:paraId="0E40E1D4" w14:textId="77777777" w:rsidR="00B37E1F" w:rsidRPr="00DC556E" w:rsidRDefault="00B37E1F" w:rsidP="008A2329">
      <w:pPr>
        <w:spacing w:before="0" w:after="0"/>
        <w:ind w:firstLine="567"/>
        <w:contextualSpacing/>
        <w:rPr>
          <w:szCs w:val="24"/>
        </w:rPr>
      </w:pPr>
      <w:r w:rsidRPr="00DC556E">
        <w:rPr>
          <w:i/>
          <w:szCs w:val="24"/>
        </w:rPr>
        <w:t>ЦВК</w:t>
      </w:r>
      <w:r w:rsidRPr="00DC556E">
        <w:rPr>
          <w:szCs w:val="24"/>
        </w:rPr>
        <w:t xml:space="preserve"> – это полая трубка, устанавливаемая в одну из центральных вен. ЦВК изготавливаются из различных материалов, имеют разный диаметр. ЦВК могут быть оснащены клапанами на разных концах, или камерой на проксимальном конце, а также иметь один или несколько просветов, для возможности проведения одновременных инфузий несовместимых между собой растворов. </w:t>
      </w:r>
    </w:p>
    <w:p w14:paraId="6A244A9E" w14:textId="77777777" w:rsidR="00B37E1F" w:rsidRPr="00DC556E" w:rsidRDefault="00B37E1F" w:rsidP="008A2329">
      <w:pPr>
        <w:spacing w:before="0" w:after="0"/>
        <w:ind w:firstLine="567"/>
        <w:rPr>
          <w:rFonts w:eastAsia="Times New Roman"/>
          <w:i/>
          <w:szCs w:val="24"/>
          <w:lang w:eastAsia="ru-RU"/>
        </w:rPr>
      </w:pPr>
      <w:r w:rsidRPr="00DC556E">
        <w:rPr>
          <w:rFonts w:eastAsia="Times New Roman"/>
          <w:i/>
          <w:szCs w:val="24"/>
          <w:lang w:eastAsia="ru-RU"/>
        </w:rPr>
        <w:t>Нетуннелируемые катетеры</w:t>
      </w:r>
    </w:p>
    <w:p w14:paraId="0D4F8FFB" w14:textId="696651B7" w:rsidR="00B37E1F" w:rsidRPr="00DC556E" w:rsidRDefault="00B37E1F" w:rsidP="008A2329">
      <w:pPr>
        <w:spacing w:before="0" w:after="0"/>
        <w:ind w:firstLine="567"/>
        <w:rPr>
          <w:rFonts w:eastAsia="Times New Roman"/>
          <w:strike/>
          <w:szCs w:val="24"/>
        </w:rPr>
      </w:pPr>
      <w:r w:rsidRPr="00DC556E">
        <w:rPr>
          <w:rFonts w:eastAsia="Times New Roman"/>
          <w:szCs w:val="24"/>
          <w:lang w:eastAsia="ru-RU"/>
        </w:rPr>
        <w:t xml:space="preserve">Это полиуретановые устройства длиной от 20 до 30 см и с внешним диаметром до 8 Fr, а в случае с катетером для проведения гемодиализа 12 </w:t>
      </w:r>
      <w:r w:rsidRPr="00DC556E">
        <w:rPr>
          <w:rFonts w:eastAsia="Times New Roman"/>
          <w:szCs w:val="24"/>
          <w:lang w:val="en-US" w:eastAsia="ru-RU"/>
        </w:rPr>
        <w:t>Fr</w:t>
      </w:r>
      <w:r w:rsidRPr="00DC556E">
        <w:rPr>
          <w:rFonts w:eastAsia="Times New Roman"/>
          <w:szCs w:val="24"/>
          <w:lang w:eastAsia="ru-RU"/>
        </w:rPr>
        <w:t xml:space="preserve">, которые имплантируются путем чрескожной пункции вены (внутренней ярёмной, подключичной, подмышечной или бедренной вены), с позиционированием дистального конца катетера у кава-атриального соединения. Использование в амбулаторных условиях не рекомендуется, так как риск инфицирования или случайного повреждения/удаления у них выше, по сравнению с другими типами катетеров, вследствие того, что они не туннелированы и удерживаются на месте фиксирующим швом или при помощи устройства бесшовной фиксации на коже у места пункции </w:t>
      </w:r>
      <w:r w:rsidRPr="00DC556E">
        <w:rPr>
          <w:rFonts w:eastAsia="Times New Roman"/>
          <w:szCs w:val="24"/>
          <w:lang w:eastAsia="ru-RU"/>
        </w:rPr>
        <w:fldChar w:fldCharType="begin" w:fldLock="1"/>
      </w:r>
      <w:r w:rsidR="00E430FD">
        <w:rPr>
          <w:rFonts w:eastAsia="Times New Roman"/>
          <w:szCs w:val="24"/>
          <w:lang w:eastAsia="ru-RU"/>
        </w:rPr>
        <w:instrText>ADDIN CSL_CITATION {"citationItems":[{"id":"ITEM-1","itemData":{"DOI":"10.1590/1677-5449.008216","author":[{"dropping-particle":"","family":"Zerati","given":"A.E.","non-dropping-particle":"","parse-names":false,"suffix":""},{"dropping-particle":"","family":"Wolosker","given":"N","non-dropping-particle":"","parse-names":false,"suffix":""},{"dropping-particle":"","family":"Luccia","given":"N","non-dropping-particle":"de","parse-names":false,"suffix":""},{"dropping-particle":"","family":"Puech-Leão","given":"P.","non-dropping-particle":"","parse-names":false,"suffix":""}],"container-title":"J Vasc Bras.","id":"ITEM-1","issue":"2","issued":{"date-parts":[["2017"]]},"page":"128-139","title":"Totally implantable venous catheters : history , implantation technique and complications.","type":"article-journal","volume":"16"},"uris":["http://www.mendeley.com/documents/?uuid=5353e640-d658-416d-8033-f443a1c37557"]}],"mendeley":{"formattedCitation":"[183]","plainTextFormattedCitation":"[183]","previouslyFormattedCitation":"[183]"},"properties":{"noteIndex":0},"schema":"https://github.com/citation-style-language/schema/raw/master/csl-citation.json"}</w:instrText>
      </w:r>
      <w:r w:rsidRPr="00DC556E">
        <w:rPr>
          <w:rFonts w:eastAsia="Times New Roman"/>
          <w:szCs w:val="24"/>
          <w:lang w:eastAsia="ru-RU"/>
        </w:rPr>
        <w:fldChar w:fldCharType="separate"/>
      </w:r>
      <w:r w:rsidR="00E430FD" w:rsidRPr="00E430FD">
        <w:rPr>
          <w:rFonts w:eastAsia="Times New Roman"/>
          <w:noProof/>
          <w:szCs w:val="24"/>
          <w:lang w:eastAsia="ru-RU"/>
        </w:rPr>
        <w:t>[183]</w:t>
      </w:r>
      <w:r w:rsidRPr="00DC556E">
        <w:rPr>
          <w:rFonts w:eastAsia="Times New Roman"/>
          <w:szCs w:val="24"/>
          <w:lang w:eastAsia="ru-RU"/>
        </w:rPr>
        <w:fldChar w:fldCharType="end"/>
      </w:r>
      <w:r>
        <w:rPr>
          <w:rFonts w:eastAsia="Times New Roman"/>
          <w:szCs w:val="24"/>
          <w:lang w:eastAsia="ru-RU"/>
        </w:rPr>
        <w:t xml:space="preserve">. </w:t>
      </w:r>
      <w:r w:rsidRPr="00DC556E">
        <w:rPr>
          <w:rFonts w:eastAsia="Times New Roman"/>
          <w:szCs w:val="24"/>
          <w:lang w:eastAsia="ru-RU"/>
        </w:rPr>
        <w:t xml:space="preserve">Существуют версии катетеров с антимикробными или антисептическими покрытиями. Применение катетеров с покрытием требует дальнейшего изучения, так как не раскрыты вопросы антибиотикорезистентности. </w:t>
      </w:r>
    </w:p>
    <w:p w14:paraId="405337F9" w14:textId="77777777" w:rsidR="00B37E1F" w:rsidRPr="00DC556E" w:rsidRDefault="00B37E1F" w:rsidP="008A2329">
      <w:pPr>
        <w:spacing w:before="0" w:after="0"/>
        <w:ind w:firstLine="567"/>
        <w:rPr>
          <w:rFonts w:eastAsia="Times New Roman"/>
          <w:i/>
          <w:szCs w:val="24"/>
          <w:lang w:eastAsia="ru-RU"/>
        </w:rPr>
      </w:pPr>
      <w:r w:rsidRPr="00DC556E">
        <w:rPr>
          <w:rFonts w:eastAsia="Times New Roman"/>
          <w:i/>
          <w:szCs w:val="24"/>
          <w:lang w:eastAsia="ru-RU"/>
        </w:rPr>
        <w:t xml:space="preserve">Туннелируемые катетеры </w:t>
      </w:r>
    </w:p>
    <w:p w14:paraId="5397103E" w14:textId="764038A1" w:rsidR="00B37E1F" w:rsidRPr="00DC556E" w:rsidRDefault="00B37E1F" w:rsidP="008A2329">
      <w:pPr>
        <w:spacing w:before="0" w:after="0"/>
        <w:ind w:firstLine="567"/>
        <w:rPr>
          <w:rFonts w:eastAsia="Times New Roman"/>
          <w:strike/>
          <w:szCs w:val="24"/>
          <w:lang w:eastAsia="ru-RU"/>
        </w:rPr>
      </w:pPr>
      <w:r w:rsidRPr="00DC556E">
        <w:rPr>
          <w:rFonts w:eastAsia="Times New Roman"/>
          <w:szCs w:val="24"/>
          <w:lang w:eastAsia="ru-RU"/>
        </w:rPr>
        <w:t xml:space="preserve">Туннелируемые катетеры – это имплантируемые катетеры, у которых при помощи подкожного туннеля разнесены места пункции вены и выхода на кожу. Внутри туннеля </w:t>
      </w:r>
      <w:r w:rsidRPr="00DC556E">
        <w:rPr>
          <w:rFonts w:eastAsia="Times New Roman"/>
          <w:szCs w:val="24"/>
          <w:lang w:eastAsia="ru-RU"/>
        </w:rPr>
        <w:lastRenderedPageBreak/>
        <w:t xml:space="preserve">катетер имеет манжету, которая, врастая в окружающие ткани, фиксирует катетер в туннеле и препятствует распространению инфекции </w:t>
      </w:r>
      <w:r w:rsidRPr="00DC556E">
        <w:rPr>
          <w:rFonts w:eastAsia="Times New Roman"/>
          <w:szCs w:val="24"/>
          <w:lang w:eastAsia="ru-RU"/>
        </w:rPr>
        <w:fldChar w:fldCharType="begin" w:fldLock="1"/>
      </w:r>
      <w:r w:rsidR="00E430FD">
        <w:rPr>
          <w:rFonts w:eastAsia="Times New Roman"/>
          <w:szCs w:val="24"/>
          <w:lang w:eastAsia="ru-RU"/>
        </w:rPr>
        <w:instrText>ADDIN CSL_CITATION {"citationItems":[{"id":"ITEM-1","itemData":{"DOI":"10.1016/j.amjsurg.2017.03.021","ISSN":"18791883","PMID":"28364951","abstract":"Background Tunneled central venous catheters (CVC) were developed five decades ago. Since then, several clinician-inventors have created a variety of catheters with different functions. Indeed, many catheters have been named after their inventor. Many have wondered who the inventors were of each catheter, and what specifically inspired their inventions. Many of these compelling stories have yet to be told. Data source A literature review of common catheters and personal communication with inventors. Only first person accounts from inventors or those close to the invention were used. Conclusions CVCs are now essential devices that have saved countless lives. Though the inventors have earned the honor of naming their catheters, it may be reasonable to consider more consistent terminology to describe these catheters to avoid confusion.","author":[{"dropping-particle":"","family":"Gow","given":"Kenneth W.","non-dropping-particle":"","parse-names":false,"suffix":""},{"dropping-particle":"","family":"Tapper","given":"David","non-dropping-particle":"","parse-names":false,"suffix":""},{"dropping-particle":"","family":"Hickman","given":"Robert O.","non-dropping-particle":"","parse-names":false,"suffix":""}],"container-title":"American Journal of Surgery","id":"ITEM-1","issue":"5","issued":{"date-parts":[["2017"]]},"page":"837-848","publisher":"Elsevier Ltd","title":"Between the lines: The 50th anniversary of long-term central venous catheters","type":"article-journal","volume":"213"},"uris":["http://www.mendeley.com/documents/?uuid=fd0b87b9-b50a-4553-a221-0efbeb55e54e"]}],"mendeley":{"formattedCitation":"[184]","plainTextFormattedCitation":"[184]","previouslyFormattedCitation":"[184]"},"properties":{"noteIndex":0},"schema":"https://github.com/citation-style-language/schema/raw/master/csl-citation.json"}</w:instrText>
      </w:r>
      <w:r w:rsidRPr="00DC556E">
        <w:rPr>
          <w:rFonts w:eastAsia="Times New Roman"/>
          <w:szCs w:val="24"/>
          <w:lang w:eastAsia="ru-RU"/>
        </w:rPr>
        <w:fldChar w:fldCharType="separate"/>
      </w:r>
      <w:r w:rsidR="00E430FD" w:rsidRPr="00E430FD">
        <w:rPr>
          <w:rFonts w:eastAsia="Times New Roman"/>
          <w:noProof/>
          <w:szCs w:val="24"/>
          <w:lang w:eastAsia="ru-RU"/>
        </w:rPr>
        <w:t>[184]</w:t>
      </w:r>
      <w:r w:rsidRPr="00DC556E">
        <w:rPr>
          <w:rFonts w:eastAsia="Times New Roman"/>
          <w:szCs w:val="24"/>
          <w:lang w:eastAsia="ru-RU"/>
        </w:rPr>
        <w:fldChar w:fldCharType="end"/>
      </w:r>
      <w:r w:rsidRPr="00DC556E">
        <w:rPr>
          <w:rFonts w:eastAsia="Times New Roman"/>
          <w:szCs w:val="24"/>
          <w:lang w:eastAsia="ru-RU"/>
        </w:rPr>
        <w:t xml:space="preserve">. </w:t>
      </w:r>
    </w:p>
    <w:p w14:paraId="6556EA9F" w14:textId="5D0E70F5" w:rsidR="00B37E1F" w:rsidRPr="00DC556E" w:rsidRDefault="00B37E1F" w:rsidP="008A2329">
      <w:pPr>
        <w:spacing w:before="0" w:after="0"/>
        <w:ind w:firstLine="567"/>
        <w:rPr>
          <w:rFonts w:eastAsia="Times New Roman"/>
          <w:szCs w:val="24"/>
          <w:lang w:eastAsia="ru-RU"/>
        </w:rPr>
      </w:pPr>
      <w:r w:rsidRPr="00DC556E">
        <w:rPr>
          <w:rFonts w:eastAsia="Times New Roman"/>
          <w:szCs w:val="24"/>
          <w:lang w:eastAsia="ru-RU"/>
        </w:rPr>
        <w:t xml:space="preserve">Туннелируемый тип катетера предпочтительнее нетуннелируемого, особенно при необходимости проведения массивной инфузионной терапии в течение более 3 недель, особенно у онкогематологических пациентов </w:t>
      </w:r>
      <w:r w:rsidRPr="00DC556E">
        <w:rPr>
          <w:rFonts w:eastAsia="Times New Roman"/>
          <w:szCs w:val="24"/>
          <w:lang w:eastAsia="ru-RU"/>
        </w:rPr>
        <w:fldChar w:fldCharType="begin" w:fldLock="1"/>
      </w:r>
      <w:r w:rsidR="00E430FD">
        <w:rPr>
          <w:rFonts w:eastAsia="Times New Roman"/>
          <w:szCs w:val="24"/>
          <w:lang w:eastAsia="ru-RU"/>
        </w:rPr>
        <w:instrText>ADDIN CSL_CITATION {"citationItems":[{"id":"ITEM-1","itemData":{"DOI":"10.4274/tjh.2013.0278","ISSN":"1300-7777","PMID":"25805675","abstract":"OBJECTIVE Haematopoietic stem cell recipients need central venous catheters (CVCs) for easy administration of intravenous fluid, medications, apheresis, or dialysis procedures. However, CVCs may lead to infectious or non-infectious complications such as thrombosis. The effect of these complications on transplantation outcome is not clear. This manuscript presents the complication rates of double-lumen tunnelled CVCs and their effect on transplantation outcome. MATERIALS AND METHODS Data from 111 consecutive patients, of whom 75 received autologous and 36 received allogeneic peripheral blood stem cell transplantations, were collected retrospectively. The data were validated by the Record Inspection Group of the related JACIE-accredited transplantation centre. RESULTS Thrombosis developed in 2.7% of recipients (0.9 per 1000 catheter days). Catheter-related infection was identified in 14 (12.6%) patients (3.6 per 1000 catheter days). Coagulase-negative Staphylococcus was the most common causative agent. Engraftment time, rate of 100-day mortality, and development of grade II-IV graft-versus-host disease were not found to be associated with catheter-related complications. CONCLUSION These results indicate that adverse events related with tunnelled CVCs are manageable and have no negative effects on transplant outcome. Amaç: Hematopoetik kök hücre nakli alıcıları damar içi mayi, ilaç, aferez ve diyaliz işlemleri için santral venöz kateterlere (SVK) ihtiyaç duyarlar. Ancak SVK’ların enfeksiyöz ve tromboz gibi enfeksiyöz olmayan komplikasyonları vardır. Bu komplikasyonların nakil sürecine etkisi net değildir. Bu çalışma ile çift lümen tünelli santral kateter komplikasyonlarının sıklığı ve nakil sürecine etkisi araştırılmıştır. Gereç ve Yöntemler: Geriye dönük olarak 75 otolog ve 39 allojeneik periferik kök hücre nakli uygulanan toplam 111 hastanın verileri toparlandı. Verilerin doğruluğu JACIE akredite merkezimizin kayıt denetleme grubu tarafından kontrol edildi. Bulgular: Olguların %2,7’sinde tromboz gelişti (1000 kateter gününde 0,9). Hastaların 14’ünde (%12,6) kateter ilişkili enfeksiyon tesbit edildi (1000 kateter gününde 3,6). Koagulaz negatif Stafilokoklar en sık etken idi. Kateter ilişkili komplikasyonlar ile engrafman zamanı, evre II-IV graft versus host hastalığı ve 100 günlük mortalite arasında bir ilişki saptanmadı. Sonuç: Sonuçlarımız nakil hastalarında tünelli SVK komplikasyonlarının yönetilebilir olduğunu ve bu komplikasyonların nakil üzerine olu…","author":[{"dropping-particle":"","family":"Yeral","given":"Mahmut","non-dropping-particle":"","parse-names":false,"suffix":""},{"dropping-particle":"","family":"Boğa","given":"Can","non-dropping-particle":"","parse-names":false,"suffix":""},{"dropping-particle":"","family":"Oğuzkurt","given":"Levent","non-dropping-particle":"","parse-names":false,"suffix":""},{"dropping-particle":"","family":"Alışkan","given":"Hikmet Eda","non-dropping-particle":"","parse-names":false,"suffix":""},{"dropping-particle":"","family":"Özdoğu","given":"Hakan","non-dropping-particle":"","parse-names":false,"suffix":""},{"dropping-particle":"","family":"Demiroğlu","given":"Yusuf Ziya","non-dropping-particle":"","parse-names":false,"suffix":""}],"container-title":"Turkish journal of haematology : official journal of Turkish Society of Haematology","id":"ITEM-1","issue":"1","issued":{"date-parts":[["2015","3"]]},"page":"51-7","publisher":"Galenos Yayinevi","title":"Tunnelled central venous catheter-related problems in the early phase of haematopoietic stem cell transplantation and effects on transplant outcome.","type":"article-journal","volume":"32"},"uris":["http://www.mendeley.com/documents/?uuid=af150765-c543-48ae-8459-7ae0c47be16e"]}],"mendeley":{"formattedCitation":"[185]","plainTextFormattedCitation":"[185]","previouslyFormattedCitation":"[185]"},"properties":{"noteIndex":0},"schema":"https://github.com/citation-style-language/schema/raw/master/csl-citation.json"}</w:instrText>
      </w:r>
      <w:r w:rsidRPr="00DC556E">
        <w:rPr>
          <w:rFonts w:eastAsia="Times New Roman"/>
          <w:szCs w:val="24"/>
          <w:lang w:eastAsia="ru-RU"/>
        </w:rPr>
        <w:fldChar w:fldCharType="separate"/>
      </w:r>
      <w:r w:rsidR="00E430FD" w:rsidRPr="00E430FD">
        <w:rPr>
          <w:rFonts w:eastAsia="Times New Roman"/>
          <w:noProof/>
          <w:szCs w:val="24"/>
          <w:lang w:eastAsia="ru-RU"/>
        </w:rPr>
        <w:t>[185]</w:t>
      </w:r>
      <w:r w:rsidRPr="00DC556E">
        <w:rPr>
          <w:rFonts w:eastAsia="Times New Roman"/>
          <w:szCs w:val="24"/>
          <w:lang w:eastAsia="ru-RU"/>
        </w:rPr>
        <w:fldChar w:fldCharType="end"/>
      </w:r>
      <w:r w:rsidRPr="00DC556E">
        <w:rPr>
          <w:rFonts w:eastAsia="Times New Roman"/>
          <w:szCs w:val="24"/>
          <w:lang w:eastAsia="ru-RU"/>
        </w:rPr>
        <w:t xml:space="preserve">. </w:t>
      </w:r>
    </w:p>
    <w:p w14:paraId="5273B645" w14:textId="77777777" w:rsidR="00B37E1F" w:rsidRPr="00DC556E" w:rsidRDefault="00B37E1F" w:rsidP="008A2329">
      <w:pPr>
        <w:spacing w:before="0" w:after="0"/>
        <w:ind w:firstLine="567"/>
        <w:rPr>
          <w:rFonts w:eastAsia="Times New Roman"/>
          <w:i/>
          <w:szCs w:val="24"/>
          <w:lang w:eastAsia="ru-RU"/>
        </w:rPr>
      </w:pPr>
      <w:r w:rsidRPr="00DC556E">
        <w:rPr>
          <w:rFonts w:eastAsia="Times New Roman"/>
          <w:i/>
          <w:szCs w:val="24"/>
          <w:lang w:eastAsia="ru-RU"/>
        </w:rPr>
        <w:t xml:space="preserve">Порт-системы </w:t>
      </w:r>
    </w:p>
    <w:p w14:paraId="3C244D1C" w14:textId="26736773" w:rsidR="00B37E1F" w:rsidRPr="00DC556E" w:rsidRDefault="00B37E1F" w:rsidP="008A2329">
      <w:pPr>
        <w:spacing w:before="0" w:after="0"/>
        <w:ind w:firstLine="567"/>
        <w:rPr>
          <w:rFonts w:eastAsia="Times New Roman"/>
          <w:szCs w:val="24"/>
          <w:lang w:eastAsia="ru-RU"/>
        </w:rPr>
      </w:pPr>
      <w:r w:rsidRPr="00DC556E">
        <w:rPr>
          <w:rFonts w:eastAsia="Times New Roman"/>
          <w:szCs w:val="24"/>
          <w:lang w:eastAsia="ru-RU"/>
        </w:rPr>
        <w:t>Полностью имплантируемые венозные устройства доступа используются для обеспечения долгосрочного центрального венозного доступа при проведении химиотерапии, парентерального питания, обеспечения возможности профилактического введения фактора свёртывания при наследственных коагулопатиях, например, гемофилии. Порт-системы</w:t>
      </w:r>
      <w:r w:rsidRPr="00DC556E">
        <w:rPr>
          <w:rFonts w:eastAsia="Times New Roman"/>
          <w:strike/>
          <w:szCs w:val="24"/>
          <w:lang w:eastAsia="ru-RU"/>
        </w:rPr>
        <w:t xml:space="preserve"> </w:t>
      </w:r>
      <w:r w:rsidRPr="00DC556E">
        <w:rPr>
          <w:rFonts w:eastAsia="Times New Roman"/>
          <w:szCs w:val="24"/>
          <w:lang w:eastAsia="ru-RU"/>
        </w:rPr>
        <w:t xml:space="preserve">полностью скрыты от внешней среды под кожей, их наличие никак не влияет на физическую активность пациентов и считается, что порт-система – это наименее подверженный инфицированию тип ЦВК </w:t>
      </w:r>
      <w:r w:rsidRPr="00DC556E">
        <w:rPr>
          <w:rFonts w:eastAsia="Times New Roman"/>
          <w:szCs w:val="24"/>
          <w:lang w:eastAsia="ru-RU"/>
        </w:rPr>
        <w:fldChar w:fldCharType="begin" w:fldLock="1"/>
      </w:r>
      <w:r w:rsidR="00E430FD">
        <w:rPr>
          <w:rFonts w:eastAsia="Times New Roman"/>
          <w:szCs w:val="24"/>
          <w:lang w:eastAsia="ru-RU"/>
        </w:rPr>
        <w:instrText>ADDIN CSL_CITATION {"citationItems":[{"id":"ITEM-1","itemData":{"DOI":"10.4065/81.9.1159","ISSN":"00256196","abstract":"&lt;h3&gt;OBJECTIVE&lt;/h3&gt;&lt;p&gt;To better understand the absolute and relative risks of bloodstream infection (BSI) associated with the various types of intravascular devices (IVDs), we analyzed 200 published studies of adults in which every device in the study population was prospectively evaluated for evidence of associated infection and microbiologically based criteria were used to define IVD-related BSI.&lt;/p&gt;&lt;h3&gt;METHODS&lt;/h3&gt;&lt;p&gt;English-language reports of prospective studies of adults published between January 1, 1966, and July 1, 2005, were identified by MEDLINE search using the following general search strategy: bacteremia [Medical Subject Heading, MeSH] OR septicemia [MeSH] OR bloodstream infection AND the specific type of intravascular device (eg, central venous port). Mean rates of IVD-related BSI were calculated from pooled data for each type of device and expressed as BSIs per 100 IVDs (%) and per 1000 IVD days.&lt;/p&gt;&lt;h3&gt;RESULTS&lt;/h3&gt;&lt;p&gt;Point incidence rates of IVD-related BSI were lowest with peripheral intravenous catheters (0.1%, 0.5 per 1000 IVD-days) and midline catheters (0.4%, 0.2 per 1000 catheter-days). Far higher rates were seen with short-term noncuffed and nonmedicated central venous catheters (CVCs) (4.4%, 2.7 per 1000 catheter-days). Arterial catheters used for hemodynamic monitoring (0.8%, 1.7 per 1000 catheter-days) and peripherally inserted central catheters used in hospitalized patients (2.4%, 2.1 per 1000 catheter-days) posed risks approaching those seen with short-term conventional CVCs used in the intensive care unit. Surgically implanted long-term central venous devices—cuffed and tunneled catheters (22.5%, 1.6 per 1000 IVD-days) and central venous ports (3.6%, 0.1 per 1000 IVD-days)—appear to have high rates of infection when risk is expressed as BSIs per 100 IVDs but actually pose much lower risk when rates are expressed per 1000 IVD-days. The use of cuffed and tunneled dual lumen CVCs rather than noncuffed, nontunneled catheters for temporary hemodialysis and novel preventive technologies, such as CVCs with anti-infective surfaces, was associated with considerably lower rates of catheter-related BSI.&lt;/p&gt;&lt;h3&gt;CONCLUSIONS&lt;/h3&gt;&lt;p&gt;Expressing risk of IVD-related BSI per 1000 IVD-days rather than BSIs per 100 IVDs allows for more meaningful estimates of risk. These data, based on prospective studies in which every IVD in the study cohort was analyzed for evidence of infection by microbiologically based criteria, show that &lt;i&gt;all&lt;/i&gt; types o…","author":[{"dropping-particle":"","family":"Maki","given":"Dennis G.","non-dropping-particle":"","parse-names":false,"suffix":""},{"dropping-particle":"","family":"Kluger","given":"Daniel M.","non-dropping-particle":"","parse-names":false,"suffix":""},{"dropping-particle":"","family":"Crnich","given":"Christopher J.","non-dropping-particle":"","parse-names":false,"suffix":""}],"container-title":"Mayo Clinic Proceedings","id":"ITEM-1","issue":"9","issued":{"date-parts":[["2006","9"]]},"page":"1159-1171","publisher":"Elsevier","title":"The Risk of Bloodstream Infection in Adults With Different Intravascular Devices: A Systematic Review of 200 Published Prospective Studies","type":"article-journal","volume":"81"},"uris":["http://www.mendeley.com/documents/?uuid=3cd9be52-e3e0-46b8-abdf-c9f0acf4135d"]}],"mendeley":{"formattedCitation":"[186]","plainTextFormattedCitation":"[186]","previouslyFormattedCitation":"[186]"},"properties":{"noteIndex":0},"schema":"https://github.com/citation-style-language/schema/raw/master/csl-citation.json"}</w:instrText>
      </w:r>
      <w:r w:rsidRPr="00DC556E">
        <w:rPr>
          <w:rFonts w:eastAsia="Times New Roman"/>
          <w:szCs w:val="24"/>
          <w:lang w:eastAsia="ru-RU"/>
        </w:rPr>
        <w:fldChar w:fldCharType="separate"/>
      </w:r>
      <w:r w:rsidR="00E430FD" w:rsidRPr="00E430FD">
        <w:rPr>
          <w:rFonts w:eastAsia="Times New Roman"/>
          <w:noProof/>
          <w:szCs w:val="24"/>
          <w:lang w:eastAsia="ru-RU"/>
        </w:rPr>
        <w:t>[186]</w:t>
      </w:r>
      <w:r w:rsidRPr="00DC556E">
        <w:rPr>
          <w:rFonts w:eastAsia="Times New Roman"/>
          <w:szCs w:val="24"/>
          <w:lang w:eastAsia="ru-RU"/>
        </w:rPr>
        <w:fldChar w:fldCharType="end"/>
      </w:r>
      <w:r w:rsidRPr="00DC556E">
        <w:rPr>
          <w:rFonts w:eastAsia="Times New Roman"/>
          <w:szCs w:val="24"/>
          <w:lang w:eastAsia="ru-RU"/>
        </w:rPr>
        <w:t xml:space="preserve">. </w:t>
      </w:r>
    </w:p>
    <w:p w14:paraId="57AEEF0E" w14:textId="77777777" w:rsidR="00B37E1F" w:rsidRPr="00DC556E" w:rsidRDefault="00B37E1F" w:rsidP="008A2329">
      <w:pPr>
        <w:spacing w:before="0" w:after="0"/>
        <w:ind w:firstLine="567"/>
        <w:rPr>
          <w:rFonts w:eastAsia="Times New Roman"/>
          <w:szCs w:val="24"/>
          <w:lang w:eastAsia="ru-RU"/>
        </w:rPr>
      </w:pPr>
      <w:r w:rsidRPr="00DC556E">
        <w:rPr>
          <w:rFonts w:eastAsia="Times New Roman"/>
          <w:szCs w:val="24"/>
          <w:lang w:eastAsia="ru-RU"/>
        </w:rPr>
        <w:t xml:space="preserve">В настоящее время существует множество модификаций порт-систем, в т.ч. МРТ совместимые модификации и изделия, обладающие высокой пропускной способностью, позволяющие проводить введение контрастных веществ с использованием автоматических устройств. </w:t>
      </w:r>
    </w:p>
    <w:p w14:paraId="6D15DBA7" w14:textId="77777777" w:rsidR="00B37E1F" w:rsidRPr="00DC556E" w:rsidRDefault="00B37E1F" w:rsidP="002431B5">
      <w:pPr>
        <w:spacing w:before="0" w:after="0"/>
        <w:rPr>
          <w:rFonts w:eastAsia="Times New Roman"/>
          <w:i/>
          <w:szCs w:val="24"/>
          <w:lang w:eastAsia="ru-RU"/>
        </w:rPr>
      </w:pPr>
      <w:r w:rsidRPr="00DC556E">
        <w:rPr>
          <w:rFonts w:eastAsia="Times New Roman"/>
          <w:i/>
          <w:szCs w:val="24"/>
          <w:lang w:eastAsia="ru-RU"/>
        </w:rPr>
        <w:t>Периферически имплантируемые центральные венозные катетеры.</w:t>
      </w:r>
    </w:p>
    <w:p w14:paraId="7A988143" w14:textId="27564E56" w:rsidR="00B37E1F" w:rsidRPr="00DC556E" w:rsidRDefault="00B37E1F" w:rsidP="008A2329">
      <w:pPr>
        <w:spacing w:before="0" w:after="0"/>
        <w:ind w:firstLine="567"/>
        <w:rPr>
          <w:rFonts w:eastAsia="Times New Roman"/>
          <w:szCs w:val="24"/>
          <w:lang w:eastAsia="ru-RU"/>
        </w:rPr>
      </w:pPr>
      <w:r w:rsidRPr="00DC556E">
        <w:rPr>
          <w:rFonts w:eastAsia="Times New Roman"/>
          <w:szCs w:val="24"/>
          <w:lang w:eastAsia="ru-RU"/>
        </w:rPr>
        <w:t xml:space="preserve">Периферически имплантируемые центральные венозные катетеры (ПИЦВК) – это катетеры для долговременного центрального венозного доступа, которые устанавливают через одну из периферических вен руки в центральную вену. ПИЦВК изготавливаются из силикона или полиуретана, они могут быть одно-, двух- и трехпросветными, их диаметр различный, от 3 Fr до 7 Fr. ПИЦВК используют для проведения терапии (химиотерапия, гемостатическая терапия и т.д.), в среднем, от 6 мес. до 1 года и рассматривают как вариант центрального венозного доступа, который может использоваться как в стационарных, так и в амбулаторных условиях, как ежедневно, так и периодически, обеспечивая пациенту безопасность и комфорт </w:t>
      </w:r>
      <w:r w:rsidRPr="00DC556E">
        <w:rPr>
          <w:rFonts w:eastAsia="Times New Roman"/>
          <w:szCs w:val="24"/>
          <w:lang w:eastAsia="ru-RU"/>
        </w:rPr>
        <w:fldChar w:fldCharType="begin" w:fldLock="1"/>
      </w:r>
      <w:r w:rsidR="00E430FD">
        <w:rPr>
          <w:rFonts w:eastAsia="Times New Roman"/>
          <w:szCs w:val="24"/>
          <w:lang w:eastAsia="ru-RU"/>
        </w:rPr>
        <w:instrText>ADDIN CSL_CITATION {"citationItems":[{"id":"ITEM-1","itemData":{"DOI":"10.1002/9780470750186","ISBN":"9780470750186","author":[{"dropping-particle":"","family":"Hamilton","given":"Helen","non-dropping-particle":"","parse-names":false,"suffix":""}],"editor":[{"dropping-particle":"","family":"Bodenham","given":"Andrew R.","non-dropping-particle":"","parse-names":false,"suffix":""}],"id":"ITEM-1","issued":{"date-parts":[["2009","2"]]},"publisher":"Wiley-Blackwell","publisher-place":"Oxford, UK","title":"Central Venous Catheters","type":"book"},"uris":["http://www.mendeley.com/documents/?uuid=e9419574-fa82-44c8-8d1a-190e223d334b"]}],"mendeley":{"formattedCitation":"[187]","plainTextFormattedCitation":"[187]","previouslyFormattedCitation":"[187]"},"properties":{"noteIndex":0},"schema":"https://github.com/citation-style-language/schema/raw/master/csl-citation.json"}</w:instrText>
      </w:r>
      <w:r w:rsidRPr="00DC556E">
        <w:rPr>
          <w:rFonts w:eastAsia="Times New Roman"/>
          <w:szCs w:val="24"/>
          <w:lang w:eastAsia="ru-RU"/>
        </w:rPr>
        <w:fldChar w:fldCharType="separate"/>
      </w:r>
      <w:r w:rsidR="00E430FD" w:rsidRPr="00E430FD">
        <w:rPr>
          <w:rFonts w:eastAsia="Times New Roman"/>
          <w:noProof/>
          <w:szCs w:val="24"/>
          <w:lang w:eastAsia="ru-RU"/>
        </w:rPr>
        <w:t>[187]</w:t>
      </w:r>
      <w:r w:rsidRPr="00DC556E">
        <w:rPr>
          <w:rFonts w:eastAsia="Times New Roman"/>
          <w:szCs w:val="24"/>
          <w:lang w:eastAsia="ru-RU"/>
        </w:rPr>
        <w:fldChar w:fldCharType="end"/>
      </w:r>
      <w:r w:rsidRPr="00DC556E">
        <w:rPr>
          <w:rFonts w:eastAsia="Times New Roman"/>
          <w:szCs w:val="24"/>
          <w:lang w:eastAsia="ru-RU"/>
        </w:rPr>
        <w:fldChar w:fldCharType="begin" w:fldLock="1"/>
      </w:r>
      <w:r w:rsidR="00E430FD">
        <w:rPr>
          <w:rFonts w:eastAsia="Times New Roman"/>
          <w:szCs w:val="24"/>
          <w:lang w:val="en-US" w:eastAsia="ru-RU"/>
        </w:rPr>
        <w:instrText>ADDIN</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CSL</w:instrText>
      </w:r>
      <w:r w:rsidR="00E430FD" w:rsidRPr="00420291">
        <w:rPr>
          <w:rFonts w:eastAsia="Times New Roman"/>
          <w:szCs w:val="24"/>
          <w:lang w:eastAsia="ru-RU"/>
        </w:rPr>
        <w:instrText>_</w:instrText>
      </w:r>
      <w:r w:rsidR="00E430FD">
        <w:rPr>
          <w:rFonts w:eastAsia="Times New Roman"/>
          <w:szCs w:val="24"/>
          <w:lang w:val="en-US" w:eastAsia="ru-RU"/>
        </w:rPr>
        <w:instrText>CITATION</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citationItems</w:instrText>
      </w:r>
      <w:r w:rsidR="00E430FD" w:rsidRPr="00420291">
        <w:rPr>
          <w:rFonts w:eastAsia="Times New Roman"/>
          <w:szCs w:val="24"/>
          <w:lang w:eastAsia="ru-RU"/>
        </w:rPr>
        <w:instrText>":[{"</w:instrText>
      </w:r>
      <w:r w:rsidR="00E430FD">
        <w:rPr>
          <w:rFonts w:eastAsia="Times New Roman"/>
          <w:szCs w:val="24"/>
          <w:lang w:val="en-US" w:eastAsia="ru-RU"/>
        </w:rPr>
        <w:instrText>id</w:instrText>
      </w:r>
      <w:r w:rsidR="00E430FD" w:rsidRPr="00420291">
        <w:rPr>
          <w:rFonts w:eastAsia="Times New Roman"/>
          <w:szCs w:val="24"/>
          <w:lang w:eastAsia="ru-RU"/>
        </w:rPr>
        <w:instrText>":"</w:instrText>
      </w:r>
      <w:r w:rsidR="00E430FD">
        <w:rPr>
          <w:rFonts w:eastAsia="Times New Roman"/>
          <w:szCs w:val="24"/>
          <w:lang w:val="en-US" w:eastAsia="ru-RU"/>
        </w:rPr>
        <w:instrText>ITEM</w:instrText>
      </w:r>
      <w:r w:rsidR="00E430FD" w:rsidRPr="00420291">
        <w:rPr>
          <w:rFonts w:eastAsia="Times New Roman"/>
          <w:szCs w:val="24"/>
          <w:lang w:eastAsia="ru-RU"/>
        </w:rPr>
        <w:instrText>-1","</w:instrText>
      </w:r>
      <w:r w:rsidR="00E430FD">
        <w:rPr>
          <w:rFonts w:eastAsia="Times New Roman"/>
          <w:szCs w:val="24"/>
          <w:lang w:val="en-US" w:eastAsia="ru-RU"/>
        </w:rPr>
        <w:instrText>itemData</w:instrText>
      </w:r>
      <w:r w:rsidR="00E430FD" w:rsidRPr="00420291">
        <w:rPr>
          <w:rFonts w:eastAsia="Times New Roman"/>
          <w:szCs w:val="24"/>
          <w:lang w:eastAsia="ru-RU"/>
        </w:rPr>
        <w:instrText>":{"</w:instrText>
      </w:r>
      <w:r w:rsidR="00E430FD">
        <w:rPr>
          <w:rFonts w:eastAsia="Times New Roman"/>
          <w:szCs w:val="24"/>
          <w:lang w:val="en-US" w:eastAsia="ru-RU"/>
        </w:rPr>
        <w:instrText>DOI</w:instrText>
      </w:r>
      <w:r w:rsidR="00E430FD" w:rsidRPr="00420291">
        <w:rPr>
          <w:rFonts w:eastAsia="Times New Roman"/>
          <w:szCs w:val="24"/>
          <w:lang w:eastAsia="ru-RU"/>
        </w:rPr>
        <w:instrText>":"10.1007/978-88-470-5665-7_1","</w:instrText>
      </w:r>
      <w:r w:rsidR="00E430FD">
        <w:rPr>
          <w:rFonts w:eastAsia="Times New Roman"/>
          <w:szCs w:val="24"/>
          <w:lang w:val="en-US" w:eastAsia="ru-RU"/>
        </w:rPr>
        <w:instrText>author</w:instrText>
      </w:r>
      <w:r w:rsidR="00E430FD" w:rsidRPr="00420291">
        <w:rPr>
          <w:rFonts w:eastAsia="Times New Roman"/>
          <w:szCs w:val="24"/>
          <w:lang w:eastAsia="ru-RU"/>
        </w:rPr>
        <w:instrText>":[{"</w:instrText>
      </w:r>
      <w:r w:rsidR="00E430FD">
        <w:rPr>
          <w:rFonts w:eastAsia="Times New Roman"/>
          <w:szCs w:val="24"/>
          <w:lang w:val="en-US" w:eastAsia="ru-RU"/>
        </w:rPr>
        <w:instrText>dropping</w:instrText>
      </w:r>
      <w:r w:rsidR="00E430FD" w:rsidRPr="00420291">
        <w:rPr>
          <w:rFonts w:eastAsia="Times New Roman"/>
          <w:szCs w:val="24"/>
          <w:lang w:eastAsia="ru-RU"/>
        </w:rPr>
        <w:instrText>-</w:instrText>
      </w:r>
      <w:r w:rsidR="00E430FD">
        <w:rPr>
          <w:rFonts w:eastAsia="Times New Roman"/>
          <w:szCs w:val="24"/>
          <w:lang w:val="en-US" w:eastAsia="ru-RU"/>
        </w:rPr>
        <w:instrText>particle</w:instrText>
      </w:r>
      <w:r w:rsidR="00E430FD" w:rsidRPr="00420291">
        <w:rPr>
          <w:rFonts w:eastAsia="Times New Roman"/>
          <w:szCs w:val="24"/>
          <w:lang w:eastAsia="ru-RU"/>
        </w:rPr>
        <w:instrText>":"","</w:instrText>
      </w:r>
      <w:r w:rsidR="00E430FD">
        <w:rPr>
          <w:rFonts w:eastAsia="Times New Roman"/>
          <w:szCs w:val="24"/>
          <w:lang w:val="en-US" w:eastAsia="ru-RU"/>
        </w:rPr>
        <w:instrText>family</w:instrText>
      </w:r>
      <w:r w:rsidR="00E430FD" w:rsidRPr="00420291">
        <w:rPr>
          <w:rFonts w:eastAsia="Times New Roman"/>
          <w:szCs w:val="24"/>
          <w:lang w:eastAsia="ru-RU"/>
        </w:rPr>
        <w:instrText>":"</w:instrText>
      </w:r>
      <w:r w:rsidR="00E430FD">
        <w:rPr>
          <w:rFonts w:eastAsia="Times New Roman"/>
          <w:szCs w:val="24"/>
          <w:lang w:val="en-US" w:eastAsia="ru-RU"/>
        </w:rPr>
        <w:instrText>Biffi</w:instrText>
      </w:r>
      <w:r w:rsidR="00E430FD" w:rsidRPr="00420291">
        <w:rPr>
          <w:rFonts w:eastAsia="Times New Roman"/>
          <w:szCs w:val="24"/>
          <w:lang w:eastAsia="ru-RU"/>
        </w:rPr>
        <w:instrText>","</w:instrText>
      </w:r>
      <w:r w:rsidR="00E430FD">
        <w:rPr>
          <w:rFonts w:eastAsia="Times New Roman"/>
          <w:szCs w:val="24"/>
          <w:lang w:val="en-US" w:eastAsia="ru-RU"/>
        </w:rPr>
        <w:instrText>given</w:instrText>
      </w:r>
      <w:r w:rsidR="00E430FD" w:rsidRPr="00420291">
        <w:rPr>
          <w:rFonts w:eastAsia="Times New Roman"/>
          <w:szCs w:val="24"/>
          <w:lang w:eastAsia="ru-RU"/>
        </w:rPr>
        <w:instrText>":"</w:instrText>
      </w:r>
      <w:r w:rsidR="00E430FD">
        <w:rPr>
          <w:rFonts w:eastAsia="Times New Roman"/>
          <w:szCs w:val="24"/>
          <w:lang w:val="en-US" w:eastAsia="ru-RU"/>
        </w:rPr>
        <w:instrText>Roberto</w:instrText>
      </w:r>
      <w:r w:rsidR="00E430FD" w:rsidRPr="00420291">
        <w:rPr>
          <w:rFonts w:eastAsia="Times New Roman"/>
          <w:szCs w:val="24"/>
          <w:lang w:eastAsia="ru-RU"/>
        </w:rPr>
        <w:instrText>","</w:instrText>
      </w:r>
      <w:r w:rsidR="00E430FD">
        <w:rPr>
          <w:rFonts w:eastAsia="Times New Roman"/>
          <w:szCs w:val="24"/>
          <w:lang w:val="en-US" w:eastAsia="ru-RU"/>
        </w:rPr>
        <w:instrText>non</w:instrText>
      </w:r>
      <w:r w:rsidR="00E430FD" w:rsidRPr="00420291">
        <w:rPr>
          <w:rFonts w:eastAsia="Times New Roman"/>
          <w:szCs w:val="24"/>
          <w:lang w:eastAsia="ru-RU"/>
        </w:rPr>
        <w:instrText>-</w:instrText>
      </w:r>
      <w:r w:rsidR="00E430FD">
        <w:rPr>
          <w:rFonts w:eastAsia="Times New Roman"/>
          <w:szCs w:val="24"/>
          <w:lang w:val="en-US" w:eastAsia="ru-RU"/>
        </w:rPr>
        <w:instrText>dropping</w:instrText>
      </w:r>
      <w:r w:rsidR="00E430FD" w:rsidRPr="00420291">
        <w:rPr>
          <w:rFonts w:eastAsia="Times New Roman"/>
          <w:szCs w:val="24"/>
          <w:lang w:eastAsia="ru-RU"/>
        </w:rPr>
        <w:instrText>-</w:instrText>
      </w:r>
      <w:r w:rsidR="00E430FD">
        <w:rPr>
          <w:rFonts w:eastAsia="Times New Roman"/>
          <w:szCs w:val="24"/>
          <w:lang w:val="en-US" w:eastAsia="ru-RU"/>
        </w:rPr>
        <w:instrText>particle</w:instrText>
      </w:r>
      <w:r w:rsidR="00E430FD" w:rsidRPr="00420291">
        <w:rPr>
          <w:rFonts w:eastAsia="Times New Roman"/>
          <w:szCs w:val="24"/>
          <w:lang w:eastAsia="ru-RU"/>
        </w:rPr>
        <w:instrText>":"","</w:instrText>
      </w:r>
      <w:r w:rsidR="00E430FD">
        <w:rPr>
          <w:rFonts w:eastAsia="Times New Roman"/>
          <w:szCs w:val="24"/>
          <w:lang w:val="en-US" w:eastAsia="ru-RU"/>
        </w:rPr>
        <w:instrText>parse</w:instrText>
      </w:r>
      <w:r w:rsidR="00E430FD" w:rsidRPr="00420291">
        <w:rPr>
          <w:rFonts w:eastAsia="Times New Roman"/>
          <w:szCs w:val="24"/>
          <w:lang w:eastAsia="ru-RU"/>
        </w:rPr>
        <w:instrText>-</w:instrText>
      </w:r>
      <w:r w:rsidR="00E430FD">
        <w:rPr>
          <w:rFonts w:eastAsia="Times New Roman"/>
          <w:szCs w:val="24"/>
          <w:lang w:val="en-US" w:eastAsia="ru-RU"/>
        </w:rPr>
        <w:instrText>names</w:instrText>
      </w:r>
      <w:r w:rsidR="00E430FD" w:rsidRPr="00420291">
        <w:rPr>
          <w:rFonts w:eastAsia="Times New Roman"/>
          <w:szCs w:val="24"/>
          <w:lang w:eastAsia="ru-RU"/>
        </w:rPr>
        <w:instrText>":</w:instrText>
      </w:r>
      <w:r w:rsidR="00E430FD">
        <w:rPr>
          <w:rFonts w:eastAsia="Times New Roman"/>
          <w:szCs w:val="24"/>
          <w:lang w:val="en-US" w:eastAsia="ru-RU"/>
        </w:rPr>
        <w:instrText>false</w:instrText>
      </w:r>
      <w:r w:rsidR="00E430FD" w:rsidRPr="00420291">
        <w:rPr>
          <w:rFonts w:eastAsia="Times New Roman"/>
          <w:szCs w:val="24"/>
          <w:lang w:eastAsia="ru-RU"/>
        </w:rPr>
        <w:instrText>,"</w:instrText>
      </w:r>
      <w:r w:rsidR="00E430FD">
        <w:rPr>
          <w:rFonts w:eastAsia="Times New Roman"/>
          <w:szCs w:val="24"/>
          <w:lang w:val="en-US" w:eastAsia="ru-RU"/>
        </w:rPr>
        <w:instrText>suffix</w:instrText>
      </w:r>
      <w:r w:rsidR="00E430FD" w:rsidRPr="00420291">
        <w:rPr>
          <w:rFonts w:eastAsia="Times New Roman"/>
          <w:szCs w:val="24"/>
          <w:lang w:eastAsia="ru-RU"/>
        </w:rPr>
        <w:instrText>":""}],"</w:instrText>
      </w:r>
      <w:r w:rsidR="00E430FD">
        <w:rPr>
          <w:rFonts w:eastAsia="Times New Roman"/>
          <w:szCs w:val="24"/>
          <w:lang w:val="en-US" w:eastAsia="ru-RU"/>
        </w:rPr>
        <w:instrText>container</w:instrText>
      </w:r>
      <w:r w:rsidR="00E430FD" w:rsidRPr="00420291">
        <w:rPr>
          <w:rFonts w:eastAsia="Times New Roman"/>
          <w:szCs w:val="24"/>
          <w:lang w:eastAsia="ru-RU"/>
        </w:rPr>
        <w:instrText>-</w:instrText>
      </w:r>
      <w:r w:rsidR="00E430FD">
        <w:rPr>
          <w:rFonts w:eastAsia="Times New Roman"/>
          <w:szCs w:val="24"/>
          <w:lang w:val="en-US" w:eastAsia="ru-RU"/>
        </w:rPr>
        <w:instrText>title</w:instrText>
      </w:r>
      <w:r w:rsidR="00E430FD" w:rsidRPr="00420291">
        <w:rPr>
          <w:rFonts w:eastAsia="Times New Roman"/>
          <w:szCs w:val="24"/>
          <w:lang w:eastAsia="ru-RU"/>
        </w:rPr>
        <w:instrText>":"</w:instrText>
      </w:r>
      <w:r w:rsidR="00E430FD">
        <w:rPr>
          <w:rFonts w:eastAsia="Times New Roman"/>
          <w:szCs w:val="24"/>
          <w:lang w:val="en-US" w:eastAsia="ru-RU"/>
        </w:rPr>
        <w:instrText>Peripherally</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Inserted</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Central</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Venous</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Catheters</w:instrText>
      </w:r>
      <w:r w:rsidR="00E430FD" w:rsidRPr="00420291">
        <w:rPr>
          <w:rFonts w:eastAsia="Times New Roman"/>
          <w:szCs w:val="24"/>
          <w:lang w:eastAsia="ru-RU"/>
        </w:rPr>
        <w:instrText>","</w:instrText>
      </w:r>
      <w:r w:rsidR="00E430FD">
        <w:rPr>
          <w:rFonts w:eastAsia="Times New Roman"/>
          <w:szCs w:val="24"/>
          <w:lang w:val="en-US" w:eastAsia="ru-RU"/>
        </w:rPr>
        <w:instrText>id</w:instrText>
      </w:r>
      <w:r w:rsidR="00E430FD" w:rsidRPr="00420291">
        <w:rPr>
          <w:rFonts w:eastAsia="Times New Roman"/>
          <w:szCs w:val="24"/>
          <w:lang w:eastAsia="ru-RU"/>
        </w:rPr>
        <w:instrText>":"</w:instrText>
      </w:r>
      <w:r w:rsidR="00E430FD">
        <w:rPr>
          <w:rFonts w:eastAsia="Times New Roman"/>
          <w:szCs w:val="24"/>
          <w:lang w:val="en-US" w:eastAsia="ru-RU"/>
        </w:rPr>
        <w:instrText>ITEM</w:instrText>
      </w:r>
      <w:r w:rsidR="00E430FD" w:rsidRPr="00420291">
        <w:rPr>
          <w:rFonts w:eastAsia="Times New Roman"/>
          <w:szCs w:val="24"/>
          <w:lang w:eastAsia="ru-RU"/>
        </w:rPr>
        <w:instrText>-1","</w:instrText>
      </w:r>
      <w:r w:rsidR="00E430FD">
        <w:rPr>
          <w:rFonts w:eastAsia="Times New Roman"/>
          <w:szCs w:val="24"/>
          <w:lang w:val="en-US" w:eastAsia="ru-RU"/>
        </w:rPr>
        <w:instrText>issued</w:instrText>
      </w:r>
      <w:r w:rsidR="00E430FD" w:rsidRPr="00420291">
        <w:rPr>
          <w:rFonts w:eastAsia="Times New Roman"/>
          <w:szCs w:val="24"/>
          <w:lang w:eastAsia="ru-RU"/>
        </w:rPr>
        <w:instrText>":{"</w:instrText>
      </w:r>
      <w:r w:rsidR="00E430FD">
        <w:rPr>
          <w:rFonts w:eastAsia="Times New Roman"/>
          <w:szCs w:val="24"/>
          <w:lang w:val="en-US" w:eastAsia="ru-RU"/>
        </w:rPr>
        <w:instrText>date</w:instrText>
      </w:r>
      <w:r w:rsidR="00E430FD" w:rsidRPr="00420291">
        <w:rPr>
          <w:rFonts w:eastAsia="Times New Roman"/>
          <w:szCs w:val="24"/>
          <w:lang w:eastAsia="ru-RU"/>
        </w:rPr>
        <w:instrText>-</w:instrText>
      </w:r>
      <w:r w:rsidR="00E430FD">
        <w:rPr>
          <w:rFonts w:eastAsia="Times New Roman"/>
          <w:szCs w:val="24"/>
          <w:lang w:val="en-US" w:eastAsia="ru-RU"/>
        </w:rPr>
        <w:instrText>parts</w:instrText>
      </w:r>
      <w:r w:rsidR="00E430FD" w:rsidRPr="00420291">
        <w:rPr>
          <w:rFonts w:eastAsia="Times New Roman"/>
          <w:szCs w:val="24"/>
          <w:lang w:eastAsia="ru-RU"/>
        </w:rPr>
        <w:instrText>":[["2014"]]},"</w:instrText>
      </w:r>
      <w:r w:rsidR="00E430FD">
        <w:rPr>
          <w:rFonts w:eastAsia="Times New Roman"/>
          <w:szCs w:val="24"/>
          <w:lang w:val="en-US" w:eastAsia="ru-RU"/>
        </w:rPr>
        <w:instrText>page</w:instrText>
      </w:r>
      <w:r w:rsidR="00E430FD" w:rsidRPr="00420291">
        <w:rPr>
          <w:rFonts w:eastAsia="Times New Roman"/>
          <w:szCs w:val="24"/>
          <w:lang w:eastAsia="ru-RU"/>
        </w:rPr>
        <w:instrText>":"1-6","</w:instrText>
      </w:r>
      <w:r w:rsidR="00E430FD">
        <w:rPr>
          <w:rFonts w:eastAsia="Times New Roman"/>
          <w:szCs w:val="24"/>
          <w:lang w:val="en-US" w:eastAsia="ru-RU"/>
        </w:rPr>
        <w:instrText>publisher</w:instrText>
      </w:r>
      <w:r w:rsidR="00E430FD" w:rsidRPr="00420291">
        <w:rPr>
          <w:rFonts w:eastAsia="Times New Roman"/>
          <w:szCs w:val="24"/>
          <w:lang w:eastAsia="ru-RU"/>
        </w:rPr>
        <w:instrText>":"</w:instrText>
      </w:r>
      <w:r w:rsidR="00E430FD">
        <w:rPr>
          <w:rFonts w:eastAsia="Times New Roman"/>
          <w:szCs w:val="24"/>
          <w:lang w:val="en-US" w:eastAsia="ru-RU"/>
        </w:rPr>
        <w:instrText>Springer</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Milan</w:instrText>
      </w:r>
      <w:r w:rsidR="00E430FD" w:rsidRPr="00420291">
        <w:rPr>
          <w:rFonts w:eastAsia="Times New Roman"/>
          <w:szCs w:val="24"/>
          <w:lang w:eastAsia="ru-RU"/>
        </w:rPr>
        <w:instrText>","</w:instrText>
      </w:r>
      <w:r w:rsidR="00E430FD">
        <w:rPr>
          <w:rFonts w:eastAsia="Times New Roman"/>
          <w:szCs w:val="24"/>
          <w:lang w:val="en-US" w:eastAsia="ru-RU"/>
        </w:rPr>
        <w:instrText>publisher</w:instrText>
      </w:r>
      <w:r w:rsidR="00E430FD" w:rsidRPr="00420291">
        <w:rPr>
          <w:rFonts w:eastAsia="Times New Roman"/>
          <w:szCs w:val="24"/>
          <w:lang w:eastAsia="ru-RU"/>
        </w:rPr>
        <w:instrText>-</w:instrText>
      </w:r>
      <w:r w:rsidR="00E430FD">
        <w:rPr>
          <w:rFonts w:eastAsia="Times New Roman"/>
          <w:szCs w:val="24"/>
          <w:lang w:val="en-US" w:eastAsia="ru-RU"/>
        </w:rPr>
        <w:instrText>place</w:instrText>
      </w:r>
      <w:r w:rsidR="00E430FD" w:rsidRPr="00420291">
        <w:rPr>
          <w:rFonts w:eastAsia="Times New Roman"/>
          <w:szCs w:val="24"/>
          <w:lang w:eastAsia="ru-RU"/>
        </w:rPr>
        <w:instrText>":"</w:instrText>
      </w:r>
      <w:r w:rsidR="00E430FD">
        <w:rPr>
          <w:rFonts w:eastAsia="Times New Roman"/>
          <w:szCs w:val="24"/>
          <w:lang w:val="en-US" w:eastAsia="ru-RU"/>
        </w:rPr>
        <w:instrText>Milano</w:instrText>
      </w:r>
      <w:r w:rsidR="00E430FD" w:rsidRPr="00420291">
        <w:rPr>
          <w:rFonts w:eastAsia="Times New Roman"/>
          <w:szCs w:val="24"/>
          <w:lang w:eastAsia="ru-RU"/>
        </w:rPr>
        <w:instrText>","</w:instrText>
      </w:r>
      <w:r w:rsidR="00E430FD">
        <w:rPr>
          <w:rFonts w:eastAsia="Times New Roman"/>
          <w:szCs w:val="24"/>
          <w:lang w:val="en-US" w:eastAsia="ru-RU"/>
        </w:rPr>
        <w:instrText>title</w:instrText>
      </w:r>
      <w:r w:rsidR="00E430FD" w:rsidRPr="00420291">
        <w:rPr>
          <w:rFonts w:eastAsia="Times New Roman"/>
          <w:szCs w:val="24"/>
          <w:lang w:eastAsia="ru-RU"/>
        </w:rPr>
        <w:instrText>":"</w:instrText>
      </w:r>
      <w:r w:rsidR="00E430FD">
        <w:rPr>
          <w:rFonts w:eastAsia="Times New Roman"/>
          <w:szCs w:val="24"/>
          <w:lang w:val="en-US" w:eastAsia="ru-RU"/>
        </w:rPr>
        <w:instrText>Introduction</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and</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Overview</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of</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PICC</w:instrText>
      </w:r>
      <w:r w:rsidR="00E430FD" w:rsidRPr="00420291">
        <w:rPr>
          <w:rFonts w:eastAsia="Times New Roman"/>
          <w:szCs w:val="24"/>
          <w:lang w:eastAsia="ru-RU"/>
        </w:rPr>
        <w:instrText xml:space="preserve"> </w:instrText>
      </w:r>
      <w:r w:rsidR="00E430FD">
        <w:rPr>
          <w:rFonts w:eastAsia="Times New Roman"/>
          <w:szCs w:val="24"/>
          <w:lang w:val="en-US" w:eastAsia="ru-RU"/>
        </w:rPr>
        <w:instrText>History</w:instrText>
      </w:r>
      <w:r w:rsidR="00E430FD" w:rsidRPr="00420291">
        <w:rPr>
          <w:rFonts w:eastAsia="Times New Roman"/>
          <w:szCs w:val="24"/>
          <w:lang w:eastAsia="ru-RU"/>
        </w:rPr>
        <w:instrText>","</w:instrText>
      </w:r>
      <w:r w:rsidR="00E430FD">
        <w:rPr>
          <w:rFonts w:eastAsia="Times New Roman"/>
          <w:szCs w:val="24"/>
          <w:lang w:val="en-US" w:eastAsia="ru-RU"/>
        </w:rPr>
        <w:instrText>type</w:instrText>
      </w:r>
      <w:r w:rsidR="00E430FD" w:rsidRPr="00420291">
        <w:rPr>
          <w:rFonts w:eastAsia="Times New Roman"/>
          <w:szCs w:val="24"/>
          <w:lang w:eastAsia="ru-RU"/>
        </w:rPr>
        <w:instrText>":"</w:instrText>
      </w:r>
      <w:r w:rsidR="00E430FD">
        <w:rPr>
          <w:rFonts w:eastAsia="Times New Roman"/>
          <w:szCs w:val="24"/>
          <w:lang w:val="en-US" w:eastAsia="ru-RU"/>
        </w:rPr>
        <w:instrText>chapter</w:instrText>
      </w:r>
      <w:r w:rsidR="00E430FD" w:rsidRPr="00420291">
        <w:rPr>
          <w:rFonts w:eastAsia="Times New Roman"/>
          <w:szCs w:val="24"/>
          <w:lang w:eastAsia="ru-RU"/>
        </w:rPr>
        <w:instrText>"},"</w:instrText>
      </w:r>
      <w:r w:rsidR="00E430FD">
        <w:rPr>
          <w:rFonts w:eastAsia="Times New Roman"/>
          <w:szCs w:val="24"/>
          <w:lang w:val="en-US" w:eastAsia="ru-RU"/>
        </w:rPr>
        <w:instrText>uris</w:instrText>
      </w:r>
      <w:r w:rsidR="00E430FD" w:rsidRPr="00420291">
        <w:rPr>
          <w:rFonts w:eastAsia="Times New Roman"/>
          <w:szCs w:val="24"/>
          <w:lang w:eastAsia="ru-RU"/>
        </w:rPr>
        <w:instrText>":["</w:instrText>
      </w:r>
      <w:r w:rsidR="00E430FD">
        <w:rPr>
          <w:rFonts w:eastAsia="Times New Roman"/>
          <w:szCs w:val="24"/>
          <w:lang w:val="en-US" w:eastAsia="ru-RU"/>
        </w:rPr>
        <w:instrText>http</w:instrText>
      </w:r>
      <w:r w:rsidR="00E430FD" w:rsidRPr="00420291">
        <w:rPr>
          <w:rFonts w:eastAsia="Times New Roman"/>
          <w:szCs w:val="24"/>
          <w:lang w:eastAsia="ru-RU"/>
        </w:rPr>
        <w:instrText>://</w:instrText>
      </w:r>
      <w:r w:rsidR="00E430FD">
        <w:rPr>
          <w:rFonts w:eastAsia="Times New Roman"/>
          <w:szCs w:val="24"/>
          <w:lang w:val="en-US" w:eastAsia="ru-RU"/>
        </w:rPr>
        <w:instrText>www</w:instrText>
      </w:r>
      <w:r w:rsidR="00E430FD" w:rsidRPr="00420291">
        <w:rPr>
          <w:rFonts w:eastAsia="Times New Roman"/>
          <w:szCs w:val="24"/>
          <w:lang w:eastAsia="ru-RU"/>
        </w:rPr>
        <w:instrText>.</w:instrText>
      </w:r>
      <w:r w:rsidR="00E430FD">
        <w:rPr>
          <w:rFonts w:eastAsia="Times New Roman"/>
          <w:szCs w:val="24"/>
          <w:lang w:val="en-US" w:eastAsia="ru-RU"/>
        </w:rPr>
        <w:instrText>mendeley</w:instrText>
      </w:r>
      <w:r w:rsidR="00E430FD" w:rsidRPr="00420291">
        <w:rPr>
          <w:rFonts w:eastAsia="Times New Roman"/>
          <w:szCs w:val="24"/>
          <w:lang w:eastAsia="ru-RU"/>
        </w:rPr>
        <w:instrText>.</w:instrText>
      </w:r>
      <w:r w:rsidR="00E430FD">
        <w:rPr>
          <w:rFonts w:eastAsia="Times New Roman"/>
          <w:szCs w:val="24"/>
          <w:lang w:val="en-US" w:eastAsia="ru-RU"/>
        </w:rPr>
        <w:instrText>com</w:instrText>
      </w:r>
      <w:r w:rsidR="00E430FD" w:rsidRPr="00420291">
        <w:rPr>
          <w:rFonts w:eastAsia="Times New Roman"/>
          <w:szCs w:val="24"/>
          <w:lang w:eastAsia="ru-RU"/>
        </w:rPr>
        <w:instrText>/</w:instrText>
      </w:r>
      <w:r w:rsidR="00E430FD">
        <w:rPr>
          <w:rFonts w:eastAsia="Times New Roman"/>
          <w:szCs w:val="24"/>
          <w:lang w:val="en-US" w:eastAsia="ru-RU"/>
        </w:rPr>
        <w:instrText>documents</w:instrText>
      </w:r>
      <w:r w:rsidR="00E430FD" w:rsidRPr="00420291">
        <w:rPr>
          <w:rFonts w:eastAsia="Times New Roman"/>
          <w:szCs w:val="24"/>
          <w:lang w:eastAsia="ru-RU"/>
        </w:rPr>
        <w:instrText>/?</w:instrText>
      </w:r>
      <w:r w:rsidR="00E430FD">
        <w:rPr>
          <w:rFonts w:eastAsia="Times New Roman"/>
          <w:szCs w:val="24"/>
          <w:lang w:val="en-US" w:eastAsia="ru-RU"/>
        </w:rPr>
        <w:instrText>uuid</w:instrText>
      </w:r>
      <w:r w:rsidR="00E430FD" w:rsidRPr="00420291">
        <w:rPr>
          <w:rFonts w:eastAsia="Times New Roman"/>
          <w:szCs w:val="24"/>
          <w:lang w:eastAsia="ru-RU"/>
        </w:rPr>
        <w:instrText>=575</w:instrText>
      </w:r>
      <w:r w:rsidR="00E430FD">
        <w:rPr>
          <w:rFonts w:eastAsia="Times New Roman"/>
          <w:szCs w:val="24"/>
          <w:lang w:val="en-US" w:eastAsia="ru-RU"/>
        </w:rPr>
        <w:instrText>e</w:instrText>
      </w:r>
      <w:r w:rsidR="00E430FD" w:rsidRPr="00420291">
        <w:rPr>
          <w:rFonts w:eastAsia="Times New Roman"/>
          <w:szCs w:val="24"/>
          <w:lang w:eastAsia="ru-RU"/>
        </w:rPr>
        <w:instrText>509</w:instrText>
      </w:r>
      <w:r w:rsidR="00E430FD">
        <w:rPr>
          <w:rFonts w:eastAsia="Times New Roman"/>
          <w:szCs w:val="24"/>
          <w:lang w:val="en-US" w:eastAsia="ru-RU"/>
        </w:rPr>
        <w:instrText>f</w:instrText>
      </w:r>
      <w:r w:rsidR="00E430FD" w:rsidRPr="00420291">
        <w:rPr>
          <w:rFonts w:eastAsia="Times New Roman"/>
          <w:szCs w:val="24"/>
          <w:lang w:eastAsia="ru-RU"/>
        </w:rPr>
        <w:instrText>-3</w:instrText>
      </w:r>
      <w:r w:rsidR="00E430FD">
        <w:rPr>
          <w:rFonts w:eastAsia="Times New Roman"/>
          <w:szCs w:val="24"/>
          <w:lang w:val="en-US" w:eastAsia="ru-RU"/>
        </w:rPr>
        <w:instrText>cbc</w:instrText>
      </w:r>
      <w:r w:rsidR="00E430FD" w:rsidRPr="00420291">
        <w:rPr>
          <w:rFonts w:eastAsia="Times New Roman"/>
          <w:szCs w:val="24"/>
          <w:lang w:eastAsia="ru-RU"/>
        </w:rPr>
        <w:instrText>-47</w:instrText>
      </w:r>
      <w:r w:rsidR="00E430FD">
        <w:rPr>
          <w:rFonts w:eastAsia="Times New Roman"/>
          <w:szCs w:val="24"/>
          <w:lang w:val="en-US" w:eastAsia="ru-RU"/>
        </w:rPr>
        <w:instrText>da</w:instrText>
      </w:r>
      <w:r w:rsidR="00E430FD" w:rsidRPr="00420291">
        <w:rPr>
          <w:rFonts w:eastAsia="Times New Roman"/>
          <w:szCs w:val="24"/>
          <w:lang w:eastAsia="ru-RU"/>
        </w:rPr>
        <w:instrText>-</w:instrText>
      </w:r>
      <w:r w:rsidR="00E430FD">
        <w:rPr>
          <w:rFonts w:eastAsia="Times New Roman"/>
          <w:szCs w:val="24"/>
          <w:lang w:val="en-US" w:eastAsia="ru-RU"/>
        </w:rPr>
        <w:instrText>b</w:instrText>
      </w:r>
      <w:r w:rsidR="00E430FD" w:rsidRPr="00420291">
        <w:rPr>
          <w:rFonts w:eastAsia="Times New Roman"/>
          <w:szCs w:val="24"/>
          <w:lang w:eastAsia="ru-RU"/>
        </w:rPr>
        <w:instrText>3</w:instrText>
      </w:r>
      <w:r w:rsidR="00E430FD">
        <w:rPr>
          <w:rFonts w:eastAsia="Times New Roman"/>
          <w:szCs w:val="24"/>
          <w:lang w:val="en-US" w:eastAsia="ru-RU"/>
        </w:rPr>
        <w:instrText>dc</w:instrText>
      </w:r>
      <w:r w:rsidR="00E430FD" w:rsidRPr="00420291">
        <w:rPr>
          <w:rFonts w:eastAsia="Times New Roman"/>
          <w:szCs w:val="24"/>
          <w:lang w:eastAsia="ru-RU"/>
        </w:rPr>
        <w:instrText>-996</w:instrText>
      </w:r>
      <w:r w:rsidR="00E430FD">
        <w:rPr>
          <w:rFonts w:eastAsia="Times New Roman"/>
          <w:szCs w:val="24"/>
          <w:lang w:val="en-US" w:eastAsia="ru-RU"/>
        </w:rPr>
        <w:instrText>cea</w:instrText>
      </w:r>
      <w:r w:rsidR="00E430FD" w:rsidRPr="00420291">
        <w:rPr>
          <w:rFonts w:eastAsia="Times New Roman"/>
          <w:szCs w:val="24"/>
          <w:lang w:eastAsia="ru-RU"/>
        </w:rPr>
        <w:instrText>404095"]}],"</w:instrText>
      </w:r>
      <w:r w:rsidR="00E430FD">
        <w:rPr>
          <w:rFonts w:eastAsia="Times New Roman"/>
          <w:szCs w:val="24"/>
          <w:lang w:val="en-US" w:eastAsia="ru-RU"/>
        </w:rPr>
        <w:instrText>mendeley</w:instrText>
      </w:r>
      <w:r w:rsidR="00E430FD" w:rsidRPr="00420291">
        <w:rPr>
          <w:rFonts w:eastAsia="Times New Roman"/>
          <w:szCs w:val="24"/>
          <w:lang w:eastAsia="ru-RU"/>
        </w:rPr>
        <w:instrText>":{"</w:instrText>
      </w:r>
      <w:r w:rsidR="00E430FD">
        <w:rPr>
          <w:rFonts w:eastAsia="Times New Roman"/>
          <w:szCs w:val="24"/>
          <w:lang w:val="en-US" w:eastAsia="ru-RU"/>
        </w:rPr>
        <w:instrText>formattedCitation</w:instrText>
      </w:r>
      <w:r w:rsidR="00E430FD" w:rsidRPr="00420291">
        <w:rPr>
          <w:rFonts w:eastAsia="Times New Roman"/>
          <w:szCs w:val="24"/>
          <w:lang w:eastAsia="ru-RU"/>
        </w:rPr>
        <w:instrText>":"[188]","</w:instrText>
      </w:r>
      <w:r w:rsidR="00E430FD">
        <w:rPr>
          <w:rFonts w:eastAsia="Times New Roman"/>
          <w:szCs w:val="24"/>
          <w:lang w:val="en-US" w:eastAsia="ru-RU"/>
        </w:rPr>
        <w:instrText>plainTextFormattedCitation</w:instrText>
      </w:r>
      <w:r w:rsidR="00E430FD" w:rsidRPr="00420291">
        <w:rPr>
          <w:rFonts w:eastAsia="Times New Roman"/>
          <w:szCs w:val="24"/>
          <w:lang w:eastAsia="ru-RU"/>
        </w:rPr>
        <w:instrText>":"[188]","</w:instrText>
      </w:r>
      <w:r w:rsidR="00E430FD">
        <w:rPr>
          <w:rFonts w:eastAsia="Times New Roman"/>
          <w:szCs w:val="24"/>
          <w:lang w:val="en-US" w:eastAsia="ru-RU"/>
        </w:rPr>
        <w:instrText>previouslyFormattedCitation</w:instrText>
      </w:r>
      <w:r w:rsidR="00E430FD" w:rsidRPr="00420291">
        <w:rPr>
          <w:rFonts w:eastAsia="Times New Roman"/>
          <w:szCs w:val="24"/>
          <w:lang w:eastAsia="ru-RU"/>
        </w:rPr>
        <w:instrText>":"[188]"},"</w:instrText>
      </w:r>
      <w:r w:rsidR="00E430FD">
        <w:rPr>
          <w:rFonts w:eastAsia="Times New Roman"/>
          <w:szCs w:val="24"/>
          <w:lang w:val="en-US" w:eastAsia="ru-RU"/>
        </w:rPr>
        <w:instrText>properties</w:instrText>
      </w:r>
      <w:r w:rsidR="00E430FD" w:rsidRPr="00420291">
        <w:rPr>
          <w:rFonts w:eastAsia="Times New Roman"/>
          <w:szCs w:val="24"/>
          <w:lang w:eastAsia="ru-RU"/>
        </w:rPr>
        <w:instrText>":{"</w:instrText>
      </w:r>
      <w:r w:rsidR="00E430FD">
        <w:rPr>
          <w:rFonts w:eastAsia="Times New Roman"/>
          <w:szCs w:val="24"/>
          <w:lang w:val="en-US" w:eastAsia="ru-RU"/>
        </w:rPr>
        <w:instrText>noteIndex</w:instrText>
      </w:r>
      <w:r w:rsidR="00E430FD" w:rsidRPr="00420291">
        <w:rPr>
          <w:rFonts w:eastAsia="Times New Roman"/>
          <w:szCs w:val="24"/>
          <w:lang w:eastAsia="ru-RU"/>
        </w:rPr>
        <w:instrText>":0},"</w:instrText>
      </w:r>
      <w:r w:rsidR="00E430FD">
        <w:rPr>
          <w:rFonts w:eastAsia="Times New Roman"/>
          <w:szCs w:val="24"/>
          <w:lang w:val="en-US" w:eastAsia="ru-RU"/>
        </w:rPr>
        <w:instrText>schema</w:instrText>
      </w:r>
      <w:r w:rsidR="00E430FD" w:rsidRPr="00420291">
        <w:rPr>
          <w:rFonts w:eastAsia="Times New Roman"/>
          <w:szCs w:val="24"/>
          <w:lang w:eastAsia="ru-RU"/>
        </w:rPr>
        <w:instrText>":"</w:instrText>
      </w:r>
      <w:r w:rsidR="00E430FD">
        <w:rPr>
          <w:rFonts w:eastAsia="Times New Roman"/>
          <w:szCs w:val="24"/>
          <w:lang w:val="en-US" w:eastAsia="ru-RU"/>
        </w:rPr>
        <w:instrText>https</w:instrText>
      </w:r>
      <w:r w:rsidR="00E430FD" w:rsidRPr="00420291">
        <w:rPr>
          <w:rFonts w:eastAsia="Times New Roman"/>
          <w:szCs w:val="24"/>
          <w:lang w:eastAsia="ru-RU"/>
        </w:rPr>
        <w:instrText>://</w:instrText>
      </w:r>
      <w:r w:rsidR="00E430FD">
        <w:rPr>
          <w:rFonts w:eastAsia="Times New Roman"/>
          <w:szCs w:val="24"/>
          <w:lang w:val="en-US" w:eastAsia="ru-RU"/>
        </w:rPr>
        <w:instrText>github</w:instrText>
      </w:r>
      <w:r w:rsidR="00E430FD" w:rsidRPr="00420291">
        <w:rPr>
          <w:rFonts w:eastAsia="Times New Roman"/>
          <w:szCs w:val="24"/>
          <w:lang w:eastAsia="ru-RU"/>
        </w:rPr>
        <w:instrText>.</w:instrText>
      </w:r>
      <w:r w:rsidR="00E430FD">
        <w:rPr>
          <w:rFonts w:eastAsia="Times New Roman"/>
          <w:szCs w:val="24"/>
          <w:lang w:val="en-US" w:eastAsia="ru-RU"/>
        </w:rPr>
        <w:instrText>com</w:instrText>
      </w:r>
      <w:r w:rsidR="00E430FD" w:rsidRPr="00420291">
        <w:rPr>
          <w:rFonts w:eastAsia="Times New Roman"/>
          <w:szCs w:val="24"/>
          <w:lang w:eastAsia="ru-RU"/>
        </w:rPr>
        <w:instrText>/</w:instrText>
      </w:r>
      <w:r w:rsidR="00E430FD">
        <w:rPr>
          <w:rFonts w:eastAsia="Times New Roman"/>
          <w:szCs w:val="24"/>
          <w:lang w:val="en-US" w:eastAsia="ru-RU"/>
        </w:rPr>
        <w:instrText>citation</w:instrText>
      </w:r>
      <w:r w:rsidR="00E430FD" w:rsidRPr="00420291">
        <w:rPr>
          <w:rFonts w:eastAsia="Times New Roman"/>
          <w:szCs w:val="24"/>
          <w:lang w:eastAsia="ru-RU"/>
        </w:rPr>
        <w:instrText>-</w:instrText>
      </w:r>
      <w:r w:rsidR="00E430FD">
        <w:rPr>
          <w:rFonts w:eastAsia="Times New Roman"/>
          <w:szCs w:val="24"/>
          <w:lang w:val="en-US" w:eastAsia="ru-RU"/>
        </w:rPr>
        <w:instrText>style</w:instrText>
      </w:r>
      <w:r w:rsidR="00E430FD" w:rsidRPr="00420291">
        <w:rPr>
          <w:rFonts w:eastAsia="Times New Roman"/>
          <w:szCs w:val="24"/>
          <w:lang w:eastAsia="ru-RU"/>
        </w:rPr>
        <w:instrText>-</w:instrText>
      </w:r>
      <w:r w:rsidR="00E430FD">
        <w:rPr>
          <w:rFonts w:eastAsia="Times New Roman"/>
          <w:szCs w:val="24"/>
          <w:lang w:val="en-US" w:eastAsia="ru-RU"/>
        </w:rPr>
        <w:instrText>language</w:instrText>
      </w:r>
      <w:r w:rsidR="00E430FD" w:rsidRPr="00420291">
        <w:rPr>
          <w:rFonts w:eastAsia="Times New Roman"/>
          <w:szCs w:val="24"/>
          <w:lang w:eastAsia="ru-RU"/>
        </w:rPr>
        <w:instrText>/</w:instrText>
      </w:r>
      <w:r w:rsidR="00E430FD">
        <w:rPr>
          <w:rFonts w:eastAsia="Times New Roman"/>
          <w:szCs w:val="24"/>
          <w:lang w:val="en-US" w:eastAsia="ru-RU"/>
        </w:rPr>
        <w:instrText>schema</w:instrText>
      </w:r>
      <w:r w:rsidR="00E430FD" w:rsidRPr="00420291">
        <w:rPr>
          <w:rFonts w:eastAsia="Times New Roman"/>
          <w:szCs w:val="24"/>
          <w:lang w:eastAsia="ru-RU"/>
        </w:rPr>
        <w:instrText>/</w:instrText>
      </w:r>
      <w:r w:rsidR="00E430FD">
        <w:rPr>
          <w:rFonts w:eastAsia="Times New Roman"/>
          <w:szCs w:val="24"/>
          <w:lang w:val="en-US" w:eastAsia="ru-RU"/>
        </w:rPr>
        <w:instrText>raw</w:instrText>
      </w:r>
      <w:r w:rsidR="00E430FD" w:rsidRPr="00420291">
        <w:rPr>
          <w:rFonts w:eastAsia="Times New Roman"/>
          <w:szCs w:val="24"/>
          <w:lang w:eastAsia="ru-RU"/>
        </w:rPr>
        <w:instrText>/</w:instrText>
      </w:r>
      <w:r w:rsidR="00E430FD">
        <w:rPr>
          <w:rFonts w:eastAsia="Times New Roman"/>
          <w:szCs w:val="24"/>
          <w:lang w:val="en-US" w:eastAsia="ru-RU"/>
        </w:rPr>
        <w:instrText>master</w:instrText>
      </w:r>
      <w:r w:rsidR="00E430FD" w:rsidRPr="00420291">
        <w:rPr>
          <w:rFonts w:eastAsia="Times New Roman"/>
          <w:szCs w:val="24"/>
          <w:lang w:eastAsia="ru-RU"/>
        </w:rPr>
        <w:instrText>/</w:instrText>
      </w:r>
      <w:r w:rsidR="00E430FD">
        <w:rPr>
          <w:rFonts w:eastAsia="Times New Roman"/>
          <w:szCs w:val="24"/>
          <w:lang w:val="en-US" w:eastAsia="ru-RU"/>
        </w:rPr>
        <w:instrText>csl</w:instrText>
      </w:r>
      <w:r w:rsidR="00E430FD" w:rsidRPr="00420291">
        <w:rPr>
          <w:rFonts w:eastAsia="Times New Roman"/>
          <w:szCs w:val="24"/>
          <w:lang w:eastAsia="ru-RU"/>
        </w:rPr>
        <w:instrText>-</w:instrText>
      </w:r>
      <w:r w:rsidR="00E430FD">
        <w:rPr>
          <w:rFonts w:eastAsia="Times New Roman"/>
          <w:szCs w:val="24"/>
          <w:lang w:val="en-US" w:eastAsia="ru-RU"/>
        </w:rPr>
        <w:instrText>citation</w:instrText>
      </w:r>
      <w:r w:rsidR="00E430FD" w:rsidRPr="00420291">
        <w:rPr>
          <w:rFonts w:eastAsia="Times New Roman"/>
          <w:szCs w:val="24"/>
          <w:lang w:eastAsia="ru-RU"/>
        </w:rPr>
        <w:instrText>.</w:instrText>
      </w:r>
      <w:r w:rsidR="00E430FD">
        <w:rPr>
          <w:rFonts w:eastAsia="Times New Roman"/>
          <w:szCs w:val="24"/>
          <w:lang w:val="en-US" w:eastAsia="ru-RU"/>
        </w:rPr>
        <w:instrText>json</w:instrText>
      </w:r>
      <w:r w:rsidR="00E430FD" w:rsidRPr="00420291">
        <w:rPr>
          <w:rFonts w:eastAsia="Times New Roman"/>
          <w:szCs w:val="24"/>
          <w:lang w:eastAsia="ru-RU"/>
        </w:rPr>
        <w:instrText>"}</w:instrText>
      </w:r>
      <w:r w:rsidRPr="00DC556E">
        <w:rPr>
          <w:rFonts w:eastAsia="Times New Roman"/>
          <w:szCs w:val="24"/>
          <w:lang w:eastAsia="ru-RU"/>
        </w:rPr>
        <w:fldChar w:fldCharType="separate"/>
      </w:r>
      <w:r w:rsidR="00E430FD" w:rsidRPr="00E430FD">
        <w:rPr>
          <w:rFonts w:eastAsia="Times New Roman"/>
          <w:noProof/>
          <w:szCs w:val="24"/>
          <w:lang w:eastAsia="ru-RU"/>
        </w:rPr>
        <w:t>[188]</w:t>
      </w:r>
      <w:r w:rsidRPr="00DC556E">
        <w:rPr>
          <w:rFonts w:eastAsia="Times New Roman"/>
          <w:szCs w:val="24"/>
          <w:lang w:eastAsia="ru-RU"/>
        </w:rPr>
        <w:fldChar w:fldCharType="end"/>
      </w:r>
      <w:r w:rsidRPr="00DC556E">
        <w:rPr>
          <w:rFonts w:eastAsia="Times New Roman"/>
          <w:szCs w:val="24"/>
          <w:lang w:eastAsia="ru-RU"/>
        </w:rPr>
        <w:t>. ПИЦВК имеют ряд преимуществ перед обычными ЦВК. При их установке исключен риск пневмоторакса и гемоторакса, пациенты отмечают больший комфорт, иногда предпочитают по косметическим причинам. Важным преимуществом ПИЦВК является и меньшее количество инфекционных осложнений. ПИЦВК практически незаменимы при наличии выраженного геморрагического синдрома.</w:t>
      </w:r>
    </w:p>
    <w:p w14:paraId="47A3E13F" w14:textId="77777777" w:rsidR="00B37E1F" w:rsidRPr="00DC556E" w:rsidRDefault="00B37E1F" w:rsidP="002431B5">
      <w:pPr>
        <w:spacing w:before="0" w:after="0"/>
        <w:rPr>
          <w:rFonts w:eastAsia="Times New Roman"/>
          <w:i/>
          <w:szCs w:val="24"/>
          <w:lang w:eastAsia="ru-RU"/>
        </w:rPr>
      </w:pPr>
      <w:r w:rsidRPr="00DC556E">
        <w:rPr>
          <w:rFonts w:eastAsia="Times New Roman"/>
          <w:i/>
          <w:szCs w:val="24"/>
          <w:lang w:eastAsia="ru-RU"/>
        </w:rPr>
        <w:t>Диализные катетеры.</w:t>
      </w:r>
    </w:p>
    <w:p w14:paraId="75051C1A" w14:textId="77777777" w:rsidR="00B37E1F" w:rsidRPr="00DC556E" w:rsidRDefault="00B37E1F" w:rsidP="008A2329">
      <w:pPr>
        <w:spacing w:before="0" w:after="0"/>
        <w:ind w:firstLine="567"/>
        <w:rPr>
          <w:szCs w:val="24"/>
        </w:rPr>
      </w:pPr>
      <w:r w:rsidRPr="00DC556E">
        <w:rPr>
          <w:rFonts w:eastAsia="Times New Roman"/>
          <w:szCs w:val="24"/>
          <w:lang w:eastAsia="ru-RU"/>
        </w:rPr>
        <w:t xml:space="preserve">Отдельное место занимают так называемые диализные катетеры, то есть катетеры, которые используются для проведения заместительной почечной терапии, а также </w:t>
      </w:r>
      <w:r w:rsidRPr="00DC556E">
        <w:rPr>
          <w:rFonts w:eastAsia="Times New Roman"/>
          <w:szCs w:val="24"/>
          <w:lang w:eastAsia="ru-RU"/>
        </w:rPr>
        <w:lastRenderedPageBreak/>
        <w:t xml:space="preserve">процедур плазмафереза и лейкоцитафереза, сбора гемопоэтических стволовых клеток. Связано это с большим диаметром катетера, а также особенностями строения дистального конца катетера. </w:t>
      </w:r>
      <w:r w:rsidRPr="00DC556E">
        <w:rPr>
          <w:szCs w:val="24"/>
        </w:rPr>
        <w:t>Они устанавливаются на время формирования (“созревания”) фистулы или протеза у больных с хронической почечной недостаточностью, нуждающихся в программном гемодиализе или в качестве единственного сосудистого доступа при наличии тяжелой сердечной недостаточности.</w:t>
      </w:r>
    </w:p>
    <w:p w14:paraId="60141910" w14:textId="77777777" w:rsidR="00B37E1F" w:rsidRPr="00DC556E" w:rsidRDefault="00B37E1F" w:rsidP="002431B5">
      <w:pPr>
        <w:spacing w:before="0" w:after="0"/>
        <w:rPr>
          <w:b/>
          <w:bCs/>
          <w:szCs w:val="24"/>
        </w:rPr>
      </w:pPr>
      <w:r w:rsidRPr="00DC556E">
        <w:rPr>
          <w:b/>
          <w:bCs/>
          <w:szCs w:val="24"/>
        </w:rPr>
        <w:t>Осложнения</w:t>
      </w:r>
      <w:r w:rsidRPr="00DC556E">
        <w:rPr>
          <w:rFonts w:eastAsia="Times New Roman"/>
          <w:b/>
          <w:bCs/>
          <w:szCs w:val="24"/>
          <w:lang w:eastAsia="ru-RU"/>
        </w:rPr>
        <w:t xml:space="preserve"> катетеризации центральных вен</w:t>
      </w:r>
    </w:p>
    <w:p w14:paraId="7E12722B" w14:textId="77777777" w:rsidR="00B37E1F" w:rsidRPr="00DC556E" w:rsidRDefault="00B37E1F" w:rsidP="002431B5">
      <w:pPr>
        <w:spacing w:before="0" w:after="0"/>
        <w:rPr>
          <w:rFonts w:eastAsia="Times New Roman"/>
          <w:szCs w:val="24"/>
          <w:lang w:eastAsia="ru-RU"/>
        </w:rPr>
      </w:pPr>
      <w:r w:rsidRPr="00DC556E">
        <w:rPr>
          <w:rFonts w:eastAsia="Times New Roman"/>
          <w:i/>
          <w:szCs w:val="24"/>
          <w:lang w:eastAsia="ru-RU"/>
        </w:rPr>
        <w:t>К ранним осложнениям</w:t>
      </w:r>
      <w:r w:rsidRPr="00DC556E">
        <w:rPr>
          <w:rFonts w:eastAsia="Times New Roman"/>
          <w:szCs w:val="24"/>
          <w:lang w:eastAsia="ru-RU"/>
        </w:rPr>
        <w:t xml:space="preserve"> относят возникшие во время проведения манипуляции:</w:t>
      </w:r>
    </w:p>
    <w:p w14:paraId="24B2E963" w14:textId="77777777" w:rsidR="00B37E1F" w:rsidRPr="00DC556E" w:rsidRDefault="00B37E1F" w:rsidP="0024404E">
      <w:pPr>
        <w:pStyle w:val="a6"/>
        <w:numPr>
          <w:ilvl w:val="0"/>
          <w:numId w:val="61"/>
        </w:numPr>
        <w:spacing w:before="0" w:after="0"/>
        <w:ind w:left="0" w:firstLine="0"/>
        <w:rPr>
          <w:rFonts w:eastAsia="Times New Roman"/>
          <w:szCs w:val="24"/>
          <w:lang w:eastAsia="ru-RU"/>
        </w:rPr>
      </w:pPr>
      <w:r w:rsidRPr="00DC556E">
        <w:rPr>
          <w:rFonts w:eastAsia="Times New Roman"/>
          <w:szCs w:val="24"/>
          <w:lang w:eastAsia="ru-RU"/>
        </w:rPr>
        <w:t xml:space="preserve">ранение магистральных артерий, </w:t>
      </w:r>
    </w:p>
    <w:p w14:paraId="7EB047EA" w14:textId="77777777" w:rsidR="00B37E1F" w:rsidRPr="00DC556E" w:rsidRDefault="00B37E1F" w:rsidP="0024404E">
      <w:pPr>
        <w:pStyle w:val="a6"/>
        <w:numPr>
          <w:ilvl w:val="0"/>
          <w:numId w:val="61"/>
        </w:numPr>
        <w:spacing w:before="0" w:after="0"/>
        <w:ind w:left="0" w:firstLine="0"/>
        <w:rPr>
          <w:rFonts w:eastAsia="Times New Roman"/>
          <w:szCs w:val="24"/>
          <w:lang w:eastAsia="ru-RU"/>
        </w:rPr>
      </w:pPr>
      <w:r w:rsidRPr="00DC556E">
        <w:rPr>
          <w:rFonts w:eastAsia="Times New Roman"/>
          <w:szCs w:val="24"/>
          <w:lang w:eastAsia="ru-RU"/>
        </w:rPr>
        <w:t>развитие гематомы в месте пункции сосуда</w:t>
      </w:r>
    </w:p>
    <w:p w14:paraId="4BC3CAC0" w14:textId="77777777" w:rsidR="00B37E1F" w:rsidRPr="00DC556E" w:rsidRDefault="00B37E1F" w:rsidP="0024404E">
      <w:pPr>
        <w:pStyle w:val="a6"/>
        <w:numPr>
          <w:ilvl w:val="0"/>
          <w:numId w:val="61"/>
        </w:numPr>
        <w:spacing w:before="0" w:after="0"/>
        <w:ind w:left="0" w:firstLine="0"/>
        <w:rPr>
          <w:rFonts w:eastAsia="Times New Roman"/>
          <w:szCs w:val="24"/>
          <w:lang w:eastAsia="ru-RU"/>
        </w:rPr>
      </w:pPr>
      <w:r w:rsidRPr="00DC556E">
        <w:rPr>
          <w:rFonts w:eastAsia="Times New Roman"/>
          <w:szCs w:val="24"/>
          <w:lang w:eastAsia="ru-RU"/>
        </w:rPr>
        <w:t xml:space="preserve">развитие пневмоторакса, гемоторакса, </w:t>
      </w:r>
    </w:p>
    <w:p w14:paraId="3146136C" w14:textId="77777777" w:rsidR="00B37E1F" w:rsidRPr="00DC556E" w:rsidRDefault="00B37E1F" w:rsidP="0024404E">
      <w:pPr>
        <w:pStyle w:val="a6"/>
        <w:numPr>
          <w:ilvl w:val="0"/>
          <w:numId w:val="61"/>
        </w:numPr>
        <w:spacing w:before="0" w:after="0"/>
        <w:ind w:left="0" w:firstLine="0"/>
        <w:rPr>
          <w:rFonts w:eastAsia="Times New Roman"/>
          <w:szCs w:val="24"/>
          <w:lang w:eastAsia="ru-RU"/>
        </w:rPr>
      </w:pPr>
      <w:r w:rsidRPr="00DC556E">
        <w:rPr>
          <w:rFonts w:eastAsia="Times New Roman"/>
          <w:szCs w:val="24"/>
          <w:lang w:eastAsia="ru-RU"/>
        </w:rPr>
        <w:t xml:space="preserve">ранение грудного лимфатического протока, </w:t>
      </w:r>
    </w:p>
    <w:p w14:paraId="6863F0BF" w14:textId="77777777" w:rsidR="00B37E1F" w:rsidRPr="00DC556E" w:rsidRDefault="00B37E1F" w:rsidP="0024404E">
      <w:pPr>
        <w:pStyle w:val="a6"/>
        <w:numPr>
          <w:ilvl w:val="0"/>
          <w:numId w:val="61"/>
        </w:numPr>
        <w:spacing w:before="0" w:after="0"/>
        <w:ind w:left="0" w:firstLine="0"/>
        <w:rPr>
          <w:rFonts w:eastAsia="Times New Roman"/>
          <w:szCs w:val="24"/>
          <w:lang w:eastAsia="ru-RU"/>
        </w:rPr>
      </w:pPr>
      <w:r w:rsidRPr="00DC556E">
        <w:rPr>
          <w:rFonts w:eastAsia="Times New Roman"/>
          <w:szCs w:val="24"/>
          <w:lang w:eastAsia="ru-RU"/>
        </w:rPr>
        <w:t xml:space="preserve">повреждение нервных сплетений, </w:t>
      </w:r>
    </w:p>
    <w:p w14:paraId="5D17B969" w14:textId="77777777" w:rsidR="00B37E1F" w:rsidRPr="00DC556E" w:rsidRDefault="00B37E1F" w:rsidP="0024404E">
      <w:pPr>
        <w:pStyle w:val="a6"/>
        <w:numPr>
          <w:ilvl w:val="0"/>
          <w:numId w:val="61"/>
        </w:numPr>
        <w:spacing w:before="0" w:after="0"/>
        <w:ind w:left="0" w:firstLine="0"/>
        <w:rPr>
          <w:rFonts w:eastAsia="Times New Roman"/>
          <w:szCs w:val="24"/>
          <w:lang w:eastAsia="ru-RU"/>
        </w:rPr>
      </w:pPr>
      <w:r w:rsidRPr="00DC556E">
        <w:rPr>
          <w:rFonts w:eastAsia="Times New Roman"/>
          <w:szCs w:val="24"/>
          <w:lang w:eastAsia="ru-RU"/>
        </w:rPr>
        <w:t>неправильная установка катетера</w:t>
      </w:r>
    </w:p>
    <w:p w14:paraId="7230CBCE" w14:textId="77777777" w:rsidR="00B37E1F" w:rsidRPr="00DC556E" w:rsidRDefault="00B37E1F" w:rsidP="002431B5">
      <w:pPr>
        <w:spacing w:before="0" w:after="0"/>
        <w:rPr>
          <w:szCs w:val="24"/>
        </w:rPr>
      </w:pPr>
      <w:r w:rsidRPr="00DC556E">
        <w:rPr>
          <w:i/>
          <w:iCs/>
          <w:szCs w:val="24"/>
        </w:rPr>
        <w:t>Поздние осложнения,</w:t>
      </w:r>
      <w:r w:rsidRPr="00DC556E">
        <w:rPr>
          <w:szCs w:val="24"/>
        </w:rPr>
        <w:t xml:space="preserve"> возникающие </w:t>
      </w:r>
      <w:proofErr w:type="gramStart"/>
      <w:r w:rsidRPr="00DC556E">
        <w:rPr>
          <w:szCs w:val="24"/>
        </w:rPr>
        <w:t>во время</w:t>
      </w:r>
      <w:proofErr w:type="gramEnd"/>
      <w:r w:rsidRPr="00DC556E">
        <w:rPr>
          <w:szCs w:val="24"/>
        </w:rPr>
        <w:t xml:space="preserve"> или после эксплуатации катетера, бывают тромботическими, стенотическими и инфекционными.</w:t>
      </w:r>
    </w:p>
    <w:p w14:paraId="550795CC" w14:textId="77777777" w:rsidR="00B37E1F" w:rsidRPr="00DC556E" w:rsidRDefault="00B37E1F" w:rsidP="002431B5">
      <w:pPr>
        <w:spacing w:before="0" w:after="0"/>
        <w:rPr>
          <w:szCs w:val="24"/>
        </w:rPr>
      </w:pPr>
      <w:r w:rsidRPr="00DC556E">
        <w:rPr>
          <w:szCs w:val="24"/>
        </w:rPr>
        <w:t>Под катетер-ассоциированным тромбозом (</w:t>
      </w:r>
      <w:r w:rsidRPr="00DC556E">
        <w:rPr>
          <w:i/>
          <w:szCs w:val="24"/>
        </w:rPr>
        <w:t xml:space="preserve">КАТ) </w:t>
      </w:r>
      <w:r w:rsidRPr="00DC556E">
        <w:rPr>
          <w:szCs w:val="24"/>
        </w:rPr>
        <w:t xml:space="preserve">понимают сочетание клинических и инструментальных признаков тромбоза. </w:t>
      </w:r>
    </w:p>
    <w:p w14:paraId="1F0A859C" w14:textId="77777777" w:rsidR="00B37E1F" w:rsidRPr="00DC556E" w:rsidRDefault="00B37E1F" w:rsidP="0024404E">
      <w:pPr>
        <w:pStyle w:val="a6"/>
        <w:numPr>
          <w:ilvl w:val="0"/>
          <w:numId w:val="64"/>
        </w:numPr>
        <w:spacing w:before="0" w:after="0"/>
        <w:ind w:left="0" w:firstLine="0"/>
        <w:rPr>
          <w:szCs w:val="24"/>
        </w:rPr>
      </w:pPr>
      <w:r w:rsidRPr="00DC556E">
        <w:rPr>
          <w:szCs w:val="24"/>
        </w:rPr>
        <w:t xml:space="preserve">Клинические признаки: гиперемия кожи, отек подкожной клетчатки и боль, усиление подкожного сосудистого рисунка на стороне установки катетера, нарушение проходимости катетера, истечение жидкости по каналу катетера при проведении инфузии. </w:t>
      </w:r>
    </w:p>
    <w:p w14:paraId="71B4649F" w14:textId="77777777" w:rsidR="00B37E1F" w:rsidRPr="00DC556E" w:rsidRDefault="00B37E1F" w:rsidP="0024404E">
      <w:pPr>
        <w:pStyle w:val="a6"/>
        <w:numPr>
          <w:ilvl w:val="0"/>
          <w:numId w:val="64"/>
        </w:numPr>
        <w:spacing w:before="0" w:after="0"/>
        <w:ind w:left="0" w:firstLine="0"/>
        <w:rPr>
          <w:szCs w:val="24"/>
        </w:rPr>
      </w:pPr>
      <w:r w:rsidRPr="00DC556E">
        <w:rPr>
          <w:szCs w:val="24"/>
        </w:rPr>
        <w:t xml:space="preserve">Инструментальные признаки: выявление при </w:t>
      </w:r>
      <w:r w:rsidRPr="00DC556E">
        <w:rPr>
          <w:i/>
          <w:szCs w:val="24"/>
        </w:rPr>
        <w:t>УЗИ</w:t>
      </w:r>
      <w:r w:rsidRPr="00DC556E">
        <w:rPr>
          <w:szCs w:val="24"/>
        </w:rPr>
        <w:t xml:space="preserve"> гиперэхогенного образования в месте установки катетера, полностью или частично перекрывающего просвет сосуда, препятствующее смыканию стенок вен при компрессии датчиком, полное или частичное отсутствие кровотока при УЗИ в допплеровском режиме, появление турбулентного тока крови; дефекты контрастирования сосудов при </w:t>
      </w:r>
      <w:r w:rsidRPr="00DC556E">
        <w:rPr>
          <w:i/>
          <w:szCs w:val="24"/>
        </w:rPr>
        <w:t>КТ-ангиографии или прямой ангиографии</w:t>
      </w:r>
      <w:r w:rsidRPr="00DC556E">
        <w:rPr>
          <w:szCs w:val="24"/>
        </w:rPr>
        <w:t>.</w:t>
      </w:r>
    </w:p>
    <w:p w14:paraId="30851562" w14:textId="77777777" w:rsidR="00B37E1F" w:rsidRPr="00DC556E" w:rsidRDefault="00B37E1F" w:rsidP="002431B5">
      <w:pPr>
        <w:pStyle w:val="a4"/>
        <w:spacing w:before="0" w:beforeAutospacing="0" w:after="0" w:afterAutospacing="0"/>
      </w:pPr>
      <w:r w:rsidRPr="00DC556E">
        <w:t xml:space="preserve">Тромботические осложнения, ассоциированные с ЦВК, можно разделить на три вида: </w:t>
      </w:r>
    </w:p>
    <w:p w14:paraId="7C92208C" w14:textId="77777777" w:rsidR="00B37E1F" w:rsidRPr="00DC556E" w:rsidRDefault="00B37E1F" w:rsidP="0024404E">
      <w:pPr>
        <w:pStyle w:val="a4"/>
        <w:numPr>
          <w:ilvl w:val="0"/>
          <w:numId w:val="62"/>
        </w:numPr>
        <w:spacing w:before="0" w:beforeAutospacing="0" w:after="0" w:afterAutospacing="0" w:line="360" w:lineRule="auto"/>
        <w:ind w:left="0" w:firstLine="0"/>
        <w:jc w:val="both"/>
      </w:pPr>
      <w:r w:rsidRPr="00DC556E">
        <w:t xml:space="preserve">«фибриновый чехол», </w:t>
      </w:r>
    </w:p>
    <w:p w14:paraId="0CF793CC" w14:textId="504F87DC" w:rsidR="00B37E1F" w:rsidRPr="00DC556E" w:rsidRDefault="00B37E1F" w:rsidP="0024404E">
      <w:pPr>
        <w:pStyle w:val="a4"/>
        <w:numPr>
          <w:ilvl w:val="0"/>
          <w:numId w:val="62"/>
        </w:numPr>
        <w:spacing w:before="0" w:beforeAutospacing="0" w:after="0" w:afterAutospacing="0" w:line="360" w:lineRule="auto"/>
        <w:ind w:left="0" w:firstLine="0"/>
        <w:jc w:val="both"/>
      </w:pPr>
      <w:r w:rsidRPr="00DC556E">
        <w:t>обструкция катетера</w:t>
      </w:r>
      <w:r w:rsidR="00F76D31">
        <w:rPr>
          <w:lang w:val="en-US"/>
        </w:rPr>
        <w:t>,</w:t>
      </w:r>
    </w:p>
    <w:p w14:paraId="10EDB308" w14:textId="77777777" w:rsidR="00B37E1F" w:rsidRPr="00DC556E" w:rsidRDefault="00B37E1F" w:rsidP="0024404E">
      <w:pPr>
        <w:pStyle w:val="a4"/>
        <w:numPr>
          <w:ilvl w:val="0"/>
          <w:numId w:val="62"/>
        </w:numPr>
        <w:spacing w:before="0" w:beforeAutospacing="0" w:after="0" w:afterAutospacing="0" w:line="360" w:lineRule="auto"/>
        <w:ind w:left="0" w:firstLine="0"/>
        <w:jc w:val="both"/>
      </w:pPr>
      <w:r w:rsidRPr="00DC556E">
        <w:t>пристеночный или обтурирующий внутрисосудистый тромбоз.</w:t>
      </w:r>
    </w:p>
    <w:p w14:paraId="09F9FD0C" w14:textId="4F890206" w:rsidR="00B37E1F" w:rsidRPr="00DC556E" w:rsidRDefault="00B37E1F" w:rsidP="008A2329">
      <w:pPr>
        <w:pStyle w:val="a4"/>
        <w:spacing w:before="0" w:beforeAutospacing="0" w:after="0" w:afterAutospacing="0" w:line="360" w:lineRule="auto"/>
        <w:ind w:firstLine="567"/>
        <w:jc w:val="both"/>
      </w:pPr>
      <w:r w:rsidRPr="00DC556E">
        <w:t xml:space="preserve">Бессимптомные КАТ более распространены, но их клиническое значение не ясно. Частота выявления КАТ колеблется, по разным данным, от 5% до 12-14% </w:t>
      </w:r>
      <w:r w:rsidRPr="00DC556E">
        <w:fldChar w:fldCharType="begin" w:fldLock="1"/>
      </w:r>
      <w:r w:rsidR="00E430FD">
        <w:instrText>ADDIN CSL_CITATION {"citationItems":[{"id":"ITEM-1","itemData":{"ISSN":"1540-1405","PMID":"17020667","abstract":"Symptomatic thromboembolic complications of central venous catheters (CVCs) occur in 5% or less of general oncology patients. Asymptomatic CVC-related thrombi are more common, but their clinical significance is unclear. Thrombotic risk may be increased by primary thrombophilic disorders, especially the factor V G1691A (Leiden) mutation, thrombogenic catheter material, larger catheter diameter and greater number of lumens, catheter tip malposition, left-sided placement, percutaneous or multiple insertion attempts, a previous CVC or preexisting venous obstruction, prothrombotic therapeutic agents, catheter-associated infections, and fibrinous catheter lumen occlusion. Three recent randomized, prospective, placebo-controlled trials observed no benefit of routine low-dose warfarin or low-molecular-weight heparin in preventing catheter-associated thrombosis. Nevertheless, thromboprophylaxis may be appropriate and safe for selected high-risk patients. Duplex ultrasound can accurately detect CVC-related thrombi involving the jugular, axillary, distal subclavian, and arm veins. Contrast venographic imaging is required for indeterminate duplex findings and to evaluate the deep central veins and pulmonary arteries. Therapeutic anticoagulation, with or without catheter removal, is indicated for patients with acute deep vein thrombosis (DVT) or pulmonary embolism who have no contraindications. Catheter removal alone, with close follow-up, may be sufficient when bleeding risk precludes safe anticoagulation. Approaches to managing catheter-associated thrombosis, including the use of thrombolytic agents, are guided by limited published experience and extrapolation from practices used for lower-extremity DVT. Prospective, randomized, controlled trials are needed to identify the safest and most effective anticoagulant agents, treatment durations, and alternative venous access strategies for cancer patients who develop catheter-associated thrombosis.","author":[{"dropping-particle":"","family":"Linenberger","given":"Michael L","non-dropping-particle":"","parse-names":false,"suffix":""}],"container-title":"Journal of the National Comprehensive Cancer Network : JNCCN","id":"ITEM-1","issue":"9","issued":{"date-parts":[["2006","10"]]},"page":"889-901","title":"Catheter-related thrombosis: risks, diagnosis, and management.","type":"article-journal","volume":"4"},"uris":["http://www.mendeley.com/documents/?uuid=fd996227-febf-46f9-8b4a-37c976acd280"]},{"id":"ITEM-2","itemData":{"DOI":"10.1111/j.1538-7836.2012.04817.x","abstract":"Central venous catheters are extensively used in patients with cancer to secure delivery of chemotherapy and facilitate phlebotomy. Unfortunately, considerable morbidity can result from early complications or late sequelae, ranging from arterial puncture, pneumothorax and bloodstream infections to catheter-related thrombosis (CRT). Contempo-rary studies have shown that the incidence of symptomatic CRT is 5%, whereas the incidence of asymptomatic CRT is higher, at 14–18%. The significance and mechanisms of catheter design, material, insertion location and technique, position of the catheter tip and other risk factors in contributing to the development of CRT are not well understood. Efforts to reduce thrombotic complications, involving flushing the catheter with heparinized solutions, the use of heparin-bonded catheters, and systemic anticoag-ulant prophylaxis, have been largely ineffective. More studies are needed to understand the pathophysiology of thrombotic complications, to help identify effective interventions to reduce this adverse outcome.","author":[{"dropping-particle":"","family":"Lee","given":"A.Y.Y.","non-dropping-particle":"","parse-names":false,"suffix":""},{"dropping-particle":"","family":"Kamphuisen","given":"P.W.","non-dropping-particle":"","parse-names":false,"suffix":""}],"container-title":"Journal of Thrombosis and Haemostasis","id":"ITEM-2","issue":"10","issued":{"date-parts":[["2012"]]},"page":"1491-1499","title":"Epidemiology and prevention of catheter-related thrombosis in patients with cancer","type":"article-journal"},"uris":["http://www.mendeley.com/documents/?uuid=2f9bf3d1-5851-4e76-89ac-5c3d038d67a9"]}],"mendeley":{"formattedCitation":"[189,190]","plainTextFormattedCitation":"[189,190]","previouslyFormattedCitation":"[189,190]"},"properties":{"noteIndex":0},"schema":"https://github.com/citation-style-language/schema/raw/master/csl-citation.json"}</w:instrText>
      </w:r>
      <w:r w:rsidRPr="00DC556E">
        <w:fldChar w:fldCharType="separate"/>
      </w:r>
      <w:r w:rsidR="00E430FD" w:rsidRPr="00E430FD">
        <w:rPr>
          <w:noProof/>
        </w:rPr>
        <w:t>[189,190]</w:t>
      </w:r>
      <w:r w:rsidRPr="00DC556E">
        <w:fldChar w:fldCharType="end"/>
      </w:r>
      <w:r w:rsidRPr="00DC556E">
        <w:t xml:space="preserve">. Факторы, предрасполагающие к развитию КАТ, разделяют на три группы: </w:t>
      </w:r>
    </w:p>
    <w:p w14:paraId="566D5F3E" w14:textId="77777777" w:rsidR="00B37E1F" w:rsidRPr="00DC556E" w:rsidRDefault="00B37E1F" w:rsidP="0024404E">
      <w:pPr>
        <w:pStyle w:val="a4"/>
        <w:numPr>
          <w:ilvl w:val="1"/>
          <w:numId w:val="62"/>
        </w:numPr>
        <w:spacing w:before="0" w:beforeAutospacing="0" w:after="0" w:afterAutospacing="0" w:line="360" w:lineRule="auto"/>
        <w:ind w:left="0" w:firstLine="0"/>
        <w:jc w:val="both"/>
      </w:pPr>
      <w:r w:rsidRPr="00DC556E">
        <w:lastRenderedPageBreak/>
        <w:t xml:space="preserve">связанные с пациентом (пол, возраст, наличие опухолевого заболевания, тромбофилии); </w:t>
      </w:r>
    </w:p>
    <w:p w14:paraId="3CEBBBF8" w14:textId="77777777" w:rsidR="00B37E1F" w:rsidRPr="00DC556E" w:rsidRDefault="00B37E1F" w:rsidP="0024404E">
      <w:pPr>
        <w:pStyle w:val="a4"/>
        <w:numPr>
          <w:ilvl w:val="1"/>
          <w:numId w:val="62"/>
        </w:numPr>
        <w:spacing w:before="0" w:beforeAutospacing="0" w:after="0" w:afterAutospacing="0" w:line="360" w:lineRule="auto"/>
        <w:ind w:left="0" w:firstLine="0"/>
        <w:jc w:val="both"/>
      </w:pPr>
      <w:r w:rsidRPr="00DC556E">
        <w:t xml:space="preserve">связанные с катетером (большой диаметр, материал катетера, т.е. «жесткий» катетер); </w:t>
      </w:r>
    </w:p>
    <w:p w14:paraId="3A96E8E5" w14:textId="77777777" w:rsidR="00B37E1F" w:rsidRPr="00DC556E" w:rsidRDefault="00B37E1F" w:rsidP="0024404E">
      <w:pPr>
        <w:pStyle w:val="a4"/>
        <w:numPr>
          <w:ilvl w:val="1"/>
          <w:numId w:val="62"/>
        </w:numPr>
        <w:spacing w:before="0" w:beforeAutospacing="0" w:after="0" w:afterAutospacing="0" w:line="360" w:lineRule="auto"/>
        <w:ind w:left="0" w:firstLine="0"/>
        <w:jc w:val="both"/>
      </w:pPr>
      <w:r w:rsidRPr="00DC556E">
        <w:t xml:space="preserve">связанные с лечением (химиотерапия, парентеральное питание и введение других раздражающих веществ). </w:t>
      </w:r>
    </w:p>
    <w:p w14:paraId="4A715DD3" w14:textId="77777777" w:rsidR="00B37E1F" w:rsidRPr="00DC556E" w:rsidRDefault="00B37E1F" w:rsidP="008A2329">
      <w:pPr>
        <w:spacing w:before="0" w:after="0"/>
        <w:ind w:firstLine="567"/>
        <w:rPr>
          <w:strike/>
          <w:szCs w:val="24"/>
        </w:rPr>
      </w:pPr>
      <w:r w:rsidRPr="00DC556E">
        <w:rPr>
          <w:szCs w:val="24"/>
        </w:rPr>
        <w:t>Наличие опухолевого заболевания увеличивает риск тромбоза.</w:t>
      </w:r>
    </w:p>
    <w:p w14:paraId="7A29502D" w14:textId="25E74A29" w:rsidR="00B37E1F" w:rsidRPr="00DC556E" w:rsidRDefault="00B37E1F" w:rsidP="008A2329">
      <w:pPr>
        <w:spacing w:before="0" w:after="0"/>
        <w:ind w:firstLine="567"/>
        <w:rPr>
          <w:szCs w:val="24"/>
        </w:rPr>
      </w:pPr>
      <w:r w:rsidRPr="00DC556E">
        <w:rPr>
          <w:szCs w:val="24"/>
        </w:rPr>
        <w:t xml:space="preserve">Важную роль в формировании КАТ имеет соотношение диаметра катетера к диаметру вены, которое не должно превышать 1/3, иначе происходит дополнительная травма эндотелия </w:t>
      </w:r>
      <w:r w:rsidRPr="00DC556E">
        <w:rPr>
          <w:szCs w:val="24"/>
        </w:rPr>
        <w:fldChar w:fldCharType="begin" w:fldLock="1"/>
      </w:r>
      <w:r w:rsidR="00E430FD">
        <w:rPr>
          <w:szCs w:val="24"/>
        </w:rPr>
        <w:instrText>ADDIN CSL_CITATION {"citationItems":[{"id":"ITEM-1","itemData":{"author":[{"dropping-particle":"","family":"Цепенщинков","given":"Л.В","non-dropping-particle":"","parse-names":false,"suffix":""},{"dropping-particle":"","family":"Лядов","given":"В.К.","non-dropping-particle":"","parse-names":false,"suffix":""}],"container-title":"Клиническая онкогематология","id":"ITEM-1","issue":"2","issued":{"date-parts":[["2014"]]},"page":"220-228","title":"Периферически имплантируемый центральный венозный катетер: обзор литераутры.","type":"article-journal","volume":"7"},"uris":["http://www.mendeley.com/documents/?uuid=6bf891a9-cc26-48dd-8e38-76815056737b"]}],"mendeley":{"formattedCitation":"[191]","plainTextFormattedCitation":"[191]","previouslyFormattedCitation":"[191]"},"properties":{"noteIndex":0},"schema":"https://github.com/citation-style-language/schema/raw/master/csl-citation.json"}</w:instrText>
      </w:r>
      <w:r w:rsidRPr="00DC556E">
        <w:rPr>
          <w:szCs w:val="24"/>
        </w:rPr>
        <w:fldChar w:fldCharType="separate"/>
      </w:r>
      <w:r w:rsidR="00E430FD" w:rsidRPr="00E430FD">
        <w:rPr>
          <w:noProof/>
          <w:szCs w:val="24"/>
        </w:rPr>
        <w:t>[191]</w:t>
      </w:r>
      <w:r w:rsidRPr="00DC556E">
        <w:rPr>
          <w:szCs w:val="24"/>
        </w:rPr>
        <w:fldChar w:fldCharType="end"/>
      </w:r>
      <w:r w:rsidRPr="00DC556E">
        <w:rPr>
          <w:szCs w:val="24"/>
        </w:rPr>
        <w:t xml:space="preserve">. При сравнении силиконовых и полиуретановых катетеров, установленных в вены плеча, значимой разницы в частоте развития КАТ не выявили, но отмечен факт повреждения эндотелия, способствующего развитию тромбоза </w:t>
      </w:r>
      <w:r w:rsidRPr="00DC556E">
        <w:rPr>
          <w:szCs w:val="24"/>
        </w:rPr>
        <w:fldChar w:fldCharType="begin" w:fldLock="1"/>
      </w:r>
      <w:r w:rsidR="00E430FD">
        <w:rPr>
          <w:szCs w:val="24"/>
        </w:rPr>
        <w:instrText>ADDIN CSL_CITATION {"citationItems":[{"id":"ITEM-1","itemData":{"DOI":"10.1177/0148607184008004399","ISSN":"0148-6071","PMID":"6431130","abstract":"In order to compare two types of long, soft central venous catheters with the same stiffness, 39 silicone elastomer (SE) and 36 polyurethane (PU) catheters were inserted in 75 patients via basilic or cephalic veins punctured at the cubital fossa. Mean duration of catheterization was 10.5 days. Scanning electron microscopy revealed that the SE catheters to have a more uniform, but somewhat rougher surface topography than the PU catheters. The platelet adhesion in vitro to the SE catheters was four times higher than to the PU catheters. The incidence of clinical thrombophlebitis in the arm veins was 36% with the SE catheters, and 5.5% with the PU catheters (p less than 0.01). No significant differences were found between the SE and PU catheters regarding the number and size of radiologic thrombi in the peripheral and central veins, catheter occlusion rate, and platelet adhesion to the inner side of the catheter tip at withdrawal. Platelet adhesion in vivo correlated with the duration of catheterization in both groups of catheters. Mechanical trauma to the vein endothelium seems to be of vital importance in thrombus formation, but not in the induction of clinical thrombophlebitis.","author":[{"dropping-particle":"","family":"Linder","given":"L E","non-dropping-particle":"","parse-names":false,"suffix":""},{"dropping-particle":"","family":"Curelaru","given":"I","non-dropping-particle":"","parse-names":false,"suffix":""},{"dropping-particle":"","family":"Gustavsson","given":"B","non-dropping-particle":"","parse-names":false,"suffix":""},{"dropping-particle":"","family":"Hansson","given":"H A","non-dropping-particle":"","parse-names":false,"suffix":""},{"dropping-particle":"","family":"Stenqvist","given":"O","non-dropping-particle":"","parse-names":false,"suffix":""},{"dropping-particle":"","family":"Wojciechowski","given":"J","non-dropping-particle":"","parse-names":false,"suffix":""}],"container-title":"JPEN. Journal of parenteral and enteral nutrition","id":"ITEM-1","issue":"4","issued":{"date-parts":[["1984"]]},"page":"399-406","title":"Material thrombogenicity in central venous catheterization: a comparison between soft, antebrachial catheters of silicone elastomer and polyurethane.","type":"article-journal","volume":"8"},"uris":["http://www.mendeley.com/documents/?uuid=52fd94cb-1dbb-4a1b-a63a-91cf9a99438a"]}],"mendeley":{"formattedCitation":"[192]","plainTextFormattedCitation":"[192]","previouslyFormattedCitation":"[192]"},"properties":{"noteIndex":0},"schema":"https://github.com/citation-style-language/schema/raw/master/csl-citation.json"}</w:instrText>
      </w:r>
      <w:r w:rsidRPr="00DC556E">
        <w:rPr>
          <w:szCs w:val="24"/>
        </w:rPr>
        <w:fldChar w:fldCharType="separate"/>
      </w:r>
      <w:r w:rsidR="00E430FD" w:rsidRPr="00E430FD">
        <w:rPr>
          <w:noProof/>
          <w:szCs w:val="24"/>
        </w:rPr>
        <w:t>[192]</w:t>
      </w:r>
      <w:r w:rsidRPr="00DC556E">
        <w:rPr>
          <w:szCs w:val="24"/>
        </w:rPr>
        <w:fldChar w:fldCharType="end"/>
      </w:r>
      <w:r w:rsidRPr="00DC556E">
        <w:rPr>
          <w:szCs w:val="24"/>
        </w:rPr>
        <w:t xml:space="preserve">. Также в патогенезе развития КАТ значимы такие факторы, как травматичность установки </w:t>
      </w:r>
      <w:r w:rsidRPr="00F76D31">
        <w:rPr>
          <w:szCs w:val="24"/>
        </w:rPr>
        <w:t>катетера</w:t>
      </w:r>
      <w:r w:rsidRPr="00DC556E">
        <w:rPr>
          <w:szCs w:val="24"/>
        </w:rPr>
        <w:t xml:space="preserve">, неправильное расположение дистального конца катетера, левостороннее размещение катетера, множественные попытки пункции вены, наличие предшествующих катетеризаций и их количество, а также эпизоды КАИК в анамнезе. Установка ЦВК сопровождается локальным повреждением стенки вены и эндотелия и образованием тромба, с дальнейшим формированием «фибринового» чехла. </w:t>
      </w:r>
      <w:r w:rsidRPr="00DC556E">
        <w:rPr>
          <w:rFonts w:eastAsia="Times New Roman"/>
          <w:szCs w:val="24"/>
          <w:lang w:eastAsia="ru-RU"/>
        </w:rPr>
        <w:t xml:space="preserve">Одним из факторов развития венозных тромбозов является наличие венозных клапанов, создающих турбулентный поток. </w:t>
      </w:r>
      <w:r w:rsidRPr="00DC556E">
        <w:rPr>
          <w:rFonts w:eastAsia="Arial Unicode MS"/>
          <w:szCs w:val="24"/>
        </w:rPr>
        <w:t>Фактором, способствующим возникновению КАТ, является позиционирование ЦВК, поскольку миграция катетера, окклюзия дистального конца катетера венозной стенкой, травма венозной стенки дистальным концом катетера, присасывание к стенке конца катетера во время аспирации образцов крови, введение раздражающих растворов способствуют травме венозной стенк</w:t>
      </w:r>
      <w:r>
        <w:rPr>
          <w:rFonts w:eastAsia="Arial Unicode MS"/>
          <w:szCs w:val="24"/>
        </w:rPr>
        <w:t>и</w:t>
      </w:r>
      <w:r w:rsidRPr="00DC556E">
        <w:rPr>
          <w:rFonts w:eastAsia="Arial Unicode MS"/>
          <w:szCs w:val="24"/>
        </w:rPr>
        <w:t xml:space="preserve"> </w:t>
      </w:r>
      <w:r w:rsidRPr="00DC556E">
        <w:rPr>
          <w:rFonts w:eastAsia="Arial Unicode MS"/>
          <w:szCs w:val="24"/>
        </w:rPr>
        <w:fldChar w:fldCharType="begin" w:fldLock="1"/>
      </w:r>
      <w:r w:rsidR="00E430FD">
        <w:rPr>
          <w:rFonts w:eastAsia="Arial Unicode MS"/>
          <w:szCs w:val="24"/>
        </w:rPr>
        <w:instrText>ADDIN CSL_CITATION {"citationItems":[{"id":"ITEM-1","itemData":{"abstract":"Objective This study evaluated the accuracy of placing right atrial catheters using an electrocardiographic (ECG) technique. Summary Background Data Placement of right atrial catheters for vascular access is a common operative procedure. Accurate placement is essential for proper function. Previous placement techniques have used fluoroscopy, which is both time consuming and hazardous. Methods The accuracy of placement of 1236 right atrial catheters using an ECG technique was compared to placement of 586 catheters using fluoroscopy between March 1991 and November 1995. In the ECG technique, the catheter was flushed with sodium bicarbonate. A sterile left-leg ECG lead was attached to the catheter with the other ECG leads applied normally. On advancing the catheter through the superior vena cava, the P-wave amplitude (lead 11) increased in negative deflection until greater than the QRS complex. Passing the sinoatrial node, the P-wave developed an initial positive then negative deflection. The catheter was positioned so the P-wave was biphasic, representing a position midway between the sinoatrial and atrioventricular nodes. For the fluoroscopic technique, catheters were positioned under direct observation just within the atrium estimated from cardiac contour. Use of contrast was optional if atrial anatomy was unclear. Results Postoperative portable chest x-rays showed the ECG method to position the catheter tip within the right atrium just as accurately (average, 1.9 ± 1.3 cm) as with the use of fluoroscopy (average, 1.1 ± 1.6 cm). The ECG method eliminated an average of 20 seconds of radiation exposure, an average of 3.0 minutes operating room time (p &lt; 0.04), avoided all risks of contrast dye, and saved $279.10 per case.","author":[{"dropping-particle":"","family":"Watters","given":"Virginia A","non-dropping-particle":"","parse-names":false,"suffix":""},{"dropping-particle":"","family":"Grant","given":"John P","non-dropping-particle":"","parse-names":false,"suffix":""}],"container-title":"ANNALS OF SURGERY","id":"ITEM-1","issue":"2","issued":{"date-parts":[["0"]]},"page":"165-171","title":"Use of Electrocardiogram to Position Right Atrial Catheters During Surgery","type":"article-journal","volume":"225"},"uris":["http://www.mendeley.com/documents/?uuid=216df258-45c1-414a-b26e-b5eb61d53634"]}],"mendeley":{"formattedCitation":"[193]","plainTextFormattedCitation":"[193]","previouslyFormattedCitation":"[193]"},"properties":{"noteIndex":0},"schema":"https://github.com/citation-style-language/schema/raw/master/csl-citation.json"}</w:instrText>
      </w:r>
      <w:r w:rsidRPr="00DC556E">
        <w:rPr>
          <w:rFonts w:eastAsia="Arial Unicode MS"/>
          <w:szCs w:val="24"/>
        </w:rPr>
        <w:fldChar w:fldCharType="separate"/>
      </w:r>
      <w:r w:rsidR="00E430FD" w:rsidRPr="00E430FD">
        <w:rPr>
          <w:rFonts w:eastAsia="Arial Unicode MS"/>
          <w:noProof/>
          <w:szCs w:val="24"/>
        </w:rPr>
        <w:t>[193]</w:t>
      </w:r>
      <w:r w:rsidRPr="00DC556E">
        <w:rPr>
          <w:rFonts w:eastAsia="Arial Unicode MS"/>
          <w:szCs w:val="24"/>
        </w:rPr>
        <w:fldChar w:fldCharType="end"/>
      </w:r>
      <w:r w:rsidRPr="00DC556E">
        <w:rPr>
          <w:rFonts w:eastAsia="Arial Unicode MS"/>
          <w:szCs w:val="24"/>
        </w:rPr>
        <w:t xml:space="preserve">. </w:t>
      </w:r>
      <w:r w:rsidRPr="00DC556E">
        <w:rPr>
          <w:szCs w:val="24"/>
        </w:rPr>
        <w:t xml:space="preserve">ЦВК находятся в непосредственном контакте с внутренней стенкой вен, в результате постоянного движения катетеров, связанного с дыханием, сокращениями сердца, поворотами головы, происходит еще большее повреждение эндотелия. Травма эндотелия усугубляется, если траектория катетера в вене характеризуется одним или несколькими изгибами </w:t>
      </w:r>
      <w:r w:rsidRPr="00DC556E">
        <w:rPr>
          <w:szCs w:val="24"/>
        </w:rPr>
        <w:fldChar w:fldCharType="begin" w:fldLock="1"/>
      </w:r>
      <w:r w:rsidR="00E430FD">
        <w:rPr>
          <w:szCs w:val="24"/>
        </w:rPr>
        <w:instrText>ADDIN CSL_CITATION {"citationItems":[{"id":"ITEM-1","itemData":{"DOI":"10.1093/ndt/gfh216","ISSN":"0931-0509","author":[{"dropping-particle":"","family":"Taal","given":"M. W.","non-dropping-particle":"","parse-names":false,"suffix":""},{"dropping-particle":"","family":"Chesterton","given":"L. J.","non-dropping-particle":"","parse-names":false,"suffix":""},{"dropping-particle":"","family":"McIntyre","given":"C. W.","non-dropping-particle":"","parse-names":false,"suffix":""}],"container-title":"Nephrology Dialysis Transplantation","id":"ITEM-1","issue":"6","issued":{"date-parts":[["2004","6"]]},"page":"1542-1545","publisher":"Oxford University Press","title":"Venography at insertion of tunnelled internal jugular vein dialysis catheters reveals significant occult stenosis","type":"article-journal","volume":"19"},"uris":["http://www.mendeley.com/documents/?uuid=f32593e8-087e-487f-af57-700299c86f69"]}],"mendeley":{"formattedCitation":"[194]","plainTextFormattedCitation":"[194]","previouslyFormattedCitation":"[194]"},"properties":{"noteIndex":0},"schema":"https://github.com/citation-style-language/schema/raw/master/csl-citation.json"}</w:instrText>
      </w:r>
      <w:r w:rsidRPr="00DC556E">
        <w:rPr>
          <w:szCs w:val="24"/>
        </w:rPr>
        <w:fldChar w:fldCharType="separate"/>
      </w:r>
      <w:r w:rsidR="00E430FD" w:rsidRPr="00E430FD">
        <w:rPr>
          <w:noProof/>
          <w:szCs w:val="24"/>
        </w:rPr>
        <w:t>[194]</w:t>
      </w:r>
      <w:r w:rsidRPr="00DC556E">
        <w:rPr>
          <w:szCs w:val="24"/>
        </w:rPr>
        <w:fldChar w:fldCharType="end"/>
      </w:r>
      <w:r w:rsidRPr="00DC556E">
        <w:rPr>
          <w:szCs w:val="24"/>
        </w:rPr>
        <w:t xml:space="preserve">. В дополнение к травме происходит воспаление интимы как ответ на повреждение, которое приводит к гиперплазии интимы или развитию тромбоза. Пункция левой внутренней яремной вены по сравнению с пункцией правой яремной вены более сложная, так как у 34% пациентов внутренняя яремной вены слева меньше чем правая </w:t>
      </w:r>
      <w:r w:rsidRPr="00DC556E">
        <w:rPr>
          <w:szCs w:val="24"/>
        </w:rPr>
        <w:fldChar w:fldCharType="begin" w:fldLock="1"/>
      </w:r>
      <w:r w:rsidR="00E430FD">
        <w:rPr>
          <w:szCs w:val="24"/>
        </w:rPr>
        <w:instrText>ADDIN CSL_CITATION {"citationItems":[{"id":"ITEM-1","itemData":{"ISSN":"1053-0770","PMID":"10230944","abstract":"OBJECTIVE To compare the cross-sectional area (CSA) of the right internal jugular vein (RIJV) with the left internal jugular vein (LIJV) using two-dimensional ultrasound and to measure the response to the Valsalva maneuver in both the supine and Trendelenburg positions. DESIGN Prospective and randomized. SETTING University-affiliated hospital. PARTICIPANTS Fifty healthy adult volunteers. INTERVENTIONS The CSA of both the RIJV and LIJV was measured with a 5-MHz, two-dimensional surface transducer before and during a 10-second Valsalva maneuver with the subjects in the supine position, and then with the subjects in a 10 degree Trendelenburg tilt. MEASUREMENTS AND MAIN RESULTS After the baseline measurements were performed, the subjects were divided into two groups based on the CSA of the RIJV and LIJV. Group 1 had an LIJV CSA equal to or greater than that of the RIJV (n = 10) and group 2 had an LIJV CSA less than that of the RIJV (n = 40). Of the latter 40 patients, 17 (34%) had an LIJV CSA less than 50% of that of the RIJV. In both groups, the CSA of both veins increased significantly with the Valsalva maneuver, Trendelenburg tilt, and both maneuvers combined. CONCLUSION The findings suggest that in one third of adults (34%), the LIJV is significantly smaller compared with the RIJV and, combined with operator inexperience, may influence the success rate and risk for complications. Thus, the use of ultrasound and maneuvers that increase CSA is suggested during LIJV cannulation.","author":[{"dropping-particle":"","family":"Lobato","given":"E B","non-dropping-particle":"","parse-names":false,"suffix":""},{"dropping-particle":"","family":"Sulek","given":"C A","non-dropping-particle":"","parse-names":false,"suffix":""},{"dropping-particle":"","family":"Moody","given":"R L","non-dropping-particle":"","parse-names":false,"suffix":""},{"dropping-particle":"","family":"Morey","given":"T E","non-dropping-particle":"","parse-names":false,"suffix":""}],"container-title":"Journal of cardiothoracic and vascular anesthesia","id":"ITEM-1","issue":"2","issued":{"date-parts":[["1999","4"]]},"page":"136-8","title":"Cross-sectional area of the right and left internal jugular veins.","type":"article-journal","volume":"13"},"uris":["http://www.mendeley.com/documents/?uuid=3c8cfbcb-4e79-4dbf-88c6-7197a21370b9"]}],"mendeley":{"formattedCitation":"[195]","plainTextFormattedCitation":"[195]","previouslyFormattedCitation":"[195]"},"properties":{"noteIndex":0},"schema":"https://github.com/citation-style-language/schema/raw/master/csl-citation.json"}</w:instrText>
      </w:r>
      <w:r w:rsidRPr="00DC556E">
        <w:rPr>
          <w:szCs w:val="24"/>
        </w:rPr>
        <w:fldChar w:fldCharType="separate"/>
      </w:r>
      <w:r w:rsidR="00E430FD" w:rsidRPr="00E430FD">
        <w:rPr>
          <w:noProof/>
          <w:szCs w:val="24"/>
        </w:rPr>
        <w:t>[195]</w:t>
      </w:r>
      <w:r w:rsidRPr="00DC556E">
        <w:rPr>
          <w:szCs w:val="24"/>
        </w:rPr>
        <w:fldChar w:fldCharType="end"/>
      </w:r>
      <w:r w:rsidRPr="00DC556E">
        <w:rPr>
          <w:szCs w:val="24"/>
        </w:rPr>
        <w:t>, что особенно важно при диагностике катетерассоциированного стеноза (КА</w:t>
      </w:r>
      <w:r w:rsidRPr="00DC556E">
        <w:rPr>
          <w:szCs w:val="24"/>
          <w:lang w:val="en-US"/>
        </w:rPr>
        <w:t>C</w:t>
      </w:r>
      <w:r w:rsidRPr="00DC556E">
        <w:rPr>
          <w:szCs w:val="24"/>
        </w:rPr>
        <w:t xml:space="preserve">). </w:t>
      </w:r>
    </w:p>
    <w:p w14:paraId="1DF5B71A" w14:textId="410B9114" w:rsidR="00B37E1F" w:rsidRPr="00DC556E" w:rsidRDefault="00B37E1F" w:rsidP="008A2329">
      <w:pPr>
        <w:spacing w:before="0" w:after="0"/>
        <w:ind w:firstLine="567"/>
        <w:rPr>
          <w:b/>
          <w:szCs w:val="24"/>
        </w:rPr>
      </w:pPr>
      <w:r w:rsidRPr="00DC556E">
        <w:rPr>
          <w:szCs w:val="24"/>
        </w:rPr>
        <w:lastRenderedPageBreak/>
        <w:t>Катетер-ассоциированый стеноз (</w:t>
      </w:r>
      <w:r w:rsidRPr="00DC556E">
        <w:rPr>
          <w:i/>
          <w:szCs w:val="24"/>
        </w:rPr>
        <w:t>КАС)</w:t>
      </w:r>
      <w:r w:rsidRPr="00DC556E">
        <w:rPr>
          <w:szCs w:val="24"/>
        </w:rPr>
        <w:t xml:space="preserve"> – стойкое сужение просвета сосуда, вплоть до полной облитерации, выявляемое при УЗИ в покое и при выполнении функциональных проб, возникшее после катетеризации, связанное или не связанное с КАТ. У онкогематологических пациентов, наряду с вышеуказанными причинами, значительное место в формировании КАТ и КАС занимает проведение химиотерапии </w:t>
      </w:r>
      <w:r w:rsidRPr="00DC556E">
        <w:rPr>
          <w:szCs w:val="24"/>
        </w:rPr>
        <w:fldChar w:fldCharType="begin" w:fldLock="1"/>
      </w:r>
      <w:r w:rsidR="00E430FD">
        <w:rPr>
          <w:szCs w:val="24"/>
        </w:rPr>
        <w:instrText>ADDIN CSL_CITATION {"citationItems":[{"id":"ITEM-1","itemData":{"author":[{"dropping-particle":"","family":"Червонцева","given":"Алевтина Михайловна","non-dropping-particle":"","parse-names":false,"suffix":""}],"id":"ITEM-1","issued":{"date-parts":[["2008"]]},"title":"Повреждение сосудистого эндотелия в процессе лечения острых миелоидных лейкозов","type":"article"},"uris":["http://www.mendeley.com/documents/?uuid=b0c847b8-b368-40a1-9c35-cebd6d9d96b6"]}],"mendeley":{"formattedCitation":"[196]","plainTextFormattedCitation":"[196]","previouslyFormattedCitation":"[196]"},"properties":{"noteIndex":0},"schema":"https://github.com/citation-style-language/schema/raw/master/csl-citation.json"}</w:instrText>
      </w:r>
      <w:r w:rsidRPr="00DC556E">
        <w:rPr>
          <w:szCs w:val="24"/>
        </w:rPr>
        <w:fldChar w:fldCharType="separate"/>
      </w:r>
      <w:r w:rsidR="00E430FD" w:rsidRPr="00E430FD">
        <w:rPr>
          <w:noProof/>
          <w:szCs w:val="24"/>
        </w:rPr>
        <w:t>[196]</w:t>
      </w:r>
      <w:r w:rsidRPr="00DC556E">
        <w:rPr>
          <w:szCs w:val="24"/>
        </w:rPr>
        <w:fldChar w:fldCharType="end"/>
      </w:r>
      <w:r w:rsidRPr="00DC556E">
        <w:rPr>
          <w:szCs w:val="24"/>
        </w:rPr>
        <w:t>.</w:t>
      </w:r>
    </w:p>
    <w:p w14:paraId="767E115F" w14:textId="42A82AC1" w:rsidR="00B37E1F" w:rsidRPr="00DC556E" w:rsidRDefault="00B37E1F" w:rsidP="008A2329">
      <w:pPr>
        <w:spacing w:before="0" w:after="0"/>
        <w:ind w:firstLine="567"/>
        <w:rPr>
          <w:szCs w:val="24"/>
        </w:rPr>
      </w:pPr>
      <w:r w:rsidRPr="00DC556E">
        <w:rPr>
          <w:szCs w:val="24"/>
        </w:rPr>
        <w:t>Катетер-ассоциированная инфекция кровотока (</w:t>
      </w:r>
      <w:r w:rsidRPr="00DC556E">
        <w:rPr>
          <w:i/>
          <w:szCs w:val="24"/>
        </w:rPr>
        <w:t>КАИК)</w:t>
      </w:r>
      <w:r w:rsidRPr="00DC556E">
        <w:rPr>
          <w:szCs w:val="24"/>
        </w:rPr>
        <w:t xml:space="preserve"> – выявление положительной гемокультуры в образце </w:t>
      </w:r>
      <w:r w:rsidRPr="004C0C25">
        <w:rPr>
          <w:szCs w:val="24"/>
        </w:rPr>
        <w:t>крови, взятой из катетера, на</w:t>
      </w:r>
      <w:r w:rsidRPr="00DC556E">
        <w:rPr>
          <w:szCs w:val="24"/>
        </w:rPr>
        <w:t xml:space="preserve"> 2 и более часа ранее, чем в образце крови, взятом из периферической вены, рост микроорганизмов при микробиологическом исследовании дистального конца катетера </w:t>
      </w:r>
      <w:r w:rsidRPr="00DC556E">
        <w:rPr>
          <w:szCs w:val="24"/>
        </w:rPr>
        <w:fldChar w:fldCharType="begin" w:fldLock="1"/>
      </w:r>
      <w:r w:rsidR="00E430FD">
        <w:rPr>
          <w:szCs w:val="24"/>
        </w:rPr>
        <w:instrText>ADDIN CSL_CITATION {"citationItems":[{"id":"ITEM-1","itemData":{"author":[{"dropping-particle":"","family":"Багирова","given":"Н.С.","non-dropping-particle":"","parse-names":false,"suffix":""}],"container-title":"Злокачественные опухоли","id":"ITEM-1","issue":"3","issued":{"date-parts":[["2014"]]},"page":"164-171","title":"Инфекции, связанные с внутрисосудистыми устройствами: терминология, диагностика, профилактика и терапия","type":"article-journal"},"uris":["http://www.mendeley.com/documents/?uuid=973153ce-d078-4e08-a598-f09e2ab23f94"]}],"mendeley":{"formattedCitation":"[197]","plainTextFormattedCitation":"[197]","previouslyFormattedCitation":"[197]"},"properties":{"noteIndex":0},"schema":"https://github.com/citation-style-language/schema/raw/master/csl-citation.json"}</w:instrText>
      </w:r>
      <w:r w:rsidRPr="00DC556E">
        <w:rPr>
          <w:szCs w:val="24"/>
        </w:rPr>
        <w:fldChar w:fldCharType="separate"/>
      </w:r>
      <w:r w:rsidR="00E430FD" w:rsidRPr="00E430FD">
        <w:rPr>
          <w:noProof/>
          <w:szCs w:val="24"/>
        </w:rPr>
        <w:t>[197]</w:t>
      </w:r>
      <w:r w:rsidRPr="00DC556E">
        <w:rPr>
          <w:szCs w:val="24"/>
        </w:rPr>
        <w:fldChar w:fldCharType="end"/>
      </w:r>
      <w:r w:rsidRPr="00DC556E">
        <w:rPr>
          <w:szCs w:val="24"/>
        </w:rPr>
        <w:t>.</w:t>
      </w:r>
    </w:p>
    <w:p w14:paraId="5D6D5ACD" w14:textId="77777777" w:rsidR="00B37E1F" w:rsidRPr="00DC556E" w:rsidRDefault="00B37E1F" w:rsidP="008A2329">
      <w:pPr>
        <w:spacing w:before="0" w:after="0"/>
        <w:ind w:firstLine="567"/>
        <w:rPr>
          <w:szCs w:val="24"/>
        </w:rPr>
      </w:pPr>
      <w:r w:rsidRPr="00DC556E">
        <w:rPr>
          <w:szCs w:val="24"/>
        </w:rPr>
        <w:t>При применении туннелируемых катетеров могут возникать следующие виды инфицирования:</w:t>
      </w:r>
    </w:p>
    <w:p w14:paraId="47415CE3" w14:textId="77777777" w:rsidR="00B37E1F" w:rsidRPr="00DC556E" w:rsidRDefault="00B37E1F" w:rsidP="0024404E">
      <w:pPr>
        <w:pStyle w:val="a6"/>
        <w:numPr>
          <w:ilvl w:val="0"/>
          <w:numId w:val="63"/>
        </w:numPr>
        <w:spacing w:before="0" w:after="0"/>
        <w:ind w:left="0" w:firstLine="0"/>
        <w:rPr>
          <w:i/>
          <w:szCs w:val="24"/>
        </w:rPr>
      </w:pPr>
      <w:r w:rsidRPr="00DC556E">
        <w:rPr>
          <w:i/>
          <w:szCs w:val="24"/>
        </w:rPr>
        <w:t xml:space="preserve">Туннельная инфекция – </w:t>
      </w:r>
      <w:r w:rsidRPr="00DC556E">
        <w:rPr>
          <w:szCs w:val="24"/>
        </w:rPr>
        <w:t xml:space="preserve">местное воспаление по ходу сформированного туннеля от места выходного отверстия катетера до манжеты или с локализацией только в </w:t>
      </w:r>
      <w:r w:rsidRPr="00DC556E">
        <w:rPr>
          <w:iCs/>
          <w:szCs w:val="24"/>
        </w:rPr>
        <w:t>области фиксации манжеты</w:t>
      </w:r>
      <w:r w:rsidRPr="00DC556E">
        <w:rPr>
          <w:i/>
          <w:szCs w:val="24"/>
        </w:rPr>
        <w:t>.</w:t>
      </w:r>
    </w:p>
    <w:p w14:paraId="31955851" w14:textId="77777777" w:rsidR="00B37E1F" w:rsidRPr="00DC556E" w:rsidRDefault="00B37E1F" w:rsidP="0024404E">
      <w:pPr>
        <w:pStyle w:val="a6"/>
        <w:numPr>
          <w:ilvl w:val="0"/>
          <w:numId w:val="63"/>
        </w:numPr>
        <w:spacing w:before="0" w:after="0"/>
        <w:ind w:left="0" w:firstLine="0"/>
        <w:rPr>
          <w:szCs w:val="24"/>
        </w:rPr>
      </w:pPr>
      <w:r w:rsidRPr="00DC556E">
        <w:rPr>
          <w:i/>
          <w:szCs w:val="24"/>
        </w:rPr>
        <w:t xml:space="preserve">Инфекция выходного отверстия – </w:t>
      </w:r>
      <w:r w:rsidRPr="00DC556E">
        <w:rPr>
          <w:szCs w:val="24"/>
        </w:rPr>
        <w:t>местное воспаление, с локализацией только в месте выхода катетера на поверхность кожи.</w:t>
      </w:r>
    </w:p>
    <w:p w14:paraId="4969EBD3" w14:textId="77777777" w:rsidR="00B37E1F" w:rsidRPr="00DC556E" w:rsidRDefault="00B37E1F" w:rsidP="0024404E">
      <w:pPr>
        <w:pStyle w:val="a6"/>
        <w:numPr>
          <w:ilvl w:val="0"/>
          <w:numId w:val="63"/>
        </w:numPr>
        <w:spacing w:before="0" w:after="0"/>
        <w:ind w:left="0" w:firstLine="0"/>
        <w:rPr>
          <w:szCs w:val="24"/>
        </w:rPr>
      </w:pPr>
      <w:r w:rsidRPr="00DC556E">
        <w:rPr>
          <w:i/>
          <w:szCs w:val="24"/>
        </w:rPr>
        <w:t xml:space="preserve">Инфекция подкожного кармана – </w:t>
      </w:r>
      <w:r w:rsidRPr="00DC556E">
        <w:rPr>
          <w:szCs w:val="24"/>
        </w:rPr>
        <w:t xml:space="preserve">местное воспаление, локализующееся в месте установки камеры порт-системы. </w:t>
      </w:r>
    </w:p>
    <w:p w14:paraId="7F88D3AB" w14:textId="77777777" w:rsidR="00B37E1F" w:rsidRPr="00DC556E" w:rsidRDefault="00B37E1F" w:rsidP="008A2329">
      <w:pPr>
        <w:spacing w:before="0" w:after="0"/>
        <w:rPr>
          <w:rFonts w:eastAsia="Arial Unicode MS"/>
          <w:b/>
          <w:bCs/>
          <w:szCs w:val="24"/>
          <w:lang w:eastAsia="ru-RU"/>
        </w:rPr>
      </w:pPr>
      <w:r w:rsidRPr="00DC556E">
        <w:rPr>
          <w:rFonts w:eastAsia="Arial Unicode MS"/>
          <w:b/>
          <w:bCs/>
          <w:szCs w:val="24"/>
          <w:lang w:eastAsia="ru-RU"/>
        </w:rPr>
        <w:t>Способы контроля дистального конца ЦВК</w:t>
      </w:r>
    </w:p>
    <w:p w14:paraId="3F2D350B" w14:textId="77777777" w:rsidR="00B37E1F" w:rsidRPr="00DC556E" w:rsidRDefault="00B37E1F" w:rsidP="008A2329">
      <w:pPr>
        <w:spacing w:before="0" w:after="0"/>
        <w:rPr>
          <w:rFonts w:eastAsia="Arial Unicode MS"/>
          <w:b/>
          <w:bCs/>
          <w:szCs w:val="24"/>
          <w:lang w:eastAsia="ru-RU"/>
        </w:rPr>
      </w:pPr>
      <w:r w:rsidRPr="00DC556E">
        <w:rPr>
          <w:rFonts w:eastAsia="Arial Unicode MS"/>
          <w:b/>
          <w:bCs/>
          <w:szCs w:val="24"/>
          <w:lang w:eastAsia="ru-RU"/>
        </w:rPr>
        <w:t>Электрокардиографический метод</w:t>
      </w:r>
    </w:p>
    <w:p w14:paraId="4458AC74" w14:textId="77777777" w:rsidR="00B37E1F" w:rsidRPr="00DC556E" w:rsidRDefault="00B37E1F" w:rsidP="008A2329">
      <w:pPr>
        <w:spacing w:before="0" w:after="0"/>
        <w:rPr>
          <w:rFonts w:eastAsia="Arial Unicode MS"/>
          <w:strike/>
          <w:szCs w:val="24"/>
          <w:lang w:eastAsia="ru-RU"/>
        </w:rPr>
      </w:pPr>
      <w:r w:rsidRPr="00DC556E">
        <w:rPr>
          <w:rFonts w:eastAsia="Arial Unicode MS"/>
          <w:szCs w:val="24"/>
          <w:lang w:eastAsia="ru-RU"/>
        </w:rPr>
        <w:t xml:space="preserve">Для контроля положения ЦВК, снабженных штатным электродом, используют эндовенозную </w:t>
      </w:r>
      <w:r w:rsidRPr="00DC556E">
        <w:rPr>
          <w:szCs w:val="24"/>
        </w:rPr>
        <w:t>электрокардиографию (</w:t>
      </w:r>
      <w:r w:rsidRPr="00DC556E">
        <w:rPr>
          <w:rFonts w:eastAsia="Arial Unicode MS"/>
          <w:szCs w:val="24"/>
          <w:lang w:eastAsia="ru-RU"/>
        </w:rPr>
        <w:t xml:space="preserve">ЭКГ). Она позволяет позиционировать дистальный конец ЦВК, не увеличивая время установки, по изменениям Р-зубца ЭКГ. </w:t>
      </w:r>
    </w:p>
    <w:p w14:paraId="18DCC698" w14:textId="77777777" w:rsidR="00B37E1F" w:rsidRPr="00DC556E" w:rsidRDefault="00B37E1F" w:rsidP="008A2329">
      <w:pPr>
        <w:spacing w:before="0" w:after="0"/>
        <w:rPr>
          <w:rFonts w:eastAsia="ＭＳ 明朝 (Основной текст темы (ази"/>
          <w:b/>
          <w:bCs/>
          <w:szCs w:val="24"/>
          <w:lang w:eastAsia="ru-RU"/>
        </w:rPr>
      </w:pPr>
      <w:r w:rsidRPr="00DC556E">
        <w:rPr>
          <w:rFonts w:eastAsia="ＭＳ 明朝 (Основной текст темы (ази"/>
          <w:b/>
          <w:bCs/>
          <w:szCs w:val="24"/>
          <w:lang w:eastAsia="ru-RU"/>
        </w:rPr>
        <w:t xml:space="preserve">Рентгенологический метод </w:t>
      </w:r>
    </w:p>
    <w:p w14:paraId="68BB70A2" w14:textId="77777777" w:rsidR="00B37E1F" w:rsidRPr="00DC556E" w:rsidRDefault="00B37E1F" w:rsidP="008A2329">
      <w:pPr>
        <w:spacing w:before="0" w:after="0"/>
        <w:rPr>
          <w:strike/>
          <w:szCs w:val="24"/>
        </w:rPr>
      </w:pPr>
      <w:r w:rsidRPr="00DC556E">
        <w:rPr>
          <w:rFonts w:eastAsia="ＭＳ 明朝 (Основной текст темы (ази"/>
          <w:szCs w:val="24"/>
          <w:lang w:eastAsia="ru-RU"/>
        </w:rPr>
        <w:t xml:space="preserve">При установке туннелируемых ЦВК, ПИЦВК, порт-систем, а также в </w:t>
      </w:r>
      <w:r w:rsidRPr="00DC556E">
        <w:rPr>
          <w:szCs w:val="24"/>
        </w:rPr>
        <w:t>случаях мерцательной аритмии или ритма, навязанного кардиостимулятором, положение дистального конца ЦВК подтверждают рентгенологически:</w:t>
      </w:r>
      <w:r w:rsidRPr="00DC556E">
        <w:rPr>
          <w:strike/>
          <w:szCs w:val="24"/>
        </w:rPr>
        <w:t xml:space="preserve"> </w:t>
      </w:r>
    </w:p>
    <w:p w14:paraId="79DCF8A0" w14:textId="77777777" w:rsidR="00B37E1F" w:rsidRPr="00DC556E" w:rsidRDefault="00B37E1F" w:rsidP="008A2329">
      <w:pPr>
        <w:spacing w:before="0" w:after="0"/>
        <w:rPr>
          <w:szCs w:val="24"/>
        </w:rPr>
      </w:pPr>
      <w:r w:rsidRPr="00DC556E">
        <w:rPr>
          <w:szCs w:val="24"/>
        </w:rPr>
        <w:t xml:space="preserve">- на </w:t>
      </w:r>
      <w:r w:rsidRPr="00DC556E">
        <w:rPr>
          <w:bCs/>
          <w:szCs w:val="24"/>
        </w:rPr>
        <w:t xml:space="preserve">рентгенограмме грудной клетки дистальный конец ЦВК должен был находиться между </w:t>
      </w:r>
      <w:r w:rsidRPr="00DC556E">
        <w:rPr>
          <w:bCs/>
          <w:szCs w:val="24"/>
          <w:lang w:val="en-US"/>
        </w:rPr>
        <w:t>V</w:t>
      </w:r>
      <w:r w:rsidRPr="00DC556E">
        <w:rPr>
          <w:bCs/>
          <w:szCs w:val="24"/>
        </w:rPr>
        <w:t xml:space="preserve"> и </w:t>
      </w:r>
      <w:r w:rsidRPr="00DC556E">
        <w:rPr>
          <w:bCs/>
          <w:szCs w:val="24"/>
          <w:lang w:val="en-US"/>
        </w:rPr>
        <w:t>VI</w:t>
      </w:r>
      <w:r w:rsidRPr="00DC556E">
        <w:rPr>
          <w:bCs/>
          <w:szCs w:val="24"/>
        </w:rPr>
        <w:t xml:space="preserve"> грудными позвонками. </w:t>
      </w:r>
    </w:p>
    <w:p w14:paraId="2D3B030B" w14:textId="77777777" w:rsidR="00B37E1F" w:rsidRPr="00DC556E" w:rsidRDefault="00B37E1F" w:rsidP="008A2329">
      <w:pPr>
        <w:widowControl w:val="0"/>
        <w:spacing w:before="0" w:after="0"/>
        <w:rPr>
          <w:szCs w:val="24"/>
        </w:rPr>
      </w:pPr>
      <w:r w:rsidRPr="00DC556E">
        <w:rPr>
          <w:szCs w:val="24"/>
        </w:rPr>
        <w:t>- также ориентиром для позиционирования дистального конца ЦВК является правый трахебронхиальный угол, который соответствует верхней границе верхней полой вены. Каваатриальное соединение находится на 3 см ниже этого угла.</w:t>
      </w:r>
    </w:p>
    <w:p w14:paraId="4BF08CA5" w14:textId="77777777" w:rsidR="00B37E1F" w:rsidRPr="00DC556E" w:rsidRDefault="00B37E1F" w:rsidP="008A2329">
      <w:pPr>
        <w:widowControl w:val="0"/>
        <w:spacing w:before="0" w:after="0"/>
        <w:rPr>
          <w:szCs w:val="24"/>
        </w:rPr>
      </w:pPr>
      <w:r w:rsidRPr="00DC556E">
        <w:rPr>
          <w:szCs w:val="24"/>
        </w:rPr>
        <w:t xml:space="preserve">- рентгенологическим ориентиром впадения ВПВ в правое предсердие также является пересечение дуги правой границы сердца и линии, идущей вдоль правой границы </w:t>
      </w:r>
      <w:r w:rsidRPr="00DC556E">
        <w:rPr>
          <w:szCs w:val="24"/>
        </w:rPr>
        <w:lastRenderedPageBreak/>
        <w:t>средостения.</w:t>
      </w:r>
    </w:p>
    <w:p w14:paraId="66507300" w14:textId="7B51ECB3" w:rsidR="00B37E1F" w:rsidRPr="00DC556E" w:rsidRDefault="00CD6C97" w:rsidP="002431B5">
      <w:pPr>
        <w:spacing w:before="0" w:after="0"/>
        <w:rPr>
          <w:b/>
          <w:bCs/>
          <w:szCs w:val="24"/>
        </w:rPr>
      </w:pPr>
      <w:r w:rsidRPr="00DC556E">
        <w:rPr>
          <w:b/>
          <w:bCs/>
          <w:szCs w:val="24"/>
        </w:rPr>
        <w:t>Обследование пациента, подготовка к манипуляции</w:t>
      </w:r>
    </w:p>
    <w:p w14:paraId="3758B7C5" w14:textId="77777777" w:rsidR="00B37E1F" w:rsidRPr="00DC556E" w:rsidRDefault="00B37E1F" w:rsidP="008A2329">
      <w:pPr>
        <w:spacing w:before="0" w:after="0"/>
        <w:ind w:firstLine="567"/>
        <w:rPr>
          <w:szCs w:val="24"/>
        </w:rPr>
      </w:pPr>
      <w:r w:rsidRPr="00DC556E">
        <w:rPr>
          <w:szCs w:val="24"/>
        </w:rPr>
        <w:t xml:space="preserve">Для обеспечения сосудистого доступа необходима консультация врачом-анестезиологом-реаниматологом. </w:t>
      </w:r>
    </w:p>
    <w:p w14:paraId="618EC234" w14:textId="77777777" w:rsidR="00B37E1F" w:rsidRPr="00DC556E" w:rsidRDefault="00B37E1F" w:rsidP="008A2329">
      <w:pPr>
        <w:spacing w:before="0" w:after="0"/>
        <w:ind w:firstLine="567"/>
        <w:rPr>
          <w:szCs w:val="24"/>
        </w:rPr>
      </w:pPr>
      <w:r w:rsidRPr="00DC556E">
        <w:rPr>
          <w:szCs w:val="24"/>
        </w:rPr>
        <w:t>Физикальный осмотр проводится перед катетеризацией на наличие воспалительных и послеоперационных изменений кожи в местах возможной пункции вен, наличие увеличенных и изменённых лимфоузлов, препятствующих катетеризации, наличие усиленного подкожного рисунка вен, наличие клинических проявлений синдрома сдавления верхней полой вены (осиплость голоса, одышка, кашель, невозможность принятия горизонтального положения и т. д.) Уточняются анамнестические данные – количество предшествующих катетеризаций, имели ли место осложнения катетеризации; интенсивность и сроки планируемого лечения, возможные осложнения (неблагоприятные реакции) терапии, возможность применения других методов лечения, например, лучевой терапии.</w:t>
      </w:r>
    </w:p>
    <w:p w14:paraId="3CBD233A" w14:textId="77777777" w:rsidR="00B37E1F" w:rsidRPr="00DC556E" w:rsidRDefault="00B37E1F" w:rsidP="002431B5">
      <w:pPr>
        <w:spacing w:before="0" w:after="0"/>
        <w:rPr>
          <w:szCs w:val="24"/>
          <w:shd w:val="clear" w:color="auto" w:fill="FFFFFF"/>
        </w:rPr>
      </w:pPr>
      <w:r w:rsidRPr="00DC556E">
        <w:rPr>
          <w:b/>
          <w:bCs/>
          <w:szCs w:val="24"/>
          <w:shd w:val="clear" w:color="auto" w:fill="FFFFFF"/>
        </w:rPr>
        <w:t>Лабораторная диагностика</w:t>
      </w:r>
      <w:r w:rsidRPr="00DC556E">
        <w:rPr>
          <w:szCs w:val="24"/>
          <w:shd w:val="clear" w:color="auto" w:fill="FFFFFF"/>
        </w:rPr>
        <w:t>.</w:t>
      </w:r>
    </w:p>
    <w:p w14:paraId="3EFD35D9" w14:textId="77777777" w:rsidR="00B37E1F" w:rsidRPr="00DC556E" w:rsidRDefault="00B37E1F" w:rsidP="002431B5">
      <w:pPr>
        <w:spacing w:before="0" w:after="0"/>
        <w:rPr>
          <w:szCs w:val="24"/>
          <w:shd w:val="clear" w:color="auto" w:fill="FFFFFF"/>
        </w:rPr>
      </w:pPr>
      <w:r w:rsidRPr="00DC556E">
        <w:rPr>
          <w:szCs w:val="24"/>
          <w:shd w:val="clear" w:color="auto" w:fill="FFFFFF"/>
        </w:rPr>
        <w:t>Перед установкой ЦВК необходимо выполнить:</w:t>
      </w:r>
    </w:p>
    <w:p w14:paraId="13078E24" w14:textId="77777777" w:rsidR="00B37E1F" w:rsidRPr="00DC556E" w:rsidRDefault="00B37E1F" w:rsidP="0024404E">
      <w:pPr>
        <w:pStyle w:val="a6"/>
        <w:numPr>
          <w:ilvl w:val="0"/>
          <w:numId w:val="66"/>
        </w:numPr>
        <w:spacing w:before="0" w:after="0"/>
        <w:ind w:left="0" w:firstLine="0"/>
        <w:rPr>
          <w:i/>
          <w:szCs w:val="24"/>
          <w:shd w:val="clear" w:color="auto" w:fill="FFFFFF"/>
        </w:rPr>
      </w:pPr>
      <w:r w:rsidRPr="00DC556E">
        <w:rPr>
          <w:szCs w:val="24"/>
        </w:rPr>
        <w:t xml:space="preserve">общий (клинический) </w:t>
      </w:r>
      <w:proofErr w:type="gramStart"/>
      <w:r w:rsidRPr="00DC556E">
        <w:rPr>
          <w:szCs w:val="24"/>
        </w:rPr>
        <w:t>анализ крови</w:t>
      </w:r>
      <w:proofErr w:type="gramEnd"/>
      <w:r w:rsidRPr="00DC556E">
        <w:rPr>
          <w:szCs w:val="24"/>
        </w:rPr>
        <w:t xml:space="preserve"> развернутый (при необходимости – с исследованием </w:t>
      </w:r>
      <w:r>
        <w:rPr>
          <w:szCs w:val="24"/>
        </w:rPr>
        <w:t>количества</w:t>
      </w:r>
      <w:r w:rsidRPr="00DC556E">
        <w:rPr>
          <w:szCs w:val="24"/>
        </w:rPr>
        <w:t xml:space="preserve"> тромбоцитов в крови по мазку)</w:t>
      </w:r>
    </w:p>
    <w:p w14:paraId="23E4B96C" w14:textId="77777777" w:rsidR="00B37E1F" w:rsidRPr="00DC556E" w:rsidRDefault="00B37E1F" w:rsidP="0024404E">
      <w:pPr>
        <w:pStyle w:val="a6"/>
        <w:numPr>
          <w:ilvl w:val="0"/>
          <w:numId w:val="65"/>
        </w:numPr>
        <w:spacing w:before="0" w:after="0"/>
        <w:ind w:left="0" w:firstLine="0"/>
        <w:rPr>
          <w:szCs w:val="24"/>
        </w:rPr>
      </w:pPr>
      <w:r w:rsidRPr="00DC556E">
        <w:rPr>
          <w:szCs w:val="24"/>
          <w:shd w:val="clear" w:color="auto" w:fill="FFFFFF"/>
        </w:rPr>
        <w:t>коагулограмма с определением АЧТВ, протромбинового индекса, фибриногена, при необходимости – с и</w:t>
      </w:r>
      <w:r w:rsidRPr="00DC556E">
        <w:rPr>
          <w:szCs w:val="24"/>
        </w:rPr>
        <w:t>сследованием агрегации тромбоцитов</w:t>
      </w:r>
    </w:p>
    <w:p w14:paraId="18AA1C82" w14:textId="77777777" w:rsidR="00B37E1F" w:rsidRPr="00DC556E" w:rsidRDefault="00B37E1F" w:rsidP="0024404E">
      <w:pPr>
        <w:pStyle w:val="a6"/>
        <w:numPr>
          <w:ilvl w:val="0"/>
          <w:numId w:val="65"/>
        </w:numPr>
        <w:spacing w:before="0" w:after="0"/>
        <w:ind w:left="0" w:firstLine="0"/>
        <w:rPr>
          <w:szCs w:val="24"/>
        </w:rPr>
      </w:pPr>
      <w:r w:rsidRPr="00DC556E">
        <w:rPr>
          <w:szCs w:val="24"/>
        </w:rPr>
        <w:t xml:space="preserve">определение активности факторов </w:t>
      </w:r>
      <w:r w:rsidRPr="00DC556E">
        <w:rPr>
          <w:szCs w:val="24"/>
          <w:lang w:val="en-US"/>
        </w:rPr>
        <w:t>VIII</w:t>
      </w:r>
      <w:r w:rsidRPr="00DC556E">
        <w:rPr>
          <w:szCs w:val="24"/>
        </w:rPr>
        <w:t xml:space="preserve">, </w:t>
      </w:r>
      <w:r w:rsidRPr="00DC556E">
        <w:rPr>
          <w:szCs w:val="24"/>
          <w:lang w:val="en-US"/>
        </w:rPr>
        <w:t>IX</w:t>
      </w:r>
      <w:r w:rsidRPr="00DC556E">
        <w:rPr>
          <w:szCs w:val="24"/>
        </w:rPr>
        <w:t xml:space="preserve"> и иных в сыворотке крови – по показаниям</w:t>
      </w:r>
    </w:p>
    <w:p w14:paraId="51146A83" w14:textId="77777777" w:rsidR="00B37E1F" w:rsidRPr="00DC556E" w:rsidRDefault="00B37E1F" w:rsidP="0024404E">
      <w:pPr>
        <w:pStyle w:val="a6"/>
        <w:numPr>
          <w:ilvl w:val="0"/>
          <w:numId w:val="65"/>
        </w:numPr>
        <w:spacing w:before="0" w:after="0"/>
        <w:ind w:left="0" w:firstLine="0"/>
        <w:rPr>
          <w:szCs w:val="24"/>
        </w:rPr>
      </w:pPr>
      <w:r w:rsidRPr="00DC556E">
        <w:rPr>
          <w:szCs w:val="24"/>
        </w:rPr>
        <w:t xml:space="preserve">определение основных групп крови, определение подгруппы </w:t>
      </w:r>
      <w:r>
        <w:rPr>
          <w:szCs w:val="24"/>
        </w:rPr>
        <w:t>и</w:t>
      </w:r>
      <w:r w:rsidRPr="00DC556E">
        <w:rPr>
          <w:szCs w:val="24"/>
        </w:rPr>
        <w:t>других групп крови меньшего значения, определение резус-фактора</w:t>
      </w:r>
    </w:p>
    <w:p w14:paraId="174701C7" w14:textId="77777777" w:rsidR="00B37E1F" w:rsidRPr="00DC556E" w:rsidRDefault="00B37E1F" w:rsidP="002431B5">
      <w:pPr>
        <w:spacing w:before="0" w:after="0"/>
        <w:rPr>
          <w:b/>
          <w:bCs/>
          <w:szCs w:val="24"/>
        </w:rPr>
      </w:pPr>
      <w:r w:rsidRPr="00DC556E">
        <w:rPr>
          <w:b/>
          <w:bCs/>
          <w:szCs w:val="24"/>
        </w:rPr>
        <w:t>Инструментальная диагностика</w:t>
      </w:r>
    </w:p>
    <w:p w14:paraId="1A1BEF22" w14:textId="77777777" w:rsidR="00B37E1F" w:rsidRPr="00DC556E" w:rsidRDefault="00B37E1F" w:rsidP="002431B5">
      <w:pPr>
        <w:spacing w:before="0" w:after="0"/>
        <w:rPr>
          <w:szCs w:val="24"/>
        </w:rPr>
      </w:pPr>
      <w:r w:rsidRPr="00DC556E">
        <w:rPr>
          <w:szCs w:val="24"/>
        </w:rPr>
        <w:t>Перед выполнением катетеризации необходимо выполнить:</w:t>
      </w:r>
    </w:p>
    <w:p w14:paraId="3CB1BBE6" w14:textId="77777777" w:rsidR="00B37E1F" w:rsidRPr="00DC556E" w:rsidRDefault="00B37E1F" w:rsidP="0024404E">
      <w:pPr>
        <w:pStyle w:val="a6"/>
        <w:numPr>
          <w:ilvl w:val="0"/>
          <w:numId w:val="65"/>
        </w:numPr>
        <w:spacing w:before="0" w:after="0"/>
        <w:ind w:left="0" w:firstLine="0"/>
        <w:rPr>
          <w:szCs w:val="24"/>
        </w:rPr>
      </w:pPr>
      <w:r w:rsidRPr="00DC556E">
        <w:rPr>
          <w:szCs w:val="24"/>
        </w:rPr>
        <w:t xml:space="preserve">рентгенография органов грудной клетки или </w:t>
      </w:r>
      <w:r w:rsidRPr="00DC556E">
        <w:rPr>
          <w:szCs w:val="24"/>
          <w:shd w:val="clear" w:color="auto" w:fill="FFFFFF" w:themeFill="background1"/>
        </w:rPr>
        <w:t>– предпочтительно</w:t>
      </w:r>
      <w:r w:rsidRPr="00DC556E">
        <w:rPr>
          <w:szCs w:val="24"/>
        </w:rPr>
        <w:t xml:space="preserve"> – компьютерная томография органов грудной клетки (КТ)</w:t>
      </w:r>
      <w:r w:rsidRPr="00DC556E">
        <w:rPr>
          <w:szCs w:val="24"/>
          <w:shd w:val="clear" w:color="auto" w:fill="FFFFFF" w:themeFill="background1"/>
        </w:rPr>
        <w:t>, с болюсным контрастным усилением (по показаниям)</w:t>
      </w:r>
    </w:p>
    <w:p w14:paraId="09824A83" w14:textId="77777777" w:rsidR="00B37E1F" w:rsidRPr="00DC556E" w:rsidRDefault="00B37E1F" w:rsidP="0024404E">
      <w:pPr>
        <w:pStyle w:val="a6"/>
        <w:numPr>
          <w:ilvl w:val="0"/>
          <w:numId w:val="65"/>
        </w:numPr>
        <w:spacing w:before="0" w:after="0"/>
        <w:ind w:left="0" w:firstLine="0"/>
        <w:rPr>
          <w:szCs w:val="24"/>
        </w:rPr>
      </w:pPr>
      <w:r w:rsidRPr="00DC556E">
        <w:rPr>
          <w:szCs w:val="24"/>
        </w:rPr>
        <w:t xml:space="preserve">ультразвуковое агиосканирование </w:t>
      </w:r>
    </w:p>
    <w:p w14:paraId="667142E7" w14:textId="77777777" w:rsidR="00B37E1F" w:rsidRPr="00DC556E" w:rsidRDefault="00B37E1F" w:rsidP="0024404E">
      <w:pPr>
        <w:pStyle w:val="a6"/>
        <w:numPr>
          <w:ilvl w:val="0"/>
          <w:numId w:val="65"/>
        </w:numPr>
        <w:spacing w:before="0" w:after="0"/>
        <w:ind w:left="0" w:firstLine="0"/>
        <w:rPr>
          <w:szCs w:val="24"/>
        </w:rPr>
      </w:pPr>
      <w:r w:rsidRPr="00DC556E">
        <w:rPr>
          <w:szCs w:val="24"/>
        </w:rPr>
        <w:t>ЭКГ</w:t>
      </w:r>
    </w:p>
    <w:p w14:paraId="2220846B" w14:textId="418C7474" w:rsidR="00B37E1F" w:rsidRPr="00DC556E" w:rsidRDefault="00B37E1F" w:rsidP="008A2329">
      <w:pPr>
        <w:spacing w:before="0" w:after="0"/>
        <w:ind w:firstLine="567"/>
        <w:rPr>
          <w:rFonts w:eastAsia="Times New Roman"/>
          <w:szCs w:val="24"/>
          <w:lang w:eastAsia="ru-RU"/>
        </w:rPr>
      </w:pPr>
      <w:r w:rsidRPr="00DC556E">
        <w:rPr>
          <w:rFonts w:eastAsia="Times New Roman"/>
          <w:szCs w:val="24"/>
          <w:lang w:eastAsia="ru-RU"/>
        </w:rPr>
        <w:t xml:space="preserve">Ультразвуковое сопровождение в реальном времени обеспечивает возможность выбора направления иглы при пункции внутренней яремной, аксиллярной, подмышечной или бедренной вены, позволяя тем самым избежать случайного ранение артерии </w:t>
      </w:r>
      <w:r w:rsidRPr="00DC556E">
        <w:rPr>
          <w:rFonts w:eastAsia="Times New Roman"/>
          <w:szCs w:val="24"/>
          <w:lang w:eastAsia="ru-RU"/>
        </w:rPr>
        <w:fldChar w:fldCharType="begin" w:fldLock="1"/>
      </w:r>
      <w:r w:rsidR="00E430FD">
        <w:rPr>
          <w:rFonts w:eastAsia="Times New Roman"/>
          <w:szCs w:val="24"/>
          <w:lang w:eastAsia="ru-RU"/>
        </w:rPr>
        <w:instrText>ADDIN CSL_CITATION {"citationItems":[{"id":"ITEM-1","itemData":{"DOI":"10.2147/RMHP.S10383","ISSN":"1179-1594","PMID":"22312225","abstract":"Central venous cannulation is a commonly performed procedure which facilitates resuscitation, nutritional support, and long-term vascular access. Mechanical complications most often occur during insertion and are intimately related to the anatomic relationship of the central veins. Working knowledge of surface and deep anatomy minimizes complications. Use of surface anatomic landmarks to orient the deep course of cannulating needle tracts appropriately comprises the crux of complication avoidance. The authors describe use of surface landmarks to facilitate safe placement of internal jugular, subclavian, and femoral venous catheters. The role of real-time sonography as a safety-enhancing adjunct is reviewed.","author":[{"dropping-particle":"","family":"Bannon","given":"Michael P","non-dropping-particle":"","parse-names":false,"suffix":""},{"dropping-particle":"","family":"Heller","given":"Stephanie F","non-dropping-particle":"","parse-names":false,"suffix":""},{"dropping-particle":"","family":"Rivera","given":"Mariela","non-dropping-particle":"","parse-names":false,"suffix":""}],"container-title":"Risk management and healthcare policy","id":"ITEM-1","issued":{"date-parts":[["2011"]]},"page":"27-39","publisher":"Dove Press","title":"Anatomic considerations for central venous cannulation.","type":"article-journal","volume":"4"},"uris":["http://www.mendeley.com/documents/?uuid=f0df5ed8-bde5-4ae2-bb07-d53d990cfba6"]}],"mendeley":{"formattedCitation":"[198]","plainTextFormattedCitation":"[198]","previouslyFormattedCitation":"[198]"},"properties":{"noteIndex":0},"schema":"https://github.com/citation-style-language/schema/raw/master/csl-citation.json"}</w:instrText>
      </w:r>
      <w:r w:rsidRPr="00DC556E">
        <w:rPr>
          <w:rFonts w:eastAsia="Times New Roman"/>
          <w:szCs w:val="24"/>
          <w:lang w:eastAsia="ru-RU"/>
        </w:rPr>
        <w:fldChar w:fldCharType="separate"/>
      </w:r>
      <w:r w:rsidR="00E430FD" w:rsidRPr="00E430FD">
        <w:rPr>
          <w:rFonts w:eastAsia="Times New Roman"/>
          <w:noProof/>
          <w:szCs w:val="24"/>
          <w:lang w:eastAsia="ru-RU"/>
        </w:rPr>
        <w:t>[198]</w:t>
      </w:r>
      <w:r w:rsidRPr="00DC556E">
        <w:rPr>
          <w:rFonts w:eastAsia="Times New Roman"/>
          <w:szCs w:val="24"/>
          <w:lang w:eastAsia="ru-RU"/>
        </w:rPr>
        <w:fldChar w:fldCharType="end"/>
      </w:r>
      <w:r w:rsidRPr="00DC556E">
        <w:rPr>
          <w:rFonts w:eastAsia="Times New Roman"/>
          <w:szCs w:val="24"/>
          <w:lang w:eastAsia="ru-RU"/>
        </w:rPr>
        <w:t>.</w:t>
      </w:r>
    </w:p>
    <w:p w14:paraId="5484B0F2" w14:textId="77777777" w:rsidR="00B37E1F" w:rsidRPr="00DC556E" w:rsidRDefault="00B37E1F" w:rsidP="008A2329">
      <w:pPr>
        <w:spacing w:before="0" w:after="0"/>
        <w:ind w:firstLine="567"/>
        <w:rPr>
          <w:rFonts w:eastAsia="Times New Roman"/>
          <w:szCs w:val="24"/>
          <w:lang w:eastAsia="ru-RU"/>
        </w:rPr>
      </w:pPr>
      <w:r w:rsidRPr="00DC556E">
        <w:rPr>
          <w:rFonts w:eastAsia="Times New Roman"/>
          <w:szCs w:val="24"/>
          <w:lang w:eastAsia="ru-RU"/>
        </w:rPr>
        <w:lastRenderedPageBreak/>
        <w:t>Использование ультразвукового сопровождения даже при установке ЦВК при тромбоцитопении менее 20х109/л позволяет избежать серьезных геморрагических осложнений.</w:t>
      </w:r>
    </w:p>
    <w:p w14:paraId="018516F9" w14:textId="687361FE" w:rsidR="00B37E1F" w:rsidRPr="00DC556E" w:rsidRDefault="00B37E1F" w:rsidP="008A2329">
      <w:pPr>
        <w:spacing w:before="0" w:after="0"/>
        <w:ind w:firstLine="567"/>
        <w:rPr>
          <w:rFonts w:eastAsia="Times New Roman"/>
          <w:szCs w:val="24"/>
          <w:lang w:eastAsia="ru-RU"/>
        </w:rPr>
      </w:pPr>
      <w:r w:rsidRPr="00DC556E">
        <w:rPr>
          <w:rFonts w:eastAsia="Times New Roman"/>
          <w:szCs w:val="24"/>
          <w:lang w:eastAsia="ru-RU"/>
        </w:rPr>
        <w:t xml:space="preserve">В настоящее время УЗИ считается «золотым стандартом» при установке центрального венозного катетера с использованием яремного доступа, так как ВЯВ близко прилежит к поверхности кожи, нет мышц, которые бы могли затруднить визуализацию </w:t>
      </w:r>
      <w:r w:rsidRPr="00DC556E">
        <w:rPr>
          <w:rFonts w:eastAsia="Times New Roman"/>
          <w:szCs w:val="24"/>
          <w:lang w:eastAsia="ru-RU"/>
        </w:rPr>
        <w:fldChar w:fldCharType="begin" w:fldLock="1"/>
      </w:r>
      <w:r w:rsidR="00E430FD">
        <w:rPr>
          <w:rFonts w:eastAsia="Times New Roman"/>
          <w:szCs w:val="24"/>
          <w:lang w:eastAsia="ru-RU"/>
        </w:rPr>
        <w:instrText>ADDIN CSL_CITATION {"citationItems":[{"id":"ITEM-1","itemData":{"DOI":"10.1097/01.CCM.0000171533.92856.E5","ISSN":"0090-3493","author":[{"dropping-particle":"","family":"Milling","given":"Truman J.","non-dropping-particle":"","parse-names":false,"suffix":""},{"dropping-particle":"","family":"Rose","given":"John","non-dropping-particle":"","parse-names":false,"suffix":""},{"dropping-particle":"","family":"Briggs","given":"William M.","non-dropping-particle":"","parse-names":false,"suffix":""},{"dropping-particle":"","family":"Birkhahn","given":"Robert","non-dropping-particle":"","parse-names":false,"suffix":""},{"dropping-particle":"","family":"Gaeta","given":"Theodore J.","non-dropping-particle":"","parse-names":false,"suffix":""},{"dropping-particle":"","family":"Bove","given":"Joseph J.","non-dropping-particle":"","parse-names":false,"suffix":""},{"dropping-particle":"","family":"Melniker","given":"Lawrence A.","non-dropping-particle":"","parse-names":false,"suffix":""}],"container-title":"Critical Care Medicine","id":"ITEM-1","issue":"8","issued":{"date-parts":[["2005","8"]]},"page":"1764-1769","title":"Randomized, controlled clinical trial of point-of-care limited ultrasonography assistance of central venous cannulation: The Third Sonography Outcomes Assessment Program (SOAP-3) Trial*","type":"article-journal","volume":"33"},"uris":["http://www.mendeley.com/documents/?uuid=d52028d6-19cc-49b2-bfeb-b898ed00d7fe"]}],"mendeley":{"formattedCitation":"[199]","plainTextFormattedCitation":"[199]","previouslyFormattedCitation":"[199]"},"properties":{"noteIndex":0},"schema":"https://github.com/citation-style-language/schema/raw/master/csl-citation.json"}</w:instrText>
      </w:r>
      <w:r w:rsidRPr="00DC556E">
        <w:rPr>
          <w:rFonts w:eastAsia="Times New Roman"/>
          <w:szCs w:val="24"/>
          <w:lang w:eastAsia="ru-RU"/>
        </w:rPr>
        <w:fldChar w:fldCharType="separate"/>
      </w:r>
      <w:r w:rsidR="00E430FD" w:rsidRPr="00E430FD">
        <w:rPr>
          <w:rFonts w:eastAsia="Times New Roman"/>
          <w:noProof/>
          <w:szCs w:val="24"/>
          <w:lang w:eastAsia="ru-RU"/>
        </w:rPr>
        <w:t>[199]</w:t>
      </w:r>
      <w:r w:rsidRPr="00DC556E">
        <w:rPr>
          <w:rFonts w:eastAsia="Times New Roman"/>
          <w:szCs w:val="24"/>
          <w:lang w:eastAsia="ru-RU"/>
        </w:rPr>
        <w:fldChar w:fldCharType="end"/>
      </w:r>
      <w:r w:rsidRPr="00DC556E">
        <w:rPr>
          <w:rFonts w:eastAsia="Times New Roman"/>
          <w:szCs w:val="24"/>
          <w:lang w:eastAsia="ru-RU"/>
        </w:rPr>
        <w:t>. Помимо этого, правая ВЯВ образует практически прямую линию, что уменьшает травму сосуда и риск возникновения КАТ при использовании катетера.</w:t>
      </w:r>
    </w:p>
    <w:p w14:paraId="69CF06E0" w14:textId="77777777" w:rsidR="00B37E1F" w:rsidRPr="00DC556E" w:rsidRDefault="00B37E1F" w:rsidP="008A2329">
      <w:pPr>
        <w:spacing w:before="0" w:after="0"/>
        <w:ind w:firstLine="567"/>
        <w:rPr>
          <w:rFonts w:eastAsia="Times New Roman"/>
          <w:szCs w:val="24"/>
          <w:lang w:eastAsia="ru-RU"/>
        </w:rPr>
      </w:pPr>
      <w:r w:rsidRPr="00DC556E">
        <w:rPr>
          <w:rFonts w:eastAsia="Times New Roman"/>
          <w:szCs w:val="24"/>
          <w:lang w:eastAsia="ru-RU"/>
        </w:rPr>
        <w:t xml:space="preserve">Ультразвуковое сопровождение катетеризации центральных вен не исключает знания анатомии и поверхностных анатомических ориентиров, которые остаются необходимыми для ориентации как иглы, так и самого ультразвукового датчика. Ультразвуковое сопровождение катетеризации позволяет визуализировать не только вену, но и располагающиеся вблизи анатомические структуры. </w:t>
      </w:r>
    </w:p>
    <w:p w14:paraId="4647B6F6" w14:textId="77777777" w:rsidR="00B37E1F" w:rsidRPr="00DC556E" w:rsidRDefault="00B37E1F" w:rsidP="008A2329">
      <w:pPr>
        <w:spacing w:before="0" w:after="0"/>
        <w:ind w:firstLine="567"/>
        <w:rPr>
          <w:szCs w:val="24"/>
        </w:rPr>
      </w:pPr>
      <w:r w:rsidRPr="00DC556E">
        <w:rPr>
          <w:szCs w:val="24"/>
        </w:rPr>
        <w:t>В случае выявления поражения средостения по данным рентгенологического исследования, а также при клинической картине синдрома сдавления верхней полой вены, перед катетеризацией необходимо выполнение КТ органов грудной клетки с болюсным контрастным усилением для оценки проходимости крупных венозных сосудов, диагностики тромботических осложнений.</w:t>
      </w:r>
    </w:p>
    <w:p w14:paraId="4842DCC6" w14:textId="77777777" w:rsidR="00B37E1F" w:rsidRPr="00DC556E" w:rsidRDefault="00B37E1F" w:rsidP="002431B5">
      <w:pPr>
        <w:spacing w:before="0" w:after="0"/>
        <w:rPr>
          <w:b/>
          <w:bCs/>
          <w:szCs w:val="24"/>
        </w:rPr>
      </w:pPr>
      <w:r w:rsidRPr="00DC556E">
        <w:rPr>
          <w:b/>
          <w:bCs/>
          <w:szCs w:val="24"/>
        </w:rPr>
        <w:t xml:space="preserve">Выбор типа ЦВК </w:t>
      </w:r>
    </w:p>
    <w:p w14:paraId="481C76DD" w14:textId="77777777" w:rsidR="00B37E1F" w:rsidRPr="00DC556E" w:rsidRDefault="00B37E1F" w:rsidP="008A2329">
      <w:pPr>
        <w:spacing w:before="0" w:after="0"/>
        <w:ind w:firstLine="567"/>
        <w:rPr>
          <w:szCs w:val="24"/>
        </w:rPr>
      </w:pPr>
      <w:r w:rsidRPr="00DC556E">
        <w:rPr>
          <w:szCs w:val="24"/>
        </w:rPr>
        <w:t xml:space="preserve">Важной задачей является обеспечение сосудистого доступа </w:t>
      </w:r>
      <w:r w:rsidRPr="00DC556E">
        <w:rPr>
          <w:b/>
          <w:szCs w:val="24"/>
        </w:rPr>
        <w:t>при проведении трансплантации гемопоэтических стволовых клеток</w:t>
      </w:r>
      <w:r w:rsidRPr="00DC556E">
        <w:rPr>
          <w:szCs w:val="24"/>
        </w:rPr>
        <w:t xml:space="preserve"> (ТГСК). При трансплантации аутологичных ГСК достаточно установки нетуннелируемого катетера. </w:t>
      </w:r>
    </w:p>
    <w:p w14:paraId="0708DB73" w14:textId="77777777" w:rsidR="00B37E1F" w:rsidRPr="00DC556E" w:rsidRDefault="00B37E1F" w:rsidP="008A2329">
      <w:pPr>
        <w:spacing w:before="0" w:after="0"/>
        <w:ind w:firstLine="567"/>
        <w:rPr>
          <w:szCs w:val="24"/>
        </w:rPr>
      </w:pPr>
      <w:r>
        <w:rPr>
          <w:szCs w:val="24"/>
        </w:rPr>
        <w:t xml:space="preserve">У </w:t>
      </w:r>
      <w:r w:rsidRPr="00DC556E">
        <w:rPr>
          <w:szCs w:val="24"/>
        </w:rPr>
        <w:t xml:space="preserve">больных </w:t>
      </w:r>
      <w:r w:rsidRPr="00DC556E">
        <w:rPr>
          <w:b/>
          <w:szCs w:val="24"/>
        </w:rPr>
        <w:t>множественной миеломой</w:t>
      </w:r>
      <w:r w:rsidRPr="00DC556E">
        <w:rPr>
          <w:szCs w:val="24"/>
        </w:rPr>
        <w:t xml:space="preserve"> в зависимости от интенсивности планируемого лечения могут быть установлены нетуннелируемый катетер, порт-система, ПИЦВК. Учитывая, что многие пациенты получают химиотерапию в амбулаторном режиме, либо при кратковременных повторных госпитализациях, следует отдать предпочтение долговременной катетеризации (порт-система, ПИЦВК). Установка порт-систем с титановой камерой не рекомендуется больным, которым планируется лучевая терапия на область средостения, если область облучения захватывает место установки резервуара порт-системы. В этих случаях следует отдать предпочтение порт-системам с пластиковым резервуаром, а если их нет, вывести резервуар порта из предполагаемой зоны облучения (установить с противоположной стороны, на плече, либо установить порт-систему через бедренную вену, выведя резервуар на бедро). ПИЦВК являются также методом выбора при наличии у больных изменений в зоне катетеризации яремных или </w:t>
      </w:r>
      <w:r w:rsidRPr="00DC556E">
        <w:rPr>
          <w:szCs w:val="24"/>
        </w:rPr>
        <w:lastRenderedPageBreak/>
        <w:t>подключичных вен (пакеты лимфоузлов, рана после биопсии узлов), но сохранной проходимости крупных сосудов и верхней полой вены.</w:t>
      </w:r>
    </w:p>
    <w:p w14:paraId="79D7721D" w14:textId="5AE9601C" w:rsidR="00B37E1F" w:rsidRPr="00DC556E" w:rsidRDefault="00B37E1F" w:rsidP="008A2329">
      <w:pPr>
        <w:spacing w:before="0" w:after="0"/>
        <w:ind w:firstLine="567"/>
        <w:rPr>
          <w:szCs w:val="24"/>
        </w:rPr>
      </w:pPr>
      <w:r w:rsidRPr="00DC556E">
        <w:rPr>
          <w:szCs w:val="24"/>
        </w:rPr>
        <w:t>Сочетание тяжелой сердечной недостаточности и потребность в лечении программным</w:t>
      </w:r>
      <w:r w:rsidRPr="00DC556E">
        <w:rPr>
          <w:b/>
          <w:bCs/>
          <w:szCs w:val="24"/>
        </w:rPr>
        <w:t xml:space="preserve"> гемодиализом</w:t>
      </w:r>
      <w:r w:rsidRPr="00DC556E">
        <w:rPr>
          <w:szCs w:val="24"/>
        </w:rPr>
        <w:t xml:space="preserve"> больного </w:t>
      </w:r>
      <w:r w:rsidRPr="00DC556E">
        <w:rPr>
          <w:b/>
          <w:bCs/>
          <w:szCs w:val="24"/>
        </w:rPr>
        <w:t>множественной миеломой</w:t>
      </w:r>
      <w:r w:rsidRPr="00DC556E">
        <w:rPr>
          <w:szCs w:val="24"/>
        </w:rPr>
        <w:t xml:space="preserve"> требует индивидуального подхода к обеспечению сосудистого доступа. При множественной миеломе нарушение функции почек часто встречается уже на этапе установления диагноза. Кроме того, множественная миелома часто осложняется амилоидозом, что увеличивает риск развития как почечной, так сердечной недостаточности. По Европейским рекомендациям </w:t>
      </w:r>
      <w:r w:rsidRPr="00DC556E">
        <w:rPr>
          <w:szCs w:val="24"/>
        </w:rPr>
        <w:fldChar w:fldCharType="begin" w:fldLock="1"/>
      </w:r>
      <w:r w:rsidR="00E430FD">
        <w:rPr>
          <w:szCs w:val="24"/>
        </w:rPr>
        <w:instrText>ADDIN CSL_CITATION {"citationItems":[{"id":"ITEM-1","itemData":{"DOI":"10.1093/ndt/gfm021","ISSN":"0931-0509","author":[{"dropping-particle":"","family":"Tordoir","given":"J.","non-dropping-particle":"","parse-names":false,"suffix":""},{"dropping-particle":"","family":"Canaud","given":"B.","non-dropping-particle":"","parse-names":false,"suffix":""},{"dropping-particle":"","family":"Haage","given":"P.","non-dropping-particle":"","parse-names":false,"suffix":""},{"dropping-particle":"","family":"Konner","given":"K.","non-dropping-particle":"","parse-names":false,"suffix":""},{"dropping-particle":"","family":"Basci","given":"A.","non-dropping-particle":"","parse-names":false,"suffix":""},{"dropping-particle":"","family":"Fouque","given":"D.","non-dropping-particle":"","parse-names":false,"suffix":""},{"dropping-particle":"","family":"Kooman","given":"J.","non-dropping-particle":"","parse-names":false,"suffix":""},{"dropping-particle":"","family":"Martin-Malo","given":"A.","non-dropping-particle":"","parse-names":false,"suffix":""},{"dropping-particle":"","family":"Pedrini","given":"L.","non-dropping-particle":"","parse-names":false,"suffix":""},{"dropping-particle":"","family":"Pizzarelli","given":"F.","non-dropping-particle":"","parse-names":false,"suffix":""},{"dropping-particle":"","family":"Tattersall","given":"J.","non-dropping-particle":"","parse-names":false,"suffix":""},{"dropping-particle":"","family":"Vennegoor","given":"M.","non-dropping-particle":"","parse-names":false,"suffix":""},{"dropping-particle":"","family":"Wanner","given":"C.","non-dropping-particle":"","parse-names":false,"suffix":""},{"dropping-particle":"","family":"Wee","given":"P.","non-dropping-particle":"ter","parse-names":false,"suffix":""},{"dropping-particle":"","family":"Vanholder","given":"R.","non-dropping-particle":"","parse-names":false,"suffix":""}],"container-title":"Nephrology Dialysis Transplantation","id":"ITEM-1","issue":"Supplement 2","issued":{"date-parts":[["2007","5"]]},"page":"ii88-ii117","publisher":"Oxford University Press","title":"EBPG on Vascular Access","type":"article-journal","volume":"22"},"uris":["http://www.mendeley.com/documents/?uuid=c4429dcf-3fc8-4bbb-9e4b-5aabe85f5088"]}],"mendeley":{"formattedCitation":"[200]","plainTextFormattedCitation":"[200]","previouslyFormattedCitation":"[200]"},"properties":{"noteIndex":0},"schema":"https://github.com/citation-style-language/schema/raw/master/csl-citation.json"}</w:instrText>
      </w:r>
      <w:r w:rsidRPr="00DC556E">
        <w:rPr>
          <w:szCs w:val="24"/>
        </w:rPr>
        <w:fldChar w:fldCharType="separate"/>
      </w:r>
      <w:r w:rsidR="00E430FD" w:rsidRPr="00E430FD">
        <w:rPr>
          <w:noProof/>
          <w:szCs w:val="24"/>
        </w:rPr>
        <w:t>[200]</w:t>
      </w:r>
      <w:r w:rsidRPr="00DC556E">
        <w:rPr>
          <w:szCs w:val="24"/>
        </w:rPr>
        <w:fldChar w:fldCharType="end"/>
      </w:r>
      <w:r w:rsidRPr="00DC556E">
        <w:rPr>
          <w:szCs w:val="24"/>
        </w:rPr>
        <w:t xml:space="preserve">, при переходе больного на программный гемодиализ выбор сосудистого доступа должен быть следующим: артерио-венозная фистула, артериовенозный протез, туннелируемый катетер. При фракции выброса левого желудочка ≤30% методом выбора обеспечения сосудистого доступа для гемодиализа является туннелируемые (перманентные) катетеры </w:t>
      </w:r>
      <w:r w:rsidRPr="00DC556E">
        <w:rPr>
          <w:szCs w:val="24"/>
        </w:rPr>
        <w:fldChar w:fldCharType="begin" w:fldLock="1"/>
      </w:r>
      <w:r w:rsidR="00E430FD">
        <w:rPr>
          <w:szCs w:val="24"/>
        </w:rPr>
        <w:instrText>ADDIN CSL_CITATION {"citationItems":[{"id":"ITEM-1","itemData":{"DOI":"10.5301/jva.5000511","ISSN":"1129-7298","abstract":"Heart failure (HF) is the most frequent cardiovascular disease associated with chronic kidney disease and represents a high risk for cardiovascular mortality in incident hemodialysis (HD) patients. This risk is especially high during the arteriovenous fistula (AVF) maturation period due to the marked hemodynamic changes related to the large increase in the blood flow and also within the first 120 days after HD inception because in this period the highest mortality rate occurs. When planning the vascular access for each incident HF patient, the risk of aggravating HF after AVF creation must be evaluated carefully alongside the risk of catheter-related complications, but avoiding a non-selective ‘catheter first’ approach for all these patients. HF patients classified within the New York Heart Association (NYHA) Class I-II and the American College of Cardiology/American Heart Association (ACC/AHA) Stage A-B could initiate HD through a distal arm AVF. High-flow brachial artery-based AVF creation must be avoid...","author":[{"dropping-particle":"","family":"Roca-Tey","given":"Ramon","non-dropping-particle":"","parse-names":false,"suffix":""}],"container-title":"The Journal of Vascular Access","id":"ITEM-1","issue":"1_suppl","issued":{"date-parts":[["2016","3"]]},"page":"23-29","publisher":"SAGE PublicationsSage UK: London, England","title":"Permanent Arteriovenous Fistula or Catheter Dialysis for Heart Failure Patients","type":"article-journal","volume":"17"},"uris":["http://www.mendeley.com/documents/?uuid=712b5c5f-0e6e-4c53-b8c8-7b84d80a93b2"]}],"mendeley":{"formattedCitation":"[201]","plainTextFormattedCitation":"[201]","previouslyFormattedCitation":"[201]"},"properties":{"noteIndex":0},"schema":"https://github.com/citation-style-language/schema/raw/master/csl-citation.json"}</w:instrText>
      </w:r>
      <w:r w:rsidRPr="00DC556E">
        <w:rPr>
          <w:szCs w:val="24"/>
        </w:rPr>
        <w:fldChar w:fldCharType="separate"/>
      </w:r>
      <w:r w:rsidR="00E430FD" w:rsidRPr="00E430FD">
        <w:rPr>
          <w:noProof/>
          <w:szCs w:val="24"/>
        </w:rPr>
        <w:t>[201]</w:t>
      </w:r>
      <w:r w:rsidRPr="00DC556E">
        <w:rPr>
          <w:szCs w:val="24"/>
        </w:rPr>
        <w:fldChar w:fldCharType="end"/>
      </w:r>
      <w:r w:rsidRPr="00DC556E">
        <w:rPr>
          <w:szCs w:val="24"/>
        </w:rPr>
        <w:t>.</w:t>
      </w:r>
    </w:p>
    <w:p w14:paraId="5941AA3C" w14:textId="012D8329" w:rsidR="00B37E1F" w:rsidRPr="00DC556E" w:rsidRDefault="00CD6C97" w:rsidP="002431B5">
      <w:pPr>
        <w:spacing w:before="0" w:after="0"/>
        <w:rPr>
          <w:b/>
          <w:bCs/>
          <w:szCs w:val="24"/>
        </w:rPr>
      </w:pPr>
      <w:r w:rsidRPr="00DC556E">
        <w:rPr>
          <w:b/>
          <w:bCs/>
          <w:szCs w:val="24"/>
        </w:rPr>
        <w:t>Профилактика осложнений</w:t>
      </w:r>
    </w:p>
    <w:p w14:paraId="472CA89F" w14:textId="77777777" w:rsidR="00B37E1F" w:rsidRPr="00DC556E" w:rsidRDefault="00B37E1F" w:rsidP="002431B5">
      <w:pPr>
        <w:spacing w:before="0" w:after="0"/>
        <w:rPr>
          <w:b/>
          <w:bCs/>
          <w:szCs w:val="24"/>
        </w:rPr>
      </w:pPr>
      <w:r w:rsidRPr="00DC556E">
        <w:rPr>
          <w:b/>
          <w:bCs/>
          <w:szCs w:val="24"/>
        </w:rPr>
        <w:t>Методы профилактики ранних осложнений</w:t>
      </w:r>
    </w:p>
    <w:p w14:paraId="174DBA06" w14:textId="77777777" w:rsidR="00B37E1F" w:rsidRPr="00DC556E" w:rsidRDefault="00B37E1F" w:rsidP="0024404E">
      <w:pPr>
        <w:pStyle w:val="a6"/>
        <w:numPr>
          <w:ilvl w:val="0"/>
          <w:numId w:val="67"/>
        </w:numPr>
        <w:tabs>
          <w:tab w:val="left" w:pos="709"/>
        </w:tabs>
        <w:spacing w:before="0" w:after="0"/>
        <w:ind w:left="0" w:firstLine="0"/>
        <w:rPr>
          <w:szCs w:val="24"/>
        </w:rPr>
      </w:pPr>
      <w:r w:rsidRPr="00DC556E">
        <w:rPr>
          <w:szCs w:val="24"/>
        </w:rPr>
        <w:t>Ультразвуковое сопровождение катетеризации центральных вен</w:t>
      </w:r>
    </w:p>
    <w:p w14:paraId="1BE63EFD" w14:textId="77777777" w:rsidR="00B37E1F" w:rsidRPr="00DC556E" w:rsidRDefault="00B37E1F" w:rsidP="008A2329">
      <w:pPr>
        <w:spacing w:before="0" w:after="0"/>
        <w:ind w:firstLine="567"/>
        <w:rPr>
          <w:strike/>
          <w:szCs w:val="24"/>
        </w:rPr>
      </w:pPr>
      <w:r w:rsidRPr="00DC556E">
        <w:rPr>
          <w:szCs w:val="24"/>
        </w:rPr>
        <w:t>С использованием линейного датчика 10 МГц, который обеспечивает поверхность сканирования 20-50 мм и глубину до 80 мм или в допплеровском режиме.</w:t>
      </w:r>
    </w:p>
    <w:p w14:paraId="6B0B3C56" w14:textId="77777777" w:rsidR="00B37E1F" w:rsidRPr="00DC556E" w:rsidRDefault="00B37E1F" w:rsidP="008A2329">
      <w:pPr>
        <w:spacing w:before="0" w:after="0"/>
        <w:ind w:firstLine="567"/>
        <w:rPr>
          <w:szCs w:val="24"/>
        </w:rPr>
      </w:pPr>
      <w:r w:rsidRPr="00DC556E">
        <w:rPr>
          <w:szCs w:val="24"/>
        </w:rPr>
        <w:t>Пункцию вены осуществляют в режиме постоянной визуализации острия иглы.</w:t>
      </w:r>
    </w:p>
    <w:p w14:paraId="29169393" w14:textId="77777777" w:rsidR="00B37E1F" w:rsidRPr="00DC556E" w:rsidRDefault="00B37E1F" w:rsidP="008A2329">
      <w:pPr>
        <w:spacing w:before="0" w:after="0"/>
        <w:ind w:firstLine="567"/>
        <w:rPr>
          <w:szCs w:val="24"/>
        </w:rPr>
      </w:pPr>
      <w:r w:rsidRPr="00DC556E">
        <w:rPr>
          <w:szCs w:val="24"/>
        </w:rPr>
        <w:t xml:space="preserve">Нарушения гемостаза компенсируются с помощью заместительной терапии компонентами крови. </w:t>
      </w:r>
    </w:p>
    <w:p w14:paraId="62282A45" w14:textId="77777777" w:rsidR="00B37E1F" w:rsidRPr="00DC556E" w:rsidRDefault="00B37E1F" w:rsidP="008A2329">
      <w:pPr>
        <w:spacing w:before="0" w:after="0"/>
        <w:ind w:firstLine="567"/>
        <w:rPr>
          <w:rFonts w:eastAsia="ＭＳ 明朝 (Основной текст темы (ази"/>
          <w:szCs w:val="24"/>
          <w:lang w:eastAsia="ru-RU"/>
        </w:rPr>
      </w:pPr>
      <w:r w:rsidRPr="00DC556E">
        <w:rPr>
          <w:szCs w:val="24"/>
        </w:rPr>
        <w:t>Трансфузию концентратов тромбоцитов выполняют при снижении их концентрации в периферической крови ниже 20х10</w:t>
      </w:r>
      <w:r w:rsidRPr="00DC556E">
        <w:rPr>
          <w:szCs w:val="24"/>
          <w:vertAlign w:val="superscript"/>
        </w:rPr>
        <w:t>9</w:t>
      </w:r>
      <w:r w:rsidRPr="00DC556E">
        <w:rPr>
          <w:szCs w:val="24"/>
        </w:rPr>
        <w:t xml:space="preserve">/л </w:t>
      </w:r>
      <w:r w:rsidRPr="00DC556E">
        <w:rPr>
          <w:rFonts w:eastAsia="ＭＳ 明朝 (Основной текст темы (ази"/>
          <w:szCs w:val="24"/>
          <w:lang w:eastAsia="ru-RU"/>
        </w:rPr>
        <w:t>из расчета 1 ед. или 0,6х10</w:t>
      </w:r>
      <w:r w:rsidRPr="00DC556E">
        <w:rPr>
          <w:rFonts w:eastAsia="ＭＳ 明朝 (Основной текст темы (ази"/>
          <w:szCs w:val="24"/>
          <w:vertAlign w:val="superscript"/>
          <w:lang w:eastAsia="ru-RU"/>
        </w:rPr>
        <w:t>11</w:t>
      </w:r>
      <w:r w:rsidRPr="00DC556E">
        <w:rPr>
          <w:rFonts w:eastAsia="ＭＳ 明朝 (Основной текст темы (ази"/>
          <w:szCs w:val="24"/>
          <w:lang w:eastAsia="ru-RU"/>
        </w:rPr>
        <w:t xml:space="preserve"> клеток на 10 кг массы тела либо 1 терапевтическая доза (2х10</w:t>
      </w:r>
      <w:r w:rsidRPr="00DC556E">
        <w:rPr>
          <w:rFonts w:eastAsia="ＭＳ 明朝 (Основной текст темы (ази"/>
          <w:szCs w:val="24"/>
          <w:vertAlign w:val="superscript"/>
          <w:lang w:eastAsia="ru-RU"/>
        </w:rPr>
        <w:t>11</w:t>
      </w:r>
      <w:r w:rsidRPr="00DC556E">
        <w:rPr>
          <w:rFonts w:eastAsia="ＭＳ 明朝 (Основной текст темы (ази"/>
          <w:szCs w:val="24"/>
          <w:lang w:eastAsia="ru-RU"/>
        </w:rPr>
        <w:t xml:space="preserve"> клеток) на 1 м</w:t>
      </w:r>
      <w:r w:rsidRPr="00DC556E">
        <w:rPr>
          <w:rFonts w:eastAsia="ＭＳ 明朝 (Основной текст темы (ази"/>
          <w:szCs w:val="24"/>
          <w:vertAlign w:val="superscript"/>
          <w:lang w:eastAsia="ru-RU"/>
        </w:rPr>
        <w:t>2</w:t>
      </w:r>
      <w:r w:rsidRPr="00DC556E">
        <w:rPr>
          <w:rFonts w:eastAsia="ＭＳ 明朝 (Основной текст темы (ази"/>
          <w:szCs w:val="24"/>
          <w:lang w:eastAsia="ru-RU"/>
        </w:rPr>
        <w:t xml:space="preserve"> поверхности тела.</w:t>
      </w:r>
    </w:p>
    <w:p w14:paraId="39EA77ED" w14:textId="77777777" w:rsidR="00B37E1F" w:rsidRPr="00DC556E" w:rsidRDefault="00B37E1F" w:rsidP="008A2329">
      <w:pPr>
        <w:spacing w:before="0" w:after="0"/>
        <w:ind w:firstLine="567"/>
        <w:rPr>
          <w:szCs w:val="24"/>
        </w:rPr>
      </w:pPr>
      <w:r w:rsidRPr="00DC556E">
        <w:rPr>
          <w:rFonts w:eastAsia="ＭＳ 明朝 (Основной текст темы (ази"/>
          <w:szCs w:val="24"/>
          <w:lang w:eastAsia="ru-RU"/>
        </w:rPr>
        <w:t>Трансфузии</w:t>
      </w:r>
      <w:r w:rsidRPr="00DC556E">
        <w:rPr>
          <w:szCs w:val="24"/>
        </w:rPr>
        <w:t xml:space="preserve"> криопреципитата выполняют при снижении концентрации фибриногена плазмы &lt;1,5 г/л из расчета 1 доза на 5 кг массы тела больного.</w:t>
      </w:r>
    </w:p>
    <w:p w14:paraId="73079749" w14:textId="77777777" w:rsidR="00B37E1F" w:rsidRPr="00DC556E" w:rsidRDefault="00B37E1F" w:rsidP="008A2329">
      <w:pPr>
        <w:spacing w:before="0" w:after="0"/>
        <w:ind w:firstLine="567"/>
        <w:rPr>
          <w:rFonts w:eastAsia="ＭＳ 明朝 (Основной текст темы (ази"/>
          <w:szCs w:val="24"/>
          <w:lang w:eastAsia="ru-RU"/>
        </w:rPr>
      </w:pPr>
      <w:r w:rsidRPr="00DC556E">
        <w:rPr>
          <w:szCs w:val="24"/>
        </w:rPr>
        <w:t>Трансфузии свежезамороженной плазмы проводят для коррекции дефицита факторов свертывания в дозе 10-15 мл/кг для обеспечения концентрации факторов свёртывания на уровне 30%.</w:t>
      </w:r>
    </w:p>
    <w:p w14:paraId="0543C3B5" w14:textId="77777777" w:rsidR="00B37E1F" w:rsidRPr="00DC556E" w:rsidRDefault="00B37E1F" w:rsidP="008A2329">
      <w:pPr>
        <w:pStyle w:val="Default"/>
        <w:spacing w:line="360" w:lineRule="auto"/>
        <w:ind w:firstLine="567"/>
        <w:jc w:val="both"/>
        <w:rPr>
          <w:color w:val="auto"/>
        </w:rPr>
      </w:pPr>
      <w:r w:rsidRPr="00DC556E">
        <w:rPr>
          <w:color w:val="auto"/>
        </w:rPr>
        <w:t>Хотя безопасным уровнем для катетеризации мы считаем количество тромбоцитов крови более 20 х 10</w:t>
      </w:r>
      <w:r w:rsidRPr="00DC556E">
        <w:rPr>
          <w:color w:val="auto"/>
          <w:vertAlign w:val="superscript"/>
        </w:rPr>
        <w:t>9</w:t>
      </w:r>
      <w:r w:rsidRPr="00DC556E">
        <w:rPr>
          <w:color w:val="auto"/>
        </w:rPr>
        <w:t>/л, у ряда пациентов достичь этого порогового уровня не удается вследствие различных причин, например, рефрактерность к трансфузиям. В этих случаях катетеризация цент</w:t>
      </w:r>
      <w:r>
        <w:rPr>
          <w:color w:val="auto"/>
        </w:rPr>
        <w:t xml:space="preserve">ральной вены проводится только </w:t>
      </w:r>
      <w:r w:rsidRPr="00DC556E">
        <w:rPr>
          <w:color w:val="auto"/>
        </w:rPr>
        <w:t>под контролем ультразвука.</w:t>
      </w:r>
    </w:p>
    <w:p w14:paraId="13B7B7B8" w14:textId="77777777" w:rsidR="00B37E1F" w:rsidRPr="00DC556E" w:rsidRDefault="00B37E1F" w:rsidP="002431B5">
      <w:pPr>
        <w:spacing w:before="0" w:after="0"/>
        <w:rPr>
          <w:b/>
          <w:bCs/>
          <w:szCs w:val="24"/>
        </w:rPr>
      </w:pPr>
      <w:r w:rsidRPr="00DC556E">
        <w:rPr>
          <w:b/>
          <w:bCs/>
          <w:szCs w:val="24"/>
        </w:rPr>
        <w:t>Методы профилактики поздних осложнений</w:t>
      </w:r>
    </w:p>
    <w:p w14:paraId="0A0FD3D5" w14:textId="57FB765A" w:rsidR="00B37E1F" w:rsidRPr="00DC556E" w:rsidRDefault="00B37E1F" w:rsidP="008A2329">
      <w:pPr>
        <w:spacing w:before="0" w:after="0"/>
        <w:ind w:firstLine="567"/>
        <w:rPr>
          <w:szCs w:val="24"/>
        </w:rPr>
      </w:pPr>
      <w:r w:rsidRPr="00DC556E">
        <w:rPr>
          <w:szCs w:val="24"/>
        </w:rPr>
        <w:lastRenderedPageBreak/>
        <w:t xml:space="preserve">После окончания использования все катетеры должны быть промыты соответствующим объемом физиологического раствора (табл. </w:t>
      </w:r>
      <w:r w:rsidR="00436F47">
        <w:rPr>
          <w:szCs w:val="24"/>
        </w:rPr>
        <w:t>А3.</w:t>
      </w:r>
      <w:r w:rsidRPr="00DC556E">
        <w:rPr>
          <w:szCs w:val="24"/>
        </w:rPr>
        <w:t>1</w:t>
      </w:r>
      <w:r w:rsidR="00436F47">
        <w:rPr>
          <w:szCs w:val="24"/>
        </w:rPr>
        <w:t>3</w:t>
      </w:r>
      <w:r w:rsidRPr="00DC556E">
        <w:rPr>
          <w:szCs w:val="24"/>
        </w:rPr>
        <w:t xml:space="preserve">), а затем закрыты с помощью раствора, создающего «катетерный замок» также в соответствии с объемом катетера. На короткий срок (1-2 сут.) может быть использован «гепариновый замок» (гепарин в физиологическом растворе в концентрации 100 Ед/мл). </w:t>
      </w:r>
    </w:p>
    <w:p w14:paraId="1C3E3885" w14:textId="77777777" w:rsidR="00B37E1F" w:rsidRPr="00DC556E" w:rsidRDefault="00B37E1F" w:rsidP="008A2329">
      <w:pPr>
        <w:spacing w:before="0" w:after="0"/>
        <w:ind w:firstLine="567"/>
        <w:rPr>
          <w:rFonts w:eastAsia="ＭＳ 明朝 (Основной текст темы (ази"/>
          <w:szCs w:val="24"/>
        </w:rPr>
      </w:pPr>
      <w:r w:rsidRPr="00DC556E">
        <w:rPr>
          <w:rFonts w:eastAsia="ＭＳ 明朝 (Основной текст темы (ази"/>
          <w:szCs w:val="24"/>
        </w:rPr>
        <w:t>В случае перерывов в лечении катетер необходимо промывать 1 раз в 24 часа для нетуннелируемых ЦВК, 1 раз в 7 (10) дней для ПИЦВК и туннелируемых катетеров, 1 раз в 30 дней для порт-систем.</w:t>
      </w:r>
    </w:p>
    <w:p w14:paraId="1A0B0B41" w14:textId="77777777" w:rsidR="00B37E1F" w:rsidRDefault="00B37E1F" w:rsidP="008A2329">
      <w:pPr>
        <w:spacing w:before="0" w:after="0"/>
        <w:ind w:firstLine="567"/>
        <w:rPr>
          <w:rFonts w:eastAsia="ＭＳ 明朝 (Основной текст темы (ази"/>
          <w:szCs w:val="24"/>
        </w:rPr>
      </w:pPr>
      <w:r w:rsidRPr="00DC556E">
        <w:rPr>
          <w:rFonts w:eastAsia="ＭＳ 明朝 (Основной текст темы (ази"/>
          <w:szCs w:val="24"/>
        </w:rPr>
        <w:t>Асептическая повязка накладывается на место выхода катетера на кожу. Частота замены повязки с обязательной обработкой места выхода катетера, в соответствии с общими принципами хирургической обработки, 2 раза в неделю при использовании нетуннелируемых катетеров, 1 раз в неделю для туннелируемых катетеров и ПИЦВК, и при необходимости. Предпочтительно использовать прозрачные повязки для возможности ежедневной оценки кожи в месте установки катетера на наличие воспалительных изменений.</w:t>
      </w:r>
    </w:p>
    <w:p w14:paraId="1668ECCA" w14:textId="152F444E" w:rsidR="00B37E1F" w:rsidRPr="00DC556E" w:rsidRDefault="00B37E1F" w:rsidP="002431B5">
      <w:pPr>
        <w:spacing w:before="0" w:after="0"/>
        <w:rPr>
          <w:szCs w:val="24"/>
        </w:rPr>
      </w:pPr>
      <w:r w:rsidRPr="00DC556E">
        <w:rPr>
          <w:szCs w:val="24"/>
        </w:rPr>
        <w:t xml:space="preserve">Таблица </w:t>
      </w:r>
      <w:r w:rsidR="00436F47">
        <w:rPr>
          <w:szCs w:val="24"/>
        </w:rPr>
        <w:t>А3.13</w:t>
      </w:r>
      <w:r w:rsidRPr="00DC556E">
        <w:rPr>
          <w:szCs w:val="24"/>
        </w:rPr>
        <w:t>. Режимы промывания и закрытия катетеров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002"/>
        <w:gridCol w:w="6707"/>
      </w:tblGrid>
      <w:tr w:rsidR="00B37E1F" w:rsidRPr="00DC556E" w14:paraId="32344122" w14:textId="77777777" w:rsidTr="00B37E1F">
        <w:trPr>
          <w:cantSplit/>
          <w:trHeight w:val="2220"/>
        </w:trPr>
        <w:tc>
          <w:tcPr>
            <w:tcW w:w="534" w:type="dxa"/>
            <w:vMerge w:val="restart"/>
            <w:textDirection w:val="btLr"/>
          </w:tcPr>
          <w:p w14:paraId="5250B3CF"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Промывание катетера</w:t>
            </w:r>
          </w:p>
        </w:tc>
        <w:tc>
          <w:tcPr>
            <w:tcW w:w="2011" w:type="dxa"/>
            <w:shd w:val="clear" w:color="auto" w:fill="auto"/>
          </w:tcPr>
          <w:p w14:paraId="7D0EEF67"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Введение препаратов</w:t>
            </w:r>
          </w:p>
        </w:tc>
        <w:tc>
          <w:tcPr>
            <w:tcW w:w="7026" w:type="dxa"/>
            <w:shd w:val="clear" w:color="auto" w:fill="auto"/>
          </w:tcPr>
          <w:p w14:paraId="41032F24"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 xml:space="preserve">Промывать катетеры необходимо до и после введения лекарственных препаратов и компонентов крови. Использовать болюсное (импульсный режим) промывание 10 мл физиологического раствора для всех внутривенных катетеров (за исключением периферических катетеров, где достаточно 5 мл). </w:t>
            </w:r>
          </w:p>
        </w:tc>
      </w:tr>
      <w:tr w:rsidR="00B37E1F" w:rsidRPr="00DC556E" w14:paraId="182449E7" w14:textId="77777777" w:rsidTr="00B37E1F">
        <w:trPr>
          <w:cantSplit/>
          <w:trHeight w:val="1920"/>
        </w:trPr>
        <w:tc>
          <w:tcPr>
            <w:tcW w:w="534" w:type="dxa"/>
            <w:vMerge/>
            <w:textDirection w:val="btLr"/>
          </w:tcPr>
          <w:p w14:paraId="19B39304" w14:textId="77777777" w:rsidR="00B37E1F" w:rsidRPr="00DC556E" w:rsidRDefault="00B37E1F" w:rsidP="002431B5">
            <w:pPr>
              <w:spacing w:before="0" w:after="0"/>
              <w:rPr>
                <w:rFonts w:eastAsia="ＭＳ 明朝 (Основной текст темы (ази"/>
                <w:szCs w:val="24"/>
              </w:rPr>
            </w:pPr>
          </w:p>
        </w:tc>
        <w:tc>
          <w:tcPr>
            <w:tcW w:w="2011" w:type="dxa"/>
            <w:shd w:val="clear" w:color="auto" w:fill="auto"/>
          </w:tcPr>
          <w:p w14:paraId="191BB5E1"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Парентеральное питание, компоненты крови</w:t>
            </w:r>
          </w:p>
        </w:tc>
        <w:tc>
          <w:tcPr>
            <w:tcW w:w="7026" w:type="dxa"/>
            <w:shd w:val="clear" w:color="auto" w:fill="auto"/>
          </w:tcPr>
          <w:p w14:paraId="571D3FC5"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После введения в катетер компонентов крови или парентерально питания использовать 20 мл</w:t>
            </w:r>
            <w:r>
              <w:rPr>
                <w:rFonts w:eastAsia="ＭＳ 明朝 (Основной текст темы (ази"/>
                <w:szCs w:val="24"/>
              </w:rPr>
              <w:t xml:space="preserve"> </w:t>
            </w:r>
            <w:r w:rsidRPr="00DC556E">
              <w:rPr>
                <w:rFonts w:eastAsia="ＭＳ 明朝 (Основной текст темы (ази"/>
                <w:szCs w:val="24"/>
              </w:rPr>
              <w:t>(10 мл х 2) для промывания катетера. Промывать необходимо чередуя импульсный режим и струйное болюсное введение.</w:t>
            </w:r>
          </w:p>
        </w:tc>
      </w:tr>
      <w:tr w:rsidR="00B37E1F" w:rsidRPr="00DC556E" w14:paraId="717513D8" w14:textId="77777777" w:rsidTr="00B37E1F">
        <w:trPr>
          <w:cantSplit/>
          <w:trHeight w:val="1134"/>
        </w:trPr>
        <w:tc>
          <w:tcPr>
            <w:tcW w:w="534" w:type="dxa"/>
            <w:vMerge w:val="restart"/>
            <w:textDirection w:val="btLr"/>
          </w:tcPr>
          <w:p w14:paraId="4333D485"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Закрытие катетера</w:t>
            </w:r>
          </w:p>
        </w:tc>
        <w:tc>
          <w:tcPr>
            <w:tcW w:w="2011" w:type="dxa"/>
            <w:shd w:val="clear" w:color="auto" w:fill="auto"/>
          </w:tcPr>
          <w:p w14:paraId="366CD599"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 xml:space="preserve">Объем </w:t>
            </w:r>
          </w:p>
        </w:tc>
        <w:tc>
          <w:tcPr>
            <w:tcW w:w="7026" w:type="dxa"/>
            <w:shd w:val="clear" w:color="auto" w:fill="auto"/>
          </w:tcPr>
          <w:p w14:paraId="084B1BE9"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1 мл для периферических катетеров</w:t>
            </w:r>
          </w:p>
          <w:p w14:paraId="447A7E81"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 xml:space="preserve">1,5 мл для катетеров типа </w:t>
            </w:r>
            <w:r w:rsidRPr="00DC556E">
              <w:rPr>
                <w:rFonts w:eastAsia="ＭＳ 明朝 (Основной текст темы (ази"/>
                <w:szCs w:val="24"/>
                <w:lang w:val="en-US"/>
              </w:rPr>
              <w:t>MidLine</w:t>
            </w:r>
            <w:r w:rsidRPr="00DC556E">
              <w:rPr>
                <w:rFonts w:eastAsia="ＭＳ 明朝 (Основной текст темы (ази"/>
                <w:szCs w:val="24"/>
              </w:rPr>
              <w:t>, ПИЦВК, нетуннелируемых ЦВК и туннелируемых ЦВК с небольшим (</w:t>
            </w:r>
            <w:r w:rsidRPr="00DC556E">
              <w:rPr>
                <w:rFonts w:eastAsia="MS Gothic"/>
                <w:szCs w:val="24"/>
              </w:rPr>
              <w:t>≤1 мм)</w:t>
            </w:r>
            <w:r w:rsidRPr="00DC556E">
              <w:rPr>
                <w:rFonts w:eastAsia="ＭＳ 明朝 (Основной текст темы (ази"/>
                <w:szCs w:val="24"/>
              </w:rPr>
              <w:t xml:space="preserve"> внутренним диаметром </w:t>
            </w:r>
          </w:p>
          <w:p w14:paraId="2A53F1EE"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2,0-2,5 мл для туннелируемых ЦВК с большим (≥</w:t>
            </w:r>
            <w:r w:rsidRPr="00DC556E">
              <w:rPr>
                <w:rFonts w:eastAsia="MS Gothic"/>
                <w:szCs w:val="24"/>
              </w:rPr>
              <w:t>1 мм)</w:t>
            </w:r>
            <w:r w:rsidRPr="00DC556E">
              <w:rPr>
                <w:rFonts w:eastAsia="ＭＳ 明朝 (Основной текст темы (ази"/>
                <w:szCs w:val="24"/>
              </w:rPr>
              <w:t xml:space="preserve"> внутренним диаметром (в каждый ход), порт систем</w:t>
            </w:r>
          </w:p>
        </w:tc>
      </w:tr>
      <w:tr w:rsidR="00B37E1F" w:rsidRPr="00DC556E" w14:paraId="1012CE05" w14:textId="77777777" w:rsidTr="00B37E1F">
        <w:trPr>
          <w:cantSplit/>
          <w:trHeight w:val="1134"/>
        </w:trPr>
        <w:tc>
          <w:tcPr>
            <w:tcW w:w="534" w:type="dxa"/>
            <w:vMerge/>
            <w:textDirection w:val="btLr"/>
          </w:tcPr>
          <w:p w14:paraId="33874440" w14:textId="77777777" w:rsidR="00B37E1F" w:rsidRPr="00DC556E" w:rsidRDefault="00B37E1F" w:rsidP="002431B5">
            <w:pPr>
              <w:spacing w:before="0" w:after="0"/>
              <w:rPr>
                <w:rFonts w:eastAsia="ＭＳ 明朝 (Основной текст темы (ази"/>
                <w:szCs w:val="24"/>
              </w:rPr>
            </w:pPr>
          </w:p>
        </w:tc>
        <w:tc>
          <w:tcPr>
            <w:tcW w:w="2011" w:type="dxa"/>
            <w:shd w:val="clear" w:color="auto" w:fill="auto"/>
          </w:tcPr>
          <w:p w14:paraId="67520B9D"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Режимы</w:t>
            </w:r>
          </w:p>
        </w:tc>
        <w:tc>
          <w:tcPr>
            <w:tcW w:w="7026" w:type="dxa"/>
            <w:shd w:val="clear" w:color="auto" w:fill="auto"/>
          </w:tcPr>
          <w:p w14:paraId="519460FF"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Каждые 8-24 ч для кратковременных ЦВК</w:t>
            </w:r>
          </w:p>
          <w:p w14:paraId="445A041B"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Еженедельно – для туннелируемых ЦВК и ПИЦВК</w:t>
            </w:r>
          </w:p>
          <w:p w14:paraId="4C5C681C" w14:textId="77777777" w:rsidR="00B37E1F" w:rsidRPr="00DC556E" w:rsidRDefault="00B37E1F" w:rsidP="002431B5">
            <w:pPr>
              <w:spacing w:before="0" w:after="0"/>
              <w:rPr>
                <w:rFonts w:eastAsia="ＭＳ 明朝 (Основной текст темы (ази"/>
                <w:szCs w:val="24"/>
              </w:rPr>
            </w:pPr>
            <w:r w:rsidRPr="00DC556E">
              <w:rPr>
                <w:rFonts w:eastAsia="ＭＳ 明朝 (Основной текст темы (ази"/>
                <w:szCs w:val="24"/>
              </w:rPr>
              <w:t>Каждые 6-8 недель для порт-систем</w:t>
            </w:r>
          </w:p>
        </w:tc>
      </w:tr>
    </w:tbl>
    <w:p w14:paraId="3C76531C" w14:textId="77777777" w:rsidR="00B37E1F" w:rsidRPr="00DC556E" w:rsidRDefault="00B37E1F" w:rsidP="002431B5">
      <w:pPr>
        <w:spacing w:before="0" w:after="0"/>
        <w:rPr>
          <w:b/>
          <w:bCs/>
          <w:szCs w:val="24"/>
        </w:rPr>
      </w:pPr>
    </w:p>
    <w:p w14:paraId="225F22FA" w14:textId="77777777" w:rsidR="00B37E1F" w:rsidRPr="00DC556E" w:rsidRDefault="00B37E1F" w:rsidP="002431B5">
      <w:pPr>
        <w:spacing w:before="0" w:after="0"/>
        <w:rPr>
          <w:b/>
          <w:szCs w:val="24"/>
        </w:rPr>
      </w:pPr>
      <w:r w:rsidRPr="00DC556E">
        <w:rPr>
          <w:b/>
          <w:szCs w:val="24"/>
        </w:rPr>
        <w:t>Лекарственные препараты, применяемые при обеспечении сосудистого доступа:</w:t>
      </w:r>
    </w:p>
    <w:p w14:paraId="36CDA770" w14:textId="77777777" w:rsidR="00B37E1F" w:rsidRPr="00DC556E" w:rsidRDefault="00B37E1F" w:rsidP="0024404E">
      <w:pPr>
        <w:pStyle w:val="a6"/>
        <w:numPr>
          <w:ilvl w:val="0"/>
          <w:numId w:val="68"/>
        </w:numPr>
        <w:spacing w:before="0" w:after="0"/>
        <w:ind w:left="0" w:firstLine="0"/>
        <w:rPr>
          <w:szCs w:val="24"/>
        </w:rPr>
      </w:pPr>
      <w:r w:rsidRPr="00DC556E">
        <w:rPr>
          <w:szCs w:val="24"/>
        </w:rPr>
        <w:t xml:space="preserve">Раствор Новокаина 0,5% </w:t>
      </w:r>
    </w:p>
    <w:p w14:paraId="0A9D4CA2" w14:textId="62B8FB7A" w:rsidR="00B37E1F" w:rsidRPr="00DC556E" w:rsidRDefault="00B37E1F" w:rsidP="0024404E">
      <w:pPr>
        <w:pStyle w:val="a6"/>
        <w:numPr>
          <w:ilvl w:val="0"/>
          <w:numId w:val="68"/>
        </w:numPr>
        <w:spacing w:before="0" w:after="0"/>
        <w:ind w:left="0" w:firstLine="0"/>
        <w:rPr>
          <w:szCs w:val="24"/>
        </w:rPr>
      </w:pPr>
      <w:r w:rsidRPr="00DC556E">
        <w:rPr>
          <w:szCs w:val="24"/>
        </w:rPr>
        <w:t>Раствор Лидокаина</w:t>
      </w:r>
      <w:r w:rsidR="00F87EE7">
        <w:rPr>
          <w:szCs w:val="24"/>
          <w:lang w:val="en-US"/>
        </w:rPr>
        <w:t>**</w:t>
      </w:r>
      <w:r w:rsidRPr="00DC556E">
        <w:rPr>
          <w:szCs w:val="24"/>
        </w:rPr>
        <w:t xml:space="preserve"> 2%  </w:t>
      </w:r>
    </w:p>
    <w:p w14:paraId="4F918744" w14:textId="6DC985C3" w:rsidR="00B37E1F" w:rsidRPr="00DC556E" w:rsidRDefault="00B37E1F" w:rsidP="0024404E">
      <w:pPr>
        <w:pStyle w:val="a6"/>
        <w:numPr>
          <w:ilvl w:val="0"/>
          <w:numId w:val="68"/>
        </w:numPr>
        <w:spacing w:before="0" w:after="0"/>
        <w:ind w:left="0" w:firstLine="0"/>
        <w:rPr>
          <w:szCs w:val="24"/>
        </w:rPr>
      </w:pPr>
      <w:r w:rsidRPr="00DC556E">
        <w:rPr>
          <w:szCs w:val="24"/>
        </w:rPr>
        <w:t>Раствор Лидокаина</w:t>
      </w:r>
      <w:r w:rsidR="00F87EE7">
        <w:rPr>
          <w:szCs w:val="24"/>
          <w:lang w:val="en-US"/>
        </w:rPr>
        <w:t>**</w:t>
      </w:r>
      <w:r w:rsidRPr="00DC556E">
        <w:rPr>
          <w:szCs w:val="24"/>
        </w:rPr>
        <w:t xml:space="preserve"> 10% </w:t>
      </w:r>
    </w:p>
    <w:p w14:paraId="1CFF202F" w14:textId="723765E6" w:rsidR="00B37E1F" w:rsidRPr="00DC556E" w:rsidRDefault="00B37E1F" w:rsidP="0024404E">
      <w:pPr>
        <w:pStyle w:val="a6"/>
        <w:numPr>
          <w:ilvl w:val="0"/>
          <w:numId w:val="68"/>
        </w:numPr>
        <w:spacing w:before="0" w:after="0"/>
        <w:ind w:left="0" w:firstLine="0"/>
        <w:rPr>
          <w:szCs w:val="24"/>
        </w:rPr>
      </w:pPr>
      <w:r w:rsidRPr="00DC556E">
        <w:rPr>
          <w:szCs w:val="24"/>
        </w:rPr>
        <w:t>Раствор Амиодарона</w:t>
      </w:r>
      <w:r w:rsidR="00F87EE7">
        <w:rPr>
          <w:szCs w:val="24"/>
          <w:lang w:val="en-US"/>
        </w:rPr>
        <w:t>**</w:t>
      </w:r>
      <w:r w:rsidRPr="00DC556E">
        <w:rPr>
          <w:szCs w:val="24"/>
        </w:rPr>
        <w:t xml:space="preserve"> 150 мг </w:t>
      </w:r>
    </w:p>
    <w:p w14:paraId="028274CF" w14:textId="77777777" w:rsidR="00B37E1F" w:rsidRPr="00DC556E" w:rsidRDefault="00B37E1F" w:rsidP="0024404E">
      <w:pPr>
        <w:pStyle w:val="a6"/>
        <w:numPr>
          <w:ilvl w:val="0"/>
          <w:numId w:val="68"/>
        </w:numPr>
        <w:spacing w:before="0" w:after="0"/>
        <w:ind w:left="0" w:firstLine="0"/>
        <w:rPr>
          <w:szCs w:val="24"/>
        </w:rPr>
      </w:pPr>
      <w:r w:rsidRPr="00DC556E">
        <w:rPr>
          <w:szCs w:val="24"/>
        </w:rPr>
        <w:t xml:space="preserve">Раствор Новокаинамида 10% </w:t>
      </w:r>
    </w:p>
    <w:p w14:paraId="61C7D27C" w14:textId="77777777" w:rsidR="00B37E1F" w:rsidRPr="00DC556E" w:rsidRDefault="00B37E1F" w:rsidP="0024404E">
      <w:pPr>
        <w:pStyle w:val="a6"/>
        <w:numPr>
          <w:ilvl w:val="0"/>
          <w:numId w:val="68"/>
        </w:numPr>
        <w:spacing w:before="0" w:after="0"/>
        <w:ind w:left="0" w:firstLine="0"/>
        <w:rPr>
          <w:szCs w:val="24"/>
        </w:rPr>
      </w:pPr>
      <w:r w:rsidRPr="00DC556E">
        <w:rPr>
          <w:szCs w:val="24"/>
        </w:rPr>
        <w:t>Раствор Аденозинтрифосфата</w:t>
      </w:r>
    </w:p>
    <w:p w14:paraId="49E2BC1C" w14:textId="70EB7CA5" w:rsidR="00B37E1F" w:rsidRPr="00DC556E" w:rsidRDefault="00B37E1F" w:rsidP="0024404E">
      <w:pPr>
        <w:pStyle w:val="a6"/>
        <w:numPr>
          <w:ilvl w:val="0"/>
          <w:numId w:val="68"/>
        </w:numPr>
        <w:spacing w:before="0" w:after="0"/>
        <w:ind w:left="0" w:firstLine="0"/>
        <w:rPr>
          <w:szCs w:val="24"/>
        </w:rPr>
      </w:pPr>
      <w:r w:rsidRPr="00DC556E">
        <w:rPr>
          <w:szCs w:val="24"/>
        </w:rPr>
        <w:t>Раствор Верапамила</w:t>
      </w:r>
      <w:r w:rsidR="00F87EE7">
        <w:rPr>
          <w:szCs w:val="24"/>
          <w:lang w:val="en-US"/>
        </w:rPr>
        <w:t>**</w:t>
      </w:r>
      <w:r w:rsidRPr="00DC556E">
        <w:rPr>
          <w:szCs w:val="24"/>
        </w:rPr>
        <w:t xml:space="preserve"> 2%  </w:t>
      </w:r>
    </w:p>
    <w:p w14:paraId="1A575F95" w14:textId="5062E773" w:rsidR="00B37E1F" w:rsidRPr="00DC556E" w:rsidRDefault="00B37E1F" w:rsidP="0024404E">
      <w:pPr>
        <w:pStyle w:val="a6"/>
        <w:numPr>
          <w:ilvl w:val="0"/>
          <w:numId w:val="68"/>
        </w:numPr>
        <w:spacing w:before="0" w:after="0"/>
        <w:ind w:left="0" w:firstLine="0"/>
        <w:rPr>
          <w:szCs w:val="24"/>
        </w:rPr>
      </w:pPr>
      <w:r w:rsidRPr="00DC556E">
        <w:rPr>
          <w:szCs w:val="24"/>
        </w:rPr>
        <w:t>Гепарин</w:t>
      </w:r>
      <w:r w:rsidR="00F87EE7">
        <w:rPr>
          <w:szCs w:val="24"/>
          <w:lang w:val="en-US"/>
        </w:rPr>
        <w:t>**</w:t>
      </w:r>
      <w:r w:rsidRPr="00DC556E">
        <w:rPr>
          <w:szCs w:val="24"/>
        </w:rPr>
        <w:t xml:space="preserve"> 25000 мл</w:t>
      </w:r>
    </w:p>
    <w:p w14:paraId="24FA8FB4" w14:textId="6676C9AC" w:rsidR="00B37E1F" w:rsidRPr="00DC556E" w:rsidRDefault="00B37E1F" w:rsidP="0024404E">
      <w:pPr>
        <w:pStyle w:val="a6"/>
        <w:numPr>
          <w:ilvl w:val="0"/>
          <w:numId w:val="68"/>
        </w:numPr>
        <w:spacing w:before="0" w:after="0"/>
        <w:ind w:left="0" w:firstLine="0"/>
        <w:rPr>
          <w:szCs w:val="24"/>
        </w:rPr>
      </w:pPr>
      <w:r w:rsidRPr="00DC556E">
        <w:rPr>
          <w:szCs w:val="24"/>
        </w:rPr>
        <w:t>Фентанил</w:t>
      </w:r>
      <w:r w:rsidR="00F87EE7">
        <w:rPr>
          <w:szCs w:val="24"/>
          <w:lang w:val="en-US"/>
        </w:rPr>
        <w:t>**</w:t>
      </w:r>
      <w:r w:rsidRPr="00DC556E">
        <w:rPr>
          <w:szCs w:val="24"/>
        </w:rPr>
        <w:t xml:space="preserve"> 0,005% </w:t>
      </w:r>
    </w:p>
    <w:p w14:paraId="3B67A530" w14:textId="551EFE0F" w:rsidR="00B37E1F" w:rsidRPr="00DC556E" w:rsidRDefault="00B37E1F" w:rsidP="0024404E">
      <w:pPr>
        <w:pStyle w:val="a6"/>
        <w:numPr>
          <w:ilvl w:val="0"/>
          <w:numId w:val="68"/>
        </w:numPr>
        <w:spacing w:before="0" w:after="0"/>
        <w:ind w:left="0" w:firstLine="0"/>
        <w:rPr>
          <w:szCs w:val="24"/>
        </w:rPr>
      </w:pPr>
      <w:r w:rsidRPr="00DC556E">
        <w:rPr>
          <w:szCs w:val="24"/>
        </w:rPr>
        <w:t>Кетамин</w:t>
      </w:r>
      <w:r w:rsidR="00F87EE7">
        <w:rPr>
          <w:szCs w:val="24"/>
          <w:lang w:val="en-US"/>
        </w:rPr>
        <w:t>**</w:t>
      </w:r>
      <w:r w:rsidRPr="00DC556E">
        <w:rPr>
          <w:szCs w:val="24"/>
        </w:rPr>
        <w:t xml:space="preserve"> 5%  </w:t>
      </w:r>
    </w:p>
    <w:p w14:paraId="1238F024" w14:textId="44C23914" w:rsidR="00B37E1F" w:rsidRPr="00DC556E" w:rsidRDefault="00B37E1F" w:rsidP="0024404E">
      <w:pPr>
        <w:pStyle w:val="a6"/>
        <w:numPr>
          <w:ilvl w:val="0"/>
          <w:numId w:val="68"/>
        </w:numPr>
        <w:spacing w:before="0" w:after="0"/>
        <w:ind w:left="0" w:firstLine="0"/>
        <w:rPr>
          <w:szCs w:val="24"/>
        </w:rPr>
      </w:pPr>
      <w:r w:rsidRPr="00DC556E">
        <w:rPr>
          <w:szCs w:val="24"/>
        </w:rPr>
        <w:t>Пропофол</w:t>
      </w:r>
      <w:r w:rsidR="00F87EE7">
        <w:rPr>
          <w:szCs w:val="24"/>
          <w:lang w:val="en-US"/>
        </w:rPr>
        <w:t>**</w:t>
      </w:r>
    </w:p>
    <w:p w14:paraId="2D61566B" w14:textId="77777777" w:rsidR="00B37E1F" w:rsidRPr="00DC556E" w:rsidRDefault="00B37E1F" w:rsidP="0024404E">
      <w:pPr>
        <w:pStyle w:val="a6"/>
        <w:numPr>
          <w:ilvl w:val="0"/>
          <w:numId w:val="68"/>
        </w:numPr>
        <w:spacing w:before="0" w:after="0"/>
        <w:ind w:left="0" w:firstLine="0"/>
        <w:rPr>
          <w:szCs w:val="24"/>
        </w:rPr>
      </w:pPr>
      <w:r w:rsidRPr="00DC556E">
        <w:rPr>
          <w:szCs w:val="24"/>
        </w:rPr>
        <w:t xml:space="preserve">Стерофундин ИЗО  </w:t>
      </w:r>
    </w:p>
    <w:p w14:paraId="0A3D0956" w14:textId="312978A8" w:rsidR="00B37E1F" w:rsidRPr="00DC556E" w:rsidRDefault="00B37E1F" w:rsidP="0024404E">
      <w:pPr>
        <w:pStyle w:val="a6"/>
        <w:numPr>
          <w:ilvl w:val="0"/>
          <w:numId w:val="68"/>
        </w:numPr>
        <w:spacing w:before="0" w:after="0"/>
        <w:ind w:left="0" w:firstLine="0"/>
        <w:rPr>
          <w:szCs w:val="24"/>
        </w:rPr>
      </w:pPr>
      <w:r w:rsidRPr="00DC556E">
        <w:rPr>
          <w:szCs w:val="24"/>
        </w:rPr>
        <w:t>Калия магния аспарагинат</w:t>
      </w:r>
      <w:r w:rsidR="00F87EE7">
        <w:rPr>
          <w:szCs w:val="24"/>
          <w:lang w:val="en-US"/>
        </w:rPr>
        <w:t>**</w:t>
      </w:r>
    </w:p>
    <w:p w14:paraId="629BE023" w14:textId="57ED9204" w:rsidR="00B37E1F" w:rsidRPr="00DC556E" w:rsidRDefault="00B37E1F" w:rsidP="0024404E">
      <w:pPr>
        <w:pStyle w:val="a6"/>
        <w:numPr>
          <w:ilvl w:val="0"/>
          <w:numId w:val="68"/>
        </w:numPr>
        <w:spacing w:before="0" w:after="0"/>
        <w:ind w:left="0" w:firstLine="0"/>
        <w:rPr>
          <w:szCs w:val="24"/>
        </w:rPr>
      </w:pPr>
      <w:r w:rsidRPr="00DC556E">
        <w:rPr>
          <w:szCs w:val="24"/>
        </w:rPr>
        <w:t>Раствор Натрия хлорида</w:t>
      </w:r>
      <w:r w:rsidR="00F87EE7">
        <w:rPr>
          <w:szCs w:val="24"/>
          <w:lang w:val="en-US"/>
        </w:rPr>
        <w:t>**</w:t>
      </w:r>
      <w:r w:rsidRPr="00DC556E">
        <w:rPr>
          <w:szCs w:val="24"/>
        </w:rPr>
        <w:t xml:space="preserve"> 0,9%  </w:t>
      </w:r>
    </w:p>
    <w:p w14:paraId="43ED4FE4" w14:textId="4C1EE3BE" w:rsidR="00B37E1F" w:rsidRPr="00DC556E" w:rsidRDefault="00B37E1F" w:rsidP="0024404E">
      <w:pPr>
        <w:pStyle w:val="a6"/>
        <w:numPr>
          <w:ilvl w:val="0"/>
          <w:numId w:val="68"/>
        </w:numPr>
        <w:spacing w:before="0" w:after="0"/>
        <w:ind w:left="0" w:firstLine="0"/>
        <w:rPr>
          <w:szCs w:val="24"/>
        </w:rPr>
      </w:pPr>
      <w:r w:rsidRPr="00DC556E">
        <w:rPr>
          <w:szCs w:val="24"/>
        </w:rPr>
        <w:t>Раствор Хлоргексидина</w:t>
      </w:r>
      <w:r w:rsidR="00F87EE7">
        <w:rPr>
          <w:szCs w:val="24"/>
          <w:lang w:val="en-US"/>
        </w:rPr>
        <w:t>**</w:t>
      </w:r>
      <w:r w:rsidRPr="00DC556E">
        <w:rPr>
          <w:szCs w:val="24"/>
        </w:rPr>
        <w:t xml:space="preserve"> 0,5%</w:t>
      </w:r>
    </w:p>
    <w:p w14:paraId="021EC229" w14:textId="77777777" w:rsidR="00B37E1F" w:rsidRPr="00DC556E" w:rsidRDefault="00B37E1F" w:rsidP="0024404E">
      <w:pPr>
        <w:pStyle w:val="a6"/>
        <w:numPr>
          <w:ilvl w:val="0"/>
          <w:numId w:val="68"/>
        </w:numPr>
        <w:spacing w:before="0" w:after="0"/>
        <w:ind w:left="0" w:firstLine="0"/>
        <w:rPr>
          <w:szCs w:val="24"/>
        </w:rPr>
      </w:pPr>
      <w:r w:rsidRPr="00DC556E">
        <w:rPr>
          <w:szCs w:val="24"/>
        </w:rPr>
        <w:t>Раствор Бетадин 10%</w:t>
      </w:r>
    </w:p>
    <w:p w14:paraId="2D964E43" w14:textId="5858BF7D" w:rsidR="00B37E1F" w:rsidRPr="00DC556E" w:rsidRDefault="00292402" w:rsidP="002431B5">
      <w:pPr>
        <w:spacing w:before="0" w:after="0"/>
        <w:rPr>
          <w:b/>
          <w:bCs/>
          <w:szCs w:val="24"/>
        </w:rPr>
      </w:pPr>
      <w:r w:rsidRPr="00DC556E">
        <w:rPr>
          <w:b/>
          <w:bCs/>
          <w:szCs w:val="24"/>
        </w:rPr>
        <w:t>Алгоритм действий врача</w:t>
      </w:r>
    </w:p>
    <w:p w14:paraId="7A4525A5" w14:textId="77777777" w:rsidR="00B37E1F" w:rsidRPr="00D9248B" w:rsidRDefault="00B37E1F" w:rsidP="008F161A">
      <w:pPr>
        <w:pStyle w:val="a6"/>
        <w:numPr>
          <w:ilvl w:val="3"/>
          <w:numId w:val="119"/>
        </w:numPr>
        <w:spacing w:before="0" w:after="0"/>
        <w:ind w:left="0" w:firstLine="0"/>
        <w:rPr>
          <w:szCs w:val="24"/>
        </w:rPr>
      </w:pPr>
      <w:r w:rsidRPr="00D9248B">
        <w:rPr>
          <w:szCs w:val="24"/>
        </w:rPr>
        <w:t>Манипуляция проводится только при наличии информированного согласия на проведение катетеризации.</w:t>
      </w:r>
    </w:p>
    <w:p w14:paraId="49C22BD1" w14:textId="77777777" w:rsidR="00B37E1F" w:rsidRPr="00D9248B" w:rsidRDefault="00B37E1F" w:rsidP="008F161A">
      <w:pPr>
        <w:pStyle w:val="a6"/>
        <w:numPr>
          <w:ilvl w:val="3"/>
          <w:numId w:val="119"/>
        </w:numPr>
        <w:spacing w:before="0" w:after="0"/>
        <w:ind w:left="0" w:firstLine="0"/>
        <w:rPr>
          <w:szCs w:val="24"/>
        </w:rPr>
      </w:pPr>
      <w:r w:rsidRPr="00D9248B">
        <w:rPr>
          <w:szCs w:val="24"/>
        </w:rPr>
        <w:t>Физикальный осмотр</w:t>
      </w:r>
    </w:p>
    <w:p w14:paraId="3917DAF3" w14:textId="77777777" w:rsidR="00B37E1F" w:rsidRDefault="00B37E1F" w:rsidP="008F161A">
      <w:pPr>
        <w:pStyle w:val="a6"/>
        <w:numPr>
          <w:ilvl w:val="3"/>
          <w:numId w:val="119"/>
        </w:numPr>
        <w:spacing w:before="0" w:after="0"/>
        <w:ind w:left="0" w:firstLine="0"/>
        <w:rPr>
          <w:szCs w:val="24"/>
        </w:rPr>
      </w:pPr>
      <w:r w:rsidRPr="00D9248B">
        <w:rPr>
          <w:szCs w:val="24"/>
        </w:rPr>
        <w:t xml:space="preserve">Выбор типа ЦВК после физикального осмотра, сбора анамнеза, ознакомления с результатами лабораторных и инструментальных методов исследования. </w:t>
      </w:r>
    </w:p>
    <w:p w14:paraId="633776F0" w14:textId="77777777" w:rsidR="00B37E1F" w:rsidRDefault="00B37E1F" w:rsidP="008F161A">
      <w:pPr>
        <w:pStyle w:val="a6"/>
        <w:numPr>
          <w:ilvl w:val="3"/>
          <w:numId w:val="119"/>
        </w:numPr>
        <w:spacing w:before="0" w:after="0"/>
        <w:ind w:left="0" w:firstLine="0"/>
        <w:rPr>
          <w:szCs w:val="24"/>
        </w:rPr>
      </w:pPr>
      <w:r w:rsidRPr="00D9248B">
        <w:rPr>
          <w:szCs w:val="24"/>
        </w:rPr>
        <w:t>Дуплексное сканирование вен в месте планируемой установки ЦВК (определяется диаметр вены, наличие сдавления вен в месте пункции и по ходу установленного ЦВК, тромба в просвете вен, наличие клапанного аппарата и его состоятельность. Устанавливать ЦВК в вену, диаметр которой не превышает 50% диаметра катетера и/или выявлен тромбоз недопустимо).</w:t>
      </w:r>
    </w:p>
    <w:p w14:paraId="61DACD25" w14:textId="77777777" w:rsidR="00B37E1F" w:rsidRDefault="00B37E1F" w:rsidP="008F161A">
      <w:pPr>
        <w:pStyle w:val="a6"/>
        <w:numPr>
          <w:ilvl w:val="3"/>
          <w:numId w:val="119"/>
        </w:numPr>
        <w:spacing w:before="0" w:after="0"/>
        <w:ind w:left="0" w:firstLine="0"/>
        <w:rPr>
          <w:szCs w:val="24"/>
        </w:rPr>
      </w:pPr>
      <w:r w:rsidRPr="00D9248B">
        <w:rPr>
          <w:szCs w:val="24"/>
        </w:rPr>
        <w:lastRenderedPageBreak/>
        <w:t>Имплантация ЦВК с обязательным позиционированием дистального конца у кава-атриального соединения в случае катетеризации ВПВ и кава-атриального соединения или ниже устья почечных вен при катетеризации НПВ.</w:t>
      </w:r>
    </w:p>
    <w:p w14:paraId="21FCFD3A" w14:textId="77777777" w:rsidR="00B37E1F" w:rsidRDefault="00B37E1F" w:rsidP="008F161A">
      <w:pPr>
        <w:pStyle w:val="a6"/>
        <w:numPr>
          <w:ilvl w:val="3"/>
          <w:numId w:val="119"/>
        </w:numPr>
        <w:spacing w:before="0" w:after="0"/>
        <w:ind w:left="0" w:firstLine="0"/>
        <w:rPr>
          <w:szCs w:val="24"/>
        </w:rPr>
      </w:pPr>
      <w:r w:rsidRPr="00D9248B">
        <w:rPr>
          <w:szCs w:val="24"/>
        </w:rPr>
        <w:t>Закрепление катетера на коже больного у места выхода с использованием шовных материалов или устройств бесшовной фиксации.</w:t>
      </w:r>
    </w:p>
    <w:p w14:paraId="018B6C6C" w14:textId="77777777" w:rsidR="00B37E1F" w:rsidRDefault="00B37E1F" w:rsidP="008F161A">
      <w:pPr>
        <w:pStyle w:val="a6"/>
        <w:numPr>
          <w:ilvl w:val="3"/>
          <w:numId w:val="119"/>
        </w:numPr>
        <w:spacing w:before="0" w:after="0"/>
        <w:ind w:left="0" w:firstLine="0"/>
        <w:rPr>
          <w:szCs w:val="24"/>
        </w:rPr>
      </w:pPr>
      <w:r w:rsidRPr="00D9248B">
        <w:rPr>
          <w:szCs w:val="24"/>
        </w:rPr>
        <w:t>Наложение асептической повязки.</w:t>
      </w:r>
    </w:p>
    <w:p w14:paraId="5CCB103F" w14:textId="77777777" w:rsidR="00B37E1F" w:rsidRPr="00D9248B" w:rsidRDefault="00B37E1F" w:rsidP="008F161A">
      <w:pPr>
        <w:pStyle w:val="a6"/>
        <w:numPr>
          <w:ilvl w:val="3"/>
          <w:numId w:val="119"/>
        </w:numPr>
        <w:spacing w:before="0" w:after="0"/>
        <w:ind w:left="0" w:firstLine="0"/>
        <w:rPr>
          <w:szCs w:val="24"/>
        </w:rPr>
      </w:pPr>
      <w:r w:rsidRPr="00D9248B">
        <w:rPr>
          <w:szCs w:val="24"/>
        </w:rPr>
        <w:t xml:space="preserve">Заполнение протокола катетеризации с обязательным указанием ранних осложнений, количества попыток катетеризации, </w:t>
      </w:r>
      <w:proofErr w:type="gramStart"/>
      <w:r w:rsidRPr="00D9248B">
        <w:rPr>
          <w:szCs w:val="24"/>
        </w:rPr>
        <w:t>типа</w:t>
      </w:r>
      <w:proofErr w:type="gramEnd"/>
      <w:r w:rsidRPr="00D9248B">
        <w:rPr>
          <w:szCs w:val="24"/>
        </w:rPr>
        <w:t xml:space="preserve"> установленного ЦВК.</w:t>
      </w:r>
    </w:p>
    <w:p w14:paraId="753B36BF" w14:textId="77777777" w:rsidR="00B37E1F" w:rsidRPr="00DC556E" w:rsidRDefault="00B37E1F" w:rsidP="002431B5">
      <w:pPr>
        <w:spacing w:before="0" w:after="0"/>
        <w:rPr>
          <w:b/>
          <w:szCs w:val="24"/>
        </w:rPr>
      </w:pPr>
      <w:r w:rsidRPr="00DC556E">
        <w:rPr>
          <w:b/>
          <w:spacing w:val="2"/>
          <w:szCs w:val="24"/>
          <w:shd w:val="clear" w:color="auto" w:fill="FFFFFF"/>
        </w:rPr>
        <w:t>Дополнительные сведения об особенностях выполнения обработки катетера (смена повязки):</w:t>
      </w:r>
    </w:p>
    <w:p w14:paraId="7BB03E56" w14:textId="77777777" w:rsidR="00B37E1F" w:rsidRPr="00DC556E" w:rsidRDefault="00B37E1F" w:rsidP="0024404E">
      <w:pPr>
        <w:pStyle w:val="a6"/>
        <w:numPr>
          <w:ilvl w:val="0"/>
          <w:numId w:val="69"/>
        </w:numPr>
        <w:spacing w:before="0" w:after="0"/>
        <w:ind w:left="0" w:firstLine="0"/>
        <w:rPr>
          <w:b/>
          <w:szCs w:val="24"/>
        </w:rPr>
      </w:pPr>
      <w:r w:rsidRPr="00DC556E">
        <w:rPr>
          <w:spacing w:val="2"/>
          <w:szCs w:val="24"/>
          <w:shd w:val="clear" w:color="auto" w:fill="FFFFFF"/>
        </w:rPr>
        <w:t>При проведении процедуры обработки (перевязки) с ЦВК пациент может сидеть или лежать на спине, рука, на стороне которой в вене находится катетер, расположена вдоль туловища. При применении дополнительных зажимов не катетере снятие заглушки не связано с фазой дыхания. При проведении процедуры с катетером, находящимся в бедренной вене, ножной конец кровати опущен на 25°. Снятие заглушки не связано с фазой дыхания.</w:t>
      </w:r>
    </w:p>
    <w:p w14:paraId="33545A4F" w14:textId="77777777" w:rsidR="00B37E1F" w:rsidRPr="00DC556E" w:rsidRDefault="00B37E1F" w:rsidP="0024404E">
      <w:pPr>
        <w:pStyle w:val="a6"/>
        <w:numPr>
          <w:ilvl w:val="0"/>
          <w:numId w:val="69"/>
        </w:numPr>
        <w:spacing w:before="0" w:after="0"/>
        <w:ind w:left="0" w:firstLine="0"/>
        <w:rPr>
          <w:szCs w:val="24"/>
        </w:rPr>
      </w:pPr>
      <w:r w:rsidRPr="00DC556E">
        <w:rPr>
          <w:spacing w:val="2"/>
          <w:szCs w:val="24"/>
          <w:shd w:val="clear" w:color="auto" w:fill="FFFFFF"/>
        </w:rPr>
        <w:t>При смене повязки у пациентов с чувствительной кожей рекомендуется нанести стерильное барьерное средство для защиты кожи вокруг места установки сосудистого катетера и дождаться полного его высыхания.</w:t>
      </w:r>
    </w:p>
    <w:p w14:paraId="46196649" w14:textId="5ABE037E" w:rsidR="00B37E1F" w:rsidRPr="00DC556E" w:rsidRDefault="00B37E1F" w:rsidP="0024404E">
      <w:pPr>
        <w:pStyle w:val="a6"/>
        <w:numPr>
          <w:ilvl w:val="0"/>
          <w:numId w:val="69"/>
        </w:numPr>
        <w:spacing w:before="0" w:after="0"/>
        <w:ind w:left="0" w:firstLine="0"/>
        <w:rPr>
          <w:szCs w:val="24"/>
        </w:rPr>
      </w:pPr>
      <w:r w:rsidRPr="00DC556E">
        <w:rPr>
          <w:spacing w:val="2"/>
          <w:szCs w:val="24"/>
          <w:shd w:val="clear" w:color="auto" w:fill="FFFFFF"/>
        </w:rPr>
        <w:t>Выбор повязки необходимо осуществлять с учетом индивидуальных особенностей пациента. Если существуют предрасполагающие к развитию инфекции факторы (длительность стояния ЦВК свыше трех суток; сниженный иммунный статус (онкологические пациенты и т.д.); повышенный риск колонизации катетера), то рекомендуется выбирать прозрачную полиуретановую повязку, содержащую гелевую подушечку с хлоргексидином</w:t>
      </w:r>
      <w:r w:rsidR="00F87EE7" w:rsidRPr="00F87EE7">
        <w:rPr>
          <w:spacing w:val="2"/>
          <w:szCs w:val="24"/>
          <w:shd w:val="clear" w:color="auto" w:fill="FFFFFF"/>
        </w:rPr>
        <w:t>**</w:t>
      </w:r>
      <w:r w:rsidRPr="00DC556E">
        <w:rPr>
          <w:spacing w:val="2"/>
          <w:szCs w:val="24"/>
          <w:shd w:val="clear" w:color="auto" w:fill="FFFFFF"/>
        </w:rPr>
        <w:t>. Для прочих случаев оптимальным выбором является стерильная прозрачная повязка.</w:t>
      </w:r>
    </w:p>
    <w:p w14:paraId="5775D356" w14:textId="77777777" w:rsidR="00B37E1F" w:rsidRPr="00DC556E" w:rsidRDefault="00B37E1F" w:rsidP="0024404E">
      <w:pPr>
        <w:pStyle w:val="a6"/>
        <w:numPr>
          <w:ilvl w:val="0"/>
          <w:numId w:val="69"/>
        </w:numPr>
        <w:spacing w:before="0" w:after="0"/>
        <w:ind w:left="0" w:firstLine="0"/>
        <w:rPr>
          <w:szCs w:val="24"/>
        </w:rPr>
      </w:pPr>
      <w:r w:rsidRPr="00DC556E">
        <w:rPr>
          <w:spacing w:val="2"/>
          <w:szCs w:val="24"/>
          <w:shd w:val="clear" w:color="auto" w:fill="FFFFFF"/>
        </w:rPr>
        <w:t>Если наблюдается кровоточивость вокруг места входа катетера в первые сутки после его введения, допустимо использование нетканой повязки с впитывающей подушечкой, которая подлежит замене на прозрачную через 24ч.</w:t>
      </w:r>
    </w:p>
    <w:p w14:paraId="5E397BC2" w14:textId="77777777" w:rsidR="00B37E1F" w:rsidRPr="00DC556E" w:rsidRDefault="00B37E1F" w:rsidP="0024404E">
      <w:pPr>
        <w:pStyle w:val="a6"/>
        <w:numPr>
          <w:ilvl w:val="0"/>
          <w:numId w:val="69"/>
        </w:numPr>
        <w:spacing w:before="0" w:after="0"/>
        <w:ind w:left="0" w:firstLine="0"/>
        <w:rPr>
          <w:szCs w:val="24"/>
        </w:rPr>
      </w:pPr>
      <w:r w:rsidRPr="00DC556E">
        <w:rPr>
          <w:spacing w:val="2"/>
          <w:szCs w:val="24"/>
          <w:shd w:val="clear" w:color="auto" w:fill="FFFFFF"/>
        </w:rPr>
        <w:t>Замена прозрачных полиуретановых повязок на ЦВК производится каждые 5-7 сут (при условии, что фиксация не нарушена, нет выделений, сохранен обзор).</w:t>
      </w:r>
    </w:p>
    <w:p w14:paraId="5E4DA26F" w14:textId="1B94A477" w:rsidR="00B37E1F" w:rsidRPr="00DC556E" w:rsidRDefault="00B37E1F" w:rsidP="0024404E">
      <w:pPr>
        <w:pStyle w:val="a6"/>
        <w:numPr>
          <w:ilvl w:val="0"/>
          <w:numId w:val="69"/>
        </w:numPr>
        <w:spacing w:before="0" w:after="0"/>
        <w:ind w:left="0" w:firstLine="0"/>
        <w:rPr>
          <w:spacing w:val="2"/>
          <w:szCs w:val="24"/>
          <w:shd w:val="clear" w:color="auto" w:fill="FFFFFF"/>
        </w:rPr>
      </w:pPr>
      <w:r w:rsidRPr="00DC556E">
        <w:rPr>
          <w:spacing w:val="2"/>
          <w:szCs w:val="24"/>
          <w:shd w:val="clear" w:color="auto" w:fill="FFFFFF"/>
        </w:rPr>
        <w:t>Визуальный осмотр места установки сосудистого катетера проводить не реже 1 раза в сутки</w:t>
      </w:r>
      <w:r w:rsidR="00F87EE7" w:rsidRPr="00F87EE7">
        <w:rPr>
          <w:spacing w:val="2"/>
          <w:szCs w:val="24"/>
          <w:shd w:val="clear" w:color="auto" w:fill="FFFFFF"/>
        </w:rPr>
        <w:t>.</w:t>
      </w:r>
    </w:p>
    <w:p w14:paraId="01E1B4B9" w14:textId="78D0E499" w:rsidR="00B37E1F" w:rsidRDefault="00B37E1F" w:rsidP="002431B5">
      <w:pPr>
        <w:widowControl w:val="0"/>
        <w:autoSpaceDE w:val="0"/>
        <w:autoSpaceDN w:val="0"/>
        <w:adjustRightInd w:val="0"/>
      </w:pPr>
      <w:r>
        <w:br w:type="page"/>
      </w:r>
    </w:p>
    <w:p w14:paraId="4ADEC897" w14:textId="4FD8EBC6" w:rsidR="00B37E1F" w:rsidRPr="002D1222" w:rsidRDefault="00956A9E" w:rsidP="002D1222">
      <w:pPr>
        <w:pStyle w:val="2"/>
        <w:rPr>
          <w:rStyle w:val="ac"/>
          <w:b/>
          <w:bCs w:val="0"/>
        </w:rPr>
      </w:pPr>
      <w:bookmarkStart w:id="105" w:name="_Toc97734656"/>
      <w:r w:rsidRPr="002D1222">
        <w:rPr>
          <w:rStyle w:val="ac"/>
          <w:b/>
          <w:bCs w:val="0"/>
        </w:rPr>
        <w:lastRenderedPageBreak/>
        <w:t>Приложение А3.11</w:t>
      </w:r>
      <w:r w:rsidR="002D1222">
        <w:rPr>
          <w:rStyle w:val="ac"/>
          <w:b/>
          <w:bCs w:val="0"/>
        </w:rPr>
        <w:t>.</w:t>
      </w:r>
      <w:r w:rsidR="00B37E1F" w:rsidRPr="002D1222">
        <w:rPr>
          <w:rStyle w:val="ac"/>
          <w:b/>
          <w:bCs w:val="0"/>
        </w:rPr>
        <w:t xml:space="preserve"> Сопроводительная терапия при введении моноклональных антител</w:t>
      </w:r>
      <w:bookmarkEnd w:id="105"/>
    </w:p>
    <w:p w14:paraId="5FC22937" w14:textId="77777777" w:rsidR="00B37E1F" w:rsidRPr="00CD6C97" w:rsidRDefault="00B37E1F" w:rsidP="008F161A">
      <w:pPr>
        <w:pStyle w:val="a6"/>
        <w:numPr>
          <w:ilvl w:val="0"/>
          <w:numId w:val="163"/>
        </w:numPr>
        <w:tabs>
          <w:tab w:val="left" w:pos="284"/>
        </w:tabs>
        <w:spacing w:before="0" w:after="0"/>
        <w:ind w:left="0" w:firstLine="0"/>
        <w:rPr>
          <w:b/>
          <w:shd w:val="clear" w:color="auto" w:fill="FFFFFF"/>
        </w:rPr>
      </w:pPr>
      <w:r w:rsidRPr="00CD6C97">
        <w:rPr>
          <w:b/>
        </w:rPr>
        <w:t xml:space="preserve">Общие сведения </w:t>
      </w:r>
    </w:p>
    <w:p w14:paraId="36B40417" w14:textId="77777777" w:rsidR="00B37E1F" w:rsidRPr="00622062" w:rsidRDefault="00B37E1F" w:rsidP="008A2329">
      <w:pPr>
        <w:pStyle w:val="Normal1"/>
        <w:tabs>
          <w:tab w:val="left" w:pos="0"/>
          <w:tab w:val="left" w:pos="993"/>
        </w:tabs>
        <w:spacing w:before="0" w:line="360" w:lineRule="auto"/>
        <w:ind w:left="0" w:firstLine="567"/>
        <w:jc w:val="both"/>
        <w:rPr>
          <w:rFonts w:cs="Times New Roman"/>
        </w:rPr>
      </w:pPr>
      <w:r w:rsidRPr="00622062">
        <w:rPr>
          <w:rFonts w:cs="Times New Roman"/>
          <w:bCs/>
        </w:rPr>
        <w:t>Моноклональные</w:t>
      </w:r>
      <w:r w:rsidRPr="00FF686E">
        <w:rPr>
          <w:rFonts w:cs="Times New Roman"/>
          <w:bCs/>
        </w:rPr>
        <w:t xml:space="preserve"> </w:t>
      </w:r>
      <w:r w:rsidRPr="00622062">
        <w:rPr>
          <w:rFonts w:cs="Times New Roman"/>
          <w:bCs/>
        </w:rPr>
        <w:t>антитела</w:t>
      </w:r>
      <w:r w:rsidRPr="00FF686E">
        <w:rPr>
          <w:rFonts w:cs="Times New Roman"/>
          <w:lang w:val="en-US"/>
        </w:rPr>
        <w:t> </w:t>
      </w:r>
      <w:r w:rsidRPr="00FF686E">
        <w:rPr>
          <w:rFonts w:cs="Times New Roman"/>
        </w:rPr>
        <w:t xml:space="preserve">— </w:t>
      </w:r>
      <w:r w:rsidRPr="00622062">
        <w:rPr>
          <w:rFonts w:cs="Times New Roman"/>
        </w:rPr>
        <w:t>это</w:t>
      </w:r>
      <w:r w:rsidRPr="00FF686E">
        <w:rPr>
          <w:rFonts w:cs="Times New Roman"/>
        </w:rPr>
        <w:t xml:space="preserve"> </w:t>
      </w:r>
      <w:r w:rsidRPr="00622062">
        <w:rPr>
          <w:rFonts w:cs="Times New Roman"/>
        </w:rPr>
        <w:t>класс</w:t>
      </w:r>
      <w:r w:rsidRPr="00FF686E">
        <w:rPr>
          <w:rFonts w:cs="Times New Roman"/>
        </w:rPr>
        <w:t xml:space="preserve"> </w:t>
      </w:r>
      <w:r w:rsidRPr="00622062">
        <w:rPr>
          <w:rFonts w:cs="Times New Roman"/>
        </w:rPr>
        <w:t>препаратов</w:t>
      </w:r>
      <w:r w:rsidRPr="00FF686E">
        <w:rPr>
          <w:rFonts w:cs="Times New Roman"/>
        </w:rPr>
        <w:t xml:space="preserve">, </w:t>
      </w:r>
      <w:r w:rsidRPr="00622062">
        <w:rPr>
          <w:rFonts w:cs="Times New Roman"/>
        </w:rPr>
        <w:t>которые</w:t>
      </w:r>
      <w:r w:rsidRPr="00FF686E">
        <w:rPr>
          <w:rFonts w:cs="Times New Roman"/>
        </w:rPr>
        <w:t xml:space="preserve"> </w:t>
      </w:r>
      <w:r w:rsidRPr="00622062">
        <w:rPr>
          <w:rFonts w:cs="Times New Roman"/>
        </w:rPr>
        <w:t>обладают</w:t>
      </w:r>
      <w:r w:rsidRPr="00FF686E">
        <w:rPr>
          <w:rFonts w:cs="Times New Roman"/>
        </w:rPr>
        <w:t xml:space="preserve"> </w:t>
      </w:r>
      <w:r w:rsidRPr="00622062">
        <w:rPr>
          <w:rFonts w:cs="Times New Roman"/>
        </w:rPr>
        <w:t>высокой</w:t>
      </w:r>
      <w:r w:rsidRPr="00FF686E">
        <w:rPr>
          <w:rFonts w:cs="Times New Roman"/>
        </w:rPr>
        <w:t xml:space="preserve"> </w:t>
      </w:r>
      <w:r w:rsidRPr="00622062">
        <w:rPr>
          <w:rFonts w:cs="Times New Roman"/>
        </w:rPr>
        <w:t>селективностью</w:t>
      </w:r>
      <w:r w:rsidRPr="00FF686E">
        <w:rPr>
          <w:rFonts w:cs="Times New Roman"/>
        </w:rPr>
        <w:t xml:space="preserve"> </w:t>
      </w:r>
      <w:r w:rsidRPr="00622062">
        <w:rPr>
          <w:rFonts w:cs="Times New Roman"/>
        </w:rPr>
        <w:t>в</w:t>
      </w:r>
      <w:r w:rsidRPr="00FF686E">
        <w:rPr>
          <w:rFonts w:cs="Times New Roman"/>
        </w:rPr>
        <w:t xml:space="preserve"> </w:t>
      </w:r>
      <w:r w:rsidRPr="00622062">
        <w:rPr>
          <w:rFonts w:cs="Times New Roman"/>
        </w:rPr>
        <w:t>отношении</w:t>
      </w:r>
      <w:r w:rsidRPr="00FF686E">
        <w:rPr>
          <w:rFonts w:cs="Times New Roman"/>
        </w:rPr>
        <w:t xml:space="preserve"> </w:t>
      </w:r>
      <w:r w:rsidRPr="00622062">
        <w:rPr>
          <w:rFonts w:cs="Times New Roman"/>
        </w:rPr>
        <w:t>молекулярной</w:t>
      </w:r>
      <w:r w:rsidRPr="00FF686E">
        <w:rPr>
          <w:rFonts w:cs="Times New Roman"/>
        </w:rPr>
        <w:t xml:space="preserve"> </w:t>
      </w:r>
      <w:r w:rsidRPr="00622062">
        <w:rPr>
          <w:rFonts w:cs="Times New Roman"/>
        </w:rPr>
        <w:t>мишени</w:t>
      </w:r>
      <w:r w:rsidRPr="00FF686E">
        <w:rPr>
          <w:rFonts w:cs="Times New Roman"/>
        </w:rPr>
        <w:t xml:space="preserve">, </w:t>
      </w:r>
      <w:r w:rsidRPr="00622062">
        <w:rPr>
          <w:rFonts w:cs="Times New Roman"/>
        </w:rPr>
        <w:t>являющейся</w:t>
      </w:r>
      <w:r w:rsidRPr="00FF686E">
        <w:rPr>
          <w:rFonts w:cs="Times New Roman"/>
        </w:rPr>
        <w:t xml:space="preserve">, </w:t>
      </w:r>
      <w:r w:rsidRPr="00622062">
        <w:rPr>
          <w:rFonts w:cs="Times New Roman"/>
        </w:rPr>
        <w:t>как</w:t>
      </w:r>
      <w:r w:rsidRPr="00FF686E">
        <w:rPr>
          <w:rFonts w:cs="Times New Roman"/>
        </w:rPr>
        <w:t xml:space="preserve"> </w:t>
      </w:r>
      <w:r w:rsidRPr="00622062">
        <w:rPr>
          <w:rFonts w:cs="Times New Roman"/>
        </w:rPr>
        <w:t>правило</w:t>
      </w:r>
      <w:r w:rsidRPr="00FF686E">
        <w:rPr>
          <w:rFonts w:cs="Times New Roman"/>
        </w:rPr>
        <w:t xml:space="preserve">, </w:t>
      </w:r>
      <w:r w:rsidRPr="00622062">
        <w:rPr>
          <w:rFonts w:cs="Times New Roman"/>
        </w:rPr>
        <w:t>одним</w:t>
      </w:r>
      <w:r w:rsidRPr="00FF686E">
        <w:rPr>
          <w:rFonts w:cs="Times New Roman"/>
        </w:rPr>
        <w:t xml:space="preserve"> </w:t>
      </w:r>
      <w:r w:rsidRPr="00622062">
        <w:rPr>
          <w:rFonts w:cs="Times New Roman"/>
        </w:rPr>
        <w:t>из</w:t>
      </w:r>
      <w:r w:rsidRPr="00FF686E">
        <w:rPr>
          <w:rFonts w:cs="Times New Roman"/>
        </w:rPr>
        <w:t xml:space="preserve"> </w:t>
      </w:r>
      <w:r w:rsidRPr="00622062">
        <w:rPr>
          <w:rFonts w:cs="Times New Roman"/>
        </w:rPr>
        <w:t>ключевых</w:t>
      </w:r>
      <w:r w:rsidRPr="00FF686E">
        <w:rPr>
          <w:rFonts w:cs="Times New Roman"/>
        </w:rPr>
        <w:t xml:space="preserve"> </w:t>
      </w:r>
      <w:r w:rsidRPr="00622062">
        <w:rPr>
          <w:rFonts w:cs="Times New Roman"/>
        </w:rPr>
        <w:t>компонентов</w:t>
      </w:r>
      <w:r w:rsidRPr="00FF686E">
        <w:rPr>
          <w:rFonts w:cs="Times New Roman"/>
        </w:rPr>
        <w:t xml:space="preserve"> </w:t>
      </w:r>
      <w:r w:rsidRPr="00622062">
        <w:rPr>
          <w:rFonts w:cs="Times New Roman"/>
        </w:rPr>
        <w:t>патологического</w:t>
      </w:r>
      <w:r w:rsidRPr="00FF686E">
        <w:rPr>
          <w:rFonts w:cs="Times New Roman"/>
        </w:rPr>
        <w:t xml:space="preserve"> </w:t>
      </w:r>
      <w:r w:rsidRPr="00622062">
        <w:rPr>
          <w:rFonts w:cs="Times New Roman"/>
        </w:rPr>
        <w:t>процесса</w:t>
      </w:r>
      <w:r w:rsidRPr="00FF686E">
        <w:rPr>
          <w:rFonts w:cs="Times New Roman"/>
        </w:rPr>
        <w:t xml:space="preserve">. </w:t>
      </w:r>
      <w:r w:rsidRPr="00622062">
        <w:rPr>
          <w:rFonts w:cs="Times New Roman"/>
        </w:rPr>
        <w:t>Антитела</w:t>
      </w:r>
      <w:r w:rsidRPr="00FF686E">
        <w:rPr>
          <w:rFonts w:cs="Times New Roman"/>
        </w:rPr>
        <w:t xml:space="preserve"> </w:t>
      </w:r>
      <w:r w:rsidRPr="00622062">
        <w:rPr>
          <w:rFonts w:cs="Times New Roman"/>
        </w:rPr>
        <w:t>обладают</w:t>
      </w:r>
      <w:r w:rsidRPr="00FF686E">
        <w:rPr>
          <w:rFonts w:cs="Times New Roman"/>
        </w:rPr>
        <w:t xml:space="preserve"> </w:t>
      </w:r>
      <w:r w:rsidRPr="00622062">
        <w:rPr>
          <w:rFonts w:cs="Times New Roman"/>
        </w:rPr>
        <w:t>способностью точно связываться с антигеном благодаря специальным антигенсвязывающим участкам, имеющим к нему высокую специфичность.</w:t>
      </w:r>
    </w:p>
    <w:p w14:paraId="330DA96B" w14:textId="697FC6D8" w:rsidR="00B37E1F" w:rsidRPr="00622062" w:rsidRDefault="00B37E1F" w:rsidP="008A2329">
      <w:pPr>
        <w:pStyle w:val="Normal1"/>
        <w:tabs>
          <w:tab w:val="left" w:pos="0"/>
          <w:tab w:val="left" w:pos="993"/>
        </w:tabs>
        <w:spacing w:before="0" w:line="360" w:lineRule="auto"/>
        <w:ind w:left="0" w:firstLine="567"/>
        <w:jc w:val="both"/>
        <w:rPr>
          <w:rFonts w:cs="Times New Roman"/>
        </w:rPr>
      </w:pPr>
      <w:r w:rsidRPr="00622062">
        <w:rPr>
          <w:rFonts w:cs="Times New Roman"/>
        </w:rPr>
        <w:t>В последнее десятилетие методы таргетного воздействия на опухолевые клетки при злокачественных новообразованиях крови показали свою высокую эффективность и были включены в многочисленные национальные рекомендации по лечению гемобластозов, как при рецидиве, так и впервой линии терапии</w:t>
      </w:r>
      <w:r w:rsidR="006166D3">
        <w:rPr>
          <w:rFonts w:cs="Times New Roman"/>
        </w:rPr>
        <w:t xml:space="preserve"> </w:t>
      </w:r>
      <w:r w:rsidR="006166D3">
        <w:fldChar w:fldCharType="begin" w:fldLock="1"/>
      </w:r>
      <w:r w:rsidR="00E430FD">
        <w:instrText>ADDIN CSL_CITATION {"citationItems":[{"id":"ITEM-1","itemData":{"DOI":"10.1080/10428190902730219","ISSN":"10428194","PMID":"19263297","abstract":"Rituximab maintenance therapy has emerged as an effective treatment for low-grade lymphomas. No major acute or cumulative toxicities were observed in patients receiving rituximab maintenance therapy compared with observation arms in clinical trials. However, B-cells are completely depleted throughout the maintenance period and even longer, which may render patients at high risk for infections. Several infections related to rituximab have been reported in the literature. Yet it is not clear whether rituximab maintenance therapy increases the infectious complications or not. To further investigate this topic, we have performed a systematic review and meta-analysis of randomised controlled trials (RCT). The meta-analysis of five RCTs showed that rituximab maintenance therapy significantly increased the relative risk of both infection and neutropenia in patients with lymphoma. On the basis of the available evidence, patients who received rituximab maintenance treatment have higher risk of neutropenia and infection than those who did not. Previously treated patients particularly with fludarabine containing regimens are more susceptible to infectious complications and require extended vigilance.","author":[{"dropping-particle":"","family":"Aksoy","given":"Sercan","non-dropping-particle":"","parse-names":false,"suffix":""},{"dropping-particle":"","family":"Dizdar","given":"Ömer","non-dropping-particle":"","parse-names":false,"suffix":""},{"dropping-particle":"","family":"Hayran","given":"Mutlu","non-dropping-particle":"","parse-names":false,"suffix":""},{"dropping-particle":"","family":"Harputluoǧlu","given":"Hakan","non-dropping-particle":"","parse-names":false,"suffix":""}],"container-title":"Leukemia and Lymphoma","id":"ITEM-1","issue":"3","issued":{"date-parts":[["2009"]]},"page":"357-365","publisher":"Leuk Lymphoma","title":"Infectious complications of rituximab in patients with lymphoma during maintenance therapy: A systematic review and meta-analysis","type":"article-journal","volume":"50"},"uris":["http://www.mendeley.com/documents/?uuid=e65f1b7b-98d5-49d0-87b5-826c3b0f31c4"]}],"mendeley":{"formattedCitation":"[202]","plainTextFormattedCitation":"[202]","previouslyFormattedCitation":"[202]"},"properties":{"noteIndex":0},"schema":"https://github.com/citation-style-language/schema/raw/master/csl-citation.json"}</w:instrText>
      </w:r>
      <w:r w:rsidR="006166D3">
        <w:fldChar w:fldCharType="separate"/>
      </w:r>
      <w:r w:rsidR="00E430FD" w:rsidRPr="00E430FD">
        <w:rPr>
          <w:noProof/>
        </w:rPr>
        <w:t>[202]</w:t>
      </w:r>
      <w:r w:rsidR="006166D3">
        <w:fldChar w:fldCharType="end"/>
      </w:r>
      <w:r w:rsidRPr="00622062">
        <w:rPr>
          <w:rFonts w:cs="Times New Roman"/>
        </w:rPr>
        <w:t>.</w:t>
      </w:r>
    </w:p>
    <w:p w14:paraId="2E293727" w14:textId="77777777" w:rsidR="00B37E1F" w:rsidRPr="00622062" w:rsidRDefault="00B37E1F" w:rsidP="008A2329">
      <w:pPr>
        <w:pStyle w:val="Normal1"/>
        <w:tabs>
          <w:tab w:val="left" w:pos="0"/>
          <w:tab w:val="left" w:pos="993"/>
        </w:tabs>
        <w:spacing w:before="0" w:line="360" w:lineRule="auto"/>
        <w:ind w:left="0" w:firstLine="567"/>
        <w:jc w:val="both"/>
        <w:rPr>
          <w:rFonts w:cs="Times New Roman"/>
        </w:rPr>
      </w:pPr>
      <w:r w:rsidRPr="00622062">
        <w:rPr>
          <w:rFonts w:cs="Times New Roman"/>
        </w:rPr>
        <w:t xml:space="preserve">Учитывая, что моноклональные антитела представлены белковой молекулой, способной вызывать нежелательные реакции, главным образом инфузионные, разработан алгоритм, позволяющий упразднить побочные явления, связанные с введением терапевтических моноклональных антител. </w:t>
      </w:r>
    </w:p>
    <w:p w14:paraId="7E359F5E" w14:textId="47700D69" w:rsidR="00B37E1F" w:rsidRPr="00622062" w:rsidRDefault="00B37E1F" w:rsidP="008A2329">
      <w:pPr>
        <w:pStyle w:val="Normal1"/>
        <w:tabs>
          <w:tab w:val="left" w:pos="0"/>
          <w:tab w:val="left" w:pos="993"/>
        </w:tabs>
        <w:spacing w:before="0" w:line="360" w:lineRule="auto"/>
        <w:ind w:left="0" w:firstLine="567"/>
        <w:jc w:val="both"/>
        <w:rPr>
          <w:rFonts w:cs="Times New Roman"/>
        </w:rPr>
      </w:pPr>
      <w:r>
        <w:rPr>
          <w:rFonts w:cs="Times New Roman"/>
        </w:rPr>
        <w:t>Н</w:t>
      </w:r>
      <w:r w:rsidRPr="00622062">
        <w:rPr>
          <w:rFonts w:cs="Times New Roman"/>
        </w:rPr>
        <w:t>аиболее частыми побочными эффектами терапии даратумумабом</w:t>
      </w:r>
      <w:r w:rsidR="00F87EE7" w:rsidRPr="00F87EE7">
        <w:rPr>
          <w:rFonts w:cs="Times New Roman"/>
        </w:rPr>
        <w:t>**</w:t>
      </w:r>
      <w:r w:rsidRPr="00622062">
        <w:rPr>
          <w:rFonts w:cs="Times New Roman"/>
        </w:rPr>
        <w:t>, изатуксимабом и элотузумабом</w:t>
      </w:r>
      <w:r w:rsidR="00F87EE7" w:rsidRPr="00F87EE7">
        <w:rPr>
          <w:rFonts w:cs="Times New Roman"/>
        </w:rPr>
        <w:t>**</w:t>
      </w:r>
      <w:r w:rsidRPr="00622062">
        <w:rPr>
          <w:rFonts w:cs="Times New Roman"/>
        </w:rPr>
        <w:t xml:space="preserve"> были: инфузионные реакции, цитопении, инфекционные осложнения (Herpes zoster). Для предупреждения развития инфузионных реакций непосредственно перед введением моноклональных антител рекомендовано проведение премедикации</w:t>
      </w:r>
      <w:r w:rsidR="006166D3">
        <w:t xml:space="preserve"> </w:t>
      </w:r>
      <w:r w:rsidR="002D1222">
        <w:fldChar w:fldCharType="begin" w:fldLock="1"/>
      </w:r>
      <w:r w:rsidR="00E430FD">
        <w:instrText>ADDIN CSL_CITATION {"citationItems":[{"id":"ITEM-1","itemData":{"DOI":"10.1179/1973947815Y.0000000025","ISSN":"19739478","PMID":"25872413","abstract":"Purpose: Rituximab is a monoclonal antibody targetting the CD20 antigen with the ability to increase overall remission (OR) in B-cell non-Hodgkin’s lymphoma (B-NHL). A systematic review and meta-analysis were conducted to determine the risk of the most clinically relevant severe and fatal adverse events (AEs) associated with the use of rituximab in the treatment of B-NHL. Patients and methods: We included phase III clinical trials that used chemotherapy in combination with rituximab or chemotherapy alone as for B-NHL. Statistical analyses were conducted to calculate summary risk ratio (RR) of the relevant severe and fatal AEs related with rituximab. Results: Eight randomised controlled clinical trials were included in this meta-analysis. Summary RR obtained showed no statistically significant rituximab-associated increased risk in 13 severe adverse events (SAEs) (infection, fever, anaemia, thrombocytopaenia, granulocytopenia, liver toxicity, cardiac toxicity, neurologic toxicity, lung toxicity, mucositis, nausea/vomiting, diarrhoea, alopecia) except leukocytopenia (36.4% versus 31%; RR51.13; 95%CI, 1.01–1.27; P50.03). The incidences of fatal AEs showed noteworthy difference between rituximab group and control group (RR51.45; 95% CI, 1.04–2.02; P50.03). Conclusion: This meta-analysis indicates that there was no proof of statistically higher incidence of most SAEs in rituximab containing group compared with chemotherapy alone. However, fatal infections were more frequently observed in patients who received rituximab. Considering the low-incidence infectioninduced death during the treatment period, the effects of rituximab on infections need further investigation.","author":[{"dropping-particle":"","family":"Hua","given":"Qingling","non-dropping-particle":"","parse-names":false,"suffix":""},{"dropping-particle":"","family":"Zhu","given":"Yanzhe","non-dropping-particle":"","parse-names":false,"suffix":""},{"dropping-particle":"","family":"Liu","given":"Hu","non-dropping-particle":"","parse-names":false,"suffix":""}],"container-title":"Journal of Chemotherapy","id":"ITEM-1","issued":{"date-parts":[["2015"]]},"title":"Severe and fatal adverse events risk associated with rituximab addition to b-cell non-hodgkin’s lymphoma (B-NHL) chemotherapy: A meta-analysis","type":"article-journal"},"uris":["http://www.mendeley.com/documents/?uuid=a993da07-fb07-41c0-8d06-4d598ab3f684"]},{"id":"ITEM-2","itemData":{"DOI":"10.4103/0366-6999.150111","ISSN":"03666999","PMID":"25635435","abstract":"Background: Rituximab in combination with cyclophosphamide, doxorubicin, vincristine, and prednisone (CHOP) significantly prolonged event-free survival in first-line chemotherapy for patients with diffuse large B-cell lymphoma (DLBCL). But relapse and refractory DLBCL occur frequently. Although rituximab is effective, its role in salvage therapy after autologous transplant remains unclear. Maintenance therapy with rituximab in responding patients after first line chemotherapy may be a useful novel approach capable of eradicating minimal residual disease and to bring survival benefit. This systematic review and meta-analysis evaluated the effects of rituximab maintenance treatment and salvage therapy of patients with DLBCL. Methods: We performed a systematic review and meta-analysis of randomized controlled trials and compared rituximab maintenance or salvage therapy at relapse with observation. We searched the Cochrane Library, PubMed, EMBASE, conference proceedings, databases of ongoing trials, and references of published trials. Two reviewers independently assessed the quality of the trials and extracted data. Hazard ratios for time-to-event data were estimated and pooled. Results: Seven trials including 1470 DLBCL patients were included in this systematic review and meta‑analysis. Patients treated with maintenance rituximab have better overall survival (OS) and event‑free survival (EFS) than patients in the observation arm, but there was no statistical significance. Patients who received rituximab salvage therapy for relapse or refractory DLBCL have statistically significantly better OS [HR of death = 0.72, 95% CI (0.55-0.94), P = 0.02], progression‑free survival (PFS) [HR = 0.61, 95% CI (0.52‑0.72), P &lt; 0.05], odds ratio (OR) [RR = 1.26, 95% CI (1.07‑1.47), P = 0.004] than patients in the observation arm. The rate of infection-related adverse events was higher with rituximab treatment [RR = 1.37, 95% CI = (1.14 - 1.65) P =0.001]. Conclusions: After first-line chemotherapy, the two rituximab‑combined treatment strategies, including maintenance and salvage therapies can bring survival benefit. But due to the few studies, the low methodological quality assessment and the low outcome evidence quality, it’s not confirmed that the two strategies are better than normal chemotherapy regimens. More high-quality randomized controlled trials are still needed to provide reliable evidence. The higher rate of infections after rituximab therapy should be taken int…","author":[{"dropping-particle":"","family":"Ren","given":"Yuan Rong","non-dropping-particle":"","parse-names":false,"suffix":""},{"dropping-particle":"","family":"Jin","given":"Yong Dong","non-dropping-particle":"","parse-names":false,"suffix":""},{"dropping-particle":"","family":"Zhang","given":"Zhi Hui","non-dropping-particle":"","parse-names":false,"suffix":""},{"dropping-particle":"","family":"Li","given":"Li","non-dropping-particle":"","parse-names":false,"suffix":""},{"dropping-particle":"","family":"Wu","given":"Ping","non-dropping-particle":"","parse-names":false,"suffix":""}],"container-title":"Chinese Medical Journal","id":"ITEM-2","issue":"3","issued":{"date-parts":[["2015"]]},"page":"378-383","publisher":"Chinese Medical Association","title":"Rituximab treatment strategy for patients with diffuse large B‑cell lymphoma after first‑line therapy: A systematic review and meta‑analysis","type":"article-journal","volume":"128"},"uris":["http://www.mendeley.com/documents/?uuid=a33d5b4d-2146-4709-a376-f45b01444f61"]}],"mendeley":{"formattedCitation":"[203,204]","plainTextFormattedCitation":"[203,204]","previouslyFormattedCitation":"[203,204]"},"properties":{"noteIndex":0},"schema":"https://github.com/citation-style-language/schema/raw/master/csl-citation.json"}</w:instrText>
      </w:r>
      <w:r w:rsidR="002D1222">
        <w:fldChar w:fldCharType="separate"/>
      </w:r>
      <w:r w:rsidR="00E430FD" w:rsidRPr="00E430FD">
        <w:rPr>
          <w:noProof/>
        </w:rPr>
        <w:t>[203,204]</w:t>
      </w:r>
      <w:r w:rsidR="002D1222">
        <w:fldChar w:fldCharType="end"/>
      </w:r>
      <w:r w:rsidRPr="00622062">
        <w:rPr>
          <w:rFonts w:cs="Times New Roman"/>
        </w:rPr>
        <w:t>.</w:t>
      </w:r>
    </w:p>
    <w:p w14:paraId="6A2FCEEF" w14:textId="77777777" w:rsidR="00B37E1F" w:rsidRPr="00622062" w:rsidRDefault="00B37E1F" w:rsidP="008A2329">
      <w:pPr>
        <w:pStyle w:val="Normal1"/>
        <w:tabs>
          <w:tab w:val="left" w:pos="0"/>
          <w:tab w:val="left" w:pos="993"/>
        </w:tabs>
        <w:spacing w:before="0" w:line="360" w:lineRule="auto"/>
        <w:ind w:left="0" w:firstLine="567"/>
        <w:jc w:val="both"/>
        <w:rPr>
          <w:rFonts w:cs="Times New Roman"/>
        </w:rPr>
      </w:pPr>
      <w:r w:rsidRPr="00622062">
        <w:rPr>
          <w:rFonts w:cs="Times New Roman"/>
        </w:rPr>
        <w:t>В данном приложении представлен алгоритм действий медицинского персонала при использовании моноклональных антител у больных множественной миеломой.</w:t>
      </w:r>
    </w:p>
    <w:p w14:paraId="47229558" w14:textId="5F02EEC2" w:rsidR="00B37E1F" w:rsidRPr="00CD6C97" w:rsidRDefault="00B37E1F" w:rsidP="008F161A">
      <w:pPr>
        <w:pStyle w:val="a6"/>
        <w:numPr>
          <w:ilvl w:val="0"/>
          <w:numId w:val="163"/>
        </w:numPr>
        <w:tabs>
          <w:tab w:val="left" w:pos="284"/>
        </w:tabs>
        <w:spacing w:before="0" w:after="0"/>
        <w:ind w:left="0" w:firstLine="0"/>
        <w:rPr>
          <w:b/>
        </w:rPr>
      </w:pPr>
      <w:r w:rsidRPr="00CD6C97">
        <w:rPr>
          <w:b/>
        </w:rPr>
        <w:t>Элотузумаб</w:t>
      </w:r>
      <w:r w:rsidR="00F87EE7" w:rsidRPr="00CD6C97">
        <w:rPr>
          <w:b/>
        </w:rPr>
        <w:t>**</w:t>
      </w:r>
    </w:p>
    <w:p w14:paraId="14C827BD" w14:textId="07DD0969" w:rsidR="00B37E1F" w:rsidRPr="00622062" w:rsidRDefault="00B37E1F" w:rsidP="008A2329">
      <w:pPr>
        <w:tabs>
          <w:tab w:val="left" w:pos="0"/>
        </w:tabs>
        <w:spacing w:before="0" w:after="0"/>
        <w:ind w:firstLine="567"/>
        <w:rPr>
          <w:szCs w:val="24"/>
        </w:rPr>
      </w:pPr>
      <w:r w:rsidRPr="00622062">
        <w:rPr>
          <w:szCs w:val="24"/>
        </w:rPr>
        <w:t>Элотузумаб</w:t>
      </w:r>
      <w:r w:rsidR="00F87EE7" w:rsidRPr="00F87EE7">
        <w:rPr>
          <w:szCs w:val="24"/>
        </w:rPr>
        <w:t>**</w:t>
      </w:r>
      <w:r w:rsidRPr="00622062">
        <w:rPr>
          <w:szCs w:val="24"/>
        </w:rPr>
        <w:t xml:space="preserve"> является человеческим иммуностимулирующим моноклональным IgG1 антителом, которое специфически связывается с белком SLAMF7 (представитель в семействе сигнальных молекул активации лимфоцитов). SLAMF7 в большом количестве экспрессируется на миеломных клетках, а также на натуральных киллерах и некоторых других иммунных клетках. SLAMF7 не обнаруживается на клетках здоровых тканей и гемопоэтических стволовых клетках. </w:t>
      </w:r>
    </w:p>
    <w:p w14:paraId="5DA93E2C" w14:textId="77B176E7" w:rsidR="00B37E1F" w:rsidRPr="00622062" w:rsidRDefault="00B37E1F" w:rsidP="008A2329">
      <w:pPr>
        <w:tabs>
          <w:tab w:val="left" w:pos="0"/>
        </w:tabs>
        <w:spacing w:before="0" w:after="0"/>
        <w:ind w:firstLine="567"/>
        <w:rPr>
          <w:szCs w:val="24"/>
        </w:rPr>
      </w:pPr>
      <w:r w:rsidRPr="00622062">
        <w:rPr>
          <w:szCs w:val="24"/>
        </w:rPr>
        <w:t>Элотузумаб</w:t>
      </w:r>
      <w:r w:rsidR="00F87EE7" w:rsidRPr="00F87EE7">
        <w:rPr>
          <w:szCs w:val="24"/>
        </w:rPr>
        <w:t>**</w:t>
      </w:r>
      <w:r w:rsidRPr="00622062">
        <w:rPr>
          <w:szCs w:val="24"/>
        </w:rPr>
        <w:t xml:space="preserve"> обладает двойным механизмом действия. Во-первых, напрямую активирует натуральные киллеры, связываясь с</w:t>
      </w:r>
      <w:r w:rsidR="00F87EE7">
        <w:rPr>
          <w:szCs w:val="24"/>
        </w:rPr>
        <w:t>о</w:t>
      </w:r>
      <w:r w:rsidRPr="00622062">
        <w:rPr>
          <w:szCs w:val="24"/>
        </w:rPr>
        <w:t xml:space="preserve"> SLAMF7. Во-вторых, элотузумаб</w:t>
      </w:r>
      <w:r w:rsidR="00F87EE7" w:rsidRPr="00F87EE7">
        <w:rPr>
          <w:szCs w:val="24"/>
        </w:rPr>
        <w:t>**</w:t>
      </w:r>
      <w:r w:rsidRPr="00622062">
        <w:rPr>
          <w:szCs w:val="24"/>
        </w:rPr>
        <w:t xml:space="preserve"> связывается с SLAMF7 на миеломных клетках, что способствует их взаимодействию с </w:t>
      </w:r>
      <w:r w:rsidRPr="00622062">
        <w:rPr>
          <w:szCs w:val="24"/>
        </w:rPr>
        <w:lastRenderedPageBreak/>
        <w:t>натуральными киллерами и уничтожению миеломных клеток посредством антитело- зависимой клеточной цитотоксичности</w:t>
      </w:r>
      <w:r w:rsidR="00A14090">
        <w:fldChar w:fldCharType="begin" w:fldLock="1"/>
      </w:r>
      <w:r w:rsidR="00E430FD">
        <w:instrText>ADDIN CSL_CITATION {"citationItems":[{"id":"ITEM-1","itemData":{"DOI":"10.2217/fon-2016-0504","ISSN":"17448301","PMID":"28395525","abstract":"Unlike conventional cancer treatment, immuno-oncology therapies are commonly associated with delayed clinical benefit and durable responses, as seen with immuno-oncology therapies for multiple myeloma (MM). Therefore, a longer-term approach to immuno-oncology data assessment is required. Appropriate study designs, end points and statistical methods are essential for evaluating immuno-oncology therapies to assess treatment outcomes, and may better accommodate immuno-oncology clinical trial data. In addition to conventional end points including median progression-free survival (PFS) and overall survival (OS), end points such as hazard ratios for PFS and OS over time, PFS and OS landmark analyses beyond the median, and immune-response end points might provide better indications of the efficacy of immuno-oncology therapies. Long-term data with these agents will allow better prediction of outcomes in MM.","author":[{"dropping-particle":"","family":"Hoering","given":"Antje","non-dropping-particle":"","parse-names":false,"suffix":""},{"dropping-particle":"","family":"Durie","given":"Brian","non-dropping-particle":"","parse-names":false,"suffix":""},{"dropping-particle":"","family":"Wang","given":"Hongwei","non-dropping-particle":"","parse-names":false,"suffix":""},{"dropping-particle":"","family":"Crowley","given":"John","non-dropping-particle":"","parse-names":false,"suffix":""}],"container-title":"Future Oncology","id":"ITEM-1","issue":"13","issued":{"date-parts":[["2017","6"]]},"page":"1181-1193","publisher":"Future Medicine Ltd.","title":"End points and statistical considerations in immuno-oncology trials: Impact on multiple myeloma","type":"article","volume":"13"},"uris":["http://www.mendeley.com/documents/?uuid=2dbcb177-741a-41a5-ae2f-a20d72858252"]},{"id":"ITEM-2","itemData":{"DOI":"10.1111/bjh.12150","ISSN":"00071048","PMID":"23215650","abstract":"Non-haemolytic transfusion reactions are the most common type of transfusion reaction and include transfusion-related acute lung injury, transfusion-associated circulatory overload, allergic reactions, febrile reactions, post-transfusion purpura and graft-versus- host disease. Although life-threatening anaphylaxis occurs rarely, allergic reactions occur most frequently. If possible, even mild transfusion reactions should be avoided because they add to patients' existing suffering. During the last decade, several new discoveries have been made in the field of allergic diseases and transfusion medicine. First, mast cells are not the only cells that are key players in allergic diseases, particularly in the murine immune system. Second, it has been suggested that immunologically active undigested or digested food allergens in a donor's blood may be transferred to a recipient who is allergic to these antigens, causing anaphylaxis. Third, washed platelets have been shown to be effective for preventing allergic transfusion reactions, although substantial numbers of platelets are lost during washing procedures, and platelet recovery after transfusion may not be equivalent to that with unwashed platelets. This review describes allergic transfusion reactions, including the above-mentioned points, and focusses on their incidence, pathogenesis, laboratory tests, prevention and treatment. © 2012 Blackwell Publishing Ltd.","author":[{"dropping-particle":"","family":"Hirayama","given":"Fumiya","non-dropping-particle":"","parse-names":false,"suffix":""}],"container-title":"British Journal of Haematology","id":"ITEM-2","issue":"4","issued":{"date-parts":[["2013","2"]]},"page":"434-444","publisher":"Br J Haematol","title":"Current understanding of allergic transfusion reactions: Incidence, pathogenesis, laboratory tests, prevention and treatment","type":"article","volume":"160"},"uris":["http://www.mendeley.com/documents/?uuid=6ca55a48-c6e6-4b06-8601-61c35709cdad"]}],"mendeley":{"formattedCitation":"[205,206]","plainTextFormattedCitation":"[205,206]","previouslyFormattedCitation":"[205,206]"},"properties":{"noteIndex":0},"schema":"https://github.com/citation-style-language/schema/raw/master/csl-citation.json"}</w:instrText>
      </w:r>
      <w:r w:rsidR="00A14090">
        <w:fldChar w:fldCharType="separate"/>
      </w:r>
      <w:r w:rsidR="00E430FD" w:rsidRPr="00E430FD">
        <w:rPr>
          <w:noProof/>
        </w:rPr>
        <w:t>[205,206]</w:t>
      </w:r>
      <w:r w:rsidR="00A14090">
        <w:fldChar w:fldCharType="end"/>
      </w:r>
      <w:r w:rsidRPr="00622062">
        <w:rPr>
          <w:szCs w:val="24"/>
        </w:rPr>
        <w:t xml:space="preserve">. </w:t>
      </w:r>
    </w:p>
    <w:p w14:paraId="40C306E2" w14:textId="2C3F5C70" w:rsidR="00B37E1F" w:rsidRPr="00622062" w:rsidRDefault="00B37E1F" w:rsidP="008A2329">
      <w:pPr>
        <w:tabs>
          <w:tab w:val="left" w:pos="0"/>
        </w:tabs>
        <w:spacing w:before="0" w:after="0"/>
        <w:ind w:firstLine="567"/>
        <w:rPr>
          <w:szCs w:val="24"/>
        </w:rPr>
      </w:pPr>
      <w:r w:rsidRPr="00622062">
        <w:rPr>
          <w:szCs w:val="24"/>
        </w:rPr>
        <w:t>В клиническом исследовании с участием пациентов с множественной миеломой инфузионные реакции были отмечены примерно у 10% пациентов, прошедших премедикацию и получавших терапию элотузумабом</w:t>
      </w:r>
      <w:r w:rsidR="00F87EE7" w:rsidRPr="00F87EE7">
        <w:rPr>
          <w:szCs w:val="24"/>
        </w:rPr>
        <w:t>**</w:t>
      </w:r>
      <w:r w:rsidRPr="00622062">
        <w:rPr>
          <w:szCs w:val="24"/>
        </w:rPr>
        <w:t xml:space="preserve"> в сочетании с леналидомидом</w:t>
      </w:r>
      <w:r w:rsidR="00F87EE7" w:rsidRPr="00F87EE7">
        <w:rPr>
          <w:szCs w:val="24"/>
        </w:rPr>
        <w:t>**</w:t>
      </w:r>
      <w:r w:rsidRPr="00622062">
        <w:rPr>
          <w:szCs w:val="24"/>
        </w:rPr>
        <w:t xml:space="preserve"> и дексаметазоном</w:t>
      </w:r>
      <w:r w:rsidR="00F87EE7" w:rsidRPr="00F87EE7">
        <w:rPr>
          <w:szCs w:val="24"/>
        </w:rPr>
        <w:t>**</w:t>
      </w:r>
      <w:r w:rsidRPr="00622062">
        <w:rPr>
          <w:szCs w:val="24"/>
        </w:rPr>
        <w:t xml:space="preserve"> (N=318). Частота возникновения инфузионных реакций от легкой до средней степени тяжести составила &gt;50% среди пациентов, которые не прошли премедикацию. Все отчеты по инфузионным реакциям относились к реакциям 3-й степени и ниже. Инфузионные реакции 3-й степени отмечались у 1% пациентов. К наиболее часто отмечаемым симптомам инфузионной реакции относились жар, озноб, гипертензия. Для 5% пациентов требовалось прерывание введения элотузумаба</w:t>
      </w:r>
      <w:r w:rsidR="00F87EE7" w:rsidRPr="00F87EE7">
        <w:rPr>
          <w:szCs w:val="24"/>
        </w:rPr>
        <w:t>**</w:t>
      </w:r>
      <w:r w:rsidRPr="00622062">
        <w:rPr>
          <w:szCs w:val="24"/>
        </w:rPr>
        <w:t xml:space="preserve"> в среднем на 25-й минуте ввиду инфузионной реакции, а 1% пациентов прекратил лечение ввиду появления инфузионных реакций. У 70% (23/33) пациентов, у которых была отмечена инфузионная реакция, отмечалось развитие реакции во время получения первой дозы</w:t>
      </w:r>
      <w:r w:rsidR="00FF686E">
        <w:rPr>
          <w:szCs w:val="24"/>
        </w:rPr>
        <w:t xml:space="preserve"> </w:t>
      </w:r>
      <w:r w:rsidR="00A14090">
        <w:fldChar w:fldCharType="begin" w:fldLock="1"/>
      </w:r>
      <w:r w:rsidR="00E430FD">
        <w:instrText>ADDIN CSL_CITATION {"citationItems":[{"id":"ITEM-1","itemData":{"DOI":"10.1200/JCO.2011.37.2649","ISBN":"1527-7755 (Electronic)\\r0732-183X (Linking)","ISSN":"0732183X","PMID":"22547589","abstract":"PURPOSE This phase I study evaluated elotuzumab, lenalidomide, and dexamethasone in patients with relapsed or refractory multiple myeloma (MM). PATIENTS AND METHODS Three cohorts were enrolled and treated with elotuzumab (5.0, 10, or 20 mg/kg intravenously) on days 1, 8, 15, and 22 of a 28-day cycle in the first two cycles, and days 1 and 15 of each subsequent cycle; lenalidomide 25 mg orally [PO] on days 1 to 21; and dexamethasone 40 mg PO weekly. Dose-limiting toxicities (DLTs) were assessed during cycle 1 of each cohort, and clinical responses were evaluated during each cycle. The first five patients received up to six cycles of therapy; subsequent patients were treated until disease progression. RESULTS Twenty-nine patients with advanced MM and a median of three prior MM therapies were enrolled; 28 patients were treated, three each in the 5.0-mg/kg and 10-mg/kg cohorts and 22 in the 20-mg/kg cohort. No DLTs were observed up to the maximum proposed dose of 20 mg/kg. The most frequent grade 3 to 4 toxicities were neutropenia (36%) and thrombocytopenia (21%). Two patients experienced a serious infusion reaction (one grade 4 anaphylactic reaction and one grade 3 stridor) during the first treatment cycle. Objective responses were obtained in 82% (23 of 28) of treated patients. After a median of 16.4 months follow-up, the median time to progression was not reached for patients in the 20-mg/kg cohort who were treated until disease progression. CONCLUSION The combination of elotuzumab, lenalidomide, and low-dose dexamethasone was generally well tolerated and showed encouraging response rates in patients with relapsed or refractory MM.","author":[{"dropping-particle":"","family":"Lonial","given":"Sagar","non-dropping-particle":"","parse-names":false,"suffix":""},{"dropping-particle":"","family":"Vij","given":"Ravi","non-dropping-particle":"","parse-names":false,"suffix":""},{"dropping-particle":"","family":"Harousseau","given":"Jean Luc","non-dropping-particle":"","parse-names":false,"suffix":""},{"dropping-particle":"","family":"Facon","given":"Thierry","non-dropping-particle":"","parse-names":false,"suffix":""},{"dropping-particle":"","family":"Moreau","given":"Philippe","non-dropping-particle":"","parse-names":false,"suffix":""},{"dropping-particle":"","family":"Mazumder","given":"Amitabha","non-dropping-particle":"","parse-names":false,"suffix":""},{"dropping-particle":"","family":"Kaufman","given":"Jonathan L.","non-dropping-particle":"","parse-names":false,"suffix":""},{"dropping-particle":"","family":"Leleu","given":"Xavier","non-dropping-particle":"","parse-names":false,"suffix":""},{"dropping-particle":"","family":"Tsao","given":"L. Claire","non-dropping-particle":"","parse-names":false,"suffix":""},{"dropping-particle":"","family":"Westland","given":"Christopher","non-dropping-particle":"","parse-names":false,"suffix":""},{"dropping-particle":"","family":"Singhal","given":"Anil K.","non-dropping-particle":"","parse-names":false,"suffix":""},{"dropping-particle":"","family":"Jagannath","given":"Sundar","non-dropping-particle":"","parse-names":false,"suffix":""}],"container-title":"Journal of Clinical Oncology","id":"ITEM-1","issue":"16","issued":{"date-parts":[["2012","6"]]},"page":"1953-1959","title":"Elotuzumab in combination with lenalidomide and low-dose dexamethasone in relapsed or refractory multiple myeloma","type":"article-journal","volume":"30"},"uris":["http://www.mendeley.com/documents/?uuid=f5145d1c-80fc-409e-866d-880c38f2c4a2"]},{"id":"ITEM-2","itemData":{"DOI":"10.1056/NEJMoa1506348","ISSN":"1533-4406","PMID":"26308596","abstract":"BACKGROUND Multiple myeloma cells uniformly overexpress CD38. We studied daratumumab, a CD38-targeting, human IgG1κ monoclonal antibody, in a phase 1-2 trial involving patients with relapsed myeloma or relapsed myeloma that was refractory to two or more prior lines of therapy. METHODS In part 1, the dose-escalation phase, we administered daratumumab at doses of 0.005 to 24 mg per kilogram of body weight. In part 2, the dose-expansion phase, 30 patients received 8 mg per kilogram of daratumumab and 42 received 16 mg per kilogram, administered once weekly (8 doses), twice monthly (8 doses), and monthly for up to 24 months. End points included safety, efficacy, and pharmacokinetics. RESULTS No maximum tolerated dose was identified in part 1. In part 2, the median time since diagnosis was 5.7 years. Patients had received a median of four prior treatments; 79% of the patients had disease that was refractory to the last therapy received (64% had disease refractory to proteasome inhibitors and immunomodulatory drugs and 64% had disease refractory to bortezomib and lenalidomide), and 76% had received autologous stem-cell transplants. Infusion-related reactions in part 2 were mild (71% of patients had an event of any grade, and 1% had an event of grade 3), with no dose-dependent adverse events. The most common adverse events of grade 3 or 4 (in ≥ 5% of patients) were pneumonia and thrombocytopenia. The overall response rate was 36% in the cohort that received 16 mg per kilogram (15 patients had a partial response or better, including 2 with a complete response and 2 with a very good partial response) and 10% in the cohort that received 8 mg per kilogram (3 had a partial response). In the cohort that received 16 mg per kilogram, the median progression-free survival was 5.6 months (95% confidence interval [CI], 4.2 to 8.1), and 65% (95% CI, 28 to 86) of the patients who had a response did not have progression at 12 months. CONCLUSIONS Daratumumab monotherapy had a favorable safety profile and encouraging efficacy in patients with heavily pretreated and refractory myeloma. (Funded by Janssen Research and Development and Genmab; ClinicalTrials.gov number, NCT00574288.).","author":[{"dropping-particle":"","family":"Lokhorst","given":"Henk M","non-dropping-particle":"","parse-names":false,"suffix":""},{"dropping-particle":"","family":"Plesner","given":"Torben","non-dropping-particle":"","parse-names":false,"suffix":""},{"dropping-particle":"","family":"Laubach","given":"Jacob P","non-dropping-particle":"","parse-names":false,"suffix":""},{"dropping-particle":"","family":"Nahi","given":"Hareth","non-dropping-particle":"","parse-names":false,"suffix":""},{"dropping-particle":"","family":"Gimsing","given":"Peter","non-dropping-particle":"","parse-names":false,"suffix":""},{"dropping-particle":"","family":"Hansson","given":"Markus","non-dropping-particle":"","parse-names":false,"suffix":""},{"dropping-particle":"","family":"Minnema","given":"Monique C","non-dropping-particle":"","parse-names":false,"suffix":""},{"dropping-particle":"","family":"Lassen","given":"Ulrik","non-dropping-particle":"","parse-names":false,"suffix":""},{"dropping-particle":"","family":"Krejcik","given":"Jakub","non-dropping-particle":"","parse-names":false,"suffix":""},{"dropping-particle":"","family":"Palumbo","given":"Antonio","non-dropping-particle":"","parse-names":false,"suffix":""},{"dropping-particle":"","family":"Donk","given":"Niels W C J","non-dropping-particle":"van de","parse-names":false,"suffix":""},{"dropping-particle":"","family":"Ahmadi","given":"Tahamtan","non-dropping-particle":"","parse-names":false,"suffix":""},{"dropping-particle":"","family":"Khan","given":"Imran","non-dropping-particle":"","parse-names":false,"suffix":""},{"dropping-particle":"","family":"Uhlar","given":"Clarissa M","non-dropping-particle":"","parse-names":false,"suffix":""},{"dropping-particle":"","family":"Wang","given":"Jianping","non-dropping-particle":"","parse-names":false,"suffix":""},{"dropping-particle":"","family":"Sasser","given":"A Kate","non-dropping-particle":"","parse-names":false,"suffix":""},{"dropping-particle":"","family":"Losic","given":"Nedjad","non-dropping-particle":"","parse-names":false,"suffix":""},{"dropping-particle":"","family":"Lisby","given":"Steen","non-dropping-particle":"","parse-names":false,"suffix":""},{"dropping-particle":"","family":"Basse","given":"Linda","non-dropping-particle":"","parse-names":false,"suffix":""},{"dropping-particle":"","family":"Brun","given":"Nikolai","non-dropping-particle":"","parse-names":false,"suffix":""},{"dropping-particle":"","family":"Richardson","given":"Paul G","non-dropping-particle":"","parse-names":false,"suffix":""}],"container-title":"The New England journal of medicine","id":"ITEM-2","issue":"13","issued":{"date-parts":[["2015","9","24"]]},"page":"1207-19","title":"Targeting CD38 with Daratumumab Monotherapy in Multiple Myeloma.","type":"article-journal","volume":"373"},"uris":["http://www.mendeley.com/documents/?uuid=a85ca09c-7df4-31f2-b664-6c5d1d05c57c"]}],"mendeley":{"formattedCitation":"[71,207]","plainTextFormattedCitation":"[71,207]","previouslyFormattedCitation":"[71,207]"},"properties":{"noteIndex":0},"schema":"https://github.com/citation-style-language/schema/raw/master/csl-citation.json"}</w:instrText>
      </w:r>
      <w:r w:rsidR="00A14090">
        <w:fldChar w:fldCharType="separate"/>
      </w:r>
      <w:r w:rsidR="00E430FD" w:rsidRPr="00E430FD">
        <w:rPr>
          <w:noProof/>
        </w:rPr>
        <w:t>[71,207]</w:t>
      </w:r>
      <w:r w:rsidR="00A14090">
        <w:fldChar w:fldCharType="end"/>
      </w:r>
      <w:r w:rsidRPr="00622062">
        <w:rPr>
          <w:szCs w:val="24"/>
        </w:rPr>
        <w:t>.</w:t>
      </w:r>
    </w:p>
    <w:p w14:paraId="14EBF155" w14:textId="2FD11D88" w:rsidR="00B37E1F" w:rsidRPr="00622062" w:rsidRDefault="00B37E1F" w:rsidP="008F161A">
      <w:pPr>
        <w:pStyle w:val="Normal1"/>
        <w:numPr>
          <w:ilvl w:val="0"/>
          <w:numId w:val="163"/>
        </w:numPr>
        <w:spacing w:before="0" w:line="360" w:lineRule="auto"/>
        <w:jc w:val="both"/>
        <w:rPr>
          <w:rFonts w:cs="Times New Roman"/>
        </w:rPr>
      </w:pPr>
      <w:r w:rsidRPr="00CD6C97">
        <w:rPr>
          <w:rFonts w:eastAsia="Calibri" w:cs="Times New Roman"/>
          <w:b/>
          <w:color w:val="auto"/>
          <w:spacing w:val="0"/>
          <w:szCs w:val="22"/>
          <w:lang w:eastAsia="en-US"/>
        </w:rPr>
        <w:t>Способ применения и дозы</w:t>
      </w:r>
    </w:p>
    <w:p w14:paraId="3A960C91" w14:textId="10706A02" w:rsidR="00B37E1F" w:rsidRPr="00622062" w:rsidRDefault="00B37E1F" w:rsidP="008A2329">
      <w:pPr>
        <w:tabs>
          <w:tab w:val="left" w:pos="0"/>
        </w:tabs>
        <w:spacing w:before="0" w:after="0"/>
        <w:ind w:firstLine="567"/>
        <w:rPr>
          <w:szCs w:val="24"/>
        </w:rPr>
      </w:pPr>
      <w:r w:rsidRPr="00622062">
        <w:rPr>
          <w:szCs w:val="24"/>
        </w:rPr>
        <w:t>В комбинации с леналидомидом</w:t>
      </w:r>
      <w:r w:rsidR="00F87EE7" w:rsidRPr="00F87EE7">
        <w:rPr>
          <w:szCs w:val="24"/>
        </w:rPr>
        <w:t>**</w:t>
      </w:r>
      <w:r w:rsidRPr="00622062">
        <w:rPr>
          <w:szCs w:val="24"/>
        </w:rPr>
        <w:t xml:space="preserve"> и дексаметазоном</w:t>
      </w:r>
      <w:r w:rsidR="00F87EE7" w:rsidRPr="00F87EE7">
        <w:rPr>
          <w:szCs w:val="24"/>
        </w:rPr>
        <w:t>**</w:t>
      </w:r>
      <w:r w:rsidRPr="00622062">
        <w:rPr>
          <w:szCs w:val="24"/>
        </w:rPr>
        <w:t xml:space="preserve"> рекомендуемая доза элотузумаба</w:t>
      </w:r>
      <w:r w:rsidR="00F87EE7" w:rsidRPr="00F87EE7">
        <w:rPr>
          <w:szCs w:val="24"/>
        </w:rPr>
        <w:t>**</w:t>
      </w:r>
      <w:r w:rsidRPr="00622062">
        <w:rPr>
          <w:szCs w:val="24"/>
        </w:rPr>
        <w:t xml:space="preserve"> составляет 10 мг/кг в виде внутривенной инфузии в дни 1,8, 15, 22 в течение первых двух 28-дневных циклов и каждые две недели в последующих циклах в дни 1 и 15.</w:t>
      </w:r>
    </w:p>
    <w:p w14:paraId="296CE37B" w14:textId="2D687907" w:rsidR="00B37E1F" w:rsidRPr="00622062" w:rsidRDefault="00B37E1F" w:rsidP="008A2329">
      <w:pPr>
        <w:tabs>
          <w:tab w:val="left" w:pos="0"/>
        </w:tabs>
        <w:spacing w:before="0" w:after="0"/>
        <w:ind w:firstLine="567"/>
        <w:rPr>
          <w:szCs w:val="24"/>
        </w:rPr>
      </w:pPr>
      <w:r w:rsidRPr="00622062">
        <w:rPr>
          <w:szCs w:val="24"/>
        </w:rPr>
        <w:t>Перед введением каждой дозы препарата элотузумаба</w:t>
      </w:r>
      <w:r w:rsidR="00F87EE7" w:rsidRPr="00F87EE7">
        <w:rPr>
          <w:szCs w:val="24"/>
        </w:rPr>
        <w:t>**</w:t>
      </w:r>
      <w:r w:rsidRPr="00622062">
        <w:rPr>
          <w:szCs w:val="24"/>
        </w:rPr>
        <w:t xml:space="preserve"> пациенты должны получать премедикацию. Премедикация проводится за 45-90 минут до введения элотузумаба</w:t>
      </w:r>
      <w:r w:rsidR="00F87EE7" w:rsidRPr="00F87EE7">
        <w:rPr>
          <w:szCs w:val="24"/>
        </w:rPr>
        <w:t>**</w:t>
      </w:r>
      <w:r w:rsidRPr="00622062">
        <w:rPr>
          <w:szCs w:val="24"/>
        </w:rPr>
        <w:t xml:space="preserve"> следующими препаратами: 8 мг дексаметазона</w:t>
      </w:r>
      <w:r w:rsidR="00F87EE7" w:rsidRPr="00F87EE7">
        <w:rPr>
          <w:szCs w:val="24"/>
        </w:rPr>
        <w:t>**</w:t>
      </w:r>
      <w:r w:rsidRPr="00622062">
        <w:rPr>
          <w:szCs w:val="24"/>
        </w:rPr>
        <w:t xml:space="preserve"> внутривенно, блокатор Н1-гистаминовых рецепторов: дифенгидрамин</w:t>
      </w:r>
      <w:r w:rsidR="00F87EE7" w:rsidRPr="00F87EE7">
        <w:rPr>
          <w:szCs w:val="24"/>
        </w:rPr>
        <w:t>**</w:t>
      </w:r>
      <w:r w:rsidRPr="00622062">
        <w:rPr>
          <w:szCs w:val="24"/>
        </w:rPr>
        <w:t xml:space="preserve"> (25-50 мг внутрь или внутривенно) или аналогичный препарат; блокатор Н2-гистаминовых рецепторов: ранитидин</w:t>
      </w:r>
      <w:r w:rsidR="00F87EE7" w:rsidRPr="00F87EE7">
        <w:rPr>
          <w:szCs w:val="24"/>
        </w:rPr>
        <w:t>**</w:t>
      </w:r>
      <w:r w:rsidRPr="00622062">
        <w:rPr>
          <w:szCs w:val="24"/>
        </w:rPr>
        <w:t xml:space="preserve"> (50 мг внутривенно или 150 мг внутрь) или аналогичный препарат; парацетамол</w:t>
      </w:r>
      <w:r w:rsidR="00F87EE7" w:rsidRPr="00F87EE7">
        <w:rPr>
          <w:szCs w:val="24"/>
        </w:rPr>
        <w:t>**</w:t>
      </w:r>
      <w:r w:rsidRPr="00622062">
        <w:rPr>
          <w:szCs w:val="24"/>
        </w:rPr>
        <w:t xml:space="preserve"> (650-1000 мг внутрь или внутривенно).</w:t>
      </w:r>
    </w:p>
    <w:p w14:paraId="515FA020" w14:textId="0B8EB3F9" w:rsidR="00B37E1F" w:rsidRPr="00622062" w:rsidRDefault="00B37E1F" w:rsidP="008A2329">
      <w:pPr>
        <w:tabs>
          <w:tab w:val="left" w:pos="0"/>
        </w:tabs>
        <w:spacing w:before="0" w:after="0"/>
        <w:ind w:firstLine="567"/>
        <w:rPr>
          <w:szCs w:val="24"/>
        </w:rPr>
      </w:pPr>
      <w:r w:rsidRPr="00622062">
        <w:rPr>
          <w:szCs w:val="24"/>
        </w:rPr>
        <w:t>Доза элотузумаба</w:t>
      </w:r>
      <w:r w:rsidR="00F87EE7" w:rsidRPr="00F87EE7">
        <w:rPr>
          <w:szCs w:val="24"/>
        </w:rPr>
        <w:t>**</w:t>
      </w:r>
      <w:r w:rsidRPr="00622062">
        <w:rPr>
          <w:szCs w:val="24"/>
        </w:rPr>
        <w:t xml:space="preserve"> на одно введение составляет 10 мг/кг. Скорость введения препарата увеличивается последовательно от 0.5 до 5 мл/мин, при скорости введения 5 мл/мин продолжительность инфузии составляет менее часа</w:t>
      </w:r>
    </w:p>
    <w:p w14:paraId="5C8EDF8A" w14:textId="0466CA05" w:rsidR="00B37E1F" w:rsidRPr="00CD6C97" w:rsidRDefault="00B37E1F" w:rsidP="008F161A">
      <w:pPr>
        <w:pStyle w:val="a6"/>
        <w:numPr>
          <w:ilvl w:val="0"/>
          <w:numId w:val="163"/>
        </w:numPr>
        <w:tabs>
          <w:tab w:val="left" w:pos="0"/>
        </w:tabs>
        <w:spacing w:before="0" w:after="0"/>
        <w:rPr>
          <w:b/>
          <w:szCs w:val="24"/>
          <w:lang w:eastAsia="ru-RU"/>
        </w:rPr>
      </w:pPr>
      <w:r w:rsidRPr="00CD6C97">
        <w:rPr>
          <w:b/>
          <w:szCs w:val="24"/>
          <w:lang w:eastAsia="ru-RU"/>
        </w:rPr>
        <w:t>Даратумумаб</w:t>
      </w:r>
      <w:r w:rsidR="00F87EE7" w:rsidRPr="00CD6C97">
        <w:rPr>
          <w:b/>
          <w:szCs w:val="24"/>
          <w:lang w:eastAsia="ru-RU"/>
        </w:rPr>
        <w:t>**</w:t>
      </w:r>
    </w:p>
    <w:p w14:paraId="70228AE5" w14:textId="1989ED45" w:rsidR="00B37E1F" w:rsidRPr="00622062" w:rsidRDefault="00B37E1F" w:rsidP="008A2329">
      <w:pPr>
        <w:tabs>
          <w:tab w:val="left" w:pos="0"/>
        </w:tabs>
        <w:spacing w:before="0" w:after="0"/>
        <w:ind w:firstLine="567"/>
        <w:rPr>
          <w:szCs w:val="24"/>
        </w:rPr>
      </w:pPr>
      <w:r w:rsidRPr="00622062">
        <w:rPr>
          <w:szCs w:val="24"/>
        </w:rPr>
        <w:t>Даратумумаб</w:t>
      </w:r>
      <w:r w:rsidR="00F87EE7" w:rsidRPr="00F87EE7">
        <w:rPr>
          <w:szCs w:val="24"/>
        </w:rPr>
        <w:t>**</w:t>
      </w:r>
      <w:r w:rsidRPr="00622062">
        <w:rPr>
          <w:szCs w:val="24"/>
        </w:rPr>
        <w:t xml:space="preserve"> является человеческим иммуноглобулином (IgG1), моноклональным антителом, которое связывается с CD38, антигеном, экспрессируемым на поверхности миеломных клеток. Действие даратумумаба</w:t>
      </w:r>
      <w:r w:rsidR="00F87EE7" w:rsidRPr="00F87EE7">
        <w:rPr>
          <w:szCs w:val="24"/>
        </w:rPr>
        <w:t>**</w:t>
      </w:r>
      <w:r w:rsidRPr="00622062">
        <w:rPr>
          <w:szCs w:val="24"/>
        </w:rPr>
        <w:t xml:space="preserve"> на опухоль реализуется через несколько CD38-опосредованных иммунных механизмов (комплемент-зависимая цитотоксичность, </w:t>
      </w:r>
      <w:r w:rsidRPr="00622062">
        <w:rPr>
          <w:szCs w:val="24"/>
        </w:rPr>
        <w:lastRenderedPageBreak/>
        <w:t>антителозависимая клеточно-опосредованная цитотоксичность и антителозависимый фагоцитоз), апоптоз и модуляцию ферментативной активности CD38</w:t>
      </w:r>
      <w:r w:rsidR="00FF686E">
        <w:rPr>
          <w:szCs w:val="24"/>
        </w:rPr>
        <w:t xml:space="preserve"> </w:t>
      </w:r>
      <w:r w:rsidR="00FF686E">
        <w:fldChar w:fldCharType="begin" w:fldLock="1"/>
      </w:r>
      <w:r w:rsidR="00E430FD">
        <w:instrText>ADDIN CSL_CITATION {"citationItems":[{"id":"ITEM-1","itemData":{"DOI":"10.1056/nejmoa1607751","ISSN":"0028-4793","PMID":"27705267","abstract":"BACKGROUND Daratumumab showed promising efficacy alone and with lenalidomide and dexamethasone in a phase 1-2 study involving patients with relapsed or refractory multiple myeloma. METHODS In this phase 3 trial, we randomly assigned 569 patients with multiple myeloma who had received one or more previous lines of therapy to receive lenalidomide and dexamethasone either alone (control group) or in combination with daratumumab (daratumumab group). The primary end point was progression-free survival. RESULTS At a median follow-up of 13.5 months in a protocol-specified interim analysis, 169 events of disease progression or death were observed (in 53 of 286 patients [18.5%] in the daratumumab group vs. 116 of 283 [41.0%] in the control group; hazard ratio, 0.37; 95% confidence interval [CI], 0.27 to 0.52; P&lt;0.001 by stratified log-rank test). The Kaplan-Meier rate of progression-free survival at 12 months was 83.2% (95% CI, 78.3 to 87.2) in the daratumumab group, as compared with 60.1% (95% CI, 54.0 to 65.7) in the control group. A significantly higher rate of overall response was observed in the daratumumab group than in the control group (92.9% vs. 76.4%, P&lt;0.001), as was a higher rate of complete response or better (43.1% vs. 19.2%, P&lt;0.001). In the daratumumab group, 22.4% of the patients had results below the threshold for minimal residual disease (1 tumor cell per 105 white cells), as compared with 4.6% of those in the control group (P&lt;0.001); results below the threshold for minimal residual disease were associated with improved outcomes. The most common adverse events of grade 3 or 4 during treatment were neutropenia (in 51.9% of the patients in the daratumumab group vs. 37.0% of those in the control group), thrombocytopenia (in 12.7% vs. 13.5%), and anemia (in 12.4% vs. 19.6%). Daratumumab-associated infusion-related reactions occurred in 47.7% of the patients and were mostly of grade 1 or 2. CONCLUSIONS The addition of daratumumab to lenalidomide and dexamethasone significantly lengthened progression-free survival among patients with relapsed or refractory multiple myeloma. Daratumumab was associated with infusion-related reactions and a higher rate of neutropenia than the control therapy. (Funded by Janssen Research and Development; POLLUX ClinicalTrials.gov number, NCT02076009 .).","author":[{"dropping-particle":"","family":"Dimopoulos","given":"Meletios A.","non-dropping-particle":"","parse-names":false,"suffix":""},{"dropping-particle":"","family":"Oriol","given":"Albert","non-dropping-particle":"","parse-names":false,"suffix":""},{"dropping-particle":"","family":"Nahi","given":"Hareth","non-dropping-particle":"","parse-names":false,"suffix":""},{"dropping-particle":"","family":"San-Miguel","given":"Jesus","non-dropping-particle":"","parse-names":false,"suffix":""},{"dropping-particle":"","family":"Bahlis","given":"Nizar J.","non-dropping-particle":"","parse-names":false,"suffix":""},{"dropping-particle":"","family":"Usmani","given":"Saad Z.","non-dropping-particle":"","parse-names":false,"suffix":""},{"dropping-particle":"","family":"Rabin","given":"Neil","non-dropping-particle":"","parse-names":false,"suffix":""},{"dropping-particle":"","family":"Orlowski","given":"Robert Z.","non-dropping-particle":"","parse-names":false,"suffix":""},{"dropping-particle":"","family":"Komarnicki","given":"Mieczyslaw","non-dropping-particle":"","parse-names":false,"suffix":""},{"dropping-particle":"","family":"Suzuki","given":"Kenshi","non-dropping-particle":"","parse-names":false,"suffix":""},{"dropping-particle":"","family":"Plesner","given":"Torben","non-dropping-particle":"","parse-names":false,"suffix":""},{"dropping-particle":"","family":"Yoon","given":"Sung-Soo","non-dropping-particle":"","parse-names":false,"suffix":""},{"dropping-particle":"","family":"Yehuda","given":"Dina","non-dropping-particle":"Ben","parse-names":false,"suffix":""},{"dropping-particle":"","family":"Richardson","given":"Paul G.","non-dropping-particle":"","parse-names":false,"suffix":""},{"dropping-particle":"","family":"Goldschmidt","given":"Hartmut","non-dropping-particle":"","parse-names":false,"suffix":""},{"dropping-particle":"","family":"Reece","given":"Donna","non-dropping-particle":"","parse-names":false,"suffix":""},{"dropping-particle":"","family":"Lisby","given":"Steen","non-dropping-particle":"","parse-names":false,"suffix":""},{"dropping-particle":"","family":"Khokhar","given":"Nushmia Z.","non-dropping-particle":"","parse-names":false,"suffix":""},{"dropping-particle":"","family":"O’Rourke","given":"Lisa","non-dropping-particle":"","parse-names":false,"suffix":""},{"dropping-particle":"","family":"Chiu","given":"Christopher","non-dropping-particle":"","parse-names":false,"suffix":""},{"dropping-particle":"","family":"Qin","given":"Xiang","non-dropping-particle":"","parse-names":false,"suffix":""},{"dropping-particle":"","family":"Guckert","given":"Mary","non-dropping-particle":"","parse-names":false,"suffix":""},{"dropping-particle":"","family":"Ahmadi","given":"Tahamtan","non-dropping-particle":"","parse-names":false,"suffix":""},{"dropping-particle":"","family":"Moreau","given":"Philippe","non-dropping-particle":"","parse-names":false,"suffix":""}],"container-title":"New England Journal of Medicine","id":"ITEM-1","issue":"14","issued":{"date-parts":[["2016","10"]]},"page":"1319-1331","publisher":"New England Journal of Medicine (NEJM/MMS)","title":"Daratumumab, Lenalidomide, and Dexamethasone for Multiple Myeloma","type":"article-journal","volume":"375"},"uris":["http://www.mendeley.com/documents/?uuid=6babc9f7-872b-4f27-a6c0-c993875169e4"]}],"mendeley":{"formattedCitation":"[208]","plainTextFormattedCitation":"[208]","previouslyFormattedCitation":"[208]"},"properties":{"noteIndex":0},"schema":"https://github.com/citation-style-language/schema/raw/master/csl-citation.json"}</w:instrText>
      </w:r>
      <w:r w:rsidR="00FF686E">
        <w:fldChar w:fldCharType="separate"/>
      </w:r>
      <w:r w:rsidR="00E430FD" w:rsidRPr="00E430FD">
        <w:rPr>
          <w:noProof/>
        </w:rPr>
        <w:t>[208]</w:t>
      </w:r>
      <w:r w:rsidR="00FF686E">
        <w:fldChar w:fldCharType="end"/>
      </w:r>
      <w:r w:rsidRPr="00622062">
        <w:rPr>
          <w:szCs w:val="24"/>
        </w:rPr>
        <w:t>.</w:t>
      </w:r>
    </w:p>
    <w:p w14:paraId="78376441" w14:textId="692302F2" w:rsidR="00B37E1F" w:rsidRPr="00622062" w:rsidRDefault="00B37E1F" w:rsidP="008A2329">
      <w:pPr>
        <w:tabs>
          <w:tab w:val="left" w:pos="0"/>
        </w:tabs>
        <w:spacing w:before="0" w:after="0"/>
        <w:ind w:firstLine="567"/>
        <w:rPr>
          <w:szCs w:val="24"/>
        </w:rPr>
      </w:pPr>
      <w:r w:rsidRPr="00622062">
        <w:rPr>
          <w:szCs w:val="24"/>
        </w:rPr>
        <w:t>Нормальные лимфоидные, миелоидные и некоторые негемопоэтические клетки и ткани экспрессируют низкие уровни CD38, тем не менее, именно миеломные клетки сверхэкспрессируют этот белок, что создает клиническое обоснование использования даратумумаба</w:t>
      </w:r>
      <w:r w:rsidR="00F87EE7" w:rsidRPr="00F87EE7">
        <w:rPr>
          <w:szCs w:val="24"/>
        </w:rPr>
        <w:t>**</w:t>
      </w:r>
      <w:r w:rsidRPr="00622062">
        <w:rPr>
          <w:szCs w:val="24"/>
        </w:rPr>
        <w:t xml:space="preserve"> в качестве терапевтической мишени при множественной миеломе. Даратумумаб</w:t>
      </w:r>
      <w:r w:rsidR="00F87EE7" w:rsidRPr="00F87EE7">
        <w:rPr>
          <w:szCs w:val="24"/>
        </w:rPr>
        <w:t>**</w:t>
      </w:r>
      <w:r w:rsidRPr="00622062">
        <w:rPr>
          <w:szCs w:val="24"/>
        </w:rPr>
        <w:t xml:space="preserve"> также оказывает иммуномодулирующий эффект, который минимизирует иммунносупрессивные функции CD38-положительных клеток-супрессоров миелоидного происхождения, регуляторных T- и B-лимфоцитов, и увеличивает клональную экспансию Т-лимфоцитов.</w:t>
      </w:r>
    </w:p>
    <w:p w14:paraId="000E1591" w14:textId="2E369FE2" w:rsidR="00B37E1F" w:rsidRPr="00622062" w:rsidRDefault="00B37E1F" w:rsidP="008A2329">
      <w:pPr>
        <w:tabs>
          <w:tab w:val="left" w:pos="0"/>
        </w:tabs>
        <w:spacing w:before="0" w:after="0"/>
        <w:ind w:firstLine="567"/>
        <w:rPr>
          <w:szCs w:val="24"/>
        </w:rPr>
      </w:pPr>
      <w:r w:rsidRPr="00622062">
        <w:rPr>
          <w:szCs w:val="24"/>
        </w:rPr>
        <w:t>Даратумумаб</w:t>
      </w:r>
      <w:r w:rsidR="00F87EE7" w:rsidRPr="00F87EE7">
        <w:rPr>
          <w:szCs w:val="24"/>
        </w:rPr>
        <w:t>**</w:t>
      </w:r>
      <w:r w:rsidRPr="00622062">
        <w:rPr>
          <w:szCs w:val="24"/>
        </w:rPr>
        <w:t xml:space="preserve"> может вызвать серьезные инфузионные реакции, включая анафилактические.</w:t>
      </w:r>
    </w:p>
    <w:p w14:paraId="375E0A35" w14:textId="0A6961E6" w:rsidR="00B37E1F" w:rsidRPr="00622062" w:rsidRDefault="00B37E1F" w:rsidP="008A2329">
      <w:pPr>
        <w:tabs>
          <w:tab w:val="left" w:pos="0"/>
        </w:tabs>
        <w:spacing w:before="0" w:after="0"/>
        <w:ind w:firstLine="567"/>
        <w:rPr>
          <w:szCs w:val="24"/>
        </w:rPr>
      </w:pPr>
      <w:r w:rsidRPr="00622062">
        <w:rPr>
          <w:szCs w:val="24"/>
        </w:rPr>
        <w:t>В ходе клинических исследований было сообщено о развитии инфузионных реакций примерно у половины пациентов, которым вводился даратумумаб</w:t>
      </w:r>
      <w:r w:rsidR="00F87EE7" w:rsidRPr="00F87EE7">
        <w:rPr>
          <w:szCs w:val="24"/>
        </w:rPr>
        <w:t>**</w:t>
      </w:r>
      <w:r w:rsidR="00FF686E">
        <w:fldChar w:fldCharType="begin" w:fldLock="1"/>
      </w:r>
      <w:r w:rsidR="00E430FD">
        <w:instrText>ADDIN CSL_CITATION {"citationItems":[{"id":"ITEM-1","itemData":{"DOI":"10.1111/bjh.16059","ISSN":"13652141","PMID":"31218679","abstract":"Single agent daratumumab has shown clinical activity in relapsed, refractory multiple myeloma (RRMM). The Intergroupe Francophone du Myélome 2014-04 trial was designed to further investigate daratumumab in combination with dexamethasone in triple RRMM patients. Patients received daratumumab infusions in combination with weekly dexamethasone until disease progression or unacceptable toxicity. Fifty-seven patients were included in the trial and evaluable for response. The overall response rate and the clinical benefit rate were 33% (n = 19) and 48% (n = 27), respectively. Five (8·8%) patients achieved a very good partial response or better. The median time to response was 4 weeks. For responding patients, the median progression-free survival was 6·6 months, compared to 3·7 months (3·0–5·5) for those with a minimal or stable disease. The median overall survival (OS) for all patients was 16·7 months (11·2–24·0). For responding patients, the median OS was 23·23 months, whereas that of patients with progressive disease was 2·97 months. The incidence of infusion-related reactions was 37%; all cases were manageable and did not lead to dose reduction or permanent treatment discontinuation. These data demonstrate that treatment with daratumumab and dexamethasone results in a meaningful long-term benefit with an acceptable safety profile for patients with triple RRMM.","author":[{"dropping-particle":"","family":"Boyle","given":"Eileen M.","non-dropping-particle":"","parse-names":false,"suffix":""},{"dropping-particle":"","family":"Leleu","given":"Xavier","non-dropping-particle":"","parse-names":false,"suffix":""},{"dropping-particle":"","family":"Petillon","given":"Marie Odile","non-dropping-particle":"","parse-names":false,"suffix":""},{"dropping-particle":"","family":"Karlin","given":"Lionel","non-dropping-particle":"","parse-names":false,"suffix":""},{"dropping-particle":"","family":"Doyen","given":"Chantal","non-dropping-particle":"","parse-names":false,"suffix":""},{"dropping-particle":"","family":"Demarquette","given":"Hélène","non-dropping-particle":"","parse-names":false,"suffix":""},{"dropping-particle":"","family":"Royer","given":"Bruno","non-dropping-particle":"","parse-names":false,"suffix":""},{"dropping-particle":"","family":"Macro","given":"Margaret","non-dropping-particle":"","parse-names":false,"suffix":""},{"dropping-particle":"","family":"Moreau","given":"Philippe","non-dropping-particle":"","parse-names":false,"suffix":""},{"dropping-particle":"","family":"Fostier","given":"Karel","non-dropping-particle":"","parse-names":false,"suffix":""},{"dropping-particle":"","family":"Marie-Lorraine","given":"Chretien","non-dropping-particle":"","parse-names":false,"suffix":""},{"dropping-particle":"","family":"Zarnitsky","given":"Charles","non-dropping-particle":"","parse-names":false,"suffix":""},{"dropping-particle":"","family":"Perrot","given":"Aurore","non-dropping-particle":"","parse-names":false,"suffix":""},{"dropping-particle":"","family":"Herbaux","given":"Charles","non-dropping-particle":"","parse-names":false,"suffix":""},{"dropping-particle":"","family":"Poulain","given":"Stephanie","non-dropping-particle":"","parse-names":false,"suffix":""},{"dropping-particle":"","family":"Manier","given":"Salomon","non-dropping-particle":"","parse-names":false,"suffix":""},{"dropping-particle":"","family":"Beauvais","given":"David","non-dropping-particle":"","parse-names":false,"suffix":""},{"dropping-particle":"","family":"Walker","given":"Brian A.","non-dropping-particle":"","parse-names":false,"suffix":""},{"dropping-particle":"","family":"Wardell","given":"Christopher P.","non-dropping-particle":"","parse-names":false,"suffix":""},{"dropping-particle":"","family":"Vincent","given":"Laure","non-dropping-particle":"","parse-names":false,"suffix":""},{"dropping-particle":"","family":"Frenzel","given":"Laurent","non-dropping-particle":"","parse-names":false,"suffix":""},{"dropping-particle":"","family":"Caillon","given":"Hélène","non-dropping-particle":"","parse-names":false,"suffix":""},{"dropping-particle":"","family":"Susanna","given":"Schraen","non-dropping-particle":"","parse-names":false,"suffix":""},{"dropping-particle":"","family":"Dejoie","given":"Thomas","non-dropping-particle":"","parse-names":false,"suffix":""},{"dropping-particle":"","family":"Avet-Loiseau","given":"Hervé","non-dropping-particle":"","parse-names":false,"suffix":""},{"dropping-particle":"","family":"Mohty","given":"Mohamad","non-dropping-particle":"","parse-names":false,"suffix":""},{"dropping-particle":"","family":"Facon","given":"Thierry","non-dropping-particle":"","parse-names":false,"suffix":""},{"dropping-particle":"","family":"Arnulf","given":"Bertrand","non-dropping-particle":"","parse-names":false,"suffix":""},{"dropping-particle":"","family":"Dib","given":"Mamoun","non-dropping-particle":"","parse-names":false,"suffix":""},{"dropping-particle":"","family":"Brechignac-Bureau","given":"Sabine","non-dropping-particle":"","parse-names":false,"suffix":""},{"dropping-particle":"","family":"Godmer","given":"Pascal","non-dropping-particle":"","parse-names":false,"suffix":""},{"dropping-particle":"","family":"Tempescul","given":"Adrian","non-dropping-particle":"","parse-names":false,"suffix":""},{"dropping-particle":"","family":"Fohrer","given":"Cecile","non-dropping-particle":"","parse-names":false,"suffix":""},{"dropping-particle":"","family":"Benboubker","given":"Lotfi","non-dropping-particle":"","parse-names":false,"suffix":""},{"dropping-particle":"","family":"Voillat","given":"Laurent","non-dropping-particle":"","parse-names":false,"suffix":""},{"dropping-particle":"","family":"Malfuson","given":"Jean Valère","non-dropping-particle":"","parse-names":false,"suffix":""},{"dropping-particle":"","family":"Mariette","given":"Clara","non-dropping-particle":"","parse-names":false,"suffix":""},{"dropping-particle":"","family":"Tiab","given":"Mourad","non-dropping-particle":"","parse-names":false,"suffix":""},{"dropping-particle":"","family":"Rigaudeau","given":"Sophie","non-dropping-particle":"","parse-names":false,"suffix":""},{"dropping-particle":"","family":"Jaccard","given":"Arnaud","non-dropping-particle":"","parse-names":false,"suffix":""},{"dropping-particle":"","family":"Stoppa","given":"Anne Marie","non-dropping-particle":"","parse-names":false,"suffix":""},{"dropping-particle":"","family":"Eisenmann","given":"Jean Claude","non-dropping-particle":"","parse-names":false,"suffix":""},{"dropping-particle":"","family":"Rodon","given":"Philippe","non-dropping-particle":"","parse-names":false,"suffix":""},{"dropping-particle":"","family":"Kolb","given":"Brigitte","non-dropping-particle":"","parse-names":false,"suffix":""},{"dropping-particle":"","family":"Decaux","given":"Olivier","non-dropping-particle":"","parse-names":false,"suffix":""},{"dropping-particle":"","family":"Onraed","given":"Brigitte","non-dropping-particle":"","parse-names":false,"suffix":""},{"dropping-particle":"","family":"Attal","given":"Michel","non-dropping-particle":"","parse-names":false,"suffix":""},{"dropping-particle":"","family":"Hulin","given":"Cyrille","non-dropping-particle":"","parse-names":false,"suffix":""}],"container-title":"British Journal of Haematology","id":"ITEM-1","issue":"3","issued":{"date-parts":[["2019","11"]]},"page":"319-327","publisher":"Blackwell Publishing Ltd","title":"Daratumumab and dexamethasone is safe and effective for triple refractory myeloma patients: final results of the IFM 2014-04 (Etoile du Nord) trial","type":"article-journal","volume":"187"},"uris":["http://www.mendeley.com/documents/?uuid=d3df097f-d514-4ded-9216-00219dcd3a0a"]}],"mendeley":{"formattedCitation":"[209]","plainTextFormattedCitation":"[209]","previouslyFormattedCitation":"[209]"},"properties":{"noteIndex":0},"schema":"https://github.com/citation-style-language/schema/raw/master/csl-citation.json"}</w:instrText>
      </w:r>
      <w:r w:rsidR="00FF686E">
        <w:fldChar w:fldCharType="separate"/>
      </w:r>
      <w:r w:rsidR="00E430FD" w:rsidRPr="00E430FD">
        <w:rPr>
          <w:noProof/>
        </w:rPr>
        <w:t>[209]</w:t>
      </w:r>
      <w:r w:rsidR="00FF686E">
        <w:fldChar w:fldCharType="end"/>
      </w:r>
      <w:r w:rsidR="00FF686E">
        <w:fldChar w:fldCharType="begin" w:fldLock="1"/>
      </w:r>
      <w:r w:rsidR="00E430FD">
        <w:instrText>ADDIN CSL_CITATION {"citationItems":[{"id":"ITEM-1","itemData":{"DOI":"10.1007/978-3-319-30472-4_3","abstract":"Twenty-four monoclonal antibodies (mAbs) targeted to a total of 16 different antigens are currently approved for the treatment of an increasing number of cancers. Six are directed against antigens expressed on B lymphocytes (ibritumomab tiuxetan, obinutuzumab, ofatumumab, and rituximab to CD20, brentuximab vedotin to CD30, and alemtuzumab to CD52); cetuximab, panitumumab, and necitumumab target EGFR; bevacizumab and ramucirumab are specific for VEGF and VEGFR2, respectively; pertuzumab, trastuzumab, and ado-trastuzumab target HER2; nivolumab and pembrolizumab are directed to the programmed cell death protein 1 (PD-1); and denosumab, ipilimumab, siltuximab, and dinutuximab recognize RANKL, CTLA-4, IL-6, and the disialoganglioside (GD2), respectively. In November 2015, the FDA approved daratumumab, the first anti-CD38 mAb and the first mAb to be approved for the treatment of multiple myeloma. Elotuzumab, targeted to the receptor SLAMF7, was also given approval for multiple myeloma soon after. Two antibodies are bispecific: the rat-mouse chimera, catumaxomab, recognizes both EpCAM and CD3, while blinatumomab, a bispecific T-cell-engaging (BiTE) fusion protein, targets both CD19 and CD3. Although mAbs used for cancer immunotherapy are generally better tolerated than small molecule chemotherapeutic drugs, their range of adverse effects is still wide and varied from mild gastrointestinal symptoms and transient rashes to severe cytopenias; anaphylaxis; autoimmunity; pulmonary, cardiac, hepatic, kidney, neurological, and embryofetal toxicities; and rare life-threatening toxidermias. Because of their immunogenic potential, mAbs generally carry warnings of immune reactions, especially anaphylaxis, but the observed incidences of such reactions are actually quite small. Cytopenias occur in some patients treated with mAbs during anticancer immunotherapy, but the underlying mechanisms frequently remain unexplored. Type II and III hypersensitivities induced by mAbs may be underdiagnosed. Severe infusion reactions have been reported for all the mAbs although some show a much higher incidence with the chimeric rituximab and humanized trastuzumab antibodies being the leading offenders. Distinguishing features in the literature between cytokine release syndrome and severe infusion reactions are often not clear. At least ten of the currently approved mAbs for cancer therapy show some pulmonary toxicity. These pulmonary adverse events can be grouped into four categories: in…","author":[{"dropping-particle":"","family":"Baldo","given":"Brian A.","non-dropping-particle":"","parse-names":false,"suffix":""},{"dropping-particle":"","family":"Baldo","given":"Brian A.","non-dropping-particle":"","parse-names":false,"suffix":""}],"container-title":"Safety of Biologics Therapy","id":"ITEM-1","issued":{"date-parts":[["2016"]]},"page":"57-140","publisher":"Springer International Publishing","title":"Monoclonal Antibodies Approved for Cancer Therapy","type":"chapter"},"uris":["http://www.mendeley.com/documents/?uuid=6dc6d23f-1b7c-44ab-8c41-807f022e2d96"]}],"mendeley":{"formattedCitation":"[210]","plainTextFormattedCitation":"[210]","previouslyFormattedCitation":"[210]"},"properties":{"noteIndex":0},"schema":"https://github.com/citation-style-language/schema/raw/master/csl-citation.json"}</w:instrText>
      </w:r>
      <w:r w:rsidR="00FF686E">
        <w:fldChar w:fldCharType="separate"/>
      </w:r>
      <w:r w:rsidR="00E430FD" w:rsidRPr="00E430FD">
        <w:rPr>
          <w:noProof/>
        </w:rPr>
        <w:t>[210]</w:t>
      </w:r>
      <w:r w:rsidR="00FF686E">
        <w:fldChar w:fldCharType="end"/>
      </w:r>
      <w:r w:rsidRPr="00622062">
        <w:rPr>
          <w:szCs w:val="24"/>
        </w:rPr>
        <w:t>.</w:t>
      </w:r>
    </w:p>
    <w:p w14:paraId="2DBA6561" w14:textId="360A7DFD" w:rsidR="00B37E1F" w:rsidRPr="00622062" w:rsidRDefault="00B37E1F" w:rsidP="008A2329">
      <w:pPr>
        <w:tabs>
          <w:tab w:val="left" w:pos="0"/>
        </w:tabs>
        <w:spacing w:before="0" w:after="0"/>
        <w:ind w:firstLine="567"/>
        <w:rPr>
          <w:szCs w:val="24"/>
        </w:rPr>
      </w:pPr>
      <w:r w:rsidRPr="00622062">
        <w:rPr>
          <w:szCs w:val="24"/>
        </w:rPr>
        <w:t xml:space="preserve">В большинстве случаев инфузионные реакции развивались при первой инфузии и были 1–2-й степени. У 4% пациентов инфузионные реакции наблюдались в ходе более чем одной инфузии. Развивались также серьезные реакции, включая бронхоспазм, гипоксию, одышку, гипертензию, отек гортани и отек легких. Клинические проявления могут быть представлены респираторными симптомами, </w:t>
      </w:r>
      <w:r w:rsidR="00FF686E" w:rsidRPr="00622062">
        <w:rPr>
          <w:szCs w:val="24"/>
        </w:rPr>
        <w:t>например,</w:t>
      </w:r>
      <w:r w:rsidRPr="00622062">
        <w:rPr>
          <w:szCs w:val="24"/>
        </w:rPr>
        <w:t xml:space="preserve"> заложенностью носа, кашлем, першением в горле, а также ознобом, рвотой и тошнотой. Менее частые симптомы были представлены свистящим дыханием, аллергическим ринитом, повышением температуры тела, дискомфортом в грудной клетке, зудом и артериальной гипотензией</w:t>
      </w:r>
      <w:r w:rsidR="00FF686E">
        <w:rPr>
          <w:szCs w:val="24"/>
        </w:rPr>
        <w:t xml:space="preserve"> </w:t>
      </w:r>
      <w:r w:rsidR="00FF686E">
        <w:fldChar w:fldCharType="begin" w:fldLock="1"/>
      </w:r>
      <w:r w:rsidR="00E430FD">
        <w:instrText>ADDIN CSL_CITATION {"citationItems":[{"id":"ITEM-1","itemData":{"DOI":"10.1182/blood-2015-10-646810","ISSN":"15280020","PMID":"26631114","abstract":"Immunotherapeutic strategies are emerging as promising therapeutic approaches in multiple myeloma (MM), with several monoclonal antibodies in advanced stages of clinical development. Of these agents, CD38-targeting antibodies have marked single agent activity in extensively pretreated MM, and preliminary results from studies with relapsed/refractory patients have shown enhanced therapeutic efficacy when daratumumab and isatuximab are combined with other agents. Furthermore, although elotuzumab (anti-SLAMF7) has no single agent activity in advancedMM, randomized trials in relapsed/refractory MM have demonstrated significantly improved progression-free survival when elotuzumabis added to lenalidomide-dexamethasone or bortezomib-dexamethasone. Importantly, there has been no significant additive toxicity when these monoclonal antibodies are combined with other anti-MM agents, other than infusion-related reactions specific to the therapeutic antibody. Prevention and management of infusion reactions is important to avoid drug discontinuation, which may in turn lead to reduced efficacy of anti- MM therapy. Therapeutic antibodies interfere with several laboratory tests. First, interference of therapeutic antibodies with immunofixation and serum protein electrophoresis assays may lead to underestimation of complete response. Strategies to mitigate interference, based on shifting thetherapeutic antibody band, are in development. Furthermore, daratumumab, and probably also other CD38-targeting antibodies, interfere with blood compatibility testing and thereby complicate the safe release of blood products. Neutralization of the therapeutic CD38 antibody or CD38 denaturation on reagent red blood cells mitigates daratumumab interference with transfusion laboratory serologic tests. Finally, therapeutic antibodies may complicate flow cytometric evaluation of normal and neoplastic plasma cells, since the therapeutic antibody can affect the availability of the epitope for binding of commercially available diagnostic antibodies.","author":[{"dropping-particle":"","family":"Donk","given":"Niels W.C.J.","non-dropping-particle":"Van De","parse-names":false,"suffix":""},{"dropping-particle":"","family":"Moreau","given":"Philippe","non-dropping-particle":"","parse-names":false,"suffix":""},{"dropping-particle":"","family":"Plesner","given":"Torben","non-dropping-particle":"","parse-names":false,"suffix":""},{"dropping-particle":"","family":"Palumbo","given":"Antonio","non-dropping-particle":"","parse-names":false,"suffix":""},{"dropping-particle":"","family":"Gay","given":"Francesca","non-dropping-particle":"","parse-names":false,"suffix":""},{"dropping-particle":"","family":"Laubach","given":"Jacob P.","non-dropping-particle":"","parse-names":false,"suffix":""},{"dropping-particle":"","family":"Malavasi","given":"Fabio","non-dropping-particle":"","parse-names":false,"suffix":""},{"dropping-particle":"","family":"Avet-Loiseau","given":"Hervé","non-dropping-particle":"","parse-names":false,"suffix":""},{"dropping-particle":"","family":"Mateos","given":"Maria Victoria","non-dropping-particle":"","parse-names":false,"suffix":""},{"dropping-particle":"","family":"Sonneveld","given":"Pieter","non-dropping-particle":"","parse-names":false,"suffix":""},{"dropping-particle":"","family":"Lokhorst","given":"Henk M.","non-dropping-particle":"","parse-names":false,"suffix":""},{"dropping-particle":"","family":"Richardson","given":"Paul G.","non-dropping-particle":"","parse-names":false,"suffix":""}],"container-title":"Blood","id":"ITEM-1","issue":"6","issued":{"date-parts":[["2016","2"]]},"page":"681-695","publisher":"American Society of Hematology","title":"Clinical efficacy and management of monoclonal antibodies targeting CD38 and SLAMF7 in multiple myeloma","type":"article","volume":"127"},"uris":["http://www.mendeley.com/documents/?uuid=f2219ded-9667-428a-a5e2-176485bba2df"]}],"mendeley":{"formattedCitation":"[211]","plainTextFormattedCitation":"[211]","previouslyFormattedCitation":"[211]"},"properties":{"noteIndex":0},"schema":"https://github.com/citation-style-language/schema/raw/master/csl-citation.json"}</w:instrText>
      </w:r>
      <w:r w:rsidR="00FF686E">
        <w:fldChar w:fldCharType="separate"/>
      </w:r>
      <w:r w:rsidR="00E430FD" w:rsidRPr="00E430FD">
        <w:rPr>
          <w:noProof/>
        </w:rPr>
        <w:t>[211]</w:t>
      </w:r>
      <w:r w:rsidR="00FF686E">
        <w:fldChar w:fldCharType="end"/>
      </w:r>
      <w:r w:rsidRPr="00622062">
        <w:rPr>
          <w:szCs w:val="24"/>
        </w:rPr>
        <w:t>.</w:t>
      </w:r>
    </w:p>
    <w:p w14:paraId="62CFFE59" w14:textId="5A99C465" w:rsidR="00B37E1F" w:rsidRPr="00622062" w:rsidRDefault="00B37E1F" w:rsidP="008A2329">
      <w:pPr>
        <w:tabs>
          <w:tab w:val="left" w:pos="0"/>
        </w:tabs>
        <w:spacing w:before="0" w:after="0"/>
        <w:ind w:firstLine="567"/>
        <w:rPr>
          <w:szCs w:val="24"/>
        </w:rPr>
      </w:pPr>
      <w:r w:rsidRPr="00622062">
        <w:rPr>
          <w:szCs w:val="24"/>
        </w:rPr>
        <w:t>Для снижения риска инфузионных реакций при лечении даратумумабом</w:t>
      </w:r>
      <w:r w:rsidR="00F87EE7" w:rsidRPr="00F87EE7">
        <w:rPr>
          <w:szCs w:val="24"/>
        </w:rPr>
        <w:t>**</w:t>
      </w:r>
      <w:r w:rsidRPr="00622062">
        <w:rPr>
          <w:szCs w:val="24"/>
        </w:rPr>
        <w:t xml:space="preserve"> пациентам необходимо назначить премедикацию с использованием антигистаминных, жаропонижающих лекарственные средства и кортикостероидов. При развитии инфузионных реакций любой степени тяжести введение даратумумаба</w:t>
      </w:r>
      <w:r w:rsidR="00F87EE7" w:rsidRPr="00F87EE7">
        <w:rPr>
          <w:szCs w:val="24"/>
        </w:rPr>
        <w:t>**</w:t>
      </w:r>
      <w:r w:rsidRPr="00622062">
        <w:rPr>
          <w:szCs w:val="24"/>
        </w:rPr>
        <w:t xml:space="preserve"> необходимо приостановить и при необходимости начать соответствующее медикаментозное и поддерживающее лечение. Пациентам, у которых развились инфузионные реакции 1, 2 или 3-й степени, следует снизить скорость введения при возобновлении инфузии. При развитии анафилактической реакции или жизнеугрожающей инфузионной реакции 4-й степени необходимо окончательно прекратить введение даратумумаба</w:t>
      </w:r>
      <w:r w:rsidR="00F87EE7" w:rsidRPr="00F87EE7">
        <w:rPr>
          <w:szCs w:val="24"/>
        </w:rPr>
        <w:t>**</w:t>
      </w:r>
      <w:r w:rsidRPr="00622062">
        <w:rPr>
          <w:szCs w:val="24"/>
        </w:rPr>
        <w:t xml:space="preserve"> и оказать необходимую экстренную помощ</w:t>
      </w:r>
      <w:r w:rsidR="006166D3">
        <w:rPr>
          <w:szCs w:val="24"/>
        </w:rPr>
        <w:t>ь</w:t>
      </w:r>
      <w:r w:rsidR="00A14090">
        <w:rPr>
          <w:szCs w:val="24"/>
        </w:rPr>
        <w:t xml:space="preserve"> </w:t>
      </w:r>
      <w:r w:rsidR="006166D3">
        <w:fldChar w:fldCharType="begin" w:fldLock="1"/>
      </w:r>
      <w:r w:rsidR="00E430FD">
        <w:instrText>ADDIN CSL_CITATION {"citationItems":[{"id":"ITEM-1","itemData":{"DOI":"10.1111/bjh.12017","ISSN":"00071048","PMID":"22928769","abstract":"Although acute non-haemolytic febrile or allergic reactions (ATRs) are a common complication of transfusion and often result in little or no morbidity, prompt recognition and management are essential. The serious hazards of transfusion haemovigilance organisation (SHOT) receives 30-40 reports of anaphylactic reactions each year. Other serious complications of transfusion, such as acute haemolysis, bacterial contamination, transfusion-related acute lung injury (TRALI) or transfusion-associated circulatory overload (TACO) may present with similar clinical features to ATR. This guideline describes the approach to a patient developing adverse symptoms and signs related to transfusion, including initial recognition, establishing a likely cause, treatment, investigations, planning future transfusion and reporting within the hospital and to haemovigilance organisations. Key recommendations are that adrenaline should be used as first line treatment of anaphylaxis, and that transfusions should only be carried out where patients can be directly observed and where staff are trained in manging complications of transfusion, particularly anaphylaxis. Management of ATRs is not dependent on classification but should be guided by symptoms and signs. Patients who have experienced an anaphylactic reaction should be discussed with an allergist or immunologist, in keeping with UK resuscitation council guidelines. © 2012 Blackwell Publishing Ltd.","author":[{"dropping-particle":"","family":"Tinegate","given":"Hazel","non-dropping-particle":"","parse-names":false,"suffix":""},{"dropping-particle":"","family":"Birchall","given":"Janet","non-dropping-particle":"","parse-names":false,"suffix":""},{"dropping-particle":"","family":"Gray","given":"Alexandra","non-dropping-particle":"","parse-names":false,"suffix":""},{"dropping-particle":"","family":"Haggas","given":"Richard","non-dropping-particle":"","parse-names":false,"suffix":""},{"dropping-particle":"","family":"Massey","given":"Edwin","non-dropping-particle":"","parse-names":false,"suffix":""},{"dropping-particle":"","family":"Norfolk","given":"Derek","non-dropping-particle":"","parse-names":false,"suffix":""},{"dropping-particle":"","family":"Pinchon","given":"Deborah","non-dropping-particle":"","parse-names":false,"suffix":""},{"dropping-particle":"","family":"Sewell","given":"Carrock","non-dropping-particle":"","parse-names":false,"suffix":""},{"dropping-particle":"","family":"Wells","given":"Angus","non-dropping-particle":"","parse-names":false,"suffix":""},{"dropping-particle":"","family":"Allard","given":"Shubha","non-dropping-particle":"","parse-names":false,"suffix":""}],"container-title":"British Journal of Haematology","id":"ITEM-1","issue":"2","issued":{"date-parts":[["2012","10"]]},"page":"143-153","publisher":"Br J Haematol","title":"Guideline on the investigation and management of acute transfusion reactions Prepared by the BCSH Blood Transfusion Task Force","type":"article-journal","volume":"159"},"uris":["http://www.mendeley.com/documents/?uuid=10afcac0-274b-4b5b-b2ff-9f51afc7f7d8"]}],"mendeley":{"formattedCitation":"[212]","plainTextFormattedCitation":"[212]","previouslyFormattedCitation":"[212]"},"properties":{"noteIndex":0},"schema":"https://github.com/citation-style-language/schema/raw/master/csl-citation.json"}</w:instrText>
      </w:r>
      <w:r w:rsidR="006166D3">
        <w:fldChar w:fldCharType="separate"/>
      </w:r>
      <w:r w:rsidR="00E430FD" w:rsidRPr="00E430FD">
        <w:rPr>
          <w:noProof/>
        </w:rPr>
        <w:t>[212]</w:t>
      </w:r>
      <w:r w:rsidR="006166D3">
        <w:fldChar w:fldCharType="end"/>
      </w:r>
      <w:r w:rsidRPr="00622062">
        <w:rPr>
          <w:szCs w:val="24"/>
        </w:rPr>
        <w:t>.</w:t>
      </w:r>
    </w:p>
    <w:p w14:paraId="605D7A71" w14:textId="72F1ED04" w:rsidR="00B37E1F" w:rsidRPr="006166D3" w:rsidRDefault="00B37E1F" w:rsidP="006166D3">
      <w:r w:rsidRPr="00622062">
        <w:rPr>
          <w:szCs w:val="24"/>
        </w:rPr>
        <w:t>Для снижения риска развития отсроченных инфузионных реакций следует назначить пероральные кортикостероиды всем пациентам, получающим инфузию даратумумаба</w:t>
      </w:r>
      <w:r w:rsidR="00F87EE7" w:rsidRPr="00F87EE7">
        <w:rPr>
          <w:szCs w:val="24"/>
        </w:rPr>
        <w:t>**</w:t>
      </w:r>
      <w:r w:rsidRPr="00622062">
        <w:rPr>
          <w:szCs w:val="24"/>
        </w:rPr>
        <w:t xml:space="preserve">. </w:t>
      </w:r>
      <w:r w:rsidRPr="00622062">
        <w:rPr>
          <w:szCs w:val="24"/>
        </w:rPr>
        <w:lastRenderedPageBreak/>
        <w:t>Кроме того, пациентам с хронической обструктивной болезнью легких в анамнезе для терапии легочных осложнений в случае их развития следует дополнительно решить вопрос о применении дополнительных ЛС после инфузии (</w:t>
      </w:r>
      <w:r w:rsidR="00FF686E" w:rsidRPr="00622062">
        <w:rPr>
          <w:szCs w:val="24"/>
        </w:rPr>
        <w:t>например,</w:t>
      </w:r>
      <w:r w:rsidRPr="00622062">
        <w:rPr>
          <w:szCs w:val="24"/>
        </w:rPr>
        <w:t xml:space="preserve"> ингаляционные кортикостероиды, короткодействующие и длительнодействующие бронходилататоры)</w:t>
      </w:r>
      <w:r w:rsidR="006166D3" w:rsidRPr="006166D3">
        <w:t xml:space="preserve"> </w:t>
      </w:r>
      <w:r w:rsidR="006166D3">
        <w:fldChar w:fldCharType="begin" w:fldLock="1"/>
      </w:r>
      <w:r w:rsidR="00E430FD">
        <w:instrText>ADDIN CSL_CITATION {"citationItems":[{"id":"ITEM-1","itemData":{"DOI":"10.4084/mjhid.2018.014","ISSN":"20353006","abstract":"Elotuzumab, targeting signaling lymphocytic activation molecule family 7 (SLAMF7), has been approved in combination with lenalidomide and dexamethasone (ELd) for relapsed/refractory multiple myeloma (MM) based on the findings of the phase III randomized trial ELOQUENT-2 (NCT01239797). Four-year follow-up analyses of ELOQUENT-2 have demonstrated that progression-free survival was 21% in ELd versus 14% in Ld. Elotuzumab binds a unique epitope on the membrane IgC2 domain of SLAMF7, exhibiting a dual mechanism of action: natural killer (NK) cell-mediated antibody-dependent cellular cytotoxicity (ADCC) and enhancement of NK cell activity. The ADCC is mediated through engagement between Fc portion of elotuzumab and FcγRIIIa/CD16 on NK cells. Enhanced NK cell cytotoxicity results from phosphorylation of the immunoreceptor tyrosine-based switch motif (ITSM) that is induced via elotuzumab binding and recruits the SLAM-associated adaptor protein EAT-2. The coupling of EAT-2 to the phospholipase Cγ enzymes SH2 domain leads to enhanced Ca2+ influx and MAPK/Erk pathway activation, resulting in granule polarization and enhanced exocytosis in NK cells. Elotuzumab does not stimulate the proliferation of MM cells due to a lack of EAT-2. The inhibitory effects of elotuzumab on MM cell growth are not induced by the lack of CD45, even though SHP-2, SHP-1, SHIP-1, and Csk may be recruited to phosphorylated ITSM of SLAMF7. ELd improves PFS in patients with high-risk cytogenetics, i.e. t(4;14), del(17p), and 1q21 gain/amplification. Since the immune state is paralytic in advanced MM, the efficacy of ELd with minimal toxicity may bring forward for consideration of its use in the early stages of the disease.","author":[{"dropping-particle":"","family":"Taniwaki","given":"Masafumi","non-dropping-particle":"","parse-names":false,"suffix":""},{"dropping-particle":"","family":"Yoshida","given":"Mihoko","non-dropping-particle":"","parse-names":false,"suffix":""},{"dropping-particle":"","family":"Matsumoto","given":"Yosuke","non-dropping-particle":"","parse-names":false,"suffix":""},{"dropping-particle":"","family":"Shimura","given":"Kazuho","non-dropping-particle":"","parse-names":false,"suffix":""},{"dropping-particle":"","family":"Kuroda","given":"Junya","non-dropping-particle":"","parse-names":false,"suffix":""},{"dropping-particle":"","family":"Kaneko","given":"Hiroto","non-dropping-particle":"","parse-names":false,"suffix":""}],"container-title":"Mediterranean Journal of Hematology and Infectious Diseases","id":"ITEM-1","issue":"1","issued":{"date-parts":[["2018"]]},"page":"2018014","publisher":"Universita Cattolica del Sacro Cuore","title":"Elotuzumab for the treatment of relapsed or refractory multiple myeloma, with special reference to its modes of action and SLAMF7 signaling","type":"article","volume":"10"},"uris":["http://www.mendeley.com/documents/?uuid=e4f94a20-0ecc-4ea9-a9d2-5846711d03a5"]}],"mendeley":{"formattedCitation":"[213]","plainTextFormattedCitation":"[213]","previouslyFormattedCitation":"[213]"},"properties":{"noteIndex":0},"schema":"https://github.com/citation-style-language/schema/raw/master/csl-citation.json"}</w:instrText>
      </w:r>
      <w:r w:rsidR="006166D3">
        <w:fldChar w:fldCharType="separate"/>
      </w:r>
      <w:r w:rsidR="00E430FD" w:rsidRPr="00E430FD">
        <w:rPr>
          <w:noProof/>
        </w:rPr>
        <w:t>[213]</w:t>
      </w:r>
      <w:r w:rsidR="006166D3">
        <w:fldChar w:fldCharType="end"/>
      </w:r>
      <w:r w:rsidR="006166D3">
        <w:fldChar w:fldCharType="begin" w:fldLock="1"/>
      </w:r>
      <w:r w:rsidR="00E430FD">
        <w:instrText>ADDIN CSL_CITATION {"citationItems":[{"id":"ITEM-1","itemData":{"DOI":"10.1038/sj.leu.2404284","ISSN":"14765551","abstract":"New uniform response criteria are required to adequately assess clinical outcomes in myeloma. The European Group for Blood and Bone Marrow Transplant/International Bone Marrow Transplant Registry criteria have been expanded, clarified and updated to provide a new comprehensive evaluation system. Categories for stringent complete response and very good partial response are added. The serum free light-chain assay is included to allow evaluation of patients with oligo-secretory disease. Inconsistencies in prior criteria are clarified making confirmation of response and disease progression easier to perform. Emphasis is placed upon time to event and duration of response as critical end points. The requirements necessary to use overall survival duration as the ultimate end point are discussed. It is anticipated that the International Response Criteria for multiple myeloma will be widely used in future clinical trials of myeloma.","author":[{"dropping-particle":"","family":"Durie","given":"B. G.M.","non-dropping-particle":"","parse-names":false,"suffix":""},{"dropping-particle":"","family":"Harousseau","given":"J. L.","non-dropping-particle":"","parse-names":false,"suffix":""},{"dropping-particle":"","family":"Miguel","given":"J. S.","non-dropping-particle":"","parse-names":false,"suffix":""},{"dropping-particle":"","family":"Bladé","given":"J.","non-dropping-particle":"","parse-names":false,"suffix":""},{"dropping-particle":"","family":"Barlogie","given":"B.","non-dropping-particle":"","parse-names":false,"suffix":""},{"dropping-particle":"","family":"Anderson","given":"K.","non-dropping-particle":"","parse-names":false,"suffix":""},{"dropping-particle":"","family":"Gertz","given":"M.","non-dropping-particle":"","parse-names":false,"suffix":""},{"dropping-particle":"","family":"Dimopoulos","given":"M.","non-dropping-particle":"","parse-names":false,"suffix":""},{"dropping-particle":"","family":"Westin","given":"J.","non-dropping-particle":"","parse-names":false,"suffix":""},{"dropping-particle":"","family":"Sonneveld","given":"P.","non-dropping-particle":"","parse-names":false,"suffix":""},{"dropping-particle":"","family":"Ludwig","given":"H.","non-dropping-particle":"","parse-names":false,"suffix":""},{"dropping-particle":"","family":"Gahrton","given":"G.","non-dropping-particle":"","parse-names":false,"suffix":""},{"dropping-particle":"","family":"Beksac","given":"M.","non-dropping-particle":"","parse-names":false,"suffix":""},{"dropping-particle":"","family":"Crowley","given":"J.","non-dropping-particle":"","parse-names":false,"suffix":""},{"dropping-particle":"","family":"Belch","given":"A.","non-dropping-particle":"","parse-names":false,"suffix":""},{"dropping-particle":"","family":"Boccadaro","given":"M.","non-dropping-particle":"","parse-names":false,"suffix":""},{"dropping-particle":"","family":"Cavo","given":"M.","non-dropping-particle":"","parse-names":false,"suffix":""},{"dropping-particle":"","family":"Turesson","given":"I.","non-dropping-particle":"","parse-names":false,"suffix":""},{"dropping-particle":"","family":"Joshua","given":"D.","non-dropping-particle":"","parse-names":false,"suffix":""},{"dropping-particle":"","family":"Vesole","given":"D.","non-dropping-particle":"","parse-names":false,"suffix":""},{"dropping-particle":"","family":"Kyle","given":"R.","non-dropping-particle":"","parse-names":false,"suffix":""},{"dropping-particle":"","family":"Tricot","given":"G.","non-dropping-particle":"","parse-names":false,"suffix":""},{"dropping-particle":"","family":"Alexanian","given":"R.","non-dropping-particle":"","parse-names":false,"suffix":""},{"dropping-particle":"","family":"Attal","given":"M.","non-dropping-particle":"","parse-names":false,"suffix":""},{"dropping-particle":"","family":"Merlini","given":"G.","non-dropping-particle":"","parse-names":false,"suffix":""},{"dropping-particle":"","family":"Powles","given":"R.","non-dropping-particle":"","parse-names":false,"suffix":""},{"dropping-particle":"","family":"Richardson","given":"P.","non-dropping-particle":"","parse-names":false,"suffix":""},{"dropping-particle":"","family":"Shimizu","given":"K.","non-dropping-particle":"","parse-names":false,"suffix":""},{"dropping-particle":"","family":"Tosi","given":"P.","non-dropping-particle":"","parse-names":false,"suffix":""},{"dropping-particle":"V.","family":"Rajkumar","given":"S.","non-dropping-particle":"","parse-names":false,"suffix":""},{"dropping-particle":"","family":"Morgan","given":"G.","non-dropping-particle":"","parse-names":false,"suffix":""}],"container-title":"Leukemia","id":"ITEM-1","issue":"9","issued":{"date-parts":[["2006","9","1"]]},"page":"1467-1473","publisher":"Nature Publishing Group","title":"International uniform response criteria for multiple myeloma","type":"article-journal","volume":"20"},"uris":["http://www.mendeley.com/documents/?uuid=aebf3721-d8f9-331d-a8a6-ba12b64a133b"]}],"mendeley":{"formattedCitation":"[85]","plainTextFormattedCitation":"[85]","previouslyFormattedCitation":"[85]"},"properties":{"noteIndex":0},"schema":"https://github.com/citation-style-language/schema/raw/master/csl-citation.json"}</w:instrText>
      </w:r>
      <w:r w:rsidR="006166D3">
        <w:fldChar w:fldCharType="separate"/>
      </w:r>
      <w:r w:rsidR="00E430FD" w:rsidRPr="00E430FD">
        <w:rPr>
          <w:noProof/>
        </w:rPr>
        <w:t>[85]</w:t>
      </w:r>
      <w:r w:rsidR="006166D3">
        <w:fldChar w:fldCharType="end"/>
      </w:r>
      <w:r w:rsidRPr="00622062">
        <w:rPr>
          <w:szCs w:val="24"/>
        </w:rPr>
        <w:t>.</w:t>
      </w:r>
    </w:p>
    <w:p w14:paraId="7D2F2048" w14:textId="7E3D6174" w:rsidR="00B37E1F" w:rsidRPr="00622062" w:rsidRDefault="00B37E1F" w:rsidP="008A2329">
      <w:pPr>
        <w:tabs>
          <w:tab w:val="left" w:pos="0"/>
        </w:tabs>
        <w:spacing w:before="0" w:after="0"/>
        <w:ind w:firstLine="567"/>
        <w:rPr>
          <w:szCs w:val="24"/>
        </w:rPr>
      </w:pPr>
      <w:r w:rsidRPr="00622062">
        <w:rPr>
          <w:szCs w:val="24"/>
        </w:rPr>
        <w:t>Известно, что CD38 экспрессируется на эритроцитах в малых количествах; при связывании даратумумаба с CD38 в непрямой реакции Кумбса при подготовке к переливанию крови наблюдают панагглютинацию или CD38-положительную агглютинацию. Даратумумаб</w:t>
      </w:r>
      <w:r w:rsidR="00F87EE7" w:rsidRPr="00F87EE7">
        <w:rPr>
          <w:szCs w:val="24"/>
        </w:rPr>
        <w:t>**</w:t>
      </w:r>
      <w:r w:rsidRPr="00622062">
        <w:rPr>
          <w:szCs w:val="24"/>
        </w:rPr>
        <w:t xml:space="preserve"> не влияет на определение антигенов в реакциях прямой агглютинации, в которых применяют реактивы с полными (IgM) антителами (систем ABO, Резус, Келл, MNS, Кидд). Методов устранения влияния даратумумаба</w:t>
      </w:r>
      <w:r w:rsidR="00F87EE7" w:rsidRPr="00F87EE7">
        <w:rPr>
          <w:szCs w:val="24"/>
        </w:rPr>
        <w:t>**</w:t>
      </w:r>
      <w:r w:rsidRPr="00622062">
        <w:rPr>
          <w:szCs w:val="24"/>
        </w:rPr>
        <w:t xml:space="preserve"> на результаты серологических тестов несколько: нейтрализация анти-CD38 антител в плазме или сыворотке больного антиидиотипическими антителами к даратумумабу</w:t>
      </w:r>
      <w:r w:rsidR="00F87EE7" w:rsidRPr="00F87EE7">
        <w:rPr>
          <w:szCs w:val="24"/>
        </w:rPr>
        <w:t>**</w:t>
      </w:r>
      <w:r w:rsidRPr="00622062">
        <w:rPr>
          <w:szCs w:val="24"/>
        </w:rPr>
        <w:t>; денатурация CD38 эритроцитов сульфоредуцентами (дитиотреитолом). Другие стратегии – расширенное фенотипирование – определение антигенов эритроцитов с использованием моно- или поликлональных антител до введения даратумумаба</w:t>
      </w:r>
      <w:r w:rsidR="00F87EE7" w:rsidRPr="00F87EE7">
        <w:rPr>
          <w:szCs w:val="24"/>
        </w:rPr>
        <w:t>**</w:t>
      </w:r>
      <w:r w:rsidRPr="00622062">
        <w:rPr>
          <w:szCs w:val="24"/>
        </w:rPr>
        <w:t>. Генотипирование – типирование генов эритроцитарных антигенов (предпочтительно, если фенотипирование невозможно)</w:t>
      </w:r>
      <w:r w:rsidR="006166D3" w:rsidRPr="006166D3">
        <w:t xml:space="preserve"> </w:t>
      </w:r>
      <w:r w:rsidR="00A14090">
        <w:fldChar w:fldCharType="begin" w:fldLock="1"/>
      </w:r>
      <w:r w:rsidR="00E430FD">
        <w:instrText>ADDIN CSL_CITATION {"citationItems":[{"id":"ITEM-1","itemData":{"DOI":"10.1016/j.hoc.2014.06.008","ISSN":"15581977","PMID":"25212887","abstract":"New treatment options for patients with myeloma have helped to change the natural history of this disease, even in the context of relapsed disease. For standard-risk patients, doublet-based therapy may offer benefit, whereas for patients with aggressive or genetically high-risk disease combinations of agents are needed for adequate disease control. Second-generation agents offer significant activity for patients with refractory myeloma, and new categories of agents provide new targets for future study and clinical use. Combinations of these agents in selected patient populations represent the next stage in the quest to cure myeloma.","author":[{"dropping-particle":"","family":"Gentili","given":"Silvia","non-dropping-particle":"","parse-names":false,"suffix":""},{"dropping-particle":"","family":"Lonial","given":"Sagar","non-dropping-particle":"","parse-names":false,"suffix":""}],"container-title":"Hematology/Oncology Clinics of North America","id":"ITEM-1","issue":"5","issued":{"date-parts":[["2014","10"]]},"page":"861-890","publisher":"W.B. Saunders","title":"Relapsed and Refractory Multiple Myeloma: New Therapeutic Strategies","type":"article","volume":"28"},"uris":["http://www.mendeley.com/documents/?uuid=aec75794-c44b-41c1-930d-5c37aaf28139"]},{"id":"ITEM-2","itemData":{"DOI":"10.1188/10.cjon.e10-e21","ISSN":"03850684","PMID":"18931569","abstract":"Monoclonal antibody treatment, which is one of the most promising molecular targeting cancer therapies, has recently become indispensable for the treatment of cancer due to its effectiveness and fewer side effects. Infusion reactions, which are similar to hypersensitivity or allergic reactions, are the generic term for the acute characteristic harmful reactions commonly associated with monoclonal antibody treatment. Those typically occur within the first 2 hours of the first infusion and are generally mild-to-moderate reactions which can be managed by either temporary interruption of infusion or administration of supportive care including corticosteroids, oxygen, or intravenous fluids. However, there are sometimes severe or life-threatening reactions, thus indicating the importance of closely observing the patient following the monoclonal antibody treatment. It is quite important that the entire medical staff understands the practical information regarding the timing and prevention or management of infusion reactions. In addition, it is also necessary to establish a system for prompt management of infusion reactions. Furthermore, sufficient information must be provided to the patient regarding infusion reactions.","author":[{"dropping-particle":"","family":"Sato","given":"Kazuya","non-dropping-particle":"","parse-names":false,"suffix":""},{"dropping-particle":"","family":"Kohgo","given":"Yutaka","non-dropping-particle":"","parse-names":false,"suffix":""}],"container-title":"Gan to kagaku ryoho. Cancer &amp; chemotherapy","id":"ITEM-2","issue":"10","issued":{"date-parts":[["2008"]]},"page":"1671-1674","publisher":"Clin J Oncol Nurs","title":"Infusion reactions","type":"article-journal","volume":"35"},"uris":["http://www.mendeley.com/documents/?uuid=6704917f-6d5b-424b-9ffe-a174d3ff6332"]}],"mendeley":{"formattedCitation":"[214,215]","plainTextFormattedCitation":"[214,215]","previouslyFormattedCitation":"[214,215]"},"properties":{"noteIndex":0},"schema":"https://github.com/citation-style-language/schema/raw/master/csl-citation.json"}</w:instrText>
      </w:r>
      <w:r w:rsidR="00A14090">
        <w:fldChar w:fldCharType="separate"/>
      </w:r>
      <w:r w:rsidR="00E430FD" w:rsidRPr="00E430FD">
        <w:rPr>
          <w:noProof/>
        </w:rPr>
        <w:t>[214,215]</w:t>
      </w:r>
      <w:r w:rsidR="00A14090">
        <w:fldChar w:fldCharType="end"/>
      </w:r>
      <w:r w:rsidRPr="00622062">
        <w:rPr>
          <w:szCs w:val="24"/>
        </w:rPr>
        <w:t>.</w:t>
      </w:r>
    </w:p>
    <w:p w14:paraId="13F66531" w14:textId="7216952F" w:rsidR="00B37E1F" w:rsidRPr="00622062" w:rsidRDefault="00B37E1F" w:rsidP="008F161A">
      <w:pPr>
        <w:pStyle w:val="Normal1"/>
        <w:numPr>
          <w:ilvl w:val="0"/>
          <w:numId w:val="163"/>
        </w:numPr>
        <w:spacing w:before="0" w:line="360" w:lineRule="auto"/>
        <w:jc w:val="both"/>
        <w:rPr>
          <w:rFonts w:cs="Times New Roman"/>
          <w:b/>
        </w:rPr>
      </w:pPr>
      <w:r w:rsidRPr="00622062">
        <w:rPr>
          <w:rFonts w:cs="Times New Roman"/>
          <w:b/>
        </w:rPr>
        <w:t>Способ применения и дозы</w:t>
      </w:r>
    </w:p>
    <w:p w14:paraId="6E94C604" w14:textId="2858EEDE" w:rsidR="00B37E1F" w:rsidRPr="00622062" w:rsidRDefault="00B37E1F" w:rsidP="008A2329">
      <w:pPr>
        <w:pStyle w:val="Normal1"/>
        <w:tabs>
          <w:tab w:val="left" w:pos="0"/>
        </w:tabs>
        <w:spacing w:before="0" w:line="360" w:lineRule="auto"/>
        <w:ind w:left="0" w:firstLine="567"/>
        <w:jc w:val="both"/>
        <w:rPr>
          <w:rFonts w:cs="Times New Roman"/>
        </w:rPr>
      </w:pPr>
      <w:r w:rsidRPr="00622062">
        <w:rPr>
          <w:rFonts w:cs="Times New Roman"/>
        </w:rPr>
        <w:t>Даратумумаб</w:t>
      </w:r>
      <w:r w:rsidR="00F87EE7" w:rsidRPr="00F87EE7">
        <w:rPr>
          <w:rFonts w:cs="Times New Roman"/>
        </w:rPr>
        <w:t>**</w:t>
      </w:r>
      <w:r w:rsidRPr="00622062">
        <w:rPr>
          <w:rFonts w:cs="Times New Roman"/>
        </w:rPr>
        <w:t xml:space="preserve"> вводится внутривенно в виде пролонгированной инфузии в дозе 16 мг/кг, в монорежиме введение осуществляется в 1,8,15,22 дни 28 дневного курса - первые 2 курса, затем в 1 и 15 дни 28 дневного курса - с 3 по 6 курс, затем в 1 день 28 дневного курса – начиная с 7 курса до прогрессии.</w:t>
      </w:r>
    </w:p>
    <w:p w14:paraId="1EAF582C" w14:textId="77777777" w:rsidR="006211DC" w:rsidRDefault="00B37E1F" w:rsidP="006211DC">
      <w:pPr>
        <w:pStyle w:val="Normal1"/>
        <w:tabs>
          <w:tab w:val="left" w:pos="0"/>
        </w:tabs>
        <w:spacing w:before="0" w:line="360" w:lineRule="auto"/>
        <w:ind w:left="0" w:firstLine="567"/>
        <w:jc w:val="both"/>
        <w:rPr>
          <w:rFonts w:cs="Times New Roman"/>
        </w:rPr>
      </w:pPr>
      <w:r w:rsidRPr="00622062">
        <w:rPr>
          <w:rFonts w:cs="Times New Roman"/>
        </w:rPr>
        <w:t>Рекомендуемый режим введения даратумумаба</w:t>
      </w:r>
      <w:r w:rsidR="00F87EE7" w:rsidRPr="00F87EE7">
        <w:rPr>
          <w:rFonts w:cs="Times New Roman"/>
        </w:rPr>
        <w:t>**</w:t>
      </w:r>
      <w:r w:rsidRPr="00622062">
        <w:rPr>
          <w:rFonts w:cs="Times New Roman"/>
        </w:rPr>
        <w:t xml:space="preserve"> представлен в таблице </w:t>
      </w:r>
      <w:r w:rsidR="00436F47">
        <w:rPr>
          <w:rFonts w:cs="Times New Roman"/>
        </w:rPr>
        <w:t>А.3.14</w:t>
      </w:r>
      <w:r w:rsidRPr="00622062">
        <w:rPr>
          <w:rFonts w:cs="Times New Roman"/>
        </w:rPr>
        <w:t>.</w:t>
      </w:r>
    </w:p>
    <w:p w14:paraId="54D5DA0A" w14:textId="47D657C4" w:rsidR="006211DC" w:rsidRPr="00622062" w:rsidRDefault="006211DC" w:rsidP="006211DC">
      <w:pPr>
        <w:pStyle w:val="Normal1"/>
        <w:tabs>
          <w:tab w:val="left" w:pos="0"/>
        </w:tabs>
        <w:spacing w:before="0" w:line="360" w:lineRule="auto"/>
        <w:ind w:left="0" w:firstLine="567"/>
        <w:jc w:val="both"/>
        <w:rPr>
          <w:rFonts w:cs="Times New Roman"/>
        </w:rPr>
      </w:pPr>
      <w:r w:rsidRPr="00622062">
        <w:rPr>
          <w:rFonts w:cs="Times New Roman"/>
        </w:rPr>
        <w:t>Схема стандартной премедикации включает в себя введение за 1 час ± 15мин до инфузии следующих препаратов: метилпреднизолон</w:t>
      </w:r>
      <w:r w:rsidRPr="00F87EE7">
        <w:rPr>
          <w:rFonts w:cs="Times New Roman"/>
        </w:rPr>
        <w:t>**</w:t>
      </w:r>
      <w:r w:rsidRPr="00622062">
        <w:rPr>
          <w:rFonts w:cs="Times New Roman"/>
        </w:rPr>
        <w:t xml:space="preserve"> 100 мг (или эквивалент) в/в для 2 первых инфузий и 60 мг для последующих инфузий, ацетаминофен (парацетамол</w:t>
      </w:r>
      <w:r w:rsidRPr="00F87EE7">
        <w:rPr>
          <w:rFonts w:cs="Times New Roman"/>
        </w:rPr>
        <w:t>**</w:t>
      </w:r>
      <w:r w:rsidRPr="00622062">
        <w:rPr>
          <w:rFonts w:cs="Times New Roman"/>
        </w:rPr>
        <w:t>) 650-1000мг, дифенгидрамин</w:t>
      </w:r>
      <w:r w:rsidRPr="00F87EE7">
        <w:rPr>
          <w:rFonts w:cs="Times New Roman"/>
        </w:rPr>
        <w:t>**</w:t>
      </w:r>
      <w:r w:rsidRPr="00622062">
        <w:rPr>
          <w:rFonts w:cs="Times New Roman"/>
        </w:rPr>
        <w:t xml:space="preserve"> (димедрол) 25-50мг (или эквивалентный антигистаминный препарат). В последующие два дня после инфузии даратумумаба</w:t>
      </w:r>
      <w:r w:rsidRPr="00F87EE7">
        <w:rPr>
          <w:rFonts w:cs="Times New Roman"/>
        </w:rPr>
        <w:t>**</w:t>
      </w:r>
      <w:r w:rsidRPr="00622062">
        <w:rPr>
          <w:rFonts w:cs="Times New Roman"/>
        </w:rPr>
        <w:t xml:space="preserve"> осуществляется прием метилпреднизолона</w:t>
      </w:r>
      <w:r w:rsidRPr="00F87EE7">
        <w:rPr>
          <w:rFonts w:cs="Times New Roman"/>
        </w:rPr>
        <w:t>**</w:t>
      </w:r>
      <w:r w:rsidRPr="00622062">
        <w:rPr>
          <w:rFonts w:cs="Times New Roman"/>
        </w:rPr>
        <w:t xml:space="preserve"> 20мг (или эквивалент).</w:t>
      </w:r>
    </w:p>
    <w:p w14:paraId="08920C58" w14:textId="77777777" w:rsidR="006211DC" w:rsidRPr="00622062" w:rsidRDefault="006211DC" w:rsidP="006211DC">
      <w:pPr>
        <w:pStyle w:val="Normal1"/>
        <w:tabs>
          <w:tab w:val="left" w:pos="0"/>
        </w:tabs>
        <w:spacing w:before="0" w:line="360" w:lineRule="auto"/>
        <w:ind w:left="0" w:firstLine="567"/>
        <w:jc w:val="both"/>
        <w:rPr>
          <w:rFonts w:cs="Times New Roman"/>
        </w:rPr>
      </w:pPr>
      <w:r w:rsidRPr="00622062">
        <w:rPr>
          <w:rFonts w:cs="Times New Roman"/>
        </w:rPr>
        <w:t xml:space="preserve">При возникновении инфузионных реакций: заложенность носа, кашель, аллергический ринит, озноб, першение в горле, одышка, тошнота - любой степени тяжести, следует немедленно прекратить введение и устранить возникшие симптомы </w:t>
      </w:r>
      <w:r w:rsidRPr="00622062">
        <w:rPr>
          <w:rFonts w:cs="Times New Roman"/>
        </w:rPr>
        <w:lastRenderedPageBreak/>
        <w:t xml:space="preserve">путем введения глюкокортикостероидов, кислорода, бронходилататоров, антигистаминных препаратов. </w:t>
      </w:r>
    </w:p>
    <w:p w14:paraId="53579168" w14:textId="69233A0D" w:rsidR="00B37E1F" w:rsidRPr="006211DC" w:rsidRDefault="00B37E1F" w:rsidP="002431B5">
      <w:pPr>
        <w:pStyle w:val="Normal1"/>
        <w:tabs>
          <w:tab w:val="left" w:pos="0"/>
        </w:tabs>
        <w:spacing w:before="0" w:line="360" w:lineRule="auto"/>
        <w:ind w:left="0" w:firstLine="0"/>
        <w:jc w:val="both"/>
        <w:rPr>
          <w:rFonts w:cs="Times New Roman"/>
        </w:rPr>
      </w:pPr>
      <w:r w:rsidRPr="00622062">
        <w:rPr>
          <w:rFonts w:cs="Times New Roman"/>
          <w:b/>
        </w:rPr>
        <w:t xml:space="preserve">Таблица </w:t>
      </w:r>
      <w:r w:rsidR="00436F47">
        <w:rPr>
          <w:rFonts w:cs="Times New Roman"/>
          <w:b/>
        </w:rPr>
        <w:t>А3.14</w:t>
      </w:r>
      <w:r w:rsidRPr="00622062">
        <w:rPr>
          <w:rFonts w:cs="Times New Roman"/>
          <w:b/>
        </w:rPr>
        <w:t xml:space="preserve">. </w:t>
      </w:r>
      <w:r w:rsidRPr="006211DC">
        <w:rPr>
          <w:rFonts w:cs="Times New Roman"/>
        </w:rPr>
        <w:t>Скорость введения даратумумаба</w:t>
      </w:r>
      <w:r w:rsidR="00F87EE7" w:rsidRPr="006211DC">
        <w:rPr>
          <w:rFonts w:cs="Times New Roman"/>
        </w:rPr>
        <w:t>**</w:t>
      </w:r>
    </w:p>
    <w:tbl>
      <w:tblPr>
        <w:tblW w:w="9498" w:type="dxa"/>
        <w:tblInd w:w="108" w:type="dxa"/>
        <w:tblLayout w:type="fixed"/>
        <w:tblCellMar>
          <w:left w:w="0" w:type="dxa"/>
          <w:right w:w="0" w:type="dxa"/>
        </w:tblCellMar>
        <w:tblLook w:val="0420" w:firstRow="1" w:lastRow="0" w:firstColumn="0" w:lastColumn="0" w:noHBand="0" w:noVBand="1"/>
      </w:tblPr>
      <w:tblGrid>
        <w:gridCol w:w="1701"/>
        <w:gridCol w:w="1701"/>
        <w:gridCol w:w="1701"/>
        <w:gridCol w:w="1701"/>
        <w:gridCol w:w="1276"/>
        <w:gridCol w:w="1418"/>
      </w:tblGrid>
      <w:tr w:rsidR="00B37E1F" w:rsidRPr="00622062" w14:paraId="5999FBA0" w14:textId="77777777" w:rsidTr="00F87EE7">
        <w:trPr>
          <w:trHeight w:val="1391"/>
          <w:tblHeader/>
        </w:trPr>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61721B58" w14:textId="77777777" w:rsidR="00B37E1F" w:rsidRPr="00622062" w:rsidRDefault="00B37E1F" w:rsidP="00292402">
            <w:pPr>
              <w:spacing w:before="0" w:after="0"/>
              <w:rPr>
                <w:rFonts w:eastAsia="Times New Roman"/>
                <w:szCs w:val="24"/>
                <w:lang w:eastAsia="ru-RU"/>
              </w:rPr>
            </w:pP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718FF3A1" w14:textId="77777777" w:rsidR="00B37E1F" w:rsidRPr="00622062" w:rsidRDefault="00B37E1F" w:rsidP="00292402">
            <w:pPr>
              <w:spacing w:before="0" w:after="0"/>
              <w:rPr>
                <w:rFonts w:eastAsia="Times New Roman"/>
                <w:szCs w:val="24"/>
                <w:lang w:eastAsia="ru-RU"/>
              </w:rPr>
            </w:pPr>
            <w:r w:rsidRPr="00622062">
              <w:rPr>
                <w:bCs/>
                <w:color w:val="000000" w:themeColor="text1"/>
                <w:kern w:val="24"/>
                <w:szCs w:val="24"/>
                <w:lang w:eastAsia="ru-RU"/>
              </w:rPr>
              <w:t>Объем растворителя</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3A826093" w14:textId="77777777" w:rsidR="00B37E1F" w:rsidRPr="00622062" w:rsidRDefault="00B37E1F" w:rsidP="00292402">
            <w:pPr>
              <w:spacing w:before="0" w:after="0"/>
              <w:rPr>
                <w:rFonts w:eastAsia="Times New Roman"/>
                <w:szCs w:val="24"/>
                <w:lang w:eastAsia="ru-RU"/>
              </w:rPr>
            </w:pPr>
            <w:r w:rsidRPr="00622062">
              <w:rPr>
                <w:rFonts w:eastAsia="Times New Roman"/>
                <w:bCs/>
                <w:color w:val="000000" w:themeColor="text1"/>
                <w:kern w:val="24"/>
                <w:szCs w:val="24"/>
                <w:lang w:eastAsia="ru-RU"/>
              </w:rPr>
              <w:t>Начальная скорость</w:t>
            </w:r>
          </w:p>
          <w:p w14:paraId="36BFAF42" w14:textId="77777777" w:rsidR="00B37E1F" w:rsidRPr="00622062" w:rsidRDefault="00B37E1F" w:rsidP="00292402">
            <w:pPr>
              <w:spacing w:before="0" w:after="0"/>
              <w:rPr>
                <w:rFonts w:eastAsia="Times New Roman"/>
                <w:szCs w:val="24"/>
                <w:lang w:eastAsia="ru-RU"/>
              </w:rPr>
            </w:pPr>
            <w:r w:rsidRPr="00622062">
              <w:rPr>
                <w:bCs/>
                <w:color w:val="000000" w:themeColor="text1"/>
                <w:kern w:val="24"/>
                <w:szCs w:val="24"/>
                <w:lang w:val="en-US" w:eastAsia="ru-RU"/>
              </w:rPr>
              <w:t>(</w:t>
            </w:r>
            <w:r w:rsidRPr="00622062">
              <w:rPr>
                <w:bCs/>
                <w:color w:val="000000" w:themeColor="text1"/>
                <w:kern w:val="24"/>
                <w:szCs w:val="24"/>
                <w:lang w:eastAsia="ru-RU"/>
              </w:rPr>
              <w:t>первый час</w:t>
            </w:r>
            <w:r w:rsidRPr="00622062">
              <w:rPr>
                <w:bCs/>
                <w:color w:val="000000" w:themeColor="text1"/>
                <w:kern w:val="24"/>
                <w:szCs w:val="24"/>
                <w:lang w:val="en-US" w:eastAsia="ru-RU"/>
              </w:rPr>
              <w:t>)</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72B3583B" w14:textId="77777777" w:rsidR="00B37E1F" w:rsidRPr="00622062" w:rsidRDefault="00B37E1F" w:rsidP="00292402">
            <w:pPr>
              <w:spacing w:before="0" w:after="0"/>
              <w:rPr>
                <w:rFonts w:eastAsia="Times New Roman"/>
                <w:szCs w:val="24"/>
                <w:lang w:eastAsia="ru-RU"/>
              </w:rPr>
            </w:pPr>
            <w:r w:rsidRPr="00622062">
              <w:rPr>
                <w:bCs/>
                <w:color w:val="000000" w:themeColor="text1"/>
                <w:kern w:val="24"/>
                <w:szCs w:val="24"/>
                <w:lang w:eastAsia="ru-RU"/>
              </w:rPr>
              <w:t>Увеличение дозы</w:t>
            </w:r>
          </w:p>
        </w:tc>
        <w:tc>
          <w:tcPr>
            <w:tcW w:w="1276"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654CC6CB" w14:textId="77777777" w:rsidR="00B37E1F" w:rsidRPr="00622062" w:rsidRDefault="00B37E1F" w:rsidP="00292402">
            <w:pPr>
              <w:spacing w:before="0" w:after="0"/>
              <w:rPr>
                <w:rFonts w:eastAsia="Times New Roman"/>
                <w:szCs w:val="24"/>
                <w:lang w:eastAsia="ru-RU"/>
              </w:rPr>
            </w:pPr>
            <w:r w:rsidRPr="00622062">
              <w:rPr>
                <w:bCs/>
                <w:color w:val="000000" w:themeColor="text1"/>
                <w:kern w:val="24"/>
                <w:szCs w:val="24"/>
                <w:lang w:eastAsia="ru-RU"/>
              </w:rPr>
              <w:t>Макс. скорость</w:t>
            </w:r>
          </w:p>
        </w:tc>
        <w:tc>
          <w:tcPr>
            <w:tcW w:w="1418"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4D734139" w14:textId="77777777" w:rsidR="00B37E1F" w:rsidRPr="00622062" w:rsidRDefault="00B37E1F" w:rsidP="00292402">
            <w:pPr>
              <w:spacing w:before="0" w:after="0"/>
              <w:rPr>
                <w:rFonts w:eastAsia="Times New Roman"/>
                <w:szCs w:val="24"/>
                <w:lang w:eastAsia="ru-RU"/>
              </w:rPr>
            </w:pPr>
            <w:r w:rsidRPr="00622062">
              <w:rPr>
                <w:bCs/>
                <w:color w:val="000000" w:themeColor="text1"/>
                <w:kern w:val="24"/>
                <w:szCs w:val="24"/>
                <w:lang w:eastAsia="ru-RU"/>
              </w:rPr>
              <w:t>Время введения</w:t>
            </w:r>
          </w:p>
        </w:tc>
      </w:tr>
      <w:tr w:rsidR="00B37E1F" w:rsidRPr="00622062" w14:paraId="3234F385" w14:textId="77777777" w:rsidTr="00F87EE7">
        <w:trPr>
          <w:trHeight w:val="1450"/>
          <w:tblHeader/>
        </w:trPr>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035713C1" w14:textId="77777777" w:rsidR="00B37E1F" w:rsidRPr="00622062" w:rsidRDefault="00B37E1F" w:rsidP="00292402">
            <w:pPr>
              <w:spacing w:before="0" w:after="0"/>
              <w:rPr>
                <w:rFonts w:eastAsia="Times New Roman"/>
                <w:szCs w:val="24"/>
                <w:lang w:eastAsia="ru-RU"/>
              </w:rPr>
            </w:pPr>
            <w:r w:rsidRPr="00622062">
              <w:rPr>
                <w:rFonts w:eastAsia="Times New Roman"/>
                <w:bCs/>
                <w:color w:val="000000" w:themeColor="text1"/>
                <w:kern w:val="24"/>
                <w:szCs w:val="24"/>
                <w:lang w:eastAsia="ru-RU"/>
              </w:rPr>
              <w:t>Первое введение</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3E9D726F" w14:textId="77777777" w:rsidR="00B37E1F" w:rsidRPr="00622062" w:rsidRDefault="00B37E1F" w:rsidP="00292402">
            <w:pPr>
              <w:spacing w:before="0" w:after="0"/>
              <w:rPr>
                <w:rFonts w:eastAsia="Times New Roman"/>
                <w:szCs w:val="24"/>
                <w:lang w:eastAsia="ru-RU"/>
              </w:rPr>
            </w:pPr>
            <w:r w:rsidRPr="00622062">
              <w:rPr>
                <w:rFonts w:eastAsia="Times New Roman"/>
                <w:color w:val="000000" w:themeColor="text1"/>
                <w:kern w:val="24"/>
                <w:szCs w:val="24"/>
                <w:lang w:val="en-US" w:eastAsia="ru-RU"/>
              </w:rPr>
              <w:t xml:space="preserve">1000 </w:t>
            </w:r>
            <w:r w:rsidRPr="00622062">
              <w:rPr>
                <w:rFonts w:eastAsia="Times New Roman"/>
                <w:color w:val="000000" w:themeColor="text1"/>
                <w:kern w:val="24"/>
                <w:szCs w:val="24"/>
                <w:lang w:eastAsia="ru-RU"/>
              </w:rPr>
              <w:t>мл</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393BE351" w14:textId="77777777" w:rsidR="00B37E1F" w:rsidRPr="00622062" w:rsidRDefault="00B37E1F" w:rsidP="00292402">
            <w:pPr>
              <w:spacing w:before="0" w:after="0"/>
              <w:rPr>
                <w:rFonts w:eastAsia="Times New Roman"/>
                <w:szCs w:val="24"/>
                <w:lang w:eastAsia="ru-RU"/>
              </w:rPr>
            </w:pPr>
            <w:r w:rsidRPr="00622062">
              <w:rPr>
                <w:rFonts w:eastAsia="Times New Roman"/>
                <w:color w:val="000000" w:themeColor="text1"/>
                <w:kern w:val="24"/>
                <w:szCs w:val="24"/>
                <w:lang w:val="en-US" w:eastAsia="ru-RU"/>
              </w:rPr>
              <w:t xml:space="preserve">50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498C6FD8"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val="en-US" w:eastAsia="ru-RU"/>
              </w:rPr>
              <w:t xml:space="preserve">50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p w14:paraId="2BAB8E02"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eastAsia="ru-RU"/>
              </w:rPr>
              <w:t>каждый час</w:t>
            </w:r>
          </w:p>
        </w:tc>
        <w:tc>
          <w:tcPr>
            <w:tcW w:w="1276"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6F73A2B6"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val="en-US" w:eastAsia="ru-RU"/>
              </w:rPr>
              <w:t xml:space="preserve">200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tc>
        <w:tc>
          <w:tcPr>
            <w:tcW w:w="1418"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423624F7"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eastAsia="ru-RU"/>
              </w:rPr>
              <w:t xml:space="preserve">7 ч </w:t>
            </w:r>
          </w:p>
        </w:tc>
      </w:tr>
      <w:tr w:rsidR="00B37E1F" w:rsidRPr="00622062" w14:paraId="53A78844" w14:textId="77777777" w:rsidTr="00F87EE7">
        <w:trPr>
          <w:trHeight w:val="1450"/>
          <w:tblHeader/>
        </w:trPr>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346EFC59" w14:textId="77777777" w:rsidR="00B37E1F" w:rsidRPr="00622062" w:rsidRDefault="00B37E1F" w:rsidP="00292402">
            <w:pPr>
              <w:spacing w:before="0" w:after="0"/>
              <w:rPr>
                <w:rFonts w:eastAsia="Times New Roman"/>
                <w:szCs w:val="24"/>
                <w:lang w:eastAsia="ru-RU"/>
              </w:rPr>
            </w:pPr>
            <w:r w:rsidRPr="00622062">
              <w:rPr>
                <w:bCs/>
                <w:color w:val="000000" w:themeColor="text1"/>
                <w:kern w:val="24"/>
                <w:szCs w:val="24"/>
                <w:lang w:eastAsia="ru-RU"/>
              </w:rPr>
              <w:t>Второе введение</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20D3C3AB"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val="en-US" w:eastAsia="ru-RU"/>
              </w:rPr>
              <w:t xml:space="preserve">500 </w:t>
            </w:r>
            <w:r w:rsidRPr="00622062">
              <w:rPr>
                <w:color w:val="000000" w:themeColor="text1"/>
                <w:kern w:val="24"/>
                <w:szCs w:val="24"/>
                <w:lang w:eastAsia="ru-RU"/>
              </w:rPr>
              <w:t>мл</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770628B8" w14:textId="77777777" w:rsidR="00B37E1F" w:rsidRPr="00622062" w:rsidRDefault="00B37E1F" w:rsidP="00292402">
            <w:pPr>
              <w:spacing w:before="0" w:after="0"/>
              <w:rPr>
                <w:rFonts w:eastAsia="Times New Roman"/>
                <w:szCs w:val="24"/>
                <w:lang w:eastAsia="ru-RU"/>
              </w:rPr>
            </w:pPr>
            <w:r w:rsidRPr="00622062">
              <w:rPr>
                <w:rFonts w:eastAsia="Times New Roman"/>
                <w:color w:val="000000" w:themeColor="text1"/>
                <w:kern w:val="24"/>
                <w:szCs w:val="24"/>
                <w:lang w:val="en-US" w:eastAsia="ru-RU"/>
              </w:rPr>
              <w:t xml:space="preserve">50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4255247D" w14:textId="77777777" w:rsidR="00B37E1F" w:rsidRPr="00622062" w:rsidRDefault="00B37E1F" w:rsidP="00292402">
            <w:pPr>
              <w:spacing w:before="0" w:after="0"/>
              <w:rPr>
                <w:rFonts w:eastAsia="Times New Roman"/>
                <w:szCs w:val="24"/>
                <w:lang w:eastAsia="ru-RU"/>
              </w:rPr>
            </w:pPr>
            <w:r w:rsidRPr="00622062">
              <w:rPr>
                <w:rFonts w:eastAsia="Times New Roman"/>
                <w:color w:val="000000" w:themeColor="text1"/>
                <w:kern w:val="24"/>
                <w:szCs w:val="24"/>
                <w:lang w:val="en-US" w:eastAsia="ru-RU"/>
              </w:rPr>
              <w:t xml:space="preserve">50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p w14:paraId="57659CCF"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eastAsia="ru-RU"/>
              </w:rPr>
              <w:t>каждый час</w:t>
            </w:r>
          </w:p>
        </w:tc>
        <w:tc>
          <w:tcPr>
            <w:tcW w:w="1276"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703DA363" w14:textId="77777777" w:rsidR="00B37E1F" w:rsidRPr="00622062" w:rsidRDefault="00B37E1F" w:rsidP="00292402">
            <w:pPr>
              <w:spacing w:before="0" w:after="0"/>
              <w:rPr>
                <w:rFonts w:eastAsia="Times New Roman"/>
                <w:szCs w:val="24"/>
                <w:lang w:eastAsia="ru-RU"/>
              </w:rPr>
            </w:pPr>
            <w:r w:rsidRPr="00622062">
              <w:rPr>
                <w:rFonts w:eastAsia="Times New Roman"/>
                <w:color w:val="000000" w:themeColor="text1"/>
                <w:kern w:val="24"/>
                <w:szCs w:val="24"/>
                <w:lang w:val="en-US" w:eastAsia="ru-RU"/>
              </w:rPr>
              <w:t xml:space="preserve">200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tc>
        <w:tc>
          <w:tcPr>
            <w:tcW w:w="1418"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07B20647" w14:textId="77777777" w:rsidR="00B37E1F" w:rsidRPr="00622062" w:rsidRDefault="00B37E1F" w:rsidP="00292402">
            <w:pPr>
              <w:spacing w:before="0" w:after="0"/>
              <w:rPr>
                <w:rFonts w:eastAsia="Times New Roman"/>
                <w:szCs w:val="24"/>
                <w:lang w:eastAsia="ru-RU"/>
              </w:rPr>
            </w:pPr>
            <w:r w:rsidRPr="00622062">
              <w:rPr>
                <w:rFonts w:eastAsia="Times New Roman"/>
                <w:color w:val="000000" w:themeColor="text1"/>
                <w:kern w:val="24"/>
                <w:szCs w:val="24"/>
                <w:lang w:eastAsia="ru-RU"/>
              </w:rPr>
              <w:t>4 ч 30 мин</w:t>
            </w:r>
          </w:p>
        </w:tc>
      </w:tr>
      <w:tr w:rsidR="00B37E1F" w:rsidRPr="00622062" w14:paraId="64A504EF" w14:textId="77777777" w:rsidTr="00B37E1F">
        <w:trPr>
          <w:trHeight w:val="1470"/>
        </w:trPr>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5D237490" w14:textId="77777777" w:rsidR="00B37E1F" w:rsidRPr="00622062" w:rsidRDefault="00B37E1F" w:rsidP="00292402">
            <w:pPr>
              <w:spacing w:before="0" w:after="0"/>
              <w:rPr>
                <w:rFonts w:eastAsia="Times New Roman"/>
                <w:szCs w:val="24"/>
                <w:lang w:eastAsia="ru-RU"/>
              </w:rPr>
            </w:pPr>
            <w:r w:rsidRPr="00622062">
              <w:rPr>
                <w:bCs/>
                <w:color w:val="000000" w:themeColor="text1"/>
                <w:kern w:val="24"/>
                <w:szCs w:val="24"/>
                <w:lang w:eastAsia="ru-RU"/>
              </w:rPr>
              <w:t>Последующие введения</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343BACAD"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val="en-US" w:eastAsia="ru-RU"/>
              </w:rPr>
              <w:t xml:space="preserve">500 </w:t>
            </w:r>
            <w:r w:rsidRPr="00622062">
              <w:rPr>
                <w:color w:val="000000" w:themeColor="text1"/>
                <w:kern w:val="24"/>
                <w:szCs w:val="24"/>
                <w:lang w:eastAsia="ru-RU"/>
              </w:rPr>
              <w:t>мл</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705C460E"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val="en-US" w:eastAsia="ru-RU"/>
              </w:rPr>
              <w:t xml:space="preserve">100 </w:t>
            </w:r>
            <w:r w:rsidRPr="00622062">
              <w:rPr>
                <w:color w:val="000000" w:themeColor="text1"/>
                <w:kern w:val="24"/>
                <w:szCs w:val="24"/>
                <w:lang w:eastAsia="ru-RU"/>
              </w:rPr>
              <w:t>мл</w:t>
            </w:r>
            <w:r w:rsidRPr="00622062">
              <w:rPr>
                <w:color w:val="000000" w:themeColor="text1"/>
                <w:kern w:val="24"/>
                <w:szCs w:val="24"/>
                <w:lang w:val="en-US" w:eastAsia="ru-RU"/>
              </w:rPr>
              <w:t>/</w:t>
            </w:r>
            <w:r w:rsidRPr="00622062">
              <w:rPr>
                <w:color w:val="000000" w:themeColor="text1"/>
                <w:kern w:val="24"/>
                <w:szCs w:val="24"/>
                <w:lang w:eastAsia="ru-RU"/>
              </w:rPr>
              <w:t>час</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1EF885CB"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val="en-US" w:eastAsia="ru-RU"/>
              </w:rPr>
              <w:t xml:space="preserve">50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p w14:paraId="3F317637"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eastAsia="ru-RU"/>
              </w:rPr>
              <w:t>каждый час</w:t>
            </w:r>
          </w:p>
        </w:tc>
        <w:tc>
          <w:tcPr>
            <w:tcW w:w="1276"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67910208"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val="en-US" w:eastAsia="ru-RU"/>
              </w:rPr>
              <w:t xml:space="preserve">200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tc>
        <w:tc>
          <w:tcPr>
            <w:tcW w:w="1418"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4107D5E2" w14:textId="77777777" w:rsidR="00B37E1F" w:rsidRPr="00622062" w:rsidRDefault="00B37E1F" w:rsidP="00292402">
            <w:pPr>
              <w:spacing w:before="0" w:after="0"/>
              <w:rPr>
                <w:rFonts w:eastAsia="Times New Roman"/>
                <w:szCs w:val="24"/>
                <w:lang w:eastAsia="ru-RU"/>
              </w:rPr>
            </w:pPr>
            <w:r w:rsidRPr="00622062">
              <w:rPr>
                <w:color w:val="000000" w:themeColor="text1"/>
                <w:kern w:val="24"/>
                <w:szCs w:val="24"/>
                <w:lang w:eastAsia="ru-RU"/>
              </w:rPr>
              <w:t>3 ч 20 мин</w:t>
            </w:r>
          </w:p>
        </w:tc>
      </w:tr>
    </w:tbl>
    <w:p w14:paraId="54C2EC7F" w14:textId="77777777" w:rsidR="00B37E1F" w:rsidRDefault="00B37E1F" w:rsidP="002431B5">
      <w:pPr>
        <w:spacing w:before="0" w:after="0" w:line="240" w:lineRule="auto"/>
        <w:jc w:val="left"/>
      </w:pPr>
      <w:r>
        <w:br w:type="page"/>
      </w:r>
    </w:p>
    <w:p w14:paraId="42D63B1F" w14:textId="33C3E524" w:rsidR="000B1F05" w:rsidRPr="00A14090" w:rsidRDefault="00B37E1F" w:rsidP="00A14090">
      <w:pPr>
        <w:pStyle w:val="2"/>
      </w:pPr>
      <w:bookmarkStart w:id="106" w:name="_Toc97734657"/>
      <w:r w:rsidRPr="00A14090">
        <w:rPr>
          <w:rStyle w:val="ac"/>
          <w:b/>
          <w:bCs w:val="0"/>
        </w:rPr>
        <w:lastRenderedPageBreak/>
        <w:t>Прил</w:t>
      </w:r>
      <w:r w:rsidR="00956A9E" w:rsidRPr="00A14090">
        <w:rPr>
          <w:rStyle w:val="ac"/>
          <w:b/>
          <w:bCs w:val="0"/>
        </w:rPr>
        <w:t>ожение А3.12</w:t>
      </w:r>
      <w:r w:rsidR="00A14090">
        <w:rPr>
          <w:rStyle w:val="ac"/>
          <w:b/>
          <w:bCs w:val="0"/>
        </w:rPr>
        <w:t>.</w:t>
      </w:r>
      <w:r w:rsidR="00956A9E" w:rsidRPr="00A14090">
        <w:rPr>
          <w:rStyle w:val="ac"/>
          <w:b/>
          <w:bCs w:val="0"/>
        </w:rPr>
        <w:t xml:space="preserve"> </w:t>
      </w:r>
      <w:r w:rsidRPr="00A14090">
        <w:rPr>
          <w:rStyle w:val="ac"/>
          <w:b/>
          <w:bCs w:val="0"/>
        </w:rPr>
        <w:t>Профилактика</w:t>
      </w:r>
      <w:r w:rsidR="00A14090">
        <w:rPr>
          <w:rStyle w:val="ac"/>
          <w:b/>
          <w:bCs w:val="0"/>
        </w:rPr>
        <w:t xml:space="preserve"> </w:t>
      </w:r>
      <w:r w:rsidRPr="00A14090">
        <w:rPr>
          <w:rStyle w:val="ac"/>
          <w:b/>
          <w:bCs w:val="0"/>
        </w:rPr>
        <w:t>тромботических осложнений</w:t>
      </w:r>
      <w:bookmarkEnd w:id="106"/>
    </w:p>
    <w:p w14:paraId="480A8CCC" w14:textId="031E8135" w:rsidR="00B37E1F" w:rsidRPr="00CD6C97" w:rsidRDefault="00B37E1F" w:rsidP="008F161A">
      <w:pPr>
        <w:pStyle w:val="a6"/>
        <w:numPr>
          <w:ilvl w:val="0"/>
          <w:numId w:val="165"/>
        </w:numPr>
        <w:tabs>
          <w:tab w:val="left" w:pos="284"/>
        </w:tabs>
        <w:spacing w:before="0" w:after="0"/>
        <w:ind w:left="0" w:firstLine="0"/>
        <w:rPr>
          <w:b/>
          <w:szCs w:val="24"/>
        </w:rPr>
      </w:pPr>
      <w:r w:rsidRPr="00CD6C97">
        <w:rPr>
          <w:b/>
          <w:szCs w:val="24"/>
        </w:rPr>
        <w:t xml:space="preserve">Общие принципы профилактики ВТЭО у гематологических больных. </w:t>
      </w:r>
    </w:p>
    <w:p w14:paraId="57C84F5D" w14:textId="3556EF6E" w:rsidR="00B37E1F" w:rsidRDefault="00B37E1F" w:rsidP="008A2329">
      <w:pPr>
        <w:pStyle w:val="Numlist"/>
        <w:spacing w:line="360" w:lineRule="auto"/>
        <w:ind w:firstLine="567"/>
        <w:jc w:val="both"/>
      </w:pPr>
      <w:r>
        <w:t>Риск тромботических осложнений при проведении ХТ может быть высоким и низким. На высокий риск развития тромботических нарушений указывают тромбозы в анамнезе; привычное невынашивание беременности; одновременное выявление трех и более показателей, характеризующих гиперкоагуляционное состояние, а именно укорочение (замедление) АЧТВ, повышение концентрации протромбина, фибриногена, D-димера, угнетение (замедление) XIIa-зависимого фибринолиза; повышение количества тромбоцитов и их агрегабельности; гиперкоагуляция при тромбоэластографии, тромбодинамике, в тесте определения тромбинового потенциала; генетические тромбофилии (мутации генов протромбина G20210A, фактора V Лейден); дефицит АТ III, протеина С и протеина S; гипергомоцистеинемия; наличие АФС; применение овариопротекторов и глюкокортикоидов</w:t>
      </w:r>
      <w:r w:rsidR="000B1F05">
        <w:t xml:space="preserve"> </w:t>
      </w:r>
      <w:r w:rsidR="000B1F05">
        <w:fldChar w:fldCharType="begin" w:fldLock="1"/>
      </w:r>
      <w:r w:rsidR="00E430FD">
        <w:instrText>ADDIN CSL_CITATION {"citationItems":[{"id":"ITEM-1","itemData":{"DOI":"10.1097/MBC.0b013e328363b147","ISSN":"09575235","PMID":"24056293","abstract":"Children with acute lymphoblastic leukemia (ALL) have several risk factors for deep venous thromboses (DVTs) such as central venous catheters and asparaginase (ASP), related antithrombin (AT) deficiency. After introduction of a new standard and intermediate-risk ALL treatment protocol with prolonged continuous ASP treatment, two symptomatic DVTs in 10 patients were observed at the Children's Hospital, Helsinki, Finland. To prevent further thrombotic complications yet ensuring continuous exposure to ASP, an AT substitution strategy was adopted in Helsinki. The same ALL treatment protocol is used without AT substitution in the other Nordic countries. In this retrospective study, we describe the effect of prolonged ASP treatment on AT and fibrinogen levels in children without AT substitution in Stockholm, Sweden (n=39) and the AT substitution in children with AT activity below 0.55kIU/l in Helsinki (n=36, intervention group). The intervention group is compared with children treated similarly earlier in Helsinki without AT substitution (n=10). The median lowest AT activity during the ASP treatment without AT substitution was 0.55kIU/l. Fibrinogen level of 1.0g/l or less was found in 14% of all routine samples during the ASP treatment. In the intervention group, 23 (64%) received AT concentrate. Two (20%) children had symptomatic DVT before initiation of the AT substitution and two (6%) thereafter. We conclude that most children are exposed to low AT activity during ASP treatment predisposing to thrombosis. The effect of prophylactic AT substitution remains unclear. © 2013 Wolters Kluwer Health | Lippincott Williams &amp; Wilkins.","author":[{"dropping-particle":"","family":"Ranta","given":"Susanna","non-dropping-particle":"","parse-names":false,"suffix":""},{"dropping-particle":"","family":"Heyman","given":"Mats M.","non-dropping-particle":"","parse-names":false,"suffix":""},{"dropping-particle":"","family":"Jahnukainen","given":"Kirsi","non-dropping-particle":"","parse-names":false,"suffix":""},{"dropping-particle":"","family":"Taskinen","given":"Mervi","non-dropping-particle":"","parse-names":false,"suffix":""},{"dropping-particle":"","family":"Saarinen-Pihkala","given":"Ulla M.","non-dropping-particle":"","parse-names":false,"suffix":""},{"dropping-particle":"","family":"Frisk","given":"Tony","non-dropping-particle":"","parse-names":false,"suffix":""},{"dropping-particle":"","family":"Söderhäll","given":"Stefan","non-dropping-particle":"","parse-names":false,"suffix":""},{"dropping-particle":"","family":"Petrini","given":"Pia","non-dropping-particle":"","parse-names":false,"suffix":""},{"dropping-particle":"","family":"Mäkipernaa","given":"Anne M.T.","non-dropping-particle":"","parse-names":false,"suffix":""}],"container-title":"Blood Coagulation and Fibrinolysis","id":"ITEM-1","issue":"7","issued":{"date-parts":[["2013","10"]]},"page":"749-756","publisher":"Blood Coagul Fibrinolysis","title":"Antithrombin deficiency after prolonged asparaginase treatment in children with acute lymphoblastic leukemia","type":"article-journal","volume":"24"},"uris":["http://www.mendeley.com/documents/?uuid=dab33917-ff1d-460c-b3d4-70bd27c5f90a"]},{"id":"ITEM-2","itemData":{"DOI":"10.1002/pbc.26228","ISSN":"15455017","PMID":"27605400","abstract":"Background: Asparaginase (Asp) and corticosteroid (CS) treatment in patients with acute lymphoblastic leukaemia (ALL) is associated with an increased risk of thrombotic events. Objective: Characterization of global haemostatic phenotypes of patients with ALL during Asp therapy. Procedure: Thrombin generation (TG) was monitored in platelet-poor plasma of 56 children treated for a B lineage ALL (36 with native, 20 with PEG Asp) using 1 pM tissue factor and 4 μM phospholipids, with and without thrombomodulin. Protein C activity (PC), free protein S (PS), antithrombin (AT) and fibrinogen levels were also measured. Results: Elevated endogenous thrombin potential (ETP) and peak of TG were noted at diagnosis, throughout the Induction phase and Late Intensification but was significantly less for PEG than for native Asp (P &lt; 0.001), while age, sex, type of corticosteroid during Induction and molecular response had no significant effect. The reduction of ETP after addition of thrombomodulin was significantly lower in ALL children compared with that in controls, suggesting impairment in PS/PC pathway. Three patients experienced thrombosis: two treated with native and one with PEG Asp. The two patients with native Asp had, at the time of thrombosis, a prothrombotic profile. Conclusions: Treatment with Asp, in combination with CS, enhances TG in children with ALL, more significantly with native than PEG Asp, which is present early at diagnosis, persists during Induction and reappears during Late Intensification. This is consistent with the high incidence of thrombotic events described during these phases of therapy. The less pronounced effect of PEG Asp remains to be elucidated.","author":[{"dropping-particle":"","family":"Rozen","given":"Laurence","non-dropping-particle":"","parse-names":false,"suffix":""},{"dropping-particle":"","family":"Noubouossie","given":"Denis","non-dropping-particle":"","parse-names":false,"suffix":""},{"dropping-particle":"","family":"Dedeken","given":"Laurence","non-dropping-particle":"","parse-names":false,"suffix":""},{"dropping-particle":"","family":"Huybrechts","given":"Sophie","non-dropping-particle":"","parse-names":false,"suffix":""},{"dropping-particle":"","family":"Lê","given":"Phu Quoc","non-dropping-particle":"","parse-names":false,"suffix":""},{"dropping-particle":"","family":"Ferster","given":"Alina","non-dropping-particle":"","parse-names":false,"suffix":""},{"dropping-particle":"","family":"Demulder","given":"Anne","non-dropping-particle":"","parse-names":false,"suffix":""}],"container-title":"Pediatric Blood and Cancer","id":"ITEM-2","issue":"2","issued":{"date-parts":[["2017","2"]]},"page":"294-301","publisher":"John Wiley and Sons Inc.","title":"Different profile of thrombin generation in children with acute lymphoblastic leukaemia treated with native or pegylated asparaginase: A cohort study","type":"article-journal","volume":"64"},"uris":["http://www.mendeley.com/documents/?uuid=1403a81f-319f-4606-ab62-4d598df9ab23"]}],"mendeley":{"formattedCitation":"[216,217]","plainTextFormattedCitation":"[216,217]","previouslyFormattedCitation":"[216,217]"},"properties":{"noteIndex":0},"schema":"https://github.com/citation-style-language/schema/raw/master/csl-citation.json"}</w:instrText>
      </w:r>
      <w:r w:rsidR="000B1F05">
        <w:fldChar w:fldCharType="separate"/>
      </w:r>
      <w:r w:rsidR="00E430FD" w:rsidRPr="00E430FD">
        <w:rPr>
          <w:noProof/>
        </w:rPr>
        <w:t>[216,217]</w:t>
      </w:r>
      <w:r w:rsidR="000B1F05">
        <w:fldChar w:fldCharType="end"/>
      </w:r>
      <w:r w:rsidR="000B1F05">
        <w:fldChar w:fldCharType="begin" w:fldLock="1"/>
      </w:r>
      <w:r w:rsidR="00E430FD">
        <w:instrText>ADDIN CSL_CITATION {"citationItems":[{"id":"ITEM-1","itemData":{"DOI":"10.1160/TH14-04-0372","ISSN":"03406245","PMID":"25338526","abstract":"The benefit of asparaginase for treating acute lymphoid leukaemia (ALL) has been well established. Native asparaginase derives from Escherichia coli (colaspase) or Erwinia chrysanthemi (crisantaspase); in a third preparation, colaspase is pegylated. Depletion of asparagine leads to decreased synthesis of procoagulant, anticoagulant, and fibrinolytic proteins, with resultant hypercoagulability and greater risk of venous thromboembolism (VTE). Colaspase and crisantaspase are not dose-equivalent, with crisantaspase displaying haemostatic toxicity only at dosages much higher and administered more frequently than those of colaspase. Cerebral venous thrombosis and pulmonary embolism are two life-endangering manifestations that occur during treatment with asparaginase particularly in children and in adults with ALL, respectively. Approximately one-third of VTEs are located in the upper extremities and are central venous line-related. Other risk factors are longer duration of asparaginase treatment and concomitant use of prednisone, anthracyclines, and oral contraceptives. The risk associated with inherited thrombophilia is uncertain but is clearly enhanced by other risk factors or by the use of prednisone. VTE prevention with fresh frozen plasma is not recommended; the efficacy of antithrombin (AT) concentrates has occasionally been reported, but these reports should be confirmed by proper studies, and AT should not be routinely employed. Therapeutic or prophylactic heparin doses are only partially effective, and direct thrombin or factor Xa inhibitors could play significant roles in the near future.","author":[{"dropping-particle":"","family":"Stefano","given":"Valerio","non-dropping-particle":"De","parse-names":false,"suffix":""},{"dropping-particle":"","family":"Za","given":"Tommaso","non-dropping-particle":"","parse-names":false,"suffix":""},{"dropping-particle":"","family":"Ciminello","given":"Angela","non-dropping-particle":"","parse-names":false,"suffix":""},{"dropping-particle":"","family":"Betti","given":"Silvia","non-dropping-particle":"","parse-names":false,"suffix":""},{"dropping-particle":"","family":"Rossi","given":"Elena","non-dropping-particle":"","parse-names":false,"suffix":""}],"container-title":"Thrombosis and Haemostasis","id":"ITEM-1","issue":"2","issued":{"date-parts":[["2015","2"]]},"page":"247-261","publisher":"Schattauer GmbH","title":"Haemostatic alterations induced by treatment with asparaginases and clinical consequences","type":"article","volume":"113"},"uris":["http://www.mendeley.com/documents/?uuid=92b5a7a3-e3b6-45d4-9b0f-30dd95bf3712"]}],"mendeley":{"formattedCitation":"[218]","plainTextFormattedCitation":"[218]","previouslyFormattedCitation":"[218]"},"properties":{"noteIndex":0},"schema":"https://github.com/citation-style-language/schema/raw/master/csl-citation.json"}</w:instrText>
      </w:r>
      <w:r w:rsidR="000B1F05">
        <w:fldChar w:fldCharType="separate"/>
      </w:r>
      <w:r w:rsidR="00E430FD" w:rsidRPr="00E430FD">
        <w:rPr>
          <w:noProof/>
        </w:rPr>
        <w:t>[218]</w:t>
      </w:r>
      <w:r w:rsidR="000B1F05">
        <w:fldChar w:fldCharType="end"/>
      </w:r>
      <w:r>
        <w:t>.</w:t>
      </w:r>
    </w:p>
    <w:p w14:paraId="3A999A26" w14:textId="77777777" w:rsidR="00B37E1F" w:rsidRPr="00F855C8" w:rsidRDefault="00B37E1F" w:rsidP="002431B5">
      <w:pPr>
        <w:spacing w:before="0" w:after="0"/>
        <w:rPr>
          <w:szCs w:val="24"/>
        </w:rPr>
      </w:pPr>
      <w:r>
        <w:rPr>
          <w:b/>
          <w:szCs w:val="24"/>
        </w:rPr>
        <w:tab/>
      </w:r>
      <w:r>
        <w:rPr>
          <w:szCs w:val="24"/>
        </w:rPr>
        <w:t>С целью определения тактики ведения пациента у</w:t>
      </w:r>
      <w:r w:rsidRPr="00F855C8">
        <w:rPr>
          <w:szCs w:val="24"/>
        </w:rPr>
        <w:t xml:space="preserve"> каждого больного должна быть оценена степень риска развития ВТЭО; у больных, получающих лекарственную противоопухолевую терапию, следует учитывать до</w:t>
      </w:r>
      <w:r>
        <w:rPr>
          <w:szCs w:val="24"/>
        </w:rPr>
        <w:t>полнительные факторы риска ВТЭО.</w:t>
      </w:r>
      <w:r w:rsidRPr="00F855C8">
        <w:rPr>
          <w:szCs w:val="24"/>
        </w:rPr>
        <w:t xml:space="preserve"> </w:t>
      </w:r>
    </w:p>
    <w:p w14:paraId="31BB64D8" w14:textId="77777777" w:rsidR="00B37E1F" w:rsidRPr="00D563D9" w:rsidRDefault="00B37E1F" w:rsidP="002431B5">
      <w:pPr>
        <w:spacing w:before="0" w:after="0"/>
        <w:rPr>
          <w:szCs w:val="24"/>
        </w:rPr>
      </w:pPr>
      <w:r w:rsidRPr="00D563D9">
        <w:rPr>
          <w:szCs w:val="24"/>
        </w:rPr>
        <w:t>Профилактические мероприятия следует проводить у всех больных, относящихся к группам риска:</w:t>
      </w:r>
    </w:p>
    <w:p w14:paraId="7D187F6B" w14:textId="77777777" w:rsidR="00B37E1F" w:rsidRDefault="00B37E1F" w:rsidP="0024404E">
      <w:pPr>
        <w:pStyle w:val="a6"/>
        <w:numPr>
          <w:ilvl w:val="0"/>
          <w:numId w:val="72"/>
        </w:numPr>
        <w:tabs>
          <w:tab w:val="left" w:pos="284"/>
        </w:tabs>
        <w:spacing w:before="0" w:after="0"/>
        <w:ind w:left="0" w:firstLine="0"/>
        <w:rPr>
          <w:szCs w:val="24"/>
        </w:rPr>
      </w:pPr>
      <w:r>
        <w:rPr>
          <w:szCs w:val="24"/>
        </w:rPr>
        <w:t>обеспечение максимально возможной активности мышц нижних конечностей пациентов, находящихся на длительном постельном режиме, местные процедуры, увеличивающие объемный поток крови через глубокие вены нижних конечностей (эластическая компрессия нижних конечностей, перемежающаяся пневмокомпрессия, венозный насос для стопы);</w:t>
      </w:r>
    </w:p>
    <w:p w14:paraId="2FDD1A9E" w14:textId="77777777" w:rsidR="00B37E1F" w:rsidRDefault="00B37E1F" w:rsidP="0024404E">
      <w:pPr>
        <w:pStyle w:val="a6"/>
        <w:numPr>
          <w:ilvl w:val="0"/>
          <w:numId w:val="72"/>
        </w:numPr>
        <w:tabs>
          <w:tab w:val="left" w:pos="284"/>
        </w:tabs>
        <w:spacing w:before="0" w:after="0"/>
        <w:ind w:left="0" w:firstLine="0"/>
        <w:rPr>
          <w:szCs w:val="24"/>
        </w:rPr>
      </w:pPr>
      <w:r>
        <w:rPr>
          <w:szCs w:val="24"/>
        </w:rPr>
        <w:t>массаж, активные и пассивные нагрузки на верхние конечности, улучшающие циркуляцию крови; механические способы профилактики (компрессионный трикотаж, перемежающаяся пневматическая компрессия);</w:t>
      </w:r>
    </w:p>
    <w:p w14:paraId="5052E4B5" w14:textId="77777777" w:rsidR="00B37E1F" w:rsidRPr="0019724D" w:rsidRDefault="00B37E1F" w:rsidP="0024404E">
      <w:pPr>
        <w:pStyle w:val="a6"/>
        <w:numPr>
          <w:ilvl w:val="0"/>
          <w:numId w:val="72"/>
        </w:numPr>
        <w:tabs>
          <w:tab w:val="left" w:pos="284"/>
        </w:tabs>
        <w:spacing w:before="0" w:after="0"/>
        <w:ind w:left="0" w:firstLine="0"/>
        <w:rPr>
          <w:szCs w:val="24"/>
        </w:rPr>
      </w:pPr>
      <w:r>
        <w:rPr>
          <w:szCs w:val="24"/>
        </w:rPr>
        <w:t>о</w:t>
      </w:r>
      <w:r w:rsidRPr="0019724D">
        <w:rPr>
          <w:szCs w:val="24"/>
        </w:rPr>
        <w:t xml:space="preserve">собенно важно применять механические способы профилактики при наличии противопоказаний к использованию антикоагулянтов; </w:t>
      </w:r>
    </w:p>
    <w:p w14:paraId="171CCE45" w14:textId="77777777" w:rsidR="00B37E1F" w:rsidRDefault="00B37E1F" w:rsidP="0024404E">
      <w:pPr>
        <w:pStyle w:val="a6"/>
        <w:numPr>
          <w:ilvl w:val="0"/>
          <w:numId w:val="72"/>
        </w:numPr>
        <w:tabs>
          <w:tab w:val="left" w:pos="284"/>
        </w:tabs>
        <w:spacing w:before="0" w:after="0"/>
        <w:ind w:left="0" w:firstLine="0"/>
        <w:rPr>
          <w:szCs w:val="24"/>
        </w:rPr>
      </w:pPr>
      <w:r>
        <w:rPr>
          <w:szCs w:val="24"/>
        </w:rPr>
        <w:t>у больных с крайне высоким риском ВТЭО медикаментозная и механическая профилактика должны сочетаться;</w:t>
      </w:r>
    </w:p>
    <w:p w14:paraId="4721F0BA" w14:textId="77777777" w:rsidR="00B37E1F" w:rsidRDefault="00B37E1F" w:rsidP="0024404E">
      <w:pPr>
        <w:pStyle w:val="a6"/>
        <w:numPr>
          <w:ilvl w:val="0"/>
          <w:numId w:val="72"/>
        </w:numPr>
        <w:tabs>
          <w:tab w:val="left" w:pos="284"/>
        </w:tabs>
        <w:spacing w:before="0" w:after="0"/>
        <w:ind w:left="0" w:firstLine="0"/>
        <w:rPr>
          <w:szCs w:val="24"/>
        </w:rPr>
      </w:pPr>
      <w:r>
        <w:rPr>
          <w:szCs w:val="24"/>
        </w:rPr>
        <w:t xml:space="preserve">проведение лекарственной тромбопрофилактики прямыми (парентеральными и пероральными) и непрямыми антикоагулянтами; </w:t>
      </w:r>
    </w:p>
    <w:p w14:paraId="7C1CEA3B" w14:textId="77777777" w:rsidR="00B37E1F" w:rsidRDefault="00B37E1F" w:rsidP="0024404E">
      <w:pPr>
        <w:pStyle w:val="a6"/>
        <w:numPr>
          <w:ilvl w:val="0"/>
          <w:numId w:val="72"/>
        </w:numPr>
        <w:tabs>
          <w:tab w:val="left" w:pos="284"/>
        </w:tabs>
        <w:spacing w:before="0" w:after="0"/>
        <w:ind w:left="0" w:firstLine="0"/>
        <w:rPr>
          <w:szCs w:val="24"/>
        </w:rPr>
      </w:pPr>
      <w:r>
        <w:rPr>
          <w:szCs w:val="24"/>
        </w:rPr>
        <w:lastRenderedPageBreak/>
        <w:t xml:space="preserve">наличие острого кровотечения является абсолютным противопоказанием к назначению препаратов антикоагулянтного, антитромботического и антиагрегантного действия; </w:t>
      </w:r>
    </w:p>
    <w:p w14:paraId="7C52D164" w14:textId="77777777" w:rsidR="00B37E1F" w:rsidRDefault="00B37E1F" w:rsidP="0024404E">
      <w:pPr>
        <w:pStyle w:val="a6"/>
        <w:numPr>
          <w:ilvl w:val="0"/>
          <w:numId w:val="72"/>
        </w:numPr>
        <w:tabs>
          <w:tab w:val="left" w:pos="284"/>
        </w:tabs>
        <w:spacing w:before="0" w:after="0"/>
        <w:ind w:left="0" w:firstLine="0"/>
        <w:rPr>
          <w:szCs w:val="24"/>
        </w:rPr>
      </w:pPr>
      <w:r>
        <w:rPr>
          <w:szCs w:val="24"/>
        </w:rPr>
        <w:t xml:space="preserve">установка кава-фильтра в нижней полой вене при повторных ТЭЛА при применении адекватной схемы антикоагулянтной лекарственной профилактики;  </w:t>
      </w:r>
    </w:p>
    <w:p w14:paraId="1037E231" w14:textId="77777777" w:rsidR="00B37E1F" w:rsidRDefault="00B37E1F" w:rsidP="0024404E">
      <w:pPr>
        <w:pStyle w:val="a6"/>
        <w:numPr>
          <w:ilvl w:val="0"/>
          <w:numId w:val="72"/>
        </w:numPr>
        <w:tabs>
          <w:tab w:val="left" w:pos="284"/>
        </w:tabs>
        <w:spacing w:before="0" w:after="0"/>
        <w:ind w:left="0" w:firstLine="0"/>
        <w:rPr>
          <w:szCs w:val="24"/>
        </w:rPr>
      </w:pPr>
      <w:r>
        <w:rPr>
          <w:szCs w:val="24"/>
        </w:rPr>
        <w:t xml:space="preserve">у пациентов после оперативных вмешательств - максимальная и возможно более ранняя активизация, включая методы пассивной нагрузки. </w:t>
      </w:r>
    </w:p>
    <w:p w14:paraId="4AED24D4" w14:textId="77777777" w:rsidR="00B37E1F" w:rsidRDefault="00B37E1F" w:rsidP="0024404E">
      <w:pPr>
        <w:pStyle w:val="a6"/>
        <w:numPr>
          <w:ilvl w:val="0"/>
          <w:numId w:val="71"/>
        </w:numPr>
        <w:tabs>
          <w:tab w:val="left" w:pos="284"/>
        </w:tabs>
        <w:spacing w:before="0" w:after="0"/>
        <w:ind w:left="0" w:firstLine="0"/>
        <w:rPr>
          <w:szCs w:val="24"/>
        </w:rPr>
      </w:pPr>
      <w:r>
        <w:rPr>
          <w:szCs w:val="24"/>
        </w:rPr>
        <w:t>Проводить профилактику следует до тех пор, пока сохраняется высокий риск развития тромботических осложнений (месяцы и годы).</w:t>
      </w:r>
    </w:p>
    <w:p w14:paraId="06AAA73F" w14:textId="7D3A6C04" w:rsidR="00B37E1F" w:rsidRPr="00D903CB" w:rsidRDefault="00B37E1F" w:rsidP="008F161A">
      <w:pPr>
        <w:pStyle w:val="a6"/>
        <w:numPr>
          <w:ilvl w:val="0"/>
          <w:numId w:val="166"/>
        </w:numPr>
        <w:tabs>
          <w:tab w:val="left" w:pos="284"/>
        </w:tabs>
        <w:spacing w:before="0" w:after="0"/>
        <w:ind w:left="0" w:firstLine="0"/>
        <w:rPr>
          <w:rFonts w:eastAsia="Times New Roman"/>
          <w:szCs w:val="24"/>
          <w:lang w:eastAsia="ru-RU"/>
        </w:rPr>
      </w:pPr>
      <w:r w:rsidRPr="00D903CB">
        <w:rPr>
          <w:b/>
          <w:szCs w:val="24"/>
        </w:rPr>
        <w:t xml:space="preserve">Профилактика тромботических нарушений. </w:t>
      </w:r>
      <w:r w:rsidRPr="00D903CB">
        <w:rPr>
          <w:rFonts w:eastAsia="Times New Roman"/>
          <w:szCs w:val="24"/>
          <w:lang w:eastAsia="ru-RU"/>
        </w:rPr>
        <w:t>При выявлении ВТЭО и определении его давности, локализации, распространенности, назначается соответствующая терапия. Терапия должна проводиться в течение всего периода проведения специфической терапии основного гематологического заболевания в стационарных и/или амбулаторных условиях. Пациенты с острыми тромбозами чаще всего нуждаются в госпитализации в стационар.</w:t>
      </w:r>
    </w:p>
    <w:p w14:paraId="5BDEC146" w14:textId="77777777" w:rsidR="00B37E1F" w:rsidRDefault="00B37E1F" w:rsidP="002431B5">
      <w:pPr>
        <w:spacing w:before="0" w:after="0"/>
        <w:rPr>
          <w:rFonts w:eastAsia="Times New Roman"/>
          <w:szCs w:val="24"/>
          <w:u w:val="single"/>
          <w:lang w:eastAsia="ru-RU"/>
        </w:rPr>
      </w:pPr>
      <w:r w:rsidRPr="008017CF">
        <w:rPr>
          <w:rFonts w:eastAsia="Times New Roman"/>
          <w:szCs w:val="24"/>
          <w:u w:val="single"/>
          <w:lang w:eastAsia="ru-RU"/>
        </w:rPr>
        <w:t>7</w:t>
      </w:r>
      <w:r>
        <w:rPr>
          <w:rFonts w:eastAsia="Times New Roman"/>
          <w:szCs w:val="24"/>
          <w:u w:val="single"/>
          <w:lang w:eastAsia="ru-RU"/>
        </w:rPr>
        <w:t>.1 Медикаментозная терапия.</w:t>
      </w:r>
    </w:p>
    <w:p w14:paraId="0BA98CC6" w14:textId="77777777" w:rsidR="00B37E1F" w:rsidRPr="00A4634E" w:rsidRDefault="00B37E1F" w:rsidP="002431B5">
      <w:pPr>
        <w:spacing w:before="0" w:after="0"/>
        <w:rPr>
          <w:rFonts w:eastAsia="Times New Roman"/>
          <w:szCs w:val="24"/>
          <w:u w:val="single"/>
          <w:lang w:eastAsia="ru-RU"/>
        </w:rPr>
      </w:pPr>
      <w:r w:rsidRPr="00A4634E">
        <w:rPr>
          <w:rFonts w:eastAsia="Times New Roman"/>
          <w:szCs w:val="24"/>
          <w:u w:val="single"/>
          <w:lang w:eastAsia="ru-RU"/>
        </w:rPr>
        <w:t>7.1.1 Антикоагулянтная терапия:</w:t>
      </w:r>
    </w:p>
    <w:p w14:paraId="028A4274" w14:textId="1C8AF1D5" w:rsidR="00B37E1F" w:rsidRDefault="00B37E1F" w:rsidP="002431B5">
      <w:pPr>
        <w:widowControl w:val="0"/>
        <w:spacing w:before="0" w:after="0"/>
        <w:rPr>
          <w:rFonts w:eastAsia="Times New Roman"/>
          <w:szCs w:val="24"/>
          <w:lang w:eastAsia="ru-RU"/>
        </w:rPr>
      </w:pPr>
      <w:r>
        <w:rPr>
          <w:rFonts w:eastAsia="Times New Roman"/>
          <w:szCs w:val="24"/>
          <w:lang w:eastAsia="ru-RU"/>
        </w:rPr>
        <w:t>1. Осуществляется лечение нефракционированным гепарином</w:t>
      </w:r>
      <w:r w:rsidR="00F87EE7" w:rsidRPr="00F87EE7">
        <w:rPr>
          <w:rFonts w:eastAsia="Times New Roman"/>
          <w:szCs w:val="24"/>
          <w:lang w:eastAsia="ru-RU"/>
        </w:rPr>
        <w:t>**</w:t>
      </w:r>
      <w:r>
        <w:rPr>
          <w:rFonts w:eastAsia="Times New Roman"/>
          <w:szCs w:val="24"/>
          <w:lang w:eastAsia="ru-RU"/>
        </w:rPr>
        <w:t xml:space="preserve"> (НФГ), предпочтительно путем постоянного внутривенного введения при помощи инфузомата. Доза гепарина</w:t>
      </w:r>
      <w:r w:rsidR="00F87EE7" w:rsidRPr="00F87EE7">
        <w:rPr>
          <w:rFonts w:eastAsia="Times New Roman"/>
          <w:szCs w:val="24"/>
          <w:lang w:eastAsia="ru-RU"/>
        </w:rPr>
        <w:t>**</w:t>
      </w:r>
      <w:r>
        <w:rPr>
          <w:rFonts w:eastAsia="Times New Roman"/>
          <w:szCs w:val="24"/>
          <w:lang w:eastAsia="ru-RU"/>
        </w:rPr>
        <w:t xml:space="preserve"> подбирается по АЧТВ, которое должно составлять 1,5-2 нормы. Начальная доза гепарина</w:t>
      </w:r>
      <w:r w:rsidR="00F87EE7" w:rsidRPr="00F87EE7">
        <w:rPr>
          <w:rFonts w:eastAsia="Times New Roman"/>
          <w:szCs w:val="24"/>
          <w:lang w:eastAsia="ru-RU"/>
        </w:rPr>
        <w:t>**</w:t>
      </w:r>
      <w:r>
        <w:rPr>
          <w:rFonts w:eastAsia="Times New Roman"/>
          <w:szCs w:val="24"/>
          <w:lang w:eastAsia="ru-RU"/>
        </w:rPr>
        <w:t xml:space="preserve"> составляет 1000 МЕ/час. Профилактические и лечебные режимы введения НФГ</w:t>
      </w:r>
      <w:r w:rsidR="00F87EE7" w:rsidRPr="00F87EE7">
        <w:rPr>
          <w:rFonts w:eastAsia="Times New Roman"/>
          <w:szCs w:val="24"/>
          <w:lang w:eastAsia="ru-RU"/>
        </w:rPr>
        <w:t>**</w:t>
      </w:r>
      <w:r>
        <w:rPr>
          <w:rFonts w:eastAsia="Times New Roman"/>
          <w:szCs w:val="24"/>
          <w:lang w:eastAsia="ru-RU"/>
        </w:rPr>
        <w:t xml:space="preserve"> представлены в таблицах 1 и 2. </w:t>
      </w:r>
    </w:p>
    <w:p w14:paraId="0D240A4D" w14:textId="72DEE62F" w:rsidR="00B37E1F" w:rsidRDefault="00B37E1F" w:rsidP="002431B5">
      <w:pPr>
        <w:widowControl w:val="0"/>
        <w:spacing w:before="0" w:after="0"/>
        <w:rPr>
          <w:szCs w:val="24"/>
        </w:rPr>
      </w:pPr>
      <w:r>
        <w:rPr>
          <w:rFonts w:eastAsia="Times New Roman"/>
          <w:szCs w:val="24"/>
          <w:lang w:eastAsia="ru-RU"/>
        </w:rPr>
        <w:t>Если количество тромбоцитов в крови меньше 100 </w:t>
      </w:r>
      <w:r>
        <w:rPr>
          <w:szCs w:val="24"/>
        </w:rPr>
        <w:t>х 1</w:t>
      </w:r>
      <w:r>
        <w:rPr>
          <w:rFonts w:eastAsia="Times New Roman"/>
          <w:szCs w:val="24"/>
          <w:lang w:eastAsia="ru-RU"/>
        </w:rPr>
        <w:t>0</w:t>
      </w:r>
      <w:r>
        <w:rPr>
          <w:rFonts w:eastAsia="Times New Roman"/>
          <w:szCs w:val="24"/>
          <w:vertAlign w:val="superscript"/>
          <w:lang w:eastAsia="ru-RU"/>
        </w:rPr>
        <w:t>9</w:t>
      </w:r>
      <w:r>
        <w:rPr>
          <w:rFonts w:eastAsia="Times New Roman"/>
          <w:szCs w:val="24"/>
          <w:lang w:eastAsia="ru-RU"/>
        </w:rPr>
        <w:t>/л, дозу НФГ</w:t>
      </w:r>
      <w:r w:rsidR="00F87EE7" w:rsidRPr="00F87EE7">
        <w:rPr>
          <w:rFonts w:eastAsia="Times New Roman"/>
          <w:szCs w:val="24"/>
          <w:lang w:eastAsia="ru-RU"/>
        </w:rPr>
        <w:t>**</w:t>
      </w:r>
      <w:r>
        <w:rPr>
          <w:rFonts w:eastAsia="Times New Roman"/>
          <w:szCs w:val="24"/>
          <w:lang w:eastAsia="ru-RU"/>
        </w:rPr>
        <w:t xml:space="preserve"> снижают вдвое; если меньше 50</w:t>
      </w:r>
      <w:r>
        <w:rPr>
          <w:szCs w:val="24"/>
        </w:rPr>
        <w:t>х1</w:t>
      </w:r>
      <w:r>
        <w:rPr>
          <w:rFonts w:eastAsia="Times New Roman"/>
          <w:szCs w:val="24"/>
          <w:lang w:eastAsia="ru-RU"/>
        </w:rPr>
        <w:t>0</w:t>
      </w:r>
      <w:r>
        <w:rPr>
          <w:rFonts w:eastAsia="Times New Roman"/>
          <w:szCs w:val="24"/>
          <w:vertAlign w:val="superscript"/>
          <w:lang w:eastAsia="ru-RU"/>
        </w:rPr>
        <w:t>9</w:t>
      </w:r>
      <w:r>
        <w:rPr>
          <w:rFonts w:eastAsia="Times New Roman"/>
          <w:szCs w:val="24"/>
          <w:lang w:eastAsia="ru-RU"/>
        </w:rPr>
        <w:t>/л, НФГ</w:t>
      </w:r>
      <w:r w:rsidR="00F87EE7" w:rsidRPr="00F87EE7">
        <w:rPr>
          <w:rFonts w:eastAsia="Times New Roman"/>
          <w:szCs w:val="24"/>
          <w:lang w:eastAsia="ru-RU"/>
        </w:rPr>
        <w:t>**</w:t>
      </w:r>
      <w:r>
        <w:rPr>
          <w:rFonts w:eastAsia="Times New Roman"/>
          <w:szCs w:val="24"/>
          <w:lang w:eastAsia="ru-RU"/>
        </w:rPr>
        <w:t xml:space="preserve"> отменяют. При развитии геморрагического синдрома любой тяжести введение НФГ</w:t>
      </w:r>
      <w:r w:rsidR="00F87EE7" w:rsidRPr="00F87EE7">
        <w:rPr>
          <w:rFonts w:eastAsia="Times New Roman"/>
          <w:szCs w:val="24"/>
          <w:lang w:eastAsia="ru-RU"/>
        </w:rPr>
        <w:t>**</w:t>
      </w:r>
      <w:r>
        <w:rPr>
          <w:rFonts w:eastAsia="Times New Roman"/>
          <w:szCs w:val="24"/>
          <w:lang w:eastAsia="ru-RU"/>
        </w:rPr>
        <w:t xml:space="preserve"> прекращают и вводят протамина сульфат</w:t>
      </w:r>
      <w:r w:rsidR="00F87EE7" w:rsidRPr="00F87EE7">
        <w:rPr>
          <w:rFonts w:eastAsia="Times New Roman"/>
          <w:szCs w:val="24"/>
          <w:lang w:eastAsia="ru-RU"/>
        </w:rPr>
        <w:t>**</w:t>
      </w:r>
      <w:r>
        <w:rPr>
          <w:rFonts w:eastAsia="Times New Roman"/>
          <w:szCs w:val="24"/>
          <w:lang w:eastAsia="ru-RU"/>
        </w:rPr>
        <w:t xml:space="preserve"> или СЗП (10</w:t>
      </w:r>
      <w:r>
        <w:rPr>
          <w:i/>
          <w:szCs w:val="24"/>
        </w:rPr>
        <w:t>—</w:t>
      </w:r>
      <w:r>
        <w:rPr>
          <w:rFonts w:eastAsia="Times New Roman"/>
          <w:szCs w:val="24"/>
          <w:lang w:eastAsia="ru-RU"/>
        </w:rPr>
        <w:t xml:space="preserve">15 мл на кг массы тела). При гепаринотерапии обязателен контроль количества тромбоцитов в крови каждые 2-3 дня. В случае развития гепарин-индуцированной тромбоцитопении </w:t>
      </w:r>
      <w:r>
        <w:rPr>
          <w:rFonts w:eastAsia="Times New Roman"/>
          <w:szCs w:val="24"/>
          <w:lang w:val="en-US" w:eastAsia="ru-RU"/>
        </w:rPr>
        <w:t>II</w:t>
      </w:r>
      <w:r>
        <w:rPr>
          <w:rFonts w:eastAsia="Times New Roman"/>
          <w:szCs w:val="24"/>
          <w:lang w:eastAsia="ru-RU"/>
        </w:rPr>
        <w:t xml:space="preserve"> типа (ГИТ </w:t>
      </w:r>
      <w:r>
        <w:rPr>
          <w:rFonts w:eastAsia="Times New Roman"/>
          <w:szCs w:val="24"/>
          <w:lang w:val="en-US" w:eastAsia="ru-RU"/>
        </w:rPr>
        <w:t>II</w:t>
      </w:r>
      <w:r>
        <w:rPr>
          <w:rFonts w:eastAsia="Times New Roman"/>
          <w:szCs w:val="24"/>
          <w:lang w:eastAsia="ru-RU"/>
        </w:rPr>
        <w:t>) любые формы гепарина</w:t>
      </w:r>
      <w:r w:rsidR="00F87EE7" w:rsidRPr="00F87EE7">
        <w:rPr>
          <w:rFonts w:eastAsia="Times New Roman"/>
          <w:szCs w:val="24"/>
          <w:lang w:eastAsia="ru-RU"/>
        </w:rPr>
        <w:t>**</w:t>
      </w:r>
      <w:r>
        <w:rPr>
          <w:rFonts w:eastAsia="Times New Roman"/>
          <w:szCs w:val="24"/>
          <w:lang w:eastAsia="ru-RU"/>
        </w:rPr>
        <w:t xml:space="preserve"> отменяются, не допускается промывка гепарином</w:t>
      </w:r>
      <w:r w:rsidR="00F87EE7" w:rsidRPr="00F87EE7">
        <w:rPr>
          <w:rFonts w:eastAsia="Times New Roman"/>
          <w:szCs w:val="24"/>
          <w:lang w:eastAsia="ru-RU"/>
        </w:rPr>
        <w:t>**</w:t>
      </w:r>
      <w:r>
        <w:rPr>
          <w:rFonts w:eastAsia="Times New Roman"/>
          <w:szCs w:val="24"/>
          <w:lang w:eastAsia="ru-RU"/>
        </w:rPr>
        <w:t xml:space="preserve"> катетеров. При этом с антикоагулянтной целью применяются фондапаринукс или прямые оральные антикоагулянты (</w:t>
      </w:r>
      <w:r>
        <w:rPr>
          <w:szCs w:val="24"/>
        </w:rPr>
        <w:t>ривароксабан</w:t>
      </w:r>
      <w:r w:rsidR="00F87EE7" w:rsidRPr="00F87EE7">
        <w:rPr>
          <w:szCs w:val="24"/>
        </w:rPr>
        <w:t>**</w:t>
      </w:r>
      <w:r>
        <w:rPr>
          <w:szCs w:val="24"/>
        </w:rPr>
        <w:t>, дабигатран</w:t>
      </w:r>
      <w:r w:rsidR="00F87EE7" w:rsidRPr="00F87EE7">
        <w:rPr>
          <w:szCs w:val="24"/>
        </w:rPr>
        <w:t>**</w:t>
      </w:r>
      <w:r>
        <w:rPr>
          <w:szCs w:val="24"/>
        </w:rPr>
        <w:t>, апиксабан</w:t>
      </w:r>
      <w:r w:rsidR="00F87EE7" w:rsidRPr="00F87EE7">
        <w:rPr>
          <w:szCs w:val="24"/>
        </w:rPr>
        <w:t>**</w:t>
      </w:r>
      <w:r>
        <w:rPr>
          <w:szCs w:val="24"/>
        </w:rPr>
        <w:t xml:space="preserve">). </w:t>
      </w:r>
    </w:p>
    <w:p w14:paraId="3AABDB41" w14:textId="1A829E1A" w:rsidR="00B37E1F" w:rsidRDefault="00B37E1F" w:rsidP="002431B5">
      <w:pPr>
        <w:widowControl w:val="0"/>
        <w:spacing w:before="0" w:after="0"/>
        <w:rPr>
          <w:rFonts w:eastAsia="Times New Roman"/>
          <w:szCs w:val="24"/>
          <w:lang w:eastAsia="ru-RU"/>
        </w:rPr>
      </w:pPr>
      <w:r>
        <w:rPr>
          <w:szCs w:val="24"/>
        </w:rPr>
        <w:t xml:space="preserve">2. </w:t>
      </w:r>
      <w:r>
        <w:rPr>
          <w:rFonts w:eastAsia="Times New Roman"/>
          <w:szCs w:val="24"/>
          <w:lang w:eastAsia="ru-RU"/>
        </w:rPr>
        <w:t>Альтернативой НФГ</w:t>
      </w:r>
      <w:r w:rsidR="00F87EE7" w:rsidRPr="00F87EE7">
        <w:rPr>
          <w:rFonts w:eastAsia="Times New Roman"/>
          <w:szCs w:val="24"/>
          <w:lang w:eastAsia="ru-RU"/>
        </w:rPr>
        <w:t>**</w:t>
      </w:r>
      <w:r>
        <w:rPr>
          <w:rFonts w:eastAsia="Times New Roman"/>
          <w:szCs w:val="24"/>
          <w:lang w:eastAsia="ru-RU"/>
        </w:rPr>
        <w:t xml:space="preserve"> является подкожное введение низкомолекулярного гепарина (НМГ). Доза подбирается из расчета 100 анти-</w:t>
      </w:r>
      <w:r>
        <w:rPr>
          <w:rFonts w:eastAsia="Times New Roman"/>
          <w:szCs w:val="24"/>
          <w:lang w:val="en-US" w:eastAsia="ru-RU"/>
        </w:rPr>
        <w:t>Xa</w:t>
      </w:r>
      <w:r>
        <w:rPr>
          <w:rFonts w:eastAsia="Times New Roman"/>
          <w:szCs w:val="24"/>
          <w:lang w:eastAsia="ru-RU"/>
        </w:rPr>
        <w:t xml:space="preserve"> МЕ на кг массы тела. Препарат НМГ вводится подкожно 1-2 раза в день. Профилактические режимы введения НМГ представлены в таблиц</w:t>
      </w:r>
      <w:r w:rsidR="00A14090">
        <w:rPr>
          <w:rFonts w:eastAsia="Times New Roman"/>
          <w:szCs w:val="24"/>
          <w:lang w:eastAsia="ru-RU"/>
        </w:rPr>
        <w:t>е</w:t>
      </w:r>
      <w:r>
        <w:rPr>
          <w:rFonts w:eastAsia="Times New Roman"/>
          <w:szCs w:val="24"/>
          <w:lang w:eastAsia="ru-RU"/>
        </w:rPr>
        <w:t xml:space="preserve"> </w:t>
      </w:r>
      <w:r w:rsidR="00436F47">
        <w:rPr>
          <w:rFonts w:eastAsia="Times New Roman"/>
          <w:szCs w:val="24"/>
          <w:lang w:eastAsia="ru-RU"/>
        </w:rPr>
        <w:t>А.3.15</w:t>
      </w:r>
      <w:r>
        <w:rPr>
          <w:rFonts w:eastAsia="Times New Roman"/>
          <w:szCs w:val="24"/>
          <w:lang w:eastAsia="ru-RU"/>
        </w:rPr>
        <w:t xml:space="preserve">. </w:t>
      </w:r>
    </w:p>
    <w:p w14:paraId="6E072EAF" w14:textId="77777777" w:rsidR="00B37E1F" w:rsidRDefault="00B37E1F" w:rsidP="002431B5">
      <w:pPr>
        <w:spacing w:before="0" w:after="0"/>
        <w:rPr>
          <w:rFonts w:eastAsia="Times New Roman"/>
          <w:szCs w:val="24"/>
          <w:lang w:eastAsia="ru-RU"/>
        </w:rPr>
      </w:pPr>
      <w:r>
        <w:rPr>
          <w:rFonts w:eastAsia="Times New Roman"/>
          <w:szCs w:val="24"/>
          <w:lang w:eastAsia="ru-RU"/>
        </w:rPr>
        <w:t>Для контроля используется анти-</w:t>
      </w:r>
      <w:r>
        <w:rPr>
          <w:rFonts w:eastAsia="Times New Roman"/>
          <w:szCs w:val="24"/>
          <w:lang w:val="en-US" w:eastAsia="ru-RU"/>
        </w:rPr>
        <w:t>X</w:t>
      </w:r>
      <w:r>
        <w:rPr>
          <w:rFonts w:eastAsia="Times New Roman"/>
          <w:szCs w:val="24"/>
          <w:lang w:eastAsia="ru-RU"/>
        </w:rPr>
        <w:t>а активность, максимальный пик которой должен составлять 0,3-1,0 МЕ/мл через 3-4 часа после введения НМГ, а именно:</w:t>
      </w:r>
    </w:p>
    <w:p w14:paraId="2496D794" w14:textId="77777777" w:rsidR="00B37E1F" w:rsidRDefault="00B37E1F" w:rsidP="0024404E">
      <w:pPr>
        <w:pStyle w:val="a6"/>
        <w:numPr>
          <w:ilvl w:val="0"/>
          <w:numId w:val="71"/>
        </w:numPr>
        <w:tabs>
          <w:tab w:val="left" w:pos="284"/>
        </w:tabs>
        <w:spacing w:before="0" w:after="0"/>
        <w:ind w:left="0" w:firstLine="0"/>
        <w:rPr>
          <w:szCs w:val="24"/>
        </w:rPr>
      </w:pPr>
      <w:r>
        <w:rPr>
          <w:szCs w:val="24"/>
        </w:rPr>
        <w:lastRenderedPageBreak/>
        <w:t xml:space="preserve">при профилактической дозе НМГ – 0,3-0,4 МЕ/мл плазмы, </w:t>
      </w:r>
    </w:p>
    <w:p w14:paraId="49D900BD" w14:textId="77777777" w:rsidR="00B37E1F" w:rsidRDefault="00B37E1F" w:rsidP="0024404E">
      <w:pPr>
        <w:pStyle w:val="a6"/>
        <w:numPr>
          <w:ilvl w:val="0"/>
          <w:numId w:val="73"/>
        </w:numPr>
        <w:tabs>
          <w:tab w:val="left" w:pos="284"/>
        </w:tabs>
        <w:spacing w:before="0" w:after="0"/>
        <w:ind w:left="0" w:firstLine="0"/>
        <w:rPr>
          <w:szCs w:val="24"/>
        </w:rPr>
      </w:pPr>
      <w:r>
        <w:rPr>
          <w:szCs w:val="24"/>
        </w:rPr>
        <w:t>при лечебной дозе НМГ при введении 2 р/сут – 0,5-1,0 МЕ/мл плазмы,</w:t>
      </w:r>
    </w:p>
    <w:p w14:paraId="24FE2070" w14:textId="77777777" w:rsidR="00B37E1F" w:rsidRDefault="00B37E1F" w:rsidP="0024404E">
      <w:pPr>
        <w:pStyle w:val="a6"/>
        <w:numPr>
          <w:ilvl w:val="0"/>
          <w:numId w:val="73"/>
        </w:numPr>
        <w:tabs>
          <w:tab w:val="left" w:pos="284"/>
        </w:tabs>
        <w:spacing w:before="0" w:after="0"/>
        <w:ind w:left="0" w:firstLine="0"/>
        <w:rPr>
          <w:szCs w:val="24"/>
        </w:rPr>
      </w:pPr>
      <w:r>
        <w:rPr>
          <w:szCs w:val="24"/>
        </w:rPr>
        <w:t>при лечебной дозе НМГ при введении 1 р/сут – 1,0-2,0 МЕ/мл плазмы.</w:t>
      </w:r>
    </w:p>
    <w:p w14:paraId="442F30FE" w14:textId="3DBAD76E" w:rsidR="00B37E1F" w:rsidRPr="00D563D9" w:rsidRDefault="00B37E1F" w:rsidP="002431B5">
      <w:pPr>
        <w:spacing w:before="0" w:after="0"/>
        <w:rPr>
          <w:b/>
          <w:bCs/>
          <w:szCs w:val="24"/>
        </w:rPr>
      </w:pPr>
      <w:r w:rsidRPr="00D563D9">
        <w:rPr>
          <w:b/>
          <w:bCs/>
          <w:szCs w:val="24"/>
        </w:rPr>
        <w:t xml:space="preserve">Таблица </w:t>
      </w:r>
      <w:r w:rsidR="00436F47">
        <w:rPr>
          <w:b/>
          <w:bCs/>
          <w:szCs w:val="24"/>
        </w:rPr>
        <w:t>А3.15</w:t>
      </w:r>
      <w:r w:rsidRPr="00D563D9">
        <w:rPr>
          <w:b/>
          <w:bCs/>
          <w:szCs w:val="24"/>
        </w:rPr>
        <w:t xml:space="preserve">. Дозы антикоагулянтных препаратов </w:t>
      </w:r>
      <w:r w:rsidRPr="00D563D9">
        <w:rPr>
          <w:b/>
          <w:bCs/>
          <w:iCs/>
          <w:szCs w:val="24"/>
        </w:rPr>
        <w:t xml:space="preserve">для профилактики </w:t>
      </w:r>
      <w:r w:rsidRPr="00D563D9">
        <w:rPr>
          <w:b/>
          <w:bCs/>
          <w:szCs w:val="24"/>
        </w:rPr>
        <w:t>тромботических осложнений</w:t>
      </w:r>
    </w:p>
    <w:tbl>
      <w:tblPr>
        <w:tblStyle w:val="16"/>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998"/>
        <w:gridCol w:w="4678"/>
      </w:tblGrid>
      <w:tr w:rsidR="00B37E1F" w:rsidRPr="00B46409" w14:paraId="3C96B0CA" w14:textId="77777777" w:rsidTr="00F87EE7">
        <w:trPr>
          <w:trHeight w:val="452"/>
          <w:tblHeader/>
        </w:trPr>
        <w:tc>
          <w:tcPr>
            <w:tcW w:w="3998" w:type="dxa"/>
            <w:shd w:val="clear" w:color="auto" w:fill="auto"/>
          </w:tcPr>
          <w:p w14:paraId="617764FA" w14:textId="77777777" w:rsidR="00B37E1F" w:rsidRPr="00B46409" w:rsidRDefault="00B37E1F" w:rsidP="002431B5">
            <w:pPr>
              <w:spacing w:before="0" w:after="0"/>
              <w:jc w:val="center"/>
              <w:rPr>
                <w:rFonts w:cs="Times New Roman"/>
                <w:bCs/>
                <w:szCs w:val="24"/>
              </w:rPr>
            </w:pPr>
            <w:r w:rsidRPr="00B46409">
              <w:rPr>
                <w:rFonts w:eastAsiaTheme="majorEastAsia" w:cs="Times New Roman"/>
                <w:bCs/>
                <w:szCs w:val="24"/>
              </w:rPr>
              <w:t>Терапия</w:t>
            </w:r>
          </w:p>
        </w:tc>
        <w:tc>
          <w:tcPr>
            <w:tcW w:w="4678" w:type="dxa"/>
            <w:shd w:val="clear" w:color="auto" w:fill="auto"/>
          </w:tcPr>
          <w:p w14:paraId="3C69A975" w14:textId="77777777" w:rsidR="00B37E1F" w:rsidRPr="00B46409" w:rsidRDefault="00B37E1F" w:rsidP="002431B5">
            <w:pPr>
              <w:spacing w:before="0" w:after="0"/>
              <w:jc w:val="center"/>
              <w:rPr>
                <w:rFonts w:cs="Times New Roman"/>
                <w:bCs/>
                <w:szCs w:val="24"/>
              </w:rPr>
            </w:pPr>
            <w:r w:rsidRPr="00B46409">
              <w:rPr>
                <w:rFonts w:eastAsiaTheme="majorEastAsia" w:cs="Times New Roman"/>
                <w:bCs/>
                <w:szCs w:val="24"/>
              </w:rPr>
              <w:t>Дозы</w:t>
            </w:r>
          </w:p>
        </w:tc>
      </w:tr>
      <w:tr w:rsidR="00B37E1F" w:rsidRPr="00B46409" w14:paraId="5DA99349" w14:textId="77777777" w:rsidTr="00B37E1F">
        <w:trPr>
          <w:trHeight w:val="452"/>
        </w:trPr>
        <w:tc>
          <w:tcPr>
            <w:tcW w:w="3998" w:type="dxa"/>
            <w:shd w:val="clear" w:color="auto" w:fill="auto"/>
          </w:tcPr>
          <w:p w14:paraId="7C091390" w14:textId="57E43C8F" w:rsidR="00B37E1F" w:rsidRPr="00F87EE7" w:rsidRDefault="00B37E1F" w:rsidP="002431B5">
            <w:pPr>
              <w:spacing w:before="0" w:after="0"/>
              <w:rPr>
                <w:rFonts w:cs="Times New Roman"/>
                <w:bCs/>
                <w:szCs w:val="24"/>
                <w:lang w:val="en-US"/>
              </w:rPr>
            </w:pPr>
            <w:r w:rsidRPr="00B46409">
              <w:rPr>
                <w:rFonts w:eastAsiaTheme="majorEastAsia" w:cs="Times New Roman"/>
                <w:bCs/>
                <w:szCs w:val="24"/>
              </w:rPr>
              <w:t>Нефракционированный гепарин</w:t>
            </w:r>
            <w:r w:rsidR="00F87EE7">
              <w:rPr>
                <w:rFonts w:eastAsiaTheme="majorEastAsia" w:cs="Times New Roman"/>
                <w:bCs/>
                <w:szCs w:val="24"/>
                <w:lang w:val="en-US"/>
              </w:rPr>
              <w:t>**</w:t>
            </w:r>
          </w:p>
        </w:tc>
        <w:tc>
          <w:tcPr>
            <w:tcW w:w="4678" w:type="dxa"/>
            <w:shd w:val="clear" w:color="auto" w:fill="auto"/>
          </w:tcPr>
          <w:p w14:paraId="034087E2" w14:textId="77777777" w:rsidR="00B37E1F" w:rsidRPr="00B46409" w:rsidRDefault="00B37E1F" w:rsidP="002431B5">
            <w:pPr>
              <w:spacing w:before="0" w:after="0"/>
              <w:rPr>
                <w:rFonts w:cs="Times New Roman"/>
                <w:bCs/>
                <w:szCs w:val="24"/>
              </w:rPr>
            </w:pPr>
            <w:r>
              <w:rPr>
                <w:rFonts w:eastAsiaTheme="majorEastAsia" w:cs="Times New Roman"/>
                <w:bCs/>
                <w:szCs w:val="24"/>
              </w:rPr>
              <w:t>500 МЕ/час</w:t>
            </w:r>
            <w:r w:rsidRPr="00B46409">
              <w:rPr>
                <w:rFonts w:eastAsiaTheme="majorEastAsia" w:cs="Times New Roman"/>
                <w:bCs/>
                <w:szCs w:val="24"/>
              </w:rPr>
              <w:t xml:space="preserve"> </w:t>
            </w:r>
            <w:r>
              <w:rPr>
                <w:rFonts w:eastAsiaTheme="majorEastAsia" w:cs="Times New Roman"/>
                <w:bCs/>
                <w:szCs w:val="24"/>
              </w:rPr>
              <w:t>в/в непрерывно</w:t>
            </w:r>
            <w:r w:rsidRPr="00A4634E">
              <w:rPr>
                <w:rFonts w:eastAsia="Times New Roman" w:cs="Times New Roman"/>
                <w:bCs/>
                <w:color w:val="000000" w:themeColor="dark1" w:themeShade="BF"/>
                <w:kern w:val="2"/>
                <w:szCs w:val="24"/>
                <w:lang w:eastAsia="ru-RU"/>
              </w:rPr>
              <w:t xml:space="preserve"> под контролем АЧТВ</w:t>
            </w:r>
          </w:p>
        </w:tc>
      </w:tr>
      <w:tr w:rsidR="00B37E1F" w:rsidRPr="00B46409" w14:paraId="154889A6" w14:textId="77777777" w:rsidTr="00B37E1F">
        <w:trPr>
          <w:trHeight w:val="452"/>
        </w:trPr>
        <w:tc>
          <w:tcPr>
            <w:tcW w:w="3998" w:type="dxa"/>
            <w:shd w:val="clear" w:color="auto" w:fill="auto"/>
          </w:tcPr>
          <w:p w14:paraId="4D843B7A" w14:textId="77777777" w:rsidR="00B37E1F" w:rsidRPr="00B46409" w:rsidRDefault="00B37E1F" w:rsidP="002431B5">
            <w:pPr>
              <w:spacing w:before="0" w:after="0"/>
              <w:rPr>
                <w:rFonts w:cs="Times New Roman"/>
                <w:bCs/>
                <w:szCs w:val="24"/>
              </w:rPr>
            </w:pPr>
            <w:r w:rsidRPr="00B46409">
              <w:rPr>
                <w:rFonts w:eastAsiaTheme="majorEastAsia" w:cs="Times New Roman"/>
                <w:bCs/>
                <w:szCs w:val="24"/>
              </w:rPr>
              <w:t>Дальтепарин натрия</w:t>
            </w:r>
          </w:p>
        </w:tc>
        <w:tc>
          <w:tcPr>
            <w:tcW w:w="4678" w:type="dxa"/>
            <w:shd w:val="clear" w:color="auto" w:fill="auto"/>
          </w:tcPr>
          <w:p w14:paraId="64EA8DA3" w14:textId="77777777" w:rsidR="00B37E1F" w:rsidRPr="00B46409" w:rsidRDefault="00B37E1F" w:rsidP="002431B5">
            <w:pPr>
              <w:spacing w:before="0" w:after="0"/>
              <w:rPr>
                <w:rFonts w:cs="Times New Roman"/>
                <w:bCs/>
                <w:szCs w:val="24"/>
              </w:rPr>
            </w:pPr>
            <w:r w:rsidRPr="00B46409">
              <w:rPr>
                <w:rFonts w:eastAsiaTheme="majorEastAsia" w:cs="Times New Roman"/>
                <w:bCs/>
                <w:szCs w:val="24"/>
              </w:rPr>
              <w:t>5000 МЕ 1 раз в день, п/к</w:t>
            </w:r>
          </w:p>
        </w:tc>
      </w:tr>
      <w:tr w:rsidR="00B37E1F" w:rsidRPr="00B46409" w14:paraId="3E54C5D4" w14:textId="77777777" w:rsidTr="00B37E1F">
        <w:trPr>
          <w:trHeight w:val="452"/>
        </w:trPr>
        <w:tc>
          <w:tcPr>
            <w:tcW w:w="3998" w:type="dxa"/>
            <w:shd w:val="clear" w:color="auto" w:fill="auto"/>
          </w:tcPr>
          <w:p w14:paraId="1AD55A35" w14:textId="549F32EF" w:rsidR="00B37E1F" w:rsidRPr="00F87EE7" w:rsidRDefault="00B37E1F" w:rsidP="002431B5">
            <w:pPr>
              <w:spacing w:before="0" w:after="0"/>
              <w:rPr>
                <w:rFonts w:cs="Times New Roman"/>
                <w:bCs/>
                <w:szCs w:val="24"/>
                <w:lang w:val="en-US"/>
              </w:rPr>
            </w:pPr>
            <w:r w:rsidRPr="00B46409">
              <w:rPr>
                <w:rFonts w:eastAsiaTheme="majorEastAsia" w:cs="Times New Roman"/>
                <w:bCs/>
                <w:szCs w:val="24"/>
              </w:rPr>
              <w:t>Эноксапарин натрия</w:t>
            </w:r>
            <w:r w:rsidR="00F87EE7">
              <w:rPr>
                <w:rFonts w:eastAsiaTheme="majorEastAsia" w:cs="Times New Roman"/>
                <w:bCs/>
                <w:szCs w:val="24"/>
                <w:lang w:val="en-US"/>
              </w:rPr>
              <w:t>**</w:t>
            </w:r>
          </w:p>
        </w:tc>
        <w:tc>
          <w:tcPr>
            <w:tcW w:w="4678" w:type="dxa"/>
            <w:shd w:val="clear" w:color="auto" w:fill="auto"/>
          </w:tcPr>
          <w:p w14:paraId="05F25FE0" w14:textId="77777777" w:rsidR="00B37E1F" w:rsidRPr="00B46409" w:rsidRDefault="00B37E1F" w:rsidP="002431B5">
            <w:pPr>
              <w:spacing w:before="0" w:after="0"/>
              <w:rPr>
                <w:rFonts w:cs="Times New Roman"/>
                <w:bCs/>
                <w:szCs w:val="24"/>
              </w:rPr>
            </w:pPr>
            <w:r w:rsidRPr="00B46409">
              <w:rPr>
                <w:rFonts w:eastAsiaTheme="majorEastAsia" w:cs="Times New Roman"/>
                <w:bCs/>
                <w:szCs w:val="24"/>
              </w:rPr>
              <w:t>0,4 мл 1 раз в день, п/к</w:t>
            </w:r>
          </w:p>
        </w:tc>
      </w:tr>
      <w:tr w:rsidR="00B37E1F" w:rsidRPr="00B46409" w14:paraId="6198FD62" w14:textId="77777777" w:rsidTr="00B37E1F">
        <w:trPr>
          <w:trHeight w:val="452"/>
        </w:trPr>
        <w:tc>
          <w:tcPr>
            <w:tcW w:w="3998" w:type="dxa"/>
            <w:shd w:val="clear" w:color="auto" w:fill="auto"/>
          </w:tcPr>
          <w:p w14:paraId="55362B5C" w14:textId="77777777" w:rsidR="00B37E1F" w:rsidRPr="00B46409" w:rsidRDefault="00B37E1F" w:rsidP="002431B5">
            <w:pPr>
              <w:spacing w:before="0" w:after="0"/>
              <w:rPr>
                <w:rFonts w:cs="Times New Roman"/>
                <w:bCs/>
                <w:szCs w:val="24"/>
              </w:rPr>
            </w:pPr>
            <w:r w:rsidRPr="00B46409">
              <w:rPr>
                <w:rFonts w:eastAsiaTheme="majorEastAsia" w:cs="Times New Roman"/>
                <w:bCs/>
                <w:szCs w:val="24"/>
              </w:rPr>
              <w:t>Надропарин кальция</w:t>
            </w:r>
          </w:p>
        </w:tc>
        <w:tc>
          <w:tcPr>
            <w:tcW w:w="4678" w:type="dxa"/>
            <w:shd w:val="clear" w:color="auto" w:fill="auto"/>
          </w:tcPr>
          <w:p w14:paraId="1A2A3DFE" w14:textId="77777777" w:rsidR="00B37E1F" w:rsidRPr="00B46409" w:rsidRDefault="00B37E1F" w:rsidP="002431B5">
            <w:pPr>
              <w:spacing w:before="0" w:after="0"/>
              <w:rPr>
                <w:rFonts w:cs="Times New Roman"/>
                <w:bCs/>
                <w:szCs w:val="24"/>
              </w:rPr>
            </w:pPr>
            <w:r w:rsidRPr="00B46409">
              <w:rPr>
                <w:rFonts w:eastAsiaTheme="majorEastAsia" w:cs="Times New Roman"/>
                <w:bCs/>
                <w:szCs w:val="24"/>
              </w:rPr>
              <w:t>0,3 мл 1 раз в день, п/к</w:t>
            </w:r>
          </w:p>
        </w:tc>
      </w:tr>
      <w:tr w:rsidR="00B37E1F" w:rsidRPr="00B46409" w14:paraId="358D685E" w14:textId="77777777" w:rsidTr="00B37E1F">
        <w:trPr>
          <w:trHeight w:val="452"/>
        </w:trPr>
        <w:tc>
          <w:tcPr>
            <w:tcW w:w="3998" w:type="dxa"/>
            <w:shd w:val="clear" w:color="auto" w:fill="auto"/>
          </w:tcPr>
          <w:p w14:paraId="453D76B6" w14:textId="77777777" w:rsidR="00B37E1F" w:rsidRPr="00B46409" w:rsidRDefault="00B37E1F" w:rsidP="002431B5">
            <w:pPr>
              <w:spacing w:before="0" w:after="0"/>
              <w:rPr>
                <w:rFonts w:cs="Times New Roman"/>
                <w:bCs/>
                <w:szCs w:val="24"/>
              </w:rPr>
            </w:pPr>
            <w:r w:rsidRPr="00B46409">
              <w:rPr>
                <w:rFonts w:eastAsiaTheme="majorEastAsia" w:cs="Times New Roman"/>
                <w:bCs/>
                <w:szCs w:val="24"/>
              </w:rPr>
              <w:t>Фондапаринукс натрия</w:t>
            </w:r>
          </w:p>
        </w:tc>
        <w:tc>
          <w:tcPr>
            <w:tcW w:w="4678" w:type="dxa"/>
            <w:shd w:val="clear" w:color="auto" w:fill="auto"/>
          </w:tcPr>
          <w:p w14:paraId="62000359" w14:textId="77777777" w:rsidR="00B37E1F" w:rsidRPr="00B46409" w:rsidRDefault="00B37E1F" w:rsidP="002431B5">
            <w:pPr>
              <w:spacing w:before="0" w:after="0"/>
              <w:rPr>
                <w:rFonts w:cs="Times New Roman"/>
                <w:bCs/>
                <w:szCs w:val="24"/>
              </w:rPr>
            </w:pPr>
            <w:r w:rsidRPr="00B46409">
              <w:rPr>
                <w:rFonts w:eastAsiaTheme="majorEastAsia" w:cs="Times New Roman"/>
                <w:bCs/>
                <w:szCs w:val="24"/>
              </w:rPr>
              <w:t>2,5 мг 1 раз в день, п/к</w:t>
            </w:r>
          </w:p>
        </w:tc>
      </w:tr>
      <w:tr w:rsidR="00B37E1F" w:rsidRPr="00B46409" w14:paraId="4422CE29" w14:textId="77777777" w:rsidTr="00B37E1F">
        <w:trPr>
          <w:trHeight w:val="452"/>
        </w:trPr>
        <w:tc>
          <w:tcPr>
            <w:tcW w:w="3998" w:type="dxa"/>
            <w:shd w:val="clear" w:color="auto" w:fill="auto"/>
          </w:tcPr>
          <w:p w14:paraId="0CE99B5E" w14:textId="7A885FFB" w:rsidR="00B37E1F" w:rsidRPr="00F87EE7" w:rsidRDefault="00B37E1F" w:rsidP="002431B5">
            <w:pPr>
              <w:spacing w:before="0" w:after="0"/>
              <w:rPr>
                <w:rFonts w:eastAsia="Times New Roman" w:cs="Times New Roman"/>
                <w:szCs w:val="24"/>
                <w:lang w:val="en-US" w:eastAsia="ru-RU"/>
              </w:rPr>
            </w:pPr>
            <w:r w:rsidRPr="00A4634E">
              <w:rPr>
                <w:rFonts w:eastAsia="Times New Roman" w:cs="Times New Roman"/>
                <w:bCs/>
                <w:color w:val="000000" w:themeColor="dark1" w:themeShade="BF"/>
                <w:kern w:val="2"/>
                <w:szCs w:val="24"/>
                <w:lang w:eastAsia="ru-RU"/>
              </w:rPr>
              <w:t>Варфарин</w:t>
            </w:r>
            <w:r w:rsidR="00F87EE7">
              <w:rPr>
                <w:rFonts w:eastAsia="Times New Roman" w:cs="Times New Roman"/>
                <w:bCs/>
                <w:color w:val="000000" w:themeColor="dark1" w:themeShade="BF"/>
                <w:kern w:val="2"/>
                <w:szCs w:val="24"/>
                <w:lang w:val="en-US" w:eastAsia="ru-RU"/>
              </w:rPr>
              <w:t>**</w:t>
            </w:r>
          </w:p>
        </w:tc>
        <w:tc>
          <w:tcPr>
            <w:tcW w:w="4678" w:type="dxa"/>
            <w:shd w:val="clear" w:color="auto" w:fill="auto"/>
          </w:tcPr>
          <w:p w14:paraId="78FA27FB" w14:textId="77777777" w:rsidR="00B37E1F" w:rsidRPr="00A4634E" w:rsidRDefault="00B37E1F" w:rsidP="002431B5">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 xml:space="preserve">Перорально, </w:t>
            </w:r>
            <w:r>
              <w:rPr>
                <w:rFonts w:eastAsia="Times New Roman" w:cs="Times New Roman"/>
                <w:bCs/>
                <w:color w:val="000000" w:themeColor="dark1" w:themeShade="BF"/>
                <w:kern w:val="2"/>
                <w:szCs w:val="24"/>
                <w:lang w:eastAsia="ru-RU"/>
              </w:rPr>
              <w:t>под контролем МНО (ц</w:t>
            </w:r>
            <w:r w:rsidRPr="00A4634E">
              <w:rPr>
                <w:rFonts w:eastAsia="Times New Roman" w:cs="Times New Roman"/>
                <w:bCs/>
                <w:color w:val="000000" w:themeColor="dark1" w:themeShade="BF"/>
                <w:kern w:val="2"/>
                <w:szCs w:val="24"/>
                <w:lang w:eastAsia="ru-RU"/>
              </w:rPr>
              <w:t>елевые значе</w:t>
            </w:r>
            <w:r>
              <w:rPr>
                <w:rFonts w:eastAsia="Times New Roman" w:cs="Times New Roman"/>
                <w:bCs/>
                <w:color w:val="000000" w:themeColor="dark1" w:themeShade="BF"/>
                <w:kern w:val="2"/>
                <w:szCs w:val="24"/>
                <w:lang w:eastAsia="ru-RU"/>
              </w:rPr>
              <w:t>ния МНО: 2.0-2.5)</w:t>
            </w:r>
            <w:r w:rsidRPr="00A4634E">
              <w:rPr>
                <w:rFonts w:eastAsia="Times New Roman" w:cs="Times New Roman"/>
                <w:bCs/>
                <w:color w:val="000000" w:themeColor="dark1" w:themeShade="BF"/>
                <w:kern w:val="2"/>
                <w:szCs w:val="24"/>
                <w:lang w:eastAsia="ru-RU"/>
              </w:rPr>
              <w:t xml:space="preserve">, </w:t>
            </w:r>
          </w:p>
          <w:p w14:paraId="2FDCC949" w14:textId="77777777" w:rsidR="00B37E1F" w:rsidRPr="00A4634E" w:rsidRDefault="00B37E1F" w:rsidP="002431B5">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после НМГ или НФГ</w:t>
            </w:r>
          </w:p>
        </w:tc>
      </w:tr>
      <w:tr w:rsidR="00B37E1F" w:rsidRPr="00B46409" w14:paraId="60EA2527" w14:textId="77777777" w:rsidTr="00B37E1F">
        <w:trPr>
          <w:trHeight w:val="452"/>
        </w:trPr>
        <w:tc>
          <w:tcPr>
            <w:tcW w:w="3998" w:type="dxa"/>
            <w:shd w:val="clear" w:color="auto" w:fill="auto"/>
          </w:tcPr>
          <w:p w14:paraId="064BD02B" w14:textId="4286D8C8" w:rsidR="00B37E1F" w:rsidRPr="00F87EE7" w:rsidRDefault="00B37E1F" w:rsidP="002431B5">
            <w:pPr>
              <w:spacing w:before="0" w:after="0"/>
              <w:rPr>
                <w:rFonts w:eastAsia="Times New Roman" w:cs="Times New Roman"/>
                <w:szCs w:val="24"/>
                <w:lang w:val="en-US" w:eastAsia="ru-RU"/>
              </w:rPr>
            </w:pPr>
            <w:r w:rsidRPr="00A4634E">
              <w:rPr>
                <w:rFonts w:eastAsia="Times New Roman" w:cs="Times New Roman"/>
                <w:bCs/>
                <w:color w:val="000000" w:themeColor="dark1" w:themeShade="BF"/>
                <w:kern w:val="2"/>
                <w:szCs w:val="24"/>
                <w:lang w:eastAsia="ru-RU"/>
              </w:rPr>
              <w:t>Ривароксабан</w:t>
            </w:r>
            <w:r w:rsidR="00F87EE7">
              <w:rPr>
                <w:rFonts w:eastAsia="Times New Roman" w:cs="Times New Roman"/>
                <w:bCs/>
                <w:color w:val="000000" w:themeColor="dark1" w:themeShade="BF"/>
                <w:kern w:val="2"/>
                <w:szCs w:val="24"/>
                <w:lang w:val="en-US" w:eastAsia="ru-RU"/>
              </w:rPr>
              <w:t>**</w:t>
            </w:r>
          </w:p>
        </w:tc>
        <w:tc>
          <w:tcPr>
            <w:tcW w:w="4678" w:type="dxa"/>
            <w:shd w:val="clear" w:color="auto" w:fill="auto"/>
          </w:tcPr>
          <w:p w14:paraId="257DA9DC" w14:textId="77777777" w:rsidR="00B37E1F" w:rsidRPr="00A4634E" w:rsidRDefault="00B37E1F" w:rsidP="002431B5">
            <w:pPr>
              <w:spacing w:before="0" w:after="0"/>
              <w:rPr>
                <w:rFonts w:eastAsia="Times New Roman" w:cs="Times New Roman"/>
                <w:szCs w:val="24"/>
                <w:lang w:eastAsia="ru-RU"/>
              </w:rPr>
            </w:pPr>
            <w:r>
              <w:rPr>
                <w:rFonts w:eastAsia="Times New Roman" w:cs="Times New Roman"/>
                <w:bCs/>
                <w:color w:val="000000" w:themeColor="dark1" w:themeShade="BF"/>
                <w:kern w:val="2"/>
                <w:szCs w:val="24"/>
                <w:lang w:eastAsia="ru-RU"/>
              </w:rPr>
              <w:t>10-</w:t>
            </w:r>
            <w:r w:rsidRPr="00A4634E">
              <w:rPr>
                <w:rFonts w:eastAsia="Times New Roman" w:cs="Times New Roman"/>
                <w:bCs/>
                <w:color w:val="000000" w:themeColor="dark1" w:themeShade="BF"/>
                <w:kern w:val="2"/>
                <w:szCs w:val="24"/>
                <w:lang w:eastAsia="ru-RU"/>
              </w:rPr>
              <w:t>20 мг утром, перорально</w:t>
            </w:r>
          </w:p>
        </w:tc>
      </w:tr>
      <w:tr w:rsidR="00B37E1F" w:rsidRPr="00B46409" w14:paraId="753405C1" w14:textId="77777777" w:rsidTr="00B37E1F">
        <w:trPr>
          <w:trHeight w:val="452"/>
        </w:trPr>
        <w:tc>
          <w:tcPr>
            <w:tcW w:w="3998" w:type="dxa"/>
            <w:shd w:val="clear" w:color="auto" w:fill="auto"/>
          </w:tcPr>
          <w:p w14:paraId="11A026E8" w14:textId="483444A9" w:rsidR="00B37E1F" w:rsidRPr="00F87EE7" w:rsidRDefault="00B37E1F" w:rsidP="002431B5">
            <w:pPr>
              <w:spacing w:before="0" w:after="0"/>
              <w:rPr>
                <w:rFonts w:eastAsia="Times New Roman" w:cs="Times New Roman"/>
                <w:szCs w:val="24"/>
                <w:lang w:val="en-US" w:eastAsia="ru-RU"/>
              </w:rPr>
            </w:pPr>
            <w:r w:rsidRPr="00A4634E">
              <w:rPr>
                <w:rFonts w:eastAsia="Times New Roman" w:cs="Times New Roman"/>
                <w:bCs/>
                <w:color w:val="000000" w:themeColor="dark1" w:themeShade="BF"/>
                <w:kern w:val="2"/>
                <w:szCs w:val="24"/>
                <w:lang w:eastAsia="ru-RU"/>
              </w:rPr>
              <w:t>Апиксабан</w:t>
            </w:r>
            <w:r w:rsidR="00F87EE7">
              <w:rPr>
                <w:rFonts w:eastAsia="Times New Roman" w:cs="Times New Roman"/>
                <w:bCs/>
                <w:color w:val="000000" w:themeColor="dark1" w:themeShade="BF"/>
                <w:kern w:val="2"/>
                <w:szCs w:val="24"/>
                <w:lang w:val="en-US" w:eastAsia="ru-RU"/>
              </w:rPr>
              <w:t>**</w:t>
            </w:r>
          </w:p>
        </w:tc>
        <w:tc>
          <w:tcPr>
            <w:tcW w:w="4678" w:type="dxa"/>
            <w:shd w:val="clear" w:color="auto" w:fill="auto"/>
          </w:tcPr>
          <w:p w14:paraId="48014EAC" w14:textId="77777777" w:rsidR="00B37E1F" w:rsidRPr="00A4634E" w:rsidRDefault="00B37E1F" w:rsidP="002431B5">
            <w:pPr>
              <w:spacing w:before="0" w:after="0"/>
              <w:rPr>
                <w:rFonts w:eastAsia="Times New Roman" w:cs="Times New Roman"/>
                <w:szCs w:val="24"/>
                <w:lang w:eastAsia="ru-RU"/>
              </w:rPr>
            </w:pPr>
            <w:r>
              <w:rPr>
                <w:rFonts w:eastAsia="Times New Roman" w:cs="Times New Roman"/>
                <w:bCs/>
                <w:color w:val="000000" w:themeColor="dark1" w:themeShade="BF"/>
                <w:kern w:val="2"/>
                <w:szCs w:val="24"/>
                <w:lang w:eastAsia="ru-RU"/>
              </w:rPr>
              <w:t>2,5</w:t>
            </w:r>
            <w:r w:rsidRPr="00A4634E">
              <w:rPr>
                <w:rFonts w:eastAsia="Times New Roman" w:cs="Times New Roman"/>
                <w:bCs/>
                <w:color w:val="000000" w:themeColor="dark1" w:themeShade="BF"/>
                <w:kern w:val="2"/>
                <w:szCs w:val="24"/>
                <w:lang w:eastAsia="ru-RU"/>
              </w:rPr>
              <w:t xml:space="preserve"> мг х 2 р/сутки, перорально</w:t>
            </w:r>
          </w:p>
        </w:tc>
      </w:tr>
      <w:tr w:rsidR="00B37E1F" w:rsidRPr="00B46409" w14:paraId="4A736CFE" w14:textId="77777777" w:rsidTr="00B37E1F">
        <w:trPr>
          <w:trHeight w:val="452"/>
        </w:trPr>
        <w:tc>
          <w:tcPr>
            <w:tcW w:w="3998" w:type="dxa"/>
            <w:shd w:val="clear" w:color="auto" w:fill="auto"/>
          </w:tcPr>
          <w:p w14:paraId="67CDC52E" w14:textId="247DFC61" w:rsidR="00B37E1F" w:rsidRPr="00F87EE7" w:rsidRDefault="00B37E1F" w:rsidP="002431B5">
            <w:pPr>
              <w:spacing w:before="0" w:after="0"/>
              <w:rPr>
                <w:rFonts w:eastAsia="Times New Roman" w:cs="Times New Roman"/>
                <w:szCs w:val="24"/>
                <w:lang w:val="en-US" w:eastAsia="ru-RU"/>
              </w:rPr>
            </w:pPr>
            <w:r w:rsidRPr="00A4634E">
              <w:rPr>
                <w:rFonts w:eastAsia="Times New Roman" w:cs="Times New Roman"/>
                <w:bCs/>
                <w:color w:val="000000" w:themeColor="dark1" w:themeShade="BF"/>
                <w:kern w:val="2"/>
                <w:szCs w:val="24"/>
                <w:lang w:eastAsia="ru-RU"/>
              </w:rPr>
              <w:t>Дабигатран этексилат</w:t>
            </w:r>
            <w:r w:rsidR="00F87EE7">
              <w:rPr>
                <w:rFonts w:eastAsia="Times New Roman" w:cs="Times New Roman"/>
                <w:bCs/>
                <w:color w:val="000000" w:themeColor="dark1" w:themeShade="BF"/>
                <w:kern w:val="2"/>
                <w:szCs w:val="24"/>
                <w:lang w:val="en-US" w:eastAsia="ru-RU"/>
              </w:rPr>
              <w:t>**</w:t>
            </w:r>
          </w:p>
        </w:tc>
        <w:tc>
          <w:tcPr>
            <w:tcW w:w="4678" w:type="dxa"/>
            <w:shd w:val="clear" w:color="auto" w:fill="auto"/>
          </w:tcPr>
          <w:p w14:paraId="5C127084" w14:textId="77777777" w:rsidR="00B37E1F" w:rsidRPr="00A4634E" w:rsidRDefault="00B37E1F" w:rsidP="002431B5">
            <w:pPr>
              <w:spacing w:before="0" w:after="0"/>
              <w:rPr>
                <w:rFonts w:eastAsia="Times New Roman" w:cs="Times New Roman"/>
                <w:szCs w:val="24"/>
                <w:lang w:eastAsia="ru-RU"/>
              </w:rPr>
            </w:pPr>
            <w:r>
              <w:rPr>
                <w:rFonts w:eastAsia="Times New Roman" w:cs="Times New Roman"/>
                <w:bCs/>
                <w:color w:val="000000" w:themeColor="dark1" w:themeShade="BF"/>
                <w:kern w:val="2"/>
                <w:szCs w:val="24"/>
                <w:lang w:eastAsia="ru-RU"/>
              </w:rPr>
              <w:t>110-</w:t>
            </w:r>
            <w:r w:rsidRPr="00A4634E">
              <w:rPr>
                <w:rFonts w:eastAsia="Times New Roman" w:cs="Times New Roman"/>
                <w:bCs/>
                <w:color w:val="000000" w:themeColor="dark1" w:themeShade="BF"/>
                <w:kern w:val="2"/>
                <w:szCs w:val="24"/>
                <w:lang w:eastAsia="ru-RU"/>
              </w:rPr>
              <w:t>150 мг х 2р/сутки, перорально</w:t>
            </w:r>
          </w:p>
        </w:tc>
      </w:tr>
    </w:tbl>
    <w:p w14:paraId="49291B79" w14:textId="77777777" w:rsidR="00B37E1F" w:rsidRDefault="00B37E1F" w:rsidP="002431B5">
      <w:pPr>
        <w:spacing w:before="0" w:after="0"/>
        <w:rPr>
          <w:b/>
          <w:bCs/>
          <w:szCs w:val="24"/>
        </w:rPr>
      </w:pPr>
    </w:p>
    <w:p w14:paraId="6AECEDA3" w14:textId="77777777" w:rsidR="00B37E1F" w:rsidRDefault="00B37E1F" w:rsidP="008A2329">
      <w:pPr>
        <w:spacing w:before="0" w:after="0"/>
        <w:ind w:firstLine="567"/>
        <w:rPr>
          <w:szCs w:val="24"/>
        </w:rPr>
      </w:pPr>
      <w:r>
        <w:rPr>
          <w:rFonts w:eastAsia="Times New Roman"/>
          <w:szCs w:val="24"/>
          <w:lang w:eastAsia="ru-RU"/>
        </w:rPr>
        <w:t xml:space="preserve">При длительной терапии НМГ рекомендуется мониторинг </w:t>
      </w:r>
      <w:proofErr w:type="gramStart"/>
      <w:r>
        <w:rPr>
          <w:rFonts w:eastAsia="Times New Roman"/>
          <w:szCs w:val="24"/>
          <w:lang w:eastAsia="ru-RU"/>
        </w:rPr>
        <w:t>анти-Ха</w:t>
      </w:r>
      <w:proofErr w:type="gramEnd"/>
      <w:r>
        <w:rPr>
          <w:rFonts w:eastAsia="Times New Roman"/>
          <w:szCs w:val="24"/>
          <w:lang w:eastAsia="ru-RU"/>
        </w:rPr>
        <w:t xml:space="preserve"> активности и коррекция дозы НМГ (при необходимости) один раз в месяц.</w:t>
      </w:r>
    </w:p>
    <w:p w14:paraId="36335C05" w14:textId="77777777" w:rsidR="00B37E1F" w:rsidRDefault="00B37E1F" w:rsidP="008A2329">
      <w:pPr>
        <w:spacing w:before="0" w:after="0"/>
        <w:ind w:firstLine="567"/>
        <w:rPr>
          <w:szCs w:val="24"/>
        </w:rPr>
      </w:pPr>
      <w:r>
        <w:rPr>
          <w:szCs w:val="24"/>
        </w:rPr>
        <w:t xml:space="preserve">Для выявления возможного накопления НМГ после нескольких введений следует проанализировать </w:t>
      </w:r>
      <w:proofErr w:type="gramStart"/>
      <w:r>
        <w:rPr>
          <w:szCs w:val="24"/>
        </w:rPr>
        <w:t>анти-Ха</w:t>
      </w:r>
      <w:proofErr w:type="gramEnd"/>
      <w:r>
        <w:rPr>
          <w:szCs w:val="24"/>
        </w:rPr>
        <w:t xml:space="preserve"> активность через 4 часа после третьего введения, если НМГ вводится дважды в день, или через 4 часа после второго введения, если препарат вводится один раз в сутки.</w:t>
      </w:r>
    </w:p>
    <w:p w14:paraId="6B5DEA28" w14:textId="77777777" w:rsidR="00B37E1F" w:rsidRDefault="00B37E1F" w:rsidP="008A2329">
      <w:pPr>
        <w:spacing w:before="0" w:after="0"/>
        <w:ind w:firstLine="567"/>
        <w:rPr>
          <w:szCs w:val="24"/>
        </w:rPr>
      </w:pPr>
      <w:r>
        <w:rPr>
          <w:szCs w:val="24"/>
        </w:rPr>
        <w:t>Коррекция дозы НМГ в связи с высоким риском кровотечений по причине тромбоцитопений заключается в двукратном снижении дозы при количестве тромбоцитов &lt;70×10</w:t>
      </w:r>
      <w:r>
        <w:rPr>
          <w:szCs w:val="24"/>
          <w:vertAlign w:val="superscript"/>
        </w:rPr>
        <w:t>9</w:t>
      </w:r>
      <w:r>
        <w:rPr>
          <w:szCs w:val="24"/>
        </w:rPr>
        <w:t>/л; временная отмена НМГ при количестве тромбоцитов &lt;30×10</w:t>
      </w:r>
      <w:r>
        <w:rPr>
          <w:szCs w:val="24"/>
          <w:vertAlign w:val="superscript"/>
        </w:rPr>
        <w:t>9</w:t>
      </w:r>
      <w:r>
        <w:rPr>
          <w:szCs w:val="24"/>
        </w:rPr>
        <w:t>/л. При острых тромбозах и тромбоцитопении в отсутствии геморрагических проявлений целесообразно использовать внутривенное с помощью инфузомата введение НФГ под контролем АЧТВ.</w:t>
      </w:r>
    </w:p>
    <w:p w14:paraId="0CECDF2B" w14:textId="77777777" w:rsidR="00B37E1F" w:rsidRDefault="00B37E1F" w:rsidP="008A2329">
      <w:pPr>
        <w:spacing w:before="0" w:after="0"/>
        <w:ind w:firstLine="567"/>
        <w:rPr>
          <w:rFonts w:eastAsia="Times New Roman"/>
          <w:szCs w:val="24"/>
          <w:lang w:eastAsia="ru-RU"/>
        </w:rPr>
      </w:pPr>
      <w:r>
        <w:rPr>
          <w:rFonts w:eastAsia="Times New Roman"/>
          <w:szCs w:val="24"/>
          <w:lang w:eastAsia="ru-RU"/>
        </w:rPr>
        <w:t xml:space="preserve">3) Прямые оральные антикоагулянты (ПОАК): </w:t>
      </w:r>
    </w:p>
    <w:p w14:paraId="763A37FB" w14:textId="444C3044" w:rsidR="00B37E1F" w:rsidRDefault="00B37E1F" w:rsidP="008A2329">
      <w:pPr>
        <w:spacing w:before="0" w:after="0"/>
        <w:ind w:firstLine="567"/>
        <w:rPr>
          <w:szCs w:val="24"/>
        </w:rPr>
      </w:pPr>
      <w:r>
        <w:rPr>
          <w:szCs w:val="24"/>
        </w:rPr>
        <w:t>- ривароксабан</w:t>
      </w:r>
      <w:r w:rsidR="00F87EE7" w:rsidRPr="00F87EE7">
        <w:rPr>
          <w:szCs w:val="24"/>
        </w:rPr>
        <w:t>**</w:t>
      </w:r>
      <w:r>
        <w:rPr>
          <w:szCs w:val="24"/>
        </w:rPr>
        <w:t xml:space="preserve"> в дозе 15 мг 2 раза в сутки во время еды в первые 3 недели, затем в дозе 20 мг 1 раз в сутки во время еды. Доза ривароксабана должна быть скорректирована у </w:t>
      </w:r>
      <w:r>
        <w:rPr>
          <w:szCs w:val="24"/>
        </w:rPr>
        <w:lastRenderedPageBreak/>
        <w:t>пациентов с нарушенной выделительной функцией почек. Следует помнить, что протромбиновое время и АЧТВ не отражают истинной концентрации и эффект ПОАК;</w:t>
      </w:r>
    </w:p>
    <w:p w14:paraId="32827D57" w14:textId="192B0AE6" w:rsidR="00B37E1F" w:rsidRDefault="00B37E1F" w:rsidP="008A2329">
      <w:pPr>
        <w:spacing w:before="0" w:after="0"/>
        <w:ind w:firstLine="567"/>
        <w:rPr>
          <w:rFonts w:eastAsia="Times New Roman"/>
          <w:szCs w:val="24"/>
          <w:lang w:eastAsia="ru-RU"/>
        </w:rPr>
      </w:pPr>
      <w:r>
        <w:rPr>
          <w:rFonts w:eastAsia="Times New Roman"/>
          <w:szCs w:val="24"/>
          <w:lang w:eastAsia="ru-RU"/>
        </w:rPr>
        <w:t>- дабигатрана этексилат</w:t>
      </w:r>
      <w:r w:rsidR="00F87EE7" w:rsidRPr="00F87EE7">
        <w:rPr>
          <w:rFonts w:eastAsia="Times New Roman"/>
          <w:szCs w:val="24"/>
          <w:lang w:eastAsia="ru-RU"/>
        </w:rPr>
        <w:t>**</w:t>
      </w:r>
      <w:r>
        <w:rPr>
          <w:rFonts w:eastAsia="Times New Roman"/>
          <w:szCs w:val="24"/>
          <w:lang w:eastAsia="ru-RU"/>
        </w:rPr>
        <w:t xml:space="preserve"> назначают в дозе 150 г 2 раза в сутки; исследование тромбинового времени помогает подбирать необходимую дозу дабигатрана этексилата</w:t>
      </w:r>
      <w:r w:rsidR="00F87EE7" w:rsidRPr="00F87EE7">
        <w:rPr>
          <w:rFonts w:eastAsia="Times New Roman"/>
          <w:szCs w:val="24"/>
          <w:lang w:eastAsia="ru-RU"/>
        </w:rPr>
        <w:t>**</w:t>
      </w:r>
      <w:r>
        <w:rPr>
          <w:rFonts w:eastAsia="Times New Roman"/>
          <w:szCs w:val="24"/>
          <w:lang w:eastAsia="ru-RU"/>
        </w:rPr>
        <w:t>. При его удлинении более 120</w:t>
      </w:r>
      <w:r>
        <w:rPr>
          <w:i/>
          <w:szCs w:val="24"/>
        </w:rPr>
        <w:t>—</w:t>
      </w:r>
      <w:r>
        <w:rPr>
          <w:rFonts w:eastAsia="Times New Roman"/>
          <w:szCs w:val="24"/>
          <w:lang w:eastAsia="ru-RU"/>
        </w:rPr>
        <w:t xml:space="preserve">150 сек дозу препарата уменьшают до 110 мг 2 раза в сутки. Больным старше 75 лет дабигатрана этексилата назначают в дозе 75 мг 2 раза в сутки; </w:t>
      </w:r>
    </w:p>
    <w:p w14:paraId="530F2E53" w14:textId="7647D11B" w:rsidR="00B37E1F" w:rsidRDefault="00B37E1F" w:rsidP="008A2329">
      <w:pPr>
        <w:spacing w:before="0" w:after="0"/>
        <w:ind w:firstLine="567"/>
        <w:rPr>
          <w:rFonts w:eastAsia="Times New Roman"/>
          <w:szCs w:val="24"/>
          <w:lang w:eastAsia="ru-RU"/>
        </w:rPr>
      </w:pPr>
      <w:r>
        <w:rPr>
          <w:rFonts w:eastAsia="Times New Roman"/>
          <w:szCs w:val="24"/>
          <w:lang w:eastAsia="ru-RU"/>
        </w:rPr>
        <w:t>- апиксабан</w:t>
      </w:r>
      <w:r w:rsidR="00F87EE7" w:rsidRPr="00F87EE7">
        <w:rPr>
          <w:rFonts w:eastAsia="Times New Roman"/>
          <w:szCs w:val="24"/>
          <w:lang w:eastAsia="ru-RU"/>
        </w:rPr>
        <w:t>**</w:t>
      </w:r>
      <w:r>
        <w:rPr>
          <w:rFonts w:eastAsia="Times New Roman"/>
          <w:szCs w:val="24"/>
          <w:lang w:eastAsia="ru-RU"/>
        </w:rPr>
        <w:t xml:space="preserve"> применяют в дозе 5 мг 2 раза в сутки. Больным старше 75 лет апиксабан</w:t>
      </w:r>
      <w:r w:rsidR="00F87EE7" w:rsidRPr="00F87EE7">
        <w:rPr>
          <w:rFonts w:eastAsia="Times New Roman"/>
          <w:szCs w:val="24"/>
          <w:lang w:eastAsia="ru-RU"/>
        </w:rPr>
        <w:t>**</w:t>
      </w:r>
      <w:r>
        <w:rPr>
          <w:rFonts w:eastAsia="Times New Roman"/>
          <w:szCs w:val="24"/>
          <w:lang w:eastAsia="ru-RU"/>
        </w:rPr>
        <w:t xml:space="preserve"> назначают в дозе 2,5 мг 2 раза в сутки. Лабораторный контроль не проводится;</w:t>
      </w:r>
    </w:p>
    <w:p w14:paraId="0870F714" w14:textId="77777777" w:rsidR="00B37E1F" w:rsidRDefault="00B37E1F" w:rsidP="008A2329">
      <w:pPr>
        <w:spacing w:before="0" w:after="0"/>
        <w:ind w:firstLine="567"/>
        <w:rPr>
          <w:rFonts w:eastAsia="Times New Roman"/>
          <w:szCs w:val="24"/>
          <w:lang w:eastAsia="ru-RU"/>
        </w:rPr>
      </w:pPr>
      <w:r>
        <w:rPr>
          <w:rFonts w:eastAsia="Times New Roman"/>
          <w:szCs w:val="24"/>
          <w:lang w:eastAsia="ru-RU"/>
        </w:rPr>
        <w:t>- сулодексид 250 ЛЕ х 2 раза в день.</w:t>
      </w:r>
    </w:p>
    <w:p w14:paraId="65F0486F" w14:textId="77777777" w:rsidR="006211DC" w:rsidRDefault="00B37E1F" w:rsidP="002431B5">
      <w:pPr>
        <w:spacing w:before="0" w:after="0"/>
        <w:rPr>
          <w:szCs w:val="24"/>
        </w:rPr>
      </w:pPr>
      <w:r>
        <w:rPr>
          <w:rFonts w:eastAsia="Times New Roman"/>
          <w:szCs w:val="24"/>
          <w:lang w:eastAsia="ru-RU"/>
        </w:rPr>
        <w:t>4) Антагонист витамина К (АВК) – варфарин</w:t>
      </w:r>
      <w:r w:rsidR="00F87EE7" w:rsidRPr="00F87EE7">
        <w:rPr>
          <w:rFonts w:eastAsia="Times New Roman"/>
          <w:szCs w:val="24"/>
          <w:lang w:eastAsia="ru-RU"/>
        </w:rPr>
        <w:t>**</w:t>
      </w:r>
      <w:r>
        <w:rPr>
          <w:rFonts w:eastAsia="Times New Roman"/>
          <w:szCs w:val="24"/>
          <w:lang w:eastAsia="ru-RU"/>
        </w:rPr>
        <w:t xml:space="preserve">. </w:t>
      </w:r>
      <w:r>
        <w:rPr>
          <w:szCs w:val="24"/>
        </w:rPr>
        <w:t>Препарат следует принимать один раз в день в фиксированное время (предпочтительнее вечером) после еды. Доза варфарина</w:t>
      </w:r>
      <w:r w:rsidR="00F87EE7" w:rsidRPr="00F87EE7">
        <w:rPr>
          <w:szCs w:val="24"/>
        </w:rPr>
        <w:t>**</w:t>
      </w:r>
      <w:r>
        <w:rPr>
          <w:szCs w:val="24"/>
        </w:rPr>
        <w:t xml:space="preserve"> корригируется по показателю МНО</w:t>
      </w:r>
      <w:r>
        <w:rPr>
          <w:rFonts w:eastAsia="Times New Roman"/>
          <w:szCs w:val="24"/>
          <w:lang w:eastAsia="ru-RU"/>
        </w:rPr>
        <w:t>. Целевые значения МНО при лечении варфарином составляют 2-2,5. У пациентов с искусственными клапанами сердца МНО на терапии варфарином</w:t>
      </w:r>
      <w:r w:rsidR="00F87EE7" w:rsidRPr="00F87EE7">
        <w:rPr>
          <w:rFonts w:eastAsia="Times New Roman"/>
          <w:szCs w:val="24"/>
          <w:lang w:eastAsia="ru-RU"/>
        </w:rPr>
        <w:t>**</w:t>
      </w:r>
      <w:r>
        <w:rPr>
          <w:rFonts w:eastAsia="Times New Roman"/>
          <w:szCs w:val="24"/>
          <w:lang w:eastAsia="ru-RU"/>
        </w:rPr>
        <w:t xml:space="preserve"> должно составлять 3.0-4.0.</w:t>
      </w:r>
      <w:r>
        <w:rPr>
          <w:rFonts w:ascii="Arial" w:eastAsia="Times New Roman" w:hAnsi="Arial" w:cs="Arial"/>
          <w:color w:val="FF0000"/>
          <w:szCs w:val="24"/>
          <w:lang w:eastAsia="ru-RU"/>
        </w:rPr>
        <w:t xml:space="preserve"> </w:t>
      </w:r>
      <w:r>
        <w:rPr>
          <w:szCs w:val="24"/>
        </w:rPr>
        <w:t>Начальная доза препарата для пациентов, которые ранее не применяли варфарин</w:t>
      </w:r>
      <w:r w:rsidR="00F87EE7" w:rsidRPr="00F87EE7">
        <w:rPr>
          <w:szCs w:val="24"/>
        </w:rPr>
        <w:t>**</w:t>
      </w:r>
      <w:r>
        <w:rPr>
          <w:szCs w:val="24"/>
        </w:rPr>
        <w:t>, составляет 2,5-5,0 мг/сут. Для пациентов, которые ранее применяли варфарин</w:t>
      </w:r>
      <w:r w:rsidR="00F87EE7" w:rsidRPr="00F87EE7">
        <w:rPr>
          <w:szCs w:val="24"/>
        </w:rPr>
        <w:t>**</w:t>
      </w:r>
      <w:r>
        <w:rPr>
          <w:szCs w:val="24"/>
        </w:rPr>
        <w:t>, рекомендуемая стартовая доза составляет двойную дозу известной поддерживающей дозы препарата и назначается в течение первых 2-х дней. В случае необходимости перевода пациента с инъекций НМГ на длительный прием АВК, рекомендуется в течение первых 4-5 дней приема варфарина</w:t>
      </w:r>
      <w:r w:rsidR="00F87EE7" w:rsidRPr="00F87EE7">
        <w:rPr>
          <w:szCs w:val="24"/>
        </w:rPr>
        <w:t>**</w:t>
      </w:r>
      <w:r>
        <w:rPr>
          <w:szCs w:val="24"/>
        </w:rPr>
        <w:t xml:space="preserve"> продолжать инъекции НМГ в профилактической дозе во избежание тромботических осложнений вследствие угнетения активности протеина С АВК. </w:t>
      </w:r>
    </w:p>
    <w:p w14:paraId="7F5D2A42" w14:textId="77777777" w:rsidR="006211DC" w:rsidRDefault="00B37E1F" w:rsidP="006211DC">
      <w:pPr>
        <w:spacing w:before="0" w:after="0"/>
        <w:ind w:firstLine="851"/>
        <w:rPr>
          <w:rFonts w:eastAsia="Times New Roman"/>
          <w:szCs w:val="24"/>
          <w:lang w:eastAsia="ru-RU"/>
        </w:rPr>
      </w:pPr>
      <w:r>
        <w:rPr>
          <w:szCs w:val="24"/>
        </w:rPr>
        <w:t>Первый контроль MHO следует проводить через 24-48 часов после начала приема варфарина</w:t>
      </w:r>
      <w:r w:rsidR="00F87EE7" w:rsidRPr="00F87EE7">
        <w:rPr>
          <w:szCs w:val="24"/>
        </w:rPr>
        <w:t>**</w:t>
      </w:r>
      <w:r>
        <w:rPr>
          <w:szCs w:val="24"/>
        </w:rPr>
        <w:t xml:space="preserve">. На протяжении первой недели определение MHO рекомендуется проводить ежедневно. </w:t>
      </w:r>
      <w:r>
        <w:rPr>
          <w:rFonts w:eastAsia="Times New Roman"/>
          <w:szCs w:val="24"/>
          <w:lang w:eastAsia="ru-RU"/>
        </w:rPr>
        <w:t>Через 3-4 дня одновременного применения варфарина</w:t>
      </w:r>
      <w:r w:rsidR="00F87EE7" w:rsidRPr="00F87EE7">
        <w:rPr>
          <w:rFonts w:eastAsia="Times New Roman"/>
          <w:szCs w:val="24"/>
          <w:lang w:eastAsia="ru-RU"/>
        </w:rPr>
        <w:t>**</w:t>
      </w:r>
      <w:r>
        <w:rPr>
          <w:rFonts w:eastAsia="Times New Roman"/>
          <w:szCs w:val="24"/>
          <w:lang w:eastAsia="ru-RU"/>
        </w:rPr>
        <w:t xml:space="preserve"> и гепарина</w:t>
      </w:r>
      <w:r w:rsidR="00F87EE7" w:rsidRPr="00F87EE7">
        <w:rPr>
          <w:rFonts w:eastAsia="Times New Roman"/>
          <w:szCs w:val="24"/>
          <w:lang w:eastAsia="ru-RU"/>
        </w:rPr>
        <w:t>**</w:t>
      </w:r>
      <w:r>
        <w:rPr>
          <w:rFonts w:eastAsia="Times New Roman"/>
          <w:szCs w:val="24"/>
          <w:lang w:eastAsia="ru-RU"/>
        </w:rPr>
        <w:t xml:space="preserve"> проводят исследование МНО. При достижении МНО 2,0 и более </w:t>
      </w:r>
      <w:r w:rsidR="00F87EE7">
        <w:rPr>
          <w:rFonts w:eastAsia="Times New Roman"/>
          <w:szCs w:val="24"/>
          <w:lang w:eastAsia="ru-RU"/>
        </w:rPr>
        <w:t>–</w:t>
      </w:r>
      <w:r>
        <w:rPr>
          <w:rFonts w:eastAsia="Times New Roman"/>
          <w:szCs w:val="24"/>
          <w:lang w:eastAsia="ru-RU"/>
        </w:rPr>
        <w:t xml:space="preserve"> гепарин</w:t>
      </w:r>
      <w:r w:rsidR="00F87EE7" w:rsidRPr="00F87EE7">
        <w:rPr>
          <w:rFonts w:eastAsia="Times New Roman"/>
          <w:szCs w:val="24"/>
          <w:lang w:eastAsia="ru-RU"/>
        </w:rPr>
        <w:t>**</w:t>
      </w:r>
      <w:r>
        <w:rPr>
          <w:rFonts w:eastAsia="Times New Roman"/>
          <w:szCs w:val="24"/>
          <w:lang w:eastAsia="ru-RU"/>
        </w:rPr>
        <w:t xml:space="preserve"> отменяется. </w:t>
      </w:r>
    </w:p>
    <w:p w14:paraId="70C37455" w14:textId="133693E9" w:rsidR="00B37E1F" w:rsidRDefault="00B37E1F" w:rsidP="006211DC">
      <w:pPr>
        <w:spacing w:before="0" w:after="0"/>
        <w:ind w:firstLine="851"/>
        <w:rPr>
          <w:szCs w:val="24"/>
        </w:rPr>
      </w:pPr>
      <w:r>
        <w:rPr>
          <w:rFonts w:eastAsia="Times New Roman"/>
          <w:szCs w:val="24"/>
          <w:lang w:eastAsia="ru-RU"/>
        </w:rPr>
        <w:t>Если МНО меньше 2,0, то дозу варфарина</w:t>
      </w:r>
      <w:r w:rsidR="00F87EE7" w:rsidRPr="00F87EE7">
        <w:rPr>
          <w:rFonts w:eastAsia="Times New Roman"/>
          <w:szCs w:val="24"/>
          <w:lang w:eastAsia="ru-RU"/>
        </w:rPr>
        <w:t>**</w:t>
      </w:r>
      <w:r>
        <w:rPr>
          <w:rFonts w:eastAsia="Times New Roman"/>
          <w:szCs w:val="24"/>
          <w:lang w:eastAsia="ru-RU"/>
        </w:rPr>
        <w:t xml:space="preserve"> увеличивают на 0,5 таблетки и продолжают одновременные применение варфарина</w:t>
      </w:r>
      <w:r w:rsidR="00F87EE7" w:rsidRPr="00F87EE7">
        <w:rPr>
          <w:rFonts w:eastAsia="Times New Roman"/>
          <w:szCs w:val="24"/>
          <w:lang w:eastAsia="ru-RU"/>
        </w:rPr>
        <w:t xml:space="preserve">** </w:t>
      </w:r>
      <w:r>
        <w:rPr>
          <w:rFonts w:eastAsia="Times New Roman"/>
          <w:szCs w:val="24"/>
          <w:lang w:eastAsia="ru-RU"/>
        </w:rPr>
        <w:t>и гепарина</w:t>
      </w:r>
      <w:r w:rsidR="00F87EE7" w:rsidRPr="00F87EE7">
        <w:rPr>
          <w:rFonts w:eastAsia="Times New Roman"/>
          <w:szCs w:val="24"/>
          <w:lang w:eastAsia="ru-RU"/>
        </w:rPr>
        <w:t>**</w:t>
      </w:r>
      <w:r>
        <w:rPr>
          <w:rFonts w:eastAsia="Times New Roman"/>
          <w:szCs w:val="24"/>
          <w:lang w:eastAsia="ru-RU"/>
        </w:rPr>
        <w:t xml:space="preserve"> в течение 3 дней. Вновь проводят исследование МНО. Если МНО 2,0 и более, то гепарин</w:t>
      </w:r>
      <w:r w:rsidR="00F87EE7" w:rsidRPr="00F87EE7">
        <w:rPr>
          <w:rFonts w:eastAsia="Times New Roman"/>
          <w:szCs w:val="24"/>
          <w:lang w:eastAsia="ru-RU"/>
        </w:rPr>
        <w:t>**</w:t>
      </w:r>
      <w:r>
        <w:rPr>
          <w:rFonts w:eastAsia="Times New Roman"/>
          <w:szCs w:val="24"/>
          <w:lang w:eastAsia="ru-RU"/>
        </w:rPr>
        <w:t xml:space="preserve"> отменяется. </w:t>
      </w:r>
      <w:r>
        <w:rPr>
          <w:szCs w:val="24"/>
        </w:rPr>
        <w:t>Схема подбора дозы варфарина</w:t>
      </w:r>
      <w:r w:rsidR="00F87EE7" w:rsidRPr="00F87EE7">
        <w:rPr>
          <w:szCs w:val="24"/>
        </w:rPr>
        <w:t>**</w:t>
      </w:r>
      <w:r>
        <w:rPr>
          <w:szCs w:val="24"/>
        </w:rPr>
        <w:t xml:space="preserve"> представлена в таблице </w:t>
      </w:r>
      <w:r w:rsidR="00436F47">
        <w:rPr>
          <w:szCs w:val="24"/>
        </w:rPr>
        <w:t>А.3.17</w:t>
      </w:r>
      <w:r>
        <w:rPr>
          <w:szCs w:val="24"/>
        </w:rPr>
        <w:t>. В дальнейшем лабораторный контроль проводят регулярно каждые 4-8 недель</w:t>
      </w:r>
      <w:r w:rsidR="006F2E41">
        <w:fldChar w:fldCharType="begin" w:fldLock="1"/>
      </w:r>
      <w:r w:rsidR="00E430FD">
        <w:instrText>ADDIN CSL_CITATION {"citationItems":[{"id":"ITEM-1","itemData":{"DOI":"10.1182/blood-2006-04-015511","ISSN":"00064971","PMID":"16804111","abstract":"The risk of thrombosis in children with acute lymphoblastic leukemia (ALL) reportedly ranges between 1% and 37%. Epidemiologic studies have usually been hampered by small numbers, making accurate estimates of thrombosis risk in ALL patients very difficult. The aim of this study was to better estimate the frequency of this complication and to define how the disease, its treatment, and the host contribute to its occurrence. We made an attempt to combine and analyze all published data on the association between pediatric ALL and thrombosis, by using a meta-analytic method. The rate of thrombosis in 1752 children from 17 prospective studies was 5.2% (95% CI: 4.2-6.4). The risk varies depending on several factors. Most of the events occurred during the induction phase of therapy. Lower doses of asparaginase (ASP) for long periods were associated with the highest incidence of thrombosis, as were anthracyclines and prednisone (instead of dexamethasone). The presence of central lines and of thrombophilic genetic abnormalities also appeared to be frequently associated with thrombosis. In conclusion, the overall thrombotic risk in ALL children was significant, and the subgroup analysis was able to identify high-risk individuals, a finding that will hopefully guide future prospective studies aimed at decreasing this risk. © 2006 by The American Society of Hematology.","author":[{"dropping-particle":"","family":"Caruso","given":"Vanesa","non-dropping-particle":"","parse-names":false,"suffix":""},{"dropping-particle":"","family":"Iacoviello","given":"Licia","non-dropping-particle":"","parse-names":false,"suffix":""},{"dropping-particle":"","family":"Castelnuovo","given":"Augusto","non-dropping-particle":"Di","parse-names":false,"suffix":""},{"dropping-particle":"","family":"Storti","given":"Sergio","non-dropping-particle":"","parse-names":false,"suffix":""},{"dropping-particle":"","family":"Mariani","given":"Guglielmo","non-dropping-particle":"","parse-names":false,"suffix":""},{"dropping-particle":"","family":"Gaetano","given":"Giovanni","non-dropping-particle":"De","parse-names":false,"suffix":""},{"dropping-particle":"","family":"Donati","given":"Maria Benedetta","non-dropping-particle":"","parse-names":false,"suffix":""}],"container-title":"Blood","id":"ITEM-1","issue":"7","issued":{"date-parts":[["2006","10"]]},"page":"2216-2222","publisher":"American Society of Hematology","title":"Thrombotic complications in childhood acute lymphoblastic leukemia: A meta-analysis of 17 prospective studies comprising 1752 pediatric patients","type":"article-journal","volume":"108"},"uris":["http://www.mendeley.com/documents/?uuid=1c5b088b-1046-41a6-a2a2-1b488227cfa6"]}],"mendeley":{"formattedCitation":"[219]","plainTextFormattedCitation":"[219]","previouslyFormattedCitation":"[219]"},"properties":{"noteIndex":0},"schema":"https://github.com/citation-style-language/schema/raw/master/csl-citation.json"}</w:instrText>
      </w:r>
      <w:r w:rsidR="006F2E41">
        <w:fldChar w:fldCharType="separate"/>
      </w:r>
      <w:r w:rsidR="00E430FD" w:rsidRPr="00E430FD">
        <w:rPr>
          <w:noProof/>
        </w:rPr>
        <w:t>[219]</w:t>
      </w:r>
      <w:r w:rsidR="006F2E41">
        <w:fldChar w:fldCharType="end"/>
      </w:r>
      <w:r>
        <w:rPr>
          <w:szCs w:val="24"/>
        </w:rPr>
        <w:t>.</w:t>
      </w:r>
    </w:p>
    <w:p w14:paraId="75A3ED0B" w14:textId="77777777" w:rsidR="006211DC" w:rsidRDefault="006211DC" w:rsidP="002431B5">
      <w:pPr>
        <w:spacing w:before="0" w:after="0"/>
        <w:rPr>
          <w:b/>
          <w:szCs w:val="24"/>
        </w:rPr>
      </w:pPr>
    </w:p>
    <w:p w14:paraId="2CC9C651" w14:textId="77777777" w:rsidR="006211DC" w:rsidRDefault="006211DC" w:rsidP="002431B5">
      <w:pPr>
        <w:spacing w:before="0" w:after="0"/>
        <w:rPr>
          <w:b/>
          <w:szCs w:val="24"/>
        </w:rPr>
      </w:pPr>
    </w:p>
    <w:p w14:paraId="755A353F" w14:textId="77777777" w:rsidR="006C7FE6" w:rsidRDefault="006C7FE6" w:rsidP="002431B5">
      <w:pPr>
        <w:spacing w:before="0" w:after="0"/>
        <w:rPr>
          <w:b/>
          <w:szCs w:val="24"/>
        </w:rPr>
      </w:pPr>
    </w:p>
    <w:p w14:paraId="63111B4A" w14:textId="77777777" w:rsidR="006C7FE6" w:rsidRDefault="006C7FE6" w:rsidP="002431B5">
      <w:pPr>
        <w:spacing w:before="0" w:after="0"/>
        <w:rPr>
          <w:b/>
          <w:szCs w:val="24"/>
        </w:rPr>
      </w:pPr>
    </w:p>
    <w:p w14:paraId="1552D851" w14:textId="118166C0" w:rsidR="00B37E1F" w:rsidRPr="00BC50A4" w:rsidRDefault="00B37E1F" w:rsidP="002431B5">
      <w:pPr>
        <w:spacing w:before="0" w:after="0"/>
        <w:rPr>
          <w:b/>
          <w:szCs w:val="24"/>
        </w:rPr>
      </w:pPr>
      <w:r w:rsidRPr="00BC50A4">
        <w:rPr>
          <w:b/>
          <w:szCs w:val="24"/>
        </w:rPr>
        <w:lastRenderedPageBreak/>
        <w:t xml:space="preserve">Таблица </w:t>
      </w:r>
      <w:r w:rsidR="00436F47">
        <w:rPr>
          <w:b/>
          <w:szCs w:val="24"/>
        </w:rPr>
        <w:t>А.3.17</w:t>
      </w:r>
      <w:r w:rsidRPr="00BC50A4">
        <w:rPr>
          <w:b/>
          <w:szCs w:val="24"/>
        </w:rPr>
        <w:t xml:space="preserve">. </w:t>
      </w:r>
      <w:r w:rsidRPr="006211DC">
        <w:rPr>
          <w:bCs/>
          <w:szCs w:val="24"/>
        </w:rPr>
        <w:t>Коррекция дозы варфарина</w:t>
      </w:r>
      <w:r w:rsidR="00F87EE7" w:rsidRPr="006211DC">
        <w:rPr>
          <w:bCs/>
          <w:szCs w:val="24"/>
        </w:rPr>
        <w:t>*</w:t>
      </w:r>
      <w:proofErr w:type="gramStart"/>
      <w:r w:rsidR="00F87EE7" w:rsidRPr="006211DC">
        <w:rPr>
          <w:bCs/>
          <w:szCs w:val="24"/>
        </w:rPr>
        <w:t xml:space="preserve">* </w:t>
      </w:r>
      <w:r w:rsidRPr="006211DC">
        <w:rPr>
          <w:bCs/>
          <w:szCs w:val="24"/>
        </w:rPr>
        <w:t xml:space="preserve"> в</w:t>
      </w:r>
      <w:proofErr w:type="gramEnd"/>
      <w:r w:rsidRPr="006211DC">
        <w:rPr>
          <w:bCs/>
          <w:szCs w:val="24"/>
        </w:rPr>
        <w:t xml:space="preserve"> зависимости от МНО</w:t>
      </w:r>
    </w:p>
    <w:tbl>
      <w:tblPr>
        <w:tblStyle w:val="16"/>
        <w:tblW w:w="89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394"/>
        <w:gridCol w:w="4570"/>
      </w:tblGrid>
      <w:tr w:rsidR="00B37E1F" w14:paraId="7F126148" w14:textId="77777777" w:rsidTr="00F87EE7">
        <w:trPr>
          <w:trHeight w:val="374"/>
          <w:tblHeader/>
        </w:trPr>
        <w:tc>
          <w:tcPr>
            <w:tcW w:w="4394" w:type="dxa"/>
            <w:shd w:val="clear" w:color="auto" w:fill="auto"/>
          </w:tcPr>
          <w:p w14:paraId="2641636F" w14:textId="6E0073FD" w:rsidR="00B37E1F" w:rsidRPr="007C4816" w:rsidRDefault="00B37E1F" w:rsidP="002431B5">
            <w:pPr>
              <w:spacing w:before="0" w:after="0"/>
              <w:jc w:val="center"/>
              <w:rPr>
                <w:rFonts w:cs="Times New Roman"/>
                <w:szCs w:val="24"/>
              </w:rPr>
            </w:pPr>
            <w:r w:rsidRPr="007C4816">
              <w:rPr>
                <w:rFonts w:eastAsiaTheme="majorEastAsia" w:cs="Times New Roman"/>
                <w:bCs/>
                <w:szCs w:val="24"/>
              </w:rPr>
              <w:t xml:space="preserve"> </w:t>
            </w:r>
            <w:r>
              <w:rPr>
                <w:rFonts w:eastAsiaTheme="majorEastAsia" w:cs="Times New Roman"/>
                <w:bCs/>
                <w:szCs w:val="24"/>
              </w:rPr>
              <w:t>Дни приема варфарина</w:t>
            </w:r>
            <w:r w:rsidR="00F87EE7">
              <w:rPr>
                <w:rFonts w:eastAsiaTheme="majorEastAsia" w:cs="Times New Roman"/>
                <w:bCs/>
                <w:szCs w:val="24"/>
                <w:lang w:val="en-US"/>
              </w:rPr>
              <w:t>**</w:t>
            </w:r>
            <w:r>
              <w:rPr>
                <w:rFonts w:eastAsiaTheme="majorEastAsia" w:cs="Times New Roman"/>
                <w:bCs/>
                <w:szCs w:val="24"/>
              </w:rPr>
              <w:t xml:space="preserve"> 2-5</w:t>
            </w:r>
          </w:p>
        </w:tc>
        <w:tc>
          <w:tcPr>
            <w:tcW w:w="4570" w:type="dxa"/>
            <w:shd w:val="clear" w:color="auto" w:fill="auto"/>
          </w:tcPr>
          <w:p w14:paraId="35906228" w14:textId="0A9082AB" w:rsidR="00B37E1F" w:rsidRPr="007C4816" w:rsidRDefault="00B37E1F" w:rsidP="002431B5">
            <w:pPr>
              <w:spacing w:before="0" w:after="0"/>
              <w:jc w:val="center"/>
              <w:rPr>
                <w:rFonts w:cs="Times New Roman"/>
                <w:szCs w:val="24"/>
              </w:rPr>
            </w:pPr>
            <w:r w:rsidRPr="007C4816">
              <w:rPr>
                <w:rFonts w:eastAsiaTheme="majorEastAsia" w:cs="Times New Roman"/>
                <w:bCs/>
                <w:szCs w:val="24"/>
              </w:rPr>
              <w:t xml:space="preserve"> </w:t>
            </w:r>
            <w:r>
              <w:rPr>
                <w:rFonts w:eastAsiaTheme="majorEastAsia" w:cs="Times New Roman"/>
                <w:bCs/>
                <w:szCs w:val="24"/>
              </w:rPr>
              <w:t>Дни приема варфарина</w:t>
            </w:r>
            <w:r w:rsidR="00F87EE7" w:rsidRPr="00F87EE7">
              <w:rPr>
                <w:rFonts w:eastAsiaTheme="majorEastAsia" w:cs="Times New Roman"/>
                <w:bCs/>
                <w:szCs w:val="24"/>
              </w:rPr>
              <w:t>**</w:t>
            </w:r>
            <w:r>
              <w:rPr>
                <w:rFonts w:eastAsiaTheme="majorEastAsia" w:cs="Times New Roman"/>
                <w:bCs/>
                <w:szCs w:val="24"/>
              </w:rPr>
              <w:t xml:space="preserve"> 6 и далее</w:t>
            </w:r>
          </w:p>
        </w:tc>
      </w:tr>
      <w:tr w:rsidR="00B37E1F" w14:paraId="0339414E" w14:textId="77777777" w:rsidTr="00B37E1F">
        <w:trPr>
          <w:trHeight w:val="714"/>
        </w:trPr>
        <w:tc>
          <w:tcPr>
            <w:tcW w:w="4394" w:type="dxa"/>
            <w:shd w:val="clear" w:color="auto" w:fill="auto"/>
          </w:tcPr>
          <w:p w14:paraId="7F2B15AB" w14:textId="77777777" w:rsidR="00B37E1F" w:rsidRPr="007C4816" w:rsidRDefault="00B37E1F" w:rsidP="002431B5">
            <w:pPr>
              <w:spacing w:before="0" w:after="0" w:line="240" w:lineRule="auto"/>
              <w:rPr>
                <w:rFonts w:cs="Times New Roman"/>
                <w:szCs w:val="24"/>
              </w:rPr>
            </w:pPr>
            <w:r w:rsidRPr="007C4816">
              <w:rPr>
                <w:rFonts w:eastAsiaTheme="majorEastAsia" w:cs="Times New Roman"/>
                <w:bCs/>
                <w:szCs w:val="24"/>
              </w:rPr>
              <w:t>МНО</w:t>
            </w:r>
            <w:r>
              <w:rPr>
                <w:rFonts w:eastAsiaTheme="majorEastAsia" w:cs="Times New Roman"/>
                <w:bCs/>
                <w:szCs w:val="24"/>
              </w:rPr>
              <w:t xml:space="preserve"> 1.1–</w:t>
            </w:r>
            <w:r w:rsidRPr="007C4816">
              <w:rPr>
                <w:rFonts w:eastAsiaTheme="majorEastAsia" w:cs="Times New Roman"/>
                <w:bCs/>
                <w:szCs w:val="24"/>
              </w:rPr>
              <w:t>1.3 – повторить инициальную дозу</w:t>
            </w:r>
          </w:p>
        </w:tc>
        <w:tc>
          <w:tcPr>
            <w:tcW w:w="4570" w:type="dxa"/>
            <w:shd w:val="clear" w:color="auto" w:fill="auto"/>
          </w:tcPr>
          <w:p w14:paraId="32EB2D65" w14:textId="77777777" w:rsidR="00B37E1F" w:rsidRPr="007C4816" w:rsidRDefault="00B37E1F" w:rsidP="002431B5">
            <w:pPr>
              <w:spacing w:before="0" w:after="0" w:line="240" w:lineRule="auto"/>
              <w:rPr>
                <w:rFonts w:cs="Times New Roman"/>
                <w:szCs w:val="24"/>
              </w:rPr>
            </w:pPr>
            <w:r w:rsidRPr="007C4816">
              <w:rPr>
                <w:rFonts w:eastAsiaTheme="majorEastAsia" w:cs="Times New Roman"/>
                <w:bCs/>
                <w:szCs w:val="24"/>
              </w:rPr>
              <w:t>МНО</w:t>
            </w:r>
            <w:r>
              <w:rPr>
                <w:rFonts w:eastAsiaTheme="majorEastAsia" w:cs="Times New Roman"/>
                <w:bCs/>
                <w:szCs w:val="24"/>
              </w:rPr>
              <w:t xml:space="preserve"> 1.1–</w:t>
            </w:r>
            <w:r w:rsidRPr="007C4816">
              <w:rPr>
                <w:rFonts w:eastAsiaTheme="majorEastAsia" w:cs="Times New Roman"/>
                <w:bCs/>
                <w:szCs w:val="24"/>
              </w:rPr>
              <w:t>1.4 – увеличить дозу на 20%</w:t>
            </w:r>
          </w:p>
        </w:tc>
      </w:tr>
      <w:tr w:rsidR="00B37E1F" w14:paraId="15B9A784" w14:textId="77777777" w:rsidTr="00B37E1F">
        <w:trPr>
          <w:trHeight w:val="515"/>
        </w:trPr>
        <w:tc>
          <w:tcPr>
            <w:tcW w:w="4394" w:type="dxa"/>
            <w:shd w:val="clear" w:color="auto" w:fill="auto"/>
          </w:tcPr>
          <w:p w14:paraId="468AF6FF" w14:textId="77777777" w:rsidR="00B37E1F" w:rsidRPr="007C4816" w:rsidRDefault="00B37E1F" w:rsidP="002431B5">
            <w:pPr>
              <w:spacing w:before="0" w:after="0" w:line="240" w:lineRule="auto"/>
              <w:rPr>
                <w:rFonts w:cs="Times New Roman"/>
                <w:szCs w:val="24"/>
              </w:rPr>
            </w:pPr>
            <w:r w:rsidRPr="007C4816">
              <w:rPr>
                <w:rFonts w:eastAsiaTheme="majorEastAsia" w:cs="Times New Roman"/>
                <w:bCs/>
                <w:szCs w:val="24"/>
              </w:rPr>
              <w:t>МНО 1.4–1.9 – 50% инициальной дозы</w:t>
            </w:r>
          </w:p>
        </w:tc>
        <w:tc>
          <w:tcPr>
            <w:tcW w:w="4570" w:type="dxa"/>
            <w:shd w:val="clear" w:color="auto" w:fill="auto"/>
          </w:tcPr>
          <w:p w14:paraId="5C326E2D" w14:textId="77777777" w:rsidR="00B37E1F" w:rsidRPr="007C4816" w:rsidRDefault="00B37E1F" w:rsidP="002431B5">
            <w:pPr>
              <w:spacing w:before="0" w:after="0" w:line="240" w:lineRule="auto"/>
              <w:rPr>
                <w:rFonts w:cs="Times New Roman"/>
                <w:szCs w:val="24"/>
              </w:rPr>
            </w:pPr>
            <w:r w:rsidRPr="007C4816">
              <w:rPr>
                <w:rFonts w:eastAsiaTheme="majorEastAsia" w:cs="Times New Roman"/>
                <w:bCs/>
                <w:szCs w:val="24"/>
              </w:rPr>
              <w:t xml:space="preserve">МНО </w:t>
            </w:r>
            <w:r>
              <w:rPr>
                <w:rFonts w:eastAsiaTheme="majorEastAsia" w:cs="Times New Roman"/>
                <w:bCs/>
                <w:szCs w:val="24"/>
              </w:rPr>
              <w:t>1.5–</w:t>
            </w:r>
            <w:r w:rsidRPr="007C4816">
              <w:rPr>
                <w:rFonts w:eastAsiaTheme="majorEastAsia" w:cs="Times New Roman"/>
                <w:bCs/>
                <w:szCs w:val="24"/>
              </w:rPr>
              <w:t>1.9 – увеличить дозу на 10%</w:t>
            </w:r>
          </w:p>
        </w:tc>
      </w:tr>
      <w:tr w:rsidR="00B37E1F" w14:paraId="06346714" w14:textId="77777777" w:rsidTr="00B37E1F">
        <w:trPr>
          <w:trHeight w:val="539"/>
        </w:trPr>
        <w:tc>
          <w:tcPr>
            <w:tcW w:w="4394" w:type="dxa"/>
            <w:shd w:val="clear" w:color="auto" w:fill="auto"/>
          </w:tcPr>
          <w:p w14:paraId="0E5C2D67" w14:textId="77777777" w:rsidR="00B37E1F" w:rsidRPr="007C4816" w:rsidRDefault="00B37E1F" w:rsidP="002431B5">
            <w:pPr>
              <w:spacing w:before="0" w:after="0" w:line="240" w:lineRule="auto"/>
              <w:rPr>
                <w:rFonts w:cs="Times New Roman"/>
                <w:szCs w:val="24"/>
              </w:rPr>
            </w:pPr>
            <w:r w:rsidRPr="007C4816">
              <w:rPr>
                <w:rFonts w:eastAsiaTheme="majorEastAsia" w:cs="Times New Roman"/>
                <w:bCs/>
                <w:szCs w:val="24"/>
              </w:rPr>
              <w:t xml:space="preserve">МНО </w:t>
            </w:r>
            <w:r>
              <w:rPr>
                <w:rFonts w:eastAsiaTheme="majorEastAsia" w:cs="Times New Roman"/>
                <w:bCs/>
                <w:szCs w:val="24"/>
              </w:rPr>
              <w:t>2.0</w:t>
            </w:r>
            <w:r w:rsidRPr="007C4816">
              <w:rPr>
                <w:rFonts w:eastAsiaTheme="majorEastAsia" w:cs="Times New Roman"/>
                <w:bCs/>
                <w:szCs w:val="24"/>
              </w:rPr>
              <w:t>–3.0 – 50% инициальной дозы</w:t>
            </w:r>
          </w:p>
        </w:tc>
        <w:tc>
          <w:tcPr>
            <w:tcW w:w="4570" w:type="dxa"/>
            <w:shd w:val="clear" w:color="auto" w:fill="auto"/>
          </w:tcPr>
          <w:p w14:paraId="01466F9C" w14:textId="77777777" w:rsidR="00B37E1F" w:rsidRPr="007C4816" w:rsidRDefault="00B37E1F" w:rsidP="002431B5">
            <w:pPr>
              <w:spacing w:before="0" w:after="0" w:line="240" w:lineRule="auto"/>
              <w:rPr>
                <w:rFonts w:cs="Times New Roman"/>
                <w:szCs w:val="24"/>
              </w:rPr>
            </w:pPr>
            <w:r w:rsidRPr="007C4816">
              <w:rPr>
                <w:rFonts w:eastAsiaTheme="majorEastAsia" w:cs="Times New Roman"/>
                <w:bCs/>
                <w:szCs w:val="24"/>
              </w:rPr>
              <w:t xml:space="preserve">МНО </w:t>
            </w:r>
            <w:r>
              <w:rPr>
                <w:rFonts w:eastAsiaTheme="majorEastAsia" w:cs="Times New Roman"/>
                <w:bCs/>
                <w:szCs w:val="24"/>
              </w:rPr>
              <w:t>2.0</w:t>
            </w:r>
            <w:r w:rsidRPr="007C4816">
              <w:rPr>
                <w:rFonts w:eastAsiaTheme="majorEastAsia" w:cs="Times New Roman"/>
                <w:bCs/>
                <w:szCs w:val="24"/>
              </w:rPr>
              <w:t>–3.0 – продолжать без изменений</w:t>
            </w:r>
          </w:p>
        </w:tc>
      </w:tr>
      <w:tr w:rsidR="00B37E1F" w14:paraId="3087DB4A" w14:textId="77777777" w:rsidTr="00B37E1F">
        <w:trPr>
          <w:trHeight w:val="437"/>
        </w:trPr>
        <w:tc>
          <w:tcPr>
            <w:tcW w:w="4394" w:type="dxa"/>
            <w:shd w:val="clear" w:color="auto" w:fill="auto"/>
          </w:tcPr>
          <w:p w14:paraId="23630E9C" w14:textId="77777777" w:rsidR="00B37E1F" w:rsidRPr="007C4816" w:rsidRDefault="00B37E1F" w:rsidP="002431B5">
            <w:pPr>
              <w:spacing w:before="0" w:after="0" w:line="240" w:lineRule="auto"/>
              <w:rPr>
                <w:rFonts w:cs="Times New Roman"/>
                <w:szCs w:val="24"/>
              </w:rPr>
            </w:pPr>
            <w:r w:rsidRPr="007C4816">
              <w:rPr>
                <w:rFonts w:eastAsiaTheme="majorEastAsia" w:cs="Times New Roman"/>
                <w:bCs/>
                <w:szCs w:val="24"/>
              </w:rPr>
              <w:t>МНО 3.1–3.5 – 25% инициальной дозы</w:t>
            </w:r>
          </w:p>
        </w:tc>
        <w:tc>
          <w:tcPr>
            <w:tcW w:w="4570" w:type="dxa"/>
            <w:shd w:val="clear" w:color="auto" w:fill="auto"/>
          </w:tcPr>
          <w:p w14:paraId="2A343952" w14:textId="77777777" w:rsidR="00B37E1F" w:rsidRPr="007C4816" w:rsidRDefault="00B37E1F" w:rsidP="002431B5">
            <w:pPr>
              <w:spacing w:before="0" w:after="0" w:line="240" w:lineRule="auto"/>
              <w:rPr>
                <w:rFonts w:cs="Times New Roman"/>
                <w:szCs w:val="24"/>
              </w:rPr>
            </w:pPr>
            <w:r w:rsidRPr="007C4816">
              <w:rPr>
                <w:rFonts w:eastAsiaTheme="majorEastAsia" w:cs="Times New Roman"/>
                <w:bCs/>
                <w:szCs w:val="24"/>
              </w:rPr>
              <w:t xml:space="preserve">МНО </w:t>
            </w:r>
            <w:r>
              <w:rPr>
                <w:rFonts w:eastAsiaTheme="majorEastAsia" w:cs="Times New Roman"/>
                <w:bCs/>
                <w:szCs w:val="24"/>
              </w:rPr>
              <w:t>3.1–</w:t>
            </w:r>
            <w:r w:rsidRPr="007C4816">
              <w:rPr>
                <w:rFonts w:eastAsiaTheme="majorEastAsia" w:cs="Times New Roman"/>
                <w:bCs/>
                <w:szCs w:val="24"/>
              </w:rPr>
              <w:t>3.5 – уменьшить дозу на 10%</w:t>
            </w:r>
          </w:p>
        </w:tc>
      </w:tr>
      <w:tr w:rsidR="00B37E1F" w14:paraId="4F543EAC" w14:textId="77777777" w:rsidTr="00B37E1F">
        <w:trPr>
          <w:trHeight w:val="565"/>
        </w:trPr>
        <w:tc>
          <w:tcPr>
            <w:tcW w:w="4394" w:type="dxa"/>
            <w:vMerge w:val="restart"/>
            <w:shd w:val="clear" w:color="auto" w:fill="auto"/>
          </w:tcPr>
          <w:p w14:paraId="66F47591" w14:textId="77777777" w:rsidR="00B37E1F" w:rsidRPr="007C4816" w:rsidRDefault="00B37E1F" w:rsidP="002431B5">
            <w:pPr>
              <w:spacing w:before="0" w:after="0" w:line="240" w:lineRule="auto"/>
              <w:rPr>
                <w:rFonts w:cs="Times New Roman"/>
                <w:szCs w:val="24"/>
              </w:rPr>
            </w:pPr>
            <w:proofErr w:type="gramStart"/>
            <w:r w:rsidRPr="007C4816">
              <w:rPr>
                <w:rFonts w:eastAsiaTheme="majorEastAsia" w:cs="Times New Roman"/>
                <w:bCs/>
                <w:szCs w:val="24"/>
              </w:rPr>
              <w:t>МНО &gt;</w:t>
            </w:r>
            <w:proofErr w:type="gramEnd"/>
            <w:r w:rsidRPr="007C4816">
              <w:rPr>
                <w:rFonts w:eastAsiaTheme="majorEastAsia" w:cs="Times New Roman"/>
                <w:bCs/>
                <w:szCs w:val="24"/>
                <w:lang w:val="pl-PL"/>
              </w:rPr>
              <w:t xml:space="preserve"> 3</w:t>
            </w:r>
            <w:r w:rsidRPr="007C4816">
              <w:rPr>
                <w:rFonts w:eastAsiaTheme="majorEastAsia" w:cs="Times New Roman"/>
                <w:bCs/>
                <w:szCs w:val="24"/>
              </w:rPr>
              <w:t xml:space="preserve">.5 – пауза до тех пор, пока МНО не станет &lt; 3.5, затем начать повторный прием </w:t>
            </w:r>
            <w:r>
              <w:rPr>
                <w:rFonts w:eastAsiaTheme="majorEastAsia" w:cs="Times New Roman"/>
                <w:bCs/>
                <w:szCs w:val="24"/>
              </w:rPr>
              <w:t>50% предшествующей дозы</w:t>
            </w:r>
          </w:p>
          <w:p w14:paraId="4B4F2F67" w14:textId="77777777" w:rsidR="00B37E1F" w:rsidRPr="007C4816" w:rsidRDefault="00B37E1F" w:rsidP="002431B5">
            <w:pPr>
              <w:spacing w:before="0" w:after="0"/>
              <w:jc w:val="center"/>
              <w:rPr>
                <w:rFonts w:cs="Times New Roman"/>
                <w:szCs w:val="24"/>
              </w:rPr>
            </w:pPr>
          </w:p>
        </w:tc>
        <w:tc>
          <w:tcPr>
            <w:tcW w:w="4570" w:type="dxa"/>
            <w:shd w:val="clear" w:color="auto" w:fill="auto"/>
          </w:tcPr>
          <w:p w14:paraId="37DA5DFB" w14:textId="77777777" w:rsidR="00B37E1F" w:rsidRPr="007C4816" w:rsidRDefault="00B37E1F" w:rsidP="002431B5">
            <w:pPr>
              <w:spacing w:before="0" w:after="0" w:line="240" w:lineRule="auto"/>
              <w:rPr>
                <w:rFonts w:cs="Times New Roman"/>
                <w:szCs w:val="24"/>
              </w:rPr>
            </w:pPr>
            <w:r w:rsidRPr="007C4816">
              <w:rPr>
                <w:rFonts w:eastAsiaTheme="majorEastAsia" w:cs="Times New Roman"/>
                <w:bCs/>
                <w:szCs w:val="24"/>
              </w:rPr>
              <w:t xml:space="preserve">МНО </w:t>
            </w:r>
            <w:r>
              <w:rPr>
                <w:rFonts w:eastAsiaTheme="majorEastAsia" w:cs="Times New Roman"/>
                <w:bCs/>
                <w:szCs w:val="24"/>
              </w:rPr>
              <w:t>3.6</w:t>
            </w:r>
            <w:r w:rsidRPr="007C4816">
              <w:rPr>
                <w:rFonts w:eastAsiaTheme="majorEastAsia" w:cs="Times New Roman"/>
                <w:bCs/>
                <w:szCs w:val="24"/>
              </w:rPr>
              <w:t>–4.0 – однократно 50% дозы, затем в уменьшенной на 20%</w:t>
            </w:r>
            <w:r>
              <w:rPr>
                <w:rFonts w:eastAsiaTheme="majorEastAsia" w:cs="Times New Roman"/>
                <w:bCs/>
                <w:szCs w:val="24"/>
              </w:rPr>
              <w:t xml:space="preserve"> дозе</w:t>
            </w:r>
          </w:p>
        </w:tc>
      </w:tr>
      <w:tr w:rsidR="00B37E1F" w14:paraId="066B8825" w14:textId="77777777" w:rsidTr="00B37E1F">
        <w:trPr>
          <w:trHeight w:val="755"/>
        </w:trPr>
        <w:tc>
          <w:tcPr>
            <w:tcW w:w="4394" w:type="dxa"/>
            <w:vMerge/>
            <w:shd w:val="clear" w:color="auto" w:fill="auto"/>
          </w:tcPr>
          <w:p w14:paraId="6DF53A2D" w14:textId="77777777" w:rsidR="00B37E1F" w:rsidRPr="007C4816" w:rsidRDefault="00B37E1F" w:rsidP="002431B5">
            <w:pPr>
              <w:spacing w:before="0" w:after="0"/>
              <w:jc w:val="center"/>
              <w:rPr>
                <w:rFonts w:eastAsiaTheme="majorEastAsia" w:cs="Times New Roman"/>
                <w:bCs/>
                <w:szCs w:val="24"/>
              </w:rPr>
            </w:pPr>
          </w:p>
        </w:tc>
        <w:tc>
          <w:tcPr>
            <w:tcW w:w="4570" w:type="dxa"/>
            <w:shd w:val="clear" w:color="auto" w:fill="auto"/>
          </w:tcPr>
          <w:p w14:paraId="73C5CD8D" w14:textId="77777777" w:rsidR="00B37E1F" w:rsidRPr="007C4816" w:rsidRDefault="00B37E1F" w:rsidP="002431B5">
            <w:pPr>
              <w:spacing w:before="0" w:after="0" w:line="240" w:lineRule="auto"/>
              <w:rPr>
                <w:rFonts w:cs="Times New Roman"/>
                <w:szCs w:val="24"/>
              </w:rPr>
            </w:pPr>
            <w:proofErr w:type="gramStart"/>
            <w:r w:rsidRPr="007C4816">
              <w:rPr>
                <w:rFonts w:eastAsiaTheme="majorEastAsia" w:cs="Times New Roman"/>
                <w:bCs/>
                <w:szCs w:val="24"/>
              </w:rPr>
              <w:t>МНО &gt;</w:t>
            </w:r>
            <w:proofErr w:type="gramEnd"/>
            <w:r w:rsidRPr="007C4816">
              <w:rPr>
                <w:rFonts w:eastAsiaTheme="majorEastAsia" w:cs="Times New Roman"/>
                <w:bCs/>
                <w:szCs w:val="24"/>
              </w:rPr>
              <w:t xml:space="preserve"> 4.0 пауза до тех пор, пока МНО не станет &lt; 3.5, затем начать повторный прием (25% предшествующей дозы)</w:t>
            </w:r>
          </w:p>
        </w:tc>
      </w:tr>
    </w:tbl>
    <w:p w14:paraId="0E8C3802" w14:textId="1FA73137" w:rsidR="00B37E1F" w:rsidRDefault="00B37E1F" w:rsidP="008A2329">
      <w:pPr>
        <w:spacing w:before="0" w:after="0"/>
        <w:ind w:firstLine="567"/>
        <w:rPr>
          <w:rFonts w:eastAsia="Times New Roman"/>
          <w:szCs w:val="24"/>
          <w:lang w:eastAsia="ru-RU"/>
        </w:rPr>
      </w:pPr>
      <w:r>
        <w:rPr>
          <w:rFonts w:eastAsia="Times New Roman"/>
          <w:szCs w:val="24"/>
          <w:lang w:eastAsia="ru-RU"/>
        </w:rPr>
        <w:t>В случае если при лечении варфарином появляется патологическая кровоточивость, необходимо определить протромбин по Квику (МНО), отменить варфарин</w:t>
      </w:r>
      <w:r w:rsidR="00F87EE7" w:rsidRPr="00F87EE7">
        <w:rPr>
          <w:rFonts w:eastAsia="Times New Roman"/>
          <w:szCs w:val="24"/>
          <w:lang w:eastAsia="ru-RU"/>
        </w:rPr>
        <w:t>**</w:t>
      </w:r>
      <w:r>
        <w:rPr>
          <w:rFonts w:eastAsia="Times New Roman"/>
          <w:szCs w:val="24"/>
          <w:lang w:eastAsia="ru-RU"/>
        </w:rPr>
        <w:t xml:space="preserve">. В лечении тяжелых варфариновых кровотечений используются: концентраты протромбинового комплекса или свежезамороженная плазма (СЗП). </w:t>
      </w:r>
    </w:p>
    <w:p w14:paraId="344D6025" w14:textId="77777777" w:rsidR="00B37E1F" w:rsidRDefault="00B37E1F" w:rsidP="008A2329">
      <w:pPr>
        <w:spacing w:before="0" w:after="0"/>
        <w:ind w:firstLine="567"/>
        <w:rPr>
          <w:szCs w:val="24"/>
        </w:rPr>
      </w:pPr>
      <w:r>
        <w:rPr>
          <w:szCs w:val="24"/>
        </w:rPr>
        <w:t>Перевод пациентов с парентеральных препаратов на прямые пероральные антитромботические средства может производиться по следующему алгоритму:</w:t>
      </w:r>
    </w:p>
    <w:p w14:paraId="176E46DB" w14:textId="77777777" w:rsidR="00B37E1F" w:rsidRDefault="00B37E1F" w:rsidP="0024404E">
      <w:pPr>
        <w:pStyle w:val="a6"/>
        <w:numPr>
          <w:ilvl w:val="0"/>
          <w:numId w:val="74"/>
        </w:numPr>
        <w:tabs>
          <w:tab w:val="left" w:pos="284"/>
        </w:tabs>
        <w:spacing w:before="0" w:after="0"/>
        <w:ind w:left="0" w:firstLine="0"/>
        <w:rPr>
          <w:szCs w:val="24"/>
        </w:rPr>
      </w:pPr>
      <w:r>
        <w:rPr>
          <w:szCs w:val="24"/>
        </w:rPr>
        <w:t>лечение прямыми пероральными антикоагулянтами должно быть начато за 0-2 часа до следующего планового введения парентерального антикоагулянта;</w:t>
      </w:r>
    </w:p>
    <w:p w14:paraId="7CA10A1C" w14:textId="6A171074" w:rsidR="00B37E1F" w:rsidRDefault="00B37E1F" w:rsidP="0024404E">
      <w:pPr>
        <w:pStyle w:val="a6"/>
        <w:numPr>
          <w:ilvl w:val="0"/>
          <w:numId w:val="74"/>
        </w:numPr>
        <w:tabs>
          <w:tab w:val="left" w:pos="284"/>
        </w:tabs>
        <w:spacing w:before="0" w:after="0"/>
        <w:ind w:left="0" w:firstLine="0"/>
        <w:rPr>
          <w:szCs w:val="24"/>
        </w:rPr>
      </w:pPr>
      <w:r>
        <w:rPr>
          <w:szCs w:val="24"/>
        </w:rPr>
        <w:t>замена введения очередной дозы парентерального препарата приемом дозы перорального антикоагулянта для НМГ и фондапаринукса – через 24 часа, для НФГ – через 8 часов (для ривароксабана</w:t>
      </w:r>
      <w:r w:rsidR="00F87EE7" w:rsidRPr="00F87EE7">
        <w:rPr>
          <w:szCs w:val="24"/>
        </w:rPr>
        <w:t>**</w:t>
      </w:r>
      <w:r>
        <w:rPr>
          <w:szCs w:val="24"/>
        </w:rPr>
        <w:t xml:space="preserve"> – прием пероральной формы сразу после отмены НФГ).</w:t>
      </w:r>
    </w:p>
    <w:p w14:paraId="490DCA1C" w14:textId="77777777" w:rsidR="00B37E1F" w:rsidRDefault="00B37E1F" w:rsidP="008A2329">
      <w:pPr>
        <w:tabs>
          <w:tab w:val="left" w:pos="284"/>
        </w:tabs>
        <w:spacing w:before="0" w:after="0"/>
        <w:rPr>
          <w:rFonts w:eastAsia="Times New Roman"/>
          <w:szCs w:val="24"/>
          <w:lang w:eastAsia="ru-RU"/>
        </w:rPr>
      </w:pPr>
      <w:r>
        <w:rPr>
          <w:rFonts w:eastAsia="Times New Roman"/>
          <w:szCs w:val="24"/>
          <w:lang w:eastAsia="ru-RU"/>
        </w:rPr>
        <w:t xml:space="preserve">Препараты АВК и ПОАК можно использовать в виде монотерапии для профилактики тромботических нарушений </w:t>
      </w:r>
      <w:proofErr w:type="gramStart"/>
      <w:r>
        <w:rPr>
          <w:rFonts w:eastAsia="Times New Roman"/>
          <w:szCs w:val="24"/>
          <w:lang w:eastAsia="ru-RU"/>
        </w:rPr>
        <w:t>во время</w:t>
      </w:r>
      <w:proofErr w:type="gramEnd"/>
      <w:r>
        <w:rPr>
          <w:rFonts w:eastAsia="Times New Roman"/>
          <w:szCs w:val="24"/>
          <w:lang w:eastAsia="ru-RU"/>
        </w:rPr>
        <w:t xml:space="preserve"> ХТ и других видов специфического лечения.</w:t>
      </w:r>
    </w:p>
    <w:p w14:paraId="310F6A44" w14:textId="77777777" w:rsidR="00B37E1F" w:rsidRDefault="00B37E1F" w:rsidP="008A2329">
      <w:pPr>
        <w:tabs>
          <w:tab w:val="left" w:pos="284"/>
        </w:tabs>
        <w:spacing w:before="0" w:after="0"/>
        <w:rPr>
          <w:szCs w:val="24"/>
        </w:rPr>
      </w:pPr>
      <w:r>
        <w:rPr>
          <w:szCs w:val="24"/>
        </w:rPr>
        <w:t>В настоящее время перевод пациентов с приема пероральных антикоагулянтов к парентеральному введению антикоагулянтов осуществляется по следующему алгоритму:</w:t>
      </w:r>
    </w:p>
    <w:p w14:paraId="376C813B" w14:textId="666DF400" w:rsidR="00B37E1F" w:rsidRDefault="00B37E1F" w:rsidP="0024404E">
      <w:pPr>
        <w:pStyle w:val="a6"/>
        <w:numPr>
          <w:ilvl w:val="0"/>
          <w:numId w:val="75"/>
        </w:numPr>
        <w:tabs>
          <w:tab w:val="left" w:pos="284"/>
        </w:tabs>
        <w:spacing w:before="0" w:after="0"/>
        <w:ind w:left="0" w:firstLine="0"/>
        <w:rPr>
          <w:szCs w:val="24"/>
        </w:rPr>
      </w:pPr>
      <w:r>
        <w:rPr>
          <w:szCs w:val="24"/>
        </w:rPr>
        <w:t>для дабигатрана этексилата</w:t>
      </w:r>
      <w:r w:rsidR="00F87EE7" w:rsidRPr="00F87EE7">
        <w:rPr>
          <w:szCs w:val="24"/>
        </w:rPr>
        <w:t>**</w:t>
      </w:r>
      <w:r>
        <w:rPr>
          <w:szCs w:val="24"/>
        </w:rPr>
        <w:t xml:space="preserve"> или ривароксабана</w:t>
      </w:r>
      <w:r w:rsidR="00F87EE7" w:rsidRPr="00F87EE7">
        <w:rPr>
          <w:szCs w:val="24"/>
        </w:rPr>
        <w:t>**</w:t>
      </w:r>
      <w:r>
        <w:rPr>
          <w:szCs w:val="24"/>
        </w:rPr>
        <w:t xml:space="preserve"> необходим перерыв 24 часа с приема последней дозы, после чего нужно ввести парентеральный антикоагулянт;</w:t>
      </w:r>
    </w:p>
    <w:p w14:paraId="58A675B2" w14:textId="7D276B88" w:rsidR="00B37E1F" w:rsidRDefault="00B37E1F" w:rsidP="0024404E">
      <w:pPr>
        <w:pStyle w:val="a6"/>
        <w:numPr>
          <w:ilvl w:val="0"/>
          <w:numId w:val="75"/>
        </w:numPr>
        <w:tabs>
          <w:tab w:val="left" w:pos="284"/>
        </w:tabs>
        <w:spacing w:before="0" w:after="0"/>
        <w:ind w:left="0" w:firstLine="0"/>
        <w:rPr>
          <w:szCs w:val="24"/>
        </w:rPr>
      </w:pPr>
      <w:r>
        <w:rPr>
          <w:szCs w:val="24"/>
        </w:rPr>
        <w:t>для апиксабана</w:t>
      </w:r>
      <w:r w:rsidR="00F87EE7" w:rsidRPr="00F87EE7">
        <w:rPr>
          <w:szCs w:val="24"/>
        </w:rPr>
        <w:t>**</w:t>
      </w:r>
      <w:r>
        <w:rPr>
          <w:szCs w:val="24"/>
        </w:rPr>
        <w:t xml:space="preserve"> – выждать 12 часов с приема последней дозы и ввести парентеральный антикоагулянт.</w:t>
      </w:r>
    </w:p>
    <w:p w14:paraId="76975A7F" w14:textId="2789E449" w:rsidR="00B37E1F" w:rsidRDefault="00B37E1F" w:rsidP="008A2329">
      <w:pPr>
        <w:widowControl w:val="0"/>
        <w:spacing w:before="0" w:after="0"/>
        <w:ind w:firstLine="567"/>
        <w:rPr>
          <w:szCs w:val="24"/>
        </w:rPr>
      </w:pPr>
      <w:r>
        <w:rPr>
          <w:szCs w:val="24"/>
        </w:rPr>
        <w:t>У больных множественной миеломой фактором риска развития ВТЭО является лечение с использованием дексаметазона</w:t>
      </w:r>
      <w:r w:rsidR="00F87EE7" w:rsidRPr="00F87EE7">
        <w:rPr>
          <w:szCs w:val="24"/>
        </w:rPr>
        <w:t>**</w:t>
      </w:r>
      <w:r>
        <w:rPr>
          <w:szCs w:val="24"/>
        </w:rPr>
        <w:t>, леналидомида</w:t>
      </w:r>
      <w:r w:rsidR="00F87EE7" w:rsidRPr="00F87EE7">
        <w:rPr>
          <w:szCs w:val="24"/>
        </w:rPr>
        <w:t>**</w:t>
      </w:r>
      <w:r>
        <w:rPr>
          <w:szCs w:val="24"/>
        </w:rPr>
        <w:t>, преднизолона</w:t>
      </w:r>
      <w:r w:rsidR="00F87EE7" w:rsidRPr="00F87EE7">
        <w:rPr>
          <w:szCs w:val="24"/>
        </w:rPr>
        <w:t>**</w:t>
      </w:r>
      <w:r>
        <w:rPr>
          <w:szCs w:val="24"/>
        </w:rPr>
        <w:t>. Частота ВТЭО при терапии леналидомидом</w:t>
      </w:r>
      <w:r w:rsidR="00F87EE7" w:rsidRPr="00F87EE7">
        <w:rPr>
          <w:szCs w:val="24"/>
        </w:rPr>
        <w:t>**</w:t>
      </w:r>
      <w:r>
        <w:rPr>
          <w:szCs w:val="24"/>
        </w:rPr>
        <w:t xml:space="preserve"> составляла 3%, а комбинация леналидомида</w:t>
      </w:r>
      <w:r w:rsidR="00F87EE7" w:rsidRPr="00F87EE7">
        <w:rPr>
          <w:szCs w:val="24"/>
        </w:rPr>
        <w:t>**</w:t>
      </w:r>
      <w:r>
        <w:rPr>
          <w:szCs w:val="24"/>
        </w:rPr>
        <w:t xml:space="preserve"> и дексаметазона</w:t>
      </w:r>
      <w:r w:rsidR="00F87EE7" w:rsidRPr="00F87EE7">
        <w:rPr>
          <w:szCs w:val="24"/>
        </w:rPr>
        <w:t>**</w:t>
      </w:r>
      <w:r>
        <w:rPr>
          <w:szCs w:val="24"/>
        </w:rPr>
        <w:t xml:space="preserve"> повышала частоту ВТЭО до 75%. Увеличивает частоту ВТЭО до 5-23% </w:t>
      </w:r>
      <w:r>
        <w:rPr>
          <w:szCs w:val="24"/>
        </w:rPr>
        <w:lastRenderedPageBreak/>
        <w:t>сопутствующая терапия эритропоэтином</w:t>
      </w:r>
      <w:r w:rsidR="00F87EE7" w:rsidRPr="00F87EE7">
        <w:rPr>
          <w:szCs w:val="24"/>
        </w:rPr>
        <w:t>**</w:t>
      </w:r>
      <w:r>
        <w:rPr>
          <w:szCs w:val="24"/>
        </w:rPr>
        <w:t>, особенно если она проводится у больных, получающих леналидомид</w:t>
      </w:r>
      <w:r w:rsidR="00F87EE7" w:rsidRPr="00F87EE7">
        <w:rPr>
          <w:szCs w:val="24"/>
        </w:rPr>
        <w:t>**</w:t>
      </w:r>
      <w:r>
        <w:rPr>
          <w:szCs w:val="24"/>
        </w:rPr>
        <w:t xml:space="preserve"> и дексаметазон</w:t>
      </w:r>
      <w:r w:rsidR="00F87EE7" w:rsidRPr="00F87EE7">
        <w:rPr>
          <w:szCs w:val="24"/>
        </w:rPr>
        <w:t>**</w:t>
      </w:r>
      <w:r>
        <w:rPr>
          <w:szCs w:val="24"/>
        </w:rPr>
        <w:t xml:space="preserve">. Наличие ВТЭО у больных ММ ассоциируется с летальностью, следовательно, проведение профилактики ВТЭО способствует улучшению прогноза. </w:t>
      </w:r>
    </w:p>
    <w:p w14:paraId="2777B16B" w14:textId="77777777" w:rsidR="00B37E1F" w:rsidRDefault="00B37E1F" w:rsidP="008A2329">
      <w:pPr>
        <w:widowControl w:val="0"/>
        <w:spacing w:before="0" w:after="0"/>
        <w:ind w:firstLine="567"/>
        <w:rPr>
          <w:szCs w:val="24"/>
        </w:rPr>
      </w:pPr>
      <w:r>
        <w:rPr>
          <w:szCs w:val="24"/>
        </w:rPr>
        <w:t>Помимо ХТ причиной возникновения ВТЭО у больных ММ являются нарушения ритма сердца, гипервязкость крови и плазмы, гиперкальциемия, гиперфибриногенемия.</w:t>
      </w:r>
    </w:p>
    <w:p w14:paraId="35DE2320" w14:textId="02E26929" w:rsidR="00B37E1F" w:rsidRDefault="00B37E1F" w:rsidP="008A2329">
      <w:pPr>
        <w:spacing w:before="0" w:after="0"/>
        <w:ind w:firstLine="567"/>
        <w:rPr>
          <w:szCs w:val="24"/>
        </w:rPr>
      </w:pPr>
      <w:r>
        <w:rPr>
          <w:szCs w:val="24"/>
        </w:rPr>
        <w:t>При ММ, согласно консенсусному решению Международной рабочей группы по изучению миеломы (International Myeloma Work Group - IMWG), необходимость в проведении профилактики ВТЭО определяется факторами индивидуального риска: ожирение, тромбозы в анамнезе, наличие центрального венозного катетера, кардиостимулятора, иммобилизация, хирургическое вмешательство, коморбидность, гиперкоагуляция, применение эритропоэтина</w:t>
      </w:r>
      <w:r w:rsidR="00F87EE7" w:rsidRPr="00F87EE7">
        <w:rPr>
          <w:szCs w:val="24"/>
        </w:rPr>
        <w:t>**</w:t>
      </w:r>
      <w:r>
        <w:rPr>
          <w:szCs w:val="24"/>
        </w:rPr>
        <w:t>, применение дексаметазона</w:t>
      </w:r>
      <w:r w:rsidR="00F87EE7" w:rsidRPr="00F87EE7">
        <w:rPr>
          <w:szCs w:val="24"/>
        </w:rPr>
        <w:t>**</w:t>
      </w:r>
      <w:r>
        <w:rPr>
          <w:szCs w:val="24"/>
        </w:rPr>
        <w:t>, доксорубицина</w:t>
      </w:r>
      <w:r w:rsidR="00F87EE7" w:rsidRPr="00F87EE7">
        <w:rPr>
          <w:szCs w:val="24"/>
        </w:rPr>
        <w:t>**</w:t>
      </w:r>
      <w:r>
        <w:rPr>
          <w:szCs w:val="24"/>
        </w:rPr>
        <w:t>. Для профилактики ВТЭО у больных без факторов риска или с одним фактором риска возможно применение а</w:t>
      </w:r>
      <w:r w:rsidR="00F87EE7">
        <w:rPr>
          <w:szCs w:val="24"/>
        </w:rPr>
        <w:t>цетилсалициловой кислоты</w:t>
      </w:r>
      <w:r w:rsidR="00F87EE7" w:rsidRPr="00F87EE7">
        <w:rPr>
          <w:szCs w:val="24"/>
        </w:rPr>
        <w:t>**</w:t>
      </w:r>
      <w:r>
        <w:rPr>
          <w:szCs w:val="24"/>
        </w:rPr>
        <w:t>, при наличии более одного фактора риска препаратом выбора является НМГ.</w:t>
      </w:r>
    </w:p>
    <w:p w14:paraId="25F64085" w14:textId="0079BF77" w:rsidR="00B37E1F" w:rsidRDefault="00B37E1F" w:rsidP="002431B5">
      <w:pPr>
        <w:spacing w:before="0" w:after="0"/>
        <w:rPr>
          <w:szCs w:val="24"/>
        </w:rPr>
      </w:pPr>
      <w:r>
        <w:rPr>
          <w:szCs w:val="24"/>
        </w:rPr>
        <w:t xml:space="preserve">При решении вопроса о проведения профилактики необходимо учитывать индивидуальный риск развития ВТЭО (табл. </w:t>
      </w:r>
      <w:r w:rsidR="00436F47">
        <w:rPr>
          <w:szCs w:val="24"/>
        </w:rPr>
        <w:t>А.3.18</w:t>
      </w:r>
      <w:r>
        <w:rPr>
          <w:szCs w:val="24"/>
        </w:rPr>
        <w:t xml:space="preserve">). </w:t>
      </w:r>
    </w:p>
    <w:p w14:paraId="7315E323" w14:textId="3E5743F5" w:rsidR="00B37E1F" w:rsidRPr="00BC50A4" w:rsidRDefault="00B37E1F" w:rsidP="002431B5">
      <w:pPr>
        <w:spacing w:before="0" w:after="0"/>
        <w:rPr>
          <w:b/>
          <w:szCs w:val="24"/>
        </w:rPr>
      </w:pPr>
      <w:r w:rsidRPr="00BC50A4">
        <w:rPr>
          <w:b/>
          <w:szCs w:val="24"/>
        </w:rPr>
        <w:t xml:space="preserve">Таблица </w:t>
      </w:r>
      <w:r w:rsidR="00436F47">
        <w:rPr>
          <w:b/>
          <w:szCs w:val="24"/>
        </w:rPr>
        <w:t>А.3.18</w:t>
      </w:r>
      <w:r w:rsidRPr="00BC50A4">
        <w:rPr>
          <w:b/>
          <w:szCs w:val="24"/>
        </w:rPr>
        <w:t xml:space="preserve">. </w:t>
      </w:r>
      <w:r w:rsidRPr="006211DC">
        <w:rPr>
          <w:szCs w:val="24"/>
        </w:rPr>
        <w:t>Оценка риска развития ВТЭО у больных множественной миеломой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835"/>
      </w:tblGrid>
      <w:tr w:rsidR="00B37E1F" w14:paraId="07AFE038" w14:textId="77777777" w:rsidTr="006211DC">
        <w:trPr>
          <w:tblHeader/>
        </w:trPr>
        <w:tc>
          <w:tcPr>
            <w:tcW w:w="6521" w:type="dxa"/>
            <w:shd w:val="clear" w:color="auto" w:fill="auto"/>
          </w:tcPr>
          <w:p w14:paraId="29B7B817" w14:textId="77777777" w:rsidR="00B37E1F" w:rsidRPr="00947086" w:rsidRDefault="00B37E1F" w:rsidP="002431B5">
            <w:pPr>
              <w:spacing w:before="0" w:after="0"/>
              <w:jc w:val="center"/>
              <w:rPr>
                <w:szCs w:val="24"/>
              </w:rPr>
            </w:pPr>
            <w:r w:rsidRPr="00947086">
              <w:rPr>
                <w:szCs w:val="24"/>
              </w:rPr>
              <w:t>Факторы риска</w:t>
            </w:r>
          </w:p>
        </w:tc>
        <w:tc>
          <w:tcPr>
            <w:tcW w:w="2835" w:type="dxa"/>
            <w:shd w:val="clear" w:color="auto" w:fill="auto"/>
          </w:tcPr>
          <w:p w14:paraId="081E264C" w14:textId="77777777" w:rsidR="00B37E1F" w:rsidRPr="00947086" w:rsidRDefault="00B37E1F" w:rsidP="002431B5">
            <w:pPr>
              <w:spacing w:before="0" w:after="0"/>
              <w:jc w:val="center"/>
              <w:rPr>
                <w:szCs w:val="24"/>
              </w:rPr>
            </w:pPr>
            <w:r w:rsidRPr="00947086">
              <w:rPr>
                <w:szCs w:val="24"/>
              </w:rPr>
              <w:t>Рекомендуемые действия</w:t>
            </w:r>
          </w:p>
        </w:tc>
      </w:tr>
      <w:tr w:rsidR="00B37E1F" w14:paraId="72F7B050" w14:textId="77777777" w:rsidTr="006211DC">
        <w:tc>
          <w:tcPr>
            <w:tcW w:w="6521" w:type="dxa"/>
            <w:shd w:val="clear" w:color="auto" w:fill="auto"/>
          </w:tcPr>
          <w:p w14:paraId="01397713" w14:textId="77777777" w:rsidR="00B37E1F" w:rsidRDefault="00B37E1F" w:rsidP="002431B5">
            <w:pPr>
              <w:spacing w:before="0" w:after="0"/>
              <w:rPr>
                <w:szCs w:val="24"/>
              </w:rPr>
            </w:pPr>
            <w:r>
              <w:rPr>
                <w:szCs w:val="24"/>
              </w:rPr>
              <w:t>Индивидуальные для пациента:</w:t>
            </w:r>
          </w:p>
          <w:p w14:paraId="1499C642" w14:textId="77777777" w:rsidR="00B37E1F" w:rsidRDefault="00B37E1F" w:rsidP="0024404E">
            <w:pPr>
              <w:pStyle w:val="a6"/>
              <w:numPr>
                <w:ilvl w:val="0"/>
                <w:numId w:val="78"/>
              </w:numPr>
              <w:spacing w:before="0" w:after="0"/>
              <w:ind w:left="0" w:firstLine="0"/>
              <w:jc w:val="left"/>
              <w:rPr>
                <w:szCs w:val="24"/>
              </w:rPr>
            </w:pPr>
            <w:r>
              <w:rPr>
                <w:szCs w:val="24"/>
              </w:rPr>
              <w:t>ожирение (ИМТ ≥ 30 кг/м</w:t>
            </w:r>
            <w:r>
              <w:rPr>
                <w:szCs w:val="24"/>
                <w:vertAlign w:val="superscript"/>
              </w:rPr>
              <w:t>2</w:t>
            </w:r>
            <w:r>
              <w:rPr>
                <w:szCs w:val="24"/>
              </w:rPr>
              <w:t>)</w:t>
            </w:r>
          </w:p>
          <w:p w14:paraId="6A5787D9" w14:textId="77777777" w:rsidR="00B37E1F" w:rsidRDefault="00B37E1F" w:rsidP="0024404E">
            <w:pPr>
              <w:pStyle w:val="a6"/>
              <w:numPr>
                <w:ilvl w:val="0"/>
                <w:numId w:val="78"/>
              </w:numPr>
              <w:spacing w:before="0" w:after="0"/>
              <w:ind w:left="0" w:firstLine="0"/>
              <w:jc w:val="left"/>
              <w:rPr>
                <w:szCs w:val="24"/>
              </w:rPr>
            </w:pPr>
            <w:r>
              <w:rPr>
                <w:szCs w:val="24"/>
              </w:rPr>
              <w:t>ВТЭО в анамнезе</w:t>
            </w:r>
          </w:p>
          <w:p w14:paraId="3B038C2D" w14:textId="77777777" w:rsidR="00B37E1F" w:rsidRDefault="00B37E1F" w:rsidP="0024404E">
            <w:pPr>
              <w:pStyle w:val="a6"/>
              <w:numPr>
                <w:ilvl w:val="0"/>
                <w:numId w:val="78"/>
              </w:numPr>
              <w:spacing w:before="0" w:after="0"/>
              <w:ind w:left="0" w:firstLine="0"/>
              <w:jc w:val="left"/>
              <w:rPr>
                <w:szCs w:val="24"/>
              </w:rPr>
            </w:pPr>
            <w:r>
              <w:rPr>
                <w:szCs w:val="24"/>
              </w:rPr>
              <w:t>ЦВК или водители ритма</w:t>
            </w:r>
          </w:p>
          <w:p w14:paraId="122571A4" w14:textId="77777777" w:rsidR="00B37E1F" w:rsidRDefault="00B37E1F" w:rsidP="0024404E">
            <w:pPr>
              <w:pStyle w:val="a6"/>
              <w:numPr>
                <w:ilvl w:val="0"/>
                <w:numId w:val="78"/>
              </w:numPr>
              <w:spacing w:before="0" w:after="0"/>
              <w:ind w:left="0" w:firstLine="0"/>
              <w:jc w:val="left"/>
              <w:rPr>
                <w:szCs w:val="24"/>
              </w:rPr>
            </w:pPr>
            <w:r>
              <w:rPr>
                <w:szCs w:val="24"/>
              </w:rPr>
              <w:t>сопутствующие заболевания (ИБС, ХБП, сахарный диабет, инфекции, иммобилизация)</w:t>
            </w:r>
          </w:p>
          <w:p w14:paraId="41856B82" w14:textId="77777777" w:rsidR="00B37E1F" w:rsidRDefault="00B37E1F" w:rsidP="0024404E">
            <w:pPr>
              <w:pStyle w:val="a6"/>
              <w:numPr>
                <w:ilvl w:val="0"/>
                <w:numId w:val="78"/>
              </w:numPr>
              <w:spacing w:before="0" w:after="0"/>
              <w:ind w:left="0" w:firstLine="0"/>
              <w:jc w:val="left"/>
              <w:rPr>
                <w:szCs w:val="24"/>
              </w:rPr>
            </w:pPr>
            <w:r>
              <w:rPr>
                <w:szCs w:val="24"/>
              </w:rPr>
              <w:t>хирургия, анестезия, травмы</w:t>
            </w:r>
          </w:p>
          <w:p w14:paraId="367A2648" w14:textId="7F1379C5" w:rsidR="00B37E1F" w:rsidRDefault="00B37E1F" w:rsidP="0024404E">
            <w:pPr>
              <w:pStyle w:val="a6"/>
              <w:numPr>
                <w:ilvl w:val="0"/>
                <w:numId w:val="78"/>
              </w:numPr>
              <w:spacing w:before="0" w:after="0"/>
              <w:ind w:left="0" w:firstLine="0"/>
              <w:jc w:val="left"/>
              <w:rPr>
                <w:szCs w:val="24"/>
              </w:rPr>
            </w:pPr>
            <w:r>
              <w:rPr>
                <w:szCs w:val="24"/>
              </w:rPr>
              <w:t>применение эритропоэтина</w:t>
            </w:r>
            <w:r w:rsidR="00F87EE7">
              <w:rPr>
                <w:szCs w:val="24"/>
                <w:lang w:val="en-US"/>
              </w:rPr>
              <w:t>**</w:t>
            </w:r>
          </w:p>
          <w:p w14:paraId="071B59A6" w14:textId="77777777" w:rsidR="00B37E1F" w:rsidRDefault="00B37E1F" w:rsidP="0024404E">
            <w:pPr>
              <w:pStyle w:val="a6"/>
              <w:numPr>
                <w:ilvl w:val="0"/>
                <w:numId w:val="78"/>
              </w:numPr>
              <w:spacing w:before="0" w:after="0"/>
              <w:ind w:left="0" w:firstLine="0"/>
              <w:jc w:val="left"/>
              <w:rPr>
                <w:b/>
                <w:szCs w:val="24"/>
              </w:rPr>
            </w:pPr>
            <w:r>
              <w:rPr>
                <w:szCs w:val="24"/>
              </w:rPr>
              <w:t>тромбофилии</w:t>
            </w:r>
          </w:p>
        </w:tc>
        <w:tc>
          <w:tcPr>
            <w:tcW w:w="2835" w:type="dxa"/>
            <w:vMerge w:val="restart"/>
            <w:shd w:val="clear" w:color="auto" w:fill="auto"/>
            <w:vAlign w:val="center"/>
          </w:tcPr>
          <w:p w14:paraId="3F4ADF57" w14:textId="77777777" w:rsidR="00B37E1F" w:rsidRPr="00947086" w:rsidRDefault="00B37E1F" w:rsidP="002431B5">
            <w:pPr>
              <w:pStyle w:val="a6"/>
              <w:spacing w:before="0" w:after="0"/>
              <w:ind w:left="0"/>
              <w:rPr>
                <w:szCs w:val="24"/>
                <w:u w:val="single"/>
              </w:rPr>
            </w:pPr>
            <w:r w:rsidRPr="00947086">
              <w:rPr>
                <w:szCs w:val="24"/>
                <w:u w:val="single"/>
              </w:rPr>
              <w:t>0– 1 факторов риска:</w:t>
            </w:r>
          </w:p>
          <w:p w14:paraId="3666E2A0" w14:textId="35759AB3" w:rsidR="00B37E1F" w:rsidRDefault="00B37E1F" w:rsidP="002431B5">
            <w:pPr>
              <w:spacing w:before="0" w:after="0"/>
              <w:jc w:val="center"/>
              <w:rPr>
                <w:szCs w:val="24"/>
              </w:rPr>
            </w:pPr>
            <w:r>
              <w:rPr>
                <w:szCs w:val="24"/>
              </w:rPr>
              <w:t>- ацетилсалициловая кислота</w:t>
            </w:r>
            <w:r w:rsidR="00F87EE7">
              <w:rPr>
                <w:szCs w:val="24"/>
                <w:lang w:val="en-US"/>
              </w:rPr>
              <w:t>**</w:t>
            </w:r>
            <w:r>
              <w:rPr>
                <w:szCs w:val="24"/>
              </w:rPr>
              <w:t xml:space="preserve"> 75-325 мг/сут</w:t>
            </w:r>
          </w:p>
          <w:p w14:paraId="2410DBAF" w14:textId="77777777" w:rsidR="00B37E1F" w:rsidRDefault="00B37E1F" w:rsidP="002431B5">
            <w:pPr>
              <w:pStyle w:val="a6"/>
              <w:spacing w:before="0" w:after="0"/>
              <w:ind w:left="0"/>
              <w:jc w:val="center"/>
              <w:rPr>
                <w:szCs w:val="24"/>
              </w:rPr>
            </w:pPr>
          </w:p>
          <w:p w14:paraId="35C88DF5" w14:textId="77777777" w:rsidR="00B37E1F" w:rsidRPr="00947086" w:rsidRDefault="00B37E1F" w:rsidP="002431B5">
            <w:pPr>
              <w:spacing w:before="0" w:after="0"/>
              <w:jc w:val="center"/>
              <w:rPr>
                <w:szCs w:val="24"/>
                <w:u w:val="single"/>
              </w:rPr>
            </w:pPr>
            <w:r w:rsidRPr="00947086">
              <w:rPr>
                <w:szCs w:val="24"/>
                <w:u w:val="single"/>
              </w:rPr>
              <w:t>≥ 2 фактора риска:</w:t>
            </w:r>
          </w:p>
          <w:p w14:paraId="69FAD17C" w14:textId="0B393E14" w:rsidR="00B37E1F" w:rsidRDefault="00B37E1F" w:rsidP="002431B5">
            <w:pPr>
              <w:spacing w:before="0" w:after="0"/>
              <w:rPr>
                <w:szCs w:val="24"/>
              </w:rPr>
            </w:pPr>
            <w:r>
              <w:rPr>
                <w:szCs w:val="24"/>
              </w:rPr>
              <w:t>- НМГ (эквивалентно 40 мг/сут эноксапарина натрия</w:t>
            </w:r>
            <w:r w:rsidR="00F87EE7" w:rsidRPr="00F87EE7">
              <w:rPr>
                <w:szCs w:val="24"/>
              </w:rPr>
              <w:t>**</w:t>
            </w:r>
            <w:r>
              <w:rPr>
                <w:szCs w:val="24"/>
              </w:rPr>
              <w:t>) или</w:t>
            </w:r>
          </w:p>
          <w:p w14:paraId="564367F3" w14:textId="77777777" w:rsidR="00B37E1F" w:rsidRDefault="00B37E1F" w:rsidP="002431B5">
            <w:pPr>
              <w:spacing w:before="0" w:after="0"/>
              <w:rPr>
                <w:b/>
                <w:szCs w:val="24"/>
              </w:rPr>
            </w:pPr>
            <w:r>
              <w:rPr>
                <w:b/>
                <w:szCs w:val="24"/>
              </w:rPr>
              <w:t xml:space="preserve">- </w:t>
            </w:r>
            <w:r w:rsidRPr="00AD6DDA">
              <w:rPr>
                <w:szCs w:val="24"/>
              </w:rPr>
              <w:t>Прямые оральные антикоагулянты</w:t>
            </w:r>
          </w:p>
        </w:tc>
      </w:tr>
      <w:tr w:rsidR="00B37E1F" w14:paraId="45469BA3" w14:textId="77777777" w:rsidTr="006211DC">
        <w:tc>
          <w:tcPr>
            <w:tcW w:w="6521" w:type="dxa"/>
            <w:shd w:val="clear" w:color="auto" w:fill="auto"/>
          </w:tcPr>
          <w:p w14:paraId="2333E181" w14:textId="77777777" w:rsidR="00B37E1F" w:rsidRDefault="00B37E1F" w:rsidP="002431B5">
            <w:pPr>
              <w:spacing w:before="0" w:after="0"/>
              <w:rPr>
                <w:szCs w:val="24"/>
              </w:rPr>
            </w:pPr>
            <w:r>
              <w:rPr>
                <w:szCs w:val="24"/>
              </w:rPr>
              <w:t>У пациентов с ММ:</w:t>
            </w:r>
          </w:p>
          <w:p w14:paraId="185ECFAF" w14:textId="77777777" w:rsidR="00B37E1F" w:rsidRDefault="00B37E1F" w:rsidP="0024404E">
            <w:pPr>
              <w:pStyle w:val="a6"/>
              <w:numPr>
                <w:ilvl w:val="0"/>
                <w:numId w:val="79"/>
              </w:numPr>
              <w:spacing w:before="0" w:after="0"/>
              <w:ind w:left="0" w:firstLine="0"/>
              <w:jc w:val="left"/>
              <w:rPr>
                <w:szCs w:val="24"/>
              </w:rPr>
            </w:pPr>
            <w:r>
              <w:rPr>
                <w:szCs w:val="24"/>
              </w:rPr>
              <w:t>гипервискозный синдром</w:t>
            </w:r>
          </w:p>
          <w:p w14:paraId="08521A6F" w14:textId="77777777" w:rsidR="00B37E1F" w:rsidRDefault="00B37E1F" w:rsidP="0024404E">
            <w:pPr>
              <w:pStyle w:val="a6"/>
              <w:numPr>
                <w:ilvl w:val="0"/>
                <w:numId w:val="79"/>
              </w:numPr>
              <w:spacing w:before="0" w:after="0"/>
              <w:ind w:left="0" w:firstLine="0"/>
              <w:jc w:val="left"/>
              <w:rPr>
                <w:szCs w:val="24"/>
              </w:rPr>
            </w:pPr>
            <w:r>
              <w:rPr>
                <w:szCs w:val="24"/>
              </w:rPr>
              <w:t>применение ингибиторов ангиогенеза в комбинации с</w:t>
            </w:r>
          </w:p>
          <w:p w14:paraId="50CCCE18" w14:textId="1928E0E3" w:rsidR="00B37E1F" w:rsidRDefault="00B37E1F" w:rsidP="002431B5">
            <w:pPr>
              <w:spacing w:before="0" w:after="0"/>
              <w:rPr>
                <w:szCs w:val="24"/>
              </w:rPr>
            </w:pPr>
            <w:r>
              <w:rPr>
                <w:szCs w:val="24"/>
              </w:rPr>
              <w:t>- высокими дозами дексаметазона</w:t>
            </w:r>
            <w:r w:rsidR="00F87EE7" w:rsidRPr="00F87EE7">
              <w:rPr>
                <w:szCs w:val="24"/>
              </w:rPr>
              <w:t>**</w:t>
            </w:r>
            <w:r>
              <w:rPr>
                <w:szCs w:val="24"/>
              </w:rPr>
              <w:t xml:space="preserve"> (≥ 480 мг/мес);</w:t>
            </w:r>
          </w:p>
          <w:p w14:paraId="5C0B4A48" w14:textId="7B942A26" w:rsidR="00B37E1F" w:rsidRPr="000368F4" w:rsidRDefault="00B37E1F" w:rsidP="002431B5">
            <w:pPr>
              <w:spacing w:before="0" w:after="0"/>
              <w:rPr>
                <w:szCs w:val="24"/>
              </w:rPr>
            </w:pPr>
            <w:r>
              <w:rPr>
                <w:szCs w:val="24"/>
              </w:rPr>
              <w:t>- доксорубицином</w:t>
            </w:r>
            <w:r w:rsidR="00F87EE7">
              <w:rPr>
                <w:szCs w:val="24"/>
                <w:lang w:val="en-US"/>
              </w:rPr>
              <w:t>**</w:t>
            </w:r>
            <w:r>
              <w:rPr>
                <w:szCs w:val="24"/>
              </w:rPr>
              <w:t>;</w:t>
            </w:r>
          </w:p>
        </w:tc>
        <w:tc>
          <w:tcPr>
            <w:tcW w:w="2835" w:type="dxa"/>
            <w:vMerge/>
            <w:shd w:val="clear" w:color="auto" w:fill="auto"/>
          </w:tcPr>
          <w:p w14:paraId="382D84A6" w14:textId="77777777" w:rsidR="00B37E1F" w:rsidRDefault="00B37E1F" w:rsidP="002431B5">
            <w:pPr>
              <w:spacing w:before="0" w:after="0"/>
              <w:jc w:val="center"/>
              <w:rPr>
                <w:b/>
                <w:szCs w:val="24"/>
              </w:rPr>
            </w:pPr>
          </w:p>
        </w:tc>
      </w:tr>
    </w:tbl>
    <w:p w14:paraId="298F6DEF" w14:textId="6268D20D" w:rsidR="00B37E1F" w:rsidRDefault="00B37E1F" w:rsidP="008A2329">
      <w:pPr>
        <w:spacing w:before="0" w:after="0"/>
        <w:ind w:firstLine="567"/>
        <w:rPr>
          <w:szCs w:val="24"/>
        </w:rPr>
      </w:pPr>
      <w:r>
        <w:rPr>
          <w:szCs w:val="24"/>
        </w:rPr>
        <w:lastRenderedPageBreak/>
        <w:t>Определение продолжительности антитромботической профилактики должно проводиться на основании оценки сохранения/прекращения действия факторов риска развития тромбоза. К таким факторам, в первую очередь, относятся активность основного заболевания, химио- и лучевая терапия, ограничение подвижности пациента, наличие у него воспалительной активности инфекционного или неинфекционного генеза, дыхательной или сердечной недостаточности. В случае неполного устранения провоцирующих тромбоз факторов и сохранения высокого риска развития ВТЭО необходимо продолжение антитромботической профилактики. На начальной стадии антитромботической профилактики у пациентов с 0-1 фактором риска ВТЭО может применяться ацетилсалициловая кислота</w:t>
      </w:r>
      <w:r w:rsidR="00F87EE7" w:rsidRPr="00F87EE7">
        <w:rPr>
          <w:szCs w:val="24"/>
        </w:rPr>
        <w:t>**</w:t>
      </w:r>
      <w:r>
        <w:rPr>
          <w:szCs w:val="24"/>
        </w:rPr>
        <w:t>; у пациентов с ≥ 2 факторами риска препаратами выбора являются НМГ или ПОАК. Нет однозначных преимуществ тех или иных НМГ или ПОАК</w:t>
      </w:r>
      <w:r w:rsidR="006F2E41">
        <w:rPr>
          <w:szCs w:val="24"/>
        </w:rPr>
        <w:t xml:space="preserve"> </w:t>
      </w:r>
      <w:r w:rsidR="00A30463">
        <w:fldChar w:fldCharType="begin" w:fldLock="1"/>
      </w:r>
      <w:r w:rsidR="00E430FD">
        <w:instrText>ADDIN CSL_CITATION {"citationItems":[{"id":"ITEM-1","itemData":{"DOI":"10.1097/MPH.0000000000000333","ISSN":"1077-4114","abstract":"Children with acute lymphoblastic leukemia (ALL) are at high risk of thrombotic complications, resulting from multiple risk factors (malignancy, chemotherapy, central venous access devices, and inherent host characteristics). Non-O blood groups have been associated with an increased risk of venous thromboembolism (VTE) in adults, with a compounding effect in the presence of thrombophilia or cancer. We hypothesized that among children with ALL receiving a standardized protocol, there would be an increased risk of thrombotic events in non-O compared with O blood group patients. In a retrospective study of 523 children with ALL from June 1995 to April 2013, there were 56 (10.7%) thromboembolic events. Patients with VTE were compared with the whole cohort, based on blood group, age, sex, leukemia phenotype, and clinical risk category. Among children with VTE, 42 (75%) had non-O and 14 (25%) had O blood group, compared with 302 (57.7%) non-O and 221 (42.3%) O blood groups in the cohort. Non-O blood group was confirmed as an independent risk factor for VTE in multivariate analysis. This is the first study to report a significant association between non-O blood groups and VTE in children with cancer.","author":[{"dropping-particle":"","family":"Mizrahi","given":"Terry","non-dropping-particle":"","parse-names":false,"suffix":""},{"dropping-particle":"","family":"Leclerc","given":"Jean-Marie","non-dropping-particle":"","parse-names":false,"suffix":""},{"dropping-particle":"","family":"David","given":"Michèle","non-dropping-particle":"","parse-names":false,"suffix":""},{"dropping-particle":"","family":"Ducruet","given":"Thierry","non-dropping-particle":"","parse-names":false,"suffix":""},{"dropping-particle":"","family":"Robitaille","given":"Nancy","non-dropping-particle":"","parse-names":false,"suffix":""}],"container-title":"Journal of Pediatric Hematology/Oncology","id":"ITEM-1","issue":"5","issued":{"date-parts":[["2015","7"]]},"page":"e328-e332","publisher":"Lippincott Williams and Wilkins","title":"ABO Group as a Thrombotic Risk Factor in Children With Acute Lymphoblastic Leukemia","type":"article-journal","volume":"37"},"uris":["http://www.mendeley.com/documents/?uuid=8f9ef8e9-5378-42f1-a1a8-2988b5bf241e"]},{"id":"ITEM-2","itemData":{"DOI":"10.1002/pbc.25515","ISSN":"15455017","PMID":"25820776","abstract":"Background: L-asparaginase, a key therapeutic agent in the management of patients with acute lymphoblastic leukemia (ALL), dramatically impairs hepatic protein synthesis. We investigated the effects of prolonged exposure to L-asparaginase on antithrombin (AT), fibrinogen and mannan-binding-lectin (MBL) levels, and on the occurrence of thrombotic events (TE) and febrile neutropenia episodes (FN) in pediatric patients. Procedure: Protein levels were measured in 97 children during 30 weeks of chemotherapy with L-asparaginase and up to 1 year following remission. TE and FN episodes were recorded during this period. Results: Median AT level decreased from 0.96IU/mL prior to treatment (range: 0.69-1.38) to 0.55IU/mL (0.37-0.76) during therapy. Fibrinogen and MBL decreased from 3.18g/L (1.29-7.28) and 1,177ng/mL (57-5,343) to 1.56g/L (0.84-2.13) and 193ng/mL (57-544), respectively. All three proteins had recovered 1-4 weeks after L-asparaginase cessation. TE were reported in 22 (23%) patients. Of these, 11 occurred after a median of 10 administrations of L-asparaginase. Fifty-one FN were associated with infections, of which 36 occurred during treatment with L-asparaginase. Patients with low levels of MBL at diagnosis were at higher risk of FN associated with infections (RR=1.59, 95%CI: 1.026-2.474). Both AT and MBL decreases were moderately correlated with fibrinogen (r=0.51 and 0.58, respectively). Conclusions: Children with ALL are exposed to significant decrease in AT, fibrinogen and MBL levels, and concomitant increased risk of thrombosis and FN with infection during L-asparaginase treatment. Measuring plasma levels of these liver-derived proteins could help predict the occurrence of adverse events.","author":[{"dropping-particle":"","family":"Merlen","given":"Clémence","non-dropping-particle":"","parse-names":false,"suffix":""},{"dropping-particle":"","family":"Bonnefoy","given":"Arnaud","non-dropping-particle":"","parse-names":false,"suffix":""},{"dropping-particle":"","family":"Wagner","given":"Eric","non-dropping-particle":"","parse-names":false,"suffix":""},{"dropping-particle":"","family":"Dedeken","given":"Laurence","non-dropping-particle":"","parse-names":false,"suffix":""},{"dropping-particle":"","family":"Leclerc","given":"Jean Marie","non-dropping-particle":"","parse-names":false,"suffix":""},{"dropping-particle":"","family":"Laverdière","given":"Caroline","non-dropping-particle":"","parse-names":false,"suffix":""},{"dropping-particle":"","family":"Rivard","given":"Georges Etienne","non-dropping-particle":"","parse-names":false,"suffix":""}],"container-title":"Pediatric Blood and Cancer","id":"ITEM-2","issue":"8","issued":{"date-parts":[["2015","8"]]},"page":"1381-1387","publisher":"John Wiley and Sons Inc.","title":"L-Asparaginase lowers plasma antithrombin and mannan-binding-lectin levels: Impact on thrombotic and infectious events in children with acute lymphoblastic leukemia","type":"article-journal","volume":"62"},"uris":["http://www.mendeley.com/documents/?uuid=11d9d167-a37f-48bc-b343-9b7b6829367c"]}],"mendeley":{"formattedCitation":"[220,221]","plainTextFormattedCitation":"[220,221]","previouslyFormattedCitation":"[220,221]"},"properties":{"noteIndex":0},"schema":"https://github.com/citation-style-language/schema/raw/master/csl-citation.json"}</w:instrText>
      </w:r>
      <w:r w:rsidR="00A30463">
        <w:fldChar w:fldCharType="separate"/>
      </w:r>
      <w:r w:rsidR="00E430FD" w:rsidRPr="00E430FD">
        <w:rPr>
          <w:noProof/>
        </w:rPr>
        <w:t>[220,221]</w:t>
      </w:r>
      <w:r w:rsidR="00A30463">
        <w:fldChar w:fldCharType="end"/>
      </w:r>
      <w:r>
        <w:rPr>
          <w:szCs w:val="24"/>
        </w:rPr>
        <w:t xml:space="preserve">. </w:t>
      </w:r>
    </w:p>
    <w:p w14:paraId="0CE14A29" w14:textId="3F93FAD8" w:rsidR="00B37E1F" w:rsidRPr="006211DC" w:rsidRDefault="00B37E1F" w:rsidP="006211DC">
      <w:pPr>
        <w:pStyle w:val="2"/>
        <w:rPr>
          <w:rStyle w:val="ac"/>
          <w:bCs w:val="0"/>
        </w:rPr>
      </w:pPr>
      <w:r>
        <w:br w:type="page"/>
      </w:r>
      <w:bookmarkStart w:id="107" w:name="_Toc97734658"/>
      <w:r w:rsidRPr="006211DC">
        <w:rPr>
          <w:rStyle w:val="ac"/>
          <w:b/>
        </w:rPr>
        <w:lastRenderedPageBreak/>
        <w:t xml:space="preserve">Приложение </w:t>
      </w:r>
      <w:r w:rsidR="00956A9E" w:rsidRPr="006211DC">
        <w:rPr>
          <w:rStyle w:val="ac"/>
          <w:b/>
        </w:rPr>
        <w:t>А3</w:t>
      </w:r>
      <w:r w:rsidRPr="006211DC">
        <w:rPr>
          <w:rStyle w:val="ac"/>
          <w:b/>
        </w:rPr>
        <w:t>.</w:t>
      </w:r>
      <w:r w:rsidR="00956A9E" w:rsidRPr="006211DC">
        <w:rPr>
          <w:rStyle w:val="ac"/>
          <w:b/>
        </w:rPr>
        <w:t>13</w:t>
      </w:r>
      <w:r w:rsidR="00A30463">
        <w:rPr>
          <w:rStyle w:val="ac"/>
          <w:b/>
        </w:rPr>
        <w:t>.</w:t>
      </w:r>
      <w:r w:rsidRPr="006211DC">
        <w:rPr>
          <w:rStyle w:val="ac"/>
          <w:b/>
        </w:rPr>
        <w:t xml:space="preserve"> Применение компонентов донорской крови у гематологических пациентов</w:t>
      </w:r>
      <w:bookmarkEnd w:id="107"/>
    </w:p>
    <w:p w14:paraId="2166FDFB" w14:textId="77777777" w:rsidR="00B37E1F" w:rsidRPr="00CD6C97" w:rsidRDefault="00B37E1F" w:rsidP="00CD6C97">
      <w:pPr>
        <w:spacing w:before="0" w:after="0"/>
        <w:rPr>
          <w:b/>
        </w:rPr>
      </w:pPr>
      <w:r w:rsidRPr="00CD6C97">
        <w:rPr>
          <w:b/>
        </w:rPr>
        <w:t xml:space="preserve">Общие сведения </w:t>
      </w:r>
    </w:p>
    <w:p w14:paraId="072A5649" w14:textId="2D3B37DE" w:rsidR="00B37E1F" w:rsidRDefault="00B37E1F" w:rsidP="008A2329">
      <w:pPr>
        <w:spacing w:after="0"/>
        <w:ind w:firstLine="567"/>
        <w:contextualSpacing/>
        <w:rPr>
          <w:szCs w:val="24"/>
        </w:rPr>
      </w:pPr>
      <w:r w:rsidRPr="004C7AAC">
        <w:rPr>
          <w:szCs w:val="24"/>
        </w:rPr>
        <w:t xml:space="preserve">Основным </w:t>
      </w:r>
      <w:r w:rsidRPr="004C7AAC">
        <w:rPr>
          <w:szCs w:val="24"/>
          <w:lang w:eastAsia="ru-RU"/>
        </w:rPr>
        <w:t xml:space="preserve">медицинским </w:t>
      </w:r>
      <w:r w:rsidRPr="00E74023">
        <w:rPr>
          <w:szCs w:val="24"/>
          <w:lang w:eastAsia="ru-RU"/>
        </w:rPr>
        <w:t xml:space="preserve">показанием к </w:t>
      </w:r>
      <w:r w:rsidRPr="00E74023">
        <w:rPr>
          <w:szCs w:val="24"/>
        </w:rPr>
        <w:t xml:space="preserve">трансфузии эритроцитов у </w:t>
      </w:r>
      <w:r>
        <w:rPr>
          <w:szCs w:val="24"/>
        </w:rPr>
        <w:t xml:space="preserve">гематологических </w:t>
      </w:r>
      <w:r w:rsidRPr="00E74023">
        <w:rPr>
          <w:szCs w:val="24"/>
        </w:rPr>
        <w:t xml:space="preserve">пациентов является неадекватная оксигенация </w:t>
      </w:r>
      <w:r>
        <w:rPr>
          <w:szCs w:val="24"/>
        </w:rPr>
        <w:t xml:space="preserve">органов и тканей </w:t>
      </w:r>
      <w:r w:rsidRPr="00E74023">
        <w:rPr>
          <w:szCs w:val="24"/>
        </w:rPr>
        <w:t>и связанный с этим риск осложнений.</w:t>
      </w:r>
      <w:r>
        <w:rPr>
          <w:szCs w:val="24"/>
        </w:rPr>
        <w:t xml:space="preserve"> </w:t>
      </w:r>
      <w:r w:rsidRPr="00E74023">
        <w:rPr>
          <w:szCs w:val="24"/>
        </w:rPr>
        <w:t xml:space="preserve">Переливание донорских тромбоцитов гематологическим </w:t>
      </w:r>
      <w:r>
        <w:rPr>
          <w:szCs w:val="24"/>
        </w:rPr>
        <w:t>пациента</w:t>
      </w:r>
      <w:r w:rsidRPr="00E74023">
        <w:rPr>
          <w:szCs w:val="24"/>
        </w:rPr>
        <w:t xml:space="preserve">м проводят </w:t>
      </w:r>
      <w:r w:rsidRPr="00E74023">
        <w:rPr>
          <w:szCs w:val="24"/>
          <w:lang w:val="en-US"/>
        </w:rPr>
        <w:t>c</w:t>
      </w:r>
      <w:r w:rsidRPr="00E74023">
        <w:rPr>
          <w:szCs w:val="24"/>
        </w:rPr>
        <w:t xml:space="preserve"> целью профилактики спонтанных геморрагических осложнений на фоне глубокой тромбоцитопении, индуцированной проведением интенсивной химиотерапии, или с лечебной целью пациентам с уже имеющимися геморрагическими осложнениями.</w:t>
      </w:r>
      <w:r>
        <w:rPr>
          <w:szCs w:val="24"/>
        </w:rPr>
        <w:t xml:space="preserve"> При необходимости </w:t>
      </w:r>
      <w:r w:rsidRPr="00E74023">
        <w:rPr>
          <w:szCs w:val="24"/>
        </w:rPr>
        <w:t>восполнения дефицита факторов свертывания</w:t>
      </w:r>
      <w:r>
        <w:rPr>
          <w:szCs w:val="24"/>
        </w:rPr>
        <w:t xml:space="preserve"> </w:t>
      </w:r>
      <w:r w:rsidRPr="00E74023">
        <w:rPr>
          <w:szCs w:val="24"/>
        </w:rPr>
        <w:t>универсальным препаратом</w:t>
      </w:r>
      <w:r w:rsidRPr="009848E0">
        <w:rPr>
          <w:szCs w:val="24"/>
        </w:rPr>
        <w:t xml:space="preserve"> </w:t>
      </w:r>
      <w:r w:rsidRPr="00E74023">
        <w:rPr>
          <w:szCs w:val="24"/>
        </w:rPr>
        <w:t xml:space="preserve">на сегодняшний день является </w:t>
      </w:r>
      <w:r>
        <w:rPr>
          <w:szCs w:val="24"/>
        </w:rPr>
        <w:t>с</w:t>
      </w:r>
      <w:r w:rsidRPr="00E74023">
        <w:rPr>
          <w:szCs w:val="24"/>
        </w:rPr>
        <w:t>вежезамороженная плазма (СЗП</w:t>
      </w:r>
      <w:r>
        <w:rPr>
          <w:szCs w:val="24"/>
        </w:rPr>
        <w:t>)</w:t>
      </w:r>
      <w:r w:rsidRPr="00E74023">
        <w:rPr>
          <w:szCs w:val="24"/>
        </w:rPr>
        <w:t>. Показаниями для ее применения при острой кровопотере являются удлинение хронометрических показателей коагулограммы более чем в 1,8 раз; изолированное снижение уровня одного из факторов свертывания на 20% и более или комплекса факторов на 40% и более. Кроме СЗП для коррекции нарушений гемостаза при острой кровопотере применяются криопреципитат, очищенные или генноинженерные препараты факторов свертывания или их комплексов, ингибиторы протеаз, ингибиторы фибринолиза, десмопрессин</w:t>
      </w:r>
      <w:r w:rsidR="00F87EE7" w:rsidRPr="00F87EE7">
        <w:rPr>
          <w:szCs w:val="24"/>
        </w:rPr>
        <w:t>**</w:t>
      </w:r>
      <w:r w:rsidRPr="00E74023">
        <w:rPr>
          <w:szCs w:val="24"/>
        </w:rPr>
        <w:t xml:space="preserve">. Трансфузии СЗП показаны </w:t>
      </w:r>
      <w:r>
        <w:rPr>
          <w:szCs w:val="24"/>
        </w:rPr>
        <w:t xml:space="preserve">также </w:t>
      </w:r>
      <w:r w:rsidRPr="00E74023">
        <w:rPr>
          <w:szCs w:val="24"/>
        </w:rPr>
        <w:t xml:space="preserve">для </w:t>
      </w:r>
      <w:r w:rsidRPr="00E74023">
        <w:rPr>
          <w:color w:val="000000"/>
          <w:szCs w:val="24"/>
        </w:rPr>
        <w:t>возмещения объема при проведении</w:t>
      </w:r>
      <w:r w:rsidRPr="004C7AAC">
        <w:rPr>
          <w:color w:val="000000"/>
          <w:szCs w:val="24"/>
        </w:rPr>
        <w:t xml:space="preserve"> </w:t>
      </w:r>
      <w:r w:rsidRPr="004C7AAC">
        <w:rPr>
          <w:szCs w:val="24"/>
        </w:rPr>
        <w:t>процедур плазмафереза</w:t>
      </w:r>
      <w:r w:rsidR="00245239">
        <w:rPr>
          <w:szCs w:val="24"/>
        </w:rPr>
        <w:t xml:space="preserve"> </w:t>
      </w:r>
      <w:r w:rsidR="00245239">
        <w:rPr>
          <w:rStyle w:val="ac"/>
        </w:rPr>
        <w:fldChar w:fldCharType="begin" w:fldLock="1"/>
      </w:r>
      <w:r w:rsidR="00E430FD">
        <w:rPr>
          <w:rStyle w:val="ac"/>
        </w:rPr>
        <w:instrText>ADDIN CSL_CITATION {"citationItems":[{"id":"ITEM-1","itemData":{"DOI":"10.25837/HAT.2019.62.39.006","ISSN":"02345730","abstract":"Adherence to proper indications for red blood cells (RBC) transfusion is essential because of its potential adverse effects and costs of therapy. Aim of these recommendations is to summarize typed of RBC concentrates and indications for RBC transfusions among different categories of the patients. Methods. The methodological approaches are based on the recommendations of the Russian expert council (leading specialists of the Russian Federation) and literature search for randomized clinical trials evaluating RBC storage duration, hemoglobin thresholds and clinical indications for RBC transfusion without language restrictions. Results. The draft clinical guidelines were reviewed on February 1, 2018 at First Russian Transfusiology Congress of the (Vladivostok). The main types of RBC concentrates, storage duration, transport conditions and indications for RBC transfusions are presented. The indications for RBC transfusions are analyzed for various clinical conditions (in obstetrics, neonatology, hematology, cardiology, neurosurgery, nephrology, in patients with sepsis and septic shock, patients with acute blood loss, in patients after hematopoietic stem cell and organ transplantation). Conclusion. The recommendations are intended for doctors of various specialties, health administrators, medical students.","author":[{"dropping-particle":"","family":"Akselrod","given":"B. A.","non-dropping-particle":"","parse-names":false,"suffix":""},{"dropping-particle":"","family":"Baloshova","given":"E. N.","non-dropping-particle":"","parse-names":false,"suffix":""},{"dropping-particle":"","family":"Bautin","given":"A. E.","non-dropping-particle":"","parse-names":false,"suffix":""},{"dropping-particle":"","family":"Bakhovadinov","given":"B. B.","non-dropping-particle":"","parse-names":false,"suffix":""},{"dropping-particle":"","family":"Biryukova","given":"L. S.","non-dropping-particle":"","parse-names":false,"suffix":""},{"dropping-particle":"","family":"Bulanov","given":"A. Yu","non-dropping-particle":"","parse-names":false,"suffix":""},{"dropping-particle":"","family":"Bysfrykh","given":"O. A.","non-dropping-particle":"","parse-names":false,"suffix":""},{"dropping-particle":"","family":"Vinogradova","given":"M. A.","non-dropping-particle":"","parse-names":false,"suffix":""},{"dropping-particle":"","family":"Galstyan","given":"G. M.","non-dropping-particle":"","parse-names":false,"suffix":""},{"dropping-particle":"V.","family":"Gaponova","given":"T.","non-dropping-particle":"","parse-names":false,"suffix":""},{"dropping-particle":"","family":"Golovkina","given":"L. L.","non-dropping-particle":"","parse-names":false,"suffix":""},{"dropping-particle":"","family":"Gorokhovskiy","given":"V. S.","non-dropping-particle":"","parse-names":false,"suffix":""},{"dropping-particle":"","family":"Eremenko","given":"A. A.","non-dropping-particle":"","parse-names":false,"suffix":""},{"dropping-particle":"","family":"Zhiburt","given":"E. B.","non-dropping-particle":"","parse-names":false,"suffix":""},{"dropping-particle":"V.","family":"Zhuravel","given":"S.","non-dropping-particle":"","parse-names":false,"suffix":""},{"dropping-particle":"V.","family":"Kokhno","given":"A.","non-dropping-particle":"","parse-names":false,"suffix":""},{"dropping-particle":"","family":"Kuzmina","given":"L. A.","non-dropping-particle":"","parse-names":false,"suffix":""},{"dropping-particle":"","family":"Kulabukhov","given":"V. Y.","non-dropping-particle":"","parse-names":false,"suffix":""},{"dropping-particle":"","family":"Kupryashov","given":"A. A.","non-dropping-particle":"","parse-names":false,"suffix":""},{"dropping-particle":"","family":"Lubnin","given":"A. Yu","non-dropping-particle":"","parse-names":false,"suffix":""},{"dropping-particle":"","family":"Mazurok","given":"V. A.","non-dropping-particle":"","parse-names":false,"suffix":""},{"dropping-particle":"","family":"Menshugin","given":"I. N.","non-dropping-particle":"","parse-names":false,"suffix":""},{"dropping-particle":"V.","family":"Mineeva","given":"N.","non-dropping-particle":"","parse-names":false,"suffix":""},{"dropping-particle":"","family":"Mihoilova","given":"E. A.","non-dropping-particle":"","parse-names":false,"suffix":""},{"dropping-particle":"","family":"Nikitin","given":"E. A.","non-dropping-particle":"","parse-names":false,"suffix":""},{"dropping-particle":"","family":"Olovnikova","given":"N. I.","non-dropping-particle":"","parse-names":false,"suffix":""},{"dropping-particle":"V.","family":"Oshorov","given":"A.","non-dropping-particle":"","parse-names":false,"suffix":""},{"dropping-particle":"","family":"Pevtsov","given":"D.","non-dropping-particle":"","parse-names":false,"suffix":""},{"dropping-particle":"","family":"Pophov","given":"V. N.","non-dropping-particle":"","parse-names":false,"suffix":""},{"dropping-particle":"V.","family":"Rogachevskiy","given":"O.","non-dropping-particle":"","parse-names":false,"suffix":""},{"dropping-particle":"","family":"Salimov","given":"E. L.","non-dropping-particle":"","parse-names":false,"suffix":""},{"dropping-particle":"V.","family":"Tftkov","given":"K.","non-dropping-particle":"","parse-names":false,"suffix":""},{"dropping-particle":"","family":"Trakhfman","given":"P. E.","non-dropping-particle":"","parse-names":false,"suffix":""},{"dropping-particle":"V.","family":"Troitskayo","given":"V.","non-dropping-particle":"","parse-names":false,"suffix":""},{"dropping-particle":"","family":"Fedorova","given":"T. A.","non-dropping-particle":"","parse-names":false,"suffix":""},{"dropping-particle":"","family":"Fidarova","given":"Z. T.","non-dropping-particle":"","parse-names":false,"suffix":""},{"dropping-particle":"","family":"Tsvetaeva","given":"N. Y.","non-dropping-particle":"","parse-names":false,"suffix":""},{"dropping-particle":"V.","family":"Chzhao","given":"A.","non-dropping-particle":"","parse-names":false,"suffix":""},{"dropping-particle":"","family":"Shestakov","given":"E. F.","non-dropping-particle":"","parse-names":false,"suffix":""}],"container-title":"Gematologiya i Transfusiologiya","id":"ITEM-1","issue":"4","issued":{"date-parts":[["2018","6"]]},"page":"372-435","publisher":"Izdatel'stvo Meditsina","title":"Clinical guidelines for red blood cell transfusion","type":"article","volume":"63"},"uris":["http://www.mendeley.com/documents/?uuid=8e605771-1ad4-4f6a-a00d-b7f526bf32d3"]}],"mendeley":{"formattedCitation":"[222]","plainTextFormattedCitation":"[222]","previouslyFormattedCitation":"[222]"},"properties":{"noteIndex":0},"schema":"https://github.com/citation-style-language/schema/raw/master/csl-citation.json"}</w:instrText>
      </w:r>
      <w:r w:rsidR="00245239">
        <w:rPr>
          <w:rStyle w:val="ac"/>
        </w:rPr>
        <w:fldChar w:fldCharType="separate"/>
      </w:r>
      <w:r w:rsidR="00E430FD" w:rsidRPr="00E430FD">
        <w:rPr>
          <w:rStyle w:val="ac"/>
          <w:b w:val="0"/>
          <w:noProof/>
        </w:rPr>
        <w:t>[222]</w:t>
      </w:r>
      <w:r w:rsidR="00245239">
        <w:rPr>
          <w:rStyle w:val="ac"/>
        </w:rPr>
        <w:fldChar w:fldCharType="end"/>
      </w:r>
      <w:r w:rsidR="00245239">
        <w:rPr>
          <w:rStyle w:val="ac"/>
        </w:rPr>
        <w:fldChar w:fldCharType="begin" w:fldLock="1"/>
      </w:r>
      <w:r w:rsidR="00E430FD">
        <w:rPr>
          <w:rStyle w:val="ac"/>
        </w:rPr>
        <w:instrText>ADDIN CSL_CITATION {"citationItems":[{"id":"ITEM-1","itemData":{"DOI":"10.1046/j.1365-2141.2003.04468.x","author":[{"dropping-particle":"","family":"Kelsey","given":"P","non-dropping-particle":"","parse-names":false,"suffix":""},{"dropping-particle":"","family":"Murphy","given":"M F","non-dropping-particle":"","parse-names":false,"suffix":""},{"dropping-particle":"","family":"Brown","given":"M","non-dropping-particle":"","parse-names":false,"suffix":""},{"dropping-particle":"","family":"Carrington","given":"P","non-dropping-particle":"","parse-names":false,"suffix":""},{"dropping-particle":"","family":"Hall","given":"G","non-dropping-particle":"","parse-names":false,"suffix":""},{"dropping-particle":"","family":"Jeffrey","given":"R R","non-dropping-particle":"","parse-names":false,"suffix":""},{"dropping-particle":"","family":"Machin","given":"S","non-dropping-particle":"","parse-names":false,"suffix":""},{"dropping-particle":"","family":"Taylor","given":"C","non-dropping-particle":"","parse-names":false,"suffix":""},{"dropping-particle":"","family":"Thomas","given":"D","non-dropping-particle":"","parse-names":false,"suffix":""},{"dropping-particle":"","family":"Boulton","given":"F","non-dropping-particle":"","parse-names":false,"suffix":""},{"dropping-particle":"","family":"Bruce","given":"M","non-dropping-particle":"","parse-names":false,"suffix":""},{"dropping-particle":"","family":"Cohen","given":"H","non-dropping-particle":"","parse-names":false,"suffix":""},{"dropping-particle":"","family":"Duguid","given":"J","non-dropping-particle":"","parse-names":false,"suffix":""},{"dropping-particle":"","family":"Knowles","given":"S M","non-dropping-particle":"","parse-names":false,"suffix":""},{"dropping-particle":"","family":"Murphy","given":"M F","non-dropping-particle":"","parse-names":false,"suffix":""},{"dropping-particle":"","family":"Poole","given":"G","non-dropping-particle":"","parse-names":false,"suffix":""},{"dropping-particle":"","family":"Williamson","given":"L M","non-dropping-particle":"","parse-names":false,"suffix":""}],"container-title":"British Journal of Haematology","id":"ITEM-1","issue":"1","issued":{"date-parts":[["2003"]]},"page":"10-23","title":"Guidelines for the use of platelet transfusions","type":"article-journal","volume":"122"},"uris":["http://www.mendeley.com/documents/?uuid=ae13e39e-d447-4417-a36a-495acada282e"]},{"id":"ITEM-2","itemData":{"author":[{"dropping-particle":"","family":"Баркаган","given":"З.С.","non-dropping-particle":"","parse-names":false,"suffix":""}],"id":"ITEM-2","issued":{"date-parts":[["1988"]]},"number-of-pages":"528","publisher":"Медицина","publisher-place":"Москва","title":"Геморрагические заболевания и синдромы","type":"book"},"uris":["http://www.mendeley.com/documents/?uuid=7a37d599-b278-42b3-b77d-5045d16580ab"]}],"mendeley":{"formattedCitation":"[223,224]","plainTextFormattedCitation":"[223,224]","previouslyFormattedCitation":"[223,224]"},"properties":{"noteIndex":0},"schema":"https://github.com/citation-style-language/schema/raw/master/csl-citation.json"}</w:instrText>
      </w:r>
      <w:r w:rsidR="00245239">
        <w:rPr>
          <w:rStyle w:val="ac"/>
        </w:rPr>
        <w:fldChar w:fldCharType="separate"/>
      </w:r>
      <w:r w:rsidR="00E430FD" w:rsidRPr="00E430FD">
        <w:rPr>
          <w:rStyle w:val="ac"/>
          <w:b w:val="0"/>
          <w:noProof/>
        </w:rPr>
        <w:t>[223,224]</w:t>
      </w:r>
      <w:r w:rsidR="00245239">
        <w:rPr>
          <w:rStyle w:val="ac"/>
        </w:rPr>
        <w:fldChar w:fldCharType="end"/>
      </w:r>
      <w:r w:rsidR="00245239">
        <w:rPr>
          <w:rStyle w:val="ac"/>
        </w:rPr>
        <w:t>.</w:t>
      </w:r>
    </w:p>
    <w:p w14:paraId="01B699CD" w14:textId="77777777" w:rsidR="00B37E1F" w:rsidRPr="00CD6C97" w:rsidRDefault="00B37E1F" w:rsidP="008F161A">
      <w:pPr>
        <w:pStyle w:val="a6"/>
        <w:numPr>
          <w:ilvl w:val="0"/>
          <w:numId w:val="166"/>
        </w:numPr>
        <w:tabs>
          <w:tab w:val="left" w:pos="284"/>
        </w:tabs>
        <w:spacing w:before="0" w:after="0"/>
        <w:ind w:left="0" w:firstLine="0"/>
        <w:rPr>
          <w:b/>
          <w:szCs w:val="24"/>
          <w:lang w:eastAsia="ru-RU"/>
        </w:rPr>
      </w:pPr>
      <w:r w:rsidRPr="00CD6C97">
        <w:rPr>
          <w:b/>
          <w:szCs w:val="24"/>
          <w:lang w:eastAsia="ru-RU"/>
        </w:rPr>
        <w:t>Трансфузии эритроцитосодержащих компонентов крови (ЭСК)</w:t>
      </w:r>
    </w:p>
    <w:p w14:paraId="5537116F" w14:textId="77777777" w:rsidR="00B37E1F" w:rsidRPr="004569A5" w:rsidRDefault="00B37E1F" w:rsidP="002431B5">
      <w:pPr>
        <w:spacing w:before="0" w:after="0"/>
        <w:rPr>
          <w:rFonts w:eastAsia="Times New Roman"/>
          <w:szCs w:val="24"/>
          <w:u w:val="single"/>
        </w:rPr>
      </w:pPr>
      <w:r w:rsidRPr="004569A5">
        <w:rPr>
          <w:rFonts w:eastAsia="Times New Roman"/>
          <w:bCs/>
          <w:szCs w:val="24"/>
          <w:u w:val="single"/>
        </w:rPr>
        <w:t>Необходимые исследования до трансфузии</w:t>
      </w:r>
    </w:p>
    <w:p w14:paraId="3CA49F80" w14:textId="77777777" w:rsidR="00B37E1F" w:rsidRPr="004569A5" w:rsidRDefault="00B37E1F" w:rsidP="008A2329">
      <w:pPr>
        <w:spacing w:before="0" w:after="0"/>
        <w:ind w:firstLine="567"/>
        <w:rPr>
          <w:rFonts w:eastAsia="Times New Roman"/>
          <w:szCs w:val="24"/>
        </w:rPr>
      </w:pPr>
      <w:r w:rsidRPr="004569A5">
        <w:rPr>
          <w:rFonts w:eastAsia="Times New Roman"/>
          <w:szCs w:val="24"/>
        </w:rPr>
        <w:t xml:space="preserve">Всем гематологическим пациентам при поступлении в медицинскую организацию необходимо осуществить первичное определение группы крови в клиническом отделении по системе AB0 и резус-принадлежности с внесением результатов определения в медицинскую документацию. После первичного определения группы крови образец крови больного направляется в клинико-диагностическую лабораторию организации, осуществляющей клиническое использование донорской крови и ее компонентов, где проводят следующие подтверждающие исследования, c внесением в медицинскую документацию: </w:t>
      </w:r>
    </w:p>
    <w:p w14:paraId="1287C99E" w14:textId="77777777" w:rsidR="00B37E1F" w:rsidRPr="004569A5" w:rsidRDefault="00B37E1F" w:rsidP="008A2329">
      <w:pPr>
        <w:spacing w:before="0" w:after="0"/>
        <w:ind w:firstLine="567"/>
        <w:rPr>
          <w:szCs w:val="24"/>
        </w:rPr>
      </w:pPr>
      <w:r w:rsidRPr="004569A5">
        <w:rPr>
          <w:rFonts w:eastAsia="Times New Roman"/>
          <w:szCs w:val="24"/>
        </w:rPr>
        <w:t>а) определение группы крови по системе AB0 и резус-принадлежности;</w:t>
      </w:r>
    </w:p>
    <w:p w14:paraId="7E4E7D40" w14:textId="32744D1D" w:rsidR="00B37E1F" w:rsidRPr="004569A5" w:rsidRDefault="00B37E1F" w:rsidP="008A2329">
      <w:pPr>
        <w:spacing w:before="0" w:after="0"/>
        <w:ind w:firstLine="567"/>
        <w:rPr>
          <w:szCs w:val="24"/>
        </w:rPr>
      </w:pPr>
      <w:r w:rsidRPr="004569A5">
        <w:rPr>
          <w:rFonts w:eastAsia="Times New Roman"/>
          <w:szCs w:val="24"/>
        </w:rPr>
        <w:t xml:space="preserve">б) </w:t>
      </w:r>
      <w:r w:rsidR="004101B2" w:rsidRPr="0053428B">
        <w:t xml:space="preserve">определение подгруппы и других групп крови меньшего значения А-1. А-2, </w:t>
      </w:r>
      <w:r w:rsidR="004101B2" w:rsidRPr="0053428B">
        <w:rPr>
          <w:lang w:val="en-US"/>
        </w:rPr>
        <w:t>D</w:t>
      </w:r>
      <w:r w:rsidR="004101B2" w:rsidRPr="0053428B">
        <w:t xml:space="preserve">, </w:t>
      </w:r>
      <w:r w:rsidR="004101B2" w:rsidRPr="0053428B">
        <w:rPr>
          <w:lang w:val="en-US"/>
        </w:rPr>
        <w:t>Cc</w:t>
      </w:r>
      <w:r w:rsidR="004101B2" w:rsidRPr="0053428B">
        <w:t xml:space="preserve">, </w:t>
      </w:r>
      <w:r w:rsidR="004101B2" w:rsidRPr="0053428B">
        <w:rPr>
          <w:lang w:val="en-US"/>
        </w:rPr>
        <w:t>E</w:t>
      </w:r>
      <w:r w:rsidR="004101B2" w:rsidRPr="0053428B">
        <w:t xml:space="preserve">, </w:t>
      </w:r>
      <w:r w:rsidR="004101B2" w:rsidRPr="0053428B">
        <w:rPr>
          <w:lang w:val="en-US"/>
        </w:rPr>
        <w:t>Kell</w:t>
      </w:r>
      <w:r w:rsidR="004101B2" w:rsidRPr="0053428B">
        <w:t xml:space="preserve">, </w:t>
      </w:r>
      <w:r w:rsidR="004101B2" w:rsidRPr="0053428B">
        <w:rPr>
          <w:lang w:val="en-US"/>
        </w:rPr>
        <w:t>Duffy</w:t>
      </w:r>
      <w:r w:rsidRPr="0053428B">
        <w:rPr>
          <w:rFonts w:eastAsia="Times New Roman"/>
          <w:szCs w:val="24"/>
        </w:rPr>
        <w:t>;</w:t>
      </w:r>
    </w:p>
    <w:p w14:paraId="2427EBB3" w14:textId="77777777" w:rsidR="00B37E1F" w:rsidRPr="004569A5" w:rsidRDefault="00B37E1F" w:rsidP="008A2329">
      <w:pPr>
        <w:spacing w:before="0" w:after="0"/>
        <w:ind w:firstLine="567"/>
        <w:rPr>
          <w:szCs w:val="24"/>
        </w:rPr>
      </w:pPr>
      <w:r w:rsidRPr="004569A5">
        <w:rPr>
          <w:rFonts w:eastAsia="Times New Roman"/>
          <w:szCs w:val="24"/>
        </w:rPr>
        <w:t>в) скрининг аллоиммунных антител с использованием не менее 3 образцов тест-эритроцитов;</w:t>
      </w:r>
    </w:p>
    <w:p w14:paraId="2A89F7A3" w14:textId="30342165" w:rsidR="00B37E1F" w:rsidRPr="004569A5" w:rsidRDefault="00B37E1F" w:rsidP="008A2329">
      <w:pPr>
        <w:spacing w:before="0" w:after="0"/>
        <w:ind w:firstLine="567"/>
        <w:rPr>
          <w:szCs w:val="24"/>
        </w:rPr>
      </w:pPr>
      <w:r w:rsidRPr="004569A5">
        <w:rPr>
          <w:rFonts w:eastAsia="Times New Roman"/>
          <w:szCs w:val="24"/>
        </w:rPr>
        <w:lastRenderedPageBreak/>
        <w:t>г) определение антигенов эритроцитов C, c, E, e. При совпадении результатов определения антигенов эритроцитов C, c, E, e, K, проведенных дважды в организации, осуществляющей клиническое использование донорской крови и ее компонентов, анти</w:t>
      </w:r>
      <w:r w:rsidR="00AE6C36">
        <w:rPr>
          <w:rFonts w:eastAsia="Times New Roman"/>
          <w:szCs w:val="24"/>
        </w:rPr>
        <w:t xml:space="preserve">гены эритроцитов C, c, E, e, K </w:t>
      </w:r>
      <w:r w:rsidRPr="004569A5">
        <w:rPr>
          <w:rFonts w:eastAsia="Times New Roman"/>
          <w:szCs w:val="24"/>
        </w:rPr>
        <w:t>считаются установленными и в дальнейшем не определяются.</w:t>
      </w:r>
    </w:p>
    <w:p w14:paraId="09EDF83E" w14:textId="38FB5DCB" w:rsidR="00B37E1F" w:rsidRPr="004569A5" w:rsidRDefault="00B37E1F" w:rsidP="008A2329">
      <w:pPr>
        <w:spacing w:before="0" w:after="0"/>
        <w:ind w:firstLine="567"/>
        <w:rPr>
          <w:szCs w:val="24"/>
        </w:rPr>
      </w:pPr>
      <w:r w:rsidRPr="004C0C25">
        <w:rPr>
          <w:rFonts w:eastAsia="Times New Roman"/>
          <w:szCs w:val="24"/>
        </w:rPr>
        <w:t>Не допускается внесение в медицинскую документацию результатов указанных выше исследований на основании данных медицинской документации, оформленной иными медицинскими организациями, в которых больному ранее была оказана медицинская помощь или проводилось медицинское обследование</w:t>
      </w:r>
      <w:r w:rsidR="00245239">
        <w:rPr>
          <w:rStyle w:val="ac"/>
        </w:rPr>
        <w:fldChar w:fldCharType="begin" w:fldLock="1"/>
      </w:r>
      <w:r w:rsidR="00E430FD">
        <w:rPr>
          <w:rStyle w:val="ac"/>
        </w:rPr>
        <w:instrText>ADDIN CSL_CITATION {"citationItems":[{"id":"ITEM-1","itemData":{"DOI":"10.1046/j.1365-2141.2003.04468.x","author":[{"dropping-particle":"","family":"Kelsey","given":"P","non-dropping-particle":"","parse-names":false,"suffix":""},{"dropping-particle":"","family":"Murphy","given":"M F","non-dropping-particle":"","parse-names":false,"suffix":""},{"dropping-particle":"","family":"Brown","given":"M","non-dropping-particle":"","parse-names":false,"suffix":""},{"dropping-particle":"","family":"Carrington","given":"P","non-dropping-particle":"","parse-names":false,"suffix":""},{"dropping-particle":"","family":"Hall","given":"G","non-dropping-particle":"","parse-names":false,"suffix":""},{"dropping-particle":"","family":"Jeffrey","given":"R R","non-dropping-particle":"","parse-names":false,"suffix":""},{"dropping-particle":"","family":"Machin","given":"S","non-dropping-particle":"","parse-names":false,"suffix":""},{"dropping-particle":"","family":"Taylor","given":"C","non-dropping-particle":"","parse-names":false,"suffix":""},{"dropping-particle":"","family":"Thomas","given":"D","non-dropping-particle":"","parse-names":false,"suffix":""},{"dropping-particle":"","family":"Boulton","given":"F","non-dropping-particle":"","parse-names":false,"suffix":""},{"dropping-particle":"","family":"Bruce","given":"M","non-dropping-particle":"","parse-names":false,"suffix":""},{"dropping-particle":"","family":"Cohen","given":"H","non-dropping-particle":"","parse-names":false,"suffix":""},{"dropping-particle":"","family":"Duguid","given":"J","non-dropping-particle":"","parse-names":false,"suffix":""},{"dropping-particle":"","family":"Knowles","given":"S M","non-dropping-particle":"","parse-names":false,"suffix":""},{"dropping-particle":"","family":"Murphy","given":"M F","non-dropping-particle":"","parse-names":false,"suffix":""},{"dropping-particle":"","family":"Poole","given":"G","non-dropping-particle":"","parse-names":false,"suffix":""},{"dropping-particle":"","family":"Williamson","given":"L M","non-dropping-particle":"","parse-names":false,"suffix":""}],"container-title":"British Journal of Haematology","id":"ITEM-1","issue":"1","issued":{"date-parts":[["2003"]]},"page":"10-23","title":"Guidelines for the use of platelet transfusions","type":"article-journal","volume":"122"},"uris":["http://www.mendeley.com/documents/?uuid=ae13e39e-d447-4417-a36a-495acada282e"]},{"id":"ITEM-2","itemData":{"author":[{"dropping-particle":"","family":"Баркаган","given":"З.С.","non-dropping-particle":"","parse-names":false,"suffix":""}],"id":"ITEM-2","issued":{"date-parts":[["1988"]]},"number-of-pages":"528","publisher":"Медицина","publisher-place":"Москва","title":"Геморрагические заболевания и синдромы","type":"book"},"uris":["http://www.mendeley.com/documents/?uuid=7a37d599-b278-42b3-b77d-5045d16580ab"]}],"mendeley":{"formattedCitation":"[223,224]","plainTextFormattedCitation":"[223,224]","previouslyFormattedCitation":"[223,224]"},"properties":{"noteIndex":0},"schema":"https://github.com/citation-style-language/schema/raw/master/csl-citation.json"}</w:instrText>
      </w:r>
      <w:r w:rsidR="00245239">
        <w:rPr>
          <w:rStyle w:val="ac"/>
        </w:rPr>
        <w:fldChar w:fldCharType="separate"/>
      </w:r>
      <w:r w:rsidR="00E430FD" w:rsidRPr="00E430FD">
        <w:rPr>
          <w:rStyle w:val="ac"/>
          <w:b w:val="0"/>
          <w:noProof/>
        </w:rPr>
        <w:t>[223,224]</w:t>
      </w:r>
      <w:r w:rsidR="00245239">
        <w:rPr>
          <w:rStyle w:val="ac"/>
        </w:rPr>
        <w:fldChar w:fldCharType="end"/>
      </w:r>
      <w:r w:rsidRPr="004C0C25">
        <w:rPr>
          <w:rFonts w:eastAsia="Times New Roman"/>
          <w:szCs w:val="24"/>
        </w:rPr>
        <w:t>.</w:t>
      </w:r>
    </w:p>
    <w:p w14:paraId="095915B4" w14:textId="77777777" w:rsidR="00B37E1F" w:rsidRPr="004569A5" w:rsidRDefault="00B37E1F" w:rsidP="008A2329">
      <w:pPr>
        <w:spacing w:before="0" w:after="0"/>
        <w:ind w:firstLine="567"/>
        <w:rPr>
          <w:rFonts w:eastAsia="Times New Roman"/>
          <w:szCs w:val="24"/>
        </w:rPr>
      </w:pPr>
      <w:r w:rsidRPr="004569A5">
        <w:rPr>
          <w:rFonts w:eastAsia="Times New Roman"/>
          <w:szCs w:val="24"/>
        </w:rPr>
        <w:t>В целях профилактики реакций и осложнений в связи с трансфузией используются ЭСК, идентичные или совместимые по системе AB0, резус-принадлежности и K. При плановых трансфузиях ЭСК дополнительно учитывают совместимость донора и реципиента по антигенам эритроцитов C, c, E, e, С</w:t>
      </w:r>
      <w:r w:rsidRPr="004569A5">
        <w:rPr>
          <w:rFonts w:eastAsia="Times New Roman"/>
          <w:szCs w:val="24"/>
          <w:vertAlign w:val="superscript"/>
          <w:lang w:val="en-US" w:eastAsia="ru-RU"/>
        </w:rPr>
        <w:t>W</w:t>
      </w:r>
      <w:r w:rsidRPr="004569A5">
        <w:rPr>
          <w:rFonts w:eastAsia="Times New Roman"/>
          <w:szCs w:val="24"/>
        </w:rPr>
        <w:t>.</w:t>
      </w:r>
    </w:p>
    <w:p w14:paraId="39A25031" w14:textId="77777777" w:rsidR="00B37E1F" w:rsidRPr="004569A5" w:rsidRDefault="00B37E1F" w:rsidP="008A2329">
      <w:pPr>
        <w:spacing w:before="0" w:after="0"/>
        <w:ind w:firstLine="567"/>
        <w:rPr>
          <w:rFonts w:eastAsia="Times New Roman"/>
          <w:szCs w:val="24"/>
        </w:rPr>
      </w:pPr>
      <w:r w:rsidRPr="004569A5">
        <w:rPr>
          <w:rFonts w:eastAsia="Times New Roman"/>
          <w:szCs w:val="24"/>
          <w:lang w:eastAsia="ru-RU"/>
        </w:rPr>
        <w:t xml:space="preserve"> Индивидуальный подбор компонентов крови осуществляется реципиентам, имеющим: </w:t>
      </w:r>
    </w:p>
    <w:p w14:paraId="22EB2B50" w14:textId="77777777" w:rsidR="00B37E1F" w:rsidRPr="004569A5" w:rsidRDefault="00B37E1F" w:rsidP="008A2329">
      <w:pPr>
        <w:spacing w:before="0" w:after="0"/>
        <w:ind w:firstLine="567"/>
        <w:rPr>
          <w:rFonts w:eastAsia="Times New Roman"/>
          <w:szCs w:val="24"/>
        </w:rPr>
      </w:pPr>
      <w:r w:rsidRPr="004569A5">
        <w:rPr>
          <w:rFonts w:eastAsia="Times New Roman"/>
          <w:szCs w:val="24"/>
          <w:lang w:eastAsia="ru-RU"/>
        </w:rPr>
        <w:t>а) посттрансфузионные осложнения в анамнезе</w:t>
      </w:r>
    </w:p>
    <w:p w14:paraId="32E968CA" w14:textId="77777777" w:rsidR="00B37E1F" w:rsidRPr="004569A5" w:rsidRDefault="00B37E1F" w:rsidP="008A2329">
      <w:pPr>
        <w:spacing w:before="0" w:after="0"/>
        <w:ind w:firstLine="567"/>
        <w:rPr>
          <w:rFonts w:eastAsia="Times New Roman"/>
          <w:szCs w:val="24"/>
          <w:lang w:eastAsia="ru-RU"/>
        </w:rPr>
      </w:pPr>
      <w:r w:rsidRPr="004569A5">
        <w:rPr>
          <w:rFonts w:eastAsia="Times New Roman"/>
          <w:szCs w:val="24"/>
          <w:lang w:eastAsia="ru-RU"/>
        </w:rPr>
        <w:t>б) рождение детей с гемолитической болезнью новорожденного в анамнезе</w:t>
      </w:r>
    </w:p>
    <w:p w14:paraId="3F65E739" w14:textId="77777777" w:rsidR="00B37E1F" w:rsidRPr="004569A5" w:rsidRDefault="00B37E1F" w:rsidP="008A2329">
      <w:pPr>
        <w:spacing w:before="0" w:after="0"/>
        <w:ind w:firstLine="567"/>
        <w:rPr>
          <w:rFonts w:eastAsia="Times New Roman"/>
          <w:szCs w:val="24"/>
        </w:rPr>
      </w:pPr>
      <w:r>
        <w:rPr>
          <w:rFonts w:eastAsia="Times New Roman"/>
          <w:szCs w:val="24"/>
          <w:lang w:eastAsia="ru-RU"/>
        </w:rPr>
        <w:t>в</w:t>
      </w:r>
      <w:r w:rsidRPr="004569A5">
        <w:rPr>
          <w:rFonts w:eastAsia="Times New Roman"/>
          <w:szCs w:val="24"/>
          <w:lang w:eastAsia="ru-RU"/>
        </w:rPr>
        <w:t xml:space="preserve">) аллоиммунные антитела. </w:t>
      </w:r>
    </w:p>
    <w:p w14:paraId="43644761" w14:textId="77777777" w:rsidR="00B37E1F" w:rsidRPr="004569A5" w:rsidRDefault="00B37E1F" w:rsidP="008A2329">
      <w:pPr>
        <w:spacing w:before="0" w:after="0"/>
        <w:ind w:firstLine="567"/>
        <w:rPr>
          <w:rFonts w:eastAsia="Times New Roman"/>
          <w:szCs w:val="24"/>
        </w:rPr>
      </w:pPr>
      <w:r w:rsidRPr="004569A5">
        <w:rPr>
          <w:rFonts w:eastAsia="Times New Roman"/>
          <w:szCs w:val="24"/>
        </w:rPr>
        <w:t>Индивидуальный подбор не отменяет постановку пробы на совместимость на плоскости при комнатной температуре и биологическую пробу врачом, проводящим трансфузию.</w:t>
      </w:r>
    </w:p>
    <w:p w14:paraId="79132DA0" w14:textId="77777777" w:rsidR="00B37E1F" w:rsidRPr="004569A5" w:rsidRDefault="00B37E1F" w:rsidP="008A2329">
      <w:pPr>
        <w:spacing w:before="0" w:after="0"/>
        <w:ind w:firstLine="567"/>
        <w:rPr>
          <w:rFonts w:eastAsia="Times New Roman"/>
          <w:szCs w:val="24"/>
        </w:rPr>
      </w:pPr>
      <w:r w:rsidRPr="004569A5">
        <w:rPr>
          <w:rFonts w:eastAsia="Times New Roman"/>
          <w:szCs w:val="24"/>
        </w:rPr>
        <w:t>При определении показаний к трансфузиям компонентов донорской крови обязательно проводятся следующие лабораторные исследования:</w:t>
      </w:r>
    </w:p>
    <w:p w14:paraId="6FCA47B6" w14:textId="77777777" w:rsidR="00B37E1F" w:rsidRPr="004569A5" w:rsidRDefault="00B37E1F" w:rsidP="008F161A">
      <w:pPr>
        <w:pStyle w:val="a6"/>
        <w:numPr>
          <w:ilvl w:val="0"/>
          <w:numId w:val="87"/>
        </w:numPr>
        <w:spacing w:before="0" w:after="0"/>
        <w:ind w:left="0" w:firstLine="0"/>
        <w:rPr>
          <w:rFonts w:eastAsia="Times New Roman"/>
          <w:szCs w:val="24"/>
        </w:rPr>
      </w:pPr>
      <w:r w:rsidRPr="004569A5">
        <w:rPr>
          <w:rFonts w:eastAsia="Times New Roman"/>
          <w:szCs w:val="24"/>
        </w:rPr>
        <w:t>Перед трансфузией клеточных компонентов донорской крови (эритроцитная взвесь, концентрат тромбоцитов) - общий (клинический) анализ крови</w:t>
      </w:r>
    </w:p>
    <w:p w14:paraId="3E2E033C" w14:textId="77777777" w:rsidR="00B37E1F" w:rsidRPr="004569A5" w:rsidRDefault="00B37E1F" w:rsidP="008F161A">
      <w:pPr>
        <w:pStyle w:val="a6"/>
        <w:numPr>
          <w:ilvl w:val="0"/>
          <w:numId w:val="87"/>
        </w:numPr>
        <w:spacing w:before="0" w:after="0"/>
        <w:ind w:left="0" w:firstLine="0"/>
        <w:rPr>
          <w:szCs w:val="24"/>
        </w:rPr>
      </w:pPr>
      <w:r w:rsidRPr="004569A5">
        <w:rPr>
          <w:rFonts w:eastAsia="Times New Roman"/>
          <w:szCs w:val="24"/>
        </w:rPr>
        <w:t>Перед трансфузией СЗП, криопреципитата и криосупернатантной плазмы - коагулограмма.</w:t>
      </w:r>
    </w:p>
    <w:p w14:paraId="063EE0DA" w14:textId="77777777" w:rsidR="00B37E1F" w:rsidRPr="00FD15FE" w:rsidRDefault="00B37E1F" w:rsidP="008A2329">
      <w:pPr>
        <w:spacing w:before="0" w:after="0"/>
        <w:rPr>
          <w:b/>
          <w:u w:val="single"/>
        </w:rPr>
      </w:pPr>
      <w:r w:rsidRPr="00FD15FE">
        <w:rPr>
          <w:b/>
          <w:u w:val="single"/>
        </w:rPr>
        <w:t>Показания к переливанию ЭСК</w:t>
      </w:r>
    </w:p>
    <w:p w14:paraId="3544CCAF" w14:textId="77777777" w:rsidR="00B37E1F" w:rsidRPr="004569A5" w:rsidRDefault="00B37E1F" w:rsidP="0024404E">
      <w:pPr>
        <w:pStyle w:val="FitzBullet"/>
        <w:numPr>
          <w:ilvl w:val="0"/>
          <w:numId w:val="83"/>
        </w:numPr>
        <w:spacing w:before="0" w:after="0" w:line="360" w:lineRule="auto"/>
        <w:ind w:left="0"/>
        <w:jc w:val="both"/>
        <w:rPr>
          <w:sz w:val="24"/>
          <w:szCs w:val="24"/>
          <w:lang w:val="ru-RU"/>
        </w:rPr>
      </w:pPr>
      <w:r w:rsidRPr="004569A5">
        <w:rPr>
          <w:sz w:val="24"/>
          <w:szCs w:val="24"/>
          <w:lang w:val="ru-RU"/>
        </w:rPr>
        <w:t xml:space="preserve">Пациентам с хронической анемией переливание показано при уровне гемоглобина </w:t>
      </w:r>
      <w:proofErr w:type="gramStart"/>
      <w:r w:rsidRPr="004569A5">
        <w:rPr>
          <w:sz w:val="24"/>
          <w:szCs w:val="24"/>
          <w:lang w:val="ru-RU"/>
        </w:rPr>
        <w:t>&lt; 60</w:t>
      </w:r>
      <w:proofErr w:type="gramEnd"/>
      <w:r>
        <w:rPr>
          <w:sz w:val="24"/>
          <w:szCs w:val="24"/>
          <w:lang w:val="ru-RU"/>
        </w:rPr>
        <w:t>-80</w:t>
      </w:r>
      <w:r w:rsidRPr="004569A5">
        <w:rPr>
          <w:sz w:val="24"/>
          <w:szCs w:val="24"/>
          <w:lang w:val="ru-RU"/>
        </w:rPr>
        <w:t> г/л. В данном случае переливание донорских эритроцитов проводится только для коррекции важнейших симптомов, обусловленных анемией и не поддающихся основной патогенетической терапии.</w:t>
      </w:r>
    </w:p>
    <w:p w14:paraId="2B6D25F9" w14:textId="77777777" w:rsidR="00B37E1F" w:rsidRPr="004569A5" w:rsidRDefault="00B37E1F" w:rsidP="0024404E">
      <w:pPr>
        <w:pStyle w:val="FitzBullet"/>
        <w:numPr>
          <w:ilvl w:val="0"/>
          <w:numId w:val="83"/>
        </w:numPr>
        <w:spacing w:before="0" w:after="0" w:line="360" w:lineRule="auto"/>
        <w:ind w:left="0"/>
        <w:jc w:val="both"/>
        <w:rPr>
          <w:sz w:val="24"/>
          <w:szCs w:val="24"/>
          <w:lang w:val="ru-RU"/>
        </w:rPr>
      </w:pPr>
      <w:r w:rsidRPr="004569A5">
        <w:rPr>
          <w:sz w:val="24"/>
          <w:szCs w:val="24"/>
          <w:lang w:val="ru-RU"/>
        </w:rPr>
        <w:t xml:space="preserve">Пациентам с сепсисом, ишемической болезнью сердца (в том числе, инфарктом миокарда, стенокардией напряжения), миокардитом и другими кардиопатиями трансфузии эритроцитов рекомендованы при уровне гемоглобина </w:t>
      </w:r>
      <w:proofErr w:type="gramStart"/>
      <w:r w:rsidRPr="004569A5">
        <w:rPr>
          <w:sz w:val="24"/>
          <w:szCs w:val="24"/>
          <w:lang w:val="ru-RU"/>
        </w:rPr>
        <w:t>&lt; </w:t>
      </w:r>
      <w:r>
        <w:rPr>
          <w:sz w:val="24"/>
          <w:szCs w:val="24"/>
          <w:lang w:val="ru-RU"/>
        </w:rPr>
        <w:t>80</w:t>
      </w:r>
      <w:proofErr w:type="gramEnd"/>
      <w:r>
        <w:rPr>
          <w:sz w:val="24"/>
          <w:szCs w:val="24"/>
          <w:lang w:val="ru-RU"/>
        </w:rPr>
        <w:t>-</w:t>
      </w:r>
      <w:r w:rsidRPr="004569A5">
        <w:rPr>
          <w:sz w:val="24"/>
          <w:szCs w:val="24"/>
          <w:lang w:val="ru-RU"/>
        </w:rPr>
        <w:t>100 г/л.</w:t>
      </w:r>
    </w:p>
    <w:p w14:paraId="1556977A" w14:textId="77777777" w:rsidR="00B37E1F" w:rsidRPr="004569A5" w:rsidRDefault="00B37E1F" w:rsidP="0024404E">
      <w:pPr>
        <w:pStyle w:val="FitzBullet"/>
        <w:numPr>
          <w:ilvl w:val="0"/>
          <w:numId w:val="83"/>
        </w:numPr>
        <w:spacing w:before="0" w:after="0" w:line="360" w:lineRule="auto"/>
        <w:ind w:left="0"/>
        <w:jc w:val="both"/>
        <w:rPr>
          <w:sz w:val="24"/>
          <w:szCs w:val="24"/>
          <w:lang w:val="ru-RU"/>
        </w:rPr>
      </w:pPr>
      <w:r w:rsidRPr="004569A5">
        <w:rPr>
          <w:sz w:val="24"/>
          <w:szCs w:val="24"/>
          <w:lang w:val="ru-RU"/>
        </w:rPr>
        <w:lastRenderedPageBreak/>
        <w:t xml:space="preserve">Пациентам старше 60 лет трансфузии эритроцитов показаны при уровне гемоглобина </w:t>
      </w:r>
      <w:proofErr w:type="gramStart"/>
      <w:r w:rsidRPr="004569A5">
        <w:rPr>
          <w:sz w:val="24"/>
          <w:szCs w:val="24"/>
          <w:lang w:val="ru-RU"/>
        </w:rPr>
        <w:t>&lt; </w:t>
      </w:r>
      <w:r>
        <w:rPr>
          <w:sz w:val="24"/>
          <w:szCs w:val="24"/>
          <w:lang w:val="ru-RU"/>
        </w:rPr>
        <w:t>80</w:t>
      </w:r>
      <w:proofErr w:type="gramEnd"/>
      <w:r>
        <w:rPr>
          <w:sz w:val="24"/>
          <w:szCs w:val="24"/>
          <w:lang w:val="ru-RU"/>
        </w:rPr>
        <w:t>-100</w:t>
      </w:r>
      <w:r w:rsidRPr="004569A5">
        <w:rPr>
          <w:sz w:val="24"/>
          <w:szCs w:val="24"/>
          <w:lang w:val="ru-RU"/>
        </w:rPr>
        <w:t> г/л.</w:t>
      </w:r>
    </w:p>
    <w:p w14:paraId="35FDEAE1" w14:textId="77777777" w:rsidR="00B37E1F" w:rsidRPr="00FD15FE" w:rsidRDefault="00B37E1F" w:rsidP="002431B5">
      <w:pPr>
        <w:rPr>
          <w:b/>
          <w:iCs/>
          <w:szCs w:val="24"/>
          <w:u w:val="single"/>
        </w:rPr>
      </w:pPr>
      <w:r w:rsidRPr="00FD15FE">
        <w:rPr>
          <w:b/>
          <w:iCs/>
          <w:szCs w:val="24"/>
          <w:u w:val="single"/>
        </w:rPr>
        <w:t>Показ</w:t>
      </w:r>
      <w:r w:rsidRPr="00FD15FE">
        <w:rPr>
          <w:b/>
          <w:u w:val="single"/>
        </w:rPr>
        <w:t>ания к ЭСК при острой анемии вследствие массивной кровопотери</w:t>
      </w:r>
    </w:p>
    <w:p w14:paraId="69287F1F" w14:textId="77777777" w:rsidR="00B37E1F" w:rsidRPr="004569A5" w:rsidRDefault="00B37E1F" w:rsidP="0024404E">
      <w:pPr>
        <w:pStyle w:val="FitzBullet"/>
        <w:numPr>
          <w:ilvl w:val="0"/>
          <w:numId w:val="84"/>
        </w:numPr>
        <w:spacing w:before="0" w:after="0" w:line="360" w:lineRule="auto"/>
        <w:ind w:left="0"/>
        <w:jc w:val="both"/>
        <w:rPr>
          <w:sz w:val="24"/>
          <w:szCs w:val="24"/>
          <w:lang w:val="ru-RU"/>
        </w:rPr>
      </w:pPr>
      <w:r w:rsidRPr="004569A5">
        <w:rPr>
          <w:sz w:val="24"/>
          <w:szCs w:val="24"/>
          <w:lang w:val="ru-RU"/>
        </w:rPr>
        <w:t>Кровопотеря, составляющая 15—30% от объема циркулирующей крови при наличии предшествующей анемии или сопутствующих кардиологических или пульмонологических заболеваниях.</w:t>
      </w:r>
    </w:p>
    <w:p w14:paraId="51A1A9BE" w14:textId="77777777" w:rsidR="00B37E1F" w:rsidRPr="004569A5" w:rsidRDefault="00B37E1F" w:rsidP="0024404E">
      <w:pPr>
        <w:pStyle w:val="FitzBullet"/>
        <w:numPr>
          <w:ilvl w:val="0"/>
          <w:numId w:val="84"/>
        </w:numPr>
        <w:spacing w:before="0" w:after="0" w:line="360" w:lineRule="auto"/>
        <w:ind w:left="0"/>
        <w:jc w:val="both"/>
        <w:rPr>
          <w:sz w:val="24"/>
          <w:szCs w:val="24"/>
          <w:lang w:val="ru-RU"/>
        </w:rPr>
      </w:pPr>
      <w:r w:rsidRPr="004569A5">
        <w:rPr>
          <w:sz w:val="24"/>
          <w:szCs w:val="24"/>
          <w:lang w:val="ru-RU"/>
        </w:rPr>
        <w:t>Уровень гемоглобина ниже 70—90 г/л при активном кровотечении.</w:t>
      </w:r>
    </w:p>
    <w:p w14:paraId="41F9C3ED" w14:textId="77777777" w:rsidR="00B37E1F" w:rsidRPr="004569A5" w:rsidRDefault="00B37E1F" w:rsidP="0024404E">
      <w:pPr>
        <w:pStyle w:val="FitzBullet"/>
        <w:numPr>
          <w:ilvl w:val="0"/>
          <w:numId w:val="84"/>
        </w:numPr>
        <w:spacing w:before="0" w:after="0" w:line="360" w:lineRule="auto"/>
        <w:ind w:left="0"/>
        <w:jc w:val="both"/>
        <w:rPr>
          <w:sz w:val="24"/>
          <w:szCs w:val="24"/>
          <w:lang w:val="ru-RU"/>
        </w:rPr>
      </w:pPr>
      <w:r w:rsidRPr="004569A5">
        <w:rPr>
          <w:sz w:val="24"/>
          <w:szCs w:val="24"/>
          <w:lang w:val="ru-RU"/>
        </w:rPr>
        <w:t xml:space="preserve">Уровень гемоглобина </w:t>
      </w:r>
      <w:proofErr w:type="gramStart"/>
      <w:r w:rsidRPr="004569A5">
        <w:rPr>
          <w:sz w:val="24"/>
          <w:szCs w:val="24"/>
          <w:lang w:val="ru-RU"/>
        </w:rPr>
        <w:t>&lt; 100</w:t>
      </w:r>
      <w:proofErr w:type="gramEnd"/>
      <w:r w:rsidRPr="004569A5">
        <w:rPr>
          <w:sz w:val="24"/>
          <w:szCs w:val="24"/>
          <w:lang w:val="ru-RU"/>
        </w:rPr>
        <w:t> г/л у пациентов с черепно-мозговой травмой, субарахноидальным кровоизлиянием, хронической дыхательной недостаточностью, ишемической болезнью сердца, кардиохирургических пациентов, пожилых пациентов </w:t>
      </w:r>
    </w:p>
    <w:p w14:paraId="25DE3623" w14:textId="77777777" w:rsidR="00B37E1F" w:rsidRPr="004569A5" w:rsidRDefault="00B37E1F" w:rsidP="0024404E">
      <w:pPr>
        <w:pStyle w:val="FitzBullet"/>
        <w:numPr>
          <w:ilvl w:val="0"/>
          <w:numId w:val="84"/>
        </w:numPr>
        <w:spacing w:before="0" w:after="0" w:line="360" w:lineRule="auto"/>
        <w:ind w:left="0"/>
        <w:jc w:val="both"/>
        <w:rPr>
          <w:sz w:val="24"/>
          <w:szCs w:val="24"/>
          <w:lang w:val="ru-RU"/>
        </w:rPr>
      </w:pPr>
      <w:r w:rsidRPr="004569A5">
        <w:rPr>
          <w:sz w:val="24"/>
          <w:szCs w:val="24"/>
          <w:lang w:val="ru-RU"/>
        </w:rPr>
        <w:t>Рекомендуется соблюдение формулы 1:1:1, обозначающей должное соотношение эритроцитов, СЗП и тромбоцитов.</w:t>
      </w:r>
    </w:p>
    <w:p w14:paraId="58CFAACA" w14:textId="77777777" w:rsidR="00B37E1F" w:rsidRPr="00FD15FE" w:rsidRDefault="00B37E1F" w:rsidP="008F161A">
      <w:pPr>
        <w:pStyle w:val="a6"/>
        <w:numPr>
          <w:ilvl w:val="0"/>
          <w:numId w:val="166"/>
        </w:numPr>
        <w:tabs>
          <w:tab w:val="left" w:pos="284"/>
        </w:tabs>
        <w:spacing w:before="0" w:after="0"/>
        <w:ind w:left="0" w:firstLine="0"/>
        <w:rPr>
          <w:b/>
          <w:szCs w:val="24"/>
          <w:lang w:eastAsia="ru-RU"/>
        </w:rPr>
      </w:pPr>
      <w:r w:rsidRPr="00FD15FE">
        <w:rPr>
          <w:b/>
          <w:szCs w:val="24"/>
          <w:lang w:eastAsia="ru-RU"/>
        </w:rPr>
        <w:t>Трансфузии концентрата тромбоцитов</w:t>
      </w:r>
    </w:p>
    <w:p w14:paraId="31D7EB90" w14:textId="1900C439" w:rsidR="00B37E1F" w:rsidRPr="004569A5" w:rsidRDefault="00B37E1F" w:rsidP="008A2329">
      <w:pPr>
        <w:spacing w:before="0" w:after="0"/>
        <w:ind w:firstLine="567"/>
        <w:contextualSpacing/>
        <w:rPr>
          <w:color w:val="333333"/>
          <w:szCs w:val="24"/>
        </w:rPr>
      </w:pPr>
      <w:r w:rsidRPr="004569A5">
        <w:rPr>
          <w:color w:val="373838"/>
          <w:szCs w:val="24"/>
        </w:rPr>
        <w:t xml:space="preserve">Считается, что </w:t>
      </w:r>
      <w:r w:rsidRPr="004569A5">
        <w:rPr>
          <w:color w:val="333333"/>
          <w:szCs w:val="24"/>
        </w:rPr>
        <w:t>пороговый уровень тромбоцитов у пациентов в стационаре, при котором проводятся профилактические трансфузии концентрата тромбоцитов, составляет 10х10</w:t>
      </w:r>
      <w:r w:rsidRPr="004569A5">
        <w:rPr>
          <w:color w:val="333333"/>
          <w:szCs w:val="24"/>
          <w:vertAlign w:val="superscript"/>
        </w:rPr>
        <w:t>9</w:t>
      </w:r>
      <w:r w:rsidRPr="004569A5">
        <w:rPr>
          <w:color w:val="333333"/>
          <w:szCs w:val="24"/>
        </w:rPr>
        <w:t>/л при условии отсутствия факторов риска кровотечения. Для амбулаторных пациентов это значение может быть увеличено. Медицинские манипуляции, например, установка центрального венозного катетера (ЦВК), являются условием к проведению профилактических трансфузий концентрата тромбоцитов при количестве тромбоцитов в периферической крови 20-30</w:t>
      </w:r>
      <w:r w:rsidRPr="004569A5">
        <w:rPr>
          <w:szCs w:val="24"/>
        </w:rPr>
        <w:t>х</w:t>
      </w:r>
      <w:r w:rsidRPr="004569A5">
        <w:rPr>
          <w:color w:val="333333"/>
          <w:szCs w:val="24"/>
        </w:rPr>
        <w:t>10</w:t>
      </w:r>
      <w:r w:rsidRPr="004569A5">
        <w:rPr>
          <w:color w:val="333333"/>
          <w:szCs w:val="24"/>
          <w:vertAlign w:val="superscript"/>
        </w:rPr>
        <w:t>9</w:t>
      </w:r>
      <w:r w:rsidRPr="004569A5">
        <w:rPr>
          <w:color w:val="333333"/>
          <w:szCs w:val="24"/>
        </w:rPr>
        <w:t>/л и ниже, а перед люмбальной пункцией или объемной операцией пороговый уровень тромбоцитов повышается до 50х10</w:t>
      </w:r>
      <w:r w:rsidRPr="004569A5">
        <w:rPr>
          <w:color w:val="333333"/>
          <w:szCs w:val="24"/>
          <w:vertAlign w:val="superscript"/>
        </w:rPr>
        <w:t>9</w:t>
      </w:r>
      <w:r w:rsidRPr="004569A5">
        <w:rPr>
          <w:color w:val="333333"/>
          <w:szCs w:val="24"/>
        </w:rPr>
        <w:t>/л</w:t>
      </w:r>
      <w:r w:rsidR="00245239">
        <w:rPr>
          <w:color w:val="333333"/>
          <w:szCs w:val="24"/>
        </w:rPr>
        <w:t xml:space="preserve"> </w:t>
      </w:r>
      <w:r w:rsidR="00245239">
        <w:rPr>
          <w:color w:val="333333"/>
          <w:szCs w:val="24"/>
        </w:rPr>
        <w:fldChar w:fldCharType="begin" w:fldLock="1"/>
      </w:r>
      <w:r w:rsidR="00E430FD">
        <w:rPr>
          <w:color w:val="333333"/>
          <w:szCs w:val="24"/>
        </w:rPr>
        <w:instrText>ADDIN CSL_CITATION {"citationItems":[{"id":"ITEM-1","itemData":{"DOI":"10.1002/14651858.cd004269.pub3","ISSN":"1469-493X","PMID":"22592695","abstract":"Platelet transfusions are used in modern clinical practice to prevent and treat bleeding in thrombocytopenic patients with bone marrow failure. Although considerable advances have been made in platelet transfusion therapy in the last 40 years, some areas continue to provoke debate especially concerning the use of prophylactic platelet transfusions for the prevention of thrombocytopenic bleeding.","author":[{"dropping-particle":"","family":"Estcourt","given":"Lise","non-dropping-particle":"","parse-names":false,"suffix":""},{"dropping-particle":"","family":"Stanworth","given":"Simon","non-dropping-particle":"","parse-names":false,"suffix":""},{"dropping-particle":"","family":"Doree","given":"Carolyn","non-dropping-particle":"","parse-names":false,"suffix":""},{"dropping-particle":"","family":"Hopewell","given":"Sally","non-dropping-particle":"","parse-names":false,"suffix":""},{"dropping-particle":"","family":"Murphy","given":"Michael F","non-dropping-particle":"","parse-names":false,"suffix":""},{"dropping-particle":"","family":"Tinmouth","given":"Alan","non-dropping-particle":"","parse-names":false,"suffix":""},{"dropping-particle":"","family":"Heddle","given":"Nancy","non-dropping-particle":"","parse-names":false,"suffix":""}],"container-title":"Cochrane Database of Systematic Reviews","id":"ITEM-1","issue":"5","issued":{"date-parts":[["2012","5"]]},"publisher":"Wiley","title":"Prophylactic platelet transfusion for prevention of bleeding in patients with haematological disorders after chemotherapy and stem cell transplantation","type":"article-journal"},"uris":["http://www.mendeley.com/documents/?uuid=8bc6f13f-4114-432b-aa81-c7b7469441db"]},{"id":"ITEM-2","itemData":{"DOI":"10.1111/j.1365-2141.2005.05769.x","ISSN":"0007-1048","abstract":"National guidelines for platelet transfusion in many countries recommend that the general platelet transfusion trigger for prophylaxis is 10 × 109/l. This annotation reviews the evidence for this threshold level and discusses other current unresolved issues relevant to platelet transfusion practice such as the optimal dose and the clinical benefit of a strategy for the prophylactic use of platelet transfusions when the platelet count falls below a given threshold. © 2005 Blackwell Publishing Ltd.","author":[{"dropping-particle":"","family":"Stanworth","given":"S. J.","non-dropping-particle":"","parse-names":false,"suffix":""},{"dropping-particle":"","family":"Hyde","given":"C.","non-dropping-particle":"","parse-names":false,"suffix":""},{"dropping-particle":"","family":"Brunskill","given":"S.","non-dropping-particle":"","parse-names":false,"suffix":""},{"dropping-particle":"","family":"Murphy","given":"M. F.","non-dropping-particle":"","parse-names":false,"suffix":""}],"container-title":"British Journal of Haematology","id":"ITEM-2","issue":"5","issued":{"date-parts":[["2005","12"]]},"page":"588-595","publisher":"John Wiley &amp; Sons, Ltd","title":"Platelet transfusion prophylaxis for patients with haematological malignancies: where to now?","type":"article-journal","volume":"131"},"uris":["http://www.mendeley.com/documents/?uuid=3fab0297-1897-4a5c-b96d-4ccf1fe6ca4f"]},{"id":"ITEM-3","itemData":{"DOI":"10.1056/nejmoa1212772","ISSN":"0028-4793","abstract":"BACKGROUND: The effectiveness of platelet transfusions to prevent bleeding in patients with hematologic cancers remains unclear. This trial assessed whether a policy of not giving prophylactic platelet transfusions was as effective and safe as a policy of providing prophylaxis. METHODS: We conducted this randomized, open-label, noninferiority trial at 14 centers in the United Kingdom and Australia. Patients were randomly assigned to receive, or not to receive, prophylactic platelet transfusions when morning platelet counts were less than 10×10 9 per liter. Eligible patients were persons 16 years of age or older who were receiving chemotherapy or undergoing stem-cell transplantation and who had or were expected to have thrombocytopenia. The primary end point was bleeding of World Health Organization (WHO) grade 2, 3, or 4 up to 30 days after randomization. RESULTS: A total of 600 patients (301 in the no-prophylaxis group and 299 in the prophylaxis group) underwent randomization between 2006 and 2011. Bleeding of WHO grade 2, 3, or 4 occurred in 151 of 300 patients (50%) in the no-prophylaxis group, as compared with 128 of 298 (43%) in the prophylaxis group (adjusted difference in proportions, 8.4 percentage points; 90% confidence interval, 1.7 to 15.2; P = 0.06 for noninferiority). Patients in the no-prophylaxis group had more days with bleeding and a shorter time to the first bleeding episode than did patients in the prophylaxis group. Platelet use was markedly reduced in the no-prophylaxis group. A prespecified subgroup analysis identified similar rates of bleeding in the two study groups among patients undergoing autologous stem-cell transplantation. CONCLUSIONS: The results of our study support the need for the continued use of prophylaxis with platelet transfusion and show the benefit of such prophylaxis for reducing bleeding, as compared with no prophylaxis. A significant number of patients had bleeding despite prophylaxis. (Funded by the National Health Service Blood and Transplant Research and Development Committee and the Australian Red Cross Blood Service; TOPPS Controlled-Trials.com number, ISRCTN08758735.) Copyright © 2013 Massachusetts Medical Society.","author":[{"dropping-particle":"","family":"Stanworth","given":"Simon J.","non-dropping-particle":"","parse-names":false,"suffix":""},{"dropping-particle":"","family":"Estcourt","given":"Lise J.","non-dropping-particle":"","parse-names":false,"suffix":""},{"dropping-particle":"","family":"Powter","given":"Gillian","non-dropping-particle":"","parse-names":false,"suffix":""},{"dropping-particle":"","family":"Kahan","given":"Brennan C.","non-dropping-particle":"","parse-names":false,"suffix":""},{"dropping-particle":"","family":"Dyer","given":"Claire","non-dropping-particle":"","parse-names":false,"suffix":""},{"dropping-particle":"","family":"Choo","given":"Louise","non-dropping-particle":"","parse-names":false,"suffix":""},{"dropping-particle":"","family":"Bakrania","given":"Lekha","non-dropping-particle":"","parse-names":false,"suffix":""},{"dropping-particle":"","family":"Llewelyn","given":"Charlotte","non-dropping-particle":"","parse-names":false,"suffix":""},{"dropping-particle":"","family":"Littlewood","given":"Timothy","non-dropping-particle":"","parse-names":false,"suffix":""},{"dropping-particle":"","family":"Soutar","given":"Richard","non-dropping-particle":"","parse-names":false,"suffix":""},{"dropping-particle":"","family":"Norfolk","given":"Derek","non-dropping-particle":"","parse-names":false,"suffix":""},{"dropping-particle":"","family":"Copplestone","given":"Adrian","non-dropping-particle":"","parse-names":false,"suffix":""},{"dropping-particle":"","family":"Smith","given":"Neil","non-dropping-particle":"","parse-names":false,"suffix":""},{"dropping-particle":"","family":"Kerr","given":"Paul","non-dropping-particle":"","parse-names":false,"suffix":""},{"dropping-particle":"","family":"Jones","given":"Gail","non-dropping-particle":"","parse-names":false,"suffix":""},{"dropping-particle":"","family":"Raj","given":"Kavita","non-dropping-particle":"","parse-names":false,"suffix":""},{"dropping-particle":"","family":"Westerman","given":"David A.","non-dropping-particle":"","parse-names":false,"suffix":""},{"dropping-particle":"","family":"Szer","given":"Jeffrey","non-dropping-particle":"","parse-names":false,"suffix":""},{"dropping-particle":"","family":"Jackson","given":"Nicholas","non-dropping-particle":"","parse-names":false,"suffix":""},{"dropping-particle":"","family":"Bardy","given":"Peter G.","non-dropping-particle":"","parse-names":false,"suffix":""},{"dropping-particle":"","family":"Plews","given":"Dianne","non-dropping-particle":"","parse-names":false,"suffix":""},{"dropping-particle":"","family":"Lyons","given":"Simon","non-dropping-particle":"","parse-names":false,"suffix":""},{"dropping-particle":"","family":"Bielby","given":"Linley","non-dropping-particle":"","parse-names":false,"suffix":""},{"dropping-particle":"","family":"Wood","given":"Erica M.","non-dropping-particle":"","parse-names":false,"suffix":""},{"dropping-particle":"","family":"Murphy","given":"Michael F.","non-dropping-particle":"","parse-names":false,"suffix":""}],"container-title":"New England Journal of Medicine","id":"ITEM-3","issue":"19","issued":{"date-parts":[["2013","5"]]},"page":"1771-1780","publisher":"New England Journal of Medicine (NEJM/MMS)","title":"A No-Prophylaxis Platelet-Transfusion Strategy for Hematologic Cancers","type":"article-journal","volume":"368"},"uris":["http://www.mendeley.com/documents/?uuid=95a0e31e-7ce9-4364-81d9-dea174ff49ed"]}],"mendeley":{"formattedCitation":"[225–227]","plainTextFormattedCitation":"[225–227]","previouslyFormattedCitation":"[225–227]"},"properties":{"noteIndex":0},"schema":"https://github.com/citation-style-language/schema/raw/master/csl-citation.json"}</w:instrText>
      </w:r>
      <w:r w:rsidR="00245239">
        <w:rPr>
          <w:color w:val="333333"/>
          <w:szCs w:val="24"/>
        </w:rPr>
        <w:fldChar w:fldCharType="separate"/>
      </w:r>
      <w:r w:rsidR="00E430FD" w:rsidRPr="00E430FD">
        <w:rPr>
          <w:noProof/>
          <w:color w:val="333333"/>
          <w:szCs w:val="24"/>
        </w:rPr>
        <w:t>[225–227]</w:t>
      </w:r>
      <w:r w:rsidR="00245239">
        <w:rPr>
          <w:color w:val="333333"/>
          <w:szCs w:val="24"/>
        </w:rPr>
        <w:fldChar w:fldCharType="end"/>
      </w:r>
      <w:r w:rsidRPr="004569A5">
        <w:rPr>
          <w:color w:val="333333"/>
          <w:szCs w:val="24"/>
        </w:rPr>
        <w:t>.</w:t>
      </w:r>
      <w:r w:rsidRPr="004569A5">
        <w:rPr>
          <w:szCs w:val="24"/>
        </w:rPr>
        <w:t xml:space="preserve"> </w:t>
      </w:r>
    </w:p>
    <w:p w14:paraId="4374C788" w14:textId="5BBB7D0E" w:rsidR="00B37E1F" w:rsidRPr="004569A5" w:rsidRDefault="00B37E1F" w:rsidP="002431B5">
      <w:pPr>
        <w:spacing w:before="0" w:after="0"/>
        <w:contextualSpacing/>
        <w:rPr>
          <w:szCs w:val="24"/>
        </w:rPr>
      </w:pPr>
      <w:r w:rsidRPr="00FD15FE">
        <w:rPr>
          <w:u w:val="single"/>
        </w:rPr>
        <w:t>Показания к переливанию концентрата тромбоцитов с профилактической целью</w:t>
      </w:r>
      <w:r w:rsidRPr="004569A5">
        <w:rPr>
          <w:szCs w:val="24"/>
        </w:rPr>
        <w:t xml:space="preserve"> приведены в табл. </w:t>
      </w:r>
      <w:r w:rsidR="00436F47">
        <w:rPr>
          <w:szCs w:val="24"/>
        </w:rPr>
        <w:t>А3.19</w:t>
      </w:r>
      <w:r w:rsidRPr="004569A5">
        <w:rPr>
          <w:szCs w:val="24"/>
        </w:rPr>
        <w:t>.</w:t>
      </w:r>
    </w:p>
    <w:p w14:paraId="72178C89" w14:textId="5BFA056A" w:rsidR="00B37E1F" w:rsidRPr="004569A5" w:rsidRDefault="00B37E1F" w:rsidP="002431B5">
      <w:pPr>
        <w:spacing w:before="0" w:after="0"/>
        <w:contextualSpacing/>
        <w:rPr>
          <w:szCs w:val="24"/>
        </w:rPr>
      </w:pPr>
      <w:r w:rsidRPr="004569A5">
        <w:rPr>
          <w:bCs/>
          <w:szCs w:val="24"/>
        </w:rPr>
        <w:t xml:space="preserve">Таблица </w:t>
      </w:r>
      <w:r w:rsidR="00436F47">
        <w:rPr>
          <w:bCs/>
          <w:szCs w:val="24"/>
        </w:rPr>
        <w:t>А.3.19</w:t>
      </w:r>
      <w:r w:rsidRPr="004569A5">
        <w:rPr>
          <w:bCs/>
          <w:szCs w:val="24"/>
        </w:rPr>
        <w:t>. Показания к переливанию концентрата тромбоцитов</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7"/>
        <w:gridCol w:w="2663"/>
        <w:gridCol w:w="3690"/>
      </w:tblGrid>
      <w:tr w:rsidR="00B37E1F" w:rsidRPr="004569A5" w14:paraId="38B2EC21" w14:textId="77777777" w:rsidTr="00F87EE7">
        <w:trPr>
          <w:tblHeader/>
        </w:trPr>
        <w:tc>
          <w:tcPr>
            <w:tcW w:w="3007" w:type="dxa"/>
            <w:vAlign w:val="center"/>
          </w:tcPr>
          <w:p w14:paraId="0C7765B3" w14:textId="77777777" w:rsidR="00B37E1F" w:rsidRPr="004569A5" w:rsidRDefault="00B37E1F" w:rsidP="002431B5">
            <w:pPr>
              <w:pStyle w:val="Table-head-italic"/>
              <w:spacing w:line="360" w:lineRule="auto"/>
              <w:jc w:val="both"/>
              <w:rPr>
                <w:i w:val="0"/>
                <w:sz w:val="24"/>
                <w:szCs w:val="24"/>
                <w:lang w:val="ru-RU"/>
              </w:rPr>
            </w:pPr>
            <w:r w:rsidRPr="004569A5">
              <w:rPr>
                <w:i w:val="0"/>
                <w:sz w:val="24"/>
                <w:szCs w:val="24"/>
                <w:lang w:val="ru-RU"/>
              </w:rPr>
              <w:t>Показание</w:t>
            </w:r>
          </w:p>
        </w:tc>
        <w:tc>
          <w:tcPr>
            <w:tcW w:w="2663" w:type="dxa"/>
            <w:vAlign w:val="center"/>
          </w:tcPr>
          <w:p w14:paraId="5B853627" w14:textId="77777777" w:rsidR="00B37E1F" w:rsidRPr="004569A5" w:rsidRDefault="00B37E1F" w:rsidP="002431B5">
            <w:pPr>
              <w:pStyle w:val="Table-head-italic"/>
              <w:spacing w:line="360" w:lineRule="auto"/>
              <w:jc w:val="both"/>
              <w:rPr>
                <w:i w:val="0"/>
                <w:sz w:val="24"/>
                <w:szCs w:val="24"/>
                <w:lang w:val="ru-RU"/>
              </w:rPr>
            </w:pPr>
            <w:r w:rsidRPr="004569A5">
              <w:rPr>
                <w:i w:val="0"/>
                <w:sz w:val="24"/>
                <w:szCs w:val="24"/>
                <w:lang w:val="ru-RU"/>
              </w:rPr>
              <w:t>Количество тромбоцитов в периферической крови</w:t>
            </w:r>
          </w:p>
        </w:tc>
        <w:tc>
          <w:tcPr>
            <w:tcW w:w="3690" w:type="dxa"/>
            <w:vAlign w:val="center"/>
          </w:tcPr>
          <w:p w14:paraId="207B63DE" w14:textId="77777777" w:rsidR="00B37E1F" w:rsidRPr="004569A5" w:rsidRDefault="00B37E1F" w:rsidP="002431B5">
            <w:pPr>
              <w:pStyle w:val="Table-head-italic"/>
              <w:spacing w:line="360" w:lineRule="auto"/>
              <w:jc w:val="both"/>
              <w:rPr>
                <w:i w:val="0"/>
                <w:sz w:val="24"/>
                <w:szCs w:val="24"/>
                <w:lang w:val="ru-RU"/>
              </w:rPr>
            </w:pPr>
            <w:r w:rsidRPr="004569A5">
              <w:rPr>
                <w:i w:val="0"/>
                <w:sz w:val="24"/>
                <w:szCs w:val="24"/>
                <w:lang w:val="ru-RU"/>
              </w:rPr>
              <w:t>Примечания</w:t>
            </w:r>
          </w:p>
        </w:tc>
      </w:tr>
      <w:tr w:rsidR="00B37E1F" w:rsidRPr="004569A5" w14:paraId="537DC110" w14:textId="77777777" w:rsidTr="00B37E1F">
        <w:tc>
          <w:tcPr>
            <w:tcW w:w="3007" w:type="dxa"/>
          </w:tcPr>
          <w:p w14:paraId="43197578" w14:textId="77777777" w:rsidR="00B37E1F" w:rsidRPr="004569A5" w:rsidRDefault="00B37E1F" w:rsidP="002431B5">
            <w:pPr>
              <w:pStyle w:val="table-text-0"/>
              <w:spacing w:before="0" w:after="0" w:line="360" w:lineRule="auto"/>
              <w:ind w:left="0" w:firstLine="0"/>
              <w:jc w:val="both"/>
              <w:rPr>
                <w:sz w:val="24"/>
                <w:szCs w:val="24"/>
              </w:rPr>
            </w:pPr>
            <w:proofErr w:type="gramStart"/>
            <w:r w:rsidRPr="004569A5">
              <w:rPr>
                <w:sz w:val="24"/>
                <w:szCs w:val="24"/>
              </w:rPr>
              <w:t>Во время</w:t>
            </w:r>
            <w:proofErr w:type="gramEnd"/>
            <w:r w:rsidRPr="004569A5">
              <w:rPr>
                <w:sz w:val="24"/>
                <w:szCs w:val="24"/>
              </w:rPr>
              <w:t xml:space="preserve"> или после химиотерапии, в период миелотоксического агранулоцитоза</w:t>
            </w:r>
          </w:p>
        </w:tc>
        <w:tc>
          <w:tcPr>
            <w:tcW w:w="2663" w:type="dxa"/>
            <w:vAlign w:val="center"/>
          </w:tcPr>
          <w:p w14:paraId="42BC615F"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Менее </w:t>
            </w:r>
            <w:proofErr w:type="gramStart"/>
            <w:r w:rsidRPr="004569A5">
              <w:rPr>
                <w:sz w:val="24"/>
                <w:szCs w:val="24"/>
              </w:rPr>
              <w:t>10 </w:t>
            </w:r>
            <w:r w:rsidRPr="004569A5">
              <w:rPr>
                <w:rFonts w:ascii="Symbol" w:hAnsi="Symbol" w:cs="Symbol"/>
                <w:sz w:val="24"/>
                <w:szCs w:val="24"/>
              </w:rPr>
              <w:t></w:t>
            </w:r>
            <w:r w:rsidRPr="004569A5">
              <w:rPr>
                <w:sz w:val="24"/>
                <w:szCs w:val="24"/>
              </w:rPr>
              <w:t xml:space="preserve"> 10</w:t>
            </w:r>
            <w:r w:rsidRPr="004569A5">
              <w:rPr>
                <w:sz w:val="24"/>
                <w:szCs w:val="24"/>
                <w:vertAlign w:val="superscript"/>
              </w:rPr>
              <w:t>9</w:t>
            </w:r>
            <w:proofErr w:type="gramEnd"/>
            <w:r w:rsidRPr="004569A5">
              <w:rPr>
                <w:sz w:val="24"/>
                <w:szCs w:val="24"/>
              </w:rPr>
              <w:t>/л</w:t>
            </w:r>
          </w:p>
        </w:tc>
        <w:tc>
          <w:tcPr>
            <w:tcW w:w="3690" w:type="dxa"/>
          </w:tcPr>
          <w:p w14:paraId="4FF05F1D"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При синдроме повышенного потребления тромбоцитов* данный порог необходимо повысить</w:t>
            </w:r>
          </w:p>
        </w:tc>
      </w:tr>
      <w:tr w:rsidR="00B37E1F" w:rsidRPr="004569A5" w14:paraId="43F23FA3" w14:textId="77777777" w:rsidTr="00B37E1F">
        <w:tc>
          <w:tcPr>
            <w:tcW w:w="3007" w:type="dxa"/>
          </w:tcPr>
          <w:p w14:paraId="1A646160"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Установка ЦВК</w:t>
            </w:r>
          </w:p>
        </w:tc>
        <w:tc>
          <w:tcPr>
            <w:tcW w:w="2663" w:type="dxa"/>
            <w:vAlign w:val="center"/>
          </w:tcPr>
          <w:p w14:paraId="17F85C32"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Менее </w:t>
            </w:r>
            <w:proofErr w:type="gramStart"/>
            <w:r w:rsidRPr="004569A5">
              <w:rPr>
                <w:sz w:val="24"/>
                <w:szCs w:val="24"/>
              </w:rPr>
              <w:t>30 </w:t>
            </w:r>
            <w:r w:rsidRPr="004569A5">
              <w:rPr>
                <w:rFonts w:ascii="Symbol" w:hAnsi="Symbol" w:cs="Symbol"/>
                <w:sz w:val="24"/>
                <w:szCs w:val="24"/>
              </w:rPr>
              <w:t></w:t>
            </w:r>
            <w:r w:rsidRPr="004569A5">
              <w:rPr>
                <w:sz w:val="24"/>
                <w:szCs w:val="24"/>
              </w:rPr>
              <w:t xml:space="preserve"> 10</w:t>
            </w:r>
            <w:r w:rsidRPr="004569A5">
              <w:rPr>
                <w:sz w:val="24"/>
                <w:szCs w:val="24"/>
                <w:vertAlign w:val="superscript"/>
              </w:rPr>
              <w:t>9</w:t>
            </w:r>
            <w:proofErr w:type="gramEnd"/>
            <w:r w:rsidRPr="004569A5">
              <w:rPr>
                <w:sz w:val="24"/>
                <w:szCs w:val="24"/>
              </w:rPr>
              <w:t>/л</w:t>
            </w:r>
          </w:p>
        </w:tc>
        <w:tc>
          <w:tcPr>
            <w:tcW w:w="3690" w:type="dxa"/>
          </w:tcPr>
          <w:p w14:paraId="2DF5A61C"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w:t>
            </w:r>
          </w:p>
        </w:tc>
      </w:tr>
      <w:tr w:rsidR="00B37E1F" w:rsidRPr="004569A5" w14:paraId="081EDE44" w14:textId="77777777" w:rsidTr="00B37E1F">
        <w:tc>
          <w:tcPr>
            <w:tcW w:w="3007" w:type="dxa"/>
          </w:tcPr>
          <w:p w14:paraId="3F802449"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Люмбальная пункция</w:t>
            </w:r>
          </w:p>
        </w:tc>
        <w:tc>
          <w:tcPr>
            <w:tcW w:w="2663" w:type="dxa"/>
            <w:vAlign w:val="center"/>
          </w:tcPr>
          <w:p w14:paraId="31FCD6B8"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Менее </w:t>
            </w:r>
            <w:proofErr w:type="gramStart"/>
            <w:r w:rsidRPr="004569A5">
              <w:rPr>
                <w:sz w:val="24"/>
                <w:szCs w:val="24"/>
              </w:rPr>
              <w:t>50 </w:t>
            </w:r>
            <w:r w:rsidRPr="004569A5">
              <w:rPr>
                <w:rFonts w:ascii="Symbol" w:hAnsi="Symbol" w:cs="Symbol"/>
                <w:sz w:val="24"/>
                <w:szCs w:val="24"/>
              </w:rPr>
              <w:t></w:t>
            </w:r>
            <w:r w:rsidRPr="004569A5">
              <w:rPr>
                <w:sz w:val="24"/>
                <w:szCs w:val="24"/>
              </w:rPr>
              <w:t xml:space="preserve"> 10</w:t>
            </w:r>
            <w:r w:rsidRPr="004569A5">
              <w:rPr>
                <w:sz w:val="24"/>
                <w:szCs w:val="24"/>
                <w:vertAlign w:val="superscript"/>
              </w:rPr>
              <w:t>9</w:t>
            </w:r>
            <w:proofErr w:type="gramEnd"/>
            <w:r w:rsidRPr="004569A5">
              <w:rPr>
                <w:sz w:val="24"/>
                <w:szCs w:val="24"/>
              </w:rPr>
              <w:t>/л</w:t>
            </w:r>
          </w:p>
        </w:tc>
        <w:tc>
          <w:tcPr>
            <w:tcW w:w="3690" w:type="dxa"/>
          </w:tcPr>
          <w:p w14:paraId="4BC60E49"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w:t>
            </w:r>
          </w:p>
        </w:tc>
      </w:tr>
      <w:tr w:rsidR="00B37E1F" w:rsidRPr="004569A5" w14:paraId="4DB6EF7A" w14:textId="77777777" w:rsidTr="00B37E1F">
        <w:tc>
          <w:tcPr>
            <w:tcW w:w="3007" w:type="dxa"/>
          </w:tcPr>
          <w:p w14:paraId="23417EB8"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lastRenderedPageBreak/>
              <w:t>Объемные операции и малообъемные инвазивные вмешательства</w:t>
            </w:r>
          </w:p>
        </w:tc>
        <w:tc>
          <w:tcPr>
            <w:tcW w:w="2663" w:type="dxa"/>
            <w:vAlign w:val="center"/>
          </w:tcPr>
          <w:p w14:paraId="22A70C2C"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Менее </w:t>
            </w:r>
            <w:proofErr w:type="gramStart"/>
            <w:r w:rsidRPr="004569A5">
              <w:rPr>
                <w:sz w:val="24"/>
                <w:szCs w:val="24"/>
              </w:rPr>
              <w:t>50 </w:t>
            </w:r>
            <w:r w:rsidRPr="004569A5">
              <w:rPr>
                <w:rFonts w:ascii="Symbol" w:hAnsi="Symbol" w:cs="Symbol"/>
                <w:sz w:val="24"/>
                <w:szCs w:val="24"/>
              </w:rPr>
              <w:t></w:t>
            </w:r>
            <w:r w:rsidRPr="004569A5">
              <w:rPr>
                <w:sz w:val="24"/>
                <w:szCs w:val="24"/>
              </w:rPr>
              <w:t xml:space="preserve"> 10</w:t>
            </w:r>
            <w:r w:rsidRPr="004569A5">
              <w:rPr>
                <w:sz w:val="24"/>
                <w:szCs w:val="24"/>
                <w:vertAlign w:val="superscript"/>
              </w:rPr>
              <w:t>9</w:t>
            </w:r>
            <w:proofErr w:type="gramEnd"/>
            <w:r w:rsidRPr="004569A5">
              <w:rPr>
                <w:sz w:val="24"/>
                <w:szCs w:val="24"/>
              </w:rPr>
              <w:t>/л</w:t>
            </w:r>
          </w:p>
        </w:tc>
        <w:tc>
          <w:tcPr>
            <w:tcW w:w="3690" w:type="dxa"/>
          </w:tcPr>
          <w:p w14:paraId="7D8AB7B7"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Помимо профилактической трансфузии, необходимо резервирование концентрата тромбоцитов для проведения операции. Доза определяется массой тела пациента, а количество трансфузий — объемом операции</w:t>
            </w:r>
          </w:p>
        </w:tc>
      </w:tr>
      <w:tr w:rsidR="00B37E1F" w:rsidRPr="004569A5" w14:paraId="13E2AC3A" w14:textId="77777777" w:rsidTr="00B37E1F">
        <w:tc>
          <w:tcPr>
            <w:tcW w:w="3007" w:type="dxa"/>
          </w:tcPr>
          <w:p w14:paraId="7E0DE8DE"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ДВС-синдром</w:t>
            </w:r>
          </w:p>
        </w:tc>
        <w:tc>
          <w:tcPr>
            <w:tcW w:w="2663" w:type="dxa"/>
          </w:tcPr>
          <w:p w14:paraId="76AB8CC6"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Менее </w:t>
            </w:r>
            <w:proofErr w:type="gramStart"/>
            <w:r w:rsidRPr="004569A5">
              <w:rPr>
                <w:sz w:val="24"/>
                <w:szCs w:val="24"/>
              </w:rPr>
              <w:t>50 </w:t>
            </w:r>
            <w:r w:rsidRPr="004569A5">
              <w:rPr>
                <w:rFonts w:ascii="Symbol" w:hAnsi="Symbol" w:cs="Symbol"/>
                <w:sz w:val="24"/>
                <w:szCs w:val="24"/>
              </w:rPr>
              <w:t></w:t>
            </w:r>
            <w:r w:rsidRPr="004569A5">
              <w:rPr>
                <w:sz w:val="24"/>
                <w:szCs w:val="24"/>
              </w:rPr>
              <w:t xml:space="preserve"> 10</w:t>
            </w:r>
            <w:r w:rsidRPr="004569A5">
              <w:rPr>
                <w:sz w:val="24"/>
                <w:szCs w:val="24"/>
                <w:vertAlign w:val="superscript"/>
              </w:rPr>
              <w:t>9</w:t>
            </w:r>
            <w:proofErr w:type="gramEnd"/>
            <w:r w:rsidRPr="004569A5">
              <w:rPr>
                <w:sz w:val="24"/>
                <w:szCs w:val="24"/>
              </w:rPr>
              <w:t>/л</w:t>
            </w:r>
          </w:p>
        </w:tc>
        <w:tc>
          <w:tcPr>
            <w:tcW w:w="3690" w:type="dxa"/>
          </w:tcPr>
          <w:p w14:paraId="2E4478FF"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Как часть основной терапии ДВС- синдрома</w:t>
            </w:r>
          </w:p>
        </w:tc>
      </w:tr>
    </w:tbl>
    <w:p w14:paraId="79F5DB86" w14:textId="77777777" w:rsidR="00B37E1F" w:rsidRPr="004569A5" w:rsidRDefault="00B37E1F" w:rsidP="002431B5">
      <w:pPr>
        <w:pStyle w:val="3"/>
        <w:spacing w:before="0"/>
        <w:rPr>
          <w:rFonts w:ascii="Times New Roman" w:hAnsi="Times New Roman" w:cs="Times New Roman"/>
          <w:b w:val="0"/>
          <w:color w:val="auto"/>
          <w:szCs w:val="24"/>
        </w:rPr>
      </w:pPr>
      <w:r w:rsidRPr="004569A5">
        <w:rPr>
          <w:rFonts w:ascii="Times New Roman" w:hAnsi="Times New Roman" w:cs="Times New Roman"/>
          <w:b w:val="0"/>
          <w:color w:val="auto"/>
          <w:szCs w:val="24"/>
        </w:rPr>
        <w:t>* Сепсис, пульмонологические заболевания, лихорадка.</w:t>
      </w:r>
    </w:p>
    <w:p w14:paraId="67F39532" w14:textId="77777777" w:rsidR="00B37E1F" w:rsidRPr="00FD15FE" w:rsidRDefault="00B37E1F" w:rsidP="002431B5">
      <w:pPr>
        <w:spacing w:before="0" w:after="0"/>
        <w:rPr>
          <w:b/>
          <w:u w:val="single"/>
        </w:rPr>
      </w:pPr>
      <w:r w:rsidRPr="00FD15FE">
        <w:rPr>
          <w:u w:val="single"/>
        </w:rPr>
        <w:t>Показания к переливанию концентрата тромбоцитов с лечебной целью.</w:t>
      </w:r>
    </w:p>
    <w:p w14:paraId="06AF8033" w14:textId="43769E37" w:rsidR="00B37E1F" w:rsidRPr="004569A5" w:rsidRDefault="00B37E1F" w:rsidP="002431B5">
      <w:pPr>
        <w:spacing w:before="0" w:after="0"/>
        <w:rPr>
          <w:szCs w:val="24"/>
        </w:rPr>
      </w:pPr>
      <w:r w:rsidRPr="004569A5">
        <w:rPr>
          <w:bCs/>
          <w:szCs w:val="24"/>
        </w:rPr>
        <w:t>Наличие у пациента геморрагического синдрома — прямое показание к переливанию концентрата тромбоцитов независимо от лабораторных показателей. Оценка тяжести геморрагического синдрома проводится по шкале ВОЗ (табл. </w:t>
      </w:r>
      <w:r w:rsidR="00436F47">
        <w:rPr>
          <w:bCs/>
          <w:szCs w:val="24"/>
        </w:rPr>
        <w:t>А3.20</w:t>
      </w:r>
      <w:r w:rsidRPr="004569A5">
        <w:rPr>
          <w:bCs/>
          <w:szCs w:val="24"/>
        </w:rPr>
        <w:t>)</w:t>
      </w:r>
      <w:r w:rsidRPr="004569A5">
        <w:rPr>
          <w:szCs w:val="24"/>
        </w:rPr>
        <w:t>.</w:t>
      </w:r>
    </w:p>
    <w:p w14:paraId="15D5E09F" w14:textId="008ECCE3" w:rsidR="00B37E1F" w:rsidRPr="004569A5" w:rsidRDefault="00B37E1F" w:rsidP="002431B5">
      <w:pPr>
        <w:spacing w:before="0" w:after="0"/>
        <w:rPr>
          <w:szCs w:val="24"/>
        </w:rPr>
      </w:pPr>
      <w:r w:rsidRPr="004569A5">
        <w:rPr>
          <w:bCs/>
          <w:szCs w:val="24"/>
        </w:rPr>
        <w:t xml:space="preserve">Таблица </w:t>
      </w:r>
      <w:r w:rsidR="00436F47">
        <w:rPr>
          <w:bCs/>
          <w:szCs w:val="24"/>
        </w:rPr>
        <w:t>А3.20</w:t>
      </w:r>
      <w:r w:rsidRPr="004569A5">
        <w:rPr>
          <w:bCs/>
          <w:szCs w:val="24"/>
        </w:rPr>
        <w:t>. Шкала кровотечений по ВОЗ</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5"/>
      </w:tblGrid>
      <w:tr w:rsidR="00B37E1F" w:rsidRPr="004569A5" w14:paraId="12947417" w14:textId="77777777" w:rsidTr="00B37E1F">
        <w:tc>
          <w:tcPr>
            <w:tcW w:w="9121" w:type="dxa"/>
            <w:shd w:val="clear" w:color="auto" w:fill="auto"/>
          </w:tcPr>
          <w:p w14:paraId="4917012A" w14:textId="77777777" w:rsidR="00B37E1F" w:rsidRPr="004569A5" w:rsidRDefault="00B37E1F" w:rsidP="002431B5">
            <w:pPr>
              <w:pStyle w:val="table-text-1"/>
              <w:spacing w:before="0" w:after="0" w:line="360" w:lineRule="auto"/>
              <w:ind w:left="0" w:firstLine="0"/>
              <w:jc w:val="both"/>
              <w:rPr>
                <w:b/>
                <w:i/>
                <w:sz w:val="24"/>
                <w:szCs w:val="24"/>
              </w:rPr>
            </w:pPr>
            <w:r w:rsidRPr="004569A5">
              <w:rPr>
                <w:sz w:val="24"/>
                <w:szCs w:val="24"/>
              </w:rPr>
              <w:t>1 степень (не требует трансфузии)</w:t>
            </w:r>
          </w:p>
        </w:tc>
      </w:tr>
      <w:tr w:rsidR="00B37E1F" w:rsidRPr="004569A5" w14:paraId="772555FA" w14:textId="77777777" w:rsidTr="00B37E1F">
        <w:tc>
          <w:tcPr>
            <w:tcW w:w="9121" w:type="dxa"/>
            <w:shd w:val="clear" w:color="auto" w:fill="auto"/>
          </w:tcPr>
          <w:p w14:paraId="643642F0"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Кровоточивость кожи и слизистых, включая полость рта</w:t>
            </w:r>
          </w:p>
          <w:p w14:paraId="10B2CDF4"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Петехии менее 2 мм</w:t>
            </w:r>
          </w:p>
          <w:p w14:paraId="3693B82C"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Пурпура менее 2,54 см в диаметре</w:t>
            </w:r>
          </w:p>
          <w:p w14:paraId="5C0D421B"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Экхимозы (очаги менее 10 см в диаметре)</w:t>
            </w:r>
          </w:p>
          <w:p w14:paraId="03ADE2A6"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Ротоглоточные кровотечения</w:t>
            </w:r>
          </w:p>
          <w:p w14:paraId="40DCAFCE"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Кровоизлияния в конъюнктиву</w:t>
            </w:r>
          </w:p>
          <w:p w14:paraId="6D513FD5"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Носовые кровотечения продолжительностью менее 1 часа, не требующие вмешательства</w:t>
            </w:r>
          </w:p>
          <w:p w14:paraId="610AD1F4"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Аномальные ациклические маточные кровотечения (менее двух прокладок в сутки)</w:t>
            </w:r>
          </w:p>
        </w:tc>
      </w:tr>
      <w:tr w:rsidR="00B37E1F" w:rsidRPr="004569A5" w14:paraId="0200C5A4" w14:textId="77777777" w:rsidTr="00B37E1F">
        <w:tc>
          <w:tcPr>
            <w:tcW w:w="9121" w:type="dxa"/>
            <w:shd w:val="clear" w:color="auto" w:fill="auto"/>
          </w:tcPr>
          <w:p w14:paraId="6E605DF0" w14:textId="77777777" w:rsidR="00B37E1F" w:rsidRPr="004569A5" w:rsidRDefault="00B37E1F" w:rsidP="002431B5">
            <w:pPr>
              <w:pStyle w:val="table-text-1"/>
              <w:spacing w:before="0" w:after="0" w:line="360" w:lineRule="auto"/>
              <w:ind w:left="0" w:firstLine="0"/>
              <w:jc w:val="both"/>
              <w:rPr>
                <w:sz w:val="24"/>
                <w:szCs w:val="24"/>
              </w:rPr>
            </w:pPr>
            <w:r w:rsidRPr="004569A5">
              <w:rPr>
                <w:sz w:val="24"/>
                <w:szCs w:val="24"/>
              </w:rPr>
              <w:t>2 степень (в основном не требуют трансфузии)</w:t>
            </w:r>
          </w:p>
        </w:tc>
      </w:tr>
      <w:tr w:rsidR="00B37E1F" w:rsidRPr="004569A5" w14:paraId="504E9F88" w14:textId="77777777" w:rsidTr="00B37E1F">
        <w:tc>
          <w:tcPr>
            <w:tcW w:w="9121" w:type="dxa"/>
            <w:shd w:val="clear" w:color="auto" w:fill="auto"/>
          </w:tcPr>
          <w:p w14:paraId="72AAC505"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Экхимозы (более 10 см в диаметре)</w:t>
            </w:r>
          </w:p>
          <w:p w14:paraId="1C55439D"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Гематомы</w:t>
            </w:r>
          </w:p>
          <w:p w14:paraId="0E0F8C92"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Носовые кровотечения продолжительностью более 1 часа или требующие тампонады</w:t>
            </w:r>
          </w:p>
          <w:p w14:paraId="059068CD"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Кровоизлияния в сетчатку без ухудшения зрения</w:t>
            </w:r>
          </w:p>
          <w:p w14:paraId="101136F3"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Аномальные ациклические маточные кровотечения (более двух прокладок в сутки)</w:t>
            </w:r>
          </w:p>
          <w:p w14:paraId="7F75BDC6"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lastRenderedPageBreak/>
              <w:t>Мелена, рвота с кровью, кровохарканье, гематурия, стул с кровью</w:t>
            </w:r>
          </w:p>
          <w:p w14:paraId="62FE494B"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Кровотечения после инвазивных вмешательств, мышечно-суставные кровоизлияния</w:t>
            </w:r>
          </w:p>
        </w:tc>
      </w:tr>
      <w:tr w:rsidR="00B37E1F" w:rsidRPr="004569A5" w14:paraId="1FDA5F1F" w14:textId="77777777" w:rsidTr="00B37E1F">
        <w:tc>
          <w:tcPr>
            <w:tcW w:w="9121" w:type="dxa"/>
            <w:shd w:val="clear" w:color="auto" w:fill="auto"/>
          </w:tcPr>
          <w:p w14:paraId="734B03B6" w14:textId="77777777" w:rsidR="00B37E1F" w:rsidRPr="004569A5" w:rsidRDefault="00B37E1F" w:rsidP="002431B5">
            <w:pPr>
              <w:pStyle w:val="table-text-1"/>
              <w:spacing w:before="0" w:after="0" w:line="360" w:lineRule="auto"/>
              <w:ind w:left="0" w:firstLine="0"/>
              <w:jc w:val="both"/>
              <w:rPr>
                <w:b/>
                <w:i/>
                <w:sz w:val="24"/>
                <w:szCs w:val="24"/>
              </w:rPr>
            </w:pPr>
            <w:r w:rsidRPr="004569A5">
              <w:rPr>
                <w:sz w:val="24"/>
                <w:szCs w:val="24"/>
              </w:rPr>
              <w:lastRenderedPageBreak/>
              <w:t>3 степень (требуют трансфузии)</w:t>
            </w:r>
          </w:p>
        </w:tc>
      </w:tr>
      <w:tr w:rsidR="00B37E1F" w:rsidRPr="004569A5" w14:paraId="0B248C19" w14:textId="77777777" w:rsidTr="00B37E1F">
        <w:tc>
          <w:tcPr>
            <w:tcW w:w="9121" w:type="dxa"/>
            <w:shd w:val="clear" w:color="auto" w:fill="auto"/>
          </w:tcPr>
          <w:p w14:paraId="177FE16F"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Мелена</w:t>
            </w:r>
          </w:p>
          <w:p w14:paraId="1FF82981"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Рвота с кровью</w:t>
            </w:r>
          </w:p>
          <w:p w14:paraId="0E5D0CF6"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Кровохарканье</w:t>
            </w:r>
          </w:p>
          <w:p w14:paraId="22C6FDB4"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Гематурия, включая непрекращающееся кровотечение без свертывания </w:t>
            </w:r>
          </w:p>
          <w:p w14:paraId="46FFAF0B"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Аномальные маточные кровотечения</w:t>
            </w:r>
          </w:p>
          <w:p w14:paraId="59EB0BDE"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Стул с кровью</w:t>
            </w:r>
          </w:p>
          <w:p w14:paraId="29331971"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Носовое кровотечение </w:t>
            </w:r>
          </w:p>
          <w:p w14:paraId="2863DD11"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Ротоглоточное кровотечение</w:t>
            </w:r>
          </w:p>
          <w:p w14:paraId="1A24A6ED"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Кровотечения после инвазивных вмешательств, мышечно-суставные кровоизлияния или кровоизлияния в мягкие ткани</w:t>
            </w:r>
          </w:p>
        </w:tc>
      </w:tr>
      <w:tr w:rsidR="00B37E1F" w:rsidRPr="004569A5" w14:paraId="0DB9F0C8" w14:textId="77777777" w:rsidTr="00B37E1F">
        <w:tc>
          <w:tcPr>
            <w:tcW w:w="9121" w:type="dxa"/>
            <w:shd w:val="clear" w:color="auto" w:fill="auto"/>
          </w:tcPr>
          <w:p w14:paraId="141F3ED3" w14:textId="77777777" w:rsidR="00B37E1F" w:rsidRPr="004569A5" w:rsidRDefault="00B37E1F" w:rsidP="002431B5">
            <w:pPr>
              <w:pStyle w:val="table-text-1"/>
              <w:spacing w:before="0" w:after="0" w:line="360" w:lineRule="auto"/>
              <w:ind w:left="0" w:firstLine="0"/>
              <w:jc w:val="both"/>
              <w:rPr>
                <w:b/>
                <w:i/>
                <w:sz w:val="24"/>
                <w:szCs w:val="24"/>
              </w:rPr>
            </w:pPr>
            <w:r w:rsidRPr="004569A5">
              <w:rPr>
                <w:sz w:val="24"/>
                <w:szCs w:val="24"/>
              </w:rPr>
              <w:t>4 степень (требуют трансфузии)</w:t>
            </w:r>
          </w:p>
        </w:tc>
      </w:tr>
      <w:tr w:rsidR="00B37E1F" w:rsidRPr="004569A5" w14:paraId="4C57D11D" w14:textId="77777777" w:rsidTr="00B37E1F">
        <w:tc>
          <w:tcPr>
            <w:tcW w:w="9121" w:type="dxa"/>
            <w:shd w:val="clear" w:color="auto" w:fill="auto"/>
          </w:tcPr>
          <w:p w14:paraId="3156F11D"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Кровоизлияния в сетчатку с нарушением зрения</w:t>
            </w:r>
          </w:p>
          <w:p w14:paraId="6F6CB1CF"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Нефатальные кровоизлияния в ЦНС с неврологической симптоматикой</w:t>
            </w:r>
          </w:p>
          <w:p w14:paraId="37EE4EF5"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Фатальные кровотечения вне зависимости от источника</w:t>
            </w:r>
          </w:p>
        </w:tc>
      </w:tr>
    </w:tbl>
    <w:p w14:paraId="5FFE23A5" w14:textId="77777777" w:rsidR="00B37E1F" w:rsidRPr="00FD15FE" w:rsidRDefault="00B37E1F" w:rsidP="002431B5">
      <w:pPr>
        <w:spacing w:after="0"/>
        <w:rPr>
          <w:b/>
          <w:u w:val="single"/>
        </w:rPr>
      </w:pPr>
      <w:r w:rsidRPr="00FD15FE">
        <w:rPr>
          <w:b/>
          <w:u w:val="single"/>
        </w:rPr>
        <w:t>Расчет дозы концентрата тромбоцитов для трансфузий</w:t>
      </w:r>
    </w:p>
    <w:p w14:paraId="33AA502D" w14:textId="77777777" w:rsidR="00B37E1F" w:rsidRPr="004569A5" w:rsidRDefault="00B37E1F" w:rsidP="002431B5">
      <w:pPr>
        <w:spacing w:before="0" w:after="0"/>
        <w:rPr>
          <w:szCs w:val="24"/>
        </w:rPr>
      </w:pPr>
      <w:r w:rsidRPr="004569A5">
        <w:rPr>
          <w:rFonts w:eastAsia="Times New Roman"/>
          <w:szCs w:val="24"/>
        </w:rPr>
        <w:t>Количество концентрата тромбоцитов для трансфузии необходимо использовать из расчета 50-70х</w:t>
      </w:r>
      <w:r w:rsidRPr="004569A5">
        <w:rPr>
          <w:szCs w:val="24"/>
        </w:rPr>
        <w:t>10</w:t>
      </w:r>
      <w:r w:rsidRPr="004569A5">
        <w:rPr>
          <w:szCs w:val="24"/>
          <w:vertAlign w:val="superscript"/>
        </w:rPr>
        <w:t>9</w:t>
      </w:r>
      <w:r w:rsidRPr="004569A5">
        <w:rPr>
          <w:szCs w:val="24"/>
        </w:rPr>
        <w:t xml:space="preserve"> тромбоцитов на 10 кг массы тела реципиента или 200-2</w:t>
      </w:r>
      <w:r w:rsidRPr="004569A5">
        <w:rPr>
          <w:rFonts w:eastAsia="Times New Roman"/>
          <w:szCs w:val="24"/>
        </w:rPr>
        <w:t>50х</w:t>
      </w:r>
      <w:r w:rsidRPr="004569A5">
        <w:rPr>
          <w:szCs w:val="24"/>
        </w:rPr>
        <w:t>10</w:t>
      </w:r>
      <w:r w:rsidRPr="004569A5">
        <w:rPr>
          <w:szCs w:val="24"/>
          <w:vertAlign w:val="superscript"/>
        </w:rPr>
        <w:t>9</w:t>
      </w:r>
      <w:r w:rsidRPr="004569A5">
        <w:rPr>
          <w:szCs w:val="24"/>
        </w:rPr>
        <w:t xml:space="preserve"> тромбоцитов на 1м</w:t>
      </w:r>
      <w:r w:rsidRPr="004569A5">
        <w:rPr>
          <w:szCs w:val="24"/>
          <w:vertAlign w:val="superscript"/>
        </w:rPr>
        <w:t>2</w:t>
      </w:r>
      <w:r w:rsidRPr="004569A5">
        <w:rPr>
          <w:szCs w:val="24"/>
        </w:rPr>
        <w:t xml:space="preserve"> поверхности тела реципиента.</w:t>
      </w:r>
    </w:p>
    <w:p w14:paraId="27D2A305" w14:textId="20B3ED55" w:rsidR="00B37E1F" w:rsidRPr="004569A5" w:rsidRDefault="00B37E1F" w:rsidP="002431B5">
      <w:pPr>
        <w:spacing w:before="0" w:after="0"/>
        <w:rPr>
          <w:szCs w:val="24"/>
        </w:rPr>
      </w:pPr>
      <w:r w:rsidRPr="004569A5">
        <w:rPr>
          <w:szCs w:val="24"/>
        </w:rPr>
        <w:t>Оптимальная доза для лечебных трансфузий — спорный вопрос; на основании общего консенсуса, терапевтические трансфузии должны увеличить количество тромбоцитов до уровня, обеспечивающего адекватный гемостаз</w:t>
      </w:r>
      <w:r w:rsidR="00245239">
        <w:rPr>
          <w:szCs w:val="24"/>
        </w:rPr>
        <w:fldChar w:fldCharType="begin" w:fldLock="1"/>
      </w:r>
      <w:r w:rsidR="00E430FD">
        <w:rPr>
          <w:szCs w:val="24"/>
        </w:rPr>
        <w:instrText>ADDIN CSL_CITATION {"citationItems":[{"id":"ITEM-1","itemData":{"DOI":"10.7326/M14-1589","ISSN":"15393704","PMID":"25383671","abstract":"Background: The AABB (formerly, the American Association of Blood Banks) developed this guideline on appropriate use of platelet transfusion in adult patients. Methods: These guidelines are based on a systematic review of randomized, clinical trials and observational studies (1900 to September 2014) that reported clinical outcomes on patients receiving prophylactic or therapeutic platelet transfusions. An expert panel reviewed the data and developed recommendations using the Grading of Recommendations Assessment, Development and Evaluation (GRADE) framework. Recommendation 1: The AABB recommends that platelets should be transfused prophylactically to reduce the risk for spontaneous bleeding in hospitalized adult patients with therapyinduced hypoproliferative thrombocytopenia. The AABB recommends transfusing hospitalized adult patients with a platelet count of 10 × 109 cells/L or less to reduce the risk for spontaneous bleeding. The AABB recommends transfusing up to a single apheresis unit or equivalent. Greater doses are not more effective, and lower doses equal to one half of a standard apheresis unit are equally effective. (Grade: strong recommendation; moderate-quality evidence) Recommendation 2: The AABB suggests prophylactic platelet transfusion for patients having elective central venous catheter placement with a platelet count less than 20 × 109 cells/L. (Grade: weak recommendation; low-quality evidence) Recommendation 3: The AABB suggests prophylactic platelet transfusion for patients having elective diagnostic lumbar puncture with a platelet count less than 50 × 109 cells/L. (Grade: weak recommendation; very-low-quality evidence) Recommendation 4: The AABB suggests prophylactic platelet transfusion for patients having major elective nonneuraxial surgery with a platelet count less than 50 × 109 cells/L. (Grade: weak recommendation; very-low-quality evidence) Recommendation 5: The AABB recommends against routine prophylactic platelet transfusion for patients who are nonthrombocytopenic and have cardiac surgery with cardiopulmonary bypass. The AABB suggests platelet transfusion for patients having bypass who exhibit perioperative bleeding with thrombocytopenia and/or evidence of platelet dysfunction. (Grade: weak recommendation; very-low-quality evidence) Recommendation 6: The AABB cannot recommend for or against platelet transfusion for patients receiving antiplatelet therapy who have intracranial hemorrhage (traumatic or spontaneous). (Grade: un…","author":[{"dropping-particle":"","family":"Kaufman","given":"Richard M.","non-dropping-particle":"","parse-names":false,"suffix":""},{"dropping-particle":"","family":"Djulbegovic","given":"Benjamin","non-dropping-particle":"","parse-names":false,"suffix":""},{"dropping-particle":"","family":"Gernsheimer","given":"Terry","non-dropping-particle":"","parse-names":false,"suffix":""},{"dropping-particle":"","family":"Kleinman","given":"Steven","non-dropping-particle":"","parse-names":false,"suffix":""},{"dropping-particle":"","family":"Tinmouth","given":"Alan T.","non-dropping-particle":"","parse-names":false,"suffix":""},{"dropping-particle":"","family":"Capocelli","given":"Kelley E.","non-dropping-particle":"","parse-names":false,"suffix":""},{"dropping-particle":"","family":"Cipolle","given":"Mark D.","non-dropping-particle":"","parse-names":false,"suffix":""},{"dropping-particle":"","family":"Cohn","given":"Claudia S.","non-dropping-particle":"","parse-names":false,"suffix":""},{"dropping-particle":"","family":"Fung","given":"Mark K.","non-dropping-particle":"","parse-names":false,"suffix":""},{"dropping-particle":"","family":"Grossman","given":"Brenda J.","non-dropping-particle":"","parse-names":false,"suffix":""},{"dropping-particle":"","family":"Mintz","given":"Paul D.","non-dropping-particle":"","parse-names":false,"suffix":""},{"dropping-particle":"","family":"O'Malley","given":"Barbara A.","non-dropping-particle":"","parse-names":false,"suffix":""},{"dropping-particle":"","family":"Sesok-Pizzini","given":"Deborah A.","non-dropping-particle":"","parse-names":false,"suffix":""},{"dropping-particle":"","family":"Shander","given":"Aryeh","non-dropping-particle":"","parse-names":false,"suffix":""},{"dropping-particle":"","family":"Stack","given":"Gary E.","non-dropping-particle":"","parse-names":false,"suffix":""},{"dropping-particle":"","family":"Webert","given":"Kathryn E.","non-dropping-particle":"","parse-names":false,"suffix":""},{"dropping-particle":"","family":"Weinstein","given":"Robert","non-dropping-particle":"","parse-names":false,"suffix":""},{"dropping-particle":"","family":"Welch","given":"Babu G.","non-dropping-particle":"","parse-names":false,"suffix":""},{"dropping-particle":"","family":"Whitman","given":"Glenn J.","non-dropping-particle":"","parse-names":false,"suffix":""},{"dropping-particle":"","family":"Wong","given":"Edward C.","non-dropping-particle":"","parse-names":false,"suffix":""},{"dropping-particle":"","family":"Tobian","given":"Aaron A.R.","non-dropping-particle":"","parse-names":false,"suffix":""}],"container-title":"Annals of Internal Medicine","id":"ITEM-1","issue":"3","issued":{"date-parts":[["2015","2"]]},"page":"205-213","publisher":"American College of Physicians","title":"Platelet transfusion: A clinical practice guideline from the AABB","type":"article","volume":"162"},"uris":["http://www.mendeley.com/documents/?uuid=6c544811-c7a9-4d0f-b720-0f14b2b462ce"]}],"mendeley":{"formattedCitation":"[228]","plainTextFormattedCitation":"[228]","previouslyFormattedCitation":"[228]"},"properties":{"noteIndex":0},"schema":"https://github.com/citation-style-language/schema/raw/master/csl-citation.json"}</w:instrText>
      </w:r>
      <w:r w:rsidR="00245239">
        <w:rPr>
          <w:szCs w:val="24"/>
        </w:rPr>
        <w:fldChar w:fldCharType="separate"/>
      </w:r>
      <w:r w:rsidR="00E430FD" w:rsidRPr="00E430FD">
        <w:rPr>
          <w:noProof/>
          <w:szCs w:val="24"/>
        </w:rPr>
        <w:t>[228]</w:t>
      </w:r>
      <w:r w:rsidR="00245239">
        <w:rPr>
          <w:szCs w:val="24"/>
        </w:rPr>
        <w:fldChar w:fldCharType="end"/>
      </w:r>
      <w:r w:rsidRPr="004569A5">
        <w:rPr>
          <w:szCs w:val="24"/>
        </w:rPr>
        <w:t xml:space="preserve">. </w:t>
      </w:r>
    </w:p>
    <w:p w14:paraId="56C4B408" w14:textId="5B8D1299" w:rsidR="00B37E1F" w:rsidRPr="00FD15FE" w:rsidRDefault="00B37E1F" w:rsidP="002431B5">
      <w:pPr>
        <w:rPr>
          <w:u w:val="single"/>
        </w:rPr>
      </w:pPr>
      <w:r w:rsidRPr="00FD15FE">
        <w:rPr>
          <w:u w:val="single"/>
        </w:rPr>
        <w:t>Критерии эффективности трансфузий концентрата тромбоцитов</w:t>
      </w:r>
      <w:r w:rsidR="00245239">
        <w:rPr>
          <w:u w:val="single"/>
        </w:rPr>
        <w:fldChar w:fldCharType="begin" w:fldLock="1"/>
      </w:r>
      <w:r w:rsidR="00E430FD">
        <w:rPr>
          <w:u w:val="single"/>
        </w:rPr>
        <w:instrText>ADDIN CSL_CITATION {"citationItems":[{"id":"ITEM-1","itemData":{"id":"ITEM-1","issued":{"date-parts":[["0"]]},"title":"Об утверждении правил клинического использования донорской крови и (или) ее компонентов: Приказ Министерства здравоохранения РФ от 02.04.2013 N 183н // Российская газета - Федеральный выпуск № 190(6166)","type":"legal_case"},"uris":["http://www.mendeley.com/documents/?uuid=c0304675-7501-465c-b429-d289099e89f9"]}],"mendeley":{"formattedCitation":"[229]","plainTextFormattedCitation":"[229]","previouslyFormattedCitation":"[229]"},"properties":{"noteIndex":0},"schema":"https://github.com/citation-style-language/schema/raw/master/csl-citation.json"}</w:instrText>
      </w:r>
      <w:r w:rsidR="00245239">
        <w:rPr>
          <w:u w:val="single"/>
        </w:rPr>
        <w:fldChar w:fldCharType="separate"/>
      </w:r>
      <w:r w:rsidR="00E430FD" w:rsidRPr="00E430FD">
        <w:rPr>
          <w:noProof/>
        </w:rPr>
        <w:t>[229]</w:t>
      </w:r>
      <w:r w:rsidR="00245239">
        <w:rPr>
          <w:u w:val="single"/>
        </w:rPr>
        <w:fldChar w:fldCharType="end"/>
      </w:r>
    </w:p>
    <w:p w14:paraId="533B801B" w14:textId="77777777" w:rsidR="00B37E1F" w:rsidRPr="004569A5" w:rsidRDefault="00B37E1F" w:rsidP="008A2329">
      <w:pPr>
        <w:spacing w:before="0" w:after="0"/>
        <w:ind w:firstLine="567"/>
        <w:contextualSpacing/>
        <w:rPr>
          <w:szCs w:val="24"/>
          <w:lang w:eastAsia="ru-RU"/>
        </w:rPr>
      </w:pPr>
      <w:r w:rsidRPr="004569A5">
        <w:rPr>
          <w:i/>
          <w:szCs w:val="24"/>
          <w:lang w:eastAsia="ru-RU"/>
        </w:rPr>
        <w:t xml:space="preserve">Клиническими критериями </w:t>
      </w:r>
      <w:r w:rsidRPr="004569A5">
        <w:rPr>
          <w:szCs w:val="24"/>
          <w:lang w:eastAsia="ru-RU"/>
        </w:rPr>
        <w:t>эффективности трансфузии концентрата тромбоцитов являются прекращение или уменьшение выраженности спонтанной кровоточивости, отсутствие свежих геморрагий на коже и видимых слизистых.</w:t>
      </w:r>
    </w:p>
    <w:p w14:paraId="2CAE668C" w14:textId="77777777" w:rsidR="00B37E1F" w:rsidRPr="004569A5" w:rsidRDefault="00B37E1F" w:rsidP="008A2329">
      <w:pPr>
        <w:spacing w:before="0" w:after="0"/>
        <w:ind w:firstLine="567"/>
        <w:contextualSpacing/>
        <w:rPr>
          <w:szCs w:val="24"/>
          <w:lang w:eastAsia="ru-RU"/>
        </w:rPr>
      </w:pPr>
      <w:r w:rsidRPr="004569A5">
        <w:rPr>
          <w:i/>
          <w:szCs w:val="24"/>
          <w:lang w:eastAsia="ru-RU"/>
        </w:rPr>
        <w:t>Лабораторными критериями</w:t>
      </w:r>
      <w:r w:rsidRPr="004569A5">
        <w:rPr>
          <w:szCs w:val="24"/>
          <w:lang w:eastAsia="ru-RU"/>
        </w:rPr>
        <w:t xml:space="preserve"> эффективности переливания тромбоцитов являются увеличение количества циркулирующих тромбоцитов — абсолютный прирост тромбоцитов (АПТ) или скорректированный прирост тромбоцитов (СПТ) через 1 час и 18—24 ч после окончания трансфузии, а также показатели максимальной амплитуды на тромбоэластограмме.</w:t>
      </w:r>
    </w:p>
    <w:p w14:paraId="39A0E16D" w14:textId="77777777" w:rsidR="00B37E1F" w:rsidRPr="004569A5" w:rsidRDefault="00B37E1F" w:rsidP="008A2329">
      <w:pPr>
        <w:spacing w:before="0" w:after="0"/>
        <w:ind w:firstLine="567"/>
        <w:contextualSpacing/>
        <w:rPr>
          <w:bCs/>
          <w:szCs w:val="24"/>
        </w:rPr>
      </w:pPr>
      <w:r w:rsidRPr="004569A5">
        <w:rPr>
          <w:color w:val="000000"/>
          <w:szCs w:val="24"/>
        </w:rPr>
        <w:lastRenderedPageBreak/>
        <w:t xml:space="preserve">Трансфузию считают эффективной, если абсолютный прирост тромбоцитов через 1 час составил </w:t>
      </w:r>
      <w:r w:rsidRPr="004569A5">
        <w:rPr>
          <w:szCs w:val="24"/>
        </w:rPr>
        <w:t>10х10</w:t>
      </w:r>
      <w:r w:rsidRPr="004569A5">
        <w:rPr>
          <w:szCs w:val="24"/>
          <w:vertAlign w:val="superscript"/>
        </w:rPr>
        <w:t>9</w:t>
      </w:r>
      <w:r w:rsidRPr="004569A5">
        <w:rPr>
          <w:szCs w:val="24"/>
        </w:rPr>
        <w:t xml:space="preserve">/л от исходного уровня. </w:t>
      </w:r>
      <w:r w:rsidRPr="004569A5">
        <w:rPr>
          <w:bCs/>
          <w:szCs w:val="24"/>
        </w:rPr>
        <w:t>Для стандартизации оценки эффективности трансфузий скорректированный прирост тромбоцитов рассчитывается по формуле и выражается в расчетных единицах (РЕ):</w:t>
      </w:r>
    </w:p>
    <w:p w14:paraId="6BF4E0E5" w14:textId="77777777" w:rsidR="00B37E1F" w:rsidRPr="004569A5" w:rsidRDefault="00B37E1F" w:rsidP="008A2329">
      <w:pPr>
        <w:pStyle w:val="formula"/>
        <w:spacing w:before="0" w:after="0" w:line="360" w:lineRule="auto"/>
        <w:ind w:firstLine="567"/>
        <w:jc w:val="both"/>
        <w:rPr>
          <w:sz w:val="24"/>
          <w:szCs w:val="24"/>
        </w:rPr>
      </w:pPr>
      <w:r w:rsidRPr="004569A5">
        <w:rPr>
          <w:sz w:val="24"/>
          <w:szCs w:val="24"/>
        </w:rPr>
        <w:t>СПТ = (АПТ х площадь поверхности тела, м</w:t>
      </w:r>
      <w:r w:rsidRPr="004569A5">
        <w:rPr>
          <w:sz w:val="24"/>
          <w:szCs w:val="24"/>
          <w:vertAlign w:val="superscript"/>
        </w:rPr>
        <w:t>2</w:t>
      </w:r>
      <w:r w:rsidRPr="004569A5">
        <w:rPr>
          <w:sz w:val="24"/>
          <w:szCs w:val="24"/>
        </w:rPr>
        <w:t>) / количество перелитых тромбоцитов х 10</w:t>
      </w:r>
      <w:r w:rsidRPr="004569A5">
        <w:rPr>
          <w:sz w:val="24"/>
          <w:szCs w:val="24"/>
          <w:vertAlign w:val="superscript"/>
        </w:rPr>
        <w:t>11</w:t>
      </w:r>
    </w:p>
    <w:p w14:paraId="2C64AA47" w14:textId="77777777" w:rsidR="00B37E1F" w:rsidRPr="004569A5" w:rsidRDefault="00B37E1F" w:rsidP="008A2329">
      <w:pPr>
        <w:spacing w:before="0" w:after="0"/>
        <w:ind w:firstLine="567"/>
        <w:contextualSpacing/>
        <w:rPr>
          <w:szCs w:val="24"/>
        </w:rPr>
      </w:pPr>
      <w:r w:rsidRPr="004569A5">
        <w:rPr>
          <w:szCs w:val="24"/>
        </w:rPr>
        <w:t xml:space="preserve">Трансфузию считают эффективной, если СПТ через 1 час </w:t>
      </w:r>
      <w:proofErr w:type="gramStart"/>
      <w:r w:rsidRPr="004569A5">
        <w:rPr>
          <w:szCs w:val="24"/>
        </w:rPr>
        <w:t>составил &gt;</w:t>
      </w:r>
      <w:proofErr w:type="gramEnd"/>
      <w:r w:rsidRPr="004569A5">
        <w:rPr>
          <w:szCs w:val="24"/>
        </w:rPr>
        <w:t xml:space="preserve"> 7,5 РЕ, а СПТ через 24 ч &gt; 4,5 РЕ. </w:t>
      </w:r>
      <w:r w:rsidRPr="004569A5">
        <w:rPr>
          <w:szCs w:val="24"/>
          <w:lang w:eastAsia="ru-RU"/>
        </w:rPr>
        <w:t xml:space="preserve">В случае неэффективности трансфузий необходимо определить возможные причины. При возникновении рефрактерности к трансфузиям или наличия в анамнезе посттрансфузионных реакций и осложнений показан индивидуальный подбор тромбоцитов донора, применение плазмафереза (см. Приложение </w:t>
      </w:r>
      <w:r w:rsidRPr="004569A5">
        <w:rPr>
          <w:szCs w:val="24"/>
        </w:rPr>
        <w:t>«Лечебный цитаферез и плазмаферез при гематологических заболеваниях»</w:t>
      </w:r>
      <w:r w:rsidRPr="004569A5">
        <w:rPr>
          <w:szCs w:val="24"/>
          <w:lang w:eastAsia="ru-RU"/>
        </w:rPr>
        <w:t>).</w:t>
      </w:r>
    </w:p>
    <w:p w14:paraId="2CE52DA7" w14:textId="3DB2513A" w:rsidR="00B37E1F" w:rsidRPr="00FD15FE" w:rsidRDefault="00B37E1F" w:rsidP="008F161A">
      <w:pPr>
        <w:numPr>
          <w:ilvl w:val="0"/>
          <w:numId w:val="167"/>
        </w:numPr>
        <w:spacing w:before="0" w:after="0"/>
        <w:rPr>
          <w:b/>
          <w:szCs w:val="24"/>
          <w:lang w:eastAsia="ru-RU"/>
        </w:rPr>
      </w:pPr>
      <w:r w:rsidRPr="00FD15FE">
        <w:rPr>
          <w:b/>
          <w:szCs w:val="24"/>
          <w:lang w:eastAsia="ru-RU"/>
        </w:rPr>
        <w:t>Трансфузии СЗП</w:t>
      </w:r>
      <w:r w:rsidR="00245239">
        <w:rPr>
          <w:b/>
          <w:szCs w:val="24"/>
          <w:lang w:eastAsia="ru-RU"/>
        </w:rPr>
        <w:t xml:space="preserve"> </w:t>
      </w:r>
      <w:r w:rsidR="00245239">
        <w:rPr>
          <w:b/>
          <w:szCs w:val="24"/>
          <w:lang w:eastAsia="ru-RU"/>
        </w:rPr>
        <w:fldChar w:fldCharType="begin" w:fldLock="1"/>
      </w:r>
      <w:r w:rsidR="00E430FD">
        <w:rPr>
          <w:b/>
          <w:szCs w:val="24"/>
          <w:lang w:eastAsia="ru-RU"/>
        </w:rPr>
        <w:instrText>ADDIN CSL_CITATION {"citationItems":[{"id":"ITEM-1","itemData":{"author":[{"dropping-particle":"","family":"Савченко","given":"В Г","non-dropping-particle":"","parse-names":false,"suffix":""},{"dropping-particle":"","family":"Михайлова","given":"Координатор Е А","non-dropping-particle":"","parse-names":false,"suffix":""}],"id":"ITEM-1","issued":{"date-parts":[["0"]]},"title":"Алгоритмы диагностики и протоколы лечения заболеваний системы крови.","type":"report"},"uris":["http://www.mendeley.com/documents/?uuid=b3946770-a24f-430d-b773-bdd9bb92a36b"]},{"id":"ITEM-2","itemData":{"DOI":"10.1016/S0887-7963(03)00018-X","ISSN":"08877963","PMID":"12881779","abstract":"Routine platelet transfusions for patients with acute leukemia were introduced in the early 1960s, and since then platelet use has increased steadily. Despite widespread use, good clinical evidence supporting prophylactic platelet transfusions is limited, and there are very few studies that have examined the dose for prophylactic platelet transfusions. Review of the platelet dose used in both early studies of routine platelet transfusions and more recent clinical trials of platelet transfusions shows wide variation in dosing, which is also reflected in clinical practice. As such, only limited recommendations for platelet dose have been forthcoming from consensus conferences or guidelines. The results from 3 recent clinical trials and a mathematical model examining the dose for prophylactic platelet transfusions suggest that lower dose transfusions may decrease the total number of platelets transfused; however, no definitive conclusions about the optimal platelet dose can be reached as these trials were not designed to evaluate bleeding outcomes or total platelet utilization. Future large clinical trials of platelet dose, which examine these critical outcomes, are required. Only with these results can the optimal platelet dose be determined. © 2003 Elsevier Inc. All rights reserved.","author":[{"dropping-particle":"","family":"Tinmouth","given":"Alan T.","non-dropping-particle":"","parse-names":false,"suffix":""},{"dropping-particle":"","family":"Freedman","given":"John","non-dropping-particle":"","parse-names":false,"suffix":""}],"container-title":"Transfusion Medicine Reviews","id":"ITEM-2","issue":"3","issued":{"date-parts":[["2003"]]},"page":"181-193","publisher":"W.B. Saunders","title":"Prophylactic platelet transfusions: Which dose is the best dose? A review of the literature","type":"article-journal","volume":"17"},"uris":["http://www.mendeley.com/documents/?uuid=c12ef78c-89df-40af-ac4c-0111fdd02bff"]},{"id":"ITEM-3","itemData":{"DOI":"10.7326/M14-1589","ISSN":"15393704","PMID":"25383671","abstract":"Background: The AABB (formerly, the American Association of Blood Banks) developed this guideline on appropriate use of platelet transfusion in adult patients. Methods: These guidelines are based on a systematic review of randomized, clinical trials and observational studies (1900 to September 2014) that reported clinical outcomes on patients receiving prophylactic or therapeutic platelet transfusions. An expert panel reviewed the data and developed recommendations using the Grading of Recommendations Assessment, Development and Evaluation (GRADE) framework. Recommendation 1: The AABB recommends that platelets should be transfused prophylactically to reduce the risk for spontaneous bleeding in hospitalized adult patients with therapyinduced hypoproliferative thrombocytopenia. The AABB recommends transfusing hospitalized adult patients with a platelet count of 10 × 109 cells/L or less to reduce the risk for spontaneous bleeding. The AABB recommends transfusing up to a single apheresis unit or equivalent. Greater doses are not more effective, and lower doses equal to one half of a standard apheresis unit are equally effective. (Grade: strong recommendation; moderate-quality evidence) Recommendation 2: The AABB suggests prophylactic platelet transfusion for patients having elective central venous catheter placement with a platelet count less than 20 × 109 cells/L. (Grade: weak recommendation; low-quality evidence) Recommendation 3: The AABB suggests prophylactic platelet transfusion for patients having elective diagnostic lumbar puncture with a platelet count less than 50 × 109 cells/L. (Grade: weak recommendation; very-low-quality evidence) Recommendation 4: The AABB suggests prophylactic platelet transfusion for patients having major elective nonneuraxial surgery with a platelet count less than 50 × 109 cells/L. (Grade: weak recommendation; very-low-quality evidence) Recommendation 5: The AABB recommends against routine prophylactic platelet transfusion for patients who are nonthrombocytopenic and have cardiac surgery with cardiopulmonary bypass. The AABB suggests platelet transfusion for patients having bypass who exhibit perioperative bleeding with thrombocytopenia and/or evidence of platelet dysfunction. (Grade: weak recommendation; very-low-quality evidence) Recommendation 6: The AABB cannot recommend for or against platelet transfusion for patients receiving antiplatelet therapy who have intracranial hemorrhage (traumatic or spontaneous). (Grade: un…","author":[{"dropping-particle":"","family":"Kaufman","given":"Richard M.","non-dropping-particle":"","parse-names":false,"suffix":""},{"dropping-particle":"","family":"Djulbegovic","given":"Benjamin","non-dropping-particle":"","parse-names":false,"suffix":""},{"dropping-particle":"","family":"Gernsheimer","given":"Terry","non-dropping-particle":"","parse-names":false,"suffix":""},{"dropping-particle":"","family":"Kleinman","given":"Steven","non-dropping-particle":"","parse-names":false,"suffix":""},{"dropping-particle":"","family":"Tinmouth","given":"Alan T.","non-dropping-particle":"","parse-names":false,"suffix":""},{"dropping-particle":"","family":"Capocelli","given":"Kelley E.","non-dropping-particle":"","parse-names":false,"suffix":""},{"dropping-particle":"","family":"Cipolle","given":"Mark D.","non-dropping-particle":"","parse-names":false,"suffix":""},{"dropping-particle":"","family":"Cohn","given":"Claudia S.","non-dropping-particle":"","parse-names":false,"suffix":""},{"dropping-particle":"","family":"Fung","given":"Mark K.","non-dropping-particle":"","parse-names":false,"suffix":""},{"dropping-particle":"","family":"Grossman","given":"Brenda J.","non-dropping-particle":"","parse-names":false,"suffix":""},{"dropping-particle":"","family":"Mintz","given":"Paul D.","non-dropping-particle":"","parse-names":false,"suffix":""},{"dropping-particle":"","family":"O'Malley","given":"Barbara A.","non-dropping-particle":"","parse-names":false,"suffix":""},{"dropping-particle":"","family":"Sesok-Pizzini","given":"Deborah A.","non-dropping-particle":"","parse-names":false,"suffix":""},{"dropping-particle":"","family":"Shander","given":"Aryeh","non-dropping-particle":"","parse-names":false,"suffix":""},{"dropping-particle":"","family":"Stack","given":"Gary E.","non-dropping-particle":"","parse-names":false,"suffix":""},{"dropping-particle":"","family":"Webert","given":"Kathryn E.","non-dropping-particle":"","parse-names":false,"suffix":""},{"dropping-particle":"","family":"Weinstein","given":"Robert","non-dropping-particle":"","parse-names":false,"suffix":""},{"dropping-particle":"","family":"Welch","given":"Babu G.","non-dropping-particle":"","parse-names":false,"suffix":""},{"dropping-particle":"","family":"Whitman","given":"Glenn J.","non-dropping-particle":"","parse-names":false,"suffix":""},{"dropping-particle":"","family":"Wong","given":"Edward C.","non-dropping-particle":"","parse-names":false,"suffix":""},{"dropping-particle":"","family":"Tobian","given":"Aaron A.R.","non-dropping-particle":"","parse-names":false,"suffix":""}],"container-title":"Annals of Internal Medicine","id":"ITEM-3","issue":"3","issued":{"date-parts":[["2015","2"]]},"page":"205-213","publisher":"American College of Physicians","title":"Platelet transfusion: A clinical practice guideline from the AABB","type":"article","volume":"162"},"uris":["http://www.mendeley.com/documents/?uuid=6c544811-c7a9-4d0f-b720-0f14b2b462ce"]}],"mendeley":{"formattedCitation":"[228,230,231]","plainTextFormattedCitation":"[228,230,231]","previouslyFormattedCitation":"[228,230,231]"},"properties":{"noteIndex":0},"schema":"https://github.com/citation-style-language/schema/raw/master/csl-citation.json"}</w:instrText>
      </w:r>
      <w:r w:rsidR="00245239">
        <w:rPr>
          <w:b/>
          <w:szCs w:val="24"/>
          <w:lang w:eastAsia="ru-RU"/>
        </w:rPr>
        <w:fldChar w:fldCharType="separate"/>
      </w:r>
      <w:r w:rsidR="00E430FD" w:rsidRPr="00E430FD">
        <w:rPr>
          <w:noProof/>
          <w:szCs w:val="24"/>
          <w:lang w:eastAsia="ru-RU"/>
        </w:rPr>
        <w:t>[228,230,231]</w:t>
      </w:r>
      <w:r w:rsidR="00245239">
        <w:rPr>
          <w:b/>
          <w:szCs w:val="24"/>
          <w:lang w:eastAsia="ru-RU"/>
        </w:rPr>
        <w:fldChar w:fldCharType="end"/>
      </w:r>
    </w:p>
    <w:p w14:paraId="6F151A8F" w14:textId="77777777" w:rsidR="00B37E1F" w:rsidRPr="00FD15FE" w:rsidRDefault="00B37E1F" w:rsidP="002431B5">
      <w:pPr>
        <w:rPr>
          <w:b/>
          <w:u w:val="single"/>
        </w:rPr>
      </w:pPr>
      <w:r w:rsidRPr="00FD15FE">
        <w:rPr>
          <w:u w:val="single"/>
        </w:rPr>
        <w:t>Показания к переливанию СЗП:</w:t>
      </w:r>
    </w:p>
    <w:p w14:paraId="17A8D750" w14:textId="3B624E78" w:rsidR="00B37E1F" w:rsidRPr="004569A5" w:rsidRDefault="00B37E1F" w:rsidP="0024404E">
      <w:pPr>
        <w:pStyle w:val="FitzBullet"/>
        <w:numPr>
          <w:ilvl w:val="0"/>
          <w:numId w:val="85"/>
        </w:numPr>
        <w:spacing w:before="0" w:after="0" w:line="360" w:lineRule="auto"/>
        <w:ind w:left="0"/>
        <w:jc w:val="both"/>
        <w:rPr>
          <w:sz w:val="24"/>
          <w:szCs w:val="24"/>
          <w:lang w:val="ru-RU"/>
        </w:rPr>
      </w:pPr>
      <w:r w:rsidRPr="004569A5">
        <w:rPr>
          <w:sz w:val="24"/>
          <w:szCs w:val="24"/>
          <w:lang w:val="ru-RU"/>
        </w:rPr>
        <w:t>Экстренная реверсия действия непрямых антикоагулянтов (варфарин</w:t>
      </w:r>
      <w:r w:rsidR="00F87EE7" w:rsidRPr="00F87EE7">
        <w:rPr>
          <w:sz w:val="24"/>
          <w:szCs w:val="24"/>
          <w:lang w:val="ru-RU"/>
        </w:rPr>
        <w:t>**</w:t>
      </w:r>
      <w:r w:rsidRPr="004569A5">
        <w:rPr>
          <w:sz w:val="24"/>
          <w:szCs w:val="24"/>
          <w:lang w:val="ru-RU"/>
        </w:rPr>
        <w:t>); переливают СЗП из расчета 5—8 мл/кг.</w:t>
      </w:r>
    </w:p>
    <w:p w14:paraId="4358D92D" w14:textId="77777777" w:rsidR="00B37E1F" w:rsidRPr="004569A5" w:rsidRDefault="00B37E1F" w:rsidP="0024404E">
      <w:pPr>
        <w:pStyle w:val="FitzBullet"/>
        <w:numPr>
          <w:ilvl w:val="0"/>
          <w:numId w:val="85"/>
        </w:numPr>
        <w:spacing w:before="0" w:after="0" w:line="360" w:lineRule="auto"/>
        <w:ind w:left="0"/>
        <w:jc w:val="both"/>
        <w:rPr>
          <w:sz w:val="24"/>
          <w:szCs w:val="24"/>
          <w:lang w:val="ru-RU"/>
        </w:rPr>
      </w:pPr>
      <w:r w:rsidRPr="004569A5">
        <w:rPr>
          <w:sz w:val="24"/>
          <w:szCs w:val="24"/>
          <w:lang w:val="ru-RU"/>
        </w:rPr>
        <w:t>Коррекция дефицита известного фактора свертывания, для которого нет в наличии специфического концентрата. Для достижения 30% концентрации факторов в плазме необходимо переливать СЗП в количестве 10—15 мл/кг.</w:t>
      </w:r>
    </w:p>
    <w:p w14:paraId="42906744" w14:textId="77777777" w:rsidR="00B37E1F" w:rsidRPr="004569A5" w:rsidRDefault="00B37E1F" w:rsidP="0024404E">
      <w:pPr>
        <w:pStyle w:val="FitzBullet"/>
        <w:numPr>
          <w:ilvl w:val="0"/>
          <w:numId w:val="85"/>
        </w:numPr>
        <w:spacing w:before="0" w:after="0" w:line="360" w:lineRule="auto"/>
        <w:ind w:left="0"/>
        <w:jc w:val="both"/>
        <w:rPr>
          <w:sz w:val="24"/>
          <w:szCs w:val="24"/>
          <w:lang w:val="ru-RU"/>
        </w:rPr>
      </w:pPr>
      <w:r w:rsidRPr="004569A5">
        <w:rPr>
          <w:sz w:val="24"/>
          <w:szCs w:val="24"/>
          <w:lang w:val="ru-RU"/>
        </w:rPr>
        <w:t>Коррекция геморрагического синдрома при увеличении (&gt; 1,5 раз по сравнению с нормой) ПВ или АЧТВ.</w:t>
      </w:r>
    </w:p>
    <w:p w14:paraId="38D68654" w14:textId="77777777" w:rsidR="00B37E1F" w:rsidRPr="004569A5" w:rsidRDefault="00B37E1F" w:rsidP="0024404E">
      <w:pPr>
        <w:pStyle w:val="FitzBullet"/>
        <w:numPr>
          <w:ilvl w:val="0"/>
          <w:numId w:val="85"/>
        </w:numPr>
        <w:spacing w:before="0" w:after="0" w:line="360" w:lineRule="auto"/>
        <w:ind w:left="0"/>
        <w:jc w:val="both"/>
        <w:rPr>
          <w:sz w:val="24"/>
          <w:szCs w:val="24"/>
          <w:lang w:val="ru-RU"/>
        </w:rPr>
      </w:pPr>
      <w:r w:rsidRPr="004569A5">
        <w:rPr>
          <w:sz w:val="24"/>
          <w:szCs w:val="24"/>
          <w:lang w:val="ru-RU"/>
        </w:rPr>
        <w:t>Возмещение объема при проведении плазмафереза.</w:t>
      </w:r>
    </w:p>
    <w:p w14:paraId="18EC0A34" w14:textId="6FA86800" w:rsidR="00B37E1F" w:rsidRPr="004569A5" w:rsidRDefault="00B37E1F" w:rsidP="0024404E">
      <w:pPr>
        <w:pStyle w:val="FitzBullet"/>
        <w:numPr>
          <w:ilvl w:val="0"/>
          <w:numId w:val="85"/>
        </w:numPr>
        <w:spacing w:before="0" w:after="0" w:line="360" w:lineRule="auto"/>
        <w:ind w:left="0"/>
        <w:jc w:val="both"/>
        <w:rPr>
          <w:sz w:val="24"/>
          <w:szCs w:val="24"/>
          <w:lang w:val="ru-RU"/>
        </w:rPr>
      </w:pPr>
      <w:r w:rsidRPr="004569A5">
        <w:rPr>
          <w:sz w:val="24"/>
          <w:szCs w:val="24"/>
          <w:lang w:val="ru-RU"/>
        </w:rPr>
        <w:t>Дефицит антитромбина III в ходе терапии аспарагиназой</w:t>
      </w:r>
      <w:r w:rsidR="00F87EE7" w:rsidRPr="00F87EE7">
        <w:rPr>
          <w:sz w:val="24"/>
          <w:szCs w:val="24"/>
          <w:lang w:val="ru-RU"/>
        </w:rPr>
        <w:t>**</w:t>
      </w:r>
      <w:r w:rsidRPr="004569A5">
        <w:rPr>
          <w:sz w:val="24"/>
          <w:szCs w:val="24"/>
          <w:lang w:val="ru-RU"/>
        </w:rPr>
        <w:t>. СЗП вводят в дозе 3—3,5 мл/кг/сут.</w:t>
      </w:r>
    </w:p>
    <w:p w14:paraId="32501D85" w14:textId="77777777" w:rsidR="00B37E1F" w:rsidRPr="00FD15FE" w:rsidRDefault="00B37E1F" w:rsidP="002431B5">
      <w:pPr>
        <w:rPr>
          <w:b/>
          <w:u w:val="single"/>
        </w:rPr>
      </w:pPr>
      <w:r w:rsidRPr="00FD15FE">
        <w:rPr>
          <w:u w:val="single"/>
        </w:rPr>
        <w:t>Показания к переливанию криопреципитата</w:t>
      </w:r>
    </w:p>
    <w:p w14:paraId="46894CBC" w14:textId="77777777" w:rsidR="00B37E1F" w:rsidRPr="004569A5" w:rsidRDefault="00B37E1F" w:rsidP="0024404E">
      <w:pPr>
        <w:pStyle w:val="FitzBullet"/>
        <w:numPr>
          <w:ilvl w:val="0"/>
          <w:numId w:val="86"/>
        </w:numPr>
        <w:spacing w:before="0" w:after="0" w:line="360" w:lineRule="auto"/>
        <w:ind w:left="0"/>
        <w:jc w:val="both"/>
        <w:rPr>
          <w:sz w:val="24"/>
          <w:szCs w:val="24"/>
          <w:lang w:val="ru-RU"/>
        </w:rPr>
      </w:pPr>
      <w:r w:rsidRPr="004569A5">
        <w:rPr>
          <w:sz w:val="24"/>
          <w:szCs w:val="24"/>
          <w:lang w:val="ru-RU"/>
        </w:rPr>
        <w:t xml:space="preserve">Гипофибриногенемия </w:t>
      </w:r>
      <w:proofErr w:type="gramStart"/>
      <w:r w:rsidRPr="004569A5">
        <w:rPr>
          <w:sz w:val="24"/>
          <w:szCs w:val="24"/>
          <w:lang w:val="ru-RU"/>
        </w:rPr>
        <w:t>(&lt; 1</w:t>
      </w:r>
      <w:proofErr w:type="gramEnd"/>
      <w:r w:rsidRPr="004569A5">
        <w:rPr>
          <w:sz w:val="24"/>
          <w:szCs w:val="24"/>
          <w:lang w:val="ru-RU"/>
        </w:rPr>
        <w:t> г/л).</w:t>
      </w:r>
    </w:p>
    <w:p w14:paraId="1C51A4D6" w14:textId="77777777" w:rsidR="00B37E1F" w:rsidRPr="004569A5" w:rsidRDefault="00B37E1F" w:rsidP="0024404E">
      <w:pPr>
        <w:pStyle w:val="FitzBullet"/>
        <w:numPr>
          <w:ilvl w:val="0"/>
          <w:numId w:val="86"/>
        </w:numPr>
        <w:spacing w:before="0" w:after="0" w:line="360" w:lineRule="auto"/>
        <w:ind w:left="0"/>
        <w:jc w:val="both"/>
        <w:rPr>
          <w:sz w:val="24"/>
          <w:szCs w:val="24"/>
          <w:lang w:val="ru-RU"/>
        </w:rPr>
      </w:pPr>
      <w:r w:rsidRPr="004569A5">
        <w:rPr>
          <w:sz w:val="24"/>
          <w:szCs w:val="24"/>
          <w:lang w:val="ru-RU"/>
        </w:rPr>
        <w:t xml:space="preserve">Периоперационный период или массивные кровотечения при уровне фибриногена </w:t>
      </w:r>
      <w:proofErr w:type="gramStart"/>
      <w:r w:rsidRPr="004569A5">
        <w:rPr>
          <w:sz w:val="24"/>
          <w:szCs w:val="24"/>
          <w:lang w:val="ru-RU"/>
        </w:rPr>
        <w:t>&lt; 1</w:t>
      </w:r>
      <w:proofErr w:type="gramEnd"/>
      <w:r w:rsidRPr="004569A5">
        <w:rPr>
          <w:sz w:val="24"/>
          <w:szCs w:val="24"/>
          <w:lang w:val="ru-RU"/>
        </w:rPr>
        <w:t>,5 г/л.</w:t>
      </w:r>
    </w:p>
    <w:p w14:paraId="032D65BC" w14:textId="77777777" w:rsidR="00B37E1F" w:rsidRPr="004569A5" w:rsidRDefault="00B37E1F" w:rsidP="002431B5">
      <w:pPr>
        <w:spacing w:before="0" w:after="0"/>
        <w:rPr>
          <w:szCs w:val="24"/>
        </w:rPr>
      </w:pPr>
      <w:r w:rsidRPr="004569A5">
        <w:rPr>
          <w:szCs w:val="24"/>
        </w:rPr>
        <w:t xml:space="preserve">Расчетная доза </w:t>
      </w:r>
      <w:r w:rsidRPr="004569A5">
        <w:rPr>
          <w:iCs/>
          <w:szCs w:val="24"/>
        </w:rPr>
        <w:t>криопреципитата</w:t>
      </w:r>
      <w:r w:rsidRPr="004569A5">
        <w:rPr>
          <w:szCs w:val="24"/>
        </w:rPr>
        <w:t xml:space="preserve"> составляет 1 ед на 5 кг массы тела пациента или 15—20 ед при массе тела 70 кг. В 1 единице содержится: фибриногена не менее 140 мг, FVIII — не менее 70 МЕ.</w:t>
      </w:r>
    </w:p>
    <w:p w14:paraId="7FA4956A" w14:textId="77777777" w:rsidR="00B37E1F" w:rsidRPr="00FD15FE" w:rsidRDefault="00B37E1F" w:rsidP="002431B5">
      <w:pPr>
        <w:rPr>
          <w:b/>
          <w:u w:val="single"/>
        </w:rPr>
      </w:pPr>
      <w:r w:rsidRPr="00FD15FE">
        <w:rPr>
          <w:u w:val="single"/>
        </w:rPr>
        <w:lastRenderedPageBreak/>
        <w:t xml:space="preserve">Качество компонентов крови, применяемых при сопроводительной терапии гематологических пациентов </w:t>
      </w:r>
    </w:p>
    <w:p w14:paraId="68050595" w14:textId="37738644" w:rsidR="00B37E1F" w:rsidRPr="004569A5" w:rsidRDefault="00B37E1F" w:rsidP="002431B5">
      <w:pPr>
        <w:spacing w:before="0" w:after="0"/>
        <w:rPr>
          <w:szCs w:val="24"/>
        </w:rPr>
      </w:pPr>
      <w:r w:rsidRPr="004569A5">
        <w:rPr>
          <w:szCs w:val="24"/>
        </w:rPr>
        <w:t>При гематологических заболеваниях с известными показаниями к неоднократным трансфузиям компонентов крови, с целью профилактики нежелательных реакций и осложнений, связанных с трансфузиями, рекомендуется использование компонентов крови со следующими характеристиками</w:t>
      </w:r>
      <w:r w:rsidR="00245239">
        <w:rPr>
          <w:szCs w:val="24"/>
        </w:rPr>
        <w:fldChar w:fldCharType="begin" w:fldLock="1"/>
      </w:r>
      <w:r w:rsidR="00E430FD">
        <w:rPr>
          <w:szCs w:val="24"/>
        </w:rPr>
        <w:instrText>ADDIN CSL_CITATION {"citationItems":[{"id":"ITEM-1","itemData":{"DOI":"10.25837/HAT.2019.62.39.006","ISSN":"02345730","abstract":"Adherence to proper indications for red blood cells (RBC) transfusion is essential because of its potential adverse effects and costs of therapy. Aim of these recommendations is to summarize typed of RBC concentrates and indications for RBC transfusions among different categories of the patients. Methods. The methodological approaches are based on the recommendations of the Russian expert council (leading specialists of the Russian Federation) and literature search for randomized clinical trials evaluating RBC storage duration, hemoglobin thresholds and clinical indications for RBC transfusion without language restrictions. Results. The draft clinical guidelines were reviewed on February 1, 2018 at First Russian Transfusiology Congress of the (Vladivostok). The main types of RBC concentrates, storage duration, transport conditions and indications for RBC transfusions are presented. The indications for RBC transfusions are analyzed for various clinical conditions (in obstetrics, neonatology, hematology, cardiology, neurosurgery, nephrology, in patients with sepsis and septic shock, patients with acute blood loss, in patients after hematopoietic stem cell and organ transplantation). Conclusion. The recommendations are intended for doctors of various specialties, health administrators, medical students.","author":[{"dropping-particle":"","family":"Akselrod","given":"B. A.","non-dropping-particle":"","parse-names":false,"suffix":""},{"dropping-particle":"","family":"Baloshova","given":"E. N.","non-dropping-particle":"","parse-names":false,"suffix":""},{"dropping-particle":"","family":"Bautin","given":"A. E.","non-dropping-particle":"","parse-names":false,"suffix":""},{"dropping-particle":"","family":"Bakhovadinov","given":"B. B.","non-dropping-particle":"","parse-names":false,"suffix":""},{"dropping-particle":"","family":"Biryukova","given":"L. S.","non-dropping-particle":"","parse-names":false,"suffix":""},{"dropping-particle":"","family":"Bulanov","given":"A. Yu","non-dropping-particle":"","parse-names":false,"suffix":""},{"dropping-particle":"","family":"Bysfrykh","given":"O. A.","non-dropping-particle":"","parse-names":false,"suffix":""},{"dropping-particle":"","family":"Vinogradova","given":"M. A.","non-dropping-particle":"","parse-names":false,"suffix":""},{"dropping-particle":"","family":"Galstyan","given":"G. M.","non-dropping-particle":"","parse-names":false,"suffix":""},{"dropping-particle":"V.","family":"Gaponova","given":"T.","non-dropping-particle":"","parse-names":false,"suffix":""},{"dropping-particle":"","family":"Golovkina","given":"L. L.","non-dropping-particle":"","parse-names":false,"suffix":""},{"dropping-particle":"","family":"Gorokhovskiy","given":"V. S.","non-dropping-particle":"","parse-names":false,"suffix":""},{"dropping-particle":"","family":"Eremenko","given":"A. A.","non-dropping-particle":"","parse-names":false,"suffix":""},{"dropping-particle":"","family":"Zhiburt","given":"E. B.","non-dropping-particle":"","parse-names":false,"suffix":""},{"dropping-particle":"V.","family":"Zhuravel","given":"S.","non-dropping-particle":"","parse-names":false,"suffix":""},{"dropping-particle":"V.","family":"Kokhno","given":"A.","non-dropping-particle":"","parse-names":false,"suffix":""},{"dropping-particle":"","family":"Kuzmina","given":"L. A.","non-dropping-particle":"","parse-names":false,"suffix":""},{"dropping-particle":"","family":"Kulabukhov","given":"V. Y.","non-dropping-particle":"","parse-names":false,"suffix":""},{"dropping-particle":"","family":"Kupryashov","given":"A. A.","non-dropping-particle":"","parse-names":false,"suffix":""},{"dropping-particle":"","family":"Lubnin","given":"A. Yu","non-dropping-particle":"","parse-names":false,"suffix":""},{"dropping-particle":"","family":"Mazurok","given":"V. A.","non-dropping-particle":"","parse-names":false,"suffix":""},{"dropping-particle":"","family":"Menshugin","given":"I. N.","non-dropping-particle":"","parse-names":false,"suffix":""},{"dropping-particle":"V.","family":"Mineeva","given":"N.","non-dropping-particle":"","parse-names":false,"suffix":""},{"dropping-particle":"","family":"Mihoilova","given":"E. A.","non-dropping-particle":"","parse-names":false,"suffix":""},{"dropping-particle":"","family":"Nikitin","given":"E. A.","non-dropping-particle":"","parse-names":false,"suffix":""},{"dropping-particle":"","family":"Olovnikova","given":"N. I.","non-dropping-particle":"","parse-names":false,"suffix":""},{"dropping-particle":"V.","family":"Oshorov","given":"A.","non-dropping-particle":"","parse-names":false,"suffix":""},{"dropping-particle":"","family":"Pevtsov","given":"D.","non-dropping-particle":"","parse-names":false,"suffix":""},{"dropping-particle":"","family":"Pophov","given":"V. N.","non-dropping-particle":"","parse-names":false,"suffix":""},{"dropping-particle":"V.","family":"Rogachevskiy","given":"O.","non-dropping-particle":"","parse-names":false,"suffix":""},{"dropping-particle":"","family":"Salimov","given":"E. L.","non-dropping-particle":"","parse-names":false,"suffix":""},{"dropping-particle":"V.","family":"Tftkov","given":"K.","non-dropping-particle":"","parse-names":false,"suffix":""},{"dropping-particle":"","family":"Trakhfman","given":"P. E.","non-dropping-particle":"","parse-names":false,"suffix":""},{"dropping-particle":"V.","family":"Troitskayo","given":"V.","non-dropping-particle":"","parse-names":false,"suffix":""},{"dropping-particle":"","family":"Fedorova","given":"T. A.","non-dropping-particle":"","parse-names":false,"suffix":""},{"dropping-particle":"","family":"Fidarova","given":"Z. T.","non-dropping-particle":"","parse-names":false,"suffix":""},{"dropping-particle":"","family":"Tsvetaeva","given":"N. Y.","non-dropping-particle":"","parse-names":false,"suffix":""},{"dropping-particle":"V.","family":"Chzhao","given":"A.","non-dropping-particle":"","parse-names":false,"suffix":""},{"dropping-particle":"","family":"Shestakov","given":"E. F.","non-dropping-particle":"","parse-names":false,"suffix":""}],"container-title":"Gematologiya i Transfusiologiya","id":"ITEM-1","issue":"4","issued":{"date-parts":[["2018","6"]]},"page":"372-435","publisher":"Izdatel'stvo Meditsina","title":"Clinical guidelines for red blood cell transfusion","type":"article","volume":"63"},"uris":["http://www.mendeley.com/documents/?uuid=8e605771-1ad4-4f6a-a00d-b7f526bf32d3"]},{"id":"ITEM-2","itemData":{"author":[{"dropping-particle":"","family":"Баркаган","given":"З.С.","non-dropping-particle":"","parse-names":false,"suffix":""}],"id":"ITEM-2","issued":{"date-parts":[["1988"]]},"number-of-pages":"528","publisher":"Медицина","publisher-place":"Москва","title":"Геморрагические заболевания и синдромы","type":"book"},"uris":["http://www.mendeley.com/documents/?uuid=7a37d599-b278-42b3-b77d-5045d16580ab"]},{"id":"ITEM-3","itemData":{"DOI":"10.1002/pbc.25515","ISSN":"15455017","PMID":"25820776","abstract":"Background: L-asparaginase, a key therapeutic agent in the management of patients with acute lymphoblastic leukemia (ALL), dramatically impairs hepatic protein synthesis. We investigated the effects of prolonged exposure to L-asparaginase on antithrombin (AT), fibrinogen and mannan-binding-lectin (MBL) levels, and on the occurrence of thrombotic events (TE) and febrile neutropenia episodes (FN) in pediatric patients. Procedure: Protein levels were measured in 97 children during 30 weeks of chemotherapy with L-asparaginase and up to 1 year following remission. TE and FN episodes were recorded during this period. Results: Median AT level decreased from 0.96IU/mL prior to treatment (range: 0.69-1.38) to 0.55IU/mL (0.37-0.76) during therapy. Fibrinogen and MBL decreased from 3.18g/L (1.29-7.28) and 1,177ng/mL (57-5,343) to 1.56g/L (0.84-2.13) and 193ng/mL (57-544), respectively. All three proteins had recovered 1-4 weeks after L-asparaginase cessation. TE were reported in 22 (23%) patients. Of these, 11 occurred after a median of 10 administrations of L-asparaginase. Fifty-one FN were associated with infections, of which 36 occurred during treatment with L-asparaginase. Patients with low levels of MBL at diagnosis were at higher risk of FN associated with infections (RR=1.59, 95%CI: 1.026-2.474). Both AT and MBL decreases were moderately correlated with fibrinogen (r=0.51 and 0.58, respectively). Conclusions: Children with ALL are exposed to significant decrease in AT, fibrinogen and MBL levels, and concomitant increased risk of thrombosis and FN with infection during L-asparaginase treatment. Measuring plasma levels of these liver-derived proteins could help predict the occurrence of adverse events.","author":[{"dropping-particle":"","family":"Merlen","given":"Clémence","non-dropping-particle":"","parse-names":false,"suffix":""},{"dropping-particle":"","family":"Bonnefoy","given":"Arnaud","non-dropping-particle":"","parse-names":false,"suffix":""},{"dropping-particle":"","family":"Wagner","given":"Eric","non-dropping-particle":"","parse-names":false,"suffix":""},{"dropping-particle":"","family":"Dedeken","given":"Laurence","non-dropping-particle":"","parse-names":false,"suffix":""},{"dropping-particle":"","family":"Leclerc","given":"Jean Marie","non-dropping-particle":"","parse-names":false,"suffix":""},{"dropping-particle":"","family":"Laverdière","given":"Caroline","non-dropping-particle":"","parse-names":false,"suffix":""},{"dropping-particle":"","family":"Rivard","given":"Georges Etienne","non-dropping-particle":"","parse-names":false,"suffix":""}],"container-title":"Pediatric Blood and Cancer","id":"ITEM-3","issue":"8","issued":{"date-parts":[["2015","8"]]},"page":"1381-1387","publisher":"John Wiley and Sons Inc.","title":"L-Asparaginase lowers plasma antithrombin and mannan-binding-lectin levels: Impact on thrombotic and infectious events in children with acute lymphoblastic leukemia","type":"article-journal","volume":"62"},"uris":["http://www.mendeley.com/documents/?uuid=11d9d167-a37f-48bc-b343-9b7b6829367c"]},{"id":"ITEM-4","itemData":{"DOI":"10.1188/10.cjon.e10-e21","ISSN":"03850684","PMID":"18931569","abstract":"Monoclonal antibody treatment, which is one of the most promising molecular targeting cancer therapies, has recently become indispensable for the treatment of cancer due to its effectiveness and fewer side effects. Infusion reactions, which are similar to hypersensitivity or allergic reactions, are the generic term for the acute characteristic harmful reactions commonly associated with monoclonal antibody treatment. Those typically occur within the first 2 hours of the first infusion and are generally mild-to-moderate reactions which can be managed by either temporary interruption of infusion or administration of supportive care including corticosteroids, oxygen, or intravenous fluids. However, there are sometimes severe or life-threatening reactions, thus indicating the importance of closely observing the patient following the monoclonal antibody treatment. It is quite important that the entire medical staff understands the practical information regarding the timing and prevention or management of infusion reactions. In addition, it is also necessary to establish a system for prompt management of infusion reactions. Furthermore, sufficient information must be provided to the patient regarding infusion reactions.","author":[{"dropping-particle":"","family":"Sato","given":"Kazuya","non-dropping-particle":"","parse-names":false,"suffix":""},{"dropping-particle":"","family":"Kohgo","given":"Yutaka","non-dropping-particle":"","parse-names":false,"suffix":""}],"container-title":"Gan to kagaku ryoho. Cancer &amp; chemotherapy","id":"ITEM-4","issue":"10","issued":{"date-parts":[["2008"]]},"page":"1671-1674","publisher":"Clin J Oncol Nurs","title":"Infusion reactions","type":"article-journal","volume":"35"},"uris":["http://www.mendeley.com/documents/?uuid=6704917f-6d5b-424b-9ffe-a174d3ff6332"]}],"mendeley":{"formattedCitation":"[215,221,222,224]","plainTextFormattedCitation":"[215,221,222,224]","previouslyFormattedCitation":"[215,221,222,224]"},"properties":{"noteIndex":0},"schema":"https://github.com/citation-style-language/schema/raw/master/csl-citation.json"}</w:instrText>
      </w:r>
      <w:r w:rsidR="00245239">
        <w:rPr>
          <w:szCs w:val="24"/>
        </w:rPr>
        <w:fldChar w:fldCharType="separate"/>
      </w:r>
      <w:r w:rsidR="00E430FD" w:rsidRPr="00E430FD">
        <w:rPr>
          <w:noProof/>
          <w:szCs w:val="24"/>
        </w:rPr>
        <w:t>[215,221,222,224]</w:t>
      </w:r>
      <w:r w:rsidR="00245239">
        <w:rPr>
          <w:szCs w:val="24"/>
        </w:rPr>
        <w:fldChar w:fldCharType="end"/>
      </w:r>
      <w:r w:rsidRPr="004569A5">
        <w:rPr>
          <w:szCs w:val="24"/>
        </w:rPr>
        <w:t>:</w:t>
      </w:r>
    </w:p>
    <w:p w14:paraId="23B4227C" w14:textId="547AEBA5" w:rsidR="00B37E1F" w:rsidRPr="004569A5" w:rsidRDefault="00B37E1F" w:rsidP="0024404E">
      <w:pPr>
        <w:pStyle w:val="FitzBullet"/>
        <w:numPr>
          <w:ilvl w:val="0"/>
          <w:numId w:val="82"/>
        </w:numPr>
        <w:spacing w:before="0" w:after="0" w:line="360" w:lineRule="auto"/>
        <w:ind w:left="0"/>
        <w:jc w:val="both"/>
        <w:rPr>
          <w:sz w:val="24"/>
          <w:szCs w:val="24"/>
          <w:lang w:val="ru-RU"/>
        </w:rPr>
      </w:pPr>
      <w:r w:rsidRPr="004569A5">
        <w:rPr>
          <w:sz w:val="24"/>
          <w:szCs w:val="24"/>
          <w:lang w:val="ru-RU"/>
        </w:rPr>
        <w:t>Лейкоредуцированные — содержание лейкоцитов в дозе переливаемой среды снижено до 1</w:t>
      </w:r>
      <w:r w:rsidR="00F87EE7">
        <w:rPr>
          <w:sz w:val="24"/>
          <w:szCs w:val="24"/>
          <w:lang w:val="en-US"/>
        </w:rPr>
        <w:t>x</w:t>
      </w:r>
      <w:r w:rsidRPr="004569A5">
        <w:rPr>
          <w:sz w:val="24"/>
          <w:szCs w:val="24"/>
          <w:lang w:val="ru-RU"/>
        </w:rPr>
        <w:t>10</w:t>
      </w:r>
      <w:r w:rsidRPr="004569A5">
        <w:rPr>
          <w:sz w:val="24"/>
          <w:szCs w:val="24"/>
          <w:vertAlign w:val="superscript"/>
          <w:lang w:val="ru-RU"/>
        </w:rPr>
        <w:t>6</w:t>
      </w:r>
      <w:r w:rsidRPr="004569A5">
        <w:rPr>
          <w:sz w:val="24"/>
          <w:szCs w:val="24"/>
          <w:lang w:val="ru-RU"/>
        </w:rPr>
        <w:t> клеток.</w:t>
      </w:r>
    </w:p>
    <w:p w14:paraId="509BC477" w14:textId="77777777" w:rsidR="00B37E1F" w:rsidRPr="004569A5" w:rsidRDefault="00B37E1F" w:rsidP="0024404E">
      <w:pPr>
        <w:pStyle w:val="FitzBullet"/>
        <w:numPr>
          <w:ilvl w:val="0"/>
          <w:numId w:val="82"/>
        </w:numPr>
        <w:spacing w:before="0" w:after="0" w:line="360" w:lineRule="auto"/>
        <w:ind w:left="0"/>
        <w:jc w:val="both"/>
        <w:rPr>
          <w:sz w:val="24"/>
          <w:szCs w:val="24"/>
          <w:lang w:val="ru-RU"/>
        </w:rPr>
      </w:pPr>
      <w:r w:rsidRPr="004569A5">
        <w:rPr>
          <w:sz w:val="24"/>
          <w:szCs w:val="24"/>
          <w:lang w:val="ru-RU"/>
        </w:rPr>
        <w:t>Облученные эритроциты и тромбоциты (гамма-излучение или рентегновское излучение в дозе 25—50 Гр).</w:t>
      </w:r>
    </w:p>
    <w:p w14:paraId="02CCE5C5" w14:textId="77777777" w:rsidR="00B37E1F" w:rsidRPr="004569A5" w:rsidRDefault="00B37E1F" w:rsidP="0024404E">
      <w:pPr>
        <w:pStyle w:val="FitzBullet"/>
        <w:numPr>
          <w:ilvl w:val="0"/>
          <w:numId w:val="82"/>
        </w:numPr>
        <w:spacing w:before="0" w:after="0" w:line="360" w:lineRule="auto"/>
        <w:ind w:left="0"/>
        <w:jc w:val="both"/>
        <w:rPr>
          <w:sz w:val="24"/>
          <w:szCs w:val="24"/>
          <w:lang w:val="ru-RU"/>
        </w:rPr>
      </w:pPr>
      <w:r w:rsidRPr="004569A5">
        <w:rPr>
          <w:sz w:val="24"/>
          <w:szCs w:val="24"/>
          <w:lang w:val="ru-RU"/>
        </w:rPr>
        <w:t>Ограничение использования донорской плазмы путем использования взвешивающих растворов для эритроцитов.</w:t>
      </w:r>
    </w:p>
    <w:p w14:paraId="0997768F" w14:textId="77777777" w:rsidR="00B37E1F" w:rsidRPr="004569A5" w:rsidRDefault="00B37E1F" w:rsidP="0024404E">
      <w:pPr>
        <w:pStyle w:val="FitzBullet"/>
        <w:numPr>
          <w:ilvl w:val="0"/>
          <w:numId w:val="82"/>
        </w:numPr>
        <w:spacing w:before="0" w:after="0" w:line="360" w:lineRule="auto"/>
        <w:ind w:left="0"/>
        <w:jc w:val="both"/>
        <w:rPr>
          <w:sz w:val="24"/>
          <w:szCs w:val="24"/>
          <w:lang w:val="ru-RU"/>
        </w:rPr>
      </w:pPr>
      <w:r w:rsidRPr="004569A5">
        <w:rPr>
          <w:sz w:val="24"/>
          <w:szCs w:val="24"/>
          <w:lang w:val="ru-RU"/>
        </w:rPr>
        <w:t>После исследования донорской крови на маркеры вирусных инфекций посредством молекулярно-биологических методов.</w:t>
      </w:r>
    </w:p>
    <w:p w14:paraId="12AC0413" w14:textId="77777777" w:rsidR="00B37E1F" w:rsidRPr="004569A5" w:rsidRDefault="00B37E1F" w:rsidP="002431B5">
      <w:pPr>
        <w:spacing w:before="0" w:after="0"/>
        <w:rPr>
          <w:szCs w:val="24"/>
        </w:rPr>
      </w:pPr>
      <w:r w:rsidRPr="004569A5">
        <w:rPr>
          <w:szCs w:val="24"/>
        </w:rPr>
        <w:t>С целью повышения безопасности трансфузий дополнительно могут применяться следующие технологии:</w:t>
      </w:r>
    </w:p>
    <w:p w14:paraId="6C25193E" w14:textId="77777777" w:rsidR="00B37E1F" w:rsidRPr="004569A5" w:rsidRDefault="00B37E1F" w:rsidP="0024404E">
      <w:pPr>
        <w:pStyle w:val="FitzBullet"/>
        <w:numPr>
          <w:ilvl w:val="0"/>
          <w:numId w:val="82"/>
        </w:numPr>
        <w:spacing w:before="0" w:after="0" w:line="360" w:lineRule="auto"/>
        <w:ind w:left="0"/>
        <w:jc w:val="both"/>
        <w:rPr>
          <w:sz w:val="24"/>
          <w:szCs w:val="24"/>
          <w:lang w:val="ru-RU"/>
        </w:rPr>
      </w:pPr>
      <w:r w:rsidRPr="004569A5">
        <w:rPr>
          <w:sz w:val="24"/>
          <w:szCs w:val="24"/>
          <w:lang w:val="ru-RU"/>
        </w:rPr>
        <w:t>Инактивация патогенов в концентрате тромбоцитов.</w:t>
      </w:r>
    </w:p>
    <w:p w14:paraId="664653FF" w14:textId="77777777" w:rsidR="00B37E1F" w:rsidRPr="004569A5" w:rsidRDefault="00B37E1F" w:rsidP="0024404E">
      <w:pPr>
        <w:pStyle w:val="FitzBullet"/>
        <w:numPr>
          <w:ilvl w:val="0"/>
          <w:numId w:val="82"/>
        </w:numPr>
        <w:spacing w:before="0" w:after="0" w:line="360" w:lineRule="auto"/>
        <w:ind w:left="0"/>
        <w:jc w:val="both"/>
        <w:rPr>
          <w:sz w:val="24"/>
          <w:szCs w:val="24"/>
          <w:lang w:val="ru-RU"/>
        </w:rPr>
      </w:pPr>
      <w:r w:rsidRPr="004569A5">
        <w:rPr>
          <w:sz w:val="24"/>
          <w:szCs w:val="24"/>
          <w:lang w:val="ru-RU"/>
        </w:rPr>
        <w:t>Применение добавочных растворов для замещения донорской плазмы в концентрате тромбоцитов.</w:t>
      </w:r>
    </w:p>
    <w:p w14:paraId="33115872" w14:textId="77777777" w:rsidR="00B37E1F" w:rsidRPr="004569A5" w:rsidRDefault="00B37E1F" w:rsidP="0024404E">
      <w:pPr>
        <w:pStyle w:val="FitzBullet"/>
        <w:numPr>
          <w:ilvl w:val="0"/>
          <w:numId w:val="82"/>
        </w:numPr>
        <w:spacing w:before="0" w:after="0" w:line="360" w:lineRule="auto"/>
        <w:ind w:left="0"/>
        <w:jc w:val="both"/>
        <w:rPr>
          <w:sz w:val="24"/>
          <w:szCs w:val="24"/>
          <w:lang w:val="ru-RU"/>
        </w:rPr>
      </w:pPr>
      <w:r w:rsidRPr="004569A5">
        <w:rPr>
          <w:sz w:val="24"/>
          <w:szCs w:val="24"/>
          <w:lang w:val="ru-RU"/>
        </w:rPr>
        <w:t>Расширение спектра тестируемых маркеров вирусных инфекций (цитомегаловирус, вирус гепатита </w:t>
      </w:r>
      <w:r w:rsidRPr="004569A5">
        <w:rPr>
          <w:sz w:val="24"/>
          <w:szCs w:val="24"/>
          <w:lang w:val="en-US"/>
        </w:rPr>
        <w:t>B</w:t>
      </w:r>
      <w:r w:rsidRPr="004569A5">
        <w:rPr>
          <w:sz w:val="24"/>
          <w:szCs w:val="24"/>
          <w:lang w:val="ru-RU"/>
        </w:rPr>
        <w:t xml:space="preserve">, </w:t>
      </w:r>
      <w:r w:rsidRPr="004569A5">
        <w:rPr>
          <w:sz w:val="24"/>
          <w:szCs w:val="24"/>
          <w:lang w:val="en-US"/>
        </w:rPr>
        <w:t>T</w:t>
      </w:r>
      <w:r w:rsidRPr="004569A5">
        <w:rPr>
          <w:sz w:val="24"/>
          <w:szCs w:val="24"/>
          <w:lang w:val="ru-RU"/>
        </w:rPr>
        <w:t>-лимфотропный вирус человека и другие).</w:t>
      </w:r>
    </w:p>
    <w:p w14:paraId="3B7ADC17" w14:textId="7AB47A3B" w:rsidR="00B37E1F" w:rsidRPr="004569A5" w:rsidRDefault="00B37E1F" w:rsidP="002431B5">
      <w:pPr>
        <w:spacing w:before="0" w:after="0"/>
        <w:rPr>
          <w:szCs w:val="24"/>
        </w:rPr>
      </w:pPr>
      <w:r w:rsidRPr="004569A5">
        <w:rPr>
          <w:szCs w:val="24"/>
        </w:rPr>
        <w:t>Основные реакции и осложнения, связанные с трансфузией приведены в табл. </w:t>
      </w:r>
      <w:r w:rsidR="00436F47">
        <w:rPr>
          <w:szCs w:val="24"/>
        </w:rPr>
        <w:t>А</w:t>
      </w:r>
      <w:r w:rsidRPr="004569A5">
        <w:rPr>
          <w:szCs w:val="24"/>
        </w:rPr>
        <w:t>3</w:t>
      </w:r>
      <w:r w:rsidR="00436F47">
        <w:rPr>
          <w:szCs w:val="24"/>
        </w:rPr>
        <w:t>.21</w:t>
      </w:r>
      <w:r w:rsidRPr="004569A5">
        <w:rPr>
          <w:szCs w:val="24"/>
        </w:rPr>
        <w:t>.</w:t>
      </w:r>
    </w:p>
    <w:p w14:paraId="625221F7" w14:textId="77777777" w:rsidR="00A30463" w:rsidRDefault="00A30463" w:rsidP="002431B5">
      <w:pPr>
        <w:spacing w:before="0" w:after="0"/>
        <w:rPr>
          <w:bCs/>
          <w:szCs w:val="24"/>
        </w:rPr>
      </w:pPr>
    </w:p>
    <w:p w14:paraId="735A2D8D" w14:textId="2B0B0F2E" w:rsidR="00B37E1F" w:rsidRPr="004569A5" w:rsidRDefault="00B37E1F" w:rsidP="002431B5">
      <w:pPr>
        <w:spacing w:before="0" w:after="0"/>
        <w:rPr>
          <w:szCs w:val="24"/>
        </w:rPr>
      </w:pPr>
      <w:r w:rsidRPr="004569A5">
        <w:rPr>
          <w:bCs/>
          <w:szCs w:val="24"/>
        </w:rPr>
        <w:t xml:space="preserve">Таблица </w:t>
      </w:r>
      <w:r w:rsidR="00436F47">
        <w:rPr>
          <w:bCs/>
          <w:szCs w:val="24"/>
        </w:rPr>
        <w:t>А</w:t>
      </w:r>
      <w:r w:rsidRPr="004569A5">
        <w:rPr>
          <w:bCs/>
          <w:szCs w:val="24"/>
        </w:rPr>
        <w:t>3</w:t>
      </w:r>
      <w:r w:rsidR="00436F47">
        <w:rPr>
          <w:bCs/>
          <w:szCs w:val="24"/>
        </w:rPr>
        <w:t>.21</w:t>
      </w:r>
      <w:r w:rsidRPr="004569A5">
        <w:rPr>
          <w:bCs/>
          <w:szCs w:val="24"/>
        </w:rPr>
        <w:t>. Основные реакции и осложнения, связанные с трансфузией (переливанием) компонентов донорской крови</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10"/>
        <w:gridCol w:w="2340"/>
        <w:gridCol w:w="2520"/>
        <w:gridCol w:w="2284"/>
      </w:tblGrid>
      <w:tr w:rsidR="00B37E1F" w:rsidRPr="004569A5" w14:paraId="24699695" w14:textId="77777777" w:rsidTr="001F48BA">
        <w:trPr>
          <w:tblHeader/>
          <w:jc w:val="center"/>
        </w:trPr>
        <w:tc>
          <w:tcPr>
            <w:tcW w:w="2110" w:type="dxa"/>
          </w:tcPr>
          <w:p w14:paraId="65927A33" w14:textId="77777777" w:rsidR="00B37E1F" w:rsidRPr="004569A5" w:rsidRDefault="00B37E1F" w:rsidP="002431B5">
            <w:pPr>
              <w:pStyle w:val="Table-head-italic"/>
              <w:spacing w:line="360" w:lineRule="auto"/>
              <w:jc w:val="both"/>
              <w:rPr>
                <w:i w:val="0"/>
                <w:sz w:val="24"/>
                <w:szCs w:val="24"/>
                <w:lang w:val="ru-RU"/>
              </w:rPr>
            </w:pPr>
            <w:r w:rsidRPr="004569A5">
              <w:rPr>
                <w:i w:val="0"/>
                <w:sz w:val="24"/>
                <w:szCs w:val="24"/>
                <w:lang w:val="ru-RU"/>
              </w:rPr>
              <w:t>Реакция (осложнение)</w:t>
            </w:r>
          </w:p>
        </w:tc>
        <w:tc>
          <w:tcPr>
            <w:tcW w:w="2340" w:type="dxa"/>
          </w:tcPr>
          <w:p w14:paraId="3F66D9A8" w14:textId="77777777" w:rsidR="00B37E1F" w:rsidRPr="004569A5" w:rsidRDefault="00B37E1F" w:rsidP="002431B5">
            <w:pPr>
              <w:pStyle w:val="Table-head-italic"/>
              <w:spacing w:line="360" w:lineRule="auto"/>
              <w:jc w:val="both"/>
              <w:rPr>
                <w:i w:val="0"/>
                <w:sz w:val="24"/>
                <w:szCs w:val="24"/>
                <w:lang w:val="ru-RU"/>
              </w:rPr>
            </w:pPr>
            <w:r w:rsidRPr="004569A5">
              <w:rPr>
                <w:i w:val="0"/>
                <w:sz w:val="24"/>
                <w:szCs w:val="24"/>
                <w:lang w:val="ru-RU"/>
              </w:rPr>
              <w:t>Причина</w:t>
            </w:r>
          </w:p>
        </w:tc>
        <w:tc>
          <w:tcPr>
            <w:tcW w:w="2520" w:type="dxa"/>
          </w:tcPr>
          <w:p w14:paraId="67B8E7C8" w14:textId="77777777" w:rsidR="00B37E1F" w:rsidRPr="004569A5" w:rsidRDefault="00B37E1F" w:rsidP="002431B5">
            <w:pPr>
              <w:pStyle w:val="Table-head-italic"/>
              <w:spacing w:line="360" w:lineRule="auto"/>
              <w:jc w:val="both"/>
              <w:rPr>
                <w:i w:val="0"/>
                <w:sz w:val="24"/>
                <w:szCs w:val="24"/>
                <w:lang w:val="ru-RU"/>
              </w:rPr>
            </w:pPr>
            <w:r w:rsidRPr="004569A5">
              <w:rPr>
                <w:i w:val="0"/>
                <w:sz w:val="24"/>
                <w:szCs w:val="24"/>
                <w:lang w:val="ru-RU"/>
              </w:rPr>
              <w:t>Лечение</w:t>
            </w:r>
          </w:p>
        </w:tc>
        <w:tc>
          <w:tcPr>
            <w:tcW w:w="2284" w:type="dxa"/>
          </w:tcPr>
          <w:p w14:paraId="3BA0D71F" w14:textId="77777777" w:rsidR="00B37E1F" w:rsidRPr="004569A5" w:rsidRDefault="00B37E1F" w:rsidP="002431B5">
            <w:pPr>
              <w:pStyle w:val="Table-head-italic"/>
              <w:spacing w:line="360" w:lineRule="auto"/>
              <w:jc w:val="both"/>
              <w:rPr>
                <w:i w:val="0"/>
                <w:sz w:val="24"/>
                <w:szCs w:val="24"/>
                <w:lang w:val="ru-RU"/>
              </w:rPr>
            </w:pPr>
            <w:r w:rsidRPr="004569A5">
              <w:rPr>
                <w:i w:val="0"/>
                <w:sz w:val="24"/>
                <w:szCs w:val="24"/>
                <w:lang w:val="ru-RU"/>
              </w:rPr>
              <w:t>Обязательные и дополнительные лабораторные и инструментальные исследования*</w:t>
            </w:r>
          </w:p>
        </w:tc>
      </w:tr>
      <w:tr w:rsidR="00B37E1F" w:rsidRPr="004569A5" w14:paraId="30A2E6C5" w14:textId="77777777" w:rsidTr="00B37E1F">
        <w:trPr>
          <w:jc w:val="center"/>
        </w:trPr>
        <w:tc>
          <w:tcPr>
            <w:tcW w:w="2110" w:type="dxa"/>
            <w:vAlign w:val="center"/>
          </w:tcPr>
          <w:p w14:paraId="01C28F33"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Острая сердечно-сосудистая </w:t>
            </w:r>
            <w:r w:rsidRPr="004569A5">
              <w:rPr>
                <w:sz w:val="24"/>
                <w:szCs w:val="24"/>
              </w:rPr>
              <w:lastRenderedPageBreak/>
              <w:t>недостаточность, отек легких (синдром TACO, от transfusion associated circulatory overload)</w:t>
            </w:r>
          </w:p>
        </w:tc>
        <w:tc>
          <w:tcPr>
            <w:tcW w:w="2340" w:type="dxa"/>
          </w:tcPr>
          <w:p w14:paraId="1FFC4C6E"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lastRenderedPageBreak/>
              <w:t>Перегрузка объемом</w:t>
            </w:r>
          </w:p>
        </w:tc>
        <w:tc>
          <w:tcPr>
            <w:tcW w:w="2520" w:type="dxa"/>
          </w:tcPr>
          <w:p w14:paraId="2D0CD495"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Симптоматическая терапия отека легких </w:t>
            </w:r>
          </w:p>
        </w:tc>
        <w:tc>
          <w:tcPr>
            <w:tcW w:w="2284" w:type="dxa"/>
          </w:tcPr>
          <w:p w14:paraId="60442095" w14:textId="77777777" w:rsidR="00B37E1F" w:rsidRPr="004569A5" w:rsidRDefault="00B37E1F" w:rsidP="002431B5">
            <w:pPr>
              <w:pStyle w:val="table-text-0"/>
              <w:spacing w:before="0" w:after="0" w:line="360" w:lineRule="auto"/>
              <w:ind w:left="0" w:firstLine="0"/>
              <w:jc w:val="both"/>
              <w:rPr>
                <w:sz w:val="24"/>
                <w:szCs w:val="24"/>
              </w:rPr>
            </w:pPr>
          </w:p>
        </w:tc>
      </w:tr>
      <w:tr w:rsidR="00B37E1F" w:rsidRPr="004569A5" w14:paraId="561F304C" w14:textId="77777777" w:rsidTr="00B37E1F">
        <w:trPr>
          <w:jc w:val="center"/>
        </w:trPr>
        <w:tc>
          <w:tcPr>
            <w:tcW w:w="2110" w:type="dxa"/>
          </w:tcPr>
          <w:p w14:paraId="747BE9F5"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Острое обусловленное трансфузией повреждение легких (синдром TRALI, от transfusion-related acute lung injury)</w:t>
            </w:r>
          </w:p>
        </w:tc>
        <w:tc>
          <w:tcPr>
            <w:tcW w:w="2340" w:type="dxa"/>
          </w:tcPr>
          <w:p w14:paraId="50CB4667"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Наличие донорских антилейкоцитарных антител в крови реципиента</w:t>
            </w:r>
          </w:p>
        </w:tc>
        <w:tc>
          <w:tcPr>
            <w:tcW w:w="2520" w:type="dxa"/>
          </w:tcPr>
          <w:p w14:paraId="2158B490" w14:textId="24A11CD6"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Глюкокортикоиды (преднизолон</w:t>
            </w:r>
            <w:r w:rsidR="001F48BA" w:rsidRPr="001F48BA">
              <w:rPr>
                <w:sz w:val="24"/>
                <w:szCs w:val="24"/>
              </w:rPr>
              <w:t>**</w:t>
            </w:r>
            <w:r w:rsidRPr="004569A5">
              <w:rPr>
                <w:sz w:val="24"/>
                <w:szCs w:val="24"/>
              </w:rPr>
              <w:t>, 30—60 мг, или дексаметазон</w:t>
            </w:r>
            <w:r w:rsidR="001F48BA" w:rsidRPr="001F48BA">
              <w:rPr>
                <w:sz w:val="24"/>
                <w:szCs w:val="24"/>
              </w:rPr>
              <w:t>**</w:t>
            </w:r>
            <w:r w:rsidRPr="004569A5">
              <w:rPr>
                <w:sz w:val="24"/>
                <w:szCs w:val="24"/>
              </w:rPr>
              <w:t>, по 4—8 мг)</w:t>
            </w:r>
          </w:p>
          <w:p w14:paraId="6313B54D"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Симптоматическая терапия отека легких</w:t>
            </w:r>
          </w:p>
        </w:tc>
        <w:tc>
          <w:tcPr>
            <w:tcW w:w="2284" w:type="dxa"/>
          </w:tcPr>
          <w:p w14:paraId="061F45A2"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Обязательные: рентгенография органов грудной клетки</w:t>
            </w:r>
          </w:p>
          <w:p w14:paraId="78BF1896" w14:textId="4652BB83"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Дополнительные: </w:t>
            </w:r>
            <w:r w:rsidR="00DC4B06" w:rsidRPr="0053428B">
              <w:rPr>
                <w:sz w:val="24"/>
                <w:szCs w:val="24"/>
              </w:rPr>
              <w:t>определение содержания антилейкоцитарных антител, определение содержания антител к цитоплазме нейтрофилов в крови</w:t>
            </w:r>
          </w:p>
        </w:tc>
      </w:tr>
      <w:tr w:rsidR="00B37E1F" w:rsidRPr="004569A5" w14:paraId="224D21A9" w14:textId="77777777" w:rsidTr="00B37E1F">
        <w:trPr>
          <w:jc w:val="center"/>
        </w:trPr>
        <w:tc>
          <w:tcPr>
            <w:tcW w:w="2110" w:type="dxa"/>
          </w:tcPr>
          <w:p w14:paraId="058CAC8E"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Одышка, связанная с трансфузией (синдром TAD, от transfusion-associated dyspnea)</w:t>
            </w:r>
          </w:p>
        </w:tc>
        <w:tc>
          <w:tcPr>
            <w:tcW w:w="2340" w:type="dxa"/>
          </w:tcPr>
          <w:p w14:paraId="00C46801"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Острый респираторный дистресс-синдром, развивающийся в течение 24 часов после трансфузии</w:t>
            </w:r>
          </w:p>
        </w:tc>
        <w:tc>
          <w:tcPr>
            <w:tcW w:w="2520" w:type="dxa"/>
          </w:tcPr>
          <w:p w14:paraId="09D6AC7C"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Симптоматическая терапия</w:t>
            </w:r>
          </w:p>
        </w:tc>
        <w:tc>
          <w:tcPr>
            <w:tcW w:w="2284" w:type="dxa"/>
          </w:tcPr>
          <w:p w14:paraId="0BA3B46B" w14:textId="77777777" w:rsidR="00B37E1F" w:rsidRPr="004569A5" w:rsidRDefault="00B37E1F" w:rsidP="002431B5">
            <w:pPr>
              <w:pStyle w:val="table-text-0"/>
              <w:spacing w:before="0" w:after="0" w:line="360" w:lineRule="auto"/>
              <w:ind w:left="0" w:firstLine="0"/>
              <w:jc w:val="both"/>
              <w:rPr>
                <w:sz w:val="24"/>
                <w:szCs w:val="24"/>
              </w:rPr>
            </w:pPr>
          </w:p>
        </w:tc>
      </w:tr>
      <w:tr w:rsidR="00B37E1F" w:rsidRPr="004569A5" w14:paraId="4AFFD643" w14:textId="77777777" w:rsidTr="00B37E1F">
        <w:trPr>
          <w:jc w:val="center"/>
        </w:trPr>
        <w:tc>
          <w:tcPr>
            <w:tcW w:w="2110" w:type="dxa"/>
            <w:vMerge w:val="restart"/>
          </w:tcPr>
          <w:p w14:paraId="041115BF"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lastRenderedPageBreak/>
              <w:t>Аллергические реакции (крапивница, анафилактический шок и др.)</w:t>
            </w:r>
          </w:p>
        </w:tc>
        <w:tc>
          <w:tcPr>
            <w:tcW w:w="2340" w:type="dxa"/>
          </w:tcPr>
          <w:p w14:paraId="1E7BE4D7"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Крапивница: наличие антител к белкам плазмы</w:t>
            </w:r>
          </w:p>
        </w:tc>
        <w:tc>
          <w:tcPr>
            <w:tcW w:w="2520" w:type="dxa"/>
          </w:tcPr>
          <w:p w14:paraId="1206E0E4"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Антигистаминные препараты (клемастин, 2%, 2 мг, или другой препарат с аналогичным действием)</w:t>
            </w:r>
          </w:p>
        </w:tc>
        <w:tc>
          <w:tcPr>
            <w:tcW w:w="2284" w:type="dxa"/>
          </w:tcPr>
          <w:p w14:paraId="2CEE3F51" w14:textId="77777777" w:rsidR="00B37E1F" w:rsidRPr="004569A5" w:rsidRDefault="00B37E1F" w:rsidP="002431B5">
            <w:pPr>
              <w:pStyle w:val="table-text-0"/>
              <w:spacing w:before="0" w:after="0" w:line="360" w:lineRule="auto"/>
              <w:ind w:left="0" w:firstLine="0"/>
              <w:jc w:val="both"/>
              <w:rPr>
                <w:sz w:val="24"/>
                <w:szCs w:val="24"/>
              </w:rPr>
            </w:pPr>
          </w:p>
        </w:tc>
      </w:tr>
      <w:tr w:rsidR="00B37E1F" w:rsidRPr="004569A5" w14:paraId="677AC80C" w14:textId="77777777" w:rsidTr="00B37E1F">
        <w:trPr>
          <w:jc w:val="center"/>
        </w:trPr>
        <w:tc>
          <w:tcPr>
            <w:tcW w:w="2110" w:type="dxa"/>
            <w:vMerge/>
            <w:vAlign w:val="center"/>
          </w:tcPr>
          <w:p w14:paraId="53CBA3A4" w14:textId="77777777" w:rsidR="00B37E1F" w:rsidRPr="004569A5" w:rsidRDefault="00B37E1F" w:rsidP="002431B5">
            <w:pPr>
              <w:pStyle w:val="table-text-0"/>
              <w:spacing w:before="0" w:after="0" w:line="360" w:lineRule="auto"/>
              <w:ind w:left="0" w:firstLine="0"/>
              <w:jc w:val="both"/>
              <w:rPr>
                <w:sz w:val="24"/>
                <w:szCs w:val="24"/>
              </w:rPr>
            </w:pPr>
          </w:p>
        </w:tc>
        <w:tc>
          <w:tcPr>
            <w:tcW w:w="2340" w:type="dxa"/>
          </w:tcPr>
          <w:p w14:paraId="46519DE6"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Анафилактический шок: первичный иммунодефицит IgA у реципиента</w:t>
            </w:r>
          </w:p>
        </w:tc>
        <w:tc>
          <w:tcPr>
            <w:tcW w:w="2520" w:type="dxa"/>
          </w:tcPr>
          <w:p w14:paraId="442359CB"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Противошоковая терапия</w:t>
            </w:r>
          </w:p>
        </w:tc>
        <w:tc>
          <w:tcPr>
            <w:tcW w:w="2284" w:type="dxa"/>
          </w:tcPr>
          <w:p w14:paraId="1B38A767"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Дополнительные: оценка уровня сывороточного IgA у реципиента</w:t>
            </w:r>
          </w:p>
        </w:tc>
      </w:tr>
      <w:tr w:rsidR="00B37E1F" w:rsidRPr="004569A5" w14:paraId="4F04C532" w14:textId="77777777" w:rsidTr="00B37E1F">
        <w:trPr>
          <w:jc w:val="center"/>
        </w:trPr>
        <w:tc>
          <w:tcPr>
            <w:tcW w:w="2110" w:type="dxa"/>
          </w:tcPr>
          <w:p w14:paraId="6C5965F3"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Пострансфузионная артериальная гипотония (HTR, от post-transfusion hypotension)</w:t>
            </w:r>
          </w:p>
        </w:tc>
        <w:tc>
          <w:tcPr>
            <w:tcW w:w="2340" w:type="dxa"/>
          </w:tcPr>
          <w:p w14:paraId="3CA90334"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Сосудистая реакция, обусловленная выбросом брадикинина</w:t>
            </w:r>
          </w:p>
        </w:tc>
        <w:tc>
          <w:tcPr>
            <w:tcW w:w="2520" w:type="dxa"/>
          </w:tcPr>
          <w:p w14:paraId="3AECB955"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Симптоматическая терапия, в тяжелых случаях — применение вазопрессоров </w:t>
            </w:r>
          </w:p>
        </w:tc>
        <w:tc>
          <w:tcPr>
            <w:tcW w:w="2284" w:type="dxa"/>
          </w:tcPr>
          <w:p w14:paraId="268ECABF" w14:textId="77777777" w:rsidR="00B37E1F" w:rsidRPr="004569A5" w:rsidRDefault="00B37E1F" w:rsidP="002431B5">
            <w:pPr>
              <w:pStyle w:val="table-text-0"/>
              <w:spacing w:before="0" w:after="0" w:line="360" w:lineRule="auto"/>
              <w:ind w:left="0" w:firstLine="0"/>
              <w:jc w:val="both"/>
              <w:rPr>
                <w:sz w:val="24"/>
                <w:szCs w:val="24"/>
              </w:rPr>
            </w:pPr>
          </w:p>
        </w:tc>
      </w:tr>
      <w:tr w:rsidR="00B37E1F" w:rsidRPr="004569A5" w14:paraId="7B8BAB56" w14:textId="77777777" w:rsidTr="00B37E1F">
        <w:trPr>
          <w:jc w:val="center"/>
        </w:trPr>
        <w:tc>
          <w:tcPr>
            <w:tcW w:w="2110" w:type="dxa"/>
          </w:tcPr>
          <w:p w14:paraId="050DF7C5"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Гипертермическая (фебрильная) негемолитическая реакция (FNHTR, от febrile non-hemolytic transfusion reaction)</w:t>
            </w:r>
          </w:p>
        </w:tc>
        <w:tc>
          <w:tcPr>
            <w:tcW w:w="2340" w:type="dxa"/>
          </w:tcPr>
          <w:p w14:paraId="03E6E390"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Секреция цитокинов иммунокомпетентными клетками, сопровождающаяся повышением температуры тела реципиента выше 38</w:t>
            </w:r>
            <w:r w:rsidRPr="004569A5">
              <w:rPr>
                <w:rFonts w:ascii="Symbol" w:hAnsi="Symbol" w:cs="Symbol"/>
                <w:sz w:val="24"/>
                <w:szCs w:val="24"/>
              </w:rPr>
              <w:t></w:t>
            </w:r>
            <w:r w:rsidRPr="004569A5">
              <w:rPr>
                <w:sz w:val="24"/>
                <w:szCs w:val="24"/>
              </w:rPr>
              <w:t>С</w:t>
            </w:r>
          </w:p>
        </w:tc>
        <w:tc>
          <w:tcPr>
            <w:tcW w:w="2520" w:type="dxa"/>
          </w:tcPr>
          <w:p w14:paraId="4BB4B81F"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Антигистаминные препараты (клемастин 2%, 2 мг, или другой препарат с аналогичным действием)</w:t>
            </w:r>
          </w:p>
          <w:p w14:paraId="6F084890" w14:textId="3A28E75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Наркотические анальгетики (</w:t>
            </w:r>
            <w:r w:rsidR="00D32276">
              <w:rPr>
                <w:sz w:val="24"/>
                <w:szCs w:val="24"/>
              </w:rPr>
              <w:t>тримепиридин</w:t>
            </w:r>
            <w:r w:rsidR="001F48BA" w:rsidRPr="001F07E9">
              <w:rPr>
                <w:sz w:val="24"/>
                <w:szCs w:val="24"/>
              </w:rPr>
              <w:t>**</w:t>
            </w:r>
            <w:r w:rsidRPr="004569A5">
              <w:rPr>
                <w:sz w:val="24"/>
                <w:szCs w:val="24"/>
              </w:rPr>
              <w:t xml:space="preserve"> 2%, 2 мл)</w:t>
            </w:r>
          </w:p>
          <w:p w14:paraId="2BD4AB35" w14:textId="139F0D3A"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Глюкокортикоиды (преднизолон</w:t>
            </w:r>
            <w:r w:rsidR="001F07E9" w:rsidRPr="001F07E9">
              <w:rPr>
                <w:sz w:val="24"/>
                <w:szCs w:val="24"/>
              </w:rPr>
              <w:t>**</w:t>
            </w:r>
            <w:r w:rsidRPr="004569A5">
              <w:rPr>
                <w:sz w:val="24"/>
                <w:szCs w:val="24"/>
              </w:rPr>
              <w:t xml:space="preserve">, 30—60 мг, или </w:t>
            </w:r>
            <w:r w:rsidRPr="004569A5">
              <w:rPr>
                <w:sz w:val="24"/>
                <w:szCs w:val="24"/>
              </w:rPr>
              <w:lastRenderedPageBreak/>
              <w:t>дексаметазон</w:t>
            </w:r>
            <w:r w:rsidR="001F07E9" w:rsidRPr="001F07E9">
              <w:rPr>
                <w:sz w:val="24"/>
                <w:szCs w:val="24"/>
              </w:rPr>
              <w:t>**</w:t>
            </w:r>
            <w:r w:rsidRPr="004569A5">
              <w:rPr>
                <w:sz w:val="24"/>
                <w:szCs w:val="24"/>
              </w:rPr>
              <w:t>, 4—8 мг)</w:t>
            </w:r>
          </w:p>
        </w:tc>
        <w:tc>
          <w:tcPr>
            <w:tcW w:w="2284" w:type="dxa"/>
          </w:tcPr>
          <w:p w14:paraId="18B8E381" w14:textId="36A389BF" w:rsidR="00B37E1F" w:rsidRPr="004569A5" w:rsidRDefault="00B37E1F" w:rsidP="002431B5">
            <w:pPr>
              <w:pStyle w:val="table-text-0"/>
              <w:spacing w:before="0" w:after="0" w:line="360" w:lineRule="auto"/>
              <w:ind w:left="0" w:firstLine="0"/>
              <w:jc w:val="both"/>
              <w:rPr>
                <w:sz w:val="24"/>
                <w:szCs w:val="24"/>
              </w:rPr>
            </w:pPr>
            <w:r w:rsidRPr="004569A5">
              <w:rPr>
                <w:sz w:val="24"/>
                <w:szCs w:val="24"/>
              </w:rPr>
              <w:lastRenderedPageBreak/>
              <w:t xml:space="preserve">Обязательные: </w:t>
            </w:r>
            <w:r w:rsidR="008D5350" w:rsidRPr="0053428B">
              <w:rPr>
                <w:sz w:val="24"/>
                <w:szCs w:val="24"/>
              </w:rPr>
              <w:t>микробиологическое (культуральное) исследование крови на стерильность</w:t>
            </w:r>
          </w:p>
          <w:p w14:paraId="07FC77C6"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Дополнительные: определение антилейкоцитарных антител, антитромбоцитарных антител, антител к </w:t>
            </w:r>
            <w:r w:rsidRPr="004569A5">
              <w:rPr>
                <w:sz w:val="24"/>
                <w:szCs w:val="24"/>
              </w:rPr>
              <w:lastRenderedPageBreak/>
              <w:t>нейтрофилам в сыворотке</w:t>
            </w:r>
          </w:p>
        </w:tc>
      </w:tr>
      <w:tr w:rsidR="00B37E1F" w:rsidRPr="004569A5" w14:paraId="2578FCE7" w14:textId="77777777" w:rsidTr="00B37E1F">
        <w:trPr>
          <w:jc w:val="center"/>
        </w:trPr>
        <w:tc>
          <w:tcPr>
            <w:tcW w:w="2110" w:type="dxa"/>
            <w:vMerge w:val="restart"/>
          </w:tcPr>
          <w:p w14:paraId="3838FC3A" w14:textId="77777777" w:rsidR="00B37E1F" w:rsidRPr="004569A5" w:rsidRDefault="00B37E1F" w:rsidP="002431B5">
            <w:pPr>
              <w:pStyle w:val="table-text-0"/>
              <w:spacing w:before="0" w:after="0" w:line="360" w:lineRule="auto"/>
              <w:ind w:left="0" w:firstLine="0"/>
              <w:jc w:val="both"/>
              <w:rPr>
                <w:sz w:val="24"/>
                <w:szCs w:val="24"/>
                <w:lang w:val="en-US"/>
              </w:rPr>
            </w:pPr>
            <w:r w:rsidRPr="004569A5">
              <w:rPr>
                <w:sz w:val="24"/>
                <w:szCs w:val="24"/>
              </w:rPr>
              <w:lastRenderedPageBreak/>
              <w:t>Острый</w:t>
            </w:r>
            <w:r w:rsidRPr="004569A5">
              <w:rPr>
                <w:sz w:val="24"/>
                <w:szCs w:val="24"/>
                <w:lang w:val="en-US"/>
              </w:rPr>
              <w:t xml:space="preserve"> </w:t>
            </w:r>
            <w:r w:rsidRPr="004569A5">
              <w:rPr>
                <w:sz w:val="24"/>
                <w:szCs w:val="24"/>
              </w:rPr>
              <w:t>гемолиз</w:t>
            </w:r>
            <w:r w:rsidRPr="004569A5">
              <w:rPr>
                <w:sz w:val="24"/>
                <w:szCs w:val="24"/>
                <w:lang w:val="en-US"/>
              </w:rPr>
              <w:t xml:space="preserve"> (AHTR, </w:t>
            </w:r>
            <w:r w:rsidRPr="004569A5">
              <w:rPr>
                <w:sz w:val="24"/>
                <w:szCs w:val="24"/>
              </w:rPr>
              <w:t>от</w:t>
            </w:r>
            <w:r w:rsidRPr="004569A5">
              <w:rPr>
                <w:sz w:val="24"/>
                <w:szCs w:val="24"/>
                <w:lang w:val="en-US"/>
              </w:rPr>
              <w:t xml:space="preserve"> acute hemolytic transfusion reaction)</w:t>
            </w:r>
          </w:p>
        </w:tc>
        <w:tc>
          <w:tcPr>
            <w:tcW w:w="2340" w:type="dxa"/>
          </w:tcPr>
          <w:p w14:paraId="7D310BD1"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Иммунная реакция: наличие у реципиента антител к аллоантигенам эритроцитов донора (ABO, резус-фактор и другая несовместимость) </w:t>
            </w:r>
          </w:p>
        </w:tc>
        <w:tc>
          <w:tcPr>
            <w:tcW w:w="2520" w:type="dxa"/>
            <w:vMerge w:val="restart"/>
          </w:tcPr>
          <w:p w14:paraId="5D9F4D75" w14:textId="4F77F0E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Глюкокортикоиды (преднизолон</w:t>
            </w:r>
            <w:r w:rsidR="001F07E9" w:rsidRPr="001F07E9">
              <w:rPr>
                <w:sz w:val="24"/>
                <w:szCs w:val="24"/>
              </w:rPr>
              <w:t>**</w:t>
            </w:r>
            <w:r w:rsidRPr="004569A5">
              <w:rPr>
                <w:sz w:val="24"/>
                <w:szCs w:val="24"/>
              </w:rPr>
              <w:t>, 30—60 мг, или дексаметазон</w:t>
            </w:r>
            <w:r w:rsidR="001F07E9" w:rsidRPr="001F07E9">
              <w:rPr>
                <w:sz w:val="24"/>
                <w:szCs w:val="24"/>
              </w:rPr>
              <w:t>**</w:t>
            </w:r>
            <w:r w:rsidRPr="004569A5">
              <w:rPr>
                <w:sz w:val="24"/>
                <w:szCs w:val="24"/>
              </w:rPr>
              <w:t>, 4—8 мг)</w:t>
            </w:r>
          </w:p>
          <w:p w14:paraId="436B56FF" w14:textId="08EC0976"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Форсированный диурез (NaCl 0,9%, 2000—3000 мл; фуросемид</w:t>
            </w:r>
            <w:r w:rsidR="001F07E9" w:rsidRPr="001F07E9">
              <w:rPr>
                <w:sz w:val="24"/>
                <w:szCs w:val="24"/>
              </w:rPr>
              <w:t>**</w:t>
            </w:r>
            <w:r w:rsidRPr="004569A5">
              <w:rPr>
                <w:sz w:val="24"/>
                <w:szCs w:val="24"/>
              </w:rPr>
              <w:t>, 20—40 мг); проводится до купирования клинических проявлений гемолиза</w:t>
            </w:r>
          </w:p>
          <w:p w14:paraId="07F55825"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Контроль АД, ЦВД, объема и цвет мочи</w:t>
            </w:r>
          </w:p>
          <w:p w14:paraId="6A433F4F"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При неэффективности консервативной терапии или анурии —плазмаферез и гемодиализ</w:t>
            </w:r>
          </w:p>
        </w:tc>
        <w:tc>
          <w:tcPr>
            <w:tcW w:w="2284" w:type="dxa"/>
          </w:tcPr>
          <w:p w14:paraId="30E0988F" w14:textId="0D282189"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Обязательные: определение в сыворотке свободного гемоглобина, билирубина;</w:t>
            </w:r>
            <w:r w:rsidR="00472BA6">
              <w:rPr>
                <w:sz w:val="24"/>
                <w:szCs w:val="24"/>
              </w:rPr>
              <w:t xml:space="preserve"> анализ мочи на гемоглобинурию</w:t>
            </w:r>
          </w:p>
          <w:p w14:paraId="33497E24" w14:textId="49F628F3" w:rsidR="00B37E1F" w:rsidRPr="004569A5" w:rsidRDefault="00B37E1F" w:rsidP="00472BA6">
            <w:pPr>
              <w:pStyle w:val="table-text-0"/>
              <w:spacing w:before="0" w:after="0" w:line="360" w:lineRule="auto"/>
              <w:ind w:left="0" w:firstLine="0"/>
              <w:jc w:val="both"/>
              <w:rPr>
                <w:sz w:val="24"/>
                <w:szCs w:val="24"/>
              </w:rPr>
            </w:pPr>
            <w:r w:rsidRPr="004569A5">
              <w:rPr>
                <w:sz w:val="24"/>
                <w:szCs w:val="24"/>
              </w:rPr>
              <w:t>Допол</w:t>
            </w:r>
            <w:r w:rsidR="00472BA6">
              <w:rPr>
                <w:sz w:val="24"/>
                <w:szCs w:val="24"/>
              </w:rPr>
              <w:t>нительные: прямая проба Кумбса</w:t>
            </w:r>
          </w:p>
        </w:tc>
      </w:tr>
      <w:tr w:rsidR="00B37E1F" w:rsidRPr="004569A5" w14:paraId="090E22AC" w14:textId="77777777" w:rsidTr="00B37E1F">
        <w:trPr>
          <w:jc w:val="center"/>
        </w:trPr>
        <w:tc>
          <w:tcPr>
            <w:tcW w:w="2110" w:type="dxa"/>
            <w:vMerge/>
          </w:tcPr>
          <w:p w14:paraId="2D8AEAE2" w14:textId="77777777" w:rsidR="00B37E1F" w:rsidRPr="004569A5" w:rsidRDefault="00B37E1F" w:rsidP="002431B5">
            <w:pPr>
              <w:pStyle w:val="table-text-0"/>
              <w:spacing w:before="0" w:after="0" w:line="360" w:lineRule="auto"/>
              <w:ind w:left="0" w:firstLine="0"/>
              <w:jc w:val="both"/>
              <w:rPr>
                <w:sz w:val="24"/>
                <w:szCs w:val="24"/>
              </w:rPr>
            </w:pPr>
          </w:p>
        </w:tc>
        <w:tc>
          <w:tcPr>
            <w:tcW w:w="2340" w:type="dxa"/>
          </w:tcPr>
          <w:p w14:paraId="4561A616"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Неиммунная реакция: разрушение эритроцитов донора вследствие нарушения температурного режима или сроков хранения, несоблюдения правил подготовки к переливанию, смешивания с гипотоническим или гипертоническим растворами</w:t>
            </w:r>
          </w:p>
        </w:tc>
        <w:tc>
          <w:tcPr>
            <w:tcW w:w="2520" w:type="dxa"/>
            <w:vMerge/>
          </w:tcPr>
          <w:p w14:paraId="4E2D667E" w14:textId="77777777" w:rsidR="00B37E1F" w:rsidRPr="004569A5" w:rsidRDefault="00B37E1F" w:rsidP="002431B5">
            <w:pPr>
              <w:pStyle w:val="table-text-0"/>
              <w:spacing w:before="0" w:after="0" w:line="360" w:lineRule="auto"/>
              <w:ind w:left="0" w:firstLine="0"/>
              <w:jc w:val="both"/>
              <w:rPr>
                <w:sz w:val="24"/>
                <w:szCs w:val="24"/>
              </w:rPr>
            </w:pPr>
          </w:p>
        </w:tc>
        <w:tc>
          <w:tcPr>
            <w:tcW w:w="2284" w:type="dxa"/>
          </w:tcPr>
          <w:p w14:paraId="3EC1DB12" w14:textId="0ED383D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Обязательные: определение в сыворотке свободного гемоглобина, билирубина;</w:t>
            </w:r>
            <w:r w:rsidR="00472BA6">
              <w:rPr>
                <w:sz w:val="24"/>
                <w:szCs w:val="24"/>
              </w:rPr>
              <w:t xml:space="preserve"> анализ мочи на гемоглобинурию</w:t>
            </w:r>
          </w:p>
          <w:p w14:paraId="2DFE1F93" w14:textId="77777777" w:rsidR="00B37E1F" w:rsidRPr="004569A5" w:rsidRDefault="00B37E1F" w:rsidP="002431B5">
            <w:pPr>
              <w:pStyle w:val="table-text-0"/>
              <w:spacing w:before="0" w:after="0" w:line="360" w:lineRule="auto"/>
              <w:ind w:left="0" w:firstLine="0"/>
              <w:jc w:val="both"/>
              <w:rPr>
                <w:sz w:val="24"/>
                <w:szCs w:val="24"/>
              </w:rPr>
            </w:pPr>
          </w:p>
        </w:tc>
      </w:tr>
      <w:tr w:rsidR="00B37E1F" w:rsidRPr="004569A5" w14:paraId="1F70B524" w14:textId="77777777" w:rsidTr="00B37E1F">
        <w:trPr>
          <w:jc w:val="center"/>
        </w:trPr>
        <w:tc>
          <w:tcPr>
            <w:tcW w:w="2110" w:type="dxa"/>
          </w:tcPr>
          <w:p w14:paraId="7E54D2E8" w14:textId="77777777" w:rsidR="00B37E1F" w:rsidRPr="004569A5" w:rsidRDefault="00B37E1F" w:rsidP="002431B5">
            <w:pPr>
              <w:pStyle w:val="table-text-0"/>
              <w:spacing w:before="0" w:after="0" w:line="360" w:lineRule="auto"/>
              <w:ind w:left="0" w:firstLine="0"/>
              <w:jc w:val="both"/>
              <w:rPr>
                <w:sz w:val="24"/>
                <w:szCs w:val="24"/>
                <w:lang w:val="en-US"/>
              </w:rPr>
            </w:pPr>
            <w:r w:rsidRPr="004569A5">
              <w:rPr>
                <w:sz w:val="24"/>
                <w:szCs w:val="24"/>
              </w:rPr>
              <w:lastRenderedPageBreak/>
              <w:t>Отсроченный</w:t>
            </w:r>
            <w:r w:rsidRPr="004569A5">
              <w:rPr>
                <w:sz w:val="24"/>
                <w:szCs w:val="24"/>
                <w:lang w:val="en-US"/>
              </w:rPr>
              <w:t xml:space="preserve"> </w:t>
            </w:r>
            <w:r w:rsidRPr="004569A5">
              <w:rPr>
                <w:sz w:val="24"/>
                <w:szCs w:val="24"/>
              </w:rPr>
              <w:t>гемолиз</w:t>
            </w:r>
            <w:r w:rsidRPr="004569A5">
              <w:rPr>
                <w:sz w:val="24"/>
                <w:szCs w:val="24"/>
                <w:lang w:val="en-US"/>
              </w:rPr>
              <w:t xml:space="preserve"> (DHTR, </w:t>
            </w:r>
            <w:r w:rsidRPr="004569A5">
              <w:rPr>
                <w:sz w:val="24"/>
                <w:szCs w:val="24"/>
              </w:rPr>
              <w:t>от</w:t>
            </w:r>
            <w:r w:rsidRPr="004569A5">
              <w:rPr>
                <w:sz w:val="24"/>
                <w:szCs w:val="24"/>
                <w:lang w:val="en-US"/>
              </w:rPr>
              <w:t xml:space="preserve"> delayed hemolytic transfusion reaction)</w:t>
            </w:r>
          </w:p>
        </w:tc>
        <w:tc>
          <w:tcPr>
            <w:tcW w:w="2340" w:type="dxa"/>
          </w:tcPr>
          <w:p w14:paraId="172C17DA"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Внутриклеточный (тканевый) гемолиз в результате трансфузии несовместимых по аллоантигенам эритроцитов донора</w:t>
            </w:r>
          </w:p>
          <w:p w14:paraId="119BCC8E"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Аллоиммунизация отмечается в период от 24 часов до 28 дней после трансфузии</w:t>
            </w:r>
          </w:p>
        </w:tc>
        <w:tc>
          <w:tcPr>
            <w:tcW w:w="2520" w:type="dxa"/>
          </w:tcPr>
          <w:p w14:paraId="21032C91" w14:textId="63663B90"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 Глюкокортикоиды (преднизолон</w:t>
            </w:r>
            <w:r w:rsidR="001F07E9" w:rsidRPr="001F07E9">
              <w:rPr>
                <w:sz w:val="24"/>
                <w:szCs w:val="24"/>
              </w:rPr>
              <w:t>**</w:t>
            </w:r>
            <w:r w:rsidRPr="004569A5">
              <w:rPr>
                <w:sz w:val="24"/>
                <w:szCs w:val="24"/>
              </w:rPr>
              <w:t>, 30—60 мг, или дексаметазон</w:t>
            </w:r>
            <w:r w:rsidR="001F07E9" w:rsidRPr="001F07E9">
              <w:rPr>
                <w:sz w:val="24"/>
                <w:szCs w:val="24"/>
              </w:rPr>
              <w:t>**</w:t>
            </w:r>
            <w:r w:rsidRPr="004569A5">
              <w:rPr>
                <w:sz w:val="24"/>
                <w:szCs w:val="24"/>
              </w:rPr>
              <w:t>, 4—8 мг)</w:t>
            </w:r>
          </w:p>
          <w:p w14:paraId="11D18D5F" w14:textId="3FE1796B"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Форсированный диурез (NaCl 0,9%, 2000—3000 мл; фуросемид</w:t>
            </w:r>
            <w:r w:rsidR="001F07E9" w:rsidRPr="001F07E9">
              <w:rPr>
                <w:sz w:val="24"/>
                <w:szCs w:val="24"/>
              </w:rPr>
              <w:t>**</w:t>
            </w:r>
            <w:r w:rsidRPr="004569A5">
              <w:rPr>
                <w:sz w:val="24"/>
                <w:szCs w:val="24"/>
              </w:rPr>
              <w:t xml:space="preserve"> 20—40 мг); проводится до купирования клинических проявлений гемолиза</w:t>
            </w:r>
          </w:p>
          <w:p w14:paraId="2F292F0F"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Контроль АД, ЦВД, объема и цвет мочи</w:t>
            </w:r>
          </w:p>
          <w:p w14:paraId="59FF191B"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При неэффективности консервативной терапии или анурии —плазмаферез и гемодиализ</w:t>
            </w:r>
          </w:p>
        </w:tc>
        <w:tc>
          <w:tcPr>
            <w:tcW w:w="2284" w:type="dxa"/>
          </w:tcPr>
          <w:p w14:paraId="2A7305AA" w14:textId="771C9E33"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Обязательные: определение в сыворотке свободного гемоглобина, билирубина</w:t>
            </w:r>
            <w:r w:rsidR="00472BA6">
              <w:rPr>
                <w:sz w:val="24"/>
                <w:szCs w:val="24"/>
              </w:rPr>
              <w:t>; анализ мочи на гемоглобинурию</w:t>
            </w:r>
            <w:r w:rsidRPr="004569A5">
              <w:rPr>
                <w:sz w:val="24"/>
                <w:szCs w:val="24"/>
              </w:rPr>
              <w:t>; прямая проба Кумбса</w:t>
            </w:r>
          </w:p>
          <w:p w14:paraId="19AD10F8"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Дополнительные: выявление антиэритроцитарных аллоантител с новой специфичностью</w:t>
            </w:r>
          </w:p>
        </w:tc>
      </w:tr>
      <w:tr w:rsidR="00B37E1F" w:rsidRPr="004569A5" w14:paraId="53B842B8" w14:textId="77777777" w:rsidTr="00B37E1F">
        <w:trPr>
          <w:jc w:val="center"/>
        </w:trPr>
        <w:tc>
          <w:tcPr>
            <w:tcW w:w="2110" w:type="dxa"/>
          </w:tcPr>
          <w:p w14:paraId="41E1DEA6"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Отсроченная серологическая трансфузионная реакция (DSTR, от delayed serologic transfusion reaction)</w:t>
            </w:r>
          </w:p>
        </w:tc>
        <w:tc>
          <w:tcPr>
            <w:tcW w:w="2340" w:type="dxa"/>
          </w:tcPr>
          <w:p w14:paraId="11276578"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Непосредственно после трансфузии признаки гемолиза отсутствуют; в срок от 24 ч до 28 дней после трансфузии у реципиента выявляются новые </w:t>
            </w:r>
            <w:r w:rsidRPr="004569A5">
              <w:rPr>
                <w:sz w:val="24"/>
                <w:szCs w:val="24"/>
              </w:rPr>
              <w:lastRenderedPageBreak/>
              <w:t>антиэритроцитарные аллоантитела</w:t>
            </w:r>
          </w:p>
        </w:tc>
        <w:tc>
          <w:tcPr>
            <w:tcW w:w="2520" w:type="dxa"/>
          </w:tcPr>
          <w:p w14:paraId="2F6C53EF" w14:textId="77777777" w:rsidR="00B37E1F" w:rsidRPr="004569A5" w:rsidRDefault="00B37E1F" w:rsidP="002431B5">
            <w:pPr>
              <w:pStyle w:val="table-text-0"/>
              <w:spacing w:before="0" w:after="0" w:line="360" w:lineRule="auto"/>
              <w:ind w:left="0" w:firstLine="0"/>
              <w:jc w:val="both"/>
              <w:rPr>
                <w:sz w:val="24"/>
                <w:szCs w:val="24"/>
              </w:rPr>
            </w:pPr>
          </w:p>
        </w:tc>
        <w:tc>
          <w:tcPr>
            <w:tcW w:w="2284" w:type="dxa"/>
          </w:tcPr>
          <w:p w14:paraId="69DCB929"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Обязательные: прямая проба Кумбса</w:t>
            </w:r>
          </w:p>
        </w:tc>
      </w:tr>
      <w:tr w:rsidR="00B37E1F" w:rsidRPr="004569A5" w14:paraId="49797539" w14:textId="77777777" w:rsidTr="00B37E1F">
        <w:trPr>
          <w:jc w:val="center"/>
        </w:trPr>
        <w:tc>
          <w:tcPr>
            <w:tcW w:w="2110" w:type="dxa"/>
          </w:tcPr>
          <w:p w14:paraId="5EE46B1A"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Посттрансфузионная реакция «трансплантат против хозяина» (TA-GVHD, от transfusion-associated graft-versus-host-disease)</w:t>
            </w:r>
          </w:p>
        </w:tc>
        <w:tc>
          <w:tcPr>
            <w:tcW w:w="2340" w:type="dxa"/>
          </w:tcPr>
          <w:p w14:paraId="7BEDB19D"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Введение иммунокомпетентных клеток донора (T-лимфоцитов) иммунокомпрометированному реципиенту приводит к их пролиферации и дифференцировке в организме реципиента, что вызывает повреждение клеток реципиента, экспрессирующих HLA-антигены I и II классов (кожа, ЖКТ, печень, селезенка, костный мозг)</w:t>
            </w:r>
          </w:p>
          <w:p w14:paraId="68C3C6D3"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Характерны кожная эритема, диарея, поражение печени с гепатомегалией</w:t>
            </w:r>
          </w:p>
          <w:p w14:paraId="39AF70FB"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lastRenderedPageBreak/>
              <w:t>Синдром может развиваться в сроки от 2 дней до 6 недель после трансфузии</w:t>
            </w:r>
          </w:p>
        </w:tc>
        <w:tc>
          <w:tcPr>
            <w:tcW w:w="2520" w:type="dxa"/>
          </w:tcPr>
          <w:p w14:paraId="1A8E2F58"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lastRenderedPageBreak/>
              <w:t>Глюкокортикоиды</w:t>
            </w:r>
          </w:p>
        </w:tc>
        <w:tc>
          <w:tcPr>
            <w:tcW w:w="2284" w:type="dxa"/>
          </w:tcPr>
          <w:p w14:paraId="5BBAF47F"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Обязательные: общий и биохимический (активность АЛТ, АСТ, ЩФ, уровень билирубина) анализ крови, коагулограмма (уровень фибриногена), биопсия кожи с гистологическим исследованием (при наличии кожной эритемы)</w:t>
            </w:r>
          </w:p>
          <w:p w14:paraId="2E428873" w14:textId="563D7AAA" w:rsidR="00B37E1F" w:rsidRPr="004569A5" w:rsidRDefault="00B37E1F" w:rsidP="00472BA6">
            <w:pPr>
              <w:pStyle w:val="table-text-0"/>
              <w:spacing w:before="0" w:after="0" w:line="360" w:lineRule="auto"/>
              <w:ind w:left="0" w:firstLine="0"/>
              <w:jc w:val="both"/>
              <w:rPr>
                <w:sz w:val="24"/>
                <w:szCs w:val="24"/>
              </w:rPr>
            </w:pPr>
            <w:r w:rsidRPr="004569A5">
              <w:rPr>
                <w:sz w:val="24"/>
                <w:szCs w:val="24"/>
              </w:rPr>
              <w:t>Дополнительные: исследование</w:t>
            </w:r>
            <w:r w:rsidR="00472BA6">
              <w:rPr>
                <w:sz w:val="24"/>
                <w:szCs w:val="24"/>
              </w:rPr>
              <w:t>;</w:t>
            </w:r>
            <w:r w:rsidRPr="004569A5">
              <w:rPr>
                <w:sz w:val="24"/>
                <w:szCs w:val="24"/>
              </w:rPr>
              <w:t xml:space="preserve"> УЗИ брюшной полости</w:t>
            </w:r>
          </w:p>
        </w:tc>
      </w:tr>
      <w:tr w:rsidR="00B37E1F" w:rsidRPr="004569A5" w14:paraId="60C29B60" w14:textId="77777777" w:rsidTr="00B37E1F">
        <w:trPr>
          <w:jc w:val="center"/>
        </w:trPr>
        <w:tc>
          <w:tcPr>
            <w:tcW w:w="2110" w:type="dxa"/>
          </w:tcPr>
          <w:p w14:paraId="5392F68E"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Пострансфузионная пурпура (PTP, от post-transfusion purpura)</w:t>
            </w:r>
          </w:p>
        </w:tc>
        <w:tc>
          <w:tcPr>
            <w:tcW w:w="2340" w:type="dxa"/>
          </w:tcPr>
          <w:p w14:paraId="4809802D"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Образование антител к тромбоцитам или лейкоцитам (анти-HLA, анти-HPA) через 5—12 дней после трансфузии, проявляющееся выраженной тромбоцитопенией и геморрагическим синдромом</w:t>
            </w:r>
          </w:p>
        </w:tc>
        <w:tc>
          <w:tcPr>
            <w:tcW w:w="2520" w:type="dxa"/>
          </w:tcPr>
          <w:p w14:paraId="2F8708FA"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 xml:space="preserve">Глюкокортикоиды </w:t>
            </w:r>
          </w:p>
        </w:tc>
        <w:tc>
          <w:tcPr>
            <w:tcW w:w="2284" w:type="dxa"/>
          </w:tcPr>
          <w:p w14:paraId="6A70355C" w14:textId="77777777" w:rsidR="00B37E1F" w:rsidRPr="0053428B" w:rsidRDefault="00B37E1F" w:rsidP="002431B5">
            <w:pPr>
              <w:pStyle w:val="table-text-0"/>
              <w:spacing w:before="0" w:after="0" w:line="360" w:lineRule="auto"/>
              <w:ind w:left="0" w:firstLine="0"/>
              <w:jc w:val="both"/>
              <w:rPr>
                <w:sz w:val="24"/>
                <w:szCs w:val="24"/>
              </w:rPr>
            </w:pPr>
            <w:r w:rsidRPr="0053428B">
              <w:rPr>
                <w:sz w:val="24"/>
                <w:szCs w:val="24"/>
              </w:rPr>
              <w:t>Обязательные: общий анализ крови, выявление антилейкоцитарных аллоантител (анти-HLA) в сыворотке</w:t>
            </w:r>
          </w:p>
          <w:p w14:paraId="6DBC02C1" w14:textId="0F0AD4FF" w:rsidR="00B37E1F" w:rsidRPr="0053428B" w:rsidRDefault="00B37E1F" w:rsidP="002431B5">
            <w:pPr>
              <w:pStyle w:val="table-text-0"/>
              <w:spacing w:before="0" w:after="0" w:line="360" w:lineRule="auto"/>
              <w:ind w:left="0" w:firstLine="0"/>
              <w:jc w:val="both"/>
              <w:rPr>
                <w:sz w:val="24"/>
                <w:szCs w:val="24"/>
              </w:rPr>
            </w:pPr>
            <w:r w:rsidRPr="0053428B">
              <w:rPr>
                <w:sz w:val="24"/>
                <w:szCs w:val="24"/>
              </w:rPr>
              <w:t xml:space="preserve">Дополнительные: </w:t>
            </w:r>
            <w:r w:rsidR="002B557E" w:rsidRPr="0053428B">
              <w:rPr>
                <w:sz w:val="24"/>
                <w:szCs w:val="24"/>
              </w:rPr>
              <w:t>определение содержания антитромбоцитарных антител</w:t>
            </w:r>
          </w:p>
        </w:tc>
      </w:tr>
      <w:tr w:rsidR="00B37E1F" w:rsidRPr="004569A5" w14:paraId="3C101906" w14:textId="77777777" w:rsidTr="00B37E1F">
        <w:trPr>
          <w:jc w:val="center"/>
        </w:trPr>
        <w:tc>
          <w:tcPr>
            <w:tcW w:w="2110" w:type="dxa"/>
            <w:vMerge w:val="restart"/>
          </w:tcPr>
          <w:p w14:paraId="24CF960E"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Другие</w:t>
            </w:r>
          </w:p>
        </w:tc>
        <w:tc>
          <w:tcPr>
            <w:tcW w:w="2340" w:type="dxa"/>
          </w:tcPr>
          <w:p w14:paraId="4ABC6B4E"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Септический шок при переливании инфицированного компонента крови</w:t>
            </w:r>
          </w:p>
        </w:tc>
        <w:tc>
          <w:tcPr>
            <w:tcW w:w="2520" w:type="dxa"/>
          </w:tcPr>
          <w:p w14:paraId="396D6F78"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Антибактериальная терапия широкого спектра действия, противошоковая терапия</w:t>
            </w:r>
          </w:p>
        </w:tc>
        <w:tc>
          <w:tcPr>
            <w:tcW w:w="2284" w:type="dxa"/>
          </w:tcPr>
          <w:p w14:paraId="365A2A28" w14:textId="6C9DD5D2" w:rsidR="00B37E1F" w:rsidRPr="0053428B" w:rsidRDefault="00B37E1F" w:rsidP="002431B5">
            <w:pPr>
              <w:pStyle w:val="table-text-0"/>
              <w:spacing w:before="0" w:after="0" w:line="360" w:lineRule="auto"/>
              <w:ind w:left="0" w:firstLine="0"/>
              <w:jc w:val="both"/>
              <w:rPr>
                <w:sz w:val="24"/>
                <w:szCs w:val="24"/>
              </w:rPr>
            </w:pPr>
            <w:r w:rsidRPr="0053428B">
              <w:rPr>
                <w:sz w:val="24"/>
                <w:szCs w:val="24"/>
              </w:rPr>
              <w:t xml:space="preserve">Обязательные: </w:t>
            </w:r>
            <w:r w:rsidR="008D5350" w:rsidRPr="0053428B">
              <w:rPr>
                <w:sz w:val="24"/>
                <w:szCs w:val="24"/>
              </w:rPr>
              <w:t>микробиологическое (культуральное) исследование крови на стерильность</w:t>
            </w:r>
          </w:p>
        </w:tc>
      </w:tr>
      <w:tr w:rsidR="00B37E1F" w:rsidRPr="004569A5" w14:paraId="40036EA3" w14:textId="77777777" w:rsidTr="00B37E1F">
        <w:trPr>
          <w:jc w:val="center"/>
        </w:trPr>
        <w:tc>
          <w:tcPr>
            <w:tcW w:w="2110" w:type="dxa"/>
            <w:vMerge/>
          </w:tcPr>
          <w:p w14:paraId="509CC283" w14:textId="77777777" w:rsidR="00B37E1F" w:rsidRPr="004569A5" w:rsidRDefault="00B37E1F" w:rsidP="002431B5">
            <w:pPr>
              <w:pStyle w:val="table-text-0"/>
              <w:spacing w:before="0" w:after="0" w:line="360" w:lineRule="auto"/>
              <w:ind w:left="0" w:firstLine="0"/>
              <w:jc w:val="both"/>
              <w:rPr>
                <w:sz w:val="24"/>
                <w:szCs w:val="24"/>
              </w:rPr>
            </w:pPr>
          </w:p>
        </w:tc>
        <w:tc>
          <w:tcPr>
            <w:tcW w:w="2340" w:type="dxa"/>
          </w:tcPr>
          <w:p w14:paraId="28DEF26F"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Перегрузка железом (гемосидероз) органов в результате множественных переливаний эритроцитов</w:t>
            </w:r>
          </w:p>
        </w:tc>
        <w:tc>
          <w:tcPr>
            <w:tcW w:w="2520" w:type="dxa"/>
          </w:tcPr>
          <w:p w14:paraId="0C0753CF" w14:textId="232D7730"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Комплексообразующие средства (деферазирокс</w:t>
            </w:r>
            <w:r w:rsidR="001F07E9" w:rsidRPr="001F07E9">
              <w:rPr>
                <w:sz w:val="24"/>
                <w:szCs w:val="24"/>
              </w:rPr>
              <w:t>**</w:t>
            </w:r>
            <w:r w:rsidRPr="004569A5">
              <w:rPr>
                <w:sz w:val="24"/>
                <w:szCs w:val="24"/>
              </w:rPr>
              <w:t>, 15—20 мг/кг или другой препарат с аналогичным действием)</w:t>
            </w:r>
          </w:p>
        </w:tc>
        <w:tc>
          <w:tcPr>
            <w:tcW w:w="2284" w:type="dxa"/>
          </w:tcPr>
          <w:p w14:paraId="1026EA9E"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Обязательные: определение уровня ферритина в сыворотке (не должен превышать 1000 мкг/л)</w:t>
            </w:r>
          </w:p>
        </w:tc>
      </w:tr>
    </w:tbl>
    <w:p w14:paraId="5EB848BE" w14:textId="77777777" w:rsidR="00B37E1F" w:rsidRPr="004569A5" w:rsidRDefault="00B37E1F" w:rsidP="002431B5">
      <w:pPr>
        <w:spacing w:before="0" w:after="0"/>
        <w:rPr>
          <w:szCs w:val="24"/>
        </w:rPr>
      </w:pPr>
      <w:r w:rsidRPr="004569A5">
        <w:rPr>
          <w:szCs w:val="24"/>
        </w:rPr>
        <w:lastRenderedPageBreak/>
        <w:t>* Контейнер с компонентом крови, при трансфузии которого возникла реакция или осложнение, передается в установленном порядке для оценки параметров качества и безопасности.</w:t>
      </w:r>
    </w:p>
    <w:p w14:paraId="5ECB7F95" w14:textId="52591D14" w:rsidR="00B37E1F" w:rsidRPr="004569A5" w:rsidRDefault="00B37E1F" w:rsidP="008A2329">
      <w:pPr>
        <w:spacing w:before="0" w:after="0"/>
        <w:ind w:firstLine="567"/>
        <w:rPr>
          <w:szCs w:val="24"/>
        </w:rPr>
      </w:pPr>
      <w:r w:rsidRPr="004569A5">
        <w:rPr>
          <w:szCs w:val="24"/>
        </w:rPr>
        <w:t>Степень тяжести посттрансфузионных реакции и осложнений можно определить по шкале, приведенной в табл. </w:t>
      </w:r>
      <w:r w:rsidR="00436F47">
        <w:rPr>
          <w:szCs w:val="24"/>
        </w:rPr>
        <w:t>А3.22</w:t>
      </w:r>
      <w:r w:rsidRPr="004569A5">
        <w:rPr>
          <w:szCs w:val="24"/>
        </w:rPr>
        <w:t>.</w:t>
      </w:r>
    </w:p>
    <w:p w14:paraId="3FEA59CF" w14:textId="608EAA4A" w:rsidR="00B37E1F" w:rsidRPr="004569A5" w:rsidRDefault="00B37E1F" w:rsidP="002431B5">
      <w:pPr>
        <w:spacing w:before="0" w:after="0"/>
        <w:rPr>
          <w:szCs w:val="24"/>
        </w:rPr>
      </w:pPr>
      <w:r w:rsidRPr="004569A5">
        <w:rPr>
          <w:bCs/>
          <w:szCs w:val="24"/>
        </w:rPr>
        <w:t xml:space="preserve">Таблица </w:t>
      </w:r>
      <w:r w:rsidR="00436F47">
        <w:rPr>
          <w:bCs/>
          <w:szCs w:val="24"/>
        </w:rPr>
        <w:t>А3.22</w:t>
      </w:r>
      <w:r w:rsidRPr="004569A5">
        <w:rPr>
          <w:bCs/>
          <w:szCs w:val="24"/>
        </w:rPr>
        <w:t>. Шкала степени тяжести реакции или осложнения</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7380"/>
      </w:tblGrid>
      <w:tr w:rsidR="00B37E1F" w:rsidRPr="004569A5" w14:paraId="06978860" w14:textId="77777777" w:rsidTr="001F07E9">
        <w:trPr>
          <w:tblHeader/>
        </w:trPr>
        <w:tc>
          <w:tcPr>
            <w:tcW w:w="1800" w:type="dxa"/>
          </w:tcPr>
          <w:p w14:paraId="1C843C82" w14:textId="77777777" w:rsidR="00B37E1F" w:rsidRPr="004569A5" w:rsidRDefault="00B37E1F" w:rsidP="002431B5">
            <w:pPr>
              <w:pStyle w:val="Table-head-italic"/>
              <w:spacing w:line="360" w:lineRule="auto"/>
              <w:jc w:val="both"/>
              <w:rPr>
                <w:i w:val="0"/>
                <w:sz w:val="24"/>
                <w:szCs w:val="24"/>
                <w:lang w:val="ru-RU"/>
              </w:rPr>
            </w:pPr>
            <w:r w:rsidRPr="004569A5">
              <w:rPr>
                <w:i w:val="0"/>
                <w:sz w:val="24"/>
                <w:szCs w:val="24"/>
                <w:lang w:val="ru-RU"/>
              </w:rPr>
              <w:t>Категория</w:t>
            </w:r>
          </w:p>
        </w:tc>
        <w:tc>
          <w:tcPr>
            <w:tcW w:w="7380" w:type="dxa"/>
          </w:tcPr>
          <w:p w14:paraId="181206B2" w14:textId="77777777" w:rsidR="00B37E1F" w:rsidRPr="004569A5" w:rsidRDefault="00B37E1F" w:rsidP="002431B5">
            <w:pPr>
              <w:pStyle w:val="Table-head-italic"/>
              <w:spacing w:line="360" w:lineRule="auto"/>
              <w:jc w:val="both"/>
              <w:rPr>
                <w:i w:val="0"/>
                <w:sz w:val="24"/>
                <w:szCs w:val="24"/>
                <w:lang w:val="ru-RU"/>
              </w:rPr>
            </w:pPr>
            <w:r w:rsidRPr="004569A5">
              <w:rPr>
                <w:i w:val="0"/>
                <w:sz w:val="24"/>
                <w:szCs w:val="24"/>
                <w:lang w:val="ru-RU"/>
              </w:rPr>
              <w:t>Определение</w:t>
            </w:r>
          </w:p>
        </w:tc>
      </w:tr>
      <w:tr w:rsidR="00B37E1F" w:rsidRPr="004569A5" w14:paraId="37E702B1" w14:textId="77777777" w:rsidTr="00B37E1F">
        <w:tc>
          <w:tcPr>
            <w:tcW w:w="1800" w:type="dxa"/>
          </w:tcPr>
          <w:p w14:paraId="7E5776B4"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0</w:t>
            </w:r>
          </w:p>
        </w:tc>
        <w:tc>
          <w:tcPr>
            <w:tcW w:w="7380" w:type="dxa"/>
          </w:tcPr>
          <w:p w14:paraId="7C71E18E"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Реакции и осложнений нет</w:t>
            </w:r>
          </w:p>
        </w:tc>
      </w:tr>
      <w:tr w:rsidR="00B37E1F" w:rsidRPr="004569A5" w14:paraId="65D9C7C2" w14:textId="77777777" w:rsidTr="00B37E1F">
        <w:tc>
          <w:tcPr>
            <w:tcW w:w="1800" w:type="dxa"/>
          </w:tcPr>
          <w:p w14:paraId="345F0EC0"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1</w:t>
            </w:r>
          </w:p>
        </w:tc>
        <w:tc>
          <w:tcPr>
            <w:tcW w:w="7380" w:type="dxa"/>
          </w:tcPr>
          <w:p w14:paraId="3DC5BC68" w14:textId="2242387E" w:rsidR="00B37E1F" w:rsidRPr="004569A5" w:rsidRDefault="00B37E1F" w:rsidP="002431B5">
            <w:pPr>
              <w:pStyle w:val="table-text-0"/>
              <w:spacing w:before="0" w:after="0" w:line="360" w:lineRule="auto"/>
              <w:ind w:left="0" w:firstLine="0"/>
              <w:jc w:val="both"/>
              <w:rPr>
                <w:sz w:val="24"/>
                <w:szCs w:val="24"/>
              </w:rPr>
            </w:pPr>
            <w:r w:rsidRPr="004569A5">
              <w:rPr>
                <w:sz w:val="24"/>
                <w:szCs w:val="24"/>
              </w:rPr>
              <w:t>Легкой степени: температура &lt;38</w:t>
            </w:r>
            <w:r w:rsidRPr="004569A5">
              <w:rPr>
                <w:rFonts w:ascii="Symbol" w:hAnsi="Symbol" w:cs="Symbol"/>
                <w:sz w:val="24"/>
                <w:szCs w:val="24"/>
              </w:rPr>
              <w:t></w:t>
            </w:r>
            <w:r w:rsidRPr="004569A5">
              <w:rPr>
                <w:sz w:val="24"/>
                <w:szCs w:val="24"/>
              </w:rPr>
              <w:t xml:space="preserve">C, другие незначительные симптомы, без долгосрочных патологических последствий. </w:t>
            </w:r>
            <w:r w:rsidRPr="004569A5">
              <w:rPr>
                <w:sz w:val="24"/>
                <w:szCs w:val="24"/>
                <w:u w:val="single"/>
              </w:rPr>
              <w:t>Не требует терапевтического вмешательства</w:t>
            </w:r>
          </w:p>
        </w:tc>
      </w:tr>
      <w:tr w:rsidR="00B37E1F" w:rsidRPr="004569A5" w14:paraId="1C59DEA2" w14:textId="77777777" w:rsidTr="00B37E1F">
        <w:tc>
          <w:tcPr>
            <w:tcW w:w="1800" w:type="dxa"/>
          </w:tcPr>
          <w:p w14:paraId="6ED13F7B"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2</w:t>
            </w:r>
          </w:p>
        </w:tc>
        <w:tc>
          <w:tcPr>
            <w:tcW w:w="7380" w:type="dxa"/>
          </w:tcPr>
          <w:p w14:paraId="6C7D4200"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Средней степени: симптомы, требующие терапевтического вмешательства, стабильные гемодинамические и вентиляционные показатели, возможны долгосрочные последствия (например, аллосенсибилизация в качестве причины рефрактерности к трансфузиям)</w:t>
            </w:r>
          </w:p>
        </w:tc>
      </w:tr>
      <w:tr w:rsidR="00B37E1F" w:rsidRPr="004569A5" w14:paraId="08D6DDE4" w14:textId="77777777" w:rsidTr="00B37E1F">
        <w:tc>
          <w:tcPr>
            <w:tcW w:w="1800" w:type="dxa"/>
          </w:tcPr>
          <w:p w14:paraId="3EBE9E3B"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3</w:t>
            </w:r>
          </w:p>
        </w:tc>
        <w:tc>
          <w:tcPr>
            <w:tcW w:w="7380" w:type="dxa"/>
          </w:tcPr>
          <w:p w14:paraId="31C90BCF"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Тяжелой степени (непосредственная угроза жизни реципиента): нестабильные гемодинамические и вентиляционные показатели</w:t>
            </w:r>
          </w:p>
        </w:tc>
      </w:tr>
      <w:tr w:rsidR="00B37E1F" w:rsidRPr="004569A5" w14:paraId="537CC164" w14:textId="77777777" w:rsidTr="00B37E1F">
        <w:tc>
          <w:tcPr>
            <w:tcW w:w="1800" w:type="dxa"/>
          </w:tcPr>
          <w:p w14:paraId="360B3790"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4</w:t>
            </w:r>
          </w:p>
        </w:tc>
        <w:tc>
          <w:tcPr>
            <w:tcW w:w="7380" w:type="dxa"/>
          </w:tcPr>
          <w:p w14:paraId="675F70F1" w14:textId="77777777" w:rsidR="00B37E1F" w:rsidRPr="004569A5" w:rsidRDefault="00B37E1F" w:rsidP="002431B5">
            <w:pPr>
              <w:pStyle w:val="table-text-0"/>
              <w:spacing w:before="0" w:after="0" w:line="360" w:lineRule="auto"/>
              <w:ind w:left="0" w:firstLine="0"/>
              <w:jc w:val="both"/>
              <w:rPr>
                <w:sz w:val="24"/>
                <w:szCs w:val="24"/>
              </w:rPr>
            </w:pPr>
            <w:r w:rsidRPr="004569A5">
              <w:rPr>
                <w:sz w:val="24"/>
                <w:szCs w:val="24"/>
              </w:rPr>
              <w:t>Смерть от осложнения, выявленного в первые 24 часов после трансфузии</w:t>
            </w:r>
          </w:p>
        </w:tc>
      </w:tr>
    </w:tbl>
    <w:p w14:paraId="3B565673" w14:textId="77777777" w:rsidR="00B37E1F" w:rsidRPr="00FD15FE" w:rsidRDefault="00B37E1F" w:rsidP="008F161A">
      <w:pPr>
        <w:numPr>
          <w:ilvl w:val="0"/>
          <w:numId w:val="168"/>
        </w:numPr>
        <w:spacing w:before="0" w:after="0"/>
        <w:rPr>
          <w:b/>
          <w:szCs w:val="24"/>
          <w:lang w:eastAsia="ru-RU"/>
        </w:rPr>
      </w:pPr>
      <w:r w:rsidRPr="00FD15FE">
        <w:rPr>
          <w:b/>
          <w:szCs w:val="24"/>
          <w:lang w:eastAsia="ru-RU"/>
        </w:rPr>
        <w:t>Премедикация перед проведением трансфузии компонентов донорской крови</w:t>
      </w:r>
    </w:p>
    <w:p w14:paraId="7A3F56E9" w14:textId="7A2E32CE" w:rsidR="00B37E1F" w:rsidRPr="004569A5" w:rsidRDefault="00B37E1F" w:rsidP="008A2329">
      <w:pPr>
        <w:spacing w:before="0" w:after="0"/>
        <w:ind w:firstLine="567"/>
        <w:rPr>
          <w:bCs/>
          <w:szCs w:val="24"/>
        </w:rPr>
      </w:pPr>
      <w:r w:rsidRPr="004569A5">
        <w:rPr>
          <w:bCs/>
          <w:szCs w:val="24"/>
        </w:rPr>
        <w:t>Для профилактики нежелательных реакций на трансфузию при неоднократном проведении трансфузий компонентов крови может потребоваться премедикация. Алгоритм выбора премедикации перед проведением трансфузии компонентов донорской крови приведен в табл.</w:t>
      </w:r>
      <w:r w:rsidR="00436F47">
        <w:rPr>
          <w:bCs/>
          <w:szCs w:val="24"/>
        </w:rPr>
        <w:t>А3.23</w:t>
      </w:r>
      <w:r w:rsidRPr="004569A5">
        <w:rPr>
          <w:bCs/>
          <w:szCs w:val="24"/>
        </w:rPr>
        <w:t>.</w:t>
      </w:r>
    </w:p>
    <w:p w14:paraId="2250DD8C" w14:textId="77777777" w:rsidR="006C7FE6" w:rsidRDefault="006C7FE6" w:rsidP="002431B5">
      <w:pPr>
        <w:spacing w:before="0" w:after="0"/>
        <w:rPr>
          <w:bCs/>
          <w:szCs w:val="24"/>
        </w:rPr>
      </w:pPr>
    </w:p>
    <w:p w14:paraId="134FFA69" w14:textId="77777777" w:rsidR="006C7FE6" w:rsidRDefault="006C7FE6" w:rsidP="002431B5">
      <w:pPr>
        <w:spacing w:before="0" w:after="0"/>
        <w:rPr>
          <w:bCs/>
          <w:szCs w:val="24"/>
        </w:rPr>
      </w:pPr>
    </w:p>
    <w:p w14:paraId="7E464A9C" w14:textId="77777777" w:rsidR="006C7FE6" w:rsidRDefault="006C7FE6" w:rsidP="002431B5">
      <w:pPr>
        <w:spacing w:before="0" w:after="0"/>
        <w:rPr>
          <w:bCs/>
          <w:szCs w:val="24"/>
        </w:rPr>
      </w:pPr>
    </w:p>
    <w:p w14:paraId="69A932EA" w14:textId="77777777" w:rsidR="006C7FE6" w:rsidRDefault="006C7FE6" w:rsidP="002431B5">
      <w:pPr>
        <w:spacing w:before="0" w:after="0"/>
        <w:rPr>
          <w:bCs/>
          <w:szCs w:val="24"/>
        </w:rPr>
      </w:pPr>
    </w:p>
    <w:p w14:paraId="1B1318BF" w14:textId="77777777" w:rsidR="006C7FE6" w:rsidRDefault="006C7FE6" w:rsidP="002431B5">
      <w:pPr>
        <w:spacing w:before="0" w:after="0"/>
        <w:rPr>
          <w:bCs/>
          <w:szCs w:val="24"/>
        </w:rPr>
      </w:pPr>
    </w:p>
    <w:p w14:paraId="46A913C7" w14:textId="77777777" w:rsidR="006C7FE6" w:rsidRDefault="006C7FE6" w:rsidP="002431B5">
      <w:pPr>
        <w:spacing w:before="0" w:after="0"/>
        <w:rPr>
          <w:bCs/>
          <w:szCs w:val="24"/>
        </w:rPr>
      </w:pPr>
    </w:p>
    <w:p w14:paraId="5F68A291" w14:textId="77777777" w:rsidR="006C7FE6" w:rsidRDefault="006C7FE6" w:rsidP="002431B5">
      <w:pPr>
        <w:spacing w:before="0" w:after="0"/>
        <w:rPr>
          <w:bCs/>
          <w:szCs w:val="24"/>
        </w:rPr>
      </w:pPr>
    </w:p>
    <w:p w14:paraId="4C317662" w14:textId="77777777" w:rsidR="006C7FE6" w:rsidRDefault="006C7FE6" w:rsidP="002431B5">
      <w:pPr>
        <w:spacing w:before="0" w:after="0"/>
        <w:rPr>
          <w:bCs/>
          <w:szCs w:val="24"/>
        </w:rPr>
      </w:pPr>
    </w:p>
    <w:p w14:paraId="2097620C" w14:textId="77777777" w:rsidR="006C7FE6" w:rsidRDefault="006C7FE6" w:rsidP="002431B5">
      <w:pPr>
        <w:spacing w:before="0" w:after="0"/>
        <w:rPr>
          <w:bCs/>
          <w:szCs w:val="24"/>
        </w:rPr>
      </w:pPr>
    </w:p>
    <w:p w14:paraId="6A993508" w14:textId="77777777" w:rsidR="006C7FE6" w:rsidRDefault="006C7FE6" w:rsidP="002431B5">
      <w:pPr>
        <w:spacing w:before="0" w:after="0"/>
        <w:rPr>
          <w:bCs/>
          <w:szCs w:val="24"/>
        </w:rPr>
      </w:pPr>
    </w:p>
    <w:p w14:paraId="12946979" w14:textId="77777777" w:rsidR="006C7FE6" w:rsidRDefault="006C7FE6" w:rsidP="002431B5">
      <w:pPr>
        <w:spacing w:before="0" w:after="0"/>
        <w:rPr>
          <w:bCs/>
          <w:szCs w:val="24"/>
        </w:rPr>
      </w:pPr>
    </w:p>
    <w:p w14:paraId="6AF62061" w14:textId="03EDDACC" w:rsidR="00B37E1F" w:rsidRPr="004569A5" w:rsidRDefault="00B37E1F" w:rsidP="002431B5">
      <w:pPr>
        <w:spacing w:before="0" w:after="0"/>
        <w:rPr>
          <w:bCs/>
          <w:szCs w:val="24"/>
        </w:rPr>
      </w:pPr>
      <w:r w:rsidRPr="004569A5">
        <w:rPr>
          <w:bCs/>
          <w:szCs w:val="24"/>
        </w:rPr>
        <w:lastRenderedPageBreak/>
        <w:t xml:space="preserve">Таблица </w:t>
      </w:r>
      <w:r w:rsidR="00436F47">
        <w:rPr>
          <w:bCs/>
          <w:szCs w:val="24"/>
        </w:rPr>
        <w:t>А3.24</w:t>
      </w:r>
      <w:r w:rsidRPr="004569A5">
        <w:rPr>
          <w:bCs/>
          <w:szCs w:val="24"/>
        </w:rPr>
        <w:t>. Выбор премедикации перед проведением трансфузии компонентов донорской крови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525"/>
        <w:gridCol w:w="4479"/>
      </w:tblGrid>
      <w:tr w:rsidR="00B37E1F" w:rsidRPr="004569A5" w14:paraId="5EA52FEC" w14:textId="77777777" w:rsidTr="001F07E9">
        <w:trPr>
          <w:tblHeader/>
        </w:trPr>
        <w:tc>
          <w:tcPr>
            <w:tcW w:w="3208" w:type="dxa"/>
            <w:shd w:val="clear" w:color="auto" w:fill="auto"/>
          </w:tcPr>
          <w:p w14:paraId="7F450D1D" w14:textId="77777777" w:rsidR="00B37E1F" w:rsidRPr="004569A5" w:rsidRDefault="00B37E1F" w:rsidP="002431B5">
            <w:pPr>
              <w:spacing w:before="0" w:after="0"/>
              <w:rPr>
                <w:bCs/>
                <w:szCs w:val="24"/>
              </w:rPr>
            </w:pPr>
            <w:r w:rsidRPr="004569A5">
              <w:rPr>
                <w:bCs/>
                <w:szCs w:val="24"/>
              </w:rPr>
              <w:t>Вид реакции или осложнения, связанный с переливанием донорской крови и/или её компонентов, зафиксированных при предыдущих трансфузиях</w:t>
            </w:r>
          </w:p>
        </w:tc>
        <w:tc>
          <w:tcPr>
            <w:tcW w:w="3082" w:type="dxa"/>
            <w:shd w:val="clear" w:color="auto" w:fill="auto"/>
          </w:tcPr>
          <w:p w14:paraId="171516B0" w14:textId="77777777" w:rsidR="00B37E1F" w:rsidRPr="004569A5" w:rsidRDefault="00B37E1F" w:rsidP="002431B5">
            <w:pPr>
              <w:spacing w:before="0" w:after="0"/>
              <w:rPr>
                <w:bCs/>
                <w:szCs w:val="24"/>
              </w:rPr>
            </w:pPr>
            <w:r w:rsidRPr="004569A5">
              <w:rPr>
                <w:bCs/>
                <w:szCs w:val="24"/>
              </w:rPr>
              <w:t>Наименование компонента донорской крови, показанного для предстоящей трансфузии</w:t>
            </w:r>
          </w:p>
        </w:tc>
        <w:tc>
          <w:tcPr>
            <w:tcW w:w="8270" w:type="dxa"/>
            <w:shd w:val="clear" w:color="auto" w:fill="auto"/>
          </w:tcPr>
          <w:p w14:paraId="1F1408E0" w14:textId="77777777" w:rsidR="00B37E1F" w:rsidRPr="004569A5" w:rsidRDefault="00B37E1F" w:rsidP="002431B5">
            <w:pPr>
              <w:spacing w:before="0" w:after="0"/>
              <w:rPr>
                <w:bCs/>
                <w:szCs w:val="24"/>
              </w:rPr>
            </w:pPr>
            <w:r w:rsidRPr="004569A5">
              <w:rPr>
                <w:bCs/>
                <w:szCs w:val="24"/>
              </w:rPr>
              <w:t>Премедикация перед предстоящей трансфузией</w:t>
            </w:r>
          </w:p>
        </w:tc>
      </w:tr>
      <w:tr w:rsidR="00B37E1F" w:rsidRPr="004569A5" w14:paraId="798EAB8D" w14:textId="77777777" w:rsidTr="00B37E1F">
        <w:tc>
          <w:tcPr>
            <w:tcW w:w="14560" w:type="dxa"/>
            <w:gridSpan w:val="3"/>
            <w:shd w:val="clear" w:color="auto" w:fill="auto"/>
          </w:tcPr>
          <w:p w14:paraId="022C5392" w14:textId="77777777" w:rsidR="00B37E1F" w:rsidRPr="004569A5" w:rsidRDefault="00B37E1F" w:rsidP="002431B5">
            <w:pPr>
              <w:spacing w:before="0" w:after="0"/>
              <w:rPr>
                <w:b/>
                <w:bCs/>
                <w:szCs w:val="24"/>
              </w:rPr>
            </w:pPr>
            <w:r w:rsidRPr="004569A5">
              <w:rPr>
                <w:b/>
                <w:bCs/>
                <w:szCs w:val="24"/>
              </w:rPr>
              <w:t>А. Пациент без трансфузий донорской крови и/или её компонентов в анамнезе</w:t>
            </w:r>
          </w:p>
        </w:tc>
      </w:tr>
      <w:tr w:rsidR="00B37E1F" w:rsidRPr="004569A5" w14:paraId="186E2C2D" w14:textId="77777777" w:rsidTr="00B37E1F">
        <w:tc>
          <w:tcPr>
            <w:tcW w:w="3208" w:type="dxa"/>
            <w:shd w:val="clear" w:color="auto" w:fill="auto"/>
          </w:tcPr>
          <w:p w14:paraId="7158442C" w14:textId="77777777" w:rsidR="00B37E1F" w:rsidRPr="004569A5" w:rsidRDefault="00B37E1F" w:rsidP="002431B5">
            <w:pPr>
              <w:spacing w:before="0" w:after="0"/>
              <w:rPr>
                <w:szCs w:val="24"/>
              </w:rPr>
            </w:pPr>
            <w:r w:rsidRPr="004569A5">
              <w:rPr>
                <w:szCs w:val="24"/>
              </w:rPr>
              <w:t>-</w:t>
            </w:r>
          </w:p>
        </w:tc>
        <w:tc>
          <w:tcPr>
            <w:tcW w:w="3082" w:type="dxa"/>
            <w:shd w:val="clear" w:color="auto" w:fill="auto"/>
          </w:tcPr>
          <w:p w14:paraId="623C37CE" w14:textId="77777777" w:rsidR="00B37E1F" w:rsidRPr="004569A5" w:rsidRDefault="00B37E1F" w:rsidP="002431B5">
            <w:pPr>
              <w:spacing w:before="0" w:after="0"/>
              <w:rPr>
                <w:szCs w:val="24"/>
              </w:rPr>
            </w:pPr>
            <w:r w:rsidRPr="004569A5">
              <w:rPr>
                <w:szCs w:val="24"/>
              </w:rPr>
              <w:t>Любой компонент донорской крови</w:t>
            </w:r>
          </w:p>
        </w:tc>
        <w:tc>
          <w:tcPr>
            <w:tcW w:w="8270" w:type="dxa"/>
            <w:shd w:val="clear" w:color="auto" w:fill="auto"/>
          </w:tcPr>
          <w:p w14:paraId="3B35C25D" w14:textId="137B73C5"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2C9D4DB9" w14:textId="77777777" w:rsidTr="00B37E1F">
        <w:tc>
          <w:tcPr>
            <w:tcW w:w="14560" w:type="dxa"/>
            <w:gridSpan w:val="3"/>
            <w:shd w:val="clear" w:color="auto" w:fill="auto"/>
          </w:tcPr>
          <w:p w14:paraId="55A16B46" w14:textId="77777777" w:rsidR="00B37E1F" w:rsidRPr="004569A5" w:rsidRDefault="00B37E1F" w:rsidP="002431B5">
            <w:pPr>
              <w:spacing w:before="0" w:after="0"/>
              <w:rPr>
                <w:b/>
                <w:bCs/>
                <w:szCs w:val="24"/>
              </w:rPr>
            </w:pPr>
            <w:r w:rsidRPr="004569A5">
              <w:rPr>
                <w:b/>
                <w:bCs/>
                <w:szCs w:val="24"/>
              </w:rPr>
              <w:t>Б. Пациент с трансфузией донорской крови и/или её компонентов без реакций или осложнений в анамнезе*</w:t>
            </w:r>
          </w:p>
        </w:tc>
      </w:tr>
      <w:tr w:rsidR="00B37E1F" w:rsidRPr="004569A5" w14:paraId="4B4AB286" w14:textId="77777777" w:rsidTr="00B37E1F">
        <w:tc>
          <w:tcPr>
            <w:tcW w:w="3208" w:type="dxa"/>
            <w:shd w:val="clear" w:color="auto" w:fill="auto"/>
          </w:tcPr>
          <w:p w14:paraId="29BB7E43" w14:textId="77777777" w:rsidR="00B37E1F" w:rsidRPr="004569A5" w:rsidRDefault="00B37E1F" w:rsidP="002431B5">
            <w:pPr>
              <w:spacing w:before="0" w:after="0"/>
              <w:rPr>
                <w:szCs w:val="24"/>
              </w:rPr>
            </w:pPr>
            <w:r w:rsidRPr="004569A5">
              <w:rPr>
                <w:szCs w:val="24"/>
              </w:rPr>
              <w:t>-</w:t>
            </w:r>
          </w:p>
        </w:tc>
        <w:tc>
          <w:tcPr>
            <w:tcW w:w="3082" w:type="dxa"/>
            <w:shd w:val="clear" w:color="auto" w:fill="auto"/>
          </w:tcPr>
          <w:p w14:paraId="18E791D4" w14:textId="77777777" w:rsidR="00B37E1F" w:rsidRPr="004569A5" w:rsidRDefault="00B37E1F" w:rsidP="002431B5">
            <w:pPr>
              <w:spacing w:before="0" w:after="0"/>
              <w:rPr>
                <w:szCs w:val="24"/>
              </w:rPr>
            </w:pPr>
            <w:r w:rsidRPr="004569A5">
              <w:rPr>
                <w:szCs w:val="24"/>
              </w:rPr>
              <w:t>Любой компонент донорской крови</w:t>
            </w:r>
          </w:p>
        </w:tc>
        <w:tc>
          <w:tcPr>
            <w:tcW w:w="8270" w:type="dxa"/>
            <w:shd w:val="clear" w:color="auto" w:fill="auto"/>
          </w:tcPr>
          <w:p w14:paraId="06D2426B" w14:textId="69EECB5A"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6D7D5554" w14:textId="77777777" w:rsidTr="00B37E1F">
        <w:tc>
          <w:tcPr>
            <w:tcW w:w="14560" w:type="dxa"/>
            <w:gridSpan w:val="3"/>
            <w:shd w:val="clear" w:color="auto" w:fill="auto"/>
          </w:tcPr>
          <w:p w14:paraId="0BAFAC9A" w14:textId="77777777" w:rsidR="00B37E1F" w:rsidRPr="004569A5" w:rsidRDefault="00B37E1F" w:rsidP="002431B5">
            <w:pPr>
              <w:spacing w:before="0" w:after="0"/>
              <w:rPr>
                <w:b/>
                <w:bCs/>
                <w:szCs w:val="24"/>
              </w:rPr>
            </w:pPr>
            <w:r w:rsidRPr="004569A5">
              <w:rPr>
                <w:b/>
                <w:bCs/>
                <w:szCs w:val="24"/>
              </w:rPr>
              <w:t>В. Пациент с трансфузией донорской крови и/или её компонентов с реакциями или осложнениями на в анамнезе</w:t>
            </w:r>
          </w:p>
        </w:tc>
      </w:tr>
      <w:tr w:rsidR="00B37E1F" w:rsidRPr="004569A5" w14:paraId="2546149E" w14:textId="77777777" w:rsidTr="00B37E1F">
        <w:tc>
          <w:tcPr>
            <w:tcW w:w="14560" w:type="dxa"/>
            <w:gridSpan w:val="3"/>
            <w:shd w:val="clear" w:color="auto" w:fill="auto"/>
          </w:tcPr>
          <w:p w14:paraId="7C3F58FE" w14:textId="77777777" w:rsidR="00B37E1F" w:rsidRPr="004569A5" w:rsidRDefault="00B37E1F" w:rsidP="008F161A">
            <w:pPr>
              <w:pStyle w:val="a6"/>
              <w:numPr>
                <w:ilvl w:val="0"/>
                <w:numId w:val="95"/>
              </w:numPr>
              <w:spacing w:before="0" w:after="0"/>
              <w:ind w:left="0" w:firstLine="0"/>
              <w:rPr>
                <w:b/>
                <w:bCs/>
                <w:szCs w:val="24"/>
              </w:rPr>
            </w:pPr>
            <w:r w:rsidRPr="004569A5">
              <w:rPr>
                <w:b/>
                <w:bCs/>
                <w:szCs w:val="24"/>
              </w:rPr>
              <w:t>Аллергические реакции (крапивница, бронхоспазм, отек Квинке, анафилактический шок и др.) в зависимости от степени тяжести</w:t>
            </w:r>
          </w:p>
        </w:tc>
      </w:tr>
      <w:tr w:rsidR="00B37E1F" w:rsidRPr="004569A5" w14:paraId="61AE9429" w14:textId="77777777" w:rsidTr="00B37E1F">
        <w:tc>
          <w:tcPr>
            <w:tcW w:w="3208" w:type="dxa"/>
            <w:shd w:val="clear" w:color="auto" w:fill="auto"/>
          </w:tcPr>
          <w:p w14:paraId="0C91AD1F" w14:textId="77777777" w:rsidR="00B37E1F" w:rsidRPr="004569A5" w:rsidRDefault="00B37E1F" w:rsidP="008F161A">
            <w:pPr>
              <w:pStyle w:val="a6"/>
              <w:numPr>
                <w:ilvl w:val="0"/>
                <w:numId w:val="89"/>
              </w:numPr>
              <w:spacing w:before="0" w:after="0"/>
              <w:ind w:left="0" w:firstLine="0"/>
              <w:rPr>
                <w:szCs w:val="24"/>
              </w:rPr>
            </w:pPr>
            <w:r w:rsidRPr="004569A5">
              <w:rPr>
                <w:szCs w:val="24"/>
              </w:rPr>
              <w:t>Аллергические реакции легкой степени</w:t>
            </w:r>
          </w:p>
          <w:p w14:paraId="4BAB28D2" w14:textId="77777777" w:rsidR="00B37E1F" w:rsidRPr="004569A5" w:rsidRDefault="00B37E1F" w:rsidP="002431B5">
            <w:pPr>
              <w:spacing w:before="0" w:after="0"/>
              <w:rPr>
                <w:szCs w:val="24"/>
              </w:rPr>
            </w:pPr>
          </w:p>
        </w:tc>
        <w:tc>
          <w:tcPr>
            <w:tcW w:w="3082" w:type="dxa"/>
            <w:shd w:val="clear" w:color="auto" w:fill="auto"/>
          </w:tcPr>
          <w:p w14:paraId="0049E0BA" w14:textId="77777777" w:rsidR="00B37E1F" w:rsidRPr="004569A5" w:rsidRDefault="00B37E1F" w:rsidP="002431B5">
            <w:pPr>
              <w:spacing w:before="0" w:after="0"/>
              <w:rPr>
                <w:szCs w:val="24"/>
              </w:rPr>
            </w:pPr>
            <w:r w:rsidRPr="004569A5">
              <w:rPr>
                <w:szCs w:val="24"/>
              </w:rPr>
              <w:t>Любой компонент донорской крови</w:t>
            </w:r>
          </w:p>
        </w:tc>
        <w:tc>
          <w:tcPr>
            <w:tcW w:w="8270" w:type="dxa"/>
            <w:shd w:val="clear" w:color="auto" w:fill="auto"/>
          </w:tcPr>
          <w:p w14:paraId="2D3EEA48" w14:textId="56522194"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1BC76575" w14:textId="77777777" w:rsidTr="00B37E1F">
        <w:tc>
          <w:tcPr>
            <w:tcW w:w="3208" w:type="dxa"/>
            <w:vMerge w:val="restart"/>
            <w:shd w:val="clear" w:color="auto" w:fill="auto"/>
          </w:tcPr>
          <w:p w14:paraId="0176E67A" w14:textId="77777777" w:rsidR="00B37E1F" w:rsidRPr="004569A5" w:rsidRDefault="00B37E1F" w:rsidP="008F161A">
            <w:pPr>
              <w:pStyle w:val="a6"/>
              <w:numPr>
                <w:ilvl w:val="0"/>
                <w:numId w:val="89"/>
              </w:numPr>
              <w:spacing w:before="0" w:after="0"/>
              <w:ind w:left="0" w:firstLine="0"/>
              <w:rPr>
                <w:szCs w:val="24"/>
              </w:rPr>
            </w:pPr>
            <w:r w:rsidRPr="004569A5">
              <w:rPr>
                <w:szCs w:val="24"/>
              </w:rPr>
              <w:t xml:space="preserve">Аллергические реакции средней тяжести (протекающие без нарушений </w:t>
            </w:r>
            <w:r w:rsidRPr="004569A5">
              <w:rPr>
                <w:szCs w:val="24"/>
              </w:rPr>
              <w:lastRenderedPageBreak/>
              <w:t>гемодинамических и вентиляционных показателей)</w:t>
            </w:r>
          </w:p>
        </w:tc>
        <w:tc>
          <w:tcPr>
            <w:tcW w:w="3082" w:type="dxa"/>
            <w:shd w:val="clear" w:color="auto" w:fill="auto"/>
          </w:tcPr>
          <w:p w14:paraId="49749A48" w14:textId="77777777" w:rsidR="00B37E1F" w:rsidRPr="004569A5" w:rsidRDefault="00B37E1F" w:rsidP="002431B5">
            <w:pPr>
              <w:spacing w:before="0" w:after="0"/>
              <w:rPr>
                <w:szCs w:val="24"/>
              </w:rPr>
            </w:pPr>
            <w:r w:rsidRPr="004569A5">
              <w:rPr>
                <w:szCs w:val="24"/>
              </w:rPr>
              <w:lastRenderedPageBreak/>
              <w:t>Компонент донорской крови, вызвавший реакцию ранее</w:t>
            </w:r>
          </w:p>
        </w:tc>
        <w:tc>
          <w:tcPr>
            <w:tcW w:w="8270" w:type="dxa"/>
            <w:shd w:val="clear" w:color="auto" w:fill="auto"/>
          </w:tcPr>
          <w:p w14:paraId="194F8C55" w14:textId="6006C3DC"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и 2 мл клемастина гидрофумарата 1 мг/мл (либо 1 мл дифенгидрамина</w:t>
            </w:r>
            <w:r w:rsidR="001F07E9" w:rsidRPr="001F07E9">
              <w:rPr>
                <w:szCs w:val="24"/>
              </w:rPr>
              <w:t>**</w:t>
            </w:r>
            <w:r w:rsidRPr="004569A5">
              <w:rPr>
                <w:szCs w:val="24"/>
              </w:rPr>
              <w:t xml:space="preserve"> 10 мг/мл, либо 1 мл хлоропирамина</w:t>
            </w:r>
            <w:r w:rsidR="001F07E9" w:rsidRPr="001F07E9">
              <w:rPr>
                <w:szCs w:val="24"/>
              </w:rPr>
              <w:t>**</w:t>
            </w:r>
            <w:r w:rsidRPr="004569A5">
              <w:rPr>
                <w:szCs w:val="24"/>
              </w:rPr>
              <w:t xml:space="preserve"> 20 мг/мл)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6B1C169A" w14:textId="77777777" w:rsidTr="00B37E1F">
        <w:tc>
          <w:tcPr>
            <w:tcW w:w="3208" w:type="dxa"/>
            <w:vMerge/>
            <w:shd w:val="clear" w:color="auto" w:fill="auto"/>
          </w:tcPr>
          <w:p w14:paraId="4B8C0568" w14:textId="77777777" w:rsidR="00B37E1F" w:rsidRPr="004569A5" w:rsidRDefault="00B37E1F" w:rsidP="008F161A">
            <w:pPr>
              <w:pStyle w:val="a6"/>
              <w:numPr>
                <w:ilvl w:val="0"/>
                <w:numId w:val="89"/>
              </w:numPr>
              <w:spacing w:before="0" w:after="0"/>
              <w:ind w:left="0" w:firstLine="0"/>
              <w:rPr>
                <w:szCs w:val="24"/>
              </w:rPr>
            </w:pPr>
          </w:p>
        </w:tc>
        <w:tc>
          <w:tcPr>
            <w:tcW w:w="3082" w:type="dxa"/>
            <w:shd w:val="clear" w:color="auto" w:fill="auto"/>
          </w:tcPr>
          <w:p w14:paraId="55B840B2" w14:textId="77777777" w:rsidR="00B37E1F" w:rsidRPr="004569A5" w:rsidRDefault="00B37E1F" w:rsidP="002431B5">
            <w:pPr>
              <w:spacing w:before="0" w:after="0"/>
              <w:rPr>
                <w:szCs w:val="24"/>
              </w:rPr>
            </w:pPr>
            <w:r w:rsidRPr="004569A5">
              <w:rPr>
                <w:szCs w:val="24"/>
              </w:rPr>
              <w:t>Другие компоненты донорской крови (не вызывавшие реакции ранее)</w:t>
            </w:r>
          </w:p>
        </w:tc>
        <w:tc>
          <w:tcPr>
            <w:tcW w:w="8270" w:type="dxa"/>
            <w:shd w:val="clear" w:color="auto" w:fill="auto"/>
          </w:tcPr>
          <w:p w14:paraId="1896C54F" w14:textId="28B6CDAE"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24B64D97" w14:textId="77777777" w:rsidTr="00B37E1F">
        <w:tc>
          <w:tcPr>
            <w:tcW w:w="3208" w:type="dxa"/>
            <w:shd w:val="clear" w:color="auto" w:fill="auto"/>
          </w:tcPr>
          <w:p w14:paraId="2F9C06E9" w14:textId="77777777" w:rsidR="00B37E1F" w:rsidRPr="004569A5" w:rsidRDefault="00B37E1F" w:rsidP="008F161A">
            <w:pPr>
              <w:pStyle w:val="a6"/>
              <w:numPr>
                <w:ilvl w:val="0"/>
                <w:numId w:val="89"/>
              </w:numPr>
              <w:spacing w:before="0" w:after="0"/>
              <w:ind w:left="0" w:firstLine="0"/>
              <w:rPr>
                <w:szCs w:val="24"/>
              </w:rPr>
            </w:pPr>
            <w:r w:rsidRPr="004569A5">
              <w:rPr>
                <w:szCs w:val="24"/>
              </w:rPr>
              <w:t>Тяжелые аллергические реакции (протекающие с нарушением гемодинамических и вентиляционных показателей)</w:t>
            </w:r>
          </w:p>
        </w:tc>
        <w:tc>
          <w:tcPr>
            <w:tcW w:w="3082" w:type="dxa"/>
            <w:shd w:val="clear" w:color="auto" w:fill="auto"/>
          </w:tcPr>
          <w:p w14:paraId="0FC1E0F4" w14:textId="77777777" w:rsidR="00B37E1F" w:rsidRPr="004569A5" w:rsidRDefault="00B37E1F" w:rsidP="002431B5">
            <w:pPr>
              <w:spacing w:before="0" w:after="0"/>
              <w:rPr>
                <w:szCs w:val="24"/>
              </w:rPr>
            </w:pPr>
            <w:r w:rsidRPr="004569A5">
              <w:rPr>
                <w:szCs w:val="24"/>
              </w:rPr>
              <w:t>Любой компонент донорской крови</w:t>
            </w:r>
          </w:p>
        </w:tc>
        <w:tc>
          <w:tcPr>
            <w:tcW w:w="8270" w:type="dxa"/>
            <w:shd w:val="clear" w:color="auto" w:fill="auto"/>
          </w:tcPr>
          <w:p w14:paraId="1BDFAEFC" w14:textId="20C0594A"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и 2 мл клемастина гидрофумарата 1 мг/мл (либо 1 мл дифенгидрамина</w:t>
            </w:r>
            <w:r w:rsidR="001F07E9" w:rsidRPr="001F07E9">
              <w:rPr>
                <w:szCs w:val="24"/>
              </w:rPr>
              <w:t>**</w:t>
            </w:r>
            <w:r w:rsidRPr="004569A5">
              <w:rPr>
                <w:szCs w:val="24"/>
              </w:rPr>
              <w:t xml:space="preserve"> 10 мг/мл, либо 1 мл хлоропирамина</w:t>
            </w:r>
            <w:r w:rsidR="001F07E9" w:rsidRPr="001F07E9">
              <w:rPr>
                <w:szCs w:val="24"/>
              </w:rPr>
              <w:t>**</w:t>
            </w:r>
            <w:r w:rsidRPr="004569A5">
              <w:rPr>
                <w:szCs w:val="24"/>
              </w:rPr>
              <w:t xml:space="preserve"> 20 мг/мл) в 100 мл 0,9% раствора NaC</w:t>
            </w:r>
            <w:r w:rsidRPr="004569A5">
              <w:rPr>
                <w:szCs w:val="24"/>
                <w:lang w:val="en-US"/>
              </w:rPr>
              <w:t>l</w:t>
            </w:r>
            <w:r w:rsidRPr="004569A5">
              <w:rPr>
                <w:szCs w:val="24"/>
              </w:rPr>
              <w:t xml:space="preserve"> в/в капельно.</w:t>
            </w:r>
          </w:p>
          <w:p w14:paraId="6F48B1D1" w14:textId="77777777" w:rsidR="00B37E1F" w:rsidRPr="004569A5" w:rsidRDefault="00B37E1F" w:rsidP="002431B5">
            <w:pPr>
              <w:pStyle w:val="a6"/>
              <w:spacing w:before="0" w:after="0"/>
              <w:ind w:left="0"/>
              <w:rPr>
                <w:szCs w:val="24"/>
              </w:rPr>
            </w:pPr>
            <w:r w:rsidRPr="004569A5">
              <w:rPr>
                <w:szCs w:val="24"/>
              </w:rPr>
              <w:t>Возможно разовое применение глюкокортикостероидов** (</w:t>
            </w:r>
            <w:r w:rsidRPr="004569A5">
              <w:rPr>
                <w:szCs w:val="24"/>
                <w:shd w:val="clear" w:color="auto" w:fill="FFFFFF"/>
              </w:rPr>
              <w:t>следует </w:t>
            </w:r>
            <w:r w:rsidRPr="004569A5">
              <w:rPr>
                <w:rStyle w:val="a5"/>
                <w:szCs w:val="24"/>
                <w:shd w:val="clear" w:color="auto" w:fill="FFFFFF"/>
              </w:rPr>
              <w:t>соотнести</w:t>
            </w:r>
            <w:r w:rsidRPr="004569A5">
              <w:rPr>
                <w:szCs w:val="24"/>
                <w:shd w:val="clear" w:color="auto" w:fill="FFFFFF"/>
              </w:rPr>
              <w:t> потенциальные </w:t>
            </w:r>
            <w:r w:rsidRPr="004569A5">
              <w:rPr>
                <w:rStyle w:val="a5"/>
                <w:szCs w:val="24"/>
                <w:shd w:val="clear" w:color="auto" w:fill="FFFFFF"/>
              </w:rPr>
              <w:t>риски</w:t>
            </w:r>
            <w:r w:rsidRPr="004569A5">
              <w:rPr>
                <w:szCs w:val="24"/>
                <w:shd w:val="clear" w:color="auto" w:fill="FFFFFF"/>
              </w:rPr>
              <w:t> и ожидаемую </w:t>
            </w:r>
            <w:r w:rsidRPr="004569A5">
              <w:rPr>
                <w:rStyle w:val="a5"/>
                <w:szCs w:val="24"/>
                <w:shd w:val="clear" w:color="auto" w:fill="FFFFFF"/>
              </w:rPr>
              <w:t>пользу</w:t>
            </w:r>
            <w:r w:rsidRPr="004569A5">
              <w:rPr>
                <w:szCs w:val="24"/>
              </w:rPr>
              <w:t>).</w:t>
            </w:r>
          </w:p>
          <w:p w14:paraId="52DA8893" w14:textId="77777777" w:rsidR="00B37E1F" w:rsidRPr="004569A5" w:rsidRDefault="00B37E1F" w:rsidP="002431B5">
            <w:pPr>
              <w:spacing w:before="0" w:after="0"/>
              <w:rPr>
                <w:szCs w:val="24"/>
              </w:rPr>
            </w:pPr>
            <w:r w:rsidRPr="004569A5">
              <w:rPr>
                <w:szCs w:val="24"/>
              </w:rPr>
              <w:t>Уменьшение скорости трансфузии.</w:t>
            </w:r>
          </w:p>
        </w:tc>
      </w:tr>
      <w:tr w:rsidR="00B37E1F" w:rsidRPr="004569A5" w14:paraId="143CD237" w14:textId="77777777" w:rsidTr="00B37E1F">
        <w:tc>
          <w:tcPr>
            <w:tcW w:w="14560" w:type="dxa"/>
            <w:gridSpan w:val="3"/>
            <w:shd w:val="clear" w:color="auto" w:fill="auto"/>
          </w:tcPr>
          <w:p w14:paraId="00CB59B3" w14:textId="77777777" w:rsidR="00B37E1F" w:rsidRPr="004569A5" w:rsidRDefault="00B37E1F" w:rsidP="008F161A">
            <w:pPr>
              <w:pStyle w:val="a6"/>
              <w:numPr>
                <w:ilvl w:val="0"/>
                <w:numId w:val="94"/>
              </w:numPr>
              <w:spacing w:before="0" w:after="0"/>
              <w:ind w:left="0" w:firstLine="0"/>
              <w:rPr>
                <w:b/>
                <w:bCs/>
                <w:szCs w:val="24"/>
              </w:rPr>
            </w:pPr>
            <w:r w:rsidRPr="004569A5">
              <w:rPr>
                <w:b/>
                <w:bCs/>
                <w:szCs w:val="24"/>
              </w:rPr>
              <w:t>Однократная гипертермическая фебрильная негемолитическая реакция (ФНР) в анамнезе</w:t>
            </w:r>
          </w:p>
        </w:tc>
      </w:tr>
      <w:tr w:rsidR="00B37E1F" w:rsidRPr="004569A5" w14:paraId="5443268A" w14:textId="77777777" w:rsidTr="00B37E1F">
        <w:tc>
          <w:tcPr>
            <w:tcW w:w="3208" w:type="dxa"/>
            <w:shd w:val="clear" w:color="auto" w:fill="auto"/>
          </w:tcPr>
          <w:p w14:paraId="7C594592" w14:textId="77777777" w:rsidR="00B37E1F" w:rsidRPr="004569A5" w:rsidRDefault="00B37E1F" w:rsidP="008F161A">
            <w:pPr>
              <w:pStyle w:val="a6"/>
              <w:numPr>
                <w:ilvl w:val="0"/>
                <w:numId w:val="89"/>
              </w:numPr>
              <w:spacing w:before="0" w:after="0"/>
              <w:ind w:left="0" w:firstLine="0"/>
              <w:rPr>
                <w:szCs w:val="24"/>
              </w:rPr>
            </w:pPr>
            <w:r w:rsidRPr="004569A5">
              <w:rPr>
                <w:szCs w:val="24"/>
              </w:rPr>
              <w:t>Однократная ФНР в анамнезе</w:t>
            </w:r>
          </w:p>
        </w:tc>
        <w:tc>
          <w:tcPr>
            <w:tcW w:w="3082" w:type="dxa"/>
            <w:shd w:val="clear" w:color="auto" w:fill="auto"/>
          </w:tcPr>
          <w:p w14:paraId="07CEE339" w14:textId="77777777" w:rsidR="00B37E1F" w:rsidRPr="004569A5" w:rsidRDefault="00B37E1F" w:rsidP="002431B5">
            <w:pPr>
              <w:spacing w:before="0" w:after="0"/>
              <w:rPr>
                <w:szCs w:val="24"/>
              </w:rPr>
            </w:pPr>
            <w:r w:rsidRPr="004569A5">
              <w:rPr>
                <w:szCs w:val="24"/>
              </w:rPr>
              <w:t>Любой компонент донорской крови</w:t>
            </w:r>
          </w:p>
        </w:tc>
        <w:tc>
          <w:tcPr>
            <w:tcW w:w="8270" w:type="dxa"/>
            <w:shd w:val="clear" w:color="auto" w:fill="auto"/>
          </w:tcPr>
          <w:p w14:paraId="26EFB017" w14:textId="3B12D66D"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07E02FBC" w14:textId="77777777" w:rsidTr="00B37E1F">
        <w:tc>
          <w:tcPr>
            <w:tcW w:w="14560" w:type="dxa"/>
            <w:gridSpan w:val="3"/>
            <w:shd w:val="clear" w:color="auto" w:fill="auto"/>
          </w:tcPr>
          <w:p w14:paraId="2F2A6136" w14:textId="77777777" w:rsidR="00B37E1F" w:rsidRPr="004569A5" w:rsidRDefault="00B37E1F" w:rsidP="008F161A">
            <w:pPr>
              <w:pStyle w:val="a6"/>
              <w:numPr>
                <w:ilvl w:val="0"/>
                <w:numId w:val="94"/>
              </w:numPr>
              <w:spacing w:before="0" w:after="0"/>
              <w:ind w:left="0" w:firstLine="0"/>
              <w:rPr>
                <w:b/>
                <w:bCs/>
                <w:szCs w:val="24"/>
              </w:rPr>
            </w:pPr>
            <w:r w:rsidRPr="004569A5">
              <w:rPr>
                <w:b/>
                <w:bCs/>
                <w:szCs w:val="24"/>
              </w:rPr>
              <w:t>Многократные (≥2) гипертермические фебрильные негемолитические реакции (ФНР) в анамнезе</w:t>
            </w:r>
          </w:p>
        </w:tc>
      </w:tr>
      <w:tr w:rsidR="00B37E1F" w:rsidRPr="004569A5" w14:paraId="615554BB" w14:textId="77777777" w:rsidTr="00B37E1F">
        <w:tc>
          <w:tcPr>
            <w:tcW w:w="3208" w:type="dxa"/>
            <w:vMerge w:val="restart"/>
            <w:shd w:val="clear" w:color="auto" w:fill="auto"/>
          </w:tcPr>
          <w:p w14:paraId="3E93EDFA" w14:textId="77777777" w:rsidR="00B37E1F" w:rsidRPr="004569A5" w:rsidRDefault="00B37E1F" w:rsidP="008F161A">
            <w:pPr>
              <w:pStyle w:val="a6"/>
              <w:numPr>
                <w:ilvl w:val="0"/>
                <w:numId w:val="91"/>
              </w:numPr>
              <w:spacing w:before="0" w:after="0"/>
              <w:ind w:left="0" w:firstLine="0"/>
              <w:rPr>
                <w:szCs w:val="24"/>
              </w:rPr>
            </w:pPr>
            <w:r w:rsidRPr="004569A5">
              <w:rPr>
                <w:szCs w:val="24"/>
              </w:rPr>
              <w:t>Протекающие без потрясающего озноба</w:t>
            </w:r>
          </w:p>
        </w:tc>
        <w:tc>
          <w:tcPr>
            <w:tcW w:w="3082" w:type="dxa"/>
            <w:shd w:val="clear" w:color="auto" w:fill="auto"/>
          </w:tcPr>
          <w:p w14:paraId="4C1D6FE1" w14:textId="77777777" w:rsidR="00B37E1F" w:rsidRPr="004569A5" w:rsidRDefault="00B37E1F" w:rsidP="002431B5">
            <w:pPr>
              <w:spacing w:before="0" w:after="0"/>
              <w:rPr>
                <w:szCs w:val="24"/>
              </w:rPr>
            </w:pPr>
            <w:r w:rsidRPr="004569A5">
              <w:rPr>
                <w:szCs w:val="24"/>
              </w:rPr>
              <w:t>Компонент донорской крови, вызвавший реакцию ранее</w:t>
            </w:r>
          </w:p>
        </w:tc>
        <w:tc>
          <w:tcPr>
            <w:tcW w:w="8270" w:type="dxa"/>
            <w:shd w:val="clear" w:color="auto" w:fill="auto"/>
          </w:tcPr>
          <w:p w14:paraId="2059DF56" w14:textId="5CC8BD37"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и 2 мл клемастина гидрофумарата 1 мг/мл (либо 1 мл дифенгидрамина</w:t>
            </w:r>
            <w:r w:rsidR="001F07E9" w:rsidRPr="001F07E9">
              <w:rPr>
                <w:szCs w:val="24"/>
              </w:rPr>
              <w:t>**</w:t>
            </w:r>
            <w:r w:rsidRPr="004569A5">
              <w:rPr>
                <w:szCs w:val="24"/>
              </w:rPr>
              <w:t xml:space="preserve"> 10 мг/мл, либо 1 </w:t>
            </w:r>
            <w:r w:rsidRPr="004569A5">
              <w:rPr>
                <w:szCs w:val="24"/>
              </w:rPr>
              <w:lastRenderedPageBreak/>
              <w:t>мл хлоропирамина</w:t>
            </w:r>
            <w:r w:rsidR="001F07E9" w:rsidRPr="001F07E9">
              <w:rPr>
                <w:szCs w:val="24"/>
              </w:rPr>
              <w:t>**</w:t>
            </w:r>
            <w:r w:rsidRPr="004569A5">
              <w:rPr>
                <w:szCs w:val="24"/>
              </w:rPr>
              <w:t xml:space="preserve"> 20 мг/мл) в 100 мл 0,9% раствора NaC</w:t>
            </w:r>
            <w:r w:rsidRPr="004569A5">
              <w:rPr>
                <w:szCs w:val="24"/>
                <w:lang w:val="en-US"/>
              </w:rPr>
              <w:t>l</w:t>
            </w:r>
            <w:r w:rsidR="001F07E9" w:rsidRPr="001F07E9">
              <w:rPr>
                <w:szCs w:val="24"/>
              </w:rPr>
              <w:t xml:space="preserve">** </w:t>
            </w:r>
            <w:r w:rsidRPr="004569A5">
              <w:rPr>
                <w:szCs w:val="24"/>
              </w:rPr>
              <w:t>в/в капельно.</w:t>
            </w:r>
          </w:p>
          <w:p w14:paraId="32D99C7E" w14:textId="45D293D0" w:rsidR="00B37E1F" w:rsidRPr="004569A5" w:rsidRDefault="00B37E1F" w:rsidP="002431B5">
            <w:pPr>
              <w:spacing w:before="0" w:after="0"/>
              <w:rPr>
                <w:szCs w:val="24"/>
              </w:rPr>
            </w:pPr>
            <w:r w:rsidRPr="004569A5">
              <w:rPr>
                <w:szCs w:val="24"/>
              </w:rPr>
              <w:t>При сохраняющихся ФНР, несмотря на добавление антигистаминных препаратов, дополнительно за 60 минут до трансфузии ввести 250-650 мг парацетамола</w:t>
            </w:r>
            <w:r w:rsidR="001F07E9" w:rsidRPr="001F07E9">
              <w:rPr>
                <w:szCs w:val="24"/>
              </w:rPr>
              <w:t>**</w:t>
            </w:r>
            <w:r w:rsidRPr="004569A5">
              <w:rPr>
                <w:szCs w:val="24"/>
              </w:rPr>
              <w:t xml:space="preserve"> в 250 мл 0,9% раствора NaC</w:t>
            </w:r>
            <w:r w:rsidRPr="004569A5">
              <w:rPr>
                <w:szCs w:val="24"/>
                <w:lang w:val="en-US"/>
              </w:rPr>
              <w:t>l</w:t>
            </w:r>
            <w:r w:rsidR="001F07E9" w:rsidRPr="001F07E9">
              <w:rPr>
                <w:szCs w:val="24"/>
              </w:rPr>
              <w:t>**</w:t>
            </w:r>
            <w:r w:rsidRPr="004569A5">
              <w:rPr>
                <w:szCs w:val="24"/>
              </w:rPr>
              <w:t xml:space="preserve"> в/в капельно (не рекомендовано у пациентов с нейтропенией, глубокой тромбоцитопенией).</w:t>
            </w:r>
          </w:p>
        </w:tc>
      </w:tr>
      <w:tr w:rsidR="00B37E1F" w:rsidRPr="004569A5" w14:paraId="678A0FE2" w14:textId="77777777" w:rsidTr="00B37E1F">
        <w:tc>
          <w:tcPr>
            <w:tcW w:w="3208" w:type="dxa"/>
            <w:vMerge/>
            <w:shd w:val="clear" w:color="auto" w:fill="auto"/>
          </w:tcPr>
          <w:p w14:paraId="21A0644D" w14:textId="77777777" w:rsidR="00B37E1F" w:rsidRPr="004569A5" w:rsidRDefault="00B37E1F" w:rsidP="008F161A">
            <w:pPr>
              <w:pStyle w:val="a6"/>
              <w:numPr>
                <w:ilvl w:val="0"/>
                <w:numId w:val="91"/>
              </w:numPr>
              <w:spacing w:before="0" w:after="0"/>
              <w:ind w:left="0" w:firstLine="0"/>
              <w:rPr>
                <w:szCs w:val="24"/>
              </w:rPr>
            </w:pPr>
          </w:p>
        </w:tc>
        <w:tc>
          <w:tcPr>
            <w:tcW w:w="3082" w:type="dxa"/>
            <w:shd w:val="clear" w:color="auto" w:fill="auto"/>
          </w:tcPr>
          <w:p w14:paraId="213493B3" w14:textId="77777777" w:rsidR="00B37E1F" w:rsidRPr="004569A5" w:rsidRDefault="00B37E1F" w:rsidP="002431B5">
            <w:pPr>
              <w:spacing w:before="0" w:after="0"/>
              <w:rPr>
                <w:szCs w:val="24"/>
              </w:rPr>
            </w:pPr>
            <w:r w:rsidRPr="004569A5">
              <w:rPr>
                <w:szCs w:val="24"/>
              </w:rPr>
              <w:t>Другие компоненты донорской крови (не вызывавшие реакции ранее)</w:t>
            </w:r>
          </w:p>
        </w:tc>
        <w:tc>
          <w:tcPr>
            <w:tcW w:w="8270" w:type="dxa"/>
            <w:shd w:val="clear" w:color="auto" w:fill="auto"/>
          </w:tcPr>
          <w:p w14:paraId="7912F691" w14:textId="69786605"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4C177697" w14:textId="77777777" w:rsidTr="00B37E1F">
        <w:tc>
          <w:tcPr>
            <w:tcW w:w="3208" w:type="dxa"/>
            <w:vMerge w:val="restart"/>
            <w:shd w:val="clear" w:color="auto" w:fill="auto"/>
          </w:tcPr>
          <w:p w14:paraId="36905101" w14:textId="77777777" w:rsidR="00B37E1F" w:rsidRPr="004569A5" w:rsidRDefault="00B37E1F" w:rsidP="008F161A">
            <w:pPr>
              <w:pStyle w:val="a6"/>
              <w:numPr>
                <w:ilvl w:val="0"/>
                <w:numId w:val="91"/>
              </w:numPr>
              <w:spacing w:before="0" w:after="0"/>
              <w:ind w:left="0" w:firstLine="0"/>
              <w:rPr>
                <w:szCs w:val="24"/>
              </w:rPr>
            </w:pPr>
            <w:r w:rsidRPr="004569A5">
              <w:rPr>
                <w:szCs w:val="24"/>
              </w:rPr>
              <w:t>Протекающие с потрясающим ознобом</w:t>
            </w:r>
          </w:p>
        </w:tc>
        <w:tc>
          <w:tcPr>
            <w:tcW w:w="3082" w:type="dxa"/>
            <w:shd w:val="clear" w:color="auto" w:fill="auto"/>
          </w:tcPr>
          <w:p w14:paraId="59806F86" w14:textId="77777777" w:rsidR="00B37E1F" w:rsidRPr="004569A5" w:rsidRDefault="00B37E1F" w:rsidP="002431B5">
            <w:pPr>
              <w:spacing w:before="0" w:after="0"/>
              <w:rPr>
                <w:szCs w:val="24"/>
              </w:rPr>
            </w:pPr>
            <w:r w:rsidRPr="004569A5">
              <w:rPr>
                <w:szCs w:val="24"/>
              </w:rPr>
              <w:t>Компонент донорской крови, вызвавший реакцию ранее</w:t>
            </w:r>
          </w:p>
        </w:tc>
        <w:tc>
          <w:tcPr>
            <w:tcW w:w="8270" w:type="dxa"/>
            <w:shd w:val="clear" w:color="auto" w:fill="auto"/>
          </w:tcPr>
          <w:p w14:paraId="2F43518E" w14:textId="07A5FCEF"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и 2 мл клемастина гидрофумарата 1 мг/мл (либо 1 мл дифенгидрамина</w:t>
            </w:r>
            <w:r w:rsidR="001F07E9" w:rsidRPr="001F07E9">
              <w:rPr>
                <w:szCs w:val="24"/>
              </w:rPr>
              <w:t>**</w:t>
            </w:r>
            <w:r w:rsidRPr="004569A5">
              <w:rPr>
                <w:szCs w:val="24"/>
              </w:rPr>
              <w:t xml:space="preserve"> 10 мг/мл, либо 1 мл хлоропирамина</w:t>
            </w:r>
            <w:r w:rsidR="001F07E9" w:rsidRPr="001F07E9">
              <w:rPr>
                <w:szCs w:val="24"/>
              </w:rPr>
              <w:t>**</w:t>
            </w:r>
            <w:r w:rsidRPr="004569A5">
              <w:rPr>
                <w:szCs w:val="24"/>
              </w:rPr>
              <w:t xml:space="preserve"> 20 мг/мл) в 100 мл 0,9% раствора NaC</w:t>
            </w:r>
            <w:r w:rsidRPr="004569A5">
              <w:rPr>
                <w:szCs w:val="24"/>
                <w:lang w:val="en-US"/>
              </w:rPr>
              <w:t>l</w:t>
            </w:r>
            <w:r w:rsidR="001F07E9" w:rsidRPr="001F07E9">
              <w:rPr>
                <w:szCs w:val="24"/>
              </w:rPr>
              <w:t>**</w:t>
            </w:r>
            <w:r w:rsidRPr="004569A5">
              <w:rPr>
                <w:szCs w:val="24"/>
              </w:rPr>
              <w:t xml:space="preserve"> в/в капельно. В случае сохранения тяжелых реакций возможно дополнительное введение 0,5-1 мл 2% </w:t>
            </w:r>
            <w:r w:rsidR="001F07E9">
              <w:rPr>
                <w:szCs w:val="24"/>
              </w:rPr>
              <w:t>тримепиридина</w:t>
            </w:r>
            <w:r w:rsidR="001F07E9" w:rsidRPr="001F07E9">
              <w:rPr>
                <w:szCs w:val="24"/>
              </w:rPr>
              <w:t>**</w:t>
            </w:r>
            <w:r w:rsidRPr="004569A5">
              <w:rPr>
                <w:szCs w:val="24"/>
              </w:rPr>
              <w:t xml:space="preserve"> в 100 мл 0,9% </w:t>
            </w:r>
            <w:r w:rsidRPr="004569A5">
              <w:rPr>
                <w:szCs w:val="24"/>
              </w:rPr>
              <w:lastRenderedPageBreak/>
              <w:t>раствора NaC</w:t>
            </w:r>
            <w:r w:rsidRPr="004569A5">
              <w:rPr>
                <w:szCs w:val="24"/>
                <w:lang w:val="en-US"/>
              </w:rPr>
              <w:t>l</w:t>
            </w:r>
            <w:r w:rsidRPr="004569A5">
              <w:rPr>
                <w:szCs w:val="24"/>
              </w:rPr>
              <w:t xml:space="preserve"> в/в капельно (до или параллельно с трансфузией).</w:t>
            </w:r>
          </w:p>
          <w:p w14:paraId="449C8150" w14:textId="0DCB68D1" w:rsidR="00B37E1F" w:rsidRPr="004569A5" w:rsidRDefault="00B37E1F" w:rsidP="002431B5">
            <w:pPr>
              <w:pStyle w:val="a6"/>
              <w:spacing w:before="0" w:after="0"/>
              <w:ind w:left="0"/>
              <w:rPr>
                <w:szCs w:val="24"/>
              </w:rPr>
            </w:pPr>
            <w:r w:rsidRPr="004569A5">
              <w:rPr>
                <w:szCs w:val="24"/>
              </w:rPr>
              <w:t>Возможно разовое применение глюкокортикостероидов**</w:t>
            </w:r>
            <w:r w:rsidR="001F07E9" w:rsidRPr="001F07E9">
              <w:rPr>
                <w:szCs w:val="24"/>
              </w:rPr>
              <w:t xml:space="preserve">* </w:t>
            </w:r>
            <w:r w:rsidRPr="004569A5">
              <w:rPr>
                <w:szCs w:val="24"/>
              </w:rPr>
              <w:t>(</w:t>
            </w:r>
            <w:r w:rsidRPr="004569A5">
              <w:rPr>
                <w:szCs w:val="24"/>
                <w:shd w:val="clear" w:color="auto" w:fill="FFFFFF"/>
              </w:rPr>
              <w:t>следует </w:t>
            </w:r>
            <w:r w:rsidRPr="004569A5">
              <w:rPr>
                <w:rStyle w:val="a5"/>
                <w:szCs w:val="24"/>
                <w:shd w:val="clear" w:color="auto" w:fill="FFFFFF"/>
              </w:rPr>
              <w:t>соотнести</w:t>
            </w:r>
            <w:r w:rsidRPr="004569A5">
              <w:rPr>
                <w:szCs w:val="24"/>
                <w:shd w:val="clear" w:color="auto" w:fill="FFFFFF"/>
              </w:rPr>
              <w:t> потенциальные </w:t>
            </w:r>
            <w:r w:rsidRPr="004569A5">
              <w:rPr>
                <w:rStyle w:val="a5"/>
                <w:szCs w:val="24"/>
                <w:shd w:val="clear" w:color="auto" w:fill="FFFFFF"/>
              </w:rPr>
              <w:t>риски</w:t>
            </w:r>
            <w:r w:rsidRPr="004569A5">
              <w:rPr>
                <w:szCs w:val="24"/>
                <w:shd w:val="clear" w:color="auto" w:fill="FFFFFF"/>
              </w:rPr>
              <w:t> и ожидаемую </w:t>
            </w:r>
            <w:r w:rsidRPr="004569A5">
              <w:rPr>
                <w:rStyle w:val="a5"/>
                <w:szCs w:val="24"/>
                <w:shd w:val="clear" w:color="auto" w:fill="FFFFFF"/>
              </w:rPr>
              <w:t>пользу</w:t>
            </w:r>
            <w:r w:rsidRPr="004569A5">
              <w:rPr>
                <w:szCs w:val="24"/>
              </w:rPr>
              <w:t>).</w:t>
            </w:r>
          </w:p>
          <w:p w14:paraId="4319B3E7" w14:textId="77777777" w:rsidR="00B37E1F" w:rsidRPr="004569A5" w:rsidRDefault="00B37E1F" w:rsidP="002431B5">
            <w:pPr>
              <w:spacing w:before="0" w:after="0"/>
              <w:rPr>
                <w:szCs w:val="24"/>
              </w:rPr>
            </w:pPr>
            <w:r w:rsidRPr="004569A5">
              <w:rPr>
                <w:szCs w:val="24"/>
              </w:rPr>
              <w:t>Уменьшение скорости трансфузии.</w:t>
            </w:r>
          </w:p>
        </w:tc>
      </w:tr>
      <w:tr w:rsidR="00B37E1F" w:rsidRPr="004569A5" w14:paraId="4A4725DC" w14:textId="77777777" w:rsidTr="00B37E1F">
        <w:tc>
          <w:tcPr>
            <w:tcW w:w="3208" w:type="dxa"/>
            <w:vMerge/>
            <w:shd w:val="clear" w:color="auto" w:fill="auto"/>
          </w:tcPr>
          <w:p w14:paraId="3B2D583F" w14:textId="77777777" w:rsidR="00B37E1F" w:rsidRPr="004569A5" w:rsidRDefault="00B37E1F" w:rsidP="008F161A">
            <w:pPr>
              <w:pStyle w:val="a6"/>
              <w:numPr>
                <w:ilvl w:val="0"/>
                <w:numId w:val="91"/>
              </w:numPr>
              <w:spacing w:before="0" w:after="0"/>
              <w:ind w:left="0" w:firstLine="0"/>
              <w:rPr>
                <w:szCs w:val="24"/>
              </w:rPr>
            </w:pPr>
          </w:p>
        </w:tc>
        <w:tc>
          <w:tcPr>
            <w:tcW w:w="3082" w:type="dxa"/>
            <w:shd w:val="clear" w:color="auto" w:fill="auto"/>
          </w:tcPr>
          <w:p w14:paraId="559F371C" w14:textId="77777777" w:rsidR="00B37E1F" w:rsidRPr="004569A5" w:rsidRDefault="00B37E1F" w:rsidP="002431B5">
            <w:pPr>
              <w:spacing w:before="0" w:after="0"/>
              <w:rPr>
                <w:szCs w:val="24"/>
              </w:rPr>
            </w:pPr>
            <w:r w:rsidRPr="004569A5">
              <w:rPr>
                <w:szCs w:val="24"/>
              </w:rPr>
              <w:t>Другие компоненты донорской крови (не вызывавшие реакции ранее)</w:t>
            </w:r>
          </w:p>
        </w:tc>
        <w:tc>
          <w:tcPr>
            <w:tcW w:w="8270" w:type="dxa"/>
            <w:shd w:val="clear" w:color="auto" w:fill="auto"/>
          </w:tcPr>
          <w:p w14:paraId="58121F49" w14:textId="0AC16C25"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и 2 мл клемастина гидрофумарата 1 мг/мл (либо 1 мл дифенгидрамина</w:t>
            </w:r>
            <w:r w:rsidR="001F07E9" w:rsidRPr="001F07E9">
              <w:rPr>
                <w:szCs w:val="24"/>
              </w:rPr>
              <w:t>**</w:t>
            </w:r>
            <w:r w:rsidRPr="004569A5">
              <w:rPr>
                <w:szCs w:val="24"/>
              </w:rPr>
              <w:t xml:space="preserve"> 10 мг/мл, либо 1 мл хлоропирамина</w:t>
            </w:r>
            <w:r w:rsidR="001F07E9" w:rsidRPr="001F07E9">
              <w:rPr>
                <w:szCs w:val="24"/>
              </w:rPr>
              <w:t>**</w:t>
            </w:r>
            <w:r w:rsidRPr="004569A5">
              <w:rPr>
                <w:szCs w:val="24"/>
              </w:rPr>
              <w:t xml:space="preserve"> 20 мг/мл)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554ED0B3" w14:textId="77777777" w:rsidTr="00B37E1F">
        <w:tc>
          <w:tcPr>
            <w:tcW w:w="14560" w:type="dxa"/>
            <w:gridSpan w:val="3"/>
            <w:shd w:val="clear" w:color="auto" w:fill="auto"/>
          </w:tcPr>
          <w:p w14:paraId="268449CE" w14:textId="77777777" w:rsidR="00B37E1F" w:rsidRPr="004569A5" w:rsidRDefault="00B37E1F" w:rsidP="008F161A">
            <w:pPr>
              <w:pStyle w:val="a6"/>
              <w:numPr>
                <w:ilvl w:val="0"/>
                <w:numId w:val="94"/>
              </w:numPr>
              <w:spacing w:before="0" w:after="0"/>
              <w:ind w:left="0" w:firstLine="0"/>
              <w:rPr>
                <w:b/>
                <w:bCs/>
                <w:szCs w:val="24"/>
              </w:rPr>
            </w:pPr>
            <w:r w:rsidRPr="004569A5">
              <w:rPr>
                <w:b/>
                <w:bCs/>
                <w:szCs w:val="24"/>
              </w:rPr>
              <w:t>Отсроченная серологическая трансфузионная реакция:</w:t>
            </w:r>
          </w:p>
          <w:p w14:paraId="3C10385B" w14:textId="77777777" w:rsidR="00B37E1F" w:rsidRPr="004569A5" w:rsidRDefault="00B37E1F" w:rsidP="002431B5">
            <w:pPr>
              <w:spacing w:before="0" w:after="0"/>
              <w:rPr>
                <w:b/>
                <w:bCs/>
                <w:szCs w:val="24"/>
              </w:rPr>
            </w:pPr>
            <w:r w:rsidRPr="004569A5">
              <w:rPr>
                <w:szCs w:val="24"/>
              </w:rPr>
              <w:t>установленное наличие антиэритроцитарных антител: положительная непрямая проба Кумбса при определении индивидуальной совместимости крови донора и реципиента в лаборатории иммуногематологии или если таковая не проводилась, ЛИБО предполагаемое - при эритроцитарном химеризме</w:t>
            </w:r>
          </w:p>
        </w:tc>
      </w:tr>
      <w:tr w:rsidR="00B37E1F" w:rsidRPr="004569A5" w14:paraId="29E98BCF" w14:textId="77777777" w:rsidTr="00B37E1F">
        <w:tc>
          <w:tcPr>
            <w:tcW w:w="3208" w:type="dxa"/>
            <w:shd w:val="clear" w:color="auto" w:fill="auto"/>
          </w:tcPr>
          <w:p w14:paraId="4BA95478" w14:textId="77777777" w:rsidR="00B37E1F" w:rsidRPr="004569A5" w:rsidRDefault="00B37E1F" w:rsidP="002431B5">
            <w:pPr>
              <w:spacing w:before="0" w:after="0"/>
              <w:rPr>
                <w:szCs w:val="24"/>
              </w:rPr>
            </w:pPr>
            <w:r w:rsidRPr="004569A5">
              <w:rPr>
                <w:szCs w:val="24"/>
              </w:rPr>
              <w:t xml:space="preserve">Отсроченная серологическая трансфузионная реакция </w:t>
            </w:r>
          </w:p>
        </w:tc>
        <w:tc>
          <w:tcPr>
            <w:tcW w:w="3082" w:type="dxa"/>
            <w:shd w:val="clear" w:color="auto" w:fill="auto"/>
          </w:tcPr>
          <w:p w14:paraId="3A1A5995" w14:textId="77777777" w:rsidR="00B37E1F" w:rsidRPr="004569A5" w:rsidRDefault="00B37E1F" w:rsidP="002431B5">
            <w:pPr>
              <w:spacing w:before="0" w:after="0"/>
              <w:rPr>
                <w:szCs w:val="24"/>
              </w:rPr>
            </w:pPr>
            <w:r w:rsidRPr="004569A5">
              <w:rPr>
                <w:szCs w:val="24"/>
              </w:rPr>
              <w:t>Любой компонент донорской крови</w:t>
            </w:r>
          </w:p>
        </w:tc>
        <w:tc>
          <w:tcPr>
            <w:tcW w:w="8270" w:type="dxa"/>
            <w:shd w:val="clear" w:color="auto" w:fill="auto"/>
          </w:tcPr>
          <w:p w14:paraId="1FEB88BD" w14:textId="398E23A1"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0474AA10" w14:textId="77777777" w:rsidTr="00B37E1F">
        <w:tc>
          <w:tcPr>
            <w:tcW w:w="14560" w:type="dxa"/>
            <w:gridSpan w:val="3"/>
            <w:shd w:val="clear" w:color="auto" w:fill="auto"/>
          </w:tcPr>
          <w:p w14:paraId="7FA5532C" w14:textId="77777777" w:rsidR="00B37E1F" w:rsidRPr="004569A5" w:rsidRDefault="00B37E1F" w:rsidP="008F161A">
            <w:pPr>
              <w:pStyle w:val="a6"/>
              <w:numPr>
                <w:ilvl w:val="0"/>
                <w:numId w:val="94"/>
              </w:numPr>
              <w:spacing w:before="0" w:after="0"/>
              <w:ind w:left="0" w:firstLine="0"/>
              <w:rPr>
                <w:b/>
                <w:bCs/>
                <w:szCs w:val="24"/>
              </w:rPr>
            </w:pPr>
            <w:r w:rsidRPr="004569A5">
              <w:rPr>
                <w:b/>
                <w:bCs/>
                <w:szCs w:val="24"/>
              </w:rPr>
              <w:t>Острый или отсроченный иммунный гемолиз</w:t>
            </w:r>
          </w:p>
        </w:tc>
      </w:tr>
      <w:tr w:rsidR="00B37E1F" w:rsidRPr="004569A5" w14:paraId="70AFC707" w14:textId="77777777" w:rsidTr="00B37E1F">
        <w:tc>
          <w:tcPr>
            <w:tcW w:w="3208" w:type="dxa"/>
            <w:shd w:val="clear" w:color="auto" w:fill="auto"/>
          </w:tcPr>
          <w:p w14:paraId="0AACCAA8" w14:textId="77777777" w:rsidR="00B37E1F" w:rsidRPr="004569A5" w:rsidRDefault="00B37E1F" w:rsidP="008F161A">
            <w:pPr>
              <w:pStyle w:val="a6"/>
              <w:numPr>
                <w:ilvl w:val="0"/>
                <w:numId w:val="92"/>
              </w:numPr>
              <w:spacing w:before="0" w:after="0"/>
              <w:ind w:left="0" w:firstLine="0"/>
              <w:rPr>
                <w:szCs w:val="24"/>
              </w:rPr>
            </w:pPr>
            <w:r w:rsidRPr="004569A5">
              <w:rPr>
                <w:szCs w:val="24"/>
              </w:rPr>
              <w:lastRenderedPageBreak/>
              <w:t>Гемолиз в анамнезе (клинических признаков гемолиза в настоящее время нет)</w:t>
            </w:r>
          </w:p>
        </w:tc>
        <w:tc>
          <w:tcPr>
            <w:tcW w:w="3082" w:type="dxa"/>
            <w:shd w:val="clear" w:color="auto" w:fill="auto"/>
          </w:tcPr>
          <w:p w14:paraId="21E75444" w14:textId="77777777" w:rsidR="00B37E1F" w:rsidRPr="004569A5" w:rsidRDefault="00B37E1F" w:rsidP="002431B5">
            <w:pPr>
              <w:spacing w:before="0" w:after="0"/>
              <w:rPr>
                <w:szCs w:val="24"/>
              </w:rPr>
            </w:pPr>
            <w:r w:rsidRPr="004569A5">
              <w:rPr>
                <w:szCs w:val="24"/>
              </w:rPr>
              <w:t>Любой компонент донорской крови</w:t>
            </w:r>
          </w:p>
        </w:tc>
        <w:tc>
          <w:tcPr>
            <w:tcW w:w="8270" w:type="dxa"/>
            <w:shd w:val="clear" w:color="auto" w:fill="auto"/>
          </w:tcPr>
          <w:p w14:paraId="42988840" w14:textId="263D6B5E"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133E270D" w14:textId="77777777" w:rsidTr="00B37E1F">
        <w:tc>
          <w:tcPr>
            <w:tcW w:w="3208" w:type="dxa"/>
            <w:vMerge w:val="restart"/>
            <w:shd w:val="clear" w:color="auto" w:fill="auto"/>
          </w:tcPr>
          <w:p w14:paraId="22735832" w14:textId="77777777" w:rsidR="00B37E1F" w:rsidRPr="004569A5" w:rsidRDefault="00B37E1F" w:rsidP="008F161A">
            <w:pPr>
              <w:pStyle w:val="a6"/>
              <w:numPr>
                <w:ilvl w:val="0"/>
                <w:numId w:val="92"/>
              </w:numPr>
              <w:spacing w:before="0" w:after="0"/>
              <w:ind w:left="0" w:firstLine="0"/>
              <w:rPr>
                <w:szCs w:val="24"/>
              </w:rPr>
            </w:pPr>
            <w:r w:rsidRPr="004569A5">
              <w:rPr>
                <w:szCs w:val="24"/>
              </w:rPr>
              <w:t>Активный гемолиз (признаки гемолиза сохраняются)</w:t>
            </w:r>
          </w:p>
        </w:tc>
        <w:tc>
          <w:tcPr>
            <w:tcW w:w="3082" w:type="dxa"/>
            <w:shd w:val="clear" w:color="auto" w:fill="auto"/>
          </w:tcPr>
          <w:p w14:paraId="3E0B4B5C" w14:textId="77777777" w:rsidR="00B37E1F" w:rsidRPr="004569A5" w:rsidRDefault="00B37E1F" w:rsidP="002431B5">
            <w:pPr>
              <w:spacing w:before="0" w:after="0"/>
              <w:rPr>
                <w:szCs w:val="24"/>
              </w:rPr>
            </w:pPr>
            <w:r w:rsidRPr="004569A5">
              <w:rPr>
                <w:szCs w:val="24"/>
              </w:rPr>
              <w:t>Эритроцитсодержащие компоненты донорской крови</w:t>
            </w:r>
          </w:p>
        </w:tc>
        <w:tc>
          <w:tcPr>
            <w:tcW w:w="8270" w:type="dxa"/>
            <w:shd w:val="clear" w:color="auto" w:fill="auto"/>
          </w:tcPr>
          <w:p w14:paraId="5256D00D" w14:textId="3492BC16"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250-500 мл 0,9% раствора NaC</w:t>
            </w:r>
            <w:r w:rsidRPr="004569A5">
              <w:rPr>
                <w:szCs w:val="24"/>
                <w:lang w:val="en-US"/>
              </w:rPr>
              <w:t>l</w:t>
            </w:r>
            <w:r w:rsidR="001F07E9" w:rsidRPr="001F07E9">
              <w:rPr>
                <w:szCs w:val="24"/>
              </w:rPr>
              <w:t>**</w:t>
            </w:r>
            <w:r w:rsidRPr="004569A5">
              <w:rPr>
                <w:szCs w:val="24"/>
              </w:rPr>
              <w:t xml:space="preserve"> в/в капельно.</w:t>
            </w:r>
          </w:p>
          <w:p w14:paraId="67787570" w14:textId="6CB0ED21" w:rsidR="00B37E1F" w:rsidRPr="004569A5" w:rsidRDefault="00B37E1F" w:rsidP="002431B5">
            <w:pPr>
              <w:spacing w:before="0" w:after="0"/>
              <w:rPr>
                <w:szCs w:val="24"/>
              </w:rPr>
            </w:pPr>
            <w:r w:rsidRPr="004569A5">
              <w:rPr>
                <w:szCs w:val="24"/>
              </w:rPr>
              <w:t>При высоком риске дальнейшего усиления иммунного гемолиза следует индивидуально рассмотреть возможность введения глюкокортикостероидов**</w:t>
            </w:r>
            <w:r w:rsidR="001F07E9" w:rsidRPr="001F07E9">
              <w:rPr>
                <w:szCs w:val="24"/>
              </w:rPr>
              <w:t>*</w:t>
            </w:r>
            <w:r w:rsidRPr="004569A5">
              <w:rPr>
                <w:szCs w:val="24"/>
              </w:rPr>
              <w:t>, ритуксимаба</w:t>
            </w:r>
            <w:r w:rsidR="001F07E9" w:rsidRPr="001F07E9">
              <w:rPr>
                <w:szCs w:val="24"/>
              </w:rPr>
              <w:t>**</w:t>
            </w:r>
            <w:r w:rsidRPr="004569A5">
              <w:rPr>
                <w:szCs w:val="24"/>
              </w:rPr>
              <w:t>.</w:t>
            </w:r>
          </w:p>
        </w:tc>
      </w:tr>
      <w:tr w:rsidR="00B37E1F" w:rsidRPr="004569A5" w14:paraId="6A422B41" w14:textId="77777777" w:rsidTr="00B37E1F">
        <w:tc>
          <w:tcPr>
            <w:tcW w:w="3208" w:type="dxa"/>
            <w:vMerge/>
            <w:shd w:val="clear" w:color="auto" w:fill="auto"/>
          </w:tcPr>
          <w:p w14:paraId="526CDDA3" w14:textId="77777777" w:rsidR="00B37E1F" w:rsidRPr="004569A5" w:rsidRDefault="00B37E1F" w:rsidP="002431B5">
            <w:pPr>
              <w:spacing w:before="0" w:after="0"/>
              <w:rPr>
                <w:szCs w:val="24"/>
              </w:rPr>
            </w:pPr>
          </w:p>
        </w:tc>
        <w:tc>
          <w:tcPr>
            <w:tcW w:w="3082" w:type="dxa"/>
            <w:shd w:val="clear" w:color="auto" w:fill="auto"/>
          </w:tcPr>
          <w:p w14:paraId="357F8DBB" w14:textId="77777777" w:rsidR="00B37E1F" w:rsidRPr="004569A5" w:rsidRDefault="00B37E1F" w:rsidP="002431B5">
            <w:pPr>
              <w:spacing w:before="0" w:after="0"/>
              <w:rPr>
                <w:szCs w:val="24"/>
              </w:rPr>
            </w:pPr>
            <w:r w:rsidRPr="004569A5">
              <w:rPr>
                <w:szCs w:val="24"/>
              </w:rPr>
              <w:t>Концентрат тромбоцитов, свежезамороженная плазма, криопреципитат, криосупернатант</w:t>
            </w:r>
          </w:p>
        </w:tc>
        <w:tc>
          <w:tcPr>
            <w:tcW w:w="8270" w:type="dxa"/>
            <w:shd w:val="clear" w:color="auto" w:fill="auto"/>
          </w:tcPr>
          <w:p w14:paraId="796D1EC4" w14:textId="71A2A38F"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500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2BB477B1" w14:textId="77777777" w:rsidTr="00B37E1F">
        <w:tc>
          <w:tcPr>
            <w:tcW w:w="14560" w:type="dxa"/>
            <w:gridSpan w:val="3"/>
            <w:shd w:val="clear" w:color="auto" w:fill="auto"/>
          </w:tcPr>
          <w:p w14:paraId="07824597" w14:textId="77777777" w:rsidR="00B37E1F" w:rsidRPr="004569A5" w:rsidRDefault="00B37E1F" w:rsidP="008F161A">
            <w:pPr>
              <w:pStyle w:val="a6"/>
              <w:numPr>
                <w:ilvl w:val="0"/>
                <w:numId w:val="94"/>
              </w:numPr>
              <w:spacing w:before="0" w:after="0"/>
              <w:ind w:left="0" w:firstLine="0"/>
              <w:rPr>
                <w:b/>
                <w:bCs/>
                <w:szCs w:val="24"/>
              </w:rPr>
            </w:pPr>
            <w:r w:rsidRPr="004569A5">
              <w:rPr>
                <w:b/>
                <w:bCs/>
                <w:szCs w:val="24"/>
              </w:rPr>
              <w:t>Посттрансфузионная болезнь «трансплантат против хозяина»</w:t>
            </w:r>
          </w:p>
        </w:tc>
      </w:tr>
      <w:tr w:rsidR="00B37E1F" w:rsidRPr="004569A5" w14:paraId="086E5980" w14:textId="77777777" w:rsidTr="00B37E1F">
        <w:tc>
          <w:tcPr>
            <w:tcW w:w="3208" w:type="dxa"/>
            <w:shd w:val="clear" w:color="auto" w:fill="auto"/>
          </w:tcPr>
          <w:p w14:paraId="45607FDE" w14:textId="77777777" w:rsidR="00B37E1F" w:rsidRPr="004569A5" w:rsidRDefault="00B37E1F" w:rsidP="002431B5">
            <w:pPr>
              <w:spacing w:before="0" w:after="0"/>
              <w:rPr>
                <w:szCs w:val="24"/>
              </w:rPr>
            </w:pPr>
            <w:r w:rsidRPr="004569A5">
              <w:rPr>
                <w:szCs w:val="24"/>
              </w:rPr>
              <w:t xml:space="preserve">Посттрансфузионная болезнь </w:t>
            </w:r>
            <w:r w:rsidRPr="004569A5">
              <w:rPr>
                <w:szCs w:val="24"/>
              </w:rPr>
              <w:lastRenderedPageBreak/>
              <w:t>«трансплантат против хозяина»</w:t>
            </w:r>
          </w:p>
        </w:tc>
        <w:tc>
          <w:tcPr>
            <w:tcW w:w="3082" w:type="dxa"/>
            <w:shd w:val="clear" w:color="auto" w:fill="auto"/>
          </w:tcPr>
          <w:p w14:paraId="221634D4" w14:textId="77777777" w:rsidR="00B37E1F" w:rsidRPr="004569A5" w:rsidRDefault="00B37E1F" w:rsidP="002431B5">
            <w:pPr>
              <w:spacing w:before="0" w:after="0"/>
              <w:rPr>
                <w:szCs w:val="24"/>
              </w:rPr>
            </w:pPr>
            <w:r w:rsidRPr="004569A5">
              <w:rPr>
                <w:szCs w:val="24"/>
              </w:rPr>
              <w:lastRenderedPageBreak/>
              <w:t>Любой компонент донорской крови</w:t>
            </w:r>
          </w:p>
        </w:tc>
        <w:tc>
          <w:tcPr>
            <w:tcW w:w="8270" w:type="dxa"/>
            <w:shd w:val="clear" w:color="auto" w:fill="auto"/>
          </w:tcPr>
          <w:p w14:paraId="48F55FF0" w14:textId="60A92D6B"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3882368A" w14:textId="77777777" w:rsidTr="00B37E1F">
        <w:tc>
          <w:tcPr>
            <w:tcW w:w="14560" w:type="dxa"/>
            <w:gridSpan w:val="3"/>
            <w:shd w:val="clear" w:color="auto" w:fill="auto"/>
          </w:tcPr>
          <w:p w14:paraId="0C6C38C7" w14:textId="77777777" w:rsidR="00B37E1F" w:rsidRPr="004569A5" w:rsidRDefault="00B37E1F" w:rsidP="008F161A">
            <w:pPr>
              <w:pStyle w:val="a6"/>
              <w:numPr>
                <w:ilvl w:val="0"/>
                <w:numId w:val="94"/>
              </w:numPr>
              <w:spacing w:before="0" w:after="0"/>
              <w:ind w:left="0" w:firstLine="0"/>
              <w:rPr>
                <w:b/>
                <w:bCs/>
                <w:szCs w:val="24"/>
              </w:rPr>
            </w:pPr>
            <w:r w:rsidRPr="004569A5">
              <w:rPr>
                <w:b/>
                <w:bCs/>
                <w:szCs w:val="24"/>
              </w:rPr>
              <w:t xml:space="preserve">Посттрансфузионная пурпура: </w:t>
            </w:r>
          </w:p>
          <w:p w14:paraId="2ECAE364" w14:textId="77777777" w:rsidR="00B37E1F" w:rsidRPr="004569A5" w:rsidRDefault="00B37E1F" w:rsidP="002431B5">
            <w:pPr>
              <w:spacing w:before="0" w:after="0"/>
              <w:rPr>
                <w:b/>
                <w:bCs/>
                <w:szCs w:val="24"/>
              </w:rPr>
            </w:pPr>
            <w:r w:rsidRPr="004569A5">
              <w:rPr>
                <w:szCs w:val="24"/>
              </w:rPr>
              <w:t>наличие антилейкоцитарных и (или) специфических антитромбоцитарных антител, рефрактерность к трансфузиям тромбоцитсодержащих сред</w:t>
            </w:r>
          </w:p>
        </w:tc>
      </w:tr>
      <w:tr w:rsidR="00B37E1F" w:rsidRPr="004569A5" w14:paraId="20E66A3D" w14:textId="77777777" w:rsidTr="00B37E1F">
        <w:tc>
          <w:tcPr>
            <w:tcW w:w="3208" w:type="dxa"/>
            <w:vMerge w:val="restart"/>
            <w:shd w:val="clear" w:color="auto" w:fill="auto"/>
          </w:tcPr>
          <w:p w14:paraId="76732359" w14:textId="77777777" w:rsidR="00B37E1F" w:rsidRPr="004569A5" w:rsidRDefault="00B37E1F" w:rsidP="002431B5">
            <w:pPr>
              <w:spacing w:before="0" w:after="0"/>
              <w:rPr>
                <w:szCs w:val="24"/>
              </w:rPr>
            </w:pPr>
            <w:r w:rsidRPr="004569A5">
              <w:rPr>
                <w:szCs w:val="24"/>
              </w:rPr>
              <w:t xml:space="preserve">Посттрансфузионная пурпура </w:t>
            </w:r>
          </w:p>
        </w:tc>
        <w:tc>
          <w:tcPr>
            <w:tcW w:w="3082" w:type="dxa"/>
            <w:shd w:val="clear" w:color="auto" w:fill="auto"/>
          </w:tcPr>
          <w:p w14:paraId="3A1FF7A8" w14:textId="77777777" w:rsidR="00B37E1F" w:rsidRPr="004569A5" w:rsidRDefault="00B37E1F" w:rsidP="002431B5">
            <w:pPr>
              <w:spacing w:before="0" w:after="0"/>
              <w:rPr>
                <w:szCs w:val="24"/>
              </w:rPr>
            </w:pPr>
            <w:r w:rsidRPr="004569A5">
              <w:rPr>
                <w:szCs w:val="24"/>
              </w:rPr>
              <w:t>Индивидуально подобранный концентрат тромбоцитов методом адгезии на твердой фазе / в лимфоцитотоксическом тесте</w:t>
            </w:r>
          </w:p>
        </w:tc>
        <w:tc>
          <w:tcPr>
            <w:tcW w:w="8270" w:type="dxa"/>
            <w:shd w:val="clear" w:color="auto" w:fill="auto"/>
          </w:tcPr>
          <w:p w14:paraId="776CB847" w14:textId="5FB7672F"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и 2 мл клемастина гидрофумарата 1 мг/мл (либо 1 мл дифенгидрамина</w:t>
            </w:r>
            <w:r w:rsidR="001F07E9" w:rsidRPr="001F07E9">
              <w:rPr>
                <w:szCs w:val="24"/>
              </w:rPr>
              <w:t>**</w:t>
            </w:r>
            <w:r w:rsidRPr="004569A5">
              <w:rPr>
                <w:szCs w:val="24"/>
              </w:rPr>
              <w:t xml:space="preserve"> 10 мг/мл, либо 1 мл хлоропирамина</w:t>
            </w:r>
            <w:r w:rsidR="001F07E9" w:rsidRPr="001F07E9">
              <w:rPr>
                <w:szCs w:val="24"/>
              </w:rPr>
              <w:t>**</w:t>
            </w:r>
            <w:r w:rsidRPr="004569A5">
              <w:rPr>
                <w:szCs w:val="24"/>
              </w:rPr>
              <w:t xml:space="preserve"> 20 мг/мл) в 100 мл 0,9% раствора NaC</w:t>
            </w:r>
            <w:r w:rsidRPr="004569A5">
              <w:rPr>
                <w:szCs w:val="24"/>
                <w:lang w:val="en-US"/>
              </w:rPr>
              <w:t>l</w:t>
            </w:r>
            <w:r w:rsidR="001F07E9" w:rsidRPr="001F07E9">
              <w:rPr>
                <w:szCs w:val="24"/>
              </w:rPr>
              <w:t>**</w:t>
            </w:r>
            <w:r w:rsidRPr="004569A5">
              <w:rPr>
                <w:szCs w:val="24"/>
              </w:rPr>
              <w:t xml:space="preserve"> в/в капельно</w:t>
            </w:r>
          </w:p>
        </w:tc>
      </w:tr>
      <w:tr w:rsidR="00B37E1F" w:rsidRPr="004569A5" w14:paraId="15721341" w14:textId="77777777" w:rsidTr="00B37E1F">
        <w:tc>
          <w:tcPr>
            <w:tcW w:w="3208" w:type="dxa"/>
            <w:vMerge/>
            <w:shd w:val="clear" w:color="auto" w:fill="auto"/>
          </w:tcPr>
          <w:p w14:paraId="428675F5" w14:textId="77777777" w:rsidR="00B37E1F" w:rsidRPr="004569A5" w:rsidRDefault="00B37E1F" w:rsidP="002431B5">
            <w:pPr>
              <w:spacing w:before="0" w:after="0"/>
              <w:rPr>
                <w:szCs w:val="24"/>
              </w:rPr>
            </w:pPr>
          </w:p>
        </w:tc>
        <w:tc>
          <w:tcPr>
            <w:tcW w:w="3082" w:type="dxa"/>
            <w:shd w:val="clear" w:color="auto" w:fill="auto"/>
          </w:tcPr>
          <w:p w14:paraId="3B682301" w14:textId="77777777" w:rsidR="00B37E1F" w:rsidRPr="004569A5" w:rsidRDefault="00B37E1F" w:rsidP="002431B5">
            <w:pPr>
              <w:spacing w:before="0" w:after="0"/>
              <w:rPr>
                <w:szCs w:val="24"/>
              </w:rPr>
            </w:pPr>
            <w:r w:rsidRPr="004569A5">
              <w:rPr>
                <w:szCs w:val="24"/>
              </w:rPr>
              <w:t>Концентрат тромбоцитов с невозможностью проведения индивидуального подбора</w:t>
            </w:r>
          </w:p>
        </w:tc>
        <w:tc>
          <w:tcPr>
            <w:tcW w:w="8270" w:type="dxa"/>
            <w:shd w:val="clear" w:color="auto" w:fill="auto"/>
          </w:tcPr>
          <w:p w14:paraId="25139F87" w14:textId="243A27CF"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и 2 мл клемастина гидрофумарата 1 мг/мл (либо 1 мл дифенгидрамина</w:t>
            </w:r>
            <w:r w:rsidR="001F07E9" w:rsidRPr="001F07E9">
              <w:rPr>
                <w:szCs w:val="24"/>
              </w:rPr>
              <w:t>**</w:t>
            </w:r>
            <w:r w:rsidRPr="004569A5">
              <w:rPr>
                <w:szCs w:val="24"/>
              </w:rPr>
              <w:t xml:space="preserve"> 10 мг/мл, либо 1 мл хлоропирамина</w:t>
            </w:r>
            <w:r w:rsidR="001F07E9" w:rsidRPr="001F07E9">
              <w:rPr>
                <w:szCs w:val="24"/>
              </w:rPr>
              <w:t>**</w:t>
            </w:r>
            <w:r w:rsidRPr="004569A5">
              <w:rPr>
                <w:szCs w:val="24"/>
              </w:rPr>
              <w:t xml:space="preserve"> 20 мг/мл) в 100 мл 0,9% раствора NaC</w:t>
            </w:r>
            <w:r w:rsidRPr="004569A5">
              <w:rPr>
                <w:szCs w:val="24"/>
                <w:lang w:val="en-US"/>
              </w:rPr>
              <w:t>l</w:t>
            </w:r>
            <w:r w:rsidR="001F07E9" w:rsidRPr="001F07E9">
              <w:rPr>
                <w:szCs w:val="24"/>
              </w:rPr>
              <w:t>**</w:t>
            </w:r>
            <w:r w:rsidRPr="004569A5">
              <w:rPr>
                <w:szCs w:val="24"/>
              </w:rPr>
              <w:t xml:space="preserve"> в/в капельно.</w:t>
            </w:r>
          </w:p>
          <w:p w14:paraId="7CDBC06D" w14:textId="6615E58C" w:rsidR="00B37E1F" w:rsidRPr="004569A5" w:rsidRDefault="00B37E1F" w:rsidP="002431B5">
            <w:pPr>
              <w:spacing w:before="0" w:after="0"/>
              <w:rPr>
                <w:szCs w:val="24"/>
              </w:rPr>
            </w:pPr>
            <w:r w:rsidRPr="004569A5">
              <w:rPr>
                <w:szCs w:val="24"/>
              </w:rPr>
              <w:t>Индивидуально рассмотреть возможность разового введения глюкокортикостероидов**</w:t>
            </w:r>
            <w:r w:rsidR="001F07E9" w:rsidRPr="001F07E9">
              <w:rPr>
                <w:szCs w:val="24"/>
              </w:rPr>
              <w:t>*</w:t>
            </w:r>
            <w:r w:rsidRPr="004569A5">
              <w:rPr>
                <w:szCs w:val="24"/>
              </w:rPr>
              <w:t xml:space="preserve"> с целью снижения дальнейшей аллоиммунизации и уменьшения выраженности возможной </w:t>
            </w:r>
            <w:r w:rsidRPr="004569A5">
              <w:rPr>
                <w:szCs w:val="24"/>
              </w:rPr>
              <w:lastRenderedPageBreak/>
              <w:t>посттрансфузионной реакции или осложнений на данную трансфузию (</w:t>
            </w:r>
            <w:r w:rsidRPr="004569A5">
              <w:rPr>
                <w:szCs w:val="24"/>
                <w:shd w:val="clear" w:color="auto" w:fill="FFFFFF"/>
              </w:rPr>
              <w:t>следует </w:t>
            </w:r>
            <w:r w:rsidRPr="004569A5">
              <w:rPr>
                <w:rStyle w:val="a5"/>
                <w:szCs w:val="24"/>
                <w:shd w:val="clear" w:color="auto" w:fill="FFFFFF"/>
              </w:rPr>
              <w:t>соотнести</w:t>
            </w:r>
            <w:r w:rsidRPr="004569A5">
              <w:rPr>
                <w:szCs w:val="24"/>
                <w:shd w:val="clear" w:color="auto" w:fill="FFFFFF"/>
              </w:rPr>
              <w:t> потенциальные </w:t>
            </w:r>
            <w:r w:rsidRPr="004569A5">
              <w:rPr>
                <w:rStyle w:val="a5"/>
                <w:szCs w:val="24"/>
                <w:shd w:val="clear" w:color="auto" w:fill="FFFFFF"/>
              </w:rPr>
              <w:t>риски</w:t>
            </w:r>
            <w:r w:rsidRPr="004569A5">
              <w:rPr>
                <w:szCs w:val="24"/>
                <w:shd w:val="clear" w:color="auto" w:fill="FFFFFF"/>
              </w:rPr>
              <w:t> и ожидаемую </w:t>
            </w:r>
            <w:r w:rsidRPr="004569A5">
              <w:rPr>
                <w:rStyle w:val="a5"/>
                <w:szCs w:val="24"/>
                <w:shd w:val="clear" w:color="auto" w:fill="FFFFFF"/>
              </w:rPr>
              <w:t>пользу</w:t>
            </w:r>
            <w:r w:rsidRPr="004569A5">
              <w:rPr>
                <w:szCs w:val="24"/>
              </w:rPr>
              <w:t>).</w:t>
            </w:r>
          </w:p>
        </w:tc>
      </w:tr>
      <w:tr w:rsidR="00B37E1F" w:rsidRPr="004569A5" w14:paraId="034D4BB9" w14:textId="77777777" w:rsidTr="00B37E1F">
        <w:tc>
          <w:tcPr>
            <w:tcW w:w="3208" w:type="dxa"/>
            <w:vMerge/>
            <w:shd w:val="clear" w:color="auto" w:fill="auto"/>
          </w:tcPr>
          <w:p w14:paraId="54596F9E" w14:textId="77777777" w:rsidR="00B37E1F" w:rsidRPr="004569A5" w:rsidRDefault="00B37E1F" w:rsidP="002431B5">
            <w:pPr>
              <w:spacing w:before="0" w:after="0"/>
              <w:rPr>
                <w:szCs w:val="24"/>
              </w:rPr>
            </w:pPr>
          </w:p>
        </w:tc>
        <w:tc>
          <w:tcPr>
            <w:tcW w:w="3082" w:type="dxa"/>
            <w:shd w:val="clear" w:color="auto" w:fill="auto"/>
          </w:tcPr>
          <w:p w14:paraId="061BD36C" w14:textId="77777777" w:rsidR="00B37E1F" w:rsidRPr="004569A5" w:rsidRDefault="00B37E1F" w:rsidP="002431B5">
            <w:pPr>
              <w:spacing w:before="0" w:after="0"/>
              <w:rPr>
                <w:szCs w:val="24"/>
              </w:rPr>
            </w:pPr>
            <w:r w:rsidRPr="004569A5">
              <w:rPr>
                <w:szCs w:val="24"/>
              </w:rPr>
              <w:t>Другие компоненты донорской крови</w:t>
            </w:r>
          </w:p>
        </w:tc>
        <w:tc>
          <w:tcPr>
            <w:tcW w:w="8270" w:type="dxa"/>
            <w:shd w:val="clear" w:color="auto" w:fill="auto"/>
          </w:tcPr>
          <w:p w14:paraId="748A9399" w14:textId="70A891E6" w:rsidR="00B37E1F" w:rsidRPr="004569A5" w:rsidRDefault="00B37E1F" w:rsidP="002431B5">
            <w:pPr>
              <w:spacing w:before="0" w:after="0"/>
              <w:rPr>
                <w:szCs w:val="24"/>
              </w:rPr>
            </w:pPr>
            <w:r w:rsidRPr="004569A5">
              <w:rPr>
                <w:szCs w:val="24"/>
              </w:rPr>
              <w:t>10 мл 10% кальция глюконата</w:t>
            </w:r>
            <w:r w:rsidR="001F07E9" w:rsidRPr="001F07E9">
              <w:rPr>
                <w:szCs w:val="24"/>
              </w:rPr>
              <w:t>**</w:t>
            </w:r>
            <w:r w:rsidRPr="004569A5">
              <w:rPr>
                <w:szCs w:val="24"/>
              </w:rPr>
              <w:t xml:space="preserve"> в 100 мл 0,9% раствора NaC</w:t>
            </w:r>
            <w:r w:rsidRPr="004569A5">
              <w:rPr>
                <w:szCs w:val="24"/>
                <w:lang w:val="en-US"/>
              </w:rPr>
              <w:t>l</w:t>
            </w:r>
            <w:r w:rsidR="001F07E9" w:rsidRPr="001F07E9">
              <w:rPr>
                <w:szCs w:val="24"/>
              </w:rPr>
              <w:t>**</w:t>
            </w:r>
            <w:r w:rsidRPr="004569A5">
              <w:rPr>
                <w:szCs w:val="24"/>
              </w:rPr>
              <w:t xml:space="preserve"> в/в капельно</w:t>
            </w:r>
          </w:p>
        </w:tc>
      </w:tr>
    </w:tbl>
    <w:p w14:paraId="475EA457" w14:textId="77777777" w:rsidR="00B37E1F" w:rsidRPr="004569A5" w:rsidRDefault="00B37E1F" w:rsidP="002431B5">
      <w:pPr>
        <w:spacing w:before="0" w:after="0"/>
        <w:rPr>
          <w:szCs w:val="24"/>
        </w:rPr>
      </w:pPr>
      <w:r w:rsidRPr="004569A5">
        <w:rPr>
          <w:szCs w:val="24"/>
        </w:rPr>
        <w:t>* Предшествующие реакции и осложнения, связанные с трансфузией донорской крови и (или) ее компонентов, не влияющие на объем последующей премедикации при проведении трансфузионной терапии:</w:t>
      </w:r>
    </w:p>
    <w:p w14:paraId="14D376ED" w14:textId="77777777" w:rsidR="00B37E1F" w:rsidRPr="004569A5" w:rsidRDefault="00B37E1F" w:rsidP="008F161A">
      <w:pPr>
        <w:pStyle w:val="a6"/>
        <w:numPr>
          <w:ilvl w:val="0"/>
          <w:numId w:val="93"/>
        </w:numPr>
        <w:spacing w:before="0" w:after="0"/>
        <w:ind w:left="0" w:firstLine="0"/>
        <w:rPr>
          <w:szCs w:val="24"/>
        </w:rPr>
      </w:pPr>
      <w:r w:rsidRPr="004569A5">
        <w:rPr>
          <w:szCs w:val="24"/>
        </w:rPr>
        <w:t>Иммунные:</w:t>
      </w:r>
    </w:p>
    <w:p w14:paraId="0F8619FF" w14:textId="77777777" w:rsidR="00B37E1F" w:rsidRPr="004569A5" w:rsidRDefault="00B37E1F" w:rsidP="008F161A">
      <w:pPr>
        <w:pStyle w:val="a6"/>
        <w:numPr>
          <w:ilvl w:val="0"/>
          <w:numId w:val="88"/>
        </w:numPr>
        <w:spacing w:before="0" w:after="0"/>
        <w:ind w:left="0" w:firstLine="0"/>
        <w:rPr>
          <w:szCs w:val="24"/>
        </w:rPr>
      </w:pPr>
      <w:r w:rsidRPr="004569A5">
        <w:rPr>
          <w:szCs w:val="24"/>
        </w:rPr>
        <w:t>Обусловленное трансфузией острое повреждение легких</w:t>
      </w:r>
    </w:p>
    <w:p w14:paraId="26A01272" w14:textId="77777777" w:rsidR="00B37E1F" w:rsidRPr="004569A5" w:rsidRDefault="00B37E1F" w:rsidP="008F161A">
      <w:pPr>
        <w:pStyle w:val="a6"/>
        <w:numPr>
          <w:ilvl w:val="0"/>
          <w:numId w:val="88"/>
        </w:numPr>
        <w:spacing w:before="0" w:after="0"/>
        <w:ind w:left="0" w:firstLine="0"/>
        <w:rPr>
          <w:szCs w:val="24"/>
        </w:rPr>
      </w:pPr>
      <w:r w:rsidRPr="004569A5">
        <w:rPr>
          <w:szCs w:val="24"/>
        </w:rPr>
        <w:t>Обусловленная трансфузией одышка</w:t>
      </w:r>
    </w:p>
    <w:p w14:paraId="65F06BD7" w14:textId="77777777" w:rsidR="00B37E1F" w:rsidRPr="004569A5" w:rsidRDefault="00B37E1F" w:rsidP="008F161A">
      <w:pPr>
        <w:pStyle w:val="a6"/>
        <w:numPr>
          <w:ilvl w:val="0"/>
          <w:numId w:val="93"/>
        </w:numPr>
        <w:spacing w:before="0" w:after="0"/>
        <w:ind w:left="0" w:firstLine="0"/>
        <w:rPr>
          <w:szCs w:val="24"/>
        </w:rPr>
      </w:pPr>
      <w:r w:rsidRPr="004569A5">
        <w:rPr>
          <w:szCs w:val="24"/>
        </w:rPr>
        <w:t>Неиммуные:</w:t>
      </w:r>
    </w:p>
    <w:p w14:paraId="5365FB6F" w14:textId="77777777" w:rsidR="00B37E1F" w:rsidRPr="004569A5" w:rsidRDefault="00B37E1F" w:rsidP="008F161A">
      <w:pPr>
        <w:pStyle w:val="a6"/>
        <w:numPr>
          <w:ilvl w:val="0"/>
          <w:numId w:val="90"/>
        </w:numPr>
        <w:spacing w:before="0" w:after="0"/>
        <w:ind w:left="0" w:firstLine="0"/>
        <w:rPr>
          <w:szCs w:val="24"/>
        </w:rPr>
      </w:pPr>
      <w:r w:rsidRPr="004569A5">
        <w:rPr>
          <w:szCs w:val="24"/>
        </w:rPr>
        <w:t>Обусловленная трансфузией циркуляторная перегрузка</w:t>
      </w:r>
    </w:p>
    <w:p w14:paraId="0A6BB37C" w14:textId="77777777" w:rsidR="00B37E1F" w:rsidRPr="004569A5" w:rsidRDefault="00B37E1F" w:rsidP="008F161A">
      <w:pPr>
        <w:pStyle w:val="a6"/>
        <w:numPr>
          <w:ilvl w:val="0"/>
          <w:numId w:val="90"/>
        </w:numPr>
        <w:spacing w:before="0" w:after="0"/>
        <w:ind w:left="0" w:firstLine="0"/>
        <w:rPr>
          <w:szCs w:val="24"/>
        </w:rPr>
      </w:pPr>
      <w:r w:rsidRPr="004569A5">
        <w:rPr>
          <w:szCs w:val="24"/>
        </w:rPr>
        <w:t>Посттрансфузионная гипертензия</w:t>
      </w:r>
    </w:p>
    <w:p w14:paraId="60D14D93" w14:textId="77777777" w:rsidR="00B37E1F" w:rsidRPr="004569A5" w:rsidRDefault="00B37E1F" w:rsidP="008F161A">
      <w:pPr>
        <w:pStyle w:val="a6"/>
        <w:numPr>
          <w:ilvl w:val="0"/>
          <w:numId w:val="90"/>
        </w:numPr>
        <w:spacing w:before="0" w:after="0"/>
        <w:ind w:left="0" w:firstLine="0"/>
        <w:rPr>
          <w:szCs w:val="24"/>
        </w:rPr>
      </w:pPr>
      <w:r w:rsidRPr="004569A5">
        <w:rPr>
          <w:szCs w:val="24"/>
        </w:rPr>
        <w:t>Острый неиммунный гемолиз</w:t>
      </w:r>
    </w:p>
    <w:p w14:paraId="5899DCB6" w14:textId="77777777" w:rsidR="00B37E1F" w:rsidRPr="004569A5" w:rsidRDefault="00B37E1F" w:rsidP="008F161A">
      <w:pPr>
        <w:pStyle w:val="a6"/>
        <w:numPr>
          <w:ilvl w:val="0"/>
          <w:numId w:val="90"/>
        </w:numPr>
        <w:spacing w:before="0" w:after="0"/>
        <w:ind w:left="0" w:firstLine="0"/>
        <w:rPr>
          <w:szCs w:val="24"/>
        </w:rPr>
      </w:pPr>
      <w:r w:rsidRPr="004569A5">
        <w:rPr>
          <w:szCs w:val="24"/>
        </w:rPr>
        <w:t>Септический шок</w:t>
      </w:r>
    </w:p>
    <w:p w14:paraId="21B529EE" w14:textId="77777777" w:rsidR="00B37E1F" w:rsidRPr="004569A5" w:rsidRDefault="00B37E1F" w:rsidP="008F161A">
      <w:pPr>
        <w:pStyle w:val="a6"/>
        <w:numPr>
          <w:ilvl w:val="0"/>
          <w:numId w:val="90"/>
        </w:numPr>
        <w:spacing w:before="0" w:after="0"/>
        <w:ind w:left="0" w:firstLine="0"/>
        <w:rPr>
          <w:szCs w:val="24"/>
        </w:rPr>
      </w:pPr>
      <w:r w:rsidRPr="004569A5">
        <w:rPr>
          <w:szCs w:val="24"/>
        </w:rPr>
        <w:t>Хроническая перегрузка железом</w:t>
      </w:r>
    </w:p>
    <w:p w14:paraId="3E1653F2" w14:textId="101A75A2" w:rsidR="00B37E1F" w:rsidRPr="004569A5" w:rsidRDefault="00B37E1F" w:rsidP="00093389">
      <w:pPr>
        <w:spacing w:before="0" w:after="0"/>
        <w:ind w:firstLine="567"/>
        <w:rPr>
          <w:szCs w:val="24"/>
        </w:rPr>
      </w:pPr>
      <w:r w:rsidRPr="004569A5">
        <w:rPr>
          <w:szCs w:val="24"/>
        </w:rPr>
        <w:t>Решение вопроса о введении глюкокортикостероидов и выбор дозы зависит от выраженности посттрансфузионной реакции или осложнения в анамнезе, степени тяжести сопутствующей патологии – инфекционные осложнения (особенно в период глубокой нейтропении), сахарный диабет, артериальная гипертензия и другие. Глюкокортикостероидные препараты в эквивалентных дозировках, применяемые в качестве премедикации перед трансфузией: 10-50 мг преднизолона</w:t>
      </w:r>
      <w:r w:rsidR="001F07E9" w:rsidRPr="001F07E9">
        <w:rPr>
          <w:szCs w:val="24"/>
        </w:rPr>
        <w:t>**</w:t>
      </w:r>
      <w:r w:rsidRPr="004569A5">
        <w:rPr>
          <w:szCs w:val="24"/>
        </w:rPr>
        <w:t xml:space="preserve">, либо 2-6 мг </w:t>
      </w:r>
      <w:r w:rsidRPr="004569A5">
        <w:rPr>
          <w:szCs w:val="24"/>
        </w:rPr>
        <w:lastRenderedPageBreak/>
        <w:t>дексаметазона</w:t>
      </w:r>
      <w:r w:rsidR="001F07E9" w:rsidRPr="001F07E9">
        <w:rPr>
          <w:szCs w:val="24"/>
        </w:rPr>
        <w:t>**</w:t>
      </w:r>
      <w:r w:rsidRPr="004569A5">
        <w:rPr>
          <w:szCs w:val="24"/>
        </w:rPr>
        <w:t>, либо 25-100 мг гидрокортизона</w:t>
      </w:r>
      <w:r w:rsidR="001F07E9" w:rsidRPr="001F07E9">
        <w:rPr>
          <w:szCs w:val="24"/>
        </w:rPr>
        <w:t>**</w:t>
      </w:r>
      <w:r w:rsidRPr="004569A5">
        <w:rPr>
          <w:szCs w:val="24"/>
        </w:rPr>
        <w:t>, либо 62,5-250 мг метилпреднизолона</w:t>
      </w:r>
      <w:r w:rsidR="001F07E9" w:rsidRPr="001F07E9">
        <w:rPr>
          <w:szCs w:val="24"/>
        </w:rPr>
        <w:t>**</w:t>
      </w:r>
      <w:r w:rsidRPr="004569A5">
        <w:rPr>
          <w:szCs w:val="24"/>
        </w:rPr>
        <w:t xml:space="preserve">. </w:t>
      </w:r>
    </w:p>
    <w:p w14:paraId="69C1941E" w14:textId="26BC40F8" w:rsidR="00B37E1F" w:rsidRPr="00C736DB" w:rsidRDefault="00B37E1F" w:rsidP="002431B5">
      <w:pPr>
        <w:pStyle w:val="2"/>
        <w:rPr>
          <w:rStyle w:val="ac"/>
          <w:b/>
        </w:rPr>
      </w:pPr>
      <w:bookmarkStart w:id="108" w:name="_Toc97734659"/>
      <w:r w:rsidRPr="00C736DB">
        <w:rPr>
          <w:rStyle w:val="ac"/>
          <w:b/>
        </w:rPr>
        <w:t xml:space="preserve">Приложение </w:t>
      </w:r>
      <w:r w:rsidR="00956A9E" w:rsidRPr="00C736DB">
        <w:rPr>
          <w:rStyle w:val="ac"/>
          <w:b/>
        </w:rPr>
        <w:t>А3.1</w:t>
      </w:r>
      <w:r w:rsidR="00A30463">
        <w:rPr>
          <w:rStyle w:val="ac"/>
          <w:b/>
        </w:rPr>
        <w:t>4.</w:t>
      </w:r>
      <w:r w:rsidRPr="00C736DB">
        <w:rPr>
          <w:rStyle w:val="ac"/>
          <w:b/>
        </w:rPr>
        <w:t xml:space="preserve"> Профилактика инфекционных осложнений</w:t>
      </w:r>
      <w:bookmarkEnd w:id="108"/>
    </w:p>
    <w:p w14:paraId="58B638A2" w14:textId="77777777" w:rsidR="00B37E1F" w:rsidRPr="00670BEB" w:rsidRDefault="00B37E1F" w:rsidP="002431B5">
      <w:pPr>
        <w:spacing w:before="0" w:after="0"/>
        <w:contextualSpacing/>
        <w:rPr>
          <w:b/>
        </w:rPr>
      </w:pPr>
      <w:r w:rsidRPr="00670BEB">
        <w:rPr>
          <w:b/>
        </w:rPr>
        <w:t>Общие сведения</w:t>
      </w:r>
    </w:p>
    <w:p w14:paraId="61A78008" w14:textId="77777777" w:rsidR="00B37E1F" w:rsidRDefault="00B37E1F" w:rsidP="002431B5">
      <w:pPr>
        <w:spacing w:before="0" w:after="0"/>
        <w:contextualSpacing/>
      </w:pPr>
      <w:r w:rsidRPr="00744C95">
        <w:t xml:space="preserve">Высокая частота инфекционных осложнений у </w:t>
      </w:r>
      <w:r>
        <w:t xml:space="preserve">гематологических пациентов, особенно в период нейтропении, диктует необходимость назначения препаратов для профилактики. Профилактика показана для инфекций, вызванных грибами и вирусами в группе высокого риска. Профилактика бактериальных инфекций становится менее актуальной по причине увеличения полирезистентных бактерий и проводится у определенной категории больных. </w:t>
      </w:r>
    </w:p>
    <w:p w14:paraId="71E7A34C" w14:textId="668961E2" w:rsidR="00B37E1F" w:rsidRPr="009553E7" w:rsidRDefault="00B37E1F" w:rsidP="002431B5">
      <w:pPr>
        <w:tabs>
          <w:tab w:val="left" w:pos="0"/>
          <w:tab w:val="left" w:pos="567"/>
        </w:tabs>
        <w:spacing w:before="0" w:after="0"/>
        <w:jc w:val="center"/>
        <w:rPr>
          <w:b/>
          <w:szCs w:val="24"/>
        </w:rPr>
      </w:pPr>
      <w:r w:rsidRPr="00DB1FCB">
        <w:rPr>
          <w:b/>
          <w:szCs w:val="24"/>
        </w:rPr>
        <w:t xml:space="preserve">Профилактика пневмоцистной пневмонии </w:t>
      </w:r>
      <w:r w:rsidR="001B7406">
        <w:rPr>
          <w:b/>
          <w:szCs w:val="24"/>
          <w:lang w:val="en-US"/>
        </w:rPr>
        <w:fldChar w:fldCharType="begin" w:fldLock="1"/>
      </w:r>
      <w:r w:rsidR="00E430FD">
        <w:rPr>
          <w:b/>
          <w:szCs w:val="24"/>
          <w:lang w:val="en-US"/>
        </w:rPr>
        <w:instrText>ADDIN CSL_CITATION {"citationItems":[{"id":"ITEM-1","itemData":{"author":[{"dropping-particle":"","family":"Савченко В.Г. и др","given":"","non-dropping-particle":"","parse-names":false,"suffix":""}],"id":"ITEM-1","issued":{"date-parts":[["2018"]]},"number-of-pages":"1008","publisher":"Практика","publisher-place":"Москва","title":"Алгоритмы диагностики и протоколы лечения заболеваний системы крови.","type":"book"},"uris":["http://www.mendeley.com/documents/?uuid=f91ae641-8062-4f5f-b416-94b015742043"]},{"id":"ITEM-2","itemData":{"DOI":"10.1093/jac/dkw157","ISSN":"14602091","PMID":"27550992","abstract":"The 5th European Conference on Infections in Leukaemia (ECIL-5) meeting aimed to establish evidence-based recommendations for the prophylaxis of Pneumocystis jirovecii pneumonia (PCP) in non-HIV-infected patients with an underlying haematological condition, including allogeneic HSCT recipients. Recommendations were based on the grading system of the IDSA. Trimethoprim/sulfamethoxazole given 2-3 times weekly is the drug of choice for the primary prophylaxis of PCP in adults (A-II) and children (A-I) and should be given during the entire period at risk. Recent data indicate that children may benefit equally from a once-weekly regimen (B-II). All other drugs, including pentamidine, atovaquone and dapsone, are considered second-line alternatives when trimethoprim/ sulfamethoxazole is poorly tolerated or contraindicated. The main indications of PCP prophylaxis are ALL, allogeneic HSCT, treatment with alemtuzumab, fludarabine/cyclophosphamide/rituximab combinations, &gt;4 weeks of treatmentwith corticosteroids andwell-defined primary immune deficiencies in children. Additional indications are proposed depending on the treatment regimen.","author":[{"dropping-particle":"","family":"Maertens","given":"Johan","non-dropping-particle":"","parse-names":false,"suffix":""},{"dropping-particle":"","family":"Cesaro","given":"Simone","non-dropping-particle":"","parse-names":false,"suffix":""},{"dropping-particle":"","family":"Maschmeyer","given":"Georg","non-dropping-particle":"","parse-names":false,"suffix":""},{"dropping-particle":"","family":"Einsele","given":"Hermann","non-dropping-particle":"","parse-names":false,"suffix":""},{"dropping-particle":"","family":"Donnelly","given":"J. Peter","non-dropping-particle":"","parse-names":false,"suffix":""},{"dropping-particle":"","family":"Alanio","given":"Alexandre","non-dropping-particle":"","parse-names":false,"suffix":""},{"dropping-particle":"","family":"Hauser","given":"Philippe","non-dropping-particle":"","parse-names":false,"suffix":""},{"dropping-particle":"","family":"Lagrou","given":"Katrien","non-dropping-particle":"","parse-names":false,"suffix":""},{"dropping-particle":"","family":"Melchers","given":"Willem J.G.","non-dropping-particle":"","parse-names":false,"suffix":""},{"dropping-particle":"","family":"Helweg-Larsen","given":"Jannik","non-dropping-particle":"","parse-names":false,"suffix":""},{"dropping-particle":"","family":"Matos","given":"Olga","non-dropping-particle":"","parse-names":false,"suffix":""},{"dropping-particle":"","family":"Bretagne","given":"Stéphane","non-dropping-particle":"","parse-names":false,"suffix":""},{"dropping-particle":"","family":"Cordonnier","given":"Catherine","non-dropping-particle":"","parse-names":false,"suffix":""},{"dropping-particle":"","family":"Agrawal","given":"Samir","non-dropping-particle":"","parse-names":false,"suffix":""},{"dropping-particle":"","family":"Kibbler","given":"Christopher","non-dropping-particle":"","parse-names":false,"suffix":""},{"dropping-particle":"","family":"Pagliuca","given":"Antonio","non-dropping-particle":"","parse-names":false,"suffix":""},{"dropping-particle":"","family":"Ward","given":"Katherine","non-dropping-particle":"","parse-names":false,"suffix":""},{"dropping-particle":"","family":"Akova","given":"Murat","non-dropping-particle":"","parse-names":false,"suffix":""},{"dropping-particle":"","family":"Herbrecht","given":"Raoul","non-dropping-particle":"","parse-names":false,"suffix":""},{"dropping-particle":"","family":"Mallet","given":"Vincent","non-dropping-particle":"","parse-names":false,"suffix":""},{"dropping-particle":"","family":"Ribaud","given":"Patricia","non-dropping-particle":"","parse-names":false,"suffix":""},{"dropping-particle":"","family":"Aljurf","given":"Mahmoud","non-dropping-particle":"","parse-names":false,"suffix":""},{"dropping-particle":"","family":"Averbuch","given":"Dina","non-dropping-particle":"","parse-names":false,"suffix":""},{"dropping-particle":"","family":"Engelhard","given":"Dan","non-dropping-particle":"","parse-names":false,"suffix":""},{"dropping-particle":"","family":"Berg","given":"Thomas","non-dropping-particle":"","parse-names":false,"suffix":""},{"dropping-particle":"","family":"Cornely","given":"Oliver","non-dropping-particle":"","parse-names":false,"suffix":""},{"dropping-particle":"","family":"Penack","given":"Olaf","non-dropping-particle":"","parse-names":false,"suffix":""},{"dropping-particle":"","family":"Boemmel","given":"Florian","non-dropping-particle":"van","parse-names":false,"suffix":""},{"dropping-particle":"","family":"Lilienfeld-Toal","given":"Marie","non-dropping-particle":"von","parse-names":false,"suffix":""},{"dropping-particle":"","family":"Blennow","given":"Ola","non-dropping-particle":"","parse-names":false,"suffix":""},{"dropping-particle":"","family":"Ljungman","given":"Per","non-dropping-particle":"","parse-names":false,"suffix":""},{"dropping-particle":"","family":"Bruggemann","given":"Roger","non-dropping-particle":"","parse-names":false,"suffix":""},{"dropping-particle":"","family":"Donnelly","given":"Peter","non-dropping-particle":"","parse-names":false,"suffix":""},{"dropping-particle":"","family":"Kullberg","given":"Bart Jan","non-dropping-particle":"","parse-names":false,"suffix":""},{"dropping-particle":"","family":"Melchers","given":"Willem","non-dropping-particle":"","parse-names":false,"suffix":""},{"dropping-particle":"","family":"Calandra","given":"Thierry","non-dropping-particle":"","parse-names":false,"suffix":""},{"dropping-particle":"","family":"Hirsch","given":"Hans","non-dropping-particle":"","parse-names":false,"suffix":""},{"dropping-particle":"","family":"Marchetti","given":"Oscar","non-dropping-particle":"","parse-names":false,"suffix":""},{"dropping-particle":"","family":"Orasch","given":"Christina","non-dropping-particle":"","parse-names":false,"suffix":""},{"dropping-particle":"","family":"Tissot","given":"Frederic","non-dropping-particle":"","parse-names":false,"suffix":""},{"dropping-particle":"","family":"Castagnola","given":"Elio","non-dropping-particle":"","parse-names":false,"suffix":""},{"dropping-particle":"","family":"Girmenia","given":"Corrado","non-dropping-particle":"","parse-names":false,"suffix":""},{"dropping-particle":"","family":"Mikulska","given":"Malgorzata","non-dropping-particle":"","parse-names":false,"suffix":""},{"dropping-particle":"","family":"Pagano","given":"Livio","non-dropping-particle":"","parse-names":false,"suffix":""},{"dropping-particle":"","family":"Viscoli","given":"Claudio","non-dropping-particle":"","parse-names":false,"suffix":""},{"dropping-particle":"","family":"La Camara","given":"Rafael","non-dropping-particle":"De","parse-names":false,"suffix":""},{"dropping-particle":"","family":"Duarte","given":"Rafael","non-dropping-particle":"","parse-names":false,"suffix":""},{"dropping-particle":"","family":"Munoz","given":"Patricia","non-dropping-particle":"","parse-names":false,"suffix":""},{"dropping-particle":"","family":"Drgona","given":"Lubos","non-dropping-particle":"","parse-names":false,"suffix":""},{"dropping-particle":"","family":"Hargreaves","given":"Ruth","non-dropping-particle":"","parse-names":false,"suffix":""},{"dropping-particle":"","family":"Hubacek","given":"Petr","non-dropping-particle":"","parse-names":false,"suffix":""},{"dropping-particle":"","family":"Kouba","given":"Michal","non-dropping-particle":"","parse-names":false,"suffix":""},{"dropping-particle":"","family":"Racil","given":"Zdenek","non-dropping-particle":"","parse-names":false,"suffix":""},{"dropping-particle":"","family":"Klyasova","given":"Galina","non-dropping-particle":"","parse-names":false,"suffix":""},{"dropping-particle":"","family":"Pettrikos","given":"George","non-dropping-particle":"","parse-names":false,"suffix":""},{"dropping-particle":"","family":"Roilides","given":"Emmanuel","non-dropping-particle":"","parse-names":false,"suffix":""},{"dropping-particle":"","family":"Skiada</w:instrText>
      </w:r>
      <w:r w:rsidR="00E430FD" w:rsidRPr="00795E89">
        <w:rPr>
          <w:b/>
          <w:szCs w:val="24"/>
        </w:rPr>
        <w:instrText>","</w:instrText>
      </w:r>
      <w:r w:rsidR="00E430FD">
        <w:rPr>
          <w:b/>
          <w:szCs w:val="24"/>
          <w:lang w:val="en-US"/>
        </w:rPr>
        <w:instrText>given</w:instrText>
      </w:r>
      <w:r w:rsidR="00E430FD" w:rsidRPr="00795E89">
        <w:rPr>
          <w:b/>
          <w:szCs w:val="24"/>
        </w:rPr>
        <w:instrText>":"</w:instrText>
      </w:r>
      <w:r w:rsidR="00E430FD">
        <w:rPr>
          <w:b/>
          <w:szCs w:val="24"/>
          <w:lang w:val="en-US"/>
        </w:rPr>
        <w:instrText>Anna</w:instrText>
      </w:r>
      <w:r w:rsidR="00E430FD" w:rsidRPr="00795E89">
        <w:rPr>
          <w:b/>
          <w:szCs w:val="24"/>
        </w:rPr>
        <w:instrText>","</w:instrText>
      </w:r>
      <w:r w:rsidR="00E430FD">
        <w:rPr>
          <w:b/>
          <w:szCs w:val="24"/>
          <w:lang w:val="en-US"/>
        </w:rPr>
        <w:instrText>non</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parse</w:instrText>
      </w:r>
      <w:r w:rsidR="00E430FD" w:rsidRPr="00795E89">
        <w:rPr>
          <w:b/>
          <w:szCs w:val="24"/>
        </w:rPr>
        <w:instrText>-</w:instrText>
      </w:r>
      <w:r w:rsidR="00E430FD">
        <w:rPr>
          <w:b/>
          <w:szCs w:val="24"/>
          <w:lang w:val="en-US"/>
        </w:rPr>
        <w:instrText>names</w:instrText>
      </w:r>
      <w:r w:rsidR="00E430FD" w:rsidRPr="00795E89">
        <w:rPr>
          <w:b/>
          <w:szCs w:val="24"/>
        </w:rPr>
        <w:instrText>":</w:instrText>
      </w:r>
      <w:r w:rsidR="00E430FD">
        <w:rPr>
          <w:b/>
          <w:szCs w:val="24"/>
          <w:lang w:val="en-US"/>
        </w:rPr>
        <w:instrText>false</w:instrText>
      </w:r>
      <w:r w:rsidR="00E430FD" w:rsidRPr="00795E89">
        <w:rPr>
          <w:b/>
          <w:szCs w:val="24"/>
        </w:rPr>
        <w:instrText>,"</w:instrText>
      </w:r>
      <w:r w:rsidR="00E430FD">
        <w:rPr>
          <w:b/>
          <w:szCs w:val="24"/>
          <w:lang w:val="en-US"/>
        </w:rPr>
        <w:instrText>suffix</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family</w:instrText>
      </w:r>
      <w:r w:rsidR="00E430FD" w:rsidRPr="00795E89">
        <w:rPr>
          <w:b/>
          <w:szCs w:val="24"/>
        </w:rPr>
        <w:instrText>":"</w:instrText>
      </w:r>
      <w:r w:rsidR="00E430FD">
        <w:rPr>
          <w:b/>
          <w:szCs w:val="24"/>
          <w:lang w:val="en-US"/>
        </w:rPr>
        <w:instrText>Rizzi</w:instrText>
      </w:r>
      <w:r w:rsidR="00E430FD" w:rsidRPr="00795E89">
        <w:rPr>
          <w:b/>
          <w:szCs w:val="24"/>
        </w:rPr>
        <w:instrText>-</w:instrText>
      </w:r>
      <w:r w:rsidR="00E430FD">
        <w:rPr>
          <w:b/>
          <w:szCs w:val="24"/>
          <w:lang w:val="en-US"/>
        </w:rPr>
        <w:instrText>Puechal</w:instrText>
      </w:r>
      <w:r w:rsidR="00E430FD" w:rsidRPr="00795E89">
        <w:rPr>
          <w:b/>
          <w:szCs w:val="24"/>
        </w:rPr>
        <w:instrText>","</w:instrText>
      </w:r>
      <w:r w:rsidR="00E430FD">
        <w:rPr>
          <w:b/>
          <w:szCs w:val="24"/>
          <w:lang w:val="en-US"/>
        </w:rPr>
        <w:instrText>given</w:instrText>
      </w:r>
      <w:r w:rsidR="00E430FD" w:rsidRPr="00795E89">
        <w:rPr>
          <w:b/>
          <w:szCs w:val="24"/>
        </w:rPr>
        <w:instrText>":"</w:instrText>
      </w:r>
      <w:r w:rsidR="00E430FD">
        <w:rPr>
          <w:b/>
          <w:szCs w:val="24"/>
          <w:lang w:val="en-US"/>
        </w:rPr>
        <w:instrText>Val</w:instrText>
      </w:r>
      <w:r w:rsidR="00E430FD" w:rsidRPr="00795E89">
        <w:rPr>
          <w:b/>
          <w:szCs w:val="24"/>
        </w:rPr>
        <w:instrText>é</w:instrText>
      </w:r>
      <w:r w:rsidR="00E430FD">
        <w:rPr>
          <w:b/>
          <w:szCs w:val="24"/>
          <w:lang w:val="en-US"/>
        </w:rPr>
        <w:instrText>rie</w:instrText>
      </w:r>
      <w:r w:rsidR="00E430FD" w:rsidRPr="00795E89">
        <w:rPr>
          <w:b/>
          <w:szCs w:val="24"/>
        </w:rPr>
        <w:instrText>","</w:instrText>
      </w:r>
      <w:r w:rsidR="00E430FD">
        <w:rPr>
          <w:b/>
          <w:szCs w:val="24"/>
          <w:lang w:val="en-US"/>
        </w:rPr>
        <w:instrText>non</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parse</w:instrText>
      </w:r>
      <w:r w:rsidR="00E430FD" w:rsidRPr="00795E89">
        <w:rPr>
          <w:b/>
          <w:szCs w:val="24"/>
        </w:rPr>
        <w:instrText>-</w:instrText>
      </w:r>
      <w:r w:rsidR="00E430FD">
        <w:rPr>
          <w:b/>
          <w:szCs w:val="24"/>
          <w:lang w:val="en-US"/>
        </w:rPr>
        <w:instrText>names</w:instrText>
      </w:r>
      <w:r w:rsidR="00E430FD" w:rsidRPr="00795E89">
        <w:rPr>
          <w:b/>
          <w:szCs w:val="24"/>
        </w:rPr>
        <w:instrText>":</w:instrText>
      </w:r>
      <w:r w:rsidR="00E430FD">
        <w:rPr>
          <w:b/>
          <w:szCs w:val="24"/>
          <w:lang w:val="en-US"/>
        </w:rPr>
        <w:instrText>false</w:instrText>
      </w:r>
      <w:r w:rsidR="00E430FD" w:rsidRPr="00795E89">
        <w:rPr>
          <w:b/>
          <w:szCs w:val="24"/>
        </w:rPr>
        <w:instrText>,"</w:instrText>
      </w:r>
      <w:r w:rsidR="00E430FD">
        <w:rPr>
          <w:b/>
          <w:szCs w:val="24"/>
          <w:lang w:val="en-US"/>
        </w:rPr>
        <w:instrText>suffix</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family</w:instrText>
      </w:r>
      <w:r w:rsidR="00E430FD" w:rsidRPr="00795E89">
        <w:rPr>
          <w:b/>
          <w:szCs w:val="24"/>
        </w:rPr>
        <w:instrText>":"</w:instrText>
      </w:r>
      <w:r w:rsidR="00E430FD">
        <w:rPr>
          <w:b/>
          <w:szCs w:val="24"/>
          <w:lang w:val="en-US"/>
        </w:rPr>
        <w:instrText>Sinko</w:instrText>
      </w:r>
      <w:r w:rsidR="00E430FD" w:rsidRPr="00795E89">
        <w:rPr>
          <w:b/>
          <w:szCs w:val="24"/>
        </w:rPr>
        <w:instrText>","</w:instrText>
      </w:r>
      <w:r w:rsidR="00E430FD">
        <w:rPr>
          <w:b/>
          <w:szCs w:val="24"/>
          <w:lang w:val="en-US"/>
        </w:rPr>
        <w:instrText>given</w:instrText>
      </w:r>
      <w:r w:rsidR="00E430FD" w:rsidRPr="00795E89">
        <w:rPr>
          <w:b/>
          <w:szCs w:val="24"/>
        </w:rPr>
        <w:instrText>":"</w:instrText>
      </w:r>
      <w:r w:rsidR="00E430FD">
        <w:rPr>
          <w:b/>
          <w:szCs w:val="24"/>
          <w:lang w:val="en-US"/>
        </w:rPr>
        <w:instrText>Janos</w:instrText>
      </w:r>
      <w:r w:rsidR="00E430FD" w:rsidRPr="00795E89">
        <w:rPr>
          <w:b/>
          <w:szCs w:val="24"/>
        </w:rPr>
        <w:instrText>","</w:instrText>
      </w:r>
      <w:r w:rsidR="00E430FD">
        <w:rPr>
          <w:b/>
          <w:szCs w:val="24"/>
          <w:lang w:val="en-US"/>
        </w:rPr>
        <w:instrText>non</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parse</w:instrText>
      </w:r>
      <w:r w:rsidR="00E430FD" w:rsidRPr="00795E89">
        <w:rPr>
          <w:b/>
          <w:szCs w:val="24"/>
        </w:rPr>
        <w:instrText>-</w:instrText>
      </w:r>
      <w:r w:rsidR="00E430FD">
        <w:rPr>
          <w:b/>
          <w:szCs w:val="24"/>
          <w:lang w:val="en-US"/>
        </w:rPr>
        <w:instrText>names</w:instrText>
      </w:r>
      <w:r w:rsidR="00E430FD" w:rsidRPr="00795E89">
        <w:rPr>
          <w:b/>
          <w:szCs w:val="24"/>
        </w:rPr>
        <w:instrText>":</w:instrText>
      </w:r>
      <w:r w:rsidR="00E430FD">
        <w:rPr>
          <w:b/>
          <w:szCs w:val="24"/>
          <w:lang w:val="en-US"/>
        </w:rPr>
        <w:instrText>false</w:instrText>
      </w:r>
      <w:r w:rsidR="00E430FD" w:rsidRPr="00795E89">
        <w:rPr>
          <w:b/>
          <w:szCs w:val="24"/>
        </w:rPr>
        <w:instrText>,"</w:instrText>
      </w:r>
      <w:r w:rsidR="00E430FD">
        <w:rPr>
          <w:b/>
          <w:szCs w:val="24"/>
          <w:lang w:val="en-US"/>
        </w:rPr>
        <w:instrText>suffix</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family</w:instrText>
      </w:r>
      <w:r w:rsidR="00E430FD" w:rsidRPr="00795E89">
        <w:rPr>
          <w:b/>
          <w:szCs w:val="24"/>
        </w:rPr>
        <w:instrText>":"</w:instrText>
      </w:r>
      <w:r w:rsidR="00E430FD">
        <w:rPr>
          <w:b/>
          <w:szCs w:val="24"/>
          <w:lang w:val="en-US"/>
        </w:rPr>
        <w:instrText>Slavin</w:instrText>
      </w:r>
      <w:r w:rsidR="00E430FD" w:rsidRPr="00795E89">
        <w:rPr>
          <w:b/>
          <w:szCs w:val="24"/>
        </w:rPr>
        <w:instrText>","</w:instrText>
      </w:r>
      <w:r w:rsidR="00E430FD">
        <w:rPr>
          <w:b/>
          <w:szCs w:val="24"/>
          <w:lang w:val="en-US"/>
        </w:rPr>
        <w:instrText>given</w:instrText>
      </w:r>
      <w:r w:rsidR="00E430FD" w:rsidRPr="00795E89">
        <w:rPr>
          <w:b/>
          <w:szCs w:val="24"/>
        </w:rPr>
        <w:instrText>":"</w:instrText>
      </w:r>
      <w:r w:rsidR="00E430FD">
        <w:rPr>
          <w:b/>
          <w:szCs w:val="24"/>
          <w:lang w:val="en-US"/>
        </w:rPr>
        <w:instrText>Monica</w:instrText>
      </w:r>
      <w:r w:rsidR="00E430FD" w:rsidRPr="00795E89">
        <w:rPr>
          <w:b/>
          <w:szCs w:val="24"/>
        </w:rPr>
        <w:instrText>","</w:instrText>
      </w:r>
      <w:r w:rsidR="00E430FD">
        <w:rPr>
          <w:b/>
          <w:szCs w:val="24"/>
          <w:lang w:val="en-US"/>
        </w:rPr>
        <w:instrText>non</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parse</w:instrText>
      </w:r>
      <w:r w:rsidR="00E430FD" w:rsidRPr="00795E89">
        <w:rPr>
          <w:b/>
          <w:szCs w:val="24"/>
        </w:rPr>
        <w:instrText>-</w:instrText>
      </w:r>
      <w:r w:rsidR="00E430FD">
        <w:rPr>
          <w:b/>
          <w:szCs w:val="24"/>
          <w:lang w:val="en-US"/>
        </w:rPr>
        <w:instrText>names</w:instrText>
      </w:r>
      <w:r w:rsidR="00E430FD" w:rsidRPr="00795E89">
        <w:rPr>
          <w:b/>
          <w:szCs w:val="24"/>
        </w:rPr>
        <w:instrText>":</w:instrText>
      </w:r>
      <w:r w:rsidR="00E430FD">
        <w:rPr>
          <w:b/>
          <w:szCs w:val="24"/>
          <w:lang w:val="en-US"/>
        </w:rPr>
        <w:instrText>false</w:instrText>
      </w:r>
      <w:r w:rsidR="00E430FD" w:rsidRPr="00795E89">
        <w:rPr>
          <w:b/>
          <w:szCs w:val="24"/>
        </w:rPr>
        <w:instrText>,"</w:instrText>
      </w:r>
      <w:r w:rsidR="00E430FD">
        <w:rPr>
          <w:b/>
          <w:szCs w:val="24"/>
          <w:lang w:val="en-US"/>
        </w:rPr>
        <w:instrText>suffix</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family</w:instrText>
      </w:r>
      <w:r w:rsidR="00E430FD" w:rsidRPr="00795E89">
        <w:rPr>
          <w:b/>
          <w:szCs w:val="24"/>
        </w:rPr>
        <w:instrText>":"</w:instrText>
      </w:r>
      <w:r w:rsidR="00E430FD">
        <w:rPr>
          <w:b/>
          <w:szCs w:val="24"/>
          <w:lang w:val="en-US"/>
        </w:rPr>
        <w:instrText>Styczynski</w:instrText>
      </w:r>
      <w:r w:rsidR="00E430FD" w:rsidRPr="00795E89">
        <w:rPr>
          <w:b/>
          <w:szCs w:val="24"/>
        </w:rPr>
        <w:instrText>","</w:instrText>
      </w:r>
      <w:r w:rsidR="00E430FD">
        <w:rPr>
          <w:b/>
          <w:szCs w:val="24"/>
          <w:lang w:val="en-US"/>
        </w:rPr>
        <w:instrText>given</w:instrText>
      </w:r>
      <w:r w:rsidR="00E430FD" w:rsidRPr="00795E89">
        <w:rPr>
          <w:b/>
          <w:szCs w:val="24"/>
        </w:rPr>
        <w:instrText>":"</w:instrText>
      </w:r>
      <w:r w:rsidR="00E430FD">
        <w:rPr>
          <w:b/>
          <w:szCs w:val="24"/>
          <w:lang w:val="en-US"/>
        </w:rPr>
        <w:instrText>Jan</w:instrText>
      </w:r>
      <w:r w:rsidR="00E430FD" w:rsidRPr="00795E89">
        <w:rPr>
          <w:b/>
          <w:szCs w:val="24"/>
        </w:rPr>
        <w:instrText>","</w:instrText>
      </w:r>
      <w:r w:rsidR="00E430FD">
        <w:rPr>
          <w:b/>
          <w:szCs w:val="24"/>
          <w:lang w:val="en-US"/>
        </w:rPr>
        <w:instrText>non</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parse</w:instrText>
      </w:r>
      <w:r w:rsidR="00E430FD" w:rsidRPr="00795E89">
        <w:rPr>
          <w:b/>
          <w:szCs w:val="24"/>
        </w:rPr>
        <w:instrText>-</w:instrText>
      </w:r>
      <w:r w:rsidR="00E430FD">
        <w:rPr>
          <w:b/>
          <w:szCs w:val="24"/>
          <w:lang w:val="en-US"/>
        </w:rPr>
        <w:instrText>names</w:instrText>
      </w:r>
      <w:r w:rsidR="00E430FD" w:rsidRPr="00795E89">
        <w:rPr>
          <w:b/>
          <w:szCs w:val="24"/>
        </w:rPr>
        <w:instrText>":</w:instrText>
      </w:r>
      <w:r w:rsidR="00E430FD">
        <w:rPr>
          <w:b/>
          <w:szCs w:val="24"/>
          <w:lang w:val="en-US"/>
        </w:rPr>
        <w:instrText>false</w:instrText>
      </w:r>
      <w:r w:rsidR="00E430FD" w:rsidRPr="00795E89">
        <w:rPr>
          <w:b/>
          <w:szCs w:val="24"/>
        </w:rPr>
        <w:instrText>,"</w:instrText>
      </w:r>
      <w:r w:rsidR="00E430FD">
        <w:rPr>
          <w:b/>
          <w:szCs w:val="24"/>
          <w:lang w:val="en-US"/>
        </w:rPr>
        <w:instrText>suffix</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family</w:instrText>
      </w:r>
      <w:r w:rsidR="00E430FD" w:rsidRPr="00795E89">
        <w:rPr>
          <w:b/>
          <w:szCs w:val="24"/>
        </w:rPr>
        <w:instrText>":"</w:instrText>
      </w:r>
      <w:r w:rsidR="00E430FD">
        <w:rPr>
          <w:b/>
          <w:szCs w:val="24"/>
          <w:lang w:val="en-US"/>
        </w:rPr>
        <w:instrText>Tweddle</w:instrText>
      </w:r>
      <w:r w:rsidR="00E430FD" w:rsidRPr="00795E89">
        <w:rPr>
          <w:b/>
          <w:szCs w:val="24"/>
        </w:rPr>
        <w:instrText>","</w:instrText>
      </w:r>
      <w:r w:rsidR="00E430FD">
        <w:rPr>
          <w:b/>
          <w:szCs w:val="24"/>
          <w:lang w:val="en-US"/>
        </w:rPr>
        <w:instrText>given</w:instrText>
      </w:r>
      <w:r w:rsidR="00E430FD" w:rsidRPr="00795E89">
        <w:rPr>
          <w:b/>
          <w:szCs w:val="24"/>
        </w:rPr>
        <w:instrText>":"</w:instrText>
      </w:r>
      <w:r w:rsidR="00E430FD">
        <w:rPr>
          <w:b/>
          <w:szCs w:val="24"/>
          <w:lang w:val="en-US"/>
        </w:rPr>
        <w:instrText>Lorraine</w:instrText>
      </w:r>
      <w:r w:rsidR="00E430FD" w:rsidRPr="00795E89">
        <w:rPr>
          <w:b/>
          <w:szCs w:val="24"/>
        </w:rPr>
        <w:instrText>","</w:instrText>
      </w:r>
      <w:r w:rsidR="00E430FD">
        <w:rPr>
          <w:b/>
          <w:szCs w:val="24"/>
          <w:lang w:val="en-US"/>
        </w:rPr>
        <w:instrText>non</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parse</w:instrText>
      </w:r>
      <w:r w:rsidR="00E430FD" w:rsidRPr="00795E89">
        <w:rPr>
          <w:b/>
          <w:szCs w:val="24"/>
        </w:rPr>
        <w:instrText>-</w:instrText>
      </w:r>
      <w:r w:rsidR="00E430FD">
        <w:rPr>
          <w:b/>
          <w:szCs w:val="24"/>
          <w:lang w:val="en-US"/>
        </w:rPr>
        <w:instrText>names</w:instrText>
      </w:r>
      <w:r w:rsidR="00E430FD" w:rsidRPr="00795E89">
        <w:rPr>
          <w:b/>
          <w:szCs w:val="24"/>
        </w:rPr>
        <w:instrText>":</w:instrText>
      </w:r>
      <w:r w:rsidR="00E430FD">
        <w:rPr>
          <w:b/>
          <w:szCs w:val="24"/>
          <w:lang w:val="en-US"/>
        </w:rPr>
        <w:instrText>false</w:instrText>
      </w:r>
      <w:r w:rsidR="00E430FD" w:rsidRPr="00795E89">
        <w:rPr>
          <w:b/>
          <w:szCs w:val="24"/>
        </w:rPr>
        <w:instrText>,"</w:instrText>
      </w:r>
      <w:r w:rsidR="00E430FD">
        <w:rPr>
          <w:b/>
          <w:szCs w:val="24"/>
          <w:lang w:val="en-US"/>
        </w:rPr>
        <w:instrText>suffix</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family</w:instrText>
      </w:r>
      <w:r w:rsidR="00E430FD" w:rsidRPr="00795E89">
        <w:rPr>
          <w:b/>
          <w:szCs w:val="24"/>
        </w:rPr>
        <w:instrText>":"</w:instrText>
      </w:r>
      <w:r w:rsidR="00E430FD">
        <w:rPr>
          <w:b/>
          <w:szCs w:val="24"/>
          <w:lang w:val="en-US"/>
        </w:rPr>
        <w:instrText>Wood</w:instrText>
      </w:r>
      <w:r w:rsidR="00E430FD" w:rsidRPr="00795E89">
        <w:rPr>
          <w:b/>
          <w:szCs w:val="24"/>
        </w:rPr>
        <w:instrText>","</w:instrText>
      </w:r>
      <w:r w:rsidR="00E430FD">
        <w:rPr>
          <w:b/>
          <w:szCs w:val="24"/>
          <w:lang w:val="en-US"/>
        </w:rPr>
        <w:instrText>given</w:instrText>
      </w:r>
      <w:r w:rsidR="00E430FD" w:rsidRPr="00795E89">
        <w:rPr>
          <w:b/>
          <w:szCs w:val="24"/>
        </w:rPr>
        <w:instrText>":"</w:instrText>
      </w:r>
      <w:r w:rsidR="00E430FD">
        <w:rPr>
          <w:b/>
          <w:szCs w:val="24"/>
          <w:lang w:val="en-US"/>
        </w:rPr>
        <w:instrText>Craig</w:instrText>
      </w:r>
      <w:r w:rsidR="00E430FD" w:rsidRPr="00795E89">
        <w:rPr>
          <w:b/>
          <w:szCs w:val="24"/>
        </w:rPr>
        <w:instrText>","</w:instrText>
      </w:r>
      <w:r w:rsidR="00E430FD">
        <w:rPr>
          <w:b/>
          <w:szCs w:val="24"/>
          <w:lang w:val="en-US"/>
        </w:rPr>
        <w:instrText>non</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parse</w:instrText>
      </w:r>
      <w:r w:rsidR="00E430FD" w:rsidRPr="00795E89">
        <w:rPr>
          <w:b/>
          <w:szCs w:val="24"/>
        </w:rPr>
        <w:instrText>-</w:instrText>
      </w:r>
      <w:r w:rsidR="00E430FD">
        <w:rPr>
          <w:b/>
          <w:szCs w:val="24"/>
          <w:lang w:val="en-US"/>
        </w:rPr>
        <w:instrText>names</w:instrText>
      </w:r>
      <w:r w:rsidR="00E430FD" w:rsidRPr="00795E89">
        <w:rPr>
          <w:b/>
          <w:szCs w:val="24"/>
        </w:rPr>
        <w:instrText>":</w:instrText>
      </w:r>
      <w:r w:rsidR="00E430FD">
        <w:rPr>
          <w:b/>
          <w:szCs w:val="24"/>
          <w:lang w:val="en-US"/>
        </w:rPr>
        <w:instrText>false</w:instrText>
      </w:r>
      <w:r w:rsidR="00E430FD" w:rsidRPr="00795E89">
        <w:rPr>
          <w:b/>
          <w:szCs w:val="24"/>
        </w:rPr>
        <w:instrText>,"</w:instrText>
      </w:r>
      <w:r w:rsidR="00E430FD">
        <w:rPr>
          <w:b/>
          <w:szCs w:val="24"/>
          <w:lang w:val="en-US"/>
        </w:rPr>
        <w:instrText>suffix</w:instrText>
      </w:r>
      <w:r w:rsidR="00E430FD" w:rsidRPr="00795E89">
        <w:rPr>
          <w:b/>
          <w:szCs w:val="24"/>
        </w:rPr>
        <w:instrText>":""}],"</w:instrText>
      </w:r>
      <w:r w:rsidR="00E430FD">
        <w:rPr>
          <w:b/>
          <w:szCs w:val="24"/>
          <w:lang w:val="en-US"/>
        </w:rPr>
        <w:instrText>container</w:instrText>
      </w:r>
      <w:r w:rsidR="00E430FD" w:rsidRPr="00795E89">
        <w:rPr>
          <w:b/>
          <w:szCs w:val="24"/>
        </w:rPr>
        <w:instrText>-</w:instrText>
      </w:r>
      <w:r w:rsidR="00E430FD">
        <w:rPr>
          <w:b/>
          <w:szCs w:val="24"/>
          <w:lang w:val="en-US"/>
        </w:rPr>
        <w:instrText>title</w:instrText>
      </w:r>
      <w:r w:rsidR="00E430FD" w:rsidRPr="00795E89">
        <w:rPr>
          <w:b/>
          <w:szCs w:val="24"/>
        </w:rPr>
        <w:instrText>":"</w:instrText>
      </w:r>
      <w:r w:rsidR="00E430FD">
        <w:rPr>
          <w:b/>
          <w:szCs w:val="24"/>
          <w:lang w:val="en-US"/>
        </w:rPr>
        <w:instrText>Journal</w:instrText>
      </w:r>
      <w:r w:rsidR="00E430FD" w:rsidRPr="00795E89">
        <w:rPr>
          <w:b/>
          <w:szCs w:val="24"/>
        </w:rPr>
        <w:instrText xml:space="preserve"> </w:instrText>
      </w:r>
      <w:r w:rsidR="00E430FD">
        <w:rPr>
          <w:b/>
          <w:szCs w:val="24"/>
          <w:lang w:val="en-US"/>
        </w:rPr>
        <w:instrText>of</w:instrText>
      </w:r>
      <w:r w:rsidR="00E430FD" w:rsidRPr="00795E89">
        <w:rPr>
          <w:b/>
          <w:szCs w:val="24"/>
        </w:rPr>
        <w:instrText xml:space="preserve"> </w:instrText>
      </w:r>
      <w:r w:rsidR="00E430FD">
        <w:rPr>
          <w:b/>
          <w:szCs w:val="24"/>
          <w:lang w:val="en-US"/>
        </w:rPr>
        <w:instrText>Antimicrobial</w:instrText>
      </w:r>
      <w:r w:rsidR="00E430FD" w:rsidRPr="00795E89">
        <w:rPr>
          <w:b/>
          <w:szCs w:val="24"/>
        </w:rPr>
        <w:instrText xml:space="preserve"> </w:instrText>
      </w:r>
      <w:r w:rsidR="00E430FD">
        <w:rPr>
          <w:b/>
          <w:szCs w:val="24"/>
          <w:lang w:val="en-US"/>
        </w:rPr>
        <w:instrText>Chemotherapy</w:instrText>
      </w:r>
      <w:r w:rsidR="00E430FD" w:rsidRPr="00795E89">
        <w:rPr>
          <w:b/>
          <w:szCs w:val="24"/>
        </w:rPr>
        <w:instrText>","</w:instrText>
      </w:r>
      <w:r w:rsidR="00E430FD">
        <w:rPr>
          <w:b/>
          <w:szCs w:val="24"/>
          <w:lang w:val="en-US"/>
        </w:rPr>
        <w:instrText>id</w:instrText>
      </w:r>
      <w:r w:rsidR="00E430FD" w:rsidRPr="00795E89">
        <w:rPr>
          <w:b/>
          <w:szCs w:val="24"/>
        </w:rPr>
        <w:instrText>":"</w:instrText>
      </w:r>
      <w:r w:rsidR="00E430FD">
        <w:rPr>
          <w:b/>
          <w:szCs w:val="24"/>
          <w:lang w:val="en-US"/>
        </w:rPr>
        <w:instrText>ITEM</w:instrText>
      </w:r>
      <w:r w:rsidR="00E430FD" w:rsidRPr="00795E89">
        <w:rPr>
          <w:b/>
          <w:szCs w:val="24"/>
        </w:rPr>
        <w:instrText>-2","</w:instrText>
      </w:r>
      <w:r w:rsidR="00E430FD">
        <w:rPr>
          <w:b/>
          <w:szCs w:val="24"/>
          <w:lang w:val="en-US"/>
        </w:rPr>
        <w:instrText>issue</w:instrText>
      </w:r>
      <w:r w:rsidR="00E430FD" w:rsidRPr="00795E89">
        <w:rPr>
          <w:b/>
          <w:szCs w:val="24"/>
        </w:rPr>
        <w:instrText>":"9","</w:instrText>
      </w:r>
      <w:r w:rsidR="00E430FD">
        <w:rPr>
          <w:b/>
          <w:szCs w:val="24"/>
          <w:lang w:val="en-US"/>
        </w:rPr>
        <w:instrText>issued</w:instrText>
      </w:r>
      <w:r w:rsidR="00E430FD" w:rsidRPr="00795E89">
        <w:rPr>
          <w:b/>
          <w:szCs w:val="24"/>
        </w:rPr>
        <w:instrText>":{"</w:instrText>
      </w:r>
      <w:r w:rsidR="00E430FD">
        <w:rPr>
          <w:b/>
          <w:szCs w:val="24"/>
          <w:lang w:val="en-US"/>
        </w:rPr>
        <w:instrText>date</w:instrText>
      </w:r>
      <w:r w:rsidR="00E430FD" w:rsidRPr="00795E89">
        <w:rPr>
          <w:b/>
          <w:szCs w:val="24"/>
        </w:rPr>
        <w:instrText>-</w:instrText>
      </w:r>
      <w:r w:rsidR="00E430FD">
        <w:rPr>
          <w:b/>
          <w:szCs w:val="24"/>
          <w:lang w:val="en-US"/>
        </w:rPr>
        <w:instrText>parts</w:instrText>
      </w:r>
      <w:r w:rsidR="00E430FD" w:rsidRPr="00795E89">
        <w:rPr>
          <w:b/>
          <w:szCs w:val="24"/>
        </w:rPr>
        <w:instrText>":[["2016","9","1"]]},"</w:instrText>
      </w:r>
      <w:r w:rsidR="00E430FD">
        <w:rPr>
          <w:b/>
          <w:szCs w:val="24"/>
          <w:lang w:val="en-US"/>
        </w:rPr>
        <w:instrText>page</w:instrText>
      </w:r>
      <w:r w:rsidR="00E430FD" w:rsidRPr="00795E89">
        <w:rPr>
          <w:b/>
          <w:szCs w:val="24"/>
        </w:rPr>
        <w:instrText>":"1-8","</w:instrText>
      </w:r>
      <w:r w:rsidR="00E430FD">
        <w:rPr>
          <w:b/>
          <w:szCs w:val="24"/>
          <w:lang w:val="en-US"/>
        </w:rPr>
        <w:instrText>publisher</w:instrText>
      </w:r>
      <w:r w:rsidR="00E430FD" w:rsidRPr="00795E89">
        <w:rPr>
          <w:b/>
          <w:szCs w:val="24"/>
        </w:rPr>
        <w:instrText>":"</w:instrText>
      </w:r>
      <w:r w:rsidR="00E430FD">
        <w:rPr>
          <w:b/>
          <w:szCs w:val="24"/>
          <w:lang w:val="en-US"/>
        </w:rPr>
        <w:instrText>Oxford</w:instrText>
      </w:r>
      <w:r w:rsidR="00E430FD" w:rsidRPr="00795E89">
        <w:rPr>
          <w:b/>
          <w:szCs w:val="24"/>
        </w:rPr>
        <w:instrText xml:space="preserve"> </w:instrText>
      </w:r>
      <w:r w:rsidR="00E430FD">
        <w:rPr>
          <w:b/>
          <w:szCs w:val="24"/>
          <w:lang w:val="en-US"/>
        </w:rPr>
        <w:instrText>University</w:instrText>
      </w:r>
      <w:r w:rsidR="00E430FD" w:rsidRPr="00795E89">
        <w:rPr>
          <w:b/>
          <w:szCs w:val="24"/>
        </w:rPr>
        <w:instrText xml:space="preserve"> </w:instrText>
      </w:r>
      <w:r w:rsidR="00E430FD">
        <w:rPr>
          <w:b/>
          <w:szCs w:val="24"/>
          <w:lang w:val="en-US"/>
        </w:rPr>
        <w:instrText>Press</w:instrText>
      </w:r>
      <w:r w:rsidR="00E430FD" w:rsidRPr="00795E89">
        <w:rPr>
          <w:b/>
          <w:szCs w:val="24"/>
        </w:rPr>
        <w:instrText>","</w:instrText>
      </w:r>
      <w:r w:rsidR="00E430FD">
        <w:rPr>
          <w:b/>
          <w:szCs w:val="24"/>
          <w:lang w:val="en-US"/>
        </w:rPr>
        <w:instrText>title</w:instrText>
      </w:r>
      <w:r w:rsidR="00E430FD" w:rsidRPr="00795E89">
        <w:rPr>
          <w:b/>
          <w:szCs w:val="24"/>
        </w:rPr>
        <w:instrText>":"</w:instrText>
      </w:r>
      <w:r w:rsidR="00E430FD">
        <w:rPr>
          <w:b/>
          <w:szCs w:val="24"/>
          <w:lang w:val="en-US"/>
        </w:rPr>
        <w:instrText>ECIL</w:instrText>
      </w:r>
      <w:r w:rsidR="00E430FD" w:rsidRPr="00795E89">
        <w:rPr>
          <w:b/>
          <w:szCs w:val="24"/>
        </w:rPr>
        <w:instrText xml:space="preserve"> </w:instrText>
      </w:r>
      <w:r w:rsidR="00E430FD">
        <w:rPr>
          <w:b/>
          <w:szCs w:val="24"/>
          <w:lang w:val="en-US"/>
        </w:rPr>
        <w:instrText>guidelines</w:instrText>
      </w:r>
      <w:r w:rsidR="00E430FD" w:rsidRPr="00795E89">
        <w:rPr>
          <w:b/>
          <w:szCs w:val="24"/>
        </w:rPr>
        <w:instrText xml:space="preserve"> </w:instrText>
      </w:r>
      <w:r w:rsidR="00E430FD">
        <w:rPr>
          <w:b/>
          <w:szCs w:val="24"/>
          <w:lang w:val="en-US"/>
        </w:rPr>
        <w:instrText>for</w:instrText>
      </w:r>
      <w:r w:rsidR="00E430FD" w:rsidRPr="00795E89">
        <w:rPr>
          <w:b/>
          <w:szCs w:val="24"/>
        </w:rPr>
        <w:instrText xml:space="preserve"> </w:instrText>
      </w:r>
      <w:r w:rsidR="00E430FD">
        <w:rPr>
          <w:b/>
          <w:szCs w:val="24"/>
          <w:lang w:val="en-US"/>
        </w:rPr>
        <w:instrText>preventing</w:instrText>
      </w:r>
      <w:r w:rsidR="00E430FD" w:rsidRPr="00795E89">
        <w:rPr>
          <w:b/>
          <w:szCs w:val="24"/>
        </w:rPr>
        <w:instrText xml:space="preserve"> </w:instrText>
      </w:r>
      <w:r w:rsidR="00E430FD">
        <w:rPr>
          <w:b/>
          <w:szCs w:val="24"/>
          <w:lang w:val="en-US"/>
        </w:rPr>
        <w:instrText>Pneumocystis</w:instrText>
      </w:r>
      <w:r w:rsidR="00E430FD" w:rsidRPr="00795E89">
        <w:rPr>
          <w:b/>
          <w:szCs w:val="24"/>
        </w:rPr>
        <w:instrText xml:space="preserve"> </w:instrText>
      </w:r>
      <w:r w:rsidR="00E430FD">
        <w:rPr>
          <w:b/>
          <w:szCs w:val="24"/>
          <w:lang w:val="en-US"/>
        </w:rPr>
        <w:instrText>jirovecii</w:instrText>
      </w:r>
      <w:r w:rsidR="00E430FD" w:rsidRPr="00795E89">
        <w:rPr>
          <w:b/>
          <w:szCs w:val="24"/>
        </w:rPr>
        <w:instrText xml:space="preserve"> </w:instrText>
      </w:r>
      <w:r w:rsidR="00E430FD">
        <w:rPr>
          <w:b/>
          <w:szCs w:val="24"/>
          <w:lang w:val="en-US"/>
        </w:rPr>
        <w:instrText>pneumonia</w:instrText>
      </w:r>
      <w:r w:rsidR="00E430FD" w:rsidRPr="00795E89">
        <w:rPr>
          <w:b/>
          <w:szCs w:val="24"/>
        </w:rPr>
        <w:instrText xml:space="preserve"> </w:instrText>
      </w:r>
      <w:r w:rsidR="00E430FD">
        <w:rPr>
          <w:b/>
          <w:szCs w:val="24"/>
          <w:lang w:val="en-US"/>
        </w:rPr>
        <w:instrText>in</w:instrText>
      </w:r>
      <w:r w:rsidR="00E430FD" w:rsidRPr="00795E89">
        <w:rPr>
          <w:b/>
          <w:szCs w:val="24"/>
        </w:rPr>
        <w:instrText xml:space="preserve"> </w:instrText>
      </w:r>
      <w:r w:rsidR="00E430FD">
        <w:rPr>
          <w:b/>
          <w:szCs w:val="24"/>
          <w:lang w:val="en-US"/>
        </w:rPr>
        <w:instrText>patients</w:instrText>
      </w:r>
      <w:r w:rsidR="00E430FD" w:rsidRPr="00795E89">
        <w:rPr>
          <w:b/>
          <w:szCs w:val="24"/>
        </w:rPr>
        <w:instrText xml:space="preserve"> </w:instrText>
      </w:r>
      <w:r w:rsidR="00E430FD">
        <w:rPr>
          <w:b/>
          <w:szCs w:val="24"/>
          <w:lang w:val="en-US"/>
        </w:rPr>
        <w:instrText>with</w:instrText>
      </w:r>
      <w:r w:rsidR="00E430FD" w:rsidRPr="00795E89">
        <w:rPr>
          <w:b/>
          <w:szCs w:val="24"/>
        </w:rPr>
        <w:instrText xml:space="preserve"> </w:instrText>
      </w:r>
      <w:r w:rsidR="00E430FD">
        <w:rPr>
          <w:b/>
          <w:szCs w:val="24"/>
          <w:lang w:val="en-US"/>
        </w:rPr>
        <w:instrText>haematological</w:instrText>
      </w:r>
      <w:r w:rsidR="00E430FD" w:rsidRPr="00795E89">
        <w:rPr>
          <w:b/>
          <w:szCs w:val="24"/>
        </w:rPr>
        <w:instrText xml:space="preserve"> </w:instrText>
      </w:r>
      <w:r w:rsidR="00E430FD">
        <w:rPr>
          <w:b/>
          <w:szCs w:val="24"/>
          <w:lang w:val="en-US"/>
        </w:rPr>
        <w:instrText>malignancies</w:instrText>
      </w:r>
      <w:r w:rsidR="00E430FD" w:rsidRPr="00795E89">
        <w:rPr>
          <w:b/>
          <w:szCs w:val="24"/>
        </w:rPr>
        <w:instrText xml:space="preserve"> </w:instrText>
      </w:r>
      <w:r w:rsidR="00E430FD">
        <w:rPr>
          <w:b/>
          <w:szCs w:val="24"/>
          <w:lang w:val="en-US"/>
        </w:rPr>
        <w:instrText>and</w:instrText>
      </w:r>
      <w:r w:rsidR="00E430FD" w:rsidRPr="00795E89">
        <w:rPr>
          <w:b/>
          <w:szCs w:val="24"/>
        </w:rPr>
        <w:instrText xml:space="preserve"> </w:instrText>
      </w:r>
      <w:r w:rsidR="00E430FD">
        <w:rPr>
          <w:b/>
          <w:szCs w:val="24"/>
          <w:lang w:val="en-US"/>
        </w:rPr>
        <w:instrText>stem</w:instrText>
      </w:r>
      <w:r w:rsidR="00E430FD" w:rsidRPr="00795E89">
        <w:rPr>
          <w:b/>
          <w:szCs w:val="24"/>
        </w:rPr>
        <w:instrText xml:space="preserve"> </w:instrText>
      </w:r>
      <w:r w:rsidR="00E430FD">
        <w:rPr>
          <w:b/>
          <w:szCs w:val="24"/>
          <w:lang w:val="en-US"/>
        </w:rPr>
        <w:instrText>cell</w:instrText>
      </w:r>
      <w:r w:rsidR="00E430FD" w:rsidRPr="00795E89">
        <w:rPr>
          <w:b/>
          <w:szCs w:val="24"/>
        </w:rPr>
        <w:instrText xml:space="preserve"> </w:instrText>
      </w:r>
      <w:r w:rsidR="00E430FD">
        <w:rPr>
          <w:b/>
          <w:szCs w:val="24"/>
          <w:lang w:val="en-US"/>
        </w:rPr>
        <w:instrText>transplant</w:instrText>
      </w:r>
      <w:r w:rsidR="00E430FD" w:rsidRPr="00795E89">
        <w:rPr>
          <w:b/>
          <w:szCs w:val="24"/>
        </w:rPr>
        <w:instrText xml:space="preserve"> </w:instrText>
      </w:r>
      <w:r w:rsidR="00E430FD">
        <w:rPr>
          <w:b/>
          <w:szCs w:val="24"/>
          <w:lang w:val="en-US"/>
        </w:rPr>
        <w:instrText>recipients</w:instrText>
      </w:r>
      <w:r w:rsidR="00E430FD" w:rsidRPr="00795E89">
        <w:rPr>
          <w:b/>
          <w:szCs w:val="24"/>
        </w:rPr>
        <w:instrText>","</w:instrText>
      </w:r>
      <w:r w:rsidR="00E430FD">
        <w:rPr>
          <w:b/>
          <w:szCs w:val="24"/>
          <w:lang w:val="en-US"/>
        </w:rPr>
        <w:instrText>type</w:instrText>
      </w:r>
      <w:r w:rsidR="00E430FD" w:rsidRPr="00795E89">
        <w:rPr>
          <w:b/>
          <w:szCs w:val="24"/>
        </w:rPr>
        <w:instrText>":"</w:instrText>
      </w:r>
      <w:r w:rsidR="00E430FD">
        <w:rPr>
          <w:b/>
          <w:szCs w:val="24"/>
          <w:lang w:val="en-US"/>
        </w:rPr>
        <w:instrText>bill</w:instrText>
      </w:r>
      <w:r w:rsidR="00E430FD" w:rsidRPr="00795E89">
        <w:rPr>
          <w:b/>
          <w:szCs w:val="24"/>
        </w:rPr>
        <w:instrText>","</w:instrText>
      </w:r>
      <w:r w:rsidR="00E430FD">
        <w:rPr>
          <w:b/>
          <w:szCs w:val="24"/>
          <w:lang w:val="en-US"/>
        </w:rPr>
        <w:instrText>volume</w:instrText>
      </w:r>
      <w:r w:rsidR="00E430FD" w:rsidRPr="00795E89">
        <w:rPr>
          <w:b/>
          <w:szCs w:val="24"/>
        </w:rPr>
        <w:instrText>":"71"},"</w:instrText>
      </w:r>
      <w:r w:rsidR="00E430FD">
        <w:rPr>
          <w:b/>
          <w:szCs w:val="24"/>
          <w:lang w:val="en-US"/>
        </w:rPr>
        <w:instrText>uris</w:instrText>
      </w:r>
      <w:r w:rsidR="00E430FD" w:rsidRPr="00795E89">
        <w:rPr>
          <w:b/>
          <w:szCs w:val="24"/>
        </w:rPr>
        <w:instrText>":["</w:instrText>
      </w:r>
      <w:r w:rsidR="00E430FD">
        <w:rPr>
          <w:b/>
          <w:szCs w:val="24"/>
          <w:lang w:val="en-US"/>
        </w:rPr>
        <w:instrText>http</w:instrText>
      </w:r>
      <w:r w:rsidR="00E430FD" w:rsidRPr="00795E89">
        <w:rPr>
          <w:b/>
          <w:szCs w:val="24"/>
        </w:rPr>
        <w:instrText>://</w:instrText>
      </w:r>
      <w:r w:rsidR="00E430FD">
        <w:rPr>
          <w:b/>
          <w:szCs w:val="24"/>
          <w:lang w:val="en-US"/>
        </w:rPr>
        <w:instrText>www</w:instrText>
      </w:r>
      <w:r w:rsidR="00E430FD" w:rsidRPr="00795E89">
        <w:rPr>
          <w:b/>
          <w:szCs w:val="24"/>
        </w:rPr>
        <w:instrText>.</w:instrText>
      </w:r>
      <w:r w:rsidR="00E430FD">
        <w:rPr>
          <w:b/>
          <w:szCs w:val="24"/>
          <w:lang w:val="en-US"/>
        </w:rPr>
        <w:instrText>mendeley</w:instrText>
      </w:r>
      <w:r w:rsidR="00E430FD" w:rsidRPr="00795E89">
        <w:rPr>
          <w:b/>
          <w:szCs w:val="24"/>
        </w:rPr>
        <w:instrText>.</w:instrText>
      </w:r>
      <w:r w:rsidR="00E430FD">
        <w:rPr>
          <w:b/>
          <w:szCs w:val="24"/>
          <w:lang w:val="en-US"/>
        </w:rPr>
        <w:instrText>com</w:instrText>
      </w:r>
      <w:r w:rsidR="00E430FD" w:rsidRPr="00795E89">
        <w:rPr>
          <w:b/>
          <w:szCs w:val="24"/>
        </w:rPr>
        <w:instrText>/</w:instrText>
      </w:r>
      <w:r w:rsidR="00E430FD">
        <w:rPr>
          <w:b/>
          <w:szCs w:val="24"/>
          <w:lang w:val="en-US"/>
        </w:rPr>
        <w:instrText>documents</w:instrText>
      </w:r>
      <w:r w:rsidR="00E430FD" w:rsidRPr="00795E89">
        <w:rPr>
          <w:b/>
          <w:szCs w:val="24"/>
        </w:rPr>
        <w:instrText>/?</w:instrText>
      </w:r>
      <w:r w:rsidR="00E430FD">
        <w:rPr>
          <w:b/>
          <w:szCs w:val="24"/>
          <w:lang w:val="en-US"/>
        </w:rPr>
        <w:instrText>uuid</w:instrText>
      </w:r>
      <w:r w:rsidR="00E430FD" w:rsidRPr="00795E89">
        <w:rPr>
          <w:b/>
          <w:szCs w:val="24"/>
        </w:rPr>
        <w:instrText>=</w:instrText>
      </w:r>
      <w:r w:rsidR="00E430FD">
        <w:rPr>
          <w:b/>
          <w:szCs w:val="24"/>
          <w:lang w:val="en-US"/>
        </w:rPr>
        <w:instrText>a</w:instrText>
      </w:r>
      <w:r w:rsidR="00E430FD" w:rsidRPr="00795E89">
        <w:rPr>
          <w:b/>
          <w:szCs w:val="24"/>
        </w:rPr>
        <w:instrText>0</w:instrText>
      </w:r>
      <w:r w:rsidR="00E430FD">
        <w:rPr>
          <w:b/>
          <w:szCs w:val="24"/>
          <w:lang w:val="en-US"/>
        </w:rPr>
        <w:instrText>eb</w:instrText>
      </w:r>
      <w:r w:rsidR="00E430FD" w:rsidRPr="00795E89">
        <w:rPr>
          <w:b/>
          <w:szCs w:val="24"/>
        </w:rPr>
        <w:instrText>48</w:instrText>
      </w:r>
      <w:r w:rsidR="00E430FD">
        <w:rPr>
          <w:b/>
          <w:szCs w:val="24"/>
          <w:lang w:val="en-US"/>
        </w:rPr>
        <w:instrText>bc</w:instrText>
      </w:r>
      <w:r w:rsidR="00E430FD" w:rsidRPr="00795E89">
        <w:rPr>
          <w:b/>
          <w:szCs w:val="24"/>
        </w:rPr>
        <w:instrText>-4417-4</w:instrText>
      </w:r>
      <w:r w:rsidR="00E430FD">
        <w:rPr>
          <w:b/>
          <w:szCs w:val="24"/>
          <w:lang w:val="en-US"/>
        </w:rPr>
        <w:instrText>d</w:instrText>
      </w:r>
      <w:r w:rsidR="00E430FD" w:rsidRPr="00795E89">
        <w:rPr>
          <w:b/>
          <w:szCs w:val="24"/>
        </w:rPr>
        <w:instrText>24-8796-9587</w:instrText>
      </w:r>
      <w:r w:rsidR="00E430FD">
        <w:rPr>
          <w:b/>
          <w:szCs w:val="24"/>
          <w:lang w:val="en-US"/>
        </w:rPr>
        <w:instrText>f</w:instrText>
      </w:r>
      <w:r w:rsidR="00E430FD" w:rsidRPr="00795E89">
        <w:rPr>
          <w:b/>
          <w:szCs w:val="24"/>
        </w:rPr>
        <w:instrText>2</w:instrText>
      </w:r>
      <w:r w:rsidR="00E430FD">
        <w:rPr>
          <w:b/>
          <w:szCs w:val="24"/>
          <w:lang w:val="en-US"/>
        </w:rPr>
        <w:instrText>cfd</w:instrText>
      </w:r>
      <w:r w:rsidR="00E430FD" w:rsidRPr="00795E89">
        <w:rPr>
          <w:b/>
          <w:szCs w:val="24"/>
        </w:rPr>
        <w:instrText>3</w:instrText>
      </w:r>
      <w:r w:rsidR="00E430FD">
        <w:rPr>
          <w:b/>
          <w:szCs w:val="24"/>
          <w:lang w:val="en-US"/>
        </w:rPr>
        <w:instrText>b</w:instrText>
      </w:r>
      <w:r w:rsidR="00E430FD" w:rsidRPr="00795E89">
        <w:rPr>
          <w:b/>
          <w:szCs w:val="24"/>
        </w:rPr>
        <w:instrText>7"]}],"</w:instrText>
      </w:r>
      <w:r w:rsidR="00E430FD">
        <w:rPr>
          <w:b/>
          <w:szCs w:val="24"/>
          <w:lang w:val="en-US"/>
        </w:rPr>
        <w:instrText>mendeley</w:instrText>
      </w:r>
      <w:r w:rsidR="00E430FD" w:rsidRPr="00795E89">
        <w:rPr>
          <w:b/>
          <w:szCs w:val="24"/>
        </w:rPr>
        <w:instrText>":{"</w:instrText>
      </w:r>
      <w:r w:rsidR="00E430FD">
        <w:rPr>
          <w:b/>
          <w:szCs w:val="24"/>
          <w:lang w:val="en-US"/>
        </w:rPr>
        <w:instrText>formattedCitation</w:instrText>
      </w:r>
      <w:r w:rsidR="00E430FD" w:rsidRPr="00795E89">
        <w:rPr>
          <w:b/>
          <w:szCs w:val="24"/>
        </w:rPr>
        <w:instrText>":"[232,233]","</w:instrText>
      </w:r>
      <w:r w:rsidR="00E430FD">
        <w:rPr>
          <w:b/>
          <w:szCs w:val="24"/>
          <w:lang w:val="en-US"/>
        </w:rPr>
        <w:instrText>plainTextFormattedCitation</w:instrText>
      </w:r>
      <w:r w:rsidR="00E430FD" w:rsidRPr="00795E89">
        <w:rPr>
          <w:b/>
          <w:szCs w:val="24"/>
        </w:rPr>
        <w:instrText>":"[232,233]","</w:instrText>
      </w:r>
      <w:r w:rsidR="00E430FD">
        <w:rPr>
          <w:b/>
          <w:szCs w:val="24"/>
          <w:lang w:val="en-US"/>
        </w:rPr>
        <w:instrText>previouslyFormattedCitation</w:instrText>
      </w:r>
      <w:r w:rsidR="00E430FD" w:rsidRPr="00795E89">
        <w:rPr>
          <w:b/>
          <w:szCs w:val="24"/>
        </w:rPr>
        <w:instrText>":"[232,233]"},"</w:instrText>
      </w:r>
      <w:r w:rsidR="00E430FD">
        <w:rPr>
          <w:b/>
          <w:szCs w:val="24"/>
          <w:lang w:val="en-US"/>
        </w:rPr>
        <w:instrText>properties</w:instrText>
      </w:r>
      <w:r w:rsidR="00E430FD" w:rsidRPr="00795E89">
        <w:rPr>
          <w:b/>
          <w:szCs w:val="24"/>
        </w:rPr>
        <w:instrText>":{"</w:instrText>
      </w:r>
      <w:r w:rsidR="00E430FD">
        <w:rPr>
          <w:b/>
          <w:szCs w:val="24"/>
          <w:lang w:val="en-US"/>
        </w:rPr>
        <w:instrText>noteIndex</w:instrText>
      </w:r>
      <w:r w:rsidR="00E430FD" w:rsidRPr="00795E89">
        <w:rPr>
          <w:b/>
          <w:szCs w:val="24"/>
        </w:rPr>
        <w:instrText>":0},"</w:instrText>
      </w:r>
      <w:r w:rsidR="00E430FD">
        <w:rPr>
          <w:b/>
          <w:szCs w:val="24"/>
          <w:lang w:val="en-US"/>
        </w:rPr>
        <w:instrText>schema</w:instrText>
      </w:r>
      <w:r w:rsidR="00E430FD" w:rsidRPr="00795E89">
        <w:rPr>
          <w:b/>
          <w:szCs w:val="24"/>
        </w:rPr>
        <w:instrText>":"</w:instrText>
      </w:r>
      <w:r w:rsidR="00E430FD">
        <w:rPr>
          <w:b/>
          <w:szCs w:val="24"/>
          <w:lang w:val="en-US"/>
        </w:rPr>
        <w:instrText>https</w:instrText>
      </w:r>
      <w:r w:rsidR="00E430FD" w:rsidRPr="00795E89">
        <w:rPr>
          <w:b/>
          <w:szCs w:val="24"/>
        </w:rPr>
        <w:instrText>://</w:instrText>
      </w:r>
      <w:r w:rsidR="00E430FD">
        <w:rPr>
          <w:b/>
          <w:szCs w:val="24"/>
          <w:lang w:val="en-US"/>
        </w:rPr>
        <w:instrText>github</w:instrText>
      </w:r>
      <w:r w:rsidR="00E430FD" w:rsidRPr="00795E89">
        <w:rPr>
          <w:b/>
          <w:szCs w:val="24"/>
        </w:rPr>
        <w:instrText>.</w:instrText>
      </w:r>
      <w:r w:rsidR="00E430FD">
        <w:rPr>
          <w:b/>
          <w:szCs w:val="24"/>
          <w:lang w:val="en-US"/>
        </w:rPr>
        <w:instrText>com</w:instrText>
      </w:r>
      <w:r w:rsidR="00E430FD" w:rsidRPr="00795E89">
        <w:rPr>
          <w:b/>
          <w:szCs w:val="24"/>
        </w:rPr>
        <w:instrText>/</w:instrText>
      </w:r>
      <w:r w:rsidR="00E430FD">
        <w:rPr>
          <w:b/>
          <w:szCs w:val="24"/>
          <w:lang w:val="en-US"/>
        </w:rPr>
        <w:instrText>citation</w:instrText>
      </w:r>
      <w:r w:rsidR="00E430FD" w:rsidRPr="00795E89">
        <w:rPr>
          <w:b/>
          <w:szCs w:val="24"/>
        </w:rPr>
        <w:instrText>-</w:instrText>
      </w:r>
      <w:r w:rsidR="00E430FD">
        <w:rPr>
          <w:b/>
          <w:szCs w:val="24"/>
          <w:lang w:val="en-US"/>
        </w:rPr>
        <w:instrText>style</w:instrText>
      </w:r>
      <w:r w:rsidR="00E430FD" w:rsidRPr="00795E89">
        <w:rPr>
          <w:b/>
          <w:szCs w:val="24"/>
        </w:rPr>
        <w:instrText>-</w:instrText>
      </w:r>
      <w:r w:rsidR="00E430FD">
        <w:rPr>
          <w:b/>
          <w:szCs w:val="24"/>
          <w:lang w:val="en-US"/>
        </w:rPr>
        <w:instrText>language</w:instrText>
      </w:r>
      <w:r w:rsidR="00E430FD" w:rsidRPr="00795E89">
        <w:rPr>
          <w:b/>
          <w:szCs w:val="24"/>
        </w:rPr>
        <w:instrText>/</w:instrText>
      </w:r>
      <w:r w:rsidR="00E430FD">
        <w:rPr>
          <w:b/>
          <w:szCs w:val="24"/>
          <w:lang w:val="en-US"/>
        </w:rPr>
        <w:instrText>schema</w:instrText>
      </w:r>
      <w:r w:rsidR="00E430FD" w:rsidRPr="00795E89">
        <w:rPr>
          <w:b/>
          <w:szCs w:val="24"/>
        </w:rPr>
        <w:instrText>/</w:instrText>
      </w:r>
      <w:r w:rsidR="00E430FD">
        <w:rPr>
          <w:b/>
          <w:szCs w:val="24"/>
          <w:lang w:val="en-US"/>
        </w:rPr>
        <w:instrText>raw</w:instrText>
      </w:r>
      <w:r w:rsidR="00E430FD" w:rsidRPr="00795E89">
        <w:rPr>
          <w:b/>
          <w:szCs w:val="24"/>
        </w:rPr>
        <w:instrText>/</w:instrText>
      </w:r>
      <w:r w:rsidR="00E430FD">
        <w:rPr>
          <w:b/>
          <w:szCs w:val="24"/>
          <w:lang w:val="en-US"/>
        </w:rPr>
        <w:instrText>master</w:instrText>
      </w:r>
      <w:r w:rsidR="00E430FD" w:rsidRPr="00795E89">
        <w:rPr>
          <w:b/>
          <w:szCs w:val="24"/>
        </w:rPr>
        <w:instrText>/</w:instrText>
      </w:r>
      <w:r w:rsidR="00E430FD">
        <w:rPr>
          <w:b/>
          <w:szCs w:val="24"/>
          <w:lang w:val="en-US"/>
        </w:rPr>
        <w:instrText>csl</w:instrText>
      </w:r>
      <w:r w:rsidR="00E430FD" w:rsidRPr="00795E89">
        <w:rPr>
          <w:b/>
          <w:szCs w:val="24"/>
        </w:rPr>
        <w:instrText>-</w:instrText>
      </w:r>
      <w:r w:rsidR="00E430FD">
        <w:rPr>
          <w:b/>
          <w:szCs w:val="24"/>
          <w:lang w:val="en-US"/>
        </w:rPr>
        <w:instrText>citation</w:instrText>
      </w:r>
      <w:r w:rsidR="00E430FD" w:rsidRPr="00795E89">
        <w:rPr>
          <w:b/>
          <w:szCs w:val="24"/>
        </w:rPr>
        <w:instrText>.</w:instrText>
      </w:r>
      <w:r w:rsidR="00E430FD">
        <w:rPr>
          <w:b/>
          <w:szCs w:val="24"/>
          <w:lang w:val="en-US"/>
        </w:rPr>
        <w:instrText>json</w:instrText>
      </w:r>
      <w:r w:rsidR="00E430FD" w:rsidRPr="00795E89">
        <w:rPr>
          <w:b/>
          <w:szCs w:val="24"/>
        </w:rPr>
        <w:instrText>"}</w:instrText>
      </w:r>
      <w:r w:rsidR="001B7406">
        <w:rPr>
          <w:b/>
          <w:szCs w:val="24"/>
          <w:lang w:val="en-US"/>
        </w:rPr>
        <w:fldChar w:fldCharType="separate"/>
      </w:r>
      <w:r w:rsidR="00E430FD" w:rsidRPr="00E430FD">
        <w:rPr>
          <w:noProof/>
          <w:szCs w:val="24"/>
        </w:rPr>
        <w:t>[232,233]</w:t>
      </w:r>
      <w:r w:rsidR="001B7406">
        <w:rPr>
          <w:b/>
          <w:szCs w:val="24"/>
          <w:lang w:val="en-US"/>
        </w:rPr>
        <w:fldChar w:fldCharType="end"/>
      </w:r>
    </w:p>
    <w:p w14:paraId="5E708621" w14:textId="77777777" w:rsidR="00B37E1F" w:rsidRPr="009553E7" w:rsidRDefault="00B37E1F" w:rsidP="008F161A">
      <w:pPr>
        <w:numPr>
          <w:ilvl w:val="0"/>
          <w:numId w:val="114"/>
        </w:numPr>
        <w:tabs>
          <w:tab w:val="left" w:pos="0"/>
          <w:tab w:val="left" w:pos="567"/>
        </w:tabs>
        <w:spacing w:before="0" w:after="0"/>
        <w:ind w:left="0" w:firstLine="0"/>
        <w:rPr>
          <w:szCs w:val="24"/>
        </w:rPr>
      </w:pPr>
      <w:r w:rsidRPr="00DB1FCB">
        <w:rPr>
          <w:szCs w:val="24"/>
        </w:rPr>
        <w:t>Показания</w:t>
      </w:r>
      <w:r w:rsidRPr="009553E7">
        <w:rPr>
          <w:szCs w:val="24"/>
        </w:rPr>
        <w:t>:</w:t>
      </w:r>
    </w:p>
    <w:p w14:paraId="1DD69301" w14:textId="77777777" w:rsidR="00B37E1F" w:rsidRPr="009553E7" w:rsidRDefault="00B37E1F" w:rsidP="008F161A">
      <w:pPr>
        <w:numPr>
          <w:ilvl w:val="0"/>
          <w:numId w:val="115"/>
        </w:numPr>
        <w:tabs>
          <w:tab w:val="left" w:pos="0"/>
          <w:tab w:val="left" w:pos="567"/>
        </w:tabs>
        <w:spacing w:before="0" w:after="0"/>
        <w:ind w:left="0" w:firstLine="0"/>
        <w:rPr>
          <w:szCs w:val="24"/>
        </w:rPr>
      </w:pPr>
      <w:r w:rsidRPr="00DB1FCB">
        <w:rPr>
          <w:szCs w:val="24"/>
        </w:rPr>
        <w:t>Терапия</w:t>
      </w:r>
      <w:r w:rsidRPr="009553E7">
        <w:rPr>
          <w:szCs w:val="24"/>
        </w:rPr>
        <w:t xml:space="preserve"> </w:t>
      </w:r>
      <w:r w:rsidRPr="00DB1FCB">
        <w:rPr>
          <w:szCs w:val="24"/>
        </w:rPr>
        <w:t>глюкокортикоидами</w:t>
      </w:r>
      <w:r w:rsidRPr="009553E7">
        <w:rPr>
          <w:szCs w:val="24"/>
        </w:rPr>
        <w:t xml:space="preserve">. </w:t>
      </w:r>
    </w:p>
    <w:p w14:paraId="4BD2603C" w14:textId="77777777" w:rsidR="00B37E1F" w:rsidRPr="009553E7" w:rsidRDefault="00B37E1F" w:rsidP="008F161A">
      <w:pPr>
        <w:numPr>
          <w:ilvl w:val="0"/>
          <w:numId w:val="115"/>
        </w:numPr>
        <w:tabs>
          <w:tab w:val="left" w:pos="0"/>
          <w:tab w:val="left" w:pos="567"/>
        </w:tabs>
        <w:spacing w:before="0" w:after="0"/>
        <w:ind w:left="0" w:firstLine="0"/>
        <w:rPr>
          <w:szCs w:val="24"/>
        </w:rPr>
      </w:pPr>
      <w:r w:rsidRPr="00DB1FCB">
        <w:rPr>
          <w:szCs w:val="24"/>
        </w:rPr>
        <w:t>Лечение</w:t>
      </w:r>
      <w:r w:rsidRPr="009553E7">
        <w:rPr>
          <w:szCs w:val="24"/>
        </w:rPr>
        <w:t xml:space="preserve"> </w:t>
      </w:r>
      <w:r w:rsidRPr="00DB1FCB">
        <w:rPr>
          <w:szCs w:val="24"/>
        </w:rPr>
        <w:t>препаратами</w:t>
      </w:r>
      <w:r w:rsidRPr="009553E7">
        <w:rPr>
          <w:szCs w:val="24"/>
        </w:rPr>
        <w:t xml:space="preserve">, </w:t>
      </w:r>
      <w:r w:rsidRPr="00DB1FCB">
        <w:rPr>
          <w:szCs w:val="24"/>
        </w:rPr>
        <w:t>приводящими</w:t>
      </w:r>
      <w:r w:rsidRPr="009553E7">
        <w:rPr>
          <w:szCs w:val="24"/>
        </w:rPr>
        <w:t xml:space="preserve"> </w:t>
      </w:r>
      <w:r w:rsidRPr="00DB1FCB">
        <w:rPr>
          <w:szCs w:val="24"/>
        </w:rPr>
        <w:t>к</w:t>
      </w:r>
      <w:r w:rsidRPr="009553E7">
        <w:rPr>
          <w:szCs w:val="24"/>
        </w:rPr>
        <w:t xml:space="preserve"> </w:t>
      </w:r>
      <w:r w:rsidRPr="00DB1FCB">
        <w:rPr>
          <w:szCs w:val="24"/>
        </w:rPr>
        <w:t>снижению</w:t>
      </w:r>
      <w:r w:rsidRPr="009553E7">
        <w:rPr>
          <w:szCs w:val="24"/>
        </w:rPr>
        <w:t xml:space="preserve"> </w:t>
      </w:r>
      <w:r w:rsidRPr="00DB1FCB">
        <w:rPr>
          <w:szCs w:val="24"/>
        </w:rPr>
        <w:t>числа</w:t>
      </w:r>
      <w:r w:rsidRPr="009553E7">
        <w:rPr>
          <w:szCs w:val="24"/>
        </w:rPr>
        <w:t xml:space="preserve"> </w:t>
      </w:r>
      <w:r w:rsidRPr="00DB1FCB">
        <w:rPr>
          <w:szCs w:val="24"/>
        </w:rPr>
        <w:t>лимфоцитов</w:t>
      </w:r>
      <w:r w:rsidRPr="009553E7">
        <w:rPr>
          <w:szCs w:val="24"/>
        </w:rPr>
        <w:t xml:space="preserve"> </w:t>
      </w:r>
      <w:r w:rsidRPr="00261256">
        <w:rPr>
          <w:szCs w:val="24"/>
          <w:lang w:val="en-US"/>
        </w:rPr>
        <w:t>CD</w:t>
      </w:r>
      <w:r w:rsidRPr="009553E7">
        <w:rPr>
          <w:szCs w:val="24"/>
        </w:rPr>
        <w:t>4.</w:t>
      </w:r>
    </w:p>
    <w:p w14:paraId="60C2B397" w14:textId="77777777" w:rsidR="00B37E1F" w:rsidRPr="009553E7" w:rsidRDefault="00B37E1F" w:rsidP="008F161A">
      <w:pPr>
        <w:numPr>
          <w:ilvl w:val="0"/>
          <w:numId w:val="115"/>
        </w:numPr>
        <w:tabs>
          <w:tab w:val="left" w:pos="0"/>
          <w:tab w:val="left" w:pos="567"/>
        </w:tabs>
        <w:spacing w:before="0" w:after="0"/>
        <w:ind w:left="0" w:firstLine="0"/>
        <w:rPr>
          <w:szCs w:val="24"/>
        </w:rPr>
      </w:pPr>
      <w:r w:rsidRPr="00DB1FCB">
        <w:rPr>
          <w:szCs w:val="24"/>
        </w:rPr>
        <w:t>Пациенты</w:t>
      </w:r>
      <w:r w:rsidRPr="009553E7">
        <w:rPr>
          <w:szCs w:val="24"/>
        </w:rPr>
        <w:t xml:space="preserve">, </w:t>
      </w:r>
      <w:r w:rsidRPr="00DB1FCB">
        <w:rPr>
          <w:szCs w:val="24"/>
        </w:rPr>
        <w:t>имеющие</w:t>
      </w:r>
      <w:r w:rsidRPr="009553E7">
        <w:rPr>
          <w:szCs w:val="24"/>
        </w:rPr>
        <w:t xml:space="preserve"> </w:t>
      </w:r>
      <w:r w:rsidRPr="00DB1FCB">
        <w:rPr>
          <w:szCs w:val="24"/>
        </w:rPr>
        <w:t>в</w:t>
      </w:r>
      <w:r w:rsidRPr="009553E7">
        <w:rPr>
          <w:szCs w:val="24"/>
        </w:rPr>
        <w:t xml:space="preserve"> </w:t>
      </w:r>
      <w:r w:rsidRPr="00DB1FCB">
        <w:rPr>
          <w:szCs w:val="24"/>
        </w:rPr>
        <w:t>анамнезе</w:t>
      </w:r>
      <w:r w:rsidRPr="009553E7">
        <w:rPr>
          <w:szCs w:val="24"/>
        </w:rPr>
        <w:t xml:space="preserve"> </w:t>
      </w:r>
      <w:r w:rsidRPr="00DB1FCB">
        <w:rPr>
          <w:szCs w:val="24"/>
        </w:rPr>
        <w:t>пневмоцистную</w:t>
      </w:r>
      <w:r w:rsidRPr="009553E7">
        <w:rPr>
          <w:szCs w:val="24"/>
        </w:rPr>
        <w:t xml:space="preserve"> </w:t>
      </w:r>
      <w:r w:rsidRPr="00DB1FCB">
        <w:rPr>
          <w:szCs w:val="24"/>
        </w:rPr>
        <w:t>пневмонию</w:t>
      </w:r>
      <w:r w:rsidRPr="009553E7">
        <w:rPr>
          <w:szCs w:val="24"/>
        </w:rPr>
        <w:t>.</w:t>
      </w:r>
    </w:p>
    <w:p w14:paraId="287080DF" w14:textId="77777777" w:rsidR="00B37E1F" w:rsidRPr="009553E7" w:rsidRDefault="00B37E1F" w:rsidP="008F161A">
      <w:pPr>
        <w:numPr>
          <w:ilvl w:val="0"/>
          <w:numId w:val="116"/>
        </w:numPr>
        <w:tabs>
          <w:tab w:val="left" w:pos="0"/>
          <w:tab w:val="left" w:pos="567"/>
        </w:tabs>
        <w:spacing w:before="0" w:after="0"/>
        <w:ind w:left="0" w:firstLine="0"/>
        <w:rPr>
          <w:szCs w:val="24"/>
        </w:rPr>
      </w:pPr>
      <w:r w:rsidRPr="00DB1FCB">
        <w:rPr>
          <w:szCs w:val="24"/>
        </w:rPr>
        <w:t>Назначают</w:t>
      </w:r>
      <w:r w:rsidRPr="009553E7">
        <w:rPr>
          <w:szCs w:val="24"/>
        </w:rPr>
        <w:t xml:space="preserve"> </w:t>
      </w:r>
      <w:r w:rsidRPr="00DB1FCB">
        <w:rPr>
          <w:szCs w:val="24"/>
        </w:rPr>
        <w:t>один</w:t>
      </w:r>
      <w:r w:rsidRPr="009553E7">
        <w:rPr>
          <w:szCs w:val="24"/>
        </w:rPr>
        <w:t xml:space="preserve"> </w:t>
      </w:r>
      <w:r w:rsidRPr="00DB1FCB">
        <w:rPr>
          <w:szCs w:val="24"/>
        </w:rPr>
        <w:t>из</w:t>
      </w:r>
      <w:r w:rsidRPr="009553E7">
        <w:rPr>
          <w:szCs w:val="24"/>
        </w:rPr>
        <w:t xml:space="preserve"> </w:t>
      </w:r>
      <w:r w:rsidRPr="00DB1FCB">
        <w:rPr>
          <w:szCs w:val="24"/>
        </w:rPr>
        <w:t>следующих</w:t>
      </w:r>
      <w:r w:rsidRPr="009553E7">
        <w:rPr>
          <w:szCs w:val="24"/>
        </w:rPr>
        <w:t xml:space="preserve"> </w:t>
      </w:r>
      <w:r w:rsidRPr="00DB1FCB">
        <w:rPr>
          <w:szCs w:val="24"/>
        </w:rPr>
        <w:t>препаратов</w:t>
      </w:r>
      <w:r w:rsidRPr="009553E7">
        <w:rPr>
          <w:szCs w:val="24"/>
        </w:rPr>
        <w:t>:</w:t>
      </w:r>
    </w:p>
    <w:p w14:paraId="7F0CBCC1" w14:textId="76808FA2" w:rsidR="00B37E1F" w:rsidRPr="009553E7" w:rsidRDefault="00B37E1F" w:rsidP="008F161A">
      <w:pPr>
        <w:numPr>
          <w:ilvl w:val="0"/>
          <w:numId w:val="115"/>
        </w:numPr>
        <w:tabs>
          <w:tab w:val="left" w:pos="0"/>
          <w:tab w:val="left" w:pos="567"/>
        </w:tabs>
        <w:spacing w:before="0" w:after="0"/>
        <w:ind w:left="0" w:firstLine="0"/>
        <w:rPr>
          <w:szCs w:val="24"/>
        </w:rPr>
      </w:pPr>
      <w:r w:rsidRPr="00DB1FCB">
        <w:rPr>
          <w:szCs w:val="24"/>
        </w:rPr>
        <w:t>Триметоприм</w:t>
      </w:r>
      <w:r w:rsidRPr="009553E7">
        <w:rPr>
          <w:szCs w:val="24"/>
        </w:rPr>
        <w:t>/</w:t>
      </w:r>
      <w:r w:rsidRPr="00DB1FCB">
        <w:rPr>
          <w:szCs w:val="24"/>
        </w:rPr>
        <w:t>сульфаметоксазол</w:t>
      </w:r>
      <w:r w:rsidR="00E5718A" w:rsidRPr="009553E7">
        <w:rPr>
          <w:szCs w:val="24"/>
        </w:rPr>
        <w:t>**</w:t>
      </w:r>
      <w:r w:rsidRPr="009553E7">
        <w:rPr>
          <w:szCs w:val="24"/>
        </w:rPr>
        <w:t xml:space="preserve"> </w:t>
      </w:r>
      <w:r w:rsidRPr="00DB1FCB">
        <w:rPr>
          <w:szCs w:val="24"/>
        </w:rPr>
        <w:t>назначают</w:t>
      </w:r>
      <w:r w:rsidRPr="009553E7">
        <w:rPr>
          <w:szCs w:val="24"/>
        </w:rPr>
        <w:t xml:space="preserve"> </w:t>
      </w:r>
      <w:r w:rsidRPr="00DB1FCB">
        <w:rPr>
          <w:szCs w:val="24"/>
        </w:rPr>
        <w:t>по</w:t>
      </w:r>
      <w:r w:rsidRPr="009553E7">
        <w:rPr>
          <w:szCs w:val="24"/>
        </w:rPr>
        <w:t xml:space="preserve"> 480 </w:t>
      </w:r>
      <w:r w:rsidRPr="00DB1FCB">
        <w:rPr>
          <w:szCs w:val="24"/>
        </w:rPr>
        <w:t>мг</w:t>
      </w:r>
      <w:r w:rsidRPr="009553E7">
        <w:rPr>
          <w:szCs w:val="24"/>
        </w:rPr>
        <w:t xml:space="preserve"> </w:t>
      </w:r>
      <w:r w:rsidRPr="00DB1FCB">
        <w:rPr>
          <w:szCs w:val="24"/>
        </w:rPr>
        <w:t>ежедневно</w:t>
      </w:r>
      <w:r w:rsidRPr="009553E7">
        <w:rPr>
          <w:szCs w:val="24"/>
        </w:rPr>
        <w:t xml:space="preserve">. </w:t>
      </w:r>
    </w:p>
    <w:p w14:paraId="26B23ED6" w14:textId="242E6DB4" w:rsidR="00B37E1F" w:rsidRPr="009553E7" w:rsidRDefault="00B37E1F" w:rsidP="008F161A">
      <w:pPr>
        <w:numPr>
          <w:ilvl w:val="0"/>
          <w:numId w:val="115"/>
        </w:numPr>
        <w:tabs>
          <w:tab w:val="left" w:pos="0"/>
          <w:tab w:val="left" w:pos="567"/>
        </w:tabs>
        <w:spacing w:before="0" w:after="0"/>
        <w:ind w:left="0" w:firstLine="0"/>
        <w:rPr>
          <w:szCs w:val="24"/>
        </w:rPr>
      </w:pPr>
      <w:r w:rsidRPr="00DB1FCB">
        <w:rPr>
          <w:szCs w:val="24"/>
        </w:rPr>
        <w:t>Дапсон</w:t>
      </w:r>
      <w:r w:rsidR="00E5718A" w:rsidRPr="009553E7">
        <w:rPr>
          <w:szCs w:val="24"/>
        </w:rPr>
        <w:t>**</w:t>
      </w:r>
      <w:r w:rsidRPr="009553E7">
        <w:rPr>
          <w:szCs w:val="24"/>
        </w:rPr>
        <w:t xml:space="preserve"> 100 </w:t>
      </w:r>
      <w:r w:rsidRPr="00DB1FCB">
        <w:rPr>
          <w:szCs w:val="24"/>
        </w:rPr>
        <w:t>мг</w:t>
      </w:r>
      <w:r w:rsidRPr="009553E7">
        <w:rPr>
          <w:szCs w:val="24"/>
        </w:rPr>
        <w:t xml:space="preserve"> </w:t>
      </w:r>
      <w:r w:rsidRPr="00DB1FCB">
        <w:rPr>
          <w:szCs w:val="24"/>
        </w:rPr>
        <w:t>внутрь</w:t>
      </w:r>
      <w:r w:rsidRPr="009553E7">
        <w:rPr>
          <w:szCs w:val="24"/>
        </w:rPr>
        <w:t xml:space="preserve"> </w:t>
      </w:r>
      <w:r w:rsidRPr="00DB1FCB">
        <w:rPr>
          <w:szCs w:val="24"/>
        </w:rPr>
        <w:t>ежедневно</w:t>
      </w:r>
      <w:r w:rsidRPr="009553E7">
        <w:rPr>
          <w:szCs w:val="24"/>
        </w:rPr>
        <w:t>.</w:t>
      </w:r>
    </w:p>
    <w:p w14:paraId="5EB38DF5" w14:textId="77777777" w:rsidR="00B37E1F" w:rsidRPr="009553E7" w:rsidRDefault="00B37E1F" w:rsidP="008F161A">
      <w:pPr>
        <w:numPr>
          <w:ilvl w:val="0"/>
          <w:numId w:val="117"/>
        </w:numPr>
        <w:tabs>
          <w:tab w:val="left" w:pos="0"/>
          <w:tab w:val="left" w:pos="567"/>
        </w:tabs>
        <w:spacing w:before="0" w:after="0"/>
        <w:ind w:left="0" w:firstLine="0"/>
        <w:rPr>
          <w:szCs w:val="24"/>
        </w:rPr>
      </w:pPr>
      <w:r w:rsidRPr="00DB1FCB">
        <w:rPr>
          <w:szCs w:val="24"/>
        </w:rPr>
        <w:t>Препараты</w:t>
      </w:r>
      <w:r w:rsidRPr="009553E7">
        <w:rPr>
          <w:szCs w:val="24"/>
        </w:rPr>
        <w:t xml:space="preserve"> </w:t>
      </w:r>
      <w:r w:rsidRPr="00DB1FCB">
        <w:rPr>
          <w:szCs w:val="24"/>
        </w:rPr>
        <w:t>применяют</w:t>
      </w:r>
      <w:r w:rsidRPr="009553E7">
        <w:rPr>
          <w:szCs w:val="24"/>
        </w:rPr>
        <w:t xml:space="preserve"> </w:t>
      </w:r>
      <w:r w:rsidRPr="00DB1FCB">
        <w:rPr>
          <w:szCs w:val="24"/>
        </w:rPr>
        <w:t>в</w:t>
      </w:r>
      <w:r w:rsidRPr="009553E7">
        <w:rPr>
          <w:szCs w:val="24"/>
        </w:rPr>
        <w:t xml:space="preserve"> </w:t>
      </w:r>
      <w:r w:rsidRPr="00DB1FCB">
        <w:rPr>
          <w:szCs w:val="24"/>
        </w:rPr>
        <w:t>период</w:t>
      </w:r>
      <w:r w:rsidRPr="009553E7">
        <w:rPr>
          <w:szCs w:val="24"/>
        </w:rPr>
        <w:t xml:space="preserve"> </w:t>
      </w:r>
      <w:r w:rsidRPr="00DB1FCB">
        <w:rPr>
          <w:szCs w:val="24"/>
        </w:rPr>
        <w:t>цитостатической</w:t>
      </w:r>
      <w:r w:rsidRPr="009553E7">
        <w:rPr>
          <w:szCs w:val="24"/>
        </w:rPr>
        <w:t xml:space="preserve"> </w:t>
      </w:r>
      <w:r w:rsidRPr="00DB1FCB">
        <w:rPr>
          <w:szCs w:val="24"/>
        </w:rPr>
        <w:t>терапии</w:t>
      </w:r>
      <w:r w:rsidRPr="009553E7">
        <w:rPr>
          <w:szCs w:val="24"/>
        </w:rPr>
        <w:t xml:space="preserve"> </w:t>
      </w:r>
      <w:r w:rsidRPr="00DB1FCB">
        <w:rPr>
          <w:szCs w:val="24"/>
        </w:rPr>
        <w:t>и</w:t>
      </w:r>
      <w:r w:rsidRPr="009553E7">
        <w:rPr>
          <w:szCs w:val="24"/>
        </w:rPr>
        <w:t xml:space="preserve"> </w:t>
      </w:r>
      <w:r w:rsidRPr="00DB1FCB">
        <w:rPr>
          <w:szCs w:val="24"/>
        </w:rPr>
        <w:t>в</w:t>
      </w:r>
      <w:r w:rsidRPr="009553E7">
        <w:rPr>
          <w:szCs w:val="24"/>
        </w:rPr>
        <w:t xml:space="preserve"> </w:t>
      </w:r>
      <w:r w:rsidRPr="00DB1FCB">
        <w:rPr>
          <w:szCs w:val="24"/>
        </w:rPr>
        <w:t>течение</w:t>
      </w:r>
      <w:r w:rsidRPr="009553E7">
        <w:rPr>
          <w:szCs w:val="24"/>
        </w:rPr>
        <w:t xml:space="preserve"> </w:t>
      </w:r>
      <w:r w:rsidRPr="00DB1FCB">
        <w:rPr>
          <w:szCs w:val="24"/>
        </w:rPr>
        <w:t>всего</w:t>
      </w:r>
      <w:r w:rsidRPr="009553E7">
        <w:rPr>
          <w:szCs w:val="24"/>
        </w:rPr>
        <w:t xml:space="preserve"> </w:t>
      </w:r>
      <w:r w:rsidRPr="00DB1FCB">
        <w:rPr>
          <w:szCs w:val="24"/>
        </w:rPr>
        <w:t>периода</w:t>
      </w:r>
      <w:r w:rsidRPr="009553E7">
        <w:rPr>
          <w:szCs w:val="24"/>
        </w:rPr>
        <w:t xml:space="preserve"> </w:t>
      </w:r>
      <w:r w:rsidRPr="00DB1FCB">
        <w:rPr>
          <w:szCs w:val="24"/>
        </w:rPr>
        <w:t>нейтропении</w:t>
      </w:r>
      <w:r w:rsidRPr="009553E7">
        <w:rPr>
          <w:szCs w:val="24"/>
        </w:rPr>
        <w:t>.</w:t>
      </w:r>
    </w:p>
    <w:p w14:paraId="2959DED3" w14:textId="24334831" w:rsidR="00B37E1F" w:rsidRPr="009553E7" w:rsidRDefault="00B37E1F" w:rsidP="008F161A">
      <w:pPr>
        <w:numPr>
          <w:ilvl w:val="0"/>
          <w:numId w:val="117"/>
        </w:numPr>
        <w:tabs>
          <w:tab w:val="left" w:pos="0"/>
          <w:tab w:val="left" w:pos="567"/>
        </w:tabs>
        <w:spacing w:before="0" w:after="0"/>
        <w:ind w:left="0" w:firstLine="0"/>
        <w:rPr>
          <w:szCs w:val="24"/>
        </w:rPr>
      </w:pPr>
      <w:r w:rsidRPr="00DB1FCB">
        <w:rPr>
          <w:szCs w:val="24"/>
        </w:rPr>
        <w:t>Использование</w:t>
      </w:r>
      <w:r w:rsidRPr="009553E7">
        <w:rPr>
          <w:szCs w:val="24"/>
        </w:rPr>
        <w:t xml:space="preserve"> </w:t>
      </w:r>
      <w:r w:rsidRPr="00DB1FCB">
        <w:rPr>
          <w:szCs w:val="24"/>
        </w:rPr>
        <w:t>триметоприма</w:t>
      </w:r>
      <w:r w:rsidRPr="009553E7">
        <w:rPr>
          <w:szCs w:val="24"/>
        </w:rPr>
        <w:t>/</w:t>
      </w:r>
      <w:r w:rsidRPr="00DB1FCB">
        <w:rPr>
          <w:szCs w:val="24"/>
        </w:rPr>
        <w:t>сульфаметоксазола</w:t>
      </w:r>
      <w:r w:rsidR="00E5718A" w:rsidRPr="009553E7">
        <w:rPr>
          <w:szCs w:val="24"/>
        </w:rPr>
        <w:t>**</w:t>
      </w:r>
      <w:r w:rsidRPr="009553E7">
        <w:rPr>
          <w:szCs w:val="24"/>
        </w:rPr>
        <w:t xml:space="preserve"> </w:t>
      </w:r>
      <w:r w:rsidRPr="00DB1FCB">
        <w:rPr>
          <w:szCs w:val="24"/>
        </w:rPr>
        <w:t>одновременно</w:t>
      </w:r>
      <w:r w:rsidRPr="009553E7">
        <w:rPr>
          <w:szCs w:val="24"/>
        </w:rPr>
        <w:t xml:space="preserve"> </w:t>
      </w:r>
      <w:r w:rsidRPr="00DB1FCB">
        <w:rPr>
          <w:szCs w:val="24"/>
        </w:rPr>
        <w:t>предупреждает</w:t>
      </w:r>
      <w:r w:rsidRPr="009553E7">
        <w:rPr>
          <w:szCs w:val="24"/>
        </w:rPr>
        <w:t xml:space="preserve"> </w:t>
      </w:r>
      <w:r w:rsidRPr="00DB1FCB">
        <w:rPr>
          <w:szCs w:val="24"/>
        </w:rPr>
        <w:t>инфекции</w:t>
      </w:r>
      <w:r w:rsidRPr="009553E7">
        <w:rPr>
          <w:szCs w:val="24"/>
        </w:rPr>
        <w:t xml:space="preserve">, </w:t>
      </w:r>
      <w:r w:rsidRPr="00DB1FCB">
        <w:rPr>
          <w:szCs w:val="24"/>
        </w:rPr>
        <w:t>вызываемые</w:t>
      </w:r>
      <w:r w:rsidRPr="009553E7">
        <w:rPr>
          <w:szCs w:val="24"/>
        </w:rPr>
        <w:t xml:space="preserve"> </w:t>
      </w:r>
      <w:r w:rsidRPr="00261256">
        <w:rPr>
          <w:i/>
          <w:szCs w:val="24"/>
          <w:lang w:val="en-US"/>
        </w:rPr>
        <w:t>Toxoplasma</w:t>
      </w:r>
      <w:r w:rsidRPr="009553E7">
        <w:rPr>
          <w:i/>
          <w:szCs w:val="24"/>
        </w:rPr>
        <w:t xml:space="preserve"> </w:t>
      </w:r>
      <w:r w:rsidRPr="00261256">
        <w:rPr>
          <w:i/>
          <w:szCs w:val="24"/>
          <w:lang w:val="en-US"/>
        </w:rPr>
        <w:t>gondii</w:t>
      </w:r>
      <w:r w:rsidRPr="009553E7">
        <w:rPr>
          <w:i/>
          <w:szCs w:val="24"/>
        </w:rPr>
        <w:t xml:space="preserve">, </w:t>
      </w:r>
      <w:r w:rsidRPr="00261256">
        <w:rPr>
          <w:i/>
          <w:szCs w:val="24"/>
          <w:lang w:val="en-US"/>
        </w:rPr>
        <w:t>Listeria</w:t>
      </w:r>
      <w:r w:rsidRPr="009553E7">
        <w:rPr>
          <w:i/>
          <w:szCs w:val="24"/>
        </w:rPr>
        <w:t xml:space="preserve"> </w:t>
      </w:r>
      <w:r w:rsidRPr="00261256">
        <w:rPr>
          <w:i/>
          <w:szCs w:val="24"/>
          <w:lang w:val="en-US"/>
        </w:rPr>
        <w:t>monocytogenes</w:t>
      </w:r>
      <w:r w:rsidRPr="009553E7">
        <w:rPr>
          <w:i/>
          <w:szCs w:val="24"/>
        </w:rPr>
        <w:t xml:space="preserve">, </w:t>
      </w:r>
      <w:r w:rsidRPr="00261256">
        <w:rPr>
          <w:i/>
          <w:szCs w:val="24"/>
          <w:lang w:val="en-US"/>
        </w:rPr>
        <w:t>Nocardia</w:t>
      </w:r>
      <w:r w:rsidRPr="009553E7">
        <w:rPr>
          <w:i/>
          <w:szCs w:val="24"/>
        </w:rPr>
        <w:t xml:space="preserve"> </w:t>
      </w:r>
      <w:r w:rsidRPr="00261256">
        <w:rPr>
          <w:i/>
          <w:szCs w:val="24"/>
          <w:lang w:val="en-US"/>
        </w:rPr>
        <w:t>asteroides</w:t>
      </w:r>
      <w:r w:rsidRPr="009553E7">
        <w:rPr>
          <w:szCs w:val="24"/>
        </w:rPr>
        <w:t xml:space="preserve">. </w:t>
      </w:r>
    </w:p>
    <w:p w14:paraId="77C610ED" w14:textId="41E29A18" w:rsidR="00B37E1F" w:rsidRPr="00DB1FCB" w:rsidRDefault="00B37E1F" w:rsidP="002431B5">
      <w:pPr>
        <w:tabs>
          <w:tab w:val="left" w:pos="0"/>
          <w:tab w:val="left" w:pos="284"/>
        </w:tabs>
        <w:spacing w:before="0" w:after="0"/>
        <w:jc w:val="center"/>
        <w:rPr>
          <w:b/>
          <w:szCs w:val="24"/>
        </w:rPr>
      </w:pPr>
      <w:r w:rsidRPr="00DB1FCB">
        <w:rPr>
          <w:b/>
          <w:szCs w:val="24"/>
        </w:rPr>
        <w:t>Противогрибковая</w:t>
      </w:r>
      <w:r w:rsidRPr="009553E7">
        <w:rPr>
          <w:b/>
          <w:szCs w:val="24"/>
        </w:rPr>
        <w:t xml:space="preserve"> </w:t>
      </w:r>
      <w:r w:rsidRPr="00DB1FCB">
        <w:rPr>
          <w:b/>
          <w:szCs w:val="24"/>
        </w:rPr>
        <w:t>профилактика</w:t>
      </w:r>
      <w:r w:rsidRPr="009553E7">
        <w:rPr>
          <w:b/>
          <w:szCs w:val="24"/>
        </w:rPr>
        <w:t xml:space="preserve"> </w:t>
      </w:r>
      <w:r w:rsidRPr="00DB1FCB">
        <w:rPr>
          <w:b/>
          <w:szCs w:val="24"/>
        </w:rPr>
        <w:fldChar w:fldCharType="begin" w:fldLock="1"/>
      </w:r>
      <w:r w:rsidR="00E430FD">
        <w:rPr>
          <w:b/>
          <w:szCs w:val="24"/>
          <w:lang w:val="en-US"/>
        </w:rPr>
        <w:instrText>ADDIN</w:instrText>
      </w:r>
      <w:r w:rsidR="00E430FD" w:rsidRPr="00795E89">
        <w:rPr>
          <w:b/>
          <w:szCs w:val="24"/>
        </w:rPr>
        <w:instrText xml:space="preserve"> </w:instrText>
      </w:r>
      <w:r w:rsidR="00E430FD">
        <w:rPr>
          <w:b/>
          <w:szCs w:val="24"/>
          <w:lang w:val="en-US"/>
        </w:rPr>
        <w:instrText>CSL</w:instrText>
      </w:r>
      <w:r w:rsidR="00E430FD" w:rsidRPr="00795E89">
        <w:rPr>
          <w:b/>
          <w:szCs w:val="24"/>
        </w:rPr>
        <w:instrText>_</w:instrText>
      </w:r>
      <w:r w:rsidR="00E430FD">
        <w:rPr>
          <w:b/>
          <w:szCs w:val="24"/>
          <w:lang w:val="en-US"/>
        </w:rPr>
        <w:instrText>CITATION</w:instrText>
      </w:r>
      <w:r w:rsidR="00E430FD" w:rsidRPr="00795E89">
        <w:rPr>
          <w:b/>
          <w:szCs w:val="24"/>
        </w:rPr>
        <w:instrText xml:space="preserve"> {"</w:instrText>
      </w:r>
      <w:r w:rsidR="00E430FD">
        <w:rPr>
          <w:b/>
          <w:szCs w:val="24"/>
          <w:lang w:val="en-US"/>
        </w:rPr>
        <w:instrText>citationItems</w:instrText>
      </w:r>
      <w:r w:rsidR="00E430FD" w:rsidRPr="00795E89">
        <w:rPr>
          <w:b/>
          <w:szCs w:val="24"/>
        </w:rPr>
        <w:instrText>":[{"</w:instrText>
      </w:r>
      <w:r w:rsidR="00E430FD">
        <w:rPr>
          <w:b/>
          <w:szCs w:val="24"/>
          <w:lang w:val="en-US"/>
        </w:rPr>
        <w:instrText>id</w:instrText>
      </w:r>
      <w:r w:rsidR="00E430FD" w:rsidRPr="00795E89">
        <w:rPr>
          <w:b/>
          <w:szCs w:val="24"/>
        </w:rPr>
        <w:instrText>":"</w:instrText>
      </w:r>
      <w:r w:rsidR="00E430FD">
        <w:rPr>
          <w:b/>
          <w:szCs w:val="24"/>
          <w:lang w:val="en-US"/>
        </w:rPr>
        <w:instrText>ITEM</w:instrText>
      </w:r>
      <w:r w:rsidR="00E430FD" w:rsidRPr="00795E89">
        <w:rPr>
          <w:b/>
          <w:szCs w:val="24"/>
        </w:rPr>
        <w:instrText>-1","</w:instrText>
      </w:r>
      <w:r w:rsidR="00E430FD">
        <w:rPr>
          <w:b/>
          <w:szCs w:val="24"/>
          <w:lang w:val="en-US"/>
        </w:rPr>
        <w:instrText>itemData</w:instrText>
      </w:r>
      <w:r w:rsidR="00E430FD" w:rsidRPr="00795E89">
        <w:rPr>
          <w:b/>
          <w:szCs w:val="24"/>
        </w:rPr>
        <w:instrText>":{"</w:instrText>
      </w:r>
      <w:r w:rsidR="00E430FD">
        <w:rPr>
          <w:b/>
          <w:szCs w:val="24"/>
          <w:lang w:val="en-US"/>
        </w:rPr>
        <w:instrText>author</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family</w:instrText>
      </w:r>
      <w:r w:rsidR="00E430FD" w:rsidRPr="00795E89">
        <w:rPr>
          <w:b/>
          <w:szCs w:val="24"/>
        </w:rPr>
        <w:instrText>":"Савченко В.Г. и др","</w:instrText>
      </w:r>
      <w:r w:rsidR="00E430FD">
        <w:rPr>
          <w:b/>
          <w:szCs w:val="24"/>
          <w:lang w:val="en-US"/>
        </w:rPr>
        <w:instrText>given</w:instrText>
      </w:r>
      <w:r w:rsidR="00E430FD" w:rsidRPr="00795E89">
        <w:rPr>
          <w:b/>
          <w:szCs w:val="24"/>
        </w:rPr>
        <w:instrText>":"","</w:instrText>
      </w:r>
      <w:r w:rsidR="00E430FD">
        <w:rPr>
          <w:b/>
          <w:szCs w:val="24"/>
          <w:lang w:val="en-US"/>
        </w:rPr>
        <w:instrText>non</w:instrText>
      </w:r>
      <w:r w:rsidR="00E430FD" w:rsidRPr="00795E89">
        <w:rPr>
          <w:b/>
          <w:szCs w:val="24"/>
        </w:rPr>
        <w:instrText>-</w:instrText>
      </w:r>
      <w:r w:rsidR="00E430FD">
        <w:rPr>
          <w:b/>
          <w:szCs w:val="24"/>
          <w:lang w:val="en-US"/>
        </w:rPr>
        <w:instrText>dropping</w:instrText>
      </w:r>
      <w:r w:rsidR="00E430FD" w:rsidRPr="00795E89">
        <w:rPr>
          <w:b/>
          <w:szCs w:val="24"/>
        </w:rPr>
        <w:instrText>-</w:instrText>
      </w:r>
      <w:r w:rsidR="00E430FD">
        <w:rPr>
          <w:b/>
          <w:szCs w:val="24"/>
          <w:lang w:val="en-US"/>
        </w:rPr>
        <w:instrText>particle</w:instrText>
      </w:r>
      <w:r w:rsidR="00E430FD" w:rsidRPr="00795E89">
        <w:rPr>
          <w:b/>
          <w:szCs w:val="24"/>
        </w:rPr>
        <w:instrText>":"","</w:instrText>
      </w:r>
      <w:r w:rsidR="00E430FD">
        <w:rPr>
          <w:b/>
          <w:szCs w:val="24"/>
          <w:lang w:val="en-US"/>
        </w:rPr>
        <w:instrText>parse</w:instrText>
      </w:r>
      <w:r w:rsidR="00E430FD" w:rsidRPr="00795E89">
        <w:rPr>
          <w:b/>
          <w:szCs w:val="24"/>
        </w:rPr>
        <w:instrText>-</w:instrText>
      </w:r>
      <w:r w:rsidR="00E430FD">
        <w:rPr>
          <w:b/>
          <w:szCs w:val="24"/>
          <w:lang w:val="en-US"/>
        </w:rPr>
        <w:instrText>names</w:instrText>
      </w:r>
      <w:r w:rsidR="00E430FD" w:rsidRPr="00795E89">
        <w:rPr>
          <w:b/>
          <w:szCs w:val="24"/>
        </w:rPr>
        <w:instrText>":</w:instrText>
      </w:r>
      <w:r w:rsidR="00E430FD">
        <w:rPr>
          <w:b/>
          <w:szCs w:val="24"/>
          <w:lang w:val="en-US"/>
        </w:rPr>
        <w:instrText>false</w:instrText>
      </w:r>
      <w:r w:rsidR="00E430FD" w:rsidRPr="00795E89">
        <w:rPr>
          <w:b/>
          <w:szCs w:val="24"/>
        </w:rPr>
        <w:instrText>,"</w:instrText>
      </w:r>
      <w:r w:rsidR="00E430FD">
        <w:rPr>
          <w:b/>
          <w:szCs w:val="24"/>
          <w:lang w:val="en-US"/>
        </w:rPr>
        <w:instrText>suffix</w:instrText>
      </w:r>
      <w:r w:rsidR="00E430FD" w:rsidRPr="00795E89">
        <w:rPr>
          <w:b/>
          <w:szCs w:val="24"/>
        </w:rPr>
        <w:instrText>":""}],"</w:instrText>
      </w:r>
      <w:r w:rsidR="00E430FD">
        <w:rPr>
          <w:b/>
          <w:szCs w:val="24"/>
          <w:lang w:val="en-US"/>
        </w:rPr>
        <w:instrText>id</w:instrText>
      </w:r>
      <w:r w:rsidR="00E430FD" w:rsidRPr="00795E89">
        <w:rPr>
          <w:b/>
          <w:szCs w:val="24"/>
        </w:rPr>
        <w:instrText>":"</w:instrText>
      </w:r>
      <w:r w:rsidR="00E430FD">
        <w:rPr>
          <w:b/>
          <w:szCs w:val="24"/>
          <w:lang w:val="en-US"/>
        </w:rPr>
        <w:instrText>ITEM</w:instrText>
      </w:r>
      <w:r w:rsidR="00E430FD" w:rsidRPr="00795E89">
        <w:rPr>
          <w:b/>
          <w:szCs w:val="24"/>
        </w:rPr>
        <w:instrText>-1","</w:instrText>
      </w:r>
      <w:r w:rsidR="00E430FD">
        <w:rPr>
          <w:b/>
          <w:szCs w:val="24"/>
          <w:lang w:val="en-US"/>
        </w:rPr>
        <w:instrText>issued</w:instrText>
      </w:r>
      <w:r w:rsidR="00E430FD" w:rsidRPr="00795E89">
        <w:rPr>
          <w:b/>
          <w:szCs w:val="24"/>
        </w:rPr>
        <w:instrText>":{"</w:instrText>
      </w:r>
      <w:r w:rsidR="00E430FD">
        <w:rPr>
          <w:b/>
          <w:szCs w:val="24"/>
          <w:lang w:val="en-US"/>
        </w:rPr>
        <w:instrText>date</w:instrText>
      </w:r>
      <w:r w:rsidR="00E430FD" w:rsidRPr="00795E89">
        <w:rPr>
          <w:b/>
          <w:szCs w:val="24"/>
        </w:rPr>
        <w:instrText>-</w:instrText>
      </w:r>
      <w:r w:rsidR="00E430FD">
        <w:rPr>
          <w:b/>
          <w:szCs w:val="24"/>
          <w:lang w:val="en-US"/>
        </w:rPr>
        <w:instrText>parts</w:instrText>
      </w:r>
      <w:r w:rsidR="00E430FD" w:rsidRPr="00795E89">
        <w:rPr>
          <w:b/>
          <w:szCs w:val="24"/>
        </w:rPr>
        <w:instrText>":[["2018"]]},"</w:instrText>
      </w:r>
      <w:r w:rsidR="00E430FD">
        <w:rPr>
          <w:b/>
          <w:szCs w:val="24"/>
          <w:lang w:val="en-US"/>
        </w:rPr>
        <w:instrText>number</w:instrText>
      </w:r>
      <w:r w:rsidR="00E430FD" w:rsidRPr="00795E89">
        <w:rPr>
          <w:b/>
          <w:szCs w:val="24"/>
        </w:rPr>
        <w:instrText>-</w:instrText>
      </w:r>
      <w:r w:rsidR="00E430FD">
        <w:rPr>
          <w:b/>
          <w:szCs w:val="24"/>
          <w:lang w:val="en-US"/>
        </w:rPr>
        <w:instrText>of</w:instrText>
      </w:r>
      <w:r w:rsidR="00E430FD" w:rsidRPr="00795E89">
        <w:rPr>
          <w:b/>
          <w:szCs w:val="24"/>
        </w:rPr>
        <w:instrText>-</w:instrText>
      </w:r>
      <w:r w:rsidR="00E430FD">
        <w:rPr>
          <w:b/>
          <w:szCs w:val="24"/>
          <w:lang w:val="en-US"/>
        </w:rPr>
        <w:instrText>pages</w:instrText>
      </w:r>
      <w:r w:rsidR="00E430FD" w:rsidRPr="00795E89">
        <w:rPr>
          <w:b/>
          <w:szCs w:val="24"/>
        </w:rPr>
        <w:instrText>":"1008","</w:instrText>
      </w:r>
      <w:r w:rsidR="00E430FD">
        <w:rPr>
          <w:b/>
          <w:szCs w:val="24"/>
          <w:lang w:val="en-US"/>
        </w:rPr>
        <w:instrText>publisher</w:instrText>
      </w:r>
      <w:r w:rsidR="00E430FD" w:rsidRPr="00795E89">
        <w:rPr>
          <w:b/>
          <w:szCs w:val="24"/>
        </w:rPr>
        <w:instrText>":"Практика","</w:instrText>
      </w:r>
      <w:r w:rsidR="00E430FD">
        <w:rPr>
          <w:b/>
          <w:szCs w:val="24"/>
          <w:lang w:val="en-US"/>
        </w:rPr>
        <w:instrText>publisher</w:instrText>
      </w:r>
      <w:r w:rsidR="00E430FD" w:rsidRPr="00795E89">
        <w:rPr>
          <w:b/>
          <w:szCs w:val="24"/>
        </w:rPr>
        <w:instrText>-</w:instrText>
      </w:r>
      <w:r w:rsidR="00E430FD">
        <w:rPr>
          <w:b/>
          <w:szCs w:val="24"/>
          <w:lang w:val="en-US"/>
        </w:rPr>
        <w:instrText>place</w:instrText>
      </w:r>
      <w:r w:rsidR="00E430FD" w:rsidRPr="00795E89">
        <w:rPr>
          <w:b/>
          <w:szCs w:val="24"/>
        </w:rPr>
        <w:instrText>":"Москва","</w:instrText>
      </w:r>
      <w:r w:rsidR="00E430FD">
        <w:rPr>
          <w:b/>
          <w:szCs w:val="24"/>
          <w:lang w:val="en-US"/>
        </w:rPr>
        <w:instrText>title</w:instrText>
      </w:r>
      <w:r w:rsidR="00E430FD" w:rsidRPr="00795E89">
        <w:rPr>
          <w:b/>
          <w:szCs w:val="24"/>
        </w:rPr>
        <w:instrText>":"Алгоритмы диагностики и протоколы лечения заболеваний системы крови.","</w:instrText>
      </w:r>
      <w:r w:rsidR="00E430FD">
        <w:rPr>
          <w:b/>
          <w:szCs w:val="24"/>
          <w:lang w:val="en-US"/>
        </w:rPr>
        <w:instrText>type</w:instrText>
      </w:r>
      <w:r w:rsidR="00E430FD" w:rsidRPr="00795E89">
        <w:rPr>
          <w:b/>
          <w:szCs w:val="24"/>
        </w:rPr>
        <w:instrText>":"</w:instrText>
      </w:r>
      <w:r w:rsidR="00E430FD">
        <w:rPr>
          <w:b/>
          <w:szCs w:val="24"/>
          <w:lang w:val="en-US"/>
        </w:rPr>
        <w:instrText>book</w:instrText>
      </w:r>
      <w:r w:rsidR="00E430FD" w:rsidRPr="00795E89">
        <w:rPr>
          <w:b/>
          <w:szCs w:val="24"/>
        </w:rPr>
        <w:instrText>"},"</w:instrText>
      </w:r>
      <w:r w:rsidR="00E430FD">
        <w:rPr>
          <w:b/>
          <w:szCs w:val="24"/>
          <w:lang w:val="en-US"/>
        </w:rPr>
        <w:instrText>uris</w:instrText>
      </w:r>
      <w:r w:rsidR="00E430FD" w:rsidRPr="00795E89">
        <w:rPr>
          <w:b/>
          <w:szCs w:val="24"/>
        </w:rPr>
        <w:instrText>":["</w:instrText>
      </w:r>
      <w:r w:rsidR="00E430FD">
        <w:rPr>
          <w:b/>
          <w:szCs w:val="24"/>
          <w:lang w:val="en-US"/>
        </w:rPr>
        <w:instrText>http</w:instrText>
      </w:r>
      <w:r w:rsidR="00E430FD" w:rsidRPr="00795E89">
        <w:rPr>
          <w:b/>
          <w:szCs w:val="24"/>
        </w:rPr>
        <w:instrText>://</w:instrText>
      </w:r>
      <w:r w:rsidR="00E430FD">
        <w:rPr>
          <w:b/>
          <w:szCs w:val="24"/>
          <w:lang w:val="en-US"/>
        </w:rPr>
        <w:instrText>www</w:instrText>
      </w:r>
      <w:r w:rsidR="00E430FD" w:rsidRPr="00795E89">
        <w:rPr>
          <w:b/>
          <w:szCs w:val="24"/>
        </w:rPr>
        <w:instrText>.</w:instrText>
      </w:r>
      <w:r w:rsidR="00E430FD">
        <w:rPr>
          <w:b/>
          <w:szCs w:val="24"/>
          <w:lang w:val="en-US"/>
        </w:rPr>
        <w:instrText>mendeley</w:instrText>
      </w:r>
      <w:r w:rsidR="00E430FD" w:rsidRPr="00795E89">
        <w:rPr>
          <w:b/>
          <w:szCs w:val="24"/>
        </w:rPr>
        <w:instrText>.</w:instrText>
      </w:r>
      <w:r w:rsidR="00E430FD">
        <w:rPr>
          <w:b/>
          <w:szCs w:val="24"/>
          <w:lang w:val="en-US"/>
        </w:rPr>
        <w:instrText>com</w:instrText>
      </w:r>
      <w:r w:rsidR="00E430FD" w:rsidRPr="00795E89">
        <w:rPr>
          <w:b/>
          <w:szCs w:val="24"/>
        </w:rPr>
        <w:instrText>/</w:instrText>
      </w:r>
      <w:r w:rsidR="00E430FD">
        <w:rPr>
          <w:b/>
          <w:szCs w:val="24"/>
          <w:lang w:val="en-US"/>
        </w:rPr>
        <w:instrText>documents</w:instrText>
      </w:r>
      <w:r w:rsidR="00E430FD" w:rsidRPr="00795E89">
        <w:rPr>
          <w:b/>
          <w:szCs w:val="24"/>
        </w:rPr>
        <w:instrText>/?</w:instrText>
      </w:r>
      <w:r w:rsidR="00E430FD">
        <w:rPr>
          <w:b/>
          <w:szCs w:val="24"/>
          <w:lang w:val="en-US"/>
        </w:rPr>
        <w:instrText>uuid</w:instrText>
      </w:r>
      <w:r w:rsidR="00E430FD" w:rsidRPr="00795E89">
        <w:rPr>
          <w:b/>
          <w:szCs w:val="24"/>
        </w:rPr>
        <w:instrText>=</w:instrText>
      </w:r>
      <w:r w:rsidR="00E430FD">
        <w:rPr>
          <w:b/>
          <w:szCs w:val="24"/>
          <w:lang w:val="en-US"/>
        </w:rPr>
        <w:instrText>f</w:instrText>
      </w:r>
      <w:r w:rsidR="00E430FD" w:rsidRPr="00795E89">
        <w:rPr>
          <w:b/>
          <w:szCs w:val="24"/>
        </w:rPr>
        <w:instrText>91</w:instrText>
      </w:r>
      <w:r w:rsidR="00E430FD">
        <w:rPr>
          <w:b/>
          <w:szCs w:val="24"/>
          <w:lang w:val="en-US"/>
        </w:rPr>
        <w:instrText>ae</w:instrText>
      </w:r>
      <w:r w:rsidR="00E430FD" w:rsidRPr="00795E89">
        <w:rPr>
          <w:b/>
          <w:szCs w:val="24"/>
        </w:rPr>
        <w:instrText>641-8062-4</w:instrText>
      </w:r>
      <w:r w:rsidR="00E430FD">
        <w:rPr>
          <w:b/>
          <w:szCs w:val="24"/>
          <w:lang w:val="en-US"/>
        </w:rPr>
        <w:instrText>f</w:instrText>
      </w:r>
      <w:r w:rsidR="00E430FD" w:rsidRPr="00795E89">
        <w:rPr>
          <w:b/>
          <w:szCs w:val="24"/>
        </w:rPr>
        <w:instrText>5</w:instrText>
      </w:r>
      <w:r w:rsidR="00E430FD">
        <w:rPr>
          <w:b/>
          <w:szCs w:val="24"/>
          <w:lang w:val="en-US"/>
        </w:rPr>
        <w:instrText>f</w:instrText>
      </w:r>
      <w:r w:rsidR="00E430FD" w:rsidRPr="00795E89">
        <w:rPr>
          <w:b/>
          <w:szCs w:val="24"/>
        </w:rPr>
        <w:instrText>-</w:instrText>
      </w:r>
      <w:r w:rsidR="00E430FD">
        <w:rPr>
          <w:b/>
          <w:szCs w:val="24"/>
          <w:lang w:val="en-US"/>
        </w:rPr>
        <w:instrText>b</w:instrText>
      </w:r>
      <w:r w:rsidR="00E430FD" w:rsidRPr="00795E89">
        <w:rPr>
          <w:b/>
          <w:szCs w:val="24"/>
        </w:rPr>
        <w:instrText>416-94</w:instrText>
      </w:r>
      <w:r w:rsidR="00E430FD">
        <w:rPr>
          <w:b/>
          <w:szCs w:val="24"/>
          <w:lang w:val="en-US"/>
        </w:rPr>
        <w:instrText>b</w:instrText>
      </w:r>
      <w:r w:rsidR="00E430FD" w:rsidRPr="00795E89">
        <w:rPr>
          <w:b/>
          <w:szCs w:val="24"/>
        </w:rPr>
        <w:instrText>015742043"]}],"</w:instrText>
      </w:r>
      <w:r w:rsidR="00E430FD">
        <w:rPr>
          <w:b/>
          <w:szCs w:val="24"/>
          <w:lang w:val="en-US"/>
        </w:rPr>
        <w:instrText>mendeley</w:instrText>
      </w:r>
      <w:r w:rsidR="00E430FD" w:rsidRPr="00795E89">
        <w:rPr>
          <w:b/>
          <w:szCs w:val="24"/>
        </w:rPr>
        <w:instrText>":{"</w:instrText>
      </w:r>
      <w:r w:rsidR="00E430FD">
        <w:rPr>
          <w:b/>
          <w:szCs w:val="24"/>
          <w:lang w:val="en-US"/>
        </w:rPr>
        <w:instrText>formattedCitation</w:instrText>
      </w:r>
      <w:r w:rsidR="00E430FD" w:rsidRPr="00795E89">
        <w:rPr>
          <w:b/>
          <w:szCs w:val="24"/>
        </w:rPr>
        <w:instrText>":"[232]","</w:instrText>
      </w:r>
      <w:r w:rsidR="00E430FD">
        <w:rPr>
          <w:b/>
          <w:szCs w:val="24"/>
          <w:lang w:val="en-US"/>
        </w:rPr>
        <w:instrText>plainTextFormattedCitation</w:instrText>
      </w:r>
      <w:r w:rsidR="00E430FD" w:rsidRPr="00795E89">
        <w:rPr>
          <w:b/>
          <w:szCs w:val="24"/>
        </w:rPr>
        <w:instrText>":"[232]","</w:instrText>
      </w:r>
      <w:r w:rsidR="00E430FD">
        <w:rPr>
          <w:b/>
          <w:szCs w:val="24"/>
          <w:lang w:val="en-US"/>
        </w:rPr>
        <w:instrText>previouslyFormattedCitation</w:instrText>
      </w:r>
      <w:r w:rsidR="00E430FD" w:rsidRPr="00795E89">
        <w:rPr>
          <w:b/>
          <w:szCs w:val="24"/>
        </w:rPr>
        <w:instrText>":"[232]"},"</w:instrText>
      </w:r>
      <w:r w:rsidR="00E430FD">
        <w:rPr>
          <w:b/>
          <w:szCs w:val="24"/>
          <w:lang w:val="en-US"/>
        </w:rPr>
        <w:instrText>properties</w:instrText>
      </w:r>
      <w:r w:rsidR="00E430FD" w:rsidRPr="00795E89">
        <w:rPr>
          <w:b/>
          <w:szCs w:val="24"/>
        </w:rPr>
        <w:instrText>":{"</w:instrText>
      </w:r>
      <w:r w:rsidR="00E430FD">
        <w:rPr>
          <w:b/>
          <w:szCs w:val="24"/>
          <w:lang w:val="en-US"/>
        </w:rPr>
        <w:instrText>noteIndex</w:instrText>
      </w:r>
      <w:r w:rsidR="00E430FD" w:rsidRPr="00795E89">
        <w:rPr>
          <w:b/>
          <w:szCs w:val="24"/>
        </w:rPr>
        <w:instrText>":0},"</w:instrText>
      </w:r>
      <w:r w:rsidR="00E430FD">
        <w:rPr>
          <w:b/>
          <w:szCs w:val="24"/>
          <w:lang w:val="en-US"/>
        </w:rPr>
        <w:instrText>schema</w:instrText>
      </w:r>
      <w:r w:rsidR="00E430FD" w:rsidRPr="00795E89">
        <w:rPr>
          <w:b/>
          <w:szCs w:val="24"/>
        </w:rPr>
        <w:instrText>":"</w:instrText>
      </w:r>
      <w:r w:rsidR="00E430FD">
        <w:rPr>
          <w:b/>
          <w:szCs w:val="24"/>
          <w:lang w:val="en-US"/>
        </w:rPr>
        <w:instrText>https</w:instrText>
      </w:r>
      <w:r w:rsidR="00E430FD" w:rsidRPr="00795E89">
        <w:rPr>
          <w:b/>
          <w:szCs w:val="24"/>
        </w:rPr>
        <w:instrText>://</w:instrText>
      </w:r>
      <w:r w:rsidR="00E430FD">
        <w:rPr>
          <w:b/>
          <w:szCs w:val="24"/>
          <w:lang w:val="en-US"/>
        </w:rPr>
        <w:instrText>github</w:instrText>
      </w:r>
      <w:r w:rsidR="00E430FD" w:rsidRPr="00795E89">
        <w:rPr>
          <w:b/>
          <w:szCs w:val="24"/>
        </w:rPr>
        <w:instrText>.</w:instrText>
      </w:r>
      <w:r w:rsidR="00E430FD">
        <w:rPr>
          <w:b/>
          <w:szCs w:val="24"/>
          <w:lang w:val="en-US"/>
        </w:rPr>
        <w:instrText>com</w:instrText>
      </w:r>
      <w:r w:rsidR="00E430FD" w:rsidRPr="00795E89">
        <w:rPr>
          <w:b/>
          <w:szCs w:val="24"/>
        </w:rPr>
        <w:instrText>/</w:instrText>
      </w:r>
      <w:r w:rsidR="00E430FD">
        <w:rPr>
          <w:b/>
          <w:szCs w:val="24"/>
          <w:lang w:val="en-US"/>
        </w:rPr>
        <w:instrText>citation</w:instrText>
      </w:r>
      <w:r w:rsidR="00E430FD" w:rsidRPr="00795E89">
        <w:rPr>
          <w:b/>
          <w:szCs w:val="24"/>
        </w:rPr>
        <w:instrText>-</w:instrText>
      </w:r>
      <w:r w:rsidR="00E430FD">
        <w:rPr>
          <w:b/>
          <w:szCs w:val="24"/>
          <w:lang w:val="en-US"/>
        </w:rPr>
        <w:instrText>style</w:instrText>
      </w:r>
      <w:r w:rsidR="00E430FD" w:rsidRPr="00795E89">
        <w:rPr>
          <w:b/>
          <w:szCs w:val="24"/>
        </w:rPr>
        <w:instrText>-</w:instrText>
      </w:r>
      <w:r w:rsidR="00E430FD">
        <w:rPr>
          <w:b/>
          <w:szCs w:val="24"/>
          <w:lang w:val="en-US"/>
        </w:rPr>
        <w:instrText>language</w:instrText>
      </w:r>
      <w:r w:rsidR="00E430FD" w:rsidRPr="00795E89">
        <w:rPr>
          <w:b/>
          <w:szCs w:val="24"/>
        </w:rPr>
        <w:instrText>/</w:instrText>
      </w:r>
      <w:r w:rsidR="00E430FD">
        <w:rPr>
          <w:b/>
          <w:szCs w:val="24"/>
          <w:lang w:val="en-US"/>
        </w:rPr>
        <w:instrText>schema</w:instrText>
      </w:r>
      <w:r w:rsidR="00E430FD" w:rsidRPr="00795E89">
        <w:rPr>
          <w:b/>
          <w:szCs w:val="24"/>
        </w:rPr>
        <w:instrText>/</w:instrText>
      </w:r>
      <w:r w:rsidR="00E430FD">
        <w:rPr>
          <w:b/>
          <w:szCs w:val="24"/>
          <w:lang w:val="en-US"/>
        </w:rPr>
        <w:instrText>raw</w:instrText>
      </w:r>
      <w:r w:rsidR="00E430FD" w:rsidRPr="00795E89">
        <w:rPr>
          <w:b/>
          <w:szCs w:val="24"/>
        </w:rPr>
        <w:instrText>/</w:instrText>
      </w:r>
      <w:r w:rsidR="00E430FD">
        <w:rPr>
          <w:b/>
          <w:szCs w:val="24"/>
          <w:lang w:val="en-US"/>
        </w:rPr>
        <w:instrText>master</w:instrText>
      </w:r>
      <w:r w:rsidR="00E430FD" w:rsidRPr="00795E89">
        <w:rPr>
          <w:b/>
          <w:szCs w:val="24"/>
        </w:rPr>
        <w:instrText>/</w:instrText>
      </w:r>
      <w:r w:rsidR="00E430FD">
        <w:rPr>
          <w:b/>
          <w:szCs w:val="24"/>
          <w:lang w:val="en-US"/>
        </w:rPr>
        <w:instrText>csl</w:instrText>
      </w:r>
      <w:r w:rsidR="00E430FD" w:rsidRPr="00795E89">
        <w:rPr>
          <w:b/>
          <w:szCs w:val="24"/>
        </w:rPr>
        <w:instrText>-</w:instrText>
      </w:r>
      <w:r w:rsidR="00E430FD">
        <w:rPr>
          <w:b/>
          <w:szCs w:val="24"/>
          <w:lang w:val="en-US"/>
        </w:rPr>
        <w:instrText>citation</w:instrText>
      </w:r>
      <w:r w:rsidR="00E430FD" w:rsidRPr="00795E89">
        <w:rPr>
          <w:b/>
          <w:szCs w:val="24"/>
        </w:rPr>
        <w:instrText>.</w:instrText>
      </w:r>
      <w:r w:rsidR="00E430FD">
        <w:rPr>
          <w:b/>
          <w:szCs w:val="24"/>
          <w:lang w:val="en-US"/>
        </w:rPr>
        <w:instrText>json</w:instrText>
      </w:r>
      <w:r w:rsidR="00E430FD" w:rsidRPr="00795E89">
        <w:rPr>
          <w:b/>
          <w:szCs w:val="24"/>
        </w:rPr>
        <w:instrText>"}</w:instrText>
      </w:r>
      <w:r w:rsidRPr="00DB1FCB">
        <w:rPr>
          <w:b/>
          <w:szCs w:val="24"/>
        </w:rPr>
        <w:fldChar w:fldCharType="separate"/>
      </w:r>
      <w:r w:rsidR="00E430FD" w:rsidRPr="00E430FD">
        <w:rPr>
          <w:noProof/>
          <w:szCs w:val="24"/>
        </w:rPr>
        <w:t>[232]</w:t>
      </w:r>
      <w:r w:rsidRPr="00DB1FCB">
        <w:rPr>
          <w:szCs w:val="24"/>
        </w:rPr>
        <w:fldChar w:fldCharType="end"/>
      </w:r>
    </w:p>
    <w:p w14:paraId="048450DB" w14:textId="77777777" w:rsidR="00B37E1F" w:rsidRPr="00DB1FCB" w:rsidRDefault="00B37E1F" w:rsidP="008F161A">
      <w:pPr>
        <w:numPr>
          <w:ilvl w:val="0"/>
          <w:numId w:val="110"/>
        </w:numPr>
        <w:tabs>
          <w:tab w:val="left" w:pos="0"/>
          <w:tab w:val="left" w:pos="567"/>
        </w:tabs>
        <w:spacing w:before="0" w:after="0"/>
        <w:ind w:left="0" w:firstLine="0"/>
        <w:rPr>
          <w:szCs w:val="24"/>
        </w:rPr>
      </w:pPr>
      <w:r w:rsidRPr="00DB1FCB">
        <w:rPr>
          <w:szCs w:val="24"/>
        </w:rPr>
        <w:t>Проводится пациентам с отягощенным анамнезом (острый диссеминированный кандидоз, хронический диссеминированный кандидоз, мукормикоз или инвазивный аспергиллез).</w:t>
      </w:r>
    </w:p>
    <w:p w14:paraId="631EA5AB" w14:textId="77777777" w:rsidR="00B37E1F" w:rsidRPr="00DB1FCB" w:rsidRDefault="00B37E1F" w:rsidP="008F161A">
      <w:pPr>
        <w:numPr>
          <w:ilvl w:val="0"/>
          <w:numId w:val="110"/>
        </w:numPr>
        <w:tabs>
          <w:tab w:val="left" w:pos="0"/>
          <w:tab w:val="left" w:pos="567"/>
        </w:tabs>
        <w:spacing w:before="0" w:after="0"/>
        <w:ind w:left="0" w:firstLine="0"/>
        <w:rPr>
          <w:szCs w:val="24"/>
        </w:rPr>
      </w:pPr>
      <w:r w:rsidRPr="00DB1FCB">
        <w:rPr>
          <w:szCs w:val="24"/>
        </w:rPr>
        <w:t xml:space="preserve">Назначают препарат, при использовании которого было достигнуто излечение от инвазивного микоза. </w:t>
      </w:r>
    </w:p>
    <w:p w14:paraId="29C66F3C" w14:textId="77777777" w:rsidR="00B37E1F" w:rsidRPr="00DB1FCB" w:rsidRDefault="00B37E1F" w:rsidP="008F161A">
      <w:pPr>
        <w:numPr>
          <w:ilvl w:val="0"/>
          <w:numId w:val="110"/>
        </w:numPr>
        <w:tabs>
          <w:tab w:val="left" w:pos="0"/>
          <w:tab w:val="left" w:pos="567"/>
        </w:tabs>
        <w:spacing w:before="0" w:after="0"/>
        <w:ind w:left="0" w:firstLine="0"/>
        <w:rPr>
          <w:szCs w:val="24"/>
        </w:rPr>
      </w:pPr>
      <w:r w:rsidRPr="00DB1FCB">
        <w:rPr>
          <w:szCs w:val="24"/>
        </w:rPr>
        <w:t>Пациенты с наличием в анамнезе острого или хронического диссеминированного кандидоза</w:t>
      </w:r>
      <w:r>
        <w:rPr>
          <w:szCs w:val="24"/>
        </w:rPr>
        <w:t xml:space="preserve"> (обычно один препарат из перечня)</w:t>
      </w:r>
      <w:r w:rsidRPr="00DB1FCB">
        <w:rPr>
          <w:szCs w:val="24"/>
        </w:rPr>
        <w:t>:</w:t>
      </w:r>
    </w:p>
    <w:p w14:paraId="3CA609AB" w14:textId="5E65434F" w:rsidR="00B37E1F" w:rsidRPr="00DB1FCB" w:rsidRDefault="00B37E1F" w:rsidP="008F161A">
      <w:pPr>
        <w:numPr>
          <w:ilvl w:val="0"/>
          <w:numId w:val="111"/>
        </w:numPr>
        <w:tabs>
          <w:tab w:val="left" w:pos="0"/>
          <w:tab w:val="left" w:pos="567"/>
        </w:tabs>
        <w:spacing w:before="0" w:after="0"/>
        <w:ind w:left="0" w:firstLine="0"/>
        <w:rPr>
          <w:szCs w:val="24"/>
        </w:rPr>
      </w:pPr>
      <w:r w:rsidRPr="00DB1FCB">
        <w:rPr>
          <w:szCs w:val="24"/>
        </w:rPr>
        <w:t>Флуконазол</w:t>
      </w:r>
      <w:r w:rsidR="00E5718A">
        <w:rPr>
          <w:szCs w:val="24"/>
        </w:rPr>
        <w:t>**</w:t>
      </w:r>
      <w:r w:rsidRPr="00DB1FCB">
        <w:rPr>
          <w:szCs w:val="24"/>
        </w:rPr>
        <w:t>, по 400 мг в сутки, внутривенно или внутрь.</w:t>
      </w:r>
    </w:p>
    <w:p w14:paraId="48CDB9CA" w14:textId="6DD420C9" w:rsidR="00B37E1F" w:rsidRPr="00DB1FCB" w:rsidRDefault="00B37E1F" w:rsidP="008F161A">
      <w:pPr>
        <w:numPr>
          <w:ilvl w:val="0"/>
          <w:numId w:val="111"/>
        </w:numPr>
        <w:tabs>
          <w:tab w:val="left" w:pos="0"/>
          <w:tab w:val="left" w:pos="567"/>
        </w:tabs>
        <w:spacing w:before="0" w:after="0"/>
        <w:ind w:left="0" w:firstLine="0"/>
        <w:rPr>
          <w:szCs w:val="24"/>
        </w:rPr>
      </w:pPr>
      <w:r w:rsidRPr="00DB1FCB">
        <w:rPr>
          <w:szCs w:val="24"/>
        </w:rPr>
        <w:t>Каспофунгин</w:t>
      </w:r>
      <w:r w:rsidR="00E5718A">
        <w:rPr>
          <w:szCs w:val="24"/>
        </w:rPr>
        <w:t>**</w:t>
      </w:r>
      <w:r w:rsidRPr="00DB1FCB">
        <w:rPr>
          <w:szCs w:val="24"/>
        </w:rPr>
        <w:t>, по 50 мг в сутки внутривенно.</w:t>
      </w:r>
    </w:p>
    <w:p w14:paraId="175D5DF7" w14:textId="7DFABF38" w:rsidR="00B37E1F" w:rsidRPr="00DB1FCB" w:rsidRDefault="00B37E1F" w:rsidP="008F161A">
      <w:pPr>
        <w:numPr>
          <w:ilvl w:val="0"/>
          <w:numId w:val="111"/>
        </w:numPr>
        <w:tabs>
          <w:tab w:val="left" w:pos="0"/>
          <w:tab w:val="left" w:pos="567"/>
        </w:tabs>
        <w:spacing w:before="0" w:after="0"/>
        <w:ind w:left="0" w:firstLine="0"/>
        <w:rPr>
          <w:szCs w:val="24"/>
        </w:rPr>
      </w:pPr>
      <w:r w:rsidRPr="00DB1FCB">
        <w:rPr>
          <w:szCs w:val="24"/>
        </w:rPr>
        <w:t>Микафунгин</w:t>
      </w:r>
      <w:r w:rsidR="00E5718A">
        <w:rPr>
          <w:szCs w:val="24"/>
        </w:rPr>
        <w:t>**</w:t>
      </w:r>
      <w:r w:rsidRPr="00DB1FCB">
        <w:rPr>
          <w:szCs w:val="24"/>
        </w:rPr>
        <w:t>, по 100 мг в сутки внутривенно.</w:t>
      </w:r>
    </w:p>
    <w:p w14:paraId="73EA8F90" w14:textId="77777777" w:rsidR="00B37E1F" w:rsidRPr="00DB1FCB" w:rsidRDefault="00B37E1F" w:rsidP="008F161A">
      <w:pPr>
        <w:numPr>
          <w:ilvl w:val="0"/>
          <w:numId w:val="111"/>
        </w:numPr>
        <w:tabs>
          <w:tab w:val="left" w:pos="0"/>
          <w:tab w:val="left" w:pos="567"/>
        </w:tabs>
        <w:spacing w:before="0" w:after="0"/>
        <w:ind w:left="0" w:firstLine="0"/>
        <w:rPr>
          <w:szCs w:val="24"/>
        </w:rPr>
      </w:pPr>
      <w:r w:rsidRPr="00DB1FCB">
        <w:rPr>
          <w:szCs w:val="24"/>
        </w:rPr>
        <w:t>Анидулафунгин, по 100 мг в сутки внутривенно.</w:t>
      </w:r>
    </w:p>
    <w:p w14:paraId="0892886B" w14:textId="77777777" w:rsidR="00B37E1F" w:rsidRPr="00DB1FCB" w:rsidRDefault="00B37E1F" w:rsidP="008F161A">
      <w:pPr>
        <w:numPr>
          <w:ilvl w:val="0"/>
          <w:numId w:val="110"/>
        </w:numPr>
        <w:tabs>
          <w:tab w:val="left" w:pos="0"/>
          <w:tab w:val="left" w:pos="567"/>
        </w:tabs>
        <w:spacing w:before="0" w:after="0"/>
        <w:ind w:left="0" w:firstLine="0"/>
        <w:rPr>
          <w:szCs w:val="24"/>
        </w:rPr>
      </w:pPr>
      <w:r w:rsidRPr="00DB1FCB">
        <w:rPr>
          <w:szCs w:val="24"/>
        </w:rPr>
        <w:lastRenderedPageBreak/>
        <w:t>Пациенты с наличием в анамнезе инвазивного аспергиллеза</w:t>
      </w:r>
      <w:r>
        <w:rPr>
          <w:szCs w:val="24"/>
        </w:rPr>
        <w:t xml:space="preserve"> (обычно один препарат из перечня)</w:t>
      </w:r>
      <w:r w:rsidRPr="00DB1FCB">
        <w:rPr>
          <w:szCs w:val="24"/>
        </w:rPr>
        <w:t>:</w:t>
      </w:r>
    </w:p>
    <w:p w14:paraId="78882325" w14:textId="1786BF75" w:rsidR="00B37E1F" w:rsidRPr="00DB1FCB" w:rsidRDefault="00B37E1F" w:rsidP="008F161A">
      <w:pPr>
        <w:numPr>
          <w:ilvl w:val="0"/>
          <w:numId w:val="112"/>
        </w:numPr>
        <w:tabs>
          <w:tab w:val="left" w:pos="0"/>
          <w:tab w:val="left" w:pos="567"/>
        </w:tabs>
        <w:spacing w:before="0" w:after="0"/>
        <w:ind w:left="0" w:firstLine="0"/>
        <w:rPr>
          <w:szCs w:val="24"/>
        </w:rPr>
      </w:pPr>
      <w:r w:rsidRPr="00DB1FCB">
        <w:rPr>
          <w:szCs w:val="24"/>
        </w:rPr>
        <w:t>Вориконазол</w:t>
      </w:r>
      <w:r w:rsidR="00E5718A">
        <w:rPr>
          <w:szCs w:val="24"/>
        </w:rPr>
        <w:t>**</w:t>
      </w:r>
      <w:r w:rsidRPr="00DB1FCB">
        <w:rPr>
          <w:szCs w:val="24"/>
        </w:rPr>
        <w:t>, по 200 мг 2 раза в сутки внутрь (в таблетках, натощак) или внутривенно.</w:t>
      </w:r>
    </w:p>
    <w:p w14:paraId="19B93E13" w14:textId="276BA593" w:rsidR="00B37E1F" w:rsidRPr="00DB1FCB" w:rsidRDefault="00B37E1F" w:rsidP="008F161A">
      <w:pPr>
        <w:numPr>
          <w:ilvl w:val="0"/>
          <w:numId w:val="112"/>
        </w:numPr>
        <w:tabs>
          <w:tab w:val="left" w:pos="0"/>
          <w:tab w:val="left" w:pos="567"/>
        </w:tabs>
        <w:spacing w:before="0" w:after="0"/>
        <w:ind w:left="0" w:firstLine="0"/>
        <w:rPr>
          <w:szCs w:val="24"/>
        </w:rPr>
      </w:pPr>
      <w:r w:rsidRPr="00DB1FCB">
        <w:rPr>
          <w:szCs w:val="24"/>
        </w:rPr>
        <w:t>Позаконазол</w:t>
      </w:r>
      <w:r w:rsidR="00E5718A">
        <w:rPr>
          <w:szCs w:val="24"/>
        </w:rPr>
        <w:t>**</w:t>
      </w:r>
      <w:r w:rsidRPr="00DB1FCB">
        <w:rPr>
          <w:szCs w:val="24"/>
        </w:rPr>
        <w:t xml:space="preserve"> (суспензия), по 200 мг 3 раза в сутки внутрь (после еды).</w:t>
      </w:r>
    </w:p>
    <w:p w14:paraId="728F2D80" w14:textId="77777777" w:rsidR="00B37E1F" w:rsidRPr="00DB1FCB" w:rsidRDefault="00B37E1F" w:rsidP="008F161A">
      <w:pPr>
        <w:numPr>
          <w:ilvl w:val="0"/>
          <w:numId w:val="112"/>
        </w:numPr>
        <w:tabs>
          <w:tab w:val="left" w:pos="0"/>
          <w:tab w:val="left" w:pos="567"/>
        </w:tabs>
        <w:spacing w:before="0" w:after="0"/>
        <w:ind w:left="0" w:firstLine="0"/>
        <w:rPr>
          <w:szCs w:val="24"/>
        </w:rPr>
      </w:pPr>
      <w:r w:rsidRPr="00DB1FCB">
        <w:rPr>
          <w:szCs w:val="24"/>
        </w:rPr>
        <w:t>Итраконазол (суспензия), по 200 мг 2 раза в сутки внутрь (натощак).</w:t>
      </w:r>
    </w:p>
    <w:p w14:paraId="79D17617" w14:textId="77777777" w:rsidR="00B37E1F" w:rsidRPr="00DB1FCB" w:rsidRDefault="00B37E1F" w:rsidP="008F161A">
      <w:pPr>
        <w:numPr>
          <w:ilvl w:val="0"/>
          <w:numId w:val="113"/>
        </w:numPr>
        <w:tabs>
          <w:tab w:val="left" w:pos="0"/>
          <w:tab w:val="left" w:pos="567"/>
        </w:tabs>
        <w:spacing w:before="0" w:after="0"/>
        <w:ind w:left="0" w:firstLine="0"/>
        <w:rPr>
          <w:szCs w:val="24"/>
        </w:rPr>
      </w:pPr>
      <w:r w:rsidRPr="00DB1FCB">
        <w:rPr>
          <w:szCs w:val="24"/>
        </w:rPr>
        <w:t>Пациенты с наличием в анамнезе мукормикоза:</w:t>
      </w:r>
    </w:p>
    <w:p w14:paraId="73AC5474" w14:textId="67BBC979" w:rsidR="00B37E1F" w:rsidRPr="00DB1FCB" w:rsidRDefault="00B37E1F" w:rsidP="002431B5">
      <w:pPr>
        <w:tabs>
          <w:tab w:val="left" w:pos="0"/>
          <w:tab w:val="left" w:pos="567"/>
        </w:tabs>
        <w:spacing w:before="0" w:after="0"/>
        <w:rPr>
          <w:b/>
          <w:szCs w:val="24"/>
        </w:rPr>
      </w:pPr>
      <w:r w:rsidRPr="00DB1FCB">
        <w:rPr>
          <w:szCs w:val="24"/>
        </w:rPr>
        <w:t>Позаконазол</w:t>
      </w:r>
      <w:r w:rsidR="00E5718A">
        <w:rPr>
          <w:szCs w:val="24"/>
        </w:rPr>
        <w:t>**</w:t>
      </w:r>
      <w:r w:rsidRPr="00DB1FCB">
        <w:rPr>
          <w:szCs w:val="24"/>
        </w:rPr>
        <w:t xml:space="preserve"> (суспензия), по 200 мг 3 раза в сутки внутрь (после еды).</w:t>
      </w:r>
      <w:r w:rsidRPr="00DB1FCB">
        <w:rPr>
          <w:b/>
          <w:szCs w:val="24"/>
        </w:rPr>
        <w:t xml:space="preserve"> </w:t>
      </w:r>
    </w:p>
    <w:p w14:paraId="3530C8F9" w14:textId="77777777" w:rsidR="00B37E1F" w:rsidRPr="000357B8" w:rsidRDefault="00B37E1F" w:rsidP="002431B5">
      <w:pPr>
        <w:pStyle w:val="a6"/>
        <w:widowControl w:val="0"/>
        <w:autoSpaceDE w:val="0"/>
        <w:autoSpaceDN w:val="0"/>
        <w:adjustRightInd w:val="0"/>
        <w:spacing w:before="0" w:after="0"/>
        <w:ind w:left="0"/>
        <w:jc w:val="center"/>
        <w:rPr>
          <w:b/>
          <w:szCs w:val="24"/>
        </w:rPr>
      </w:pPr>
      <w:r w:rsidRPr="000357B8">
        <w:rPr>
          <w:b/>
          <w:szCs w:val="24"/>
        </w:rPr>
        <w:t>Профилактика вирусных инфекций</w:t>
      </w:r>
    </w:p>
    <w:p w14:paraId="2B9AC26A" w14:textId="2A2D1554" w:rsidR="00B37E1F" w:rsidRPr="00DB1FCB" w:rsidRDefault="00B37E1F" w:rsidP="002431B5">
      <w:pPr>
        <w:tabs>
          <w:tab w:val="left" w:pos="0"/>
          <w:tab w:val="left" w:pos="567"/>
        </w:tabs>
        <w:spacing w:before="0" w:after="0"/>
        <w:rPr>
          <w:szCs w:val="24"/>
        </w:rPr>
      </w:pPr>
      <w:r w:rsidRPr="00DB1FCB">
        <w:rPr>
          <w:szCs w:val="24"/>
        </w:rPr>
        <w:t>Показана пациентам, имеющим отягощенный анамнез (частые, рецидивирующие эпизоды герпетических инфе</w:t>
      </w:r>
      <w:r>
        <w:rPr>
          <w:szCs w:val="24"/>
        </w:rPr>
        <w:t xml:space="preserve">кций) </w:t>
      </w:r>
      <w:r w:rsidRPr="00D9248B">
        <w:rPr>
          <w:szCs w:val="24"/>
        </w:rPr>
        <w:t>и пациентам, получающим бортезомиб</w:t>
      </w:r>
      <w:r w:rsidR="00E5718A">
        <w:rPr>
          <w:szCs w:val="24"/>
        </w:rPr>
        <w:t>**</w:t>
      </w:r>
      <w:r w:rsidRPr="00D9248B">
        <w:rPr>
          <w:szCs w:val="24"/>
        </w:rPr>
        <w:t>.</w:t>
      </w:r>
    </w:p>
    <w:p w14:paraId="6B211AB2" w14:textId="77777777" w:rsidR="00B37E1F" w:rsidRPr="00B201D3" w:rsidRDefault="00B37E1F" w:rsidP="002431B5">
      <w:pPr>
        <w:spacing w:before="0" w:after="0"/>
        <w:contextualSpacing/>
      </w:pPr>
      <w:r w:rsidRPr="00B201D3">
        <w:t>Используют следующие препараты для профилактики</w:t>
      </w:r>
      <w:r>
        <w:t xml:space="preserve"> </w:t>
      </w:r>
      <w:r w:rsidRPr="00B201D3">
        <w:t>вирусных инфекций</w:t>
      </w:r>
      <w:r>
        <w:t>:</w:t>
      </w:r>
    </w:p>
    <w:p w14:paraId="700A15B9" w14:textId="620A8C59" w:rsidR="00B37E1F" w:rsidRPr="00933F76" w:rsidRDefault="00E5718A" w:rsidP="008F161A">
      <w:pPr>
        <w:pStyle w:val="a6"/>
        <w:numPr>
          <w:ilvl w:val="0"/>
          <w:numId w:val="109"/>
        </w:numPr>
        <w:spacing w:before="0" w:after="0"/>
        <w:ind w:left="0" w:firstLine="0"/>
        <w:rPr>
          <w:szCs w:val="24"/>
        </w:rPr>
      </w:pPr>
      <w:r w:rsidRPr="00933F76">
        <w:rPr>
          <w:szCs w:val="24"/>
        </w:rPr>
        <w:t>А</w:t>
      </w:r>
      <w:r w:rsidR="00B37E1F" w:rsidRPr="00933F76">
        <w:rPr>
          <w:szCs w:val="24"/>
        </w:rPr>
        <w:t>цикловир</w:t>
      </w:r>
      <w:r>
        <w:rPr>
          <w:szCs w:val="24"/>
        </w:rPr>
        <w:t>**</w:t>
      </w:r>
      <w:r w:rsidR="00B37E1F" w:rsidRPr="00933F76">
        <w:rPr>
          <w:szCs w:val="24"/>
        </w:rPr>
        <w:t xml:space="preserve"> внутривенно 250 мг/м</w:t>
      </w:r>
      <w:r w:rsidR="00B37E1F" w:rsidRPr="00933F76">
        <w:rPr>
          <w:szCs w:val="24"/>
          <w:vertAlign w:val="superscript"/>
        </w:rPr>
        <w:t>2</w:t>
      </w:r>
      <w:r w:rsidR="00B37E1F" w:rsidRPr="00933F76">
        <w:rPr>
          <w:szCs w:val="24"/>
        </w:rPr>
        <w:t xml:space="preserve"> или 5 мг/кг каждые 12 часов;</w:t>
      </w:r>
    </w:p>
    <w:p w14:paraId="4DF04C2C" w14:textId="7B5E5953" w:rsidR="00B37E1F" w:rsidRPr="00933F76" w:rsidRDefault="00E5718A" w:rsidP="008F161A">
      <w:pPr>
        <w:pStyle w:val="a6"/>
        <w:numPr>
          <w:ilvl w:val="0"/>
          <w:numId w:val="109"/>
        </w:numPr>
        <w:spacing w:before="0" w:after="0"/>
        <w:ind w:left="0" w:firstLine="0"/>
        <w:rPr>
          <w:szCs w:val="24"/>
        </w:rPr>
      </w:pPr>
      <w:r w:rsidRPr="00933F76">
        <w:rPr>
          <w:szCs w:val="24"/>
        </w:rPr>
        <w:t>А</w:t>
      </w:r>
      <w:r w:rsidR="00B37E1F" w:rsidRPr="00933F76">
        <w:rPr>
          <w:szCs w:val="24"/>
        </w:rPr>
        <w:t>цикловир</w:t>
      </w:r>
      <w:r>
        <w:rPr>
          <w:szCs w:val="24"/>
        </w:rPr>
        <w:t>**</w:t>
      </w:r>
      <w:r w:rsidR="00B37E1F" w:rsidRPr="00933F76">
        <w:rPr>
          <w:szCs w:val="24"/>
        </w:rPr>
        <w:t xml:space="preserve"> таблетки по 200 мг х 3 раза;</w:t>
      </w:r>
    </w:p>
    <w:p w14:paraId="16A71877" w14:textId="2E7A6B5B" w:rsidR="00B37E1F" w:rsidRPr="00933F76" w:rsidRDefault="00E5718A" w:rsidP="008F161A">
      <w:pPr>
        <w:pStyle w:val="a6"/>
        <w:numPr>
          <w:ilvl w:val="0"/>
          <w:numId w:val="109"/>
        </w:numPr>
        <w:spacing w:before="0" w:after="0"/>
        <w:ind w:left="0" w:firstLine="0"/>
        <w:rPr>
          <w:szCs w:val="24"/>
        </w:rPr>
      </w:pPr>
      <w:r w:rsidRPr="00933F76">
        <w:rPr>
          <w:szCs w:val="24"/>
        </w:rPr>
        <w:t>В</w:t>
      </w:r>
      <w:r w:rsidR="00B37E1F" w:rsidRPr="00933F76">
        <w:rPr>
          <w:szCs w:val="24"/>
        </w:rPr>
        <w:t>алациковир</w:t>
      </w:r>
      <w:r>
        <w:rPr>
          <w:szCs w:val="24"/>
        </w:rPr>
        <w:t>**</w:t>
      </w:r>
      <w:r w:rsidR="00B37E1F" w:rsidRPr="00933F76">
        <w:rPr>
          <w:szCs w:val="24"/>
        </w:rPr>
        <w:t xml:space="preserve"> по 500 мг х 2 раза;</w:t>
      </w:r>
    </w:p>
    <w:p w14:paraId="236256F6" w14:textId="77777777" w:rsidR="00B37E1F" w:rsidRPr="00040AAA" w:rsidRDefault="00B37E1F" w:rsidP="008F161A">
      <w:pPr>
        <w:pStyle w:val="a6"/>
        <w:numPr>
          <w:ilvl w:val="0"/>
          <w:numId w:val="109"/>
        </w:numPr>
        <w:spacing w:before="0" w:after="0"/>
        <w:ind w:left="0" w:firstLine="0"/>
        <w:rPr>
          <w:szCs w:val="24"/>
        </w:rPr>
      </w:pPr>
      <w:r w:rsidRPr="00933F76">
        <w:rPr>
          <w:szCs w:val="24"/>
        </w:rPr>
        <w:t>фамцикловир по 500 мг 2 раза</w:t>
      </w:r>
      <w:r w:rsidRPr="00040AAA">
        <w:rPr>
          <w:szCs w:val="24"/>
        </w:rPr>
        <w:t>.</w:t>
      </w:r>
    </w:p>
    <w:p w14:paraId="0EAEEB05" w14:textId="77777777" w:rsidR="00B37E1F" w:rsidRDefault="00B37E1F" w:rsidP="002431B5">
      <w:pPr>
        <w:spacing w:before="0" w:after="0"/>
        <w:contextualSpacing/>
      </w:pPr>
      <w:r w:rsidRPr="00040AAA">
        <w:t>П</w:t>
      </w:r>
      <w:r>
        <w:t>ротивовирусную профилактику п</w:t>
      </w:r>
      <w:r w:rsidRPr="00040AAA">
        <w:t>рименяют в те</w:t>
      </w:r>
      <w:r>
        <w:t xml:space="preserve">чение 3-5 недель с 1-го дня ПХТ. </w:t>
      </w:r>
      <w:r w:rsidRPr="00040AAA">
        <w:t>Перевод с пероральной на вн</w:t>
      </w:r>
      <w:r>
        <w:t>у</w:t>
      </w:r>
      <w:r w:rsidRPr="00040AAA">
        <w:t xml:space="preserve">тривенную форму проводят у больных с мукозитом. </w:t>
      </w:r>
    </w:p>
    <w:p w14:paraId="7FA6F569" w14:textId="77777777" w:rsidR="00B37E1F" w:rsidRPr="00B92586" w:rsidRDefault="00B37E1F" w:rsidP="002431B5">
      <w:pPr>
        <w:spacing w:before="0" w:after="0" w:line="240" w:lineRule="auto"/>
        <w:jc w:val="left"/>
        <w:rPr>
          <w:szCs w:val="24"/>
        </w:rPr>
      </w:pPr>
      <w:r w:rsidRPr="00B92586">
        <w:rPr>
          <w:szCs w:val="24"/>
        </w:rPr>
        <w:br w:type="page"/>
      </w:r>
    </w:p>
    <w:p w14:paraId="22E0F564" w14:textId="4E0DE0F5" w:rsidR="00245239" w:rsidRPr="00A30463" w:rsidRDefault="00360887" w:rsidP="00A30463">
      <w:pPr>
        <w:pStyle w:val="2"/>
      </w:pPr>
      <w:bookmarkStart w:id="109" w:name="_Toc97734660"/>
      <w:r w:rsidRPr="00A30463">
        <w:rPr>
          <w:rStyle w:val="ac"/>
          <w:b/>
          <w:bCs w:val="0"/>
        </w:rPr>
        <w:lastRenderedPageBreak/>
        <w:t>Приложение А3</w:t>
      </w:r>
      <w:r w:rsidR="00B37E1F" w:rsidRPr="00A30463">
        <w:rPr>
          <w:rStyle w:val="ac"/>
          <w:b/>
          <w:bCs w:val="0"/>
        </w:rPr>
        <w:t>.</w:t>
      </w:r>
      <w:r w:rsidRPr="00A30463">
        <w:rPr>
          <w:rStyle w:val="ac"/>
          <w:b/>
          <w:bCs w:val="0"/>
        </w:rPr>
        <w:t>1</w:t>
      </w:r>
      <w:r w:rsidR="00512BD8">
        <w:rPr>
          <w:rStyle w:val="ac"/>
          <w:b/>
          <w:bCs w:val="0"/>
        </w:rPr>
        <w:t>5</w:t>
      </w:r>
      <w:r w:rsidR="00A30463">
        <w:rPr>
          <w:rStyle w:val="ac"/>
          <w:b/>
          <w:bCs w:val="0"/>
        </w:rPr>
        <w:t>.</w:t>
      </w:r>
      <w:r w:rsidR="00B37E1F" w:rsidRPr="00A30463">
        <w:rPr>
          <w:rStyle w:val="ac"/>
          <w:b/>
          <w:bCs w:val="0"/>
        </w:rPr>
        <w:t xml:space="preserve"> Инфузионная терапия</w:t>
      </w:r>
      <w:bookmarkEnd w:id="109"/>
    </w:p>
    <w:p w14:paraId="72C8C6DD" w14:textId="77777777" w:rsidR="00B37E1F" w:rsidRPr="00CE6C1C" w:rsidRDefault="00B37E1F" w:rsidP="002431B5">
      <w:pPr>
        <w:spacing w:before="0" w:after="0"/>
        <w:rPr>
          <w:b/>
          <w:szCs w:val="24"/>
        </w:rPr>
      </w:pPr>
      <w:r w:rsidRPr="00CE6C1C">
        <w:rPr>
          <w:b/>
          <w:szCs w:val="24"/>
        </w:rPr>
        <w:t>Общие сведения.</w:t>
      </w:r>
    </w:p>
    <w:p w14:paraId="1B81FA22" w14:textId="69671594" w:rsidR="00B37E1F" w:rsidRPr="00CE6C1C" w:rsidRDefault="00B37E1F" w:rsidP="00093389">
      <w:pPr>
        <w:spacing w:before="0" w:after="0"/>
        <w:ind w:firstLine="567"/>
        <w:rPr>
          <w:szCs w:val="24"/>
        </w:rPr>
      </w:pPr>
      <w:r w:rsidRPr="00CE6C1C">
        <w:rPr>
          <w:szCs w:val="24"/>
        </w:rPr>
        <w:t>Особое место в сопроводительной терапии пациентов с гематологическими заболеваниями занимает инфузионная терапия (ИТ). Она используется почти у всех пациентов, находящихся на стационарном лечении. Однако некорректное ее применение может приводить к тяжелым осложнениям. Инфузионные растворы должны рассматриваться как лекарственные препараты со своими показаниями и противопоказаниями. Необходим обоснованный выбор типа раствора, его количества и темпа введения. Но, несмотря на накопленный опыт использования ИТ (первое сообщение о применении внутривенной инфузии раствора солей у больных холерой п</w:t>
      </w:r>
      <w:r>
        <w:rPr>
          <w:szCs w:val="24"/>
        </w:rPr>
        <w:t xml:space="preserve">оявилось почти 200 лет назад), </w:t>
      </w:r>
      <w:r w:rsidRPr="00CE6C1C">
        <w:rPr>
          <w:szCs w:val="24"/>
        </w:rPr>
        <w:t>концепции и схемы ИТ продолжают развиваться</w:t>
      </w:r>
      <w:r w:rsidR="00245239">
        <w:rPr>
          <w:szCs w:val="24"/>
        </w:rPr>
        <w:t xml:space="preserve"> </w:t>
      </w:r>
      <w:r w:rsidR="00245239">
        <w:fldChar w:fldCharType="begin" w:fldLock="1"/>
      </w:r>
      <w:r w:rsidR="00E430FD">
        <w:instrText>ADDIN CSL_CITATION {"citationItems":[{"id":"ITEM-1","itemData":{"DOI":"10.1188/10.cjon.e10-e21","ISSN":"03850684","PMID":"18931569","abstract":"Monoclonal antibody treatment, which is one of the most promising molecular targeting cancer therapies, has recently become indispensable for the treatment of cancer due to its effectiveness and fewer side effects. Infusion reactions, which are similar to hypersensitivity or allergic reactions, are the generic term for the acute characteristic harmful reactions commonly associated with monoclonal antibody treatment. Those typically occur within the first 2 hours of the first infusion and are generally mild-to-moderate reactions which can be managed by either temporary interruption of infusion or administration of supportive care including corticosteroids, oxygen, or intravenous fluids. However, there are sometimes severe or life-threatening reactions, thus indicating the importance of closely observing the patient following the monoclonal antibody treatment. It is quite important that the entire medical staff understands the practical information regarding the timing and prevention or management of infusion reactions. In addition, it is also necessary to establish a system for prompt management of infusion reactions. Furthermore, sufficient information must be provided to the patient regarding infusion reactions.","author":[{"dropping-particle":"","family":"Sato","given":"Kazuya","non-dropping-particle":"","parse-names":false,"suffix":""},{"dropping-particle":"","family":"Kohgo","given":"Yutaka","non-dropping-particle":"","parse-names":false,"suffix":""}],"container-title":"Gan to kagaku ryoho. Cancer &amp; chemotherapy","id":"ITEM-1","issue":"10","issued":{"date-parts":[["2008"]]},"page":"1671-1674","publisher":"Clin J Oncol Nurs","title":"Infusion reactions","type":"article-journal","volume":"35"},"uris":["http://www.mendeley.com/documents/?uuid=6704917f-6d5b-424b-9ffe-a174d3ff6332"]}],"mendeley":{"formattedCitation":"[215]","plainTextFormattedCitation":"[215]","previouslyFormattedCitation":"[215]"},"properties":{"noteIndex":0},"schema":"https://github.com/citation-style-language/schema/raw/master/csl-citation.json"}</w:instrText>
      </w:r>
      <w:r w:rsidR="00245239">
        <w:fldChar w:fldCharType="separate"/>
      </w:r>
      <w:r w:rsidR="00E430FD" w:rsidRPr="00E430FD">
        <w:rPr>
          <w:noProof/>
        </w:rPr>
        <w:t>[215]</w:t>
      </w:r>
      <w:r w:rsidR="00245239">
        <w:fldChar w:fldCharType="end"/>
      </w:r>
      <w:r w:rsidRPr="00CE6C1C">
        <w:rPr>
          <w:szCs w:val="24"/>
        </w:rPr>
        <w:t>.</w:t>
      </w:r>
    </w:p>
    <w:p w14:paraId="6465A8C4" w14:textId="52650D67" w:rsidR="00B37E1F" w:rsidRPr="00CE6C1C" w:rsidRDefault="00B37E1F" w:rsidP="00093389">
      <w:pPr>
        <w:spacing w:before="0" w:after="0"/>
        <w:ind w:firstLine="567"/>
        <w:rPr>
          <w:szCs w:val="24"/>
        </w:rPr>
      </w:pPr>
      <w:r w:rsidRPr="00CE6C1C">
        <w:rPr>
          <w:szCs w:val="24"/>
        </w:rPr>
        <w:t>ИТ в гематологии используется для решения таких задач, как создание гемоделюции и форсированного диуреза для профилактики синдрома лизиса опухоли, возмещение жидкостных потерь в результате диареи, лихорадки, сепсиса, кровотечения, депонирования в полостях организма и коррекция электролитных расстройств</w:t>
      </w:r>
      <w:r w:rsidR="00245239">
        <w:rPr>
          <w:szCs w:val="24"/>
        </w:rPr>
        <w:t xml:space="preserve"> </w:t>
      </w:r>
      <w:r w:rsidR="00245239">
        <w:fldChar w:fldCharType="begin" w:fldLock="1"/>
      </w:r>
      <w:r w:rsidR="00E430FD">
        <w:instrText>ADDIN CSL_CITATION {"citationItems":[{"id":"ITEM-1","itemData":{"author":[{"dropping-particle":"","family":"Дементьева","given":"И.И.","non-dropping-particle":"","parse-names":false,"suffix":""},{"dropping-particle":"","family":"Морозов","given":"Ю.А.","non-dropping-particle":"","parse-names":false,"suffix":""},{"dropping-particle":"","family":"Чарная","given":"М.А.","non-dropping-particle":"","parse-names":false,"suffix":""}],"editor":[{"dropping-particle":"","family":"Алексина","given":"В.А.","non-dropping-particle":"","parse-names":false,"suffix":""}],"id":"ITEM-1","issued":{"date-parts":[["2013"]]},"number-of-pages":"288","publisher":"ГЭОТАР-МЕД","publisher-place":"Москва","title":"Патология системы гемостаза","type":"book"},"uris":["http://www.mendeley.com/documents/?uuid=0335f712-c1ae-4bbb-8b86-8c690b220e21"]}],"mendeley":{"formattedCitation":"[178]","plainTextFormattedCitation":"[178]","previouslyFormattedCitation":"[178]"},"properties":{"noteIndex":0},"schema":"https://github.com/citation-style-language/schema/raw/master/csl-citation.json"}</w:instrText>
      </w:r>
      <w:r w:rsidR="00245239">
        <w:fldChar w:fldCharType="separate"/>
      </w:r>
      <w:r w:rsidR="00E430FD" w:rsidRPr="00E430FD">
        <w:rPr>
          <w:noProof/>
        </w:rPr>
        <w:t>[178]</w:t>
      </w:r>
      <w:r w:rsidR="00245239">
        <w:fldChar w:fldCharType="end"/>
      </w:r>
      <w:r w:rsidRPr="00CE6C1C">
        <w:rPr>
          <w:szCs w:val="24"/>
        </w:rPr>
        <w:t>.</w:t>
      </w:r>
    </w:p>
    <w:p w14:paraId="2B084CCF" w14:textId="77777777" w:rsidR="00B37E1F" w:rsidRPr="00CE6C1C" w:rsidRDefault="00B37E1F" w:rsidP="00093389">
      <w:pPr>
        <w:spacing w:before="0" w:after="0"/>
        <w:ind w:firstLine="567"/>
        <w:rPr>
          <w:i/>
          <w:szCs w:val="24"/>
        </w:rPr>
      </w:pPr>
      <w:r w:rsidRPr="00CE6C1C">
        <w:rPr>
          <w:i/>
          <w:szCs w:val="24"/>
        </w:rPr>
        <w:t>Виды инфузионных растворов</w:t>
      </w:r>
    </w:p>
    <w:p w14:paraId="7877605C" w14:textId="315DC560" w:rsidR="00B37E1F" w:rsidRPr="00CE6C1C" w:rsidRDefault="00B37E1F" w:rsidP="00093389">
      <w:pPr>
        <w:spacing w:before="0" w:after="0"/>
        <w:ind w:firstLine="567"/>
        <w:rPr>
          <w:szCs w:val="24"/>
        </w:rPr>
      </w:pPr>
      <w:r w:rsidRPr="00CE6C1C">
        <w:rPr>
          <w:szCs w:val="24"/>
        </w:rPr>
        <w:t xml:space="preserve">Кристаллоиды и коллоиды – два основных типа растворов, которые используются для ИТ в медицине. Кристаллоиды – это растворы солей и глюкозы, которые могут легко премещаться за пределы сосудистого русла посредством диффузии в отличие от коллоидов, представляющие собой растворы крупных молекул (гидроксиэтилкрахмала (ГЭК), альбумина), благодаря которым после инфузии преимущественно остаются в русле и увеличивают коллоидно-осмотическое давление, тем самым удерживая жидкость в просвете сосуда. Однако коллоидные растворы (в частности растворы ГЭК первого и второго поколения) обладают более широким спектром побочных эффектов: нефротоксичность, способность вызывать гипокоагуляцию. Поэтому высокая способность удерживать жидкость в сосудистом русле в сочетании с потенциальной опасностью у коллоидов против низкой коллоидно-осмотической способности и относительной безопасности </w:t>
      </w:r>
      <w:r w:rsidR="00E5718A" w:rsidRPr="00CE6C1C">
        <w:rPr>
          <w:szCs w:val="24"/>
        </w:rPr>
        <w:t>кристаллоидов являются</w:t>
      </w:r>
      <w:r w:rsidRPr="00CE6C1C">
        <w:rPr>
          <w:szCs w:val="24"/>
        </w:rPr>
        <w:t xml:space="preserve"> предметом спора в выборе наилучшего типа раствора для инфузии. Но коллоиды и кристаллоиды не являются взаимоисключающими растворами, а используются в различных клинических ситуациях. Преимущественно для поддерживающей ИТ и при коррекции </w:t>
      </w:r>
      <w:r w:rsidRPr="00CE6C1C">
        <w:rPr>
          <w:i/>
          <w:szCs w:val="24"/>
        </w:rPr>
        <w:t>дегидратации</w:t>
      </w:r>
      <w:r w:rsidRPr="00CE6C1C">
        <w:rPr>
          <w:szCs w:val="24"/>
        </w:rPr>
        <w:t xml:space="preserve"> в результате потери жидкости с перспирацией, лихорадкой, диареей, когда обезвоживаются все жидкостные пространства организма (сосудистое русло, интерстиций, внутриклеточная жидкость) используют сбалансированные кристаллоидные растворы. В экстренных ситуациях, </w:t>
      </w:r>
      <w:r w:rsidR="00245239" w:rsidRPr="00CE6C1C">
        <w:rPr>
          <w:szCs w:val="24"/>
        </w:rPr>
        <w:t>например,</w:t>
      </w:r>
      <w:r w:rsidRPr="00CE6C1C">
        <w:rPr>
          <w:szCs w:val="24"/>
        </w:rPr>
        <w:t xml:space="preserve"> при </w:t>
      </w:r>
      <w:r w:rsidRPr="00CE6C1C">
        <w:rPr>
          <w:szCs w:val="24"/>
        </w:rPr>
        <w:lastRenderedPageBreak/>
        <w:t>массивном кровотечении (</w:t>
      </w:r>
      <w:r w:rsidRPr="00CE6C1C">
        <w:rPr>
          <w:i/>
          <w:szCs w:val="24"/>
        </w:rPr>
        <w:t>гиповолемия</w:t>
      </w:r>
      <w:r w:rsidRPr="00CE6C1C">
        <w:rPr>
          <w:szCs w:val="24"/>
        </w:rPr>
        <w:t>), когда требуется быстрое восполнение объема циркулирующей крови для поддержания гемодинамики и, соответственно, доставки кислорода тканям, используют комбинацию коллоидных и кристаллоидных растворов</w:t>
      </w:r>
      <w:r w:rsidR="00245239">
        <w:rPr>
          <w:szCs w:val="24"/>
        </w:rPr>
        <w:t xml:space="preserve"> </w:t>
      </w:r>
      <w:r w:rsidR="00245239">
        <w:fldChar w:fldCharType="begin" w:fldLock="1"/>
      </w:r>
      <w:r w:rsidR="00E430FD">
        <w:instrText>ADDIN CSL_CITATION {"citationItems":[{"id":"ITEM-1","itemData":{"DOI":"10.1188/10.cjon.e10-e21","ISSN":"03850684","PMID":"18931569","abstract":"Monoclonal antibody treatment, which is one of the most promising molecular targeting cancer therapies, has recently become indispensable for the treatment of cancer due to its effectiveness and fewer side effects. Infusion reactions, which are similar to hypersensitivity or allergic reactions, are the generic term for the acute characteristic harmful reactions commonly associated with monoclonal antibody treatment. Those typically occur within the first 2 hours of the first infusion and are generally mild-to-moderate reactions which can be managed by either temporary interruption of infusion or administration of supportive care including corticosteroids, oxygen, or intravenous fluids. However, there are sometimes severe or life-threatening reactions, thus indicating the importance of closely observing the patient following the monoclonal antibody treatment. It is quite important that the entire medical staff understands the practical information regarding the timing and prevention or management of infusion reactions. In addition, it is also necessary to establish a system for prompt management of infusion reactions. Furthermore, sufficient information must be provided to the patient regarding infusion reactions.","author":[{"dropping-particle":"","family":"Sato","given":"Kazuya","non-dropping-particle":"","parse-names":false,"suffix":""},{"dropping-particle":"","family":"Kohgo","given":"Yutaka","non-dropping-particle":"","parse-names":false,"suffix":""}],"container-title":"Gan to kagaku ryoho. Cancer &amp; chemotherapy","id":"ITEM-1","issue":"10","issued":{"date-parts":[["2008"]]},"page":"1671-1674","publisher":"Clin J Oncol Nurs","title":"Infusion reactions","type":"article-journal","volume":"35"},"uris":["http://www.mendeley.com/documents/?uuid=6704917f-6d5b-424b-9ffe-a174d3ff6332"]}],"mendeley":{"formattedCitation":"[215]","plainTextFormattedCitation":"[215]","previouslyFormattedCitation":"[215]"},"properties":{"noteIndex":0},"schema":"https://github.com/citation-style-language/schema/raw/master/csl-citation.json"}</w:instrText>
      </w:r>
      <w:r w:rsidR="00245239">
        <w:fldChar w:fldCharType="separate"/>
      </w:r>
      <w:r w:rsidR="00E430FD" w:rsidRPr="00E430FD">
        <w:rPr>
          <w:noProof/>
        </w:rPr>
        <w:t>[215]</w:t>
      </w:r>
      <w:r w:rsidR="00245239">
        <w:fldChar w:fldCharType="end"/>
      </w:r>
      <w:r w:rsidRPr="00CE6C1C">
        <w:rPr>
          <w:szCs w:val="24"/>
        </w:rPr>
        <w:t>.</w:t>
      </w:r>
    </w:p>
    <w:p w14:paraId="16B8AE59" w14:textId="02C899EF" w:rsidR="00B37E1F" w:rsidRPr="00CE6C1C" w:rsidRDefault="00B37E1F" w:rsidP="00093389">
      <w:pPr>
        <w:spacing w:before="0" w:after="0"/>
        <w:ind w:firstLine="567"/>
        <w:rPr>
          <w:szCs w:val="24"/>
        </w:rPr>
      </w:pPr>
      <w:r w:rsidRPr="00CE6C1C">
        <w:rPr>
          <w:i/>
          <w:szCs w:val="24"/>
        </w:rPr>
        <w:t>Изотонический 0,9% раствор натрия хлорида</w:t>
      </w:r>
      <w:r w:rsidR="00E5718A">
        <w:rPr>
          <w:i/>
          <w:szCs w:val="24"/>
        </w:rPr>
        <w:t>**</w:t>
      </w:r>
      <w:r w:rsidRPr="00CE6C1C">
        <w:rPr>
          <w:i/>
          <w:szCs w:val="24"/>
        </w:rPr>
        <w:t xml:space="preserve"> (0,9% </w:t>
      </w:r>
      <w:r w:rsidRPr="00CE6C1C">
        <w:rPr>
          <w:i/>
          <w:szCs w:val="24"/>
          <w:lang w:val="en-US"/>
        </w:rPr>
        <w:t>NaCl</w:t>
      </w:r>
      <w:r w:rsidRPr="00CE6C1C">
        <w:rPr>
          <w:i/>
          <w:szCs w:val="24"/>
        </w:rPr>
        <w:t>),</w:t>
      </w:r>
      <w:r w:rsidRPr="00CE6C1C">
        <w:rPr>
          <w:szCs w:val="24"/>
        </w:rPr>
        <w:t xml:space="preserve"> который исторически принято было называть физиологическим, таковым не является. Это связано с его высокой концентрацией ионов натрия 154 ммоль/л и хлорида 154 ммоль/л, что выше, чем в плазме здорового человека (см. таб. </w:t>
      </w:r>
      <w:r w:rsidR="00436F47">
        <w:rPr>
          <w:szCs w:val="24"/>
        </w:rPr>
        <w:t>А3.29</w:t>
      </w:r>
      <w:r w:rsidRPr="00CE6C1C">
        <w:rPr>
          <w:szCs w:val="24"/>
        </w:rPr>
        <w:t>), и с отсутствием буфера. Поэтому инфузия изотонического раствора хлорида натрия</w:t>
      </w:r>
      <w:r w:rsidR="00E5718A">
        <w:rPr>
          <w:szCs w:val="24"/>
        </w:rPr>
        <w:t>**</w:t>
      </w:r>
      <w:r w:rsidRPr="00CE6C1C">
        <w:rPr>
          <w:szCs w:val="24"/>
        </w:rPr>
        <w:t xml:space="preserve"> может привести к гиперхлоремическому метаболическому ацидозу с развитием хлорид-индуцированного спазма почечных капилляров с последующей острой почечной недостаточностью</w:t>
      </w:r>
      <w:r w:rsidR="00A30463">
        <w:rPr>
          <w:szCs w:val="24"/>
        </w:rPr>
        <w:t>.</w:t>
      </w:r>
      <w:r w:rsidRPr="00CE6C1C">
        <w:rPr>
          <w:szCs w:val="24"/>
        </w:rPr>
        <w:t xml:space="preserve"> </w:t>
      </w:r>
    </w:p>
    <w:p w14:paraId="460548A6" w14:textId="71631BB4" w:rsidR="00B37E1F" w:rsidRPr="00CE6C1C" w:rsidRDefault="00B37E1F" w:rsidP="00093389">
      <w:pPr>
        <w:spacing w:before="0" w:after="0"/>
        <w:ind w:firstLine="567"/>
        <w:rPr>
          <w:szCs w:val="24"/>
        </w:rPr>
      </w:pPr>
      <w:r w:rsidRPr="00CE6C1C">
        <w:rPr>
          <w:szCs w:val="24"/>
        </w:rPr>
        <w:t>Введение 1000 мл 0,9% натрия хлорида</w:t>
      </w:r>
      <w:r w:rsidR="00E5718A">
        <w:rPr>
          <w:szCs w:val="24"/>
        </w:rPr>
        <w:t>**</w:t>
      </w:r>
      <w:r w:rsidRPr="00CE6C1C">
        <w:rPr>
          <w:szCs w:val="24"/>
        </w:rPr>
        <w:t xml:space="preserve"> увеличивает объем плазмы на 275 мл, а интерстициальной жидкости на 875 мл, суммарно 1100 мл (на 100 мл больше за счет диффузии воды из внутриклеточного пространства в интерстиций под действием концентрационного градиента, который создается ионами </w:t>
      </w:r>
      <w:r w:rsidRPr="00CE6C1C">
        <w:rPr>
          <w:szCs w:val="24"/>
          <w:lang w:val="en-US"/>
        </w:rPr>
        <w:t>Na</w:t>
      </w:r>
      <w:r w:rsidRPr="00CE6C1C">
        <w:rPr>
          <w:szCs w:val="24"/>
        </w:rPr>
        <w:t xml:space="preserve">). </w:t>
      </w:r>
    </w:p>
    <w:p w14:paraId="53C0EA9C" w14:textId="334B7C5E" w:rsidR="00B37E1F" w:rsidRPr="00CE6C1C" w:rsidRDefault="00B37E1F" w:rsidP="00093389">
      <w:pPr>
        <w:spacing w:before="0" w:after="0"/>
        <w:ind w:firstLine="567"/>
        <w:rPr>
          <w:szCs w:val="24"/>
        </w:rPr>
      </w:pPr>
      <w:r w:rsidRPr="00CE6C1C">
        <w:rPr>
          <w:i/>
          <w:szCs w:val="24"/>
        </w:rPr>
        <w:t>Сбалансированные кристаллоидные растворы (</w:t>
      </w:r>
      <w:r w:rsidRPr="001B7406">
        <w:rPr>
          <w:i/>
          <w:szCs w:val="24"/>
        </w:rPr>
        <w:t>Стерофундин</w:t>
      </w:r>
      <w:r w:rsidRPr="00CE6C1C">
        <w:rPr>
          <w:i/>
          <w:szCs w:val="24"/>
        </w:rPr>
        <w:t>, Рингер-лактат)</w:t>
      </w:r>
      <w:r w:rsidRPr="00CE6C1C">
        <w:rPr>
          <w:szCs w:val="24"/>
        </w:rPr>
        <w:t xml:space="preserve"> обладают меньшим количеством побочных эффектов за счет снижения концентрации ионов натрия и добавления буфера в раствор, что частично решает проблемы периферических отеков: низкая концентрация ионов натрия в растворе не создает градиент для диффузии воды из внутриклеточного пространства, как это происходит при использовании 0,9% натрия хлорид</w:t>
      </w:r>
      <w:r w:rsidR="00E5718A">
        <w:rPr>
          <w:szCs w:val="24"/>
        </w:rPr>
        <w:t>**</w:t>
      </w:r>
      <w:r w:rsidRPr="00CE6C1C">
        <w:rPr>
          <w:szCs w:val="24"/>
        </w:rPr>
        <w:t xml:space="preserve">а, а находящийся в </w:t>
      </w:r>
      <w:r w:rsidR="00F958BC" w:rsidRPr="00CE6C1C">
        <w:rPr>
          <w:szCs w:val="24"/>
        </w:rPr>
        <w:t>растворе буфер</w:t>
      </w:r>
      <w:r w:rsidRPr="00CE6C1C">
        <w:rPr>
          <w:szCs w:val="24"/>
        </w:rPr>
        <w:t xml:space="preserve"> предотвращает развитие ацидоза. Однако раствор Рингер-лактата</w:t>
      </w:r>
      <w:r w:rsidRPr="00CE6C1C">
        <w:rPr>
          <w:i/>
          <w:szCs w:val="24"/>
        </w:rPr>
        <w:t xml:space="preserve"> </w:t>
      </w:r>
      <w:r w:rsidRPr="00CE6C1C">
        <w:rPr>
          <w:szCs w:val="24"/>
        </w:rPr>
        <w:t xml:space="preserve">является гипоосмолярным – 256 ммоль/л, что делает его непригодным для использования у пациентов с отеком головного мозга. В настоящее время раствор Рингер-лактата успешно применяется для коррекции гипернатриемии, инфузионной терапии во время лечения сепсиса, панкреатита и др. </w:t>
      </w:r>
    </w:p>
    <w:p w14:paraId="2AF54880" w14:textId="24E0049B" w:rsidR="00B37E1F" w:rsidRPr="00CE6C1C" w:rsidRDefault="00B37E1F" w:rsidP="00093389">
      <w:pPr>
        <w:spacing w:before="0" w:after="0"/>
        <w:ind w:firstLine="567"/>
        <w:rPr>
          <w:szCs w:val="24"/>
        </w:rPr>
      </w:pPr>
      <w:r w:rsidRPr="00CE6C1C">
        <w:rPr>
          <w:szCs w:val="24"/>
        </w:rPr>
        <w:t xml:space="preserve">Следует помнить, что у больных с циркуляторным шоком (тканевой гипоксией) и с заболеваниями печени лактат из раствора не будет метаболизироваться в анаэробных условиях до бикарбоната, что может приводить к гиперлактатаемии. Следует ограничивать проведение ИТ раствором Рингер-лактата у больных с циркуляторным шоком. Необходимо с осторожностью использовать раствор Рингер – Лактата для разведения эритроцитарной массы, </w:t>
      </w:r>
      <w:r>
        <w:rPr>
          <w:szCs w:val="24"/>
        </w:rPr>
        <w:t xml:space="preserve">так как находящийся в растворе </w:t>
      </w:r>
      <w:r w:rsidRPr="00CE6C1C">
        <w:rPr>
          <w:szCs w:val="24"/>
        </w:rPr>
        <w:t xml:space="preserve">кальций может связать цитрат (антикоагулянт для компонентов крови) и вызвать образование сгустков крови </w:t>
      </w:r>
      <w:r>
        <w:rPr>
          <w:szCs w:val="24"/>
        </w:rPr>
        <w:t>в пакете с компонентами крови</w:t>
      </w:r>
      <w:r w:rsidR="00914BF0">
        <w:rPr>
          <w:szCs w:val="24"/>
        </w:rPr>
        <w:fldChar w:fldCharType="begin" w:fldLock="1"/>
      </w:r>
      <w:r w:rsidR="00E430FD">
        <w:rPr>
          <w:szCs w:val="24"/>
        </w:rPr>
        <w:instrText>ADDIN CSL_CITATION {"citationItems":[{"id":"ITEM-1","itemData":{"author":[{"dropping-particle":"","family":"Багирова","given":"Н.С.","non-dropping-particle":"","parse-names":false,"suffix":""}],"container-title":"Злокачественные опухоли","id":"ITEM-1","issue":"3","issued":{"date-parts":[["2014"]]},"page":"164-171","title":"Инфекции, связанные с внутрисосудистыми устройствами: терминология, диагностика, профилактика и терапия","type":"article-journal"},"uris":["http://www.mendeley.com/documents/?uuid=973153ce-d078-4e08-a598-f09e2ab23f94"]},{"id":"ITEM-2","itemData":{"author":[{"dropping-particle":"","family":"Червонцева","given":"Алевтина Михайловна","non-dropping-particle":"","parse-names":false,"suffix":""}],"id":"ITEM-2","issued":{"date-parts":[["2008"]]},"title":"Повреждение сосудистого эндотелия в процессе лечения острых миелоидных лейкозов","type":"article"},"uris":["http://www.mendeley.com/documents/?uuid=b0c847b8-b368-40a1-9c35-cebd6d9d96b6"]}],"mendeley":{"formattedCitation":"[196,197]","plainTextFormattedCitation":"[196,197]","previouslyFormattedCitation":"[196,197]"},"properties":{"noteIndex":0},"schema":"https://github.com/citation-style-language/schema/raw/master/csl-citation.json"}</w:instrText>
      </w:r>
      <w:r w:rsidR="00914BF0">
        <w:rPr>
          <w:szCs w:val="24"/>
        </w:rPr>
        <w:fldChar w:fldCharType="separate"/>
      </w:r>
      <w:r w:rsidR="00E430FD" w:rsidRPr="00E430FD">
        <w:rPr>
          <w:noProof/>
          <w:szCs w:val="24"/>
        </w:rPr>
        <w:t>[196,197]</w:t>
      </w:r>
      <w:r w:rsidR="00914BF0">
        <w:rPr>
          <w:szCs w:val="24"/>
        </w:rPr>
        <w:fldChar w:fldCharType="end"/>
      </w:r>
      <w:r>
        <w:rPr>
          <w:szCs w:val="24"/>
        </w:rPr>
        <w:t xml:space="preserve">. </w:t>
      </w:r>
    </w:p>
    <w:p w14:paraId="1EEB2A92" w14:textId="55BFA8D1" w:rsidR="00B37E1F" w:rsidRPr="00CE6C1C" w:rsidRDefault="00B37E1F" w:rsidP="00093389">
      <w:pPr>
        <w:spacing w:before="0" w:after="0"/>
        <w:ind w:firstLine="567"/>
        <w:rPr>
          <w:szCs w:val="24"/>
        </w:rPr>
      </w:pPr>
      <w:r w:rsidRPr="00CE6C1C">
        <w:rPr>
          <w:szCs w:val="24"/>
        </w:rPr>
        <w:lastRenderedPageBreak/>
        <w:t xml:space="preserve">Современные растворы, такие как </w:t>
      </w:r>
      <w:r w:rsidR="007167FE">
        <w:rPr>
          <w:i/>
          <w:szCs w:val="24"/>
        </w:rPr>
        <w:t xml:space="preserve">Стерофундин </w:t>
      </w:r>
      <w:r w:rsidRPr="00CE6C1C">
        <w:rPr>
          <w:szCs w:val="24"/>
        </w:rPr>
        <w:t>и др.</w:t>
      </w:r>
      <w:r w:rsidR="00F958BC" w:rsidRPr="00CE6C1C">
        <w:rPr>
          <w:szCs w:val="24"/>
        </w:rPr>
        <w:t>, содержат</w:t>
      </w:r>
      <w:r w:rsidRPr="00CE6C1C">
        <w:rPr>
          <w:szCs w:val="24"/>
        </w:rPr>
        <w:t xml:space="preserve"> в себе меньшую концентрацию кальция за счет добавления ионов магния, а в качестве буфера – ацетат. Таким образом, у этих растворов также имеется ряд преимуществ перед изотоническим раствором натрия и раствором Рингер-лактат: более низкая концентрация хлорида уменьшает риск развития гиперхлоремического ацидоза, а применение ацетата в качестве буфера дает возможность применять эти растворы у больных с печеночной недостаточностью и циркуляторным шоком без риска ятрогенной гиперлактатемии. Эти растворы также подходят для проведения регидратации при снижении объема жидкости при </w:t>
      </w:r>
      <w:r w:rsidRPr="00D9248B">
        <w:rPr>
          <w:szCs w:val="24"/>
        </w:rPr>
        <w:t>диарее, рвоте</w:t>
      </w:r>
      <w:r w:rsidRPr="00CE6C1C">
        <w:rPr>
          <w:szCs w:val="24"/>
        </w:rPr>
        <w:t>, лихорадке</w:t>
      </w:r>
      <w:r w:rsidR="00914BF0">
        <w:rPr>
          <w:szCs w:val="24"/>
        </w:rPr>
        <w:fldChar w:fldCharType="begin" w:fldLock="1"/>
      </w:r>
      <w:r w:rsidR="00E430FD">
        <w:rPr>
          <w:szCs w:val="24"/>
        </w:rPr>
        <w:instrText>ADDIN CSL_CITATION {"citationItems":[{"id":"ITEM-1","itemData":{"DOI":"10.18027/2224-5057-2014-3-164-171","ISSN":"2224-5057","abstract":"The problem of bloodstream infections associated with intravascular devices, is currently still relevant. The increase in demand of installation of intravascular catheter is caused by requirements for therapeutic, prophylactic, diagnostic and other procedures. Minimising the risk of potentially life-threatening infections, including bloodstream infections related to intravascular devices, as well as reduce the incidence of nosocomial infections should be considered as a priority in a comprehensive work to improve the quality of medical care.","author":[{"dropping-particle":"","family":"Bagirova","given":"N. S.","non-dropping-particle":"","parse-names":false,"suffix":""}],"container-title":"Malignant tumours","id":"ITEM-1","issue":"3","issued":{"date-parts":[["2015","5"]]},"page":"164","publisher":"Fond Oncoprogress","title":"INFECTIONS ASSOCIATED WITH INTRAVASCULAR DEVICES: TERMINOLOGY, DIAGNOSIS, PREVENTION AND THERAPY","type":"article-journal","volume":"0"},"uris":["http://www.mendeley.com/documents/?uuid=8c20e3d8-f4cb-4fda-8562-0404f661aa5d"]}],"mendeley":{"formattedCitation":"[234]","plainTextFormattedCitation":"[234]","previouslyFormattedCitation":"[234]"},"properties":{"noteIndex":0},"schema":"https://github.com/citation-style-language/schema/raw/master/csl-citation.json"}</w:instrText>
      </w:r>
      <w:r w:rsidR="00914BF0">
        <w:rPr>
          <w:szCs w:val="24"/>
        </w:rPr>
        <w:fldChar w:fldCharType="separate"/>
      </w:r>
      <w:r w:rsidR="00A30463" w:rsidRPr="00A30463">
        <w:rPr>
          <w:noProof/>
          <w:szCs w:val="24"/>
        </w:rPr>
        <w:t>[234]</w:t>
      </w:r>
      <w:r w:rsidR="00914BF0">
        <w:rPr>
          <w:szCs w:val="24"/>
        </w:rPr>
        <w:fldChar w:fldCharType="end"/>
      </w:r>
      <w:r w:rsidRPr="00CE6C1C">
        <w:rPr>
          <w:szCs w:val="24"/>
        </w:rPr>
        <w:t xml:space="preserve">. </w:t>
      </w:r>
    </w:p>
    <w:p w14:paraId="3ECCF53C" w14:textId="382160BB" w:rsidR="00B37E1F" w:rsidRPr="00CE6C1C" w:rsidRDefault="00B37E1F" w:rsidP="00093389">
      <w:pPr>
        <w:spacing w:before="0" w:after="0"/>
        <w:ind w:firstLine="567"/>
        <w:rPr>
          <w:szCs w:val="24"/>
        </w:rPr>
      </w:pPr>
      <w:r w:rsidRPr="00CE6C1C">
        <w:rPr>
          <w:szCs w:val="24"/>
        </w:rPr>
        <w:t>Не рекомендуется использ</w:t>
      </w:r>
      <w:r>
        <w:rPr>
          <w:szCs w:val="24"/>
        </w:rPr>
        <w:t xml:space="preserve">ование изотонического раствора </w:t>
      </w:r>
      <w:r w:rsidRPr="00CE6C1C">
        <w:rPr>
          <w:szCs w:val="24"/>
        </w:rPr>
        <w:t>натрия хлорида</w:t>
      </w:r>
      <w:r w:rsidR="007D54E3">
        <w:rPr>
          <w:szCs w:val="24"/>
        </w:rPr>
        <w:t>**</w:t>
      </w:r>
      <w:r w:rsidRPr="00CE6C1C">
        <w:rPr>
          <w:szCs w:val="24"/>
        </w:rPr>
        <w:t xml:space="preserve"> у больных с гиперкалиемией и почечной недостаточностью (например, при синдроме лизиса опухоли) вместо сбалансированных кристаллоидных растворов, несмотря на наличие в составе последних ионов калия, так как ацидоз, возникающий при использовании 0,9% раствора натрия хлорида</w:t>
      </w:r>
      <w:r w:rsidR="007D54E3">
        <w:rPr>
          <w:szCs w:val="24"/>
        </w:rPr>
        <w:t>**</w:t>
      </w:r>
      <w:r w:rsidRPr="00CE6C1C">
        <w:rPr>
          <w:szCs w:val="24"/>
        </w:rPr>
        <w:t>, может усугубить гиперкалиемию за счет трансклеточного сдвига калия, который происходит для поддержания электронейтральности плазмы во время ацидоза. Введение же сбалансированного кристаллоидного инфузионного раствора с концентрацией калия 4 ммоль/л больному с гиперкалиемией будет уменьшать концентрацию калия в сторону значения концентрации</w:t>
      </w:r>
      <w:r>
        <w:rPr>
          <w:szCs w:val="24"/>
        </w:rPr>
        <w:t xml:space="preserve"> калия в вводимом растворе</w:t>
      </w:r>
      <w:r w:rsidR="00914BF0">
        <w:rPr>
          <w:szCs w:val="24"/>
        </w:rPr>
        <w:t xml:space="preserve"> </w:t>
      </w:r>
      <w:r w:rsidR="00914BF0">
        <w:fldChar w:fldCharType="begin" w:fldLock="1"/>
      </w:r>
      <w:r w:rsidR="00E430FD">
        <w:instrText>ADDIN CSL_CITATION {"citationItems":[{"id":"ITEM-1","itemData":{"DOI":"10.1188/10.cjon.e10-e21","ISSN":"03850684","PMID":"18931569","abstract":"Monoclonal antibody treatment, which is one of the most promising molecular targeting cancer therapies, has recently become indispensable for the treatment of cancer due to its effectiveness and fewer side effects. Infusion reactions, which are similar to hypersensitivity or allergic reactions, are the generic term for the acute characteristic harmful reactions commonly associated with monoclonal antibody treatment. Those typically occur within the first 2 hours of the first infusion and are generally mild-to-moderate reactions which can be managed by either temporary interruption of infusion or administration of supportive care including corticosteroids, oxygen, or intravenous fluids. However, there are sometimes severe or life-threatening reactions, thus indicating the importance of closely observing the patient following the monoclonal antibody treatment. It is quite important that the entire medical staff understands the practical information regarding the timing and prevention or management of infusion reactions. In addition, it is also necessary to establish a system for prompt management of infusion reactions. Furthermore, sufficient information must be provided to the patient regarding infusion reactions.","author":[{"dropping-particle":"","family":"Sato","given":"Kazuya","non-dropping-particle":"","parse-names":false,"suffix":""},{"dropping-particle":"","family":"Kohgo","given":"Yutaka","non-dropping-particle":"","parse-names":false,"suffix":""}],"container-title":"Gan to kagaku ryoho. Cancer &amp; chemotherapy","id":"ITEM-1","issue":"10","issued":{"date-parts":[["2008"]]},"page":"1671-1674","publisher":"Clin J Oncol Nurs","title":"Infusion reactions","type":"article-journal","volume":"35"},"uris":["http://www.mendeley.com/documents/?uuid=6704917f-6d5b-424b-9ffe-a174d3ff6332"]}],"mendeley":{"formattedCitation":"[215]","plainTextFormattedCitation":"[215]","previouslyFormattedCitation":"[215]"},"properties":{"noteIndex":0},"schema":"https://github.com/citation-style-language/schema/raw/master/csl-citation.json"}</w:instrText>
      </w:r>
      <w:r w:rsidR="00914BF0">
        <w:fldChar w:fldCharType="separate"/>
      </w:r>
      <w:r w:rsidR="00E430FD" w:rsidRPr="00E430FD">
        <w:rPr>
          <w:noProof/>
        </w:rPr>
        <w:t>[215]</w:t>
      </w:r>
      <w:r w:rsidR="00914BF0">
        <w:fldChar w:fldCharType="end"/>
      </w:r>
      <w:r>
        <w:rPr>
          <w:szCs w:val="24"/>
        </w:rPr>
        <w:t>.</w:t>
      </w:r>
    </w:p>
    <w:p w14:paraId="1C418D9E" w14:textId="77777777" w:rsidR="00A30463" w:rsidRDefault="00A30463" w:rsidP="002431B5">
      <w:pPr>
        <w:spacing w:before="0" w:after="0"/>
        <w:rPr>
          <w:szCs w:val="24"/>
        </w:rPr>
      </w:pPr>
    </w:p>
    <w:p w14:paraId="57E8E29A" w14:textId="64C60884" w:rsidR="00B37E1F" w:rsidRPr="00CE6C1C" w:rsidRDefault="00B37E1F" w:rsidP="002431B5">
      <w:pPr>
        <w:spacing w:before="0" w:after="0"/>
        <w:rPr>
          <w:szCs w:val="24"/>
        </w:rPr>
      </w:pPr>
      <w:r w:rsidRPr="00CE6C1C">
        <w:rPr>
          <w:szCs w:val="24"/>
        </w:rPr>
        <w:t xml:space="preserve">Таблица </w:t>
      </w:r>
      <w:r w:rsidR="00436F47">
        <w:rPr>
          <w:szCs w:val="24"/>
        </w:rPr>
        <w:t>А.3.29</w:t>
      </w:r>
      <w:r w:rsidRPr="00CE6C1C">
        <w:rPr>
          <w:szCs w:val="24"/>
        </w:rPr>
        <w:t>. Кристаллоидные растворы</w:t>
      </w:r>
    </w:p>
    <w:tbl>
      <w:tblPr>
        <w:tblStyle w:val="ae"/>
        <w:tblW w:w="0" w:type="auto"/>
        <w:jc w:val="center"/>
        <w:tblLook w:val="04A0" w:firstRow="1" w:lastRow="0" w:firstColumn="1" w:lastColumn="0" w:noHBand="0" w:noVBand="1"/>
      </w:tblPr>
      <w:tblGrid>
        <w:gridCol w:w="2837"/>
        <w:gridCol w:w="1984"/>
        <w:gridCol w:w="1701"/>
        <w:gridCol w:w="1985"/>
      </w:tblGrid>
      <w:tr w:rsidR="007167FE" w:rsidRPr="00CE6C1C" w14:paraId="540B74B5" w14:textId="77777777" w:rsidTr="006211DC">
        <w:trPr>
          <w:tblHeader/>
          <w:jc w:val="center"/>
        </w:trPr>
        <w:tc>
          <w:tcPr>
            <w:tcW w:w="2837" w:type="dxa"/>
          </w:tcPr>
          <w:p w14:paraId="1C4A05B0" w14:textId="77777777" w:rsidR="007167FE" w:rsidRPr="00CE6C1C" w:rsidRDefault="007167FE" w:rsidP="002431B5">
            <w:pPr>
              <w:spacing w:before="0" w:after="0"/>
              <w:rPr>
                <w:b/>
                <w:szCs w:val="24"/>
              </w:rPr>
            </w:pPr>
            <w:r w:rsidRPr="00CE6C1C">
              <w:rPr>
                <w:b/>
                <w:szCs w:val="24"/>
              </w:rPr>
              <w:t>Компоненты</w:t>
            </w:r>
          </w:p>
        </w:tc>
        <w:tc>
          <w:tcPr>
            <w:tcW w:w="1984" w:type="dxa"/>
          </w:tcPr>
          <w:p w14:paraId="5EC8FF50" w14:textId="77777777" w:rsidR="007167FE" w:rsidRPr="00CE6C1C" w:rsidRDefault="007167FE" w:rsidP="002431B5">
            <w:pPr>
              <w:spacing w:before="0" w:after="0"/>
              <w:rPr>
                <w:b/>
                <w:szCs w:val="24"/>
              </w:rPr>
            </w:pPr>
            <w:r w:rsidRPr="00CE6C1C">
              <w:rPr>
                <w:b/>
                <w:szCs w:val="24"/>
              </w:rPr>
              <w:t>Плазма</w:t>
            </w:r>
          </w:p>
        </w:tc>
        <w:tc>
          <w:tcPr>
            <w:tcW w:w="1701" w:type="dxa"/>
          </w:tcPr>
          <w:p w14:paraId="5FF779C0" w14:textId="77777777" w:rsidR="007167FE" w:rsidRPr="00CE6C1C" w:rsidRDefault="007167FE" w:rsidP="002431B5">
            <w:pPr>
              <w:spacing w:before="0" w:after="0"/>
              <w:rPr>
                <w:b/>
                <w:szCs w:val="24"/>
                <w:lang w:val="en-US"/>
              </w:rPr>
            </w:pPr>
            <w:r w:rsidRPr="00CE6C1C">
              <w:rPr>
                <w:b/>
                <w:szCs w:val="24"/>
              </w:rPr>
              <w:t xml:space="preserve">0,9% </w:t>
            </w:r>
            <w:r w:rsidRPr="00CE6C1C">
              <w:rPr>
                <w:b/>
                <w:szCs w:val="24"/>
                <w:lang w:val="en-US"/>
              </w:rPr>
              <w:t>NaCl</w:t>
            </w:r>
          </w:p>
        </w:tc>
        <w:tc>
          <w:tcPr>
            <w:tcW w:w="1985" w:type="dxa"/>
          </w:tcPr>
          <w:p w14:paraId="3406A4D9" w14:textId="77777777" w:rsidR="007167FE" w:rsidRPr="00CE6C1C" w:rsidRDefault="007167FE" w:rsidP="002431B5">
            <w:pPr>
              <w:spacing w:before="0" w:after="0"/>
              <w:rPr>
                <w:b/>
                <w:szCs w:val="24"/>
              </w:rPr>
            </w:pPr>
            <w:r w:rsidRPr="00CE6C1C">
              <w:rPr>
                <w:b/>
                <w:szCs w:val="24"/>
              </w:rPr>
              <w:t>Рингер-лактат</w:t>
            </w:r>
          </w:p>
        </w:tc>
      </w:tr>
      <w:tr w:rsidR="007167FE" w:rsidRPr="00CE6C1C" w14:paraId="4BCB6998" w14:textId="77777777" w:rsidTr="006211DC">
        <w:trPr>
          <w:jc w:val="center"/>
        </w:trPr>
        <w:tc>
          <w:tcPr>
            <w:tcW w:w="2837" w:type="dxa"/>
          </w:tcPr>
          <w:p w14:paraId="5689168C" w14:textId="77777777" w:rsidR="007167FE" w:rsidRPr="00CE6C1C" w:rsidRDefault="007167FE" w:rsidP="002431B5">
            <w:pPr>
              <w:spacing w:before="0" w:after="0"/>
              <w:rPr>
                <w:szCs w:val="24"/>
              </w:rPr>
            </w:pPr>
            <w:r w:rsidRPr="00CE6C1C">
              <w:rPr>
                <w:szCs w:val="24"/>
              </w:rPr>
              <w:t>Натрий (ммоль/л)</w:t>
            </w:r>
          </w:p>
        </w:tc>
        <w:tc>
          <w:tcPr>
            <w:tcW w:w="1984" w:type="dxa"/>
          </w:tcPr>
          <w:p w14:paraId="6432EE0C" w14:textId="77777777" w:rsidR="007167FE" w:rsidRPr="00CE6C1C" w:rsidRDefault="007167FE" w:rsidP="002431B5">
            <w:pPr>
              <w:spacing w:before="0" w:after="0"/>
              <w:rPr>
                <w:szCs w:val="24"/>
              </w:rPr>
            </w:pPr>
            <w:r w:rsidRPr="00CE6C1C">
              <w:rPr>
                <w:szCs w:val="24"/>
              </w:rPr>
              <w:t>135-145</w:t>
            </w:r>
          </w:p>
        </w:tc>
        <w:tc>
          <w:tcPr>
            <w:tcW w:w="1701" w:type="dxa"/>
          </w:tcPr>
          <w:p w14:paraId="10E31F80" w14:textId="77777777" w:rsidR="007167FE" w:rsidRPr="00CE6C1C" w:rsidRDefault="007167FE" w:rsidP="002431B5">
            <w:pPr>
              <w:spacing w:before="0" w:after="0"/>
              <w:rPr>
                <w:szCs w:val="24"/>
                <w:lang w:val="en-US"/>
              </w:rPr>
            </w:pPr>
            <w:r w:rsidRPr="00CE6C1C">
              <w:rPr>
                <w:szCs w:val="24"/>
                <w:lang w:val="en-US"/>
              </w:rPr>
              <w:t>154</w:t>
            </w:r>
          </w:p>
        </w:tc>
        <w:tc>
          <w:tcPr>
            <w:tcW w:w="1985" w:type="dxa"/>
          </w:tcPr>
          <w:p w14:paraId="743C1C82" w14:textId="77777777" w:rsidR="007167FE" w:rsidRPr="00CE6C1C" w:rsidRDefault="007167FE" w:rsidP="002431B5">
            <w:pPr>
              <w:spacing w:before="0" w:after="0"/>
              <w:rPr>
                <w:szCs w:val="24"/>
                <w:lang w:val="en-US"/>
              </w:rPr>
            </w:pPr>
            <w:r w:rsidRPr="00CE6C1C">
              <w:rPr>
                <w:szCs w:val="24"/>
                <w:lang w:val="en-US"/>
              </w:rPr>
              <w:t>130</w:t>
            </w:r>
          </w:p>
        </w:tc>
      </w:tr>
      <w:tr w:rsidR="007167FE" w:rsidRPr="00CE6C1C" w14:paraId="220E46A7" w14:textId="77777777" w:rsidTr="006211DC">
        <w:trPr>
          <w:jc w:val="center"/>
        </w:trPr>
        <w:tc>
          <w:tcPr>
            <w:tcW w:w="2837" w:type="dxa"/>
          </w:tcPr>
          <w:p w14:paraId="559EBD71" w14:textId="77777777" w:rsidR="007167FE" w:rsidRPr="00CE6C1C" w:rsidRDefault="007167FE" w:rsidP="002431B5">
            <w:pPr>
              <w:spacing w:before="0" w:after="0"/>
              <w:rPr>
                <w:szCs w:val="24"/>
              </w:rPr>
            </w:pPr>
            <w:r w:rsidRPr="00CE6C1C">
              <w:rPr>
                <w:szCs w:val="24"/>
              </w:rPr>
              <w:t>Хлорид (ммоль/л)</w:t>
            </w:r>
          </w:p>
        </w:tc>
        <w:tc>
          <w:tcPr>
            <w:tcW w:w="1984" w:type="dxa"/>
          </w:tcPr>
          <w:p w14:paraId="45D66DFE" w14:textId="77777777" w:rsidR="007167FE" w:rsidRPr="00CE6C1C" w:rsidRDefault="007167FE" w:rsidP="002431B5">
            <w:pPr>
              <w:spacing w:before="0" w:after="0"/>
              <w:rPr>
                <w:szCs w:val="24"/>
              </w:rPr>
            </w:pPr>
            <w:r w:rsidRPr="00CE6C1C">
              <w:rPr>
                <w:szCs w:val="24"/>
              </w:rPr>
              <w:t>98-106</w:t>
            </w:r>
          </w:p>
        </w:tc>
        <w:tc>
          <w:tcPr>
            <w:tcW w:w="1701" w:type="dxa"/>
          </w:tcPr>
          <w:p w14:paraId="4E469039" w14:textId="77777777" w:rsidR="007167FE" w:rsidRPr="00CE6C1C" w:rsidRDefault="007167FE" w:rsidP="002431B5">
            <w:pPr>
              <w:spacing w:before="0" w:after="0"/>
              <w:rPr>
                <w:szCs w:val="24"/>
                <w:lang w:val="en-US"/>
              </w:rPr>
            </w:pPr>
            <w:r w:rsidRPr="00CE6C1C">
              <w:rPr>
                <w:szCs w:val="24"/>
                <w:lang w:val="en-US"/>
              </w:rPr>
              <w:t>154</w:t>
            </w:r>
          </w:p>
        </w:tc>
        <w:tc>
          <w:tcPr>
            <w:tcW w:w="1985" w:type="dxa"/>
          </w:tcPr>
          <w:p w14:paraId="0417CA94" w14:textId="77777777" w:rsidR="007167FE" w:rsidRPr="00CE6C1C" w:rsidRDefault="007167FE" w:rsidP="002431B5">
            <w:pPr>
              <w:spacing w:before="0" w:after="0"/>
              <w:rPr>
                <w:szCs w:val="24"/>
                <w:lang w:val="en-US"/>
              </w:rPr>
            </w:pPr>
            <w:r w:rsidRPr="00CE6C1C">
              <w:rPr>
                <w:szCs w:val="24"/>
                <w:lang w:val="en-US"/>
              </w:rPr>
              <w:t>109</w:t>
            </w:r>
          </w:p>
        </w:tc>
      </w:tr>
      <w:tr w:rsidR="007167FE" w:rsidRPr="00CE6C1C" w14:paraId="34A838E8" w14:textId="77777777" w:rsidTr="006211DC">
        <w:trPr>
          <w:jc w:val="center"/>
        </w:trPr>
        <w:tc>
          <w:tcPr>
            <w:tcW w:w="2837" w:type="dxa"/>
          </w:tcPr>
          <w:p w14:paraId="18B93DF3" w14:textId="77777777" w:rsidR="007167FE" w:rsidRPr="00CE6C1C" w:rsidRDefault="007167FE" w:rsidP="002431B5">
            <w:pPr>
              <w:spacing w:before="0" w:after="0"/>
              <w:rPr>
                <w:szCs w:val="24"/>
              </w:rPr>
            </w:pPr>
            <w:r w:rsidRPr="00CE6C1C">
              <w:rPr>
                <w:szCs w:val="24"/>
              </w:rPr>
              <w:t>Калий (ммоль/л)</w:t>
            </w:r>
          </w:p>
        </w:tc>
        <w:tc>
          <w:tcPr>
            <w:tcW w:w="1984" w:type="dxa"/>
          </w:tcPr>
          <w:p w14:paraId="158A5F7B" w14:textId="77777777" w:rsidR="007167FE" w:rsidRPr="00CE6C1C" w:rsidRDefault="007167FE" w:rsidP="002431B5">
            <w:pPr>
              <w:spacing w:before="0" w:after="0"/>
              <w:rPr>
                <w:szCs w:val="24"/>
              </w:rPr>
            </w:pPr>
            <w:r w:rsidRPr="00CE6C1C">
              <w:rPr>
                <w:szCs w:val="24"/>
              </w:rPr>
              <w:t>3,5-5,0</w:t>
            </w:r>
          </w:p>
        </w:tc>
        <w:tc>
          <w:tcPr>
            <w:tcW w:w="1701" w:type="dxa"/>
          </w:tcPr>
          <w:p w14:paraId="787DC11B" w14:textId="77777777" w:rsidR="007167FE" w:rsidRPr="00CE6C1C" w:rsidRDefault="007167FE" w:rsidP="002431B5">
            <w:pPr>
              <w:spacing w:before="0" w:after="0"/>
              <w:rPr>
                <w:szCs w:val="24"/>
                <w:lang w:val="en-US"/>
              </w:rPr>
            </w:pPr>
            <w:r w:rsidRPr="00CE6C1C">
              <w:rPr>
                <w:szCs w:val="24"/>
                <w:lang w:val="en-US"/>
              </w:rPr>
              <w:t>-</w:t>
            </w:r>
          </w:p>
        </w:tc>
        <w:tc>
          <w:tcPr>
            <w:tcW w:w="1985" w:type="dxa"/>
          </w:tcPr>
          <w:p w14:paraId="0B661755" w14:textId="77777777" w:rsidR="007167FE" w:rsidRPr="00CE6C1C" w:rsidRDefault="007167FE" w:rsidP="002431B5">
            <w:pPr>
              <w:spacing w:before="0" w:after="0"/>
              <w:rPr>
                <w:szCs w:val="24"/>
                <w:lang w:val="en-US"/>
              </w:rPr>
            </w:pPr>
            <w:r w:rsidRPr="00CE6C1C">
              <w:rPr>
                <w:szCs w:val="24"/>
                <w:lang w:val="en-US"/>
              </w:rPr>
              <w:t>4</w:t>
            </w:r>
          </w:p>
        </w:tc>
      </w:tr>
      <w:tr w:rsidR="007167FE" w:rsidRPr="00CE6C1C" w14:paraId="405BEBF2" w14:textId="77777777" w:rsidTr="006211DC">
        <w:trPr>
          <w:jc w:val="center"/>
        </w:trPr>
        <w:tc>
          <w:tcPr>
            <w:tcW w:w="2837" w:type="dxa"/>
          </w:tcPr>
          <w:p w14:paraId="349BDAB3" w14:textId="77777777" w:rsidR="007167FE" w:rsidRPr="00CE6C1C" w:rsidRDefault="007167FE" w:rsidP="002431B5">
            <w:pPr>
              <w:spacing w:before="0" w:after="0"/>
              <w:rPr>
                <w:szCs w:val="24"/>
              </w:rPr>
            </w:pPr>
            <w:r w:rsidRPr="00CE6C1C">
              <w:rPr>
                <w:szCs w:val="24"/>
              </w:rPr>
              <w:t>Кальций (мг/дл)</w:t>
            </w:r>
          </w:p>
        </w:tc>
        <w:tc>
          <w:tcPr>
            <w:tcW w:w="1984" w:type="dxa"/>
          </w:tcPr>
          <w:p w14:paraId="5A21C444" w14:textId="77777777" w:rsidR="007167FE" w:rsidRPr="00CE6C1C" w:rsidRDefault="007167FE" w:rsidP="002431B5">
            <w:pPr>
              <w:spacing w:before="0" w:after="0"/>
              <w:rPr>
                <w:szCs w:val="24"/>
              </w:rPr>
            </w:pPr>
            <w:r w:rsidRPr="00CE6C1C">
              <w:rPr>
                <w:szCs w:val="24"/>
              </w:rPr>
              <w:t>3,0-4,5</w:t>
            </w:r>
          </w:p>
        </w:tc>
        <w:tc>
          <w:tcPr>
            <w:tcW w:w="1701" w:type="dxa"/>
          </w:tcPr>
          <w:p w14:paraId="5C734A3B" w14:textId="77777777" w:rsidR="007167FE" w:rsidRPr="00CE6C1C" w:rsidRDefault="007167FE" w:rsidP="002431B5">
            <w:pPr>
              <w:spacing w:before="0" w:after="0"/>
              <w:rPr>
                <w:szCs w:val="24"/>
                <w:lang w:val="en-US"/>
              </w:rPr>
            </w:pPr>
            <w:r w:rsidRPr="00CE6C1C">
              <w:rPr>
                <w:szCs w:val="24"/>
                <w:lang w:val="en-US"/>
              </w:rPr>
              <w:t>-</w:t>
            </w:r>
          </w:p>
        </w:tc>
        <w:tc>
          <w:tcPr>
            <w:tcW w:w="1985" w:type="dxa"/>
          </w:tcPr>
          <w:p w14:paraId="4DF397FE" w14:textId="77777777" w:rsidR="007167FE" w:rsidRPr="00CE6C1C" w:rsidRDefault="007167FE" w:rsidP="002431B5">
            <w:pPr>
              <w:spacing w:before="0" w:after="0"/>
              <w:rPr>
                <w:szCs w:val="24"/>
                <w:lang w:val="en-US"/>
              </w:rPr>
            </w:pPr>
            <w:r w:rsidRPr="00CE6C1C">
              <w:rPr>
                <w:szCs w:val="24"/>
                <w:lang w:val="en-US"/>
              </w:rPr>
              <w:t>4</w:t>
            </w:r>
          </w:p>
        </w:tc>
      </w:tr>
      <w:tr w:rsidR="007167FE" w:rsidRPr="00CE6C1C" w14:paraId="28227902" w14:textId="77777777" w:rsidTr="006211DC">
        <w:trPr>
          <w:jc w:val="center"/>
        </w:trPr>
        <w:tc>
          <w:tcPr>
            <w:tcW w:w="2837" w:type="dxa"/>
          </w:tcPr>
          <w:p w14:paraId="217788BE" w14:textId="77777777" w:rsidR="007167FE" w:rsidRPr="00CE6C1C" w:rsidRDefault="007167FE" w:rsidP="002431B5">
            <w:pPr>
              <w:spacing w:before="0" w:after="0"/>
              <w:rPr>
                <w:szCs w:val="24"/>
              </w:rPr>
            </w:pPr>
            <w:r w:rsidRPr="00CE6C1C">
              <w:rPr>
                <w:szCs w:val="24"/>
              </w:rPr>
              <w:t>Магний (ммоль/л)</w:t>
            </w:r>
          </w:p>
        </w:tc>
        <w:tc>
          <w:tcPr>
            <w:tcW w:w="1984" w:type="dxa"/>
          </w:tcPr>
          <w:p w14:paraId="01C5B519" w14:textId="77777777" w:rsidR="007167FE" w:rsidRPr="00CE6C1C" w:rsidRDefault="007167FE" w:rsidP="002431B5">
            <w:pPr>
              <w:spacing w:before="0" w:after="0"/>
              <w:rPr>
                <w:szCs w:val="24"/>
              </w:rPr>
            </w:pPr>
            <w:r w:rsidRPr="00CE6C1C">
              <w:rPr>
                <w:szCs w:val="24"/>
              </w:rPr>
              <w:t>0,7-1,2</w:t>
            </w:r>
          </w:p>
        </w:tc>
        <w:tc>
          <w:tcPr>
            <w:tcW w:w="1701" w:type="dxa"/>
          </w:tcPr>
          <w:p w14:paraId="18C12BEB" w14:textId="77777777" w:rsidR="007167FE" w:rsidRPr="00CE6C1C" w:rsidRDefault="007167FE" w:rsidP="002431B5">
            <w:pPr>
              <w:spacing w:before="0" w:after="0"/>
              <w:rPr>
                <w:szCs w:val="24"/>
                <w:lang w:val="en-US"/>
              </w:rPr>
            </w:pPr>
            <w:r w:rsidRPr="00CE6C1C">
              <w:rPr>
                <w:szCs w:val="24"/>
                <w:lang w:val="en-US"/>
              </w:rPr>
              <w:t>-</w:t>
            </w:r>
          </w:p>
        </w:tc>
        <w:tc>
          <w:tcPr>
            <w:tcW w:w="1985" w:type="dxa"/>
          </w:tcPr>
          <w:p w14:paraId="45BE93D1" w14:textId="77777777" w:rsidR="007167FE" w:rsidRPr="00CE6C1C" w:rsidRDefault="007167FE" w:rsidP="002431B5">
            <w:pPr>
              <w:spacing w:before="0" w:after="0"/>
              <w:rPr>
                <w:szCs w:val="24"/>
                <w:lang w:val="en-US"/>
              </w:rPr>
            </w:pPr>
            <w:r w:rsidRPr="00CE6C1C">
              <w:rPr>
                <w:szCs w:val="24"/>
                <w:lang w:val="en-US"/>
              </w:rPr>
              <w:t>-</w:t>
            </w:r>
          </w:p>
        </w:tc>
      </w:tr>
      <w:tr w:rsidR="007167FE" w:rsidRPr="00CE6C1C" w14:paraId="2ABE439C" w14:textId="77777777" w:rsidTr="006211DC">
        <w:trPr>
          <w:jc w:val="center"/>
        </w:trPr>
        <w:tc>
          <w:tcPr>
            <w:tcW w:w="2837" w:type="dxa"/>
          </w:tcPr>
          <w:p w14:paraId="4D891C3D" w14:textId="77777777" w:rsidR="007167FE" w:rsidRPr="00CE6C1C" w:rsidRDefault="007167FE" w:rsidP="002431B5">
            <w:pPr>
              <w:spacing w:before="0" w:after="0"/>
              <w:rPr>
                <w:szCs w:val="24"/>
              </w:rPr>
            </w:pPr>
            <w:r w:rsidRPr="00CE6C1C">
              <w:rPr>
                <w:szCs w:val="24"/>
              </w:rPr>
              <w:t>Буфер (ммоль/л)</w:t>
            </w:r>
          </w:p>
        </w:tc>
        <w:tc>
          <w:tcPr>
            <w:tcW w:w="1984" w:type="dxa"/>
          </w:tcPr>
          <w:p w14:paraId="200D3A30" w14:textId="77777777" w:rsidR="007167FE" w:rsidRPr="00CE6C1C" w:rsidRDefault="007167FE" w:rsidP="002431B5">
            <w:pPr>
              <w:spacing w:before="0" w:after="0"/>
              <w:rPr>
                <w:szCs w:val="24"/>
                <w:vertAlign w:val="subscript"/>
                <w:lang w:val="en-US"/>
              </w:rPr>
            </w:pPr>
            <w:r w:rsidRPr="00CE6C1C">
              <w:rPr>
                <w:szCs w:val="24"/>
                <w:lang w:val="en-US"/>
              </w:rPr>
              <w:t>HCO</w:t>
            </w:r>
            <w:r w:rsidRPr="00CE6C1C">
              <w:rPr>
                <w:szCs w:val="24"/>
                <w:vertAlign w:val="superscript"/>
                <w:lang w:val="en-US"/>
              </w:rPr>
              <w:t>-</w:t>
            </w:r>
            <w:r w:rsidRPr="00CE6C1C">
              <w:rPr>
                <w:szCs w:val="24"/>
                <w:vertAlign w:val="subscript"/>
                <w:lang w:val="en-US"/>
              </w:rPr>
              <w:t>3</w:t>
            </w:r>
          </w:p>
          <w:p w14:paraId="367DF7BD" w14:textId="77777777" w:rsidR="007167FE" w:rsidRPr="00CE6C1C" w:rsidRDefault="007167FE" w:rsidP="002431B5">
            <w:pPr>
              <w:spacing w:before="0" w:after="0"/>
              <w:rPr>
                <w:szCs w:val="24"/>
                <w:lang w:val="en-US"/>
              </w:rPr>
            </w:pPr>
            <w:r w:rsidRPr="00CE6C1C">
              <w:rPr>
                <w:szCs w:val="24"/>
                <w:lang w:val="en-US"/>
              </w:rPr>
              <w:t>(22-28)</w:t>
            </w:r>
          </w:p>
        </w:tc>
        <w:tc>
          <w:tcPr>
            <w:tcW w:w="1701" w:type="dxa"/>
          </w:tcPr>
          <w:p w14:paraId="1995DF42" w14:textId="77777777" w:rsidR="007167FE" w:rsidRPr="00CE6C1C" w:rsidRDefault="007167FE" w:rsidP="002431B5">
            <w:pPr>
              <w:spacing w:before="0" w:after="0"/>
              <w:rPr>
                <w:szCs w:val="24"/>
                <w:lang w:val="en-US"/>
              </w:rPr>
            </w:pPr>
            <w:r w:rsidRPr="00CE6C1C">
              <w:rPr>
                <w:szCs w:val="24"/>
                <w:lang w:val="en-US"/>
              </w:rPr>
              <w:t>-</w:t>
            </w:r>
          </w:p>
        </w:tc>
        <w:tc>
          <w:tcPr>
            <w:tcW w:w="1985" w:type="dxa"/>
          </w:tcPr>
          <w:p w14:paraId="25A2B966" w14:textId="77777777" w:rsidR="007167FE" w:rsidRPr="00CE6C1C" w:rsidRDefault="007167FE" w:rsidP="002431B5">
            <w:pPr>
              <w:spacing w:before="0" w:after="0"/>
              <w:rPr>
                <w:szCs w:val="24"/>
              </w:rPr>
            </w:pPr>
            <w:r w:rsidRPr="00CE6C1C">
              <w:rPr>
                <w:szCs w:val="24"/>
              </w:rPr>
              <w:t>Лактат (28)</w:t>
            </w:r>
          </w:p>
        </w:tc>
      </w:tr>
      <w:tr w:rsidR="007167FE" w:rsidRPr="00CE6C1C" w14:paraId="41CD7FA9" w14:textId="77777777" w:rsidTr="006211DC">
        <w:trPr>
          <w:jc w:val="center"/>
        </w:trPr>
        <w:tc>
          <w:tcPr>
            <w:tcW w:w="2837" w:type="dxa"/>
          </w:tcPr>
          <w:p w14:paraId="603486CB" w14:textId="77777777" w:rsidR="007167FE" w:rsidRPr="00CE6C1C" w:rsidRDefault="007167FE" w:rsidP="002431B5">
            <w:pPr>
              <w:spacing w:before="0" w:after="0"/>
              <w:rPr>
                <w:szCs w:val="24"/>
              </w:rPr>
            </w:pPr>
            <w:proofErr w:type="gramStart"/>
            <w:r w:rsidRPr="00CE6C1C">
              <w:rPr>
                <w:szCs w:val="24"/>
              </w:rPr>
              <w:t>Осмолярность  (</w:t>
            </w:r>
            <w:proofErr w:type="gramEnd"/>
            <w:r w:rsidRPr="00CE6C1C">
              <w:rPr>
                <w:szCs w:val="24"/>
              </w:rPr>
              <w:t>мОсм/л)</w:t>
            </w:r>
          </w:p>
        </w:tc>
        <w:tc>
          <w:tcPr>
            <w:tcW w:w="1984" w:type="dxa"/>
          </w:tcPr>
          <w:p w14:paraId="5A2412C1" w14:textId="77777777" w:rsidR="007167FE" w:rsidRPr="00CE6C1C" w:rsidRDefault="007167FE" w:rsidP="002431B5">
            <w:pPr>
              <w:spacing w:before="0" w:after="0"/>
              <w:rPr>
                <w:szCs w:val="24"/>
                <w:lang w:val="en-US"/>
              </w:rPr>
            </w:pPr>
            <w:r w:rsidRPr="00CE6C1C">
              <w:rPr>
                <w:szCs w:val="24"/>
                <w:lang w:val="en-US"/>
              </w:rPr>
              <w:t>290</w:t>
            </w:r>
          </w:p>
        </w:tc>
        <w:tc>
          <w:tcPr>
            <w:tcW w:w="1701" w:type="dxa"/>
          </w:tcPr>
          <w:p w14:paraId="34F05D5E" w14:textId="77777777" w:rsidR="007167FE" w:rsidRPr="00CE6C1C" w:rsidRDefault="007167FE" w:rsidP="002431B5">
            <w:pPr>
              <w:spacing w:before="0" w:after="0"/>
              <w:rPr>
                <w:szCs w:val="24"/>
                <w:lang w:val="en-US"/>
              </w:rPr>
            </w:pPr>
            <w:r w:rsidRPr="00CE6C1C">
              <w:rPr>
                <w:szCs w:val="24"/>
                <w:lang w:val="en-US"/>
              </w:rPr>
              <w:t>308</w:t>
            </w:r>
          </w:p>
        </w:tc>
        <w:tc>
          <w:tcPr>
            <w:tcW w:w="1985" w:type="dxa"/>
          </w:tcPr>
          <w:p w14:paraId="043A9E2B" w14:textId="77777777" w:rsidR="007167FE" w:rsidRPr="00CE6C1C" w:rsidRDefault="007167FE" w:rsidP="002431B5">
            <w:pPr>
              <w:spacing w:before="0" w:after="0"/>
              <w:rPr>
                <w:szCs w:val="24"/>
              </w:rPr>
            </w:pPr>
            <w:r w:rsidRPr="00CE6C1C">
              <w:rPr>
                <w:szCs w:val="24"/>
              </w:rPr>
              <w:t>273</w:t>
            </w:r>
          </w:p>
        </w:tc>
      </w:tr>
    </w:tbl>
    <w:p w14:paraId="28F32CFC" w14:textId="77777777" w:rsidR="00A30463" w:rsidRDefault="00A30463" w:rsidP="00093389">
      <w:pPr>
        <w:spacing w:before="0" w:after="0"/>
        <w:rPr>
          <w:b/>
          <w:szCs w:val="24"/>
        </w:rPr>
      </w:pPr>
    </w:p>
    <w:p w14:paraId="45E5F226" w14:textId="19E2B2D4" w:rsidR="00B37E1F" w:rsidRPr="00CE6C1C" w:rsidRDefault="00B37E1F" w:rsidP="00A30463">
      <w:pPr>
        <w:spacing w:before="0" w:after="0"/>
        <w:rPr>
          <w:b/>
          <w:szCs w:val="24"/>
        </w:rPr>
      </w:pPr>
      <w:r w:rsidRPr="00CE6C1C">
        <w:rPr>
          <w:b/>
          <w:szCs w:val="24"/>
        </w:rPr>
        <w:t>Показания к проведению инфузионной терапии</w:t>
      </w:r>
    </w:p>
    <w:p w14:paraId="218772B9" w14:textId="77777777" w:rsidR="00B37E1F" w:rsidRPr="00CE6C1C" w:rsidRDefault="00B37E1F" w:rsidP="00A30463">
      <w:pPr>
        <w:spacing w:before="0" w:after="0"/>
        <w:rPr>
          <w:szCs w:val="24"/>
        </w:rPr>
      </w:pPr>
      <w:r w:rsidRPr="00CE6C1C">
        <w:rPr>
          <w:szCs w:val="24"/>
        </w:rPr>
        <w:t>Основными показаниями для инфузионной терапии являются:</w:t>
      </w:r>
    </w:p>
    <w:p w14:paraId="6448F1A8" w14:textId="77777777" w:rsidR="00B37E1F" w:rsidRPr="00CE6C1C" w:rsidRDefault="00B37E1F" w:rsidP="00A30463">
      <w:pPr>
        <w:pStyle w:val="a6"/>
        <w:numPr>
          <w:ilvl w:val="0"/>
          <w:numId w:val="118"/>
        </w:numPr>
        <w:spacing w:before="0" w:after="0"/>
        <w:ind w:left="0" w:firstLine="0"/>
        <w:rPr>
          <w:szCs w:val="24"/>
        </w:rPr>
      </w:pPr>
      <w:r w:rsidRPr="00CE6C1C">
        <w:rPr>
          <w:szCs w:val="24"/>
        </w:rPr>
        <w:t>Дегидратация,</w:t>
      </w:r>
      <w:r w:rsidRPr="00CE6C1C">
        <w:rPr>
          <w:i/>
          <w:szCs w:val="24"/>
        </w:rPr>
        <w:t xml:space="preserve"> </w:t>
      </w:r>
      <w:r w:rsidRPr="00CE6C1C">
        <w:rPr>
          <w:szCs w:val="24"/>
        </w:rPr>
        <w:t>причинами которой могут быть диарея, перспирация (вследствие лихорадки), рвота, алиментарная недостаточность.</w:t>
      </w:r>
    </w:p>
    <w:p w14:paraId="5D6B9AB0" w14:textId="77777777" w:rsidR="00B37E1F" w:rsidRPr="00CE6C1C" w:rsidRDefault="00B37E1F" w:rsidP="00A30463">
      <w:pPr>
        <w:pStyle w:val="a6"/>
        <w:numPr>
          <w:ilvl w:val="0"/>
          <w:numId w:val="118"/>
        </w:numPr>
        <w:spacing w:before="0" w:after="0"/>
        <w:ind w:left="0" w:firstLine="0"/>
        <w:rPr>
          <w:szCs w:val="24"/>
        </w:rPr>
      </w:pPr>
      <w:r w:rsidRPr="00CE6C1C">
        <w:rPr>
          <w:szCs w:val="24"/>
        </w:rPr>
        <w:lastRenderedPageBreak/>
        <w:t>Гиповолемия или дефицит объема циркулирующей крови (например, при кровотечении у гематологических пациентов).</w:t>
      </w:r>
    </w:p>
    <w:p w14:paraId="041A37EB" w14:textId="77777777" w:rsidR="00B37E1F" w:rsidRPr="00CE6C1C" w:rsidRDefault="00B37E1F" w:rsidP="00A30463">
      <w:pPr>
        <w:pStyle w:val="a6"/>
        <w:numPr>
          <w:ilvl w:val="0"/>
          <w:numId w:val="118"/>
        </w:numPr>
        <w:spacing w:before="0" w:after="0"/>
        <w:ind w:left="0" w:firstLine="0"/>
        <w:rPr>
          <w:szCs w:val="24"/>
        </w:rPr>
      </w:pPr>
      <w:r w:rsidRPr="00CE6C1C">
        <w:rPr>
          <w:szCs w:val="24"/>
        </w:rPr>
        <w:t xml:space="preserve">Проведение форсированного диуреза для профилактики синдрома лизиса опухоли. </w:t>
      </w:r>
    </w:p>
    <w:p w14:paraId="7CDFEE03" w14:textId="77777777" w:rsidR="00B37E1F" w:rsidRPr="00CE6C1C" w:rsidRDefault="00B37E1F" w:rsidP="00A30463">
      <w:pPr>
        <w:pStyle w:val="a6"/>
        <w:numPr>
          <w:ilvl w:val="0"/>
          <w:numId w:val="118"/>
        </w:numPr>
        <w:spacing w:before="0" w:after="0"/>
        <w:ind w:left="0" w:firstLine="0"/>
        <w:rPr>
          <w:szCs w:val="24"/>
        </w:rPr>
      </w:pPr>
      <w:r w:rsidRPr="00CE6C1C">
        <w:rPr>
          <w:szCs w:val="24"/>
        </w:rPr>
        <w:t xml:space="preserve">Проведение терапевтической гемоделюции (для лечения ишемических и тромботических осложнений). </w:t>
      </w:r>
    </w:p>
    <w:p w14:paraId="35BAD969" w14:textId="77777777" w:rsidR="00B37E1F" w:rsidRPr="00CE6C1C" w:rsidRDefault="00B37E1F" w:rsidP="00A30463">
      <w:pPr>
        <w:pStyle w:val="a6"/>
        <w:numPr>
          <w:ilvl w:val="0"/>
          <w:numId w:val="118"/>
        </w:numPr>
        <w:spacing w:before="0" w:after="0"/>
        <w:ind w:left="0" w:firstLine="0"/>
        <w:rPr>
          <w:szCs w:val="24"/>
        </w:rPr>
      </w:pPr>
      <w:r w:rsidRPr="00CE6C1C">
        <w:rPr>
          <w:szCs w:val="24"/>
        </w:rPr>
        <w:t xml:space="preserve">Коррекция электролитных нарушений. </w:t>
      </w:r>
    </w:p>
    <w:p w14:paraId="5C334F69" w14:textId="77777777" w:rsidR="00B37E1F" w:rsidRPr="00CE6C1C" w:rsidRDefault="00B37E1F" w:rsidP="00A30463">
      <w:pPr>
        <w:pStyle w:val="a6"/>
        <w:numPr>
          <w:ilvl w:val="0"/>
          <w:numId w:val="118"/>
        </w:numPr>
        <w:spacing w:before="0" w:after="0"/>
        <w:ind w:left="0" w:firstLine="0"/>
        <w:rPr>
          <w:szCs w:val="24"/>
        </w:rPr>
      </w:pPr>
      <w:r w:rsidRPr="00CE6C1C">
        <w:rPr>
          <w:szCs w:val="24"/>
        </w:rPr>
        <w:t xml:space="preserve">Дезинтоксикационная терапия. </w:t>
      </w:r>
    </w:p>
    <w:p w14:paraId="377A46D0" w14:textId="77777777" w:rsidR="00B37E1F" w:rsidRPr="00CE6C1C" w:rsidRDefault="00B37E1F" w:rsidP="00A30463">
      <w:pPr>
        <w:spacing w:before="0" w:after="0"/>
        <w:rPr>
          <w:b/>
          <w:szCs w:val="24"/>
        </w:rPr>
      </w:pPr>
      <w:r w:rsidRPr="00CE6C1C">
        <w:rPr>
          <w:b/>
          <w:szCs w:val="24"/>
        </w:rPr>
        <w:t>Выбор инфузионных растворов</w:t>
      </w:r>
    </w:p>
    <w:p w14:paraId="68FB60F8" w14:textId="77777777" w:rsidR="00B37E1F" w:rsidRPr="00CE6C1C" w:rsidRDefault="00B37E1F" w:rsidP="00A30463">
      <w:pPr>
        <w:spacing w:before="0" w:after="0"/>
        <w:rPr>
          <w:szCs w:val="24"/>
        </w:rPr>
      </w:pPr>
      <w:r w:rsidRPr="00CE6C1C">
        <w:rPr>
          <w:szCs w:val="24"/>
        </w:rPr>
        <w:t>Сбалансированные полиэлектролитные растворы применяются для коррекции дегидратации, форсированного диуреза, терапевтической гемоделюции.</w:t>
      </w:r>
    </w:p>
    <w:p w14:paraId="0EC3E7E8" w14:textId="1515C748" w:rsidR="00B37E1F" w:rsidRPr="00CE6C1C" w:rsidRDefault="00B37E1F" w:rsidP="00093389">
      <w:pPr>
        <w:spacing w:before="0" w:after="0"/>
        <w:rPr>
          <w:szCs w:val="24"/>
        </w:rPr>
      </w:pPr>
      <w:r w:rsidRPr="00CE6C1C">
        <w:rPr>
          <w:szCs w:val="24"/>
        </w:rPr>
        <w:t>Коллоидные растворы (такие</w:t>
      </w:r>
      <w:r w:rsidR="007D54E3">
        <w:rPr>
          <w:szCs w:val="24"/>
        </w:rPr>
        <w:t>,</w:t>
      </w:r>
      <w:r w:rsidRPr="00CE6C1C">
        <w:rPr>
          <w:szCs w:val="24"/>
        </w:rPr>
        <w:t xml:space="preserve"> как раствор альбумина</w:t>
      </w:r>
      <w:r w:rsidR="007D54E3">
        <w:rPr>
          <w:szCs w:val="24"/>
        </w:rPr>
        <w:t>**</w:t>
      </w:r>
      <w:r w:rsidRPr="00CE6C1C">
        <w:rPr>
          <w:szCs w:val="24"/>
        </w:rPr>
        <w:t>), используются в сочетании с кристаллоидными для коррекции гиповолемии. Допустимо использовать только кристаллоидные растворы для коррекции гиповолемии легкой степени.</w:t>
      </w:r>
    </w:p>
    <w:p w14:paraId="0CA472A5" w14:textId="7F8ADCEF" w:rsidR="00B37E1F" w:rsidRPr="00CE6C1C" w:rsidRDefault="00B37E1F" w:rsidP="00093389">
      <w:pPr>
        <w:spacing w:before="0" w:after="0"/>
        <w:rPr>
          <w:szCs w:val="24"/>
        </w:rPr>
      </w:pPr>
      <w:r w:rsidRPr="00CE6C1C">
        <w:rPr>
          <w:szCs w:val="24"/>
        </w:rPr>
        <w:t>Для разведения лекарственных препаратов используется 0,9% раствор натрия хлорида</w:t>
      </w:r>
      <w:r w:rsidR="007D54E3">
        <w:rPr>
          <w:szCs w:val="24"/>
        </w:rPr>
        <w:t>**</w:t>
      </w:r>
      <w:r w:rsidRPr="00CE6C1C">
        <w:rPr>
          <w:szCs w:val="24"/>
        </w:rPr>
        <w:t>, что исключает выпадения солей кальция в приготовленном растворе.</w:t>
      </w:r>
    </w:p>
    <w:p w14:paraId="1BCEE2BC" w14:textId="77777777" w:rsidR="00B37E1F" w:rsidRPr="00CE6C1C" w:rsidRDefault="00B37E1F" w:rsidP="00093389">
      <w:pPr>
        <w:spacing w:before="0" w:after="0"/>
        <w:rPr>
          <w:szCs w:val="24"/>
        </w:rPr>
      </w:pPr>
      <w:r w:rsidRPr="00CE6C1C">
        <w:rPr>
          <w:szCs w:val="24"/>
        </w:rPr>
        <w:t xml:space="preserve">Объем инфузионной терапии определяется клиническими показаниями. </w:t>
      </w:r>
    </w:p>
    <w:p w14:paraId="6ADD0203" w14:textId="77777777" w:rsidR="00B37E1F" w:rsidRPr="00CE6C1C" w:rsidRDefault="00B37E1F" w:rsidP="00093389">
      <w:pPr>
        <w:spacing w:before="0" w:after="0"/>
        <w:rPr>
          <w:b/>
          <w:szCs w:val="24"/>
        </w:rPr>
      </w:pPr>
      <w:r w:rsidRPr="00CE6C1C">
        <w:rPr>
          <w:b/>
          <w:szCs w:val="24"/>
        </w:rPr>
        <w:t>Алгоритм действия врача</w:t>
      </w:r>
    </w:p>
    <w:p w14:paraId="3BA32460" w14:textId="77777777" w:rsidR="00B37E1F" w:rsidRPr="00CE6C1C" w:rsidRDefault="00B37E1F" w:rsidP="00093389">
      <w:pPr>
        <w:spacing w:before="0" w:after="0"/>
        <w:rPr>
          <w:szCs w:val="24"/>
        </w:rPr>
      </w:pPr>
      <w:r w:rsidRPr="00CE6C1C">
        <w:rPr>
          <w:szCs w:val="24"/>
        </w:rPr>
        <w:t>1. Определение показаний для инфузионная терапии.</w:t>
      </w:r>
    </w:p>
    <w:p w14:paraId="7CB7574E" w14:textId="77777777" w:rsidR="00B37E1F" w:rsidRPr="00CE6C1C" w:rsidRDefault="00B37E1F" w:rsidP="00093389">
      <w:pPr>
        <w:spacing w:before="0" w:after="0"/>
        <w:rPr>
          <w:szCs w:val="24"/>
        </w:rPr>
      </w:pPr>
      <w:r w:rsidRPr="00CE6C1C">
        <w:rPr>
          <w:szCs w:val="24"/>
        </w:rPr>
        <w:t>2. Выбор инфузионного раствора в зависимости от показаний.</w:t>
      </w:r>
    </w:p>
    <w:p w14:paraId="209D42C6" w14:textId="0753C684" w:rsidR="00B37E1F" w:rsidRPr="00CE6C1C" w:rsidRDefault="00B37E1F" w:rsidP="00093389">
      <w:pPr>
        <w:spacing w:before="0" w:after="0"/>
        <w:rPr>
          <w:szCs w:val="24"/>
        </w:rPr>
      </w:pPr>
      <w:r w:rsidRPr="00CE6C1C">
        <w:rPr>
          <w:szCs w:val="24"/>
        </w:rPr>
        <w:t xml:space="preserve">3. Оценка волемического статуса пациента (оценка частоты сердечных сокращений, артериального давления, тургора кожи, влажности слизистых, темпа диуреза и др.). Центральное венозное давление (ЦВД) не является единственным показателем волемического статуса больного и часто может не отражать истинное состояние. Так, у больного с легочной гипертензией и гиповолемией ЦВД может </w:t>
      </w:r>
      <w:r w:rsidR="007D54E3" w:rsidRPr="00CE6C1C">
        <w:rPr>
          <w:szCs w:val="24"/>
        </w:rPr>
        <w:t>превышать нормальные</w:t>
      </w:r>
      <w:r w:rsidRPr="00CE6C1C">
        <w:rPr>
          <w:szCs w:val="24"/>
        </w:rPr>
        <w:t xml:space="preserve"> значения.</w:t>
      </w:r>
    </w:p>
    <w:p w14:paraId="2E94E3FA" w14:textId="73864073" w:rsidR="001E52F2" w:rsidRDefault="00B37E1F" w:rsidP="00093389">
      <w:pPr>
        <w:spacing w:before="0" w:after="0"/>
        <w:rPr>
          <w:szCs w:val="24"/>
        </w:rPr>
      </w:pPr>
      <w:r w:rsidRPr="00CE6C1C">
        <w:rPr>
          <w:szCs w:val="24"/>
        </w:rPr>
        <w:t>4. Обеспечение сосудистого доступа. Проведение инфузионной терапии и оценка ее эффекта (частота сердечных сокращений, артериальное давление, тургор кожи, влажность слизистых, темп диуреза и др.).</w:t>
      </w:r>
    </w:p>
    <w:p w14:paraId="0063DAED" w14:textId="77777777" w:rsidR="00D662AD" w:rsidRDefault="00D662AD" w:rsidP="00093389">
      <w:pPr>
        <w:spacing w:before="0" w:after="0"/>
        <w:rPr>
          <w:szCs w:val="24"/>
        </w:rPr>
      </w:pPr>
    </w:p>
    <w:p w14:paraId="3ED60752" w14:textId="77777777" w:rsidR="00D662AD" w:rsidRDefault="00D662AD" w:rsidP="00093389">
      <w:pPr>
        <w:spacing w:before="0" w:after="0"/>
        <w:rPr>
          <w:szCs w:val="24"/>
        </w:rPr>
      </w:pPr>
    </w:p>
    <w:p w14:paraId="33E39A66" w14:textId="77777777" w:rsidR="00D662AD" w:rsidRDefault="00D662AD" w:rsidP="00093389">
      <w:pPr>
        <w:spacing w:before="0" w:after="0"/>
        <w:rPr>
          <w:szCs w:val="24"/>
        </w:rPr>
      </w:pPr>
    </w:p>
    <w:p w14:paraId="3DA70B14" w14:textId="77777777" w:rsidR="00D662AD" w:rsidRDefault="00D662AD" w:rsidP="00093389">
      <w:pPr>
        <w:spacing w:before="0" w:after="0"/>
        <w:rPr>
          <w:szCs w:val="24"/>
        </w:rPr>
      </w:pPr>
    </w:p>
    <w:p w14:paraId="4C60D7CE" w14:textId="77777777" w:rsidR="00D662AD" w:rsidRDefault="00D662AD" w:rsidP="00093389">
      <w:pPr>
        <w:spacing w:before="0" w:after="0"/>
        <w:rPr>
          <w:szCs w:val="24"/>
        </w:rPr>
      </w:pPr>
    </w:p>
    <w:p w14:paraId="3A43D600" w14:textId="77777777" w:rsidR="00D662AD" w:rsidRDefault="00D662AD" w:rsidP="00093389">
      <w:pPr>
        <w:spacing w:before="0" w:after="0"/>
        <w:rPr>
          <w:szCs w:val="24"/>
        </w:rPr>
      </w:pPr>
    </w:p>
    <w:p w14:paraId="51F64B51" w14:textId="0EC5B200" w:rsidR="00D662AD" w:rsidRPr="00A30463" w:rsidRDefault="00D662AD" w:rsidP="00D662AD">
      <w:pPr>
        <w:pStyle w:val="2"/>
      </w:pPr>
      <w:bookmarkStart w:id="110" w:name="_Toc97734661"/>
      <w:r w:rsidRPr="00A30463">
        <w:rPr>
          <w:rStyle w:val="ac"/>
          <w:b/>
          <w:bCs w:val="0"/>
        </w:rPr>
        <w:lastRenderedPageBreak/>
        <w:t>Приложение А3.1</w:t>
      </w:r>
      <w:r>
        <w:rPr>
          <w:rStyle w:val="ac"/>
          <w:b/>
          <w:bCs w:val="0"/>
        </w:rPr>
        <w:t>6. Рекомендации по лечению множественной миеломы в период беременности</w:t>
      </w:r>
      <w:bookmarkEnd w:id="110"/>
    </w:p>
    <w:p w14:paraId="57758182" w14:textId="5D9BB405" w:rsidR="00D662AD" w:rsidRDefault="00D662AD" w:rsidP="00093389">
      <w:pPr>
        <w:spacing w:before="0" w:after="0"/>
        <w:rPr>
          <w:szCs w:val="24"/>
        </w:rPr>
      </w:pPr>
      <w:r>
        <w:rPr>
          <w:szCs w:val="24"/>
        </w:rPr>
        <w:t>Учитывая ограниченные данные по ведению беременности при манифестации множественной миеломы, решение о сроках начала и схеме лечения определяется индивидуально с привлечением междисциплинарной команды и проведением телемедицинской консультации со специалистами федеральных медицинских учреждений.</w:t>
      </w:r>
      <w:r w:rsidR="00327F5C">
        <w:rPr>
          <w:szCs w:val="24"/>
        </w:rPr>
        <w:t xml:space="preserve"> В случае диагностирования множественной миеломы в первом триместре (до 12 недель) беременности целесообразно рассмотреть возможность ее прерывания.</w:t>
      </w:r>
    </w:p>
    <w:p w14:paraId="7D25C379" w14:textId="5A187A1B" w:rsidR="004D7374" w:rsidRPr="00AC398A" w:rsidRDefault="004D7374" w:rsidP="002431B5">
      <w:pPr>
        <w:pStyle w:val="1"/>
      </w:pPr>
      <w:bookmarkStart w:id="111" w:name="_Toc97734662"/>
      <w:r w:rsidRPr="00F242DD">
        <w:lastRenderedPageBreak/>
        <w:t>Приложение</w:t>
      </w:r>
      <w:r w:rsidRPr="00AC398A">
        <w:t xml:space="preserve"> </w:t>
      </w:r>
      <w:r w:rsidRPr="00F242DD">
        <w:t>Б</w:t>
      </w:r>
      <w:r w:rsidRPr="00AC398A">
        <w:t xml:space="preserve">. </w:t>
      </w:r>
      <w:r w:rsidRPr="00F242DD">
        <w:t>Алгоритмы</w:t>
      </w:r>
      <w:r w:rsidRPr="00AC398A">
        <w:t xml:space="preserve"> </w:t>
      </w:r>
      <w:r w:rsidR="008761C0">
        <w:t>действий врача</w:t>
      </w:r>
      <w:bookmarkEnd w:id="69"/>
      <w:bookmarkEnd w:id="111"/>
    </w:p>
    <w:p w14:paraId="2CC8F2A4" w14:textId="77777777" w:rsidR="00485E4B" w:rsidRPr="00AC398A" w:rsidRDefault="00844A2E" w:rsidP="002431B5">
      <w:pPr>
        <w:spacing w:before="0" w:after="0"/>
        <w:jc w:val="center"/>
        <w:rPr>
          <w:b/>
          <w:u w:val="single"/>
        </w:rPr>
      </w:pPr>
      <w:r w:rsidRPr="00F242DD">
        <w:rPr>
          <w:b/>
          <w:u w:val="single"/>
        </w:rPr>
        <w:t>Алгоритм</w:t>
      </w:r>
      <w:r w:rsidRPr="00AC398A">
        <w:rPr>
          <w:b/>
          <w:u w:val="single"/>
        </w:rPr>
        <w:t xml:space="preserve"> </w:t>
      </w:r>
      <w:r w:rsidRPr="00F242DD">
        <w:rPr>
          <w:b/>
          <w:u w:val="single"/>
        </w:rPr>
        <w:t>проведения</w:t>
      </w:r>
      <w:r w:rsidRPr="00AC398A">
        <w:rPr>
          <w:b/>
          <w:u w:val="single"/>
        </w:rPr>
        <w:t xml:space="preserve"> </w:t>
      </w:r>
      <w:r w:rsidRPr="00F242DD">
        <w:rPr>
          <w:b/>
          <w:u w:val="single"/>
        </w:rPr>
        <w:t>индукционной</w:t>
      </w:r>
      <w:r w:rsidRPr="00AC398A">
        <w:rPr>
          <w:b/>
          <w:u w:val="single"/>
        </w:rPr>
        <w:t xml:space="preserve"> </w:t>
      </w:r>
      <w:r w:rsidRPr="00F242DD">
        <w:rPr>
          <w:b/>
          <w:u w:val="single"/>
        </w:rPr>
        <w:t>терапии</w:t>
      </w:r>
    </w:p>
    <w:p w14:paraId="341156D2" w14:textId="77777777" w:rsidR="00533A63" w:rsidRPr="00B37E1F" w:rsidRDefault="005F1CB4" w:rsidP="002431B5">
      <w:pPr>
        <w:spacing w:before="0" w:after="0"/>
      </w:pPr>
      <w:r w:rsidRPr="00F242DD">
        <w:rPr>
          <w:noProof/>
          <w:lang w:eastAsia="ru-RU"/>
        </w:rPr>
        <w:drawing>
          <wp:inline distT="0" distB="0" distL="0" distR="0" wp14:anchorId="6331AE21" wp14:editId="03F207FA">
            <wp:extent cx="5940425" cy="5750560"/>
            <wp:effectExtent l="0" t="0" r="3175" b="2540"/>
            <wp:docPr id="82" name="Рисунок 82" descr="Изображение выглядит как текст,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ММ первая линия.jpg"/>
                    <pic:cNvPicPr/>
                  </pic:nvPicPr>
                  <pic:blipFill>
                    <a:blip r:embed="rId10">
                      <a:extLst>
                        <a:ext uri="{28A0092B-C50C-407E-A947-70E740481C1C}">
                          <a14:useLocalDpi xmlns:a14="http://schemas.microsoft.com/office/drawing/2010/main" val="0"/>
                        </a:ext>
                      </a:extLst>
                    </a:blip>
                    <a:stretch>
                      <a:fillRect/>
                    </a:stretch>
                  </pic:blipFill>
                  <pic:spPr>
                    <a:xfrm>
                      <a:off x="0" y="0"/>
                      <a:ext cx="5940425" cy="5750560"/>
                    </a:xfrm>
                    <a:prstGeom prst="rect">
                      <a:avLst/>
                    </a:prstGeom>
                  </pic:spPr>
                </pic:pic>
              </a:graphicData>
            </a:graphic>
          </wp:inline>
        </w:drawing>
      </w:r>
    </w:p>
    <w:p w14:paraId="183C7695" w14:textId="77777777" w:rsidR="005F1CB4" w:rsidRPr="00B37E1F" w:rsidRDefault="005F1CB4" w:rsidP="002431B5">
      <w:pPr>
        <w:spacing w:before="0" w:after="0"/>
      </w:pPr>
    </w:p>
    <w:p w14:paraId="629DDFC2" w14:textId="77777777" w:rsidR="009773F3" w:rsidRPr="00B37E1F" w:rsidRDefault="009773F3" w:rsidP="002431B5">
      <w:pPr>
        <w:spacing w:before="0" w:after="0"/>
        <w:rPr>
          <w:b/>
        </w:rPr>
      </w:pPr>
      <w:bookmarkStart w:id="112" w:name="_Toc520213133"/>
    </w:p>
    <w:p w14:paraId="2EEA12CA" w14:textId="77777777" w:rsidR="004C0C25" w:rsidRPr="00B37E1F" w:rsidRDefault="004C0C25" w:rsidP="002431B5">
      <w:pPr>
        <w:spacing w:before="0" w:after="0"/>
        <w:rPr>
          <w:b/>
        </w:rPr>
      </w:pPr>
    </w:p>
    <w:p w14:paraId="64DF9CC8" w14:textId="77777777" w:rsidR="004C0C25" w:rsidRPr="00B37E1F" w:rsidRDefault="004C0C25" w:rsidP="002431B5">
      <w:pPr>
        <w:spacing w:before="0" w:after="0"/>
        <w:rPr>
          <w:b/>
        </w:rPr>
      </w:pPr>
    </w:p>
    <w:p w14:paraId="718E96D8" w14:textId="77777777" w:rsidR="004C0C25" w:rsidRPr="00B37E1F" w:rsidRDefault="004C0C25" w:rsidP="002431B5">
      <w:pPr>
        <w:spacing w:before="0" w:after="0"/>
        <w:rPr>
          <w:b/>
        </w:rPr>
      </w:pPr>
    </w:p>
    <w:p w14:paraId="063DD5C8" w14:textId="77777777" w:rsidR="004C0C25" w:rsidRPr="00B37E1F" w:rsidRDefault="004C0C25" w:rsidP="002431B5">
      <w:pPr>
        <w:spacing w:before="0" w:after="0"/>
        <w:rPr>
          <w:b/>
        </w:rPr>
      </w:pPr>
    </w:p>
    <w:p w14:paraId="0D3F1022" w14:textId="77777777" w:rsidR="004C0C25" w:rsidRPr="00B37E1F" w:rsidRDefault="004C0C25" w:rsidP="002431B5">
      <w:pPr>
        <w:spacing w:before="0" w:after="0"/>
        <w:rPr>
          <w:b/>
        </w:rPr>
      </w:pPr>
    </w:p>
    <w:p w14:paraId="475A9DDA" w14:textId="77777777" w:rsidR="004C0C25" w:rsidRPr="00B37E1F" w:rsidRDefault="004C0C25" w:rsidP="002431B5">
      <w:pPr>
        <w:spacing w:before="0" w:after="0"/>
        <w:rPr>
          <w:b/>
        </w:rPr>
      </w:pPr>
    </w:p>
    <w:p w14:paraId="5D9E0711" w14:textId="77777777" w:rsidR="009773F3" w:rsidRDefault="009773F3" w:rsidP="002431B5">
      <w:pPr>
        <w:spacing w:before="0" w:after="0"/>
        <w:jc w:val="center"/>
        <w:rPr>
          <w:b/>
        </w:rPr>
      </w:pPr>
    </w:p>
    <w:p w14:paraId="20FAC56A" w14:textId="77777777" w:rsidR="001E52F2" w:rsidRPr="00B37E1F" w:rsidRDefault="001E52F2" w:rsidP="002431B5">
      <w:pPr>
        <w:spacing w:before="0" w:after="0"/>
        <w:jc w:val="center"/>
        <w:rPr>
          <w:b/>
        </w:rPr>
      </w:pPr>
    </w:p>
    <w:p w14:paraId="1281FF1B" w14:textId="77777777" w:rsidR="003D7E72" w:rsidRPr="00B37E1F" w:rsidRDefault="003D7E72" w:rsidP="002431B5">
      <w:pPr>
        <w:spacing w:before="0" w:after="0"/>
        <w:jc w:val="center"/>
        <w:rPr>
          <w:b/>
          <w:u w:val="single"/>
        </w:rPr>
      </w:pPr>
      <w:r w:rsidRPr="00F242DD">
        <w:rPr>
          <w:b/>
          <w:u w:val="single"/>
        </w:rPr>
        <w:t>Алгоритм</w:t>
      </w:r>
      <w:r w:rsidRPr="00B37E1F">
        <w:rPr>
          <w:b/>
          <w:u w:val="single"/>
        </w:rPr>
        <w:t xml:space="preserve"> </w:t>
      </w:r>
      <w:r w:rsidRPr="00F242DD">
        <w:rPr>
          <w:b/>
          <w:u w:val="single"/>
        </w:rPr>
        <w:t>лечения</w:t>
      </w:r>
      <w:r w:rsidRPr="00B37E1F">
        <w:rPr>
          <w:b/>
          <w:u w:val="single"/>
        </w:rPr>
        <w:t xml:space="preserve"> </w:t>
      </w:r>
      <w:r w:rsidRPr="00F242DD">
        <w:rPr>
          <w:b/>
          <w:u w:val="single"/>
        </w:rPr>
        <w:t>рецидива</w:t>
      </w:r>
      <w:r w:rsidRPr="00B37E1F">
        <w:rPr>
          <w:b/>
          <w:u w:val="single"/>
        </w:rPr>
        <w:t xml:space="preserve"> </w:t>
      </w:r>
      <w:r w:rsidRPr="00F242DD">
        <w:rPr>
          <w:b/>
          <w:u w:val="single"/>
        </w:rPr>
        <w:t>ММ</w:t>
      </w:r>
    </w:p>
    <w:p w14:paraId="20245FD0" w14:textId="77777777" w:rsidR="00971A8A" w:rsidRPr="002E7F7B" w:rsidRDefault="00971A8A" w:rsidP="002431B5">
      <w:pPr>
        <w:spacing w:before="0" w:after="0"/>
        <w:rPr>
          <w:b/>
          <w:bCs/>
          <w:lang w:val="en-US"/>
        </w:rPr>
      </w:pPr>
      <w:r w:rsidRPr="00F242DD">
        <w:rPr>
          <w:b/>
          <w:bCs/>
          <w:noProof/>
          <w:lang w:eastAsia="ru-RU"/>
        </w:rPr>
        <w:drawing>
          <wp:inline distT="0" distB="0" distL="0" distR="0" wp14:anchorId="7728A914" wp14:editId="6DEB6B5C">
            <wp:extent cx="4457700" cy="4445000"/>
            <wp:effectExtent l="0" t="0" r="0" b="0"/>
            <wp:docPr id="83" name="Рисунок 83" descr="Изображение выглядит как текст,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ММ - рецидив.jpg"/>
                    <pic:cNvPicPr/>
                  </pic:nvPicPr>
                  <pic:blipFill>
                    <a:blip r:embed="rId11">
                      <a:extLst>
                        <a:ext uri="{28A0092B-C50C-407E-A947-70E740481C1C}">
                          <a14:useLocalDpi xmlns:a14="http://schemas.microsoft.com/office/drawing/2010/main" val="0"/>
                        </a:ext>
                      </a:extLst>
                    </a:blip>
                    <a:stretch>
                      <a:fillRect/>
                    </a:stretch>
                  </pic:blipFill>
                  <pic:spPr>
                    <a:xfrm>
                      <a:off x="0" y="0"/>
                      <a:ext cx="4457700" cy="4445000"/>
                    </a:xfrm>
                    <a:prstGeom prst="rect">
                      <a:avLst/>
                    </a:prstGeom>
                  </pic:spPr>
                </pic:pic>
              </a:graphicData>
            </a:graphic>
          </wp:inline>
        </w:drawing>
      </w:r>
    </w:p>
    <w:p w14:paraId="2E7C8076" w14:textId="77777777" w:rsidR="004D7374" w:rsidRPr="00AC398A" w:rsidRDefault="004D7374" w:rsidP="002431B5">
      <w:pPr>
        <w:pStyle w:val="1"/>
      </w:pPr>
      <w:bookmarkStart w:id="113" w:name="_Toc97734663"/>
      <w:r w:rsidRPr="00F242DD">
        <w:lastRenderedPageBreak/>
        <w:t>Приложение</w:t>
      </w:r>
      <w:r w:rsidRPr="00AC398A">
        <w:t xml:space="preserve"> </w:t>
      </w:r>
      <w:r w:rsidRPr="00F242DD">
        <w:t>В</w:t>
      </w:r>
      <w:r w:rsidRPr="00AC398A">
        <w:t xml:space="preserve">. </w:t>
      </w:r>
      <w:r w:rsidRPr="00F242DD">
        <w:t>Информация</w:t>
      </w:r>
      <w:r w:rsidRPr="00AC398A">
        <w:t xml:space="preserve"> </w:t>
      </w:r>
      <w:r w:rsidRPr="00F242DD">
        <w:t>для</w:t>
      </w:r>
      <w:r w:rsidRPr="00AC398A">
        <w:t xml:space="preserve"> </w:t>
      </w:r>
      <w:r w:rsidRPr="00F242DD">
        <w:t>пациентов</w:t>
      </w:r>
      <w:bookmarkEnd w:id="112"/>
      <w:bookmarkEnd w:id="113"/>
    </w:p>
    <w:p w14:paraId="7958F6CC" w14:textId="01E35177" w:rsidR="00D20B9A" w:rsidRPr="00AC398A" w:rsidRDefault="00D20B9A" w:rsidP="006310A4">
      <w:pPr>
        <w:spacing w:before="0" w:after="0"/>
        <w:ind w:firstLine="709"/>
      </w:pPr>
      <w:r w:rsidRPr="00F242DD">
        <w:t>ММ</w:t>
      </w:r>
      <w:r w:rsidRPr="00AC398A">
        <w:t xml:space="preserve"> – </w:t>
      </w:r>
      <w:r w:rsidRPr="00F242DD">
        <w:t>заболевание</w:t>
      </w:r>
      <w:r w:rsidRPr="00AC398A">
        <w:t xml:space="preserve"> </w:t>
      </w:r>
      <w:r w:rsidRPr="00F242DD">
        <w:t>опухолевой</w:t>
      </w:r>
      <w:r w:rsidRPr="00AC398A">
        <w:t xml:space="preserve"> </w:t>
      </w:r>
      <w:r w:rsidRPr="00F242DD">
        <w:t>природы</w:t>
      </w:r>
      <w:r w:rsidRPr="00AC398A">
        <w:t xml:space="preserve"> </w:t>
      </w:r>
      <w:r w:rsidRPr="00F242DD">
        <w:t>и</w:t>
      </w:r>
      <w:r w:rsidRPr="00AC398A">
        <w:t xml:space="preserve"> </w:t>
      </w:r>
      <w:r w:rsidRPr="00F242DD">
        <w:t>в</w:t>
      </w:r>
      <w:r w:rsidRPr="00AC398A">
        <w:t xml:space="preserve"> </w:t>
      </w:r>
      <w:r w:rsidRPr="00F242DD">
        <w:t>настоящее</w:t>
      </w:r>
      <w:r w:rsidRPr="00AC398A">
        <w:t xml:space="preserve"> </w:t>
      </w:r>
      <w:r w:rsidRPr="00F242DD">
        <w:t>время</w:t>
      </w:r>
      <w:r w:rsidRPr="00AC398A">
        <w:t xml:space="preserve"> </w:t>
      </w:r>
      <w:r w:rsidRPr="00F242DD">
        <w:t>является</w:t>
      </w:r>
      <w:r w:rsidRPr="00AC398A">
        <w:t xml:space="preserve"> </w:t>
      </w:r>
      <w:r w:rsidRPr="00F242DD">
        <w:t>неизлечимым</w:t>
      </w:r>
      <w:r w:rsidRPr="00AC398A">
        <w:t xml:space="preserve">. </w:t>
      </w:r>
      <w:r w:rsidRPr="00F242DD">
        <w:t>Однако</w:t>
      </w:r>
      <w:r w:rsidRPr="00AC398A">
        <w:t xml:space="preserve"> </w:t>
      </w:r>
      <w:r w:rsidRPr="00F242DD">
        <w:t>современные</w:t>
      </w:r>
      <w:r w:rsidRPr="00AC398A">
        <w:t xml:space="preserve"> </w:t>
      </w:r>
      <w:r w:rsidRPr="00F242DD">
        <w:t>инновационные</w:t>
      </w:r>
      <w:r w:rsidRPr="00AC398A">
        <w:t xml:space="preserve"> </w:t>
      </w:r>
      <w:r w:rsidRPr="00F242DD">
        <w:t>лекарственные</w:t>
      </w:r>
      <w:r w:rsidRPr="00AC398A">
        <w:t xml:space="preserve"> </w:t>
      </w:r>
      <w:r w:rsidRPr="00F242DD">
        <w:t>препараты</w:t>
      </w:r>
      <w:r w:rsidRPr="00AC398A">
        <w:t xml:space="preserve"> </w:t>
      </w:r>
      <w:r w:rsidRPr="00F242DD">
        <w:t>и</w:t>
      </w:r>
      <w:r w:rsidRPr="00AC398A">
        <w:t xml:space="preserve"> </w:t>
      </w:r>
      <w:r w:rsidRPr="00F242DD">
        <w:t>трансплантационные</w:t>
      </w:r>
      <w:r w:rsidRPr="00AC398A">
        <w:t xml:space="preserve"> </w:t>
      </w:r>
      <w:r w:rsidRPr="00F242DD">
        <w:t>методики</w:t>
      </w:r>
      <w:r w:rsidRPr="00AC398A">
        <w:t xml:space="preserve"> </w:t>
      </w:r>
      <w:r w:rsidRPr="00F242DD">
        <w:t>позволяют</w:t>
      </w:r>
      <w:r w:rsidRPr="00AC398A">
        <w:t xml:space="preserve"> </w:t>
      </w:r>
      <w:r w:rsidRPr="00F242DD">
        <w:t>достичь</w:t>
      </w:r>
      <w:r w:rsidRPr="00AC398A">
        <w:t xml:space="preserve"> </w:t>
      </w:r>
      <w:r w:rsidRPr="00F242DD">
        <w:t>значимого</w:t>
      </w:r>
      <w:r w:rsidRPr="00AC398A">
        <w:t xml:space="preserve"> </w:t>
      </w:r>
      <w:r w:rsidRPr="00F242DD">
        <w:t>противоопухолевого</w:t>
      </w:r>
      <w:r w:rsidRPr="00AC398A">
        <w:t xml:space="preserve"> </w:t>
      </w:r>
      <w:r w:rsidRPr="00F242DD">
        <w:t>эффекта</w:t>
      </w:r>
      <w:r w:rsidRPr="00AC398A">
        <w:t xml:space="preserve"> </w:t>
      </w:r>
      <w:r w:rsidR="006310A4">
        <w:t xml:space="preserve">– </w:t>
      </w:r>
      <w:bookmarkStart w:id="114" w:name="_GoBack"/>
      <w:bookmarkEnd w:id="114"/>
      <w:r w:rsidRPr="00F242DD">
        <w:t>так</w:t>
      </w:r>
      <w:r w:rsidRPr="00AC398A">
        <w:t xml:space="preserve"> </w:t>
      </w:r>
      <w:r w:rsidRPr="00F242DD">
        <w:t>называемой</w:t>
      </w:r>
      <w:r w:rsidRPr="00AC398A">
        <w:t xml:space="preserve"> </w:t>
      </w:r>
      <w:r w:rsidRPr="00F242DD">
        <w:t>ремиссии</w:t>
      </w:r>
      <w:r w:rsidRPr="00AC398A">
        <w:t>.</w:t>
      </w:r>
    </w:p>
    <w:p w14:paraId="6500D855" w14:textId="77777777" w:rsidR="00D20B9A" w:rsidRPr="00F242DD" w:rsidRDefault="00D20B9A" w:rsidP="004A7ED2">
      <w:pPr>
        <w:spacing w:before="0" w:after="0"/>
        <w:ind w:firstLine="709"/>
      </w:pPr>
      <w:r w:rsidRPr="00F242DD">
        <w:t>Ремиссия</w:t>
      </w:r>
      <w:r w:rsidRPr="002E7F7B">
        <w:t xml:space="preserve"> – </w:t>
      </w:r>
      <w:r w:rsidRPr="00F242DD">
        <w:t>это</w:t>
      </w:r>
      <w:r w:rsidRPr="002E7F7B">
        <w:t xml:space="preserve"> </w:t>
      </w:r>
      <w:r w:rsidRPr="00F242DD">
        <w:t>состояние</w:t>
      </w:r>
      <w:r w:rsidRPr="002E7F7B">
        <w:t xml:space="preserve">, </w:t>
      </w:r>
      <w:r w:rsidRPr="00F242DD">
        <w:t>при</w:t>
      </w:r>
      <w:r w:rsidRPr="002E7F7B">
        <w:t xml:space="preserve"> </w:t>
      </w:r>
      <w:r w:rsidRPr="00F242DD">
        <w:t>котором</w:t>
      </w:r>
      <w:r w:rsidRPr="002E7F7B">
        <w:t xml:space="preserve"> </w:t>
      </w:r>
      <w:r w:rsidRPr="00F242DD">
        <w:t>минимизирована</w:t>
      </w:r>
      <w:r w:rsidRPr="002E7F7B">
        <w:t xml:space="preserve"> </w:t>
      </w:r>
      <w:r w:rsidRPr="00F242DD">
        <w:t>опухолевая</w:t>
      </w:r>
      <w:r w:rsidRPr="002E7F7B">
        <w:t xml:space="preserve"> </w:t>
      </w:r>
      <w:r w:rsidRPr="00F242DD">
        <w:t>масса</w:t>
      </w:r>
      <w:r w:rsidRPr="002E7F7B">
        <w:t xml:space="preserve">, </w:t>
      </w:r>
      <w:r w:rsidRPr="00F242DD">
        <w:t>купированы</w:t>
      </w:r>
      <w:r w:rsidRPr="002E7F7B">
        <w:t xml:space="preserve"> </w:t>
      </w:r>
      <w:r w:rsidRPr="00F242DD">
        <w:t>основные</w:t>
      </w:r>
      <w:r w:rsidRPr="002E7F7B">
        <w:t xml:space="preserve"> </w:t>
      </w:r>
      <w:r w:rsidRPr="00F242DD">
        <w:t>клинические</w:t>
      </w:r>
      <w:r w:rsidRPr="002E7F7B">
        <w:t xml:space="preserve"> </w:t>
      </w:r>
      <w:r w:rsidRPr="00F242DD">
        <w:t>проявления заболевания (костные боли, почечная недостаточность, инфекционные осложнения). Современные лечебные мероприятия, включающие препараты биологического механизма действия, традиционные химиотерапевтические препараты обеспечивают длительный контроль за опухолевым процессом, сохраняя качество жизни пациентов.</w:t>
      </w:r>
    </w:p>
    <w:p w14:paraId="6C782831" w14:textId="77777777" w:rsidR="00D20B9A" w:rsidRPr="00F242DD" w:rsidRDefault="00D20B9A" w:rsidP="004A7ED2">
      <w:pPr>
        <w:spacing w:before="0" w:after="0"/>
        <w:ind w:firstLine="709"/>
      </w:pPr>
      <w:r w:rsidRPr="00F242DD">
        <w:t>Лечение ММ длительное. Первичная терапия в большинстве случаев проводится в стационарных условиях. По мере купирования клинических симптомов продолжение лечения возможно в условиях дневных стационаров или амбулаторно-поликлинических и даже домашних условиях.</w:t>
      </w:r>
    </w:p>
    <w:p w14:paraId="58AACE8B" w14:textId="77777777" w:rsidR="00D20B9A" w:rsidRPr="00F242DD" w:rsidRDefault="00D20B9A" w:rsidP="004A7ED2">
      <w:pPr>
        <w:spacing w:before="0" w:after="0"/>
        <w:ind w:firstLine="709"/>
      </w:pPr>
      <w:r w:rsidRPr="00F242DD">
        <w:t>Однако хорошо известно, что лекарственные препараты обладают побочными эффектами. В связи с этим пациенты должны сразу сообщать лечащему врачу о</w:t>
      </w:r>
      <w:r w:rsidR="00974BA6" w:rsidRPr="00F242DD">
        <w:t>бо</w:t>
      </w:r>
      <w:r w:rsidRPr="00F242DD">
        <w:t xml:space="preserve"> всех нежелательных явлениях, возникающих на фоне лечения.</w:t>
      </w:r>
    </w:p>
    <w:p w14:paraId="2BC29652" w14:textId="77777777" w:rsidR="004D7374" w:rsidRPr="00F242DD" w:rsidRDefault="004D7374" w:rsidP="002431B5">
      <w:pPr>
        <w:spacing w:before="0" w:after="0"/>
      </w:pPr>
    </w:p>
    <w:p w14:paraId="630D89E0" w14:textId="77777777" w:rsidR="00E93D36" w:rsidRPr="00F242DD" w:rsidRDefault="00E93D36" w:rsidP="002431B5">
      <w:pPr>
        <w:spacing w:before="0" w:after="0"/>
      </w:pPr>
    </w:p>
    <w:p w14:paraId="196F3829" w14:textId="77777777" w:rsidR="00E93D36" w:rsidRPr="00F242DD" w:rsidRDefault="00E93D36" w:rsidP="002431B5">
      <w:pPr>
        <w:spacing w:before="0" w:after="0"/>
      </w:pPr>
    </w:p>
    <w:p w14:paraId="5ACA31F1" w14:textId="77777777" w:rsidR="00E93D36" w:rsidRPr="00F242DD" w:rsidRDefault="00E93D36" w:rsidP="002431B5">
      <w:pPr>
        <w:spacing w:before="0" w:after="0"/>
      </w:pPr>
    </w:p>
    <w:p w14:paraId="19EADB78" w14:textId="77777777" w:rsidR="00E93D36" w:rsidRPr="00F242DD" w:rsidRDefault="00E93D36" w:rsidP="002431B5">
      <w:pPr>
        <w:spacing w:before="0" w:after="0"/>
      </w:pPr>
    </w:p>
    <w:p w14:paraId="61F25A2A" w14:textId="77777777" w:rsidR="00E93D36" w:rsidRPr="00F242DD" w:rsidRDefault="00E93D36" w:rsidP="002431B5">
      <w:pPr>
        <w:spacing w:before="0" w:after="0"/>
      </w:pPr>
    </w:p>
    <w:p w14:paraId="2979F9B7" w14:textId="77777777" w:rsidR="00E93D36" w:rsidRPr="00F242DD" w:rsidRDefault="00E93D36" w:rsidP="002431B5">
      <w:pPr>
        <w:spacing w:before="0" w:after="0"/>
      </w:pPr>
    </w:p>
    <w:p w14:paraId="476DB001" w14:textId="77777777" w:rsidR="00E93D36" w:rsidRPr="00F242DD" w:rsidRDefault="00E93D36" w:rsidP="002431B5">
      <w:pPr>
        <w:spacing w:before="0" w:after="0"/>
      </w:pPr>
    </w:p>
    <w:p w14:paraId="1B5029D8" w14:textId="77777777" w:rsidR="00B92586" w:rsidRDefault="00EE0660" w:rsidP="002431B5">
      <w:pPr>
        <w:pStyle w:val="1"/>
        <w:spacing w:before="0" w:after="0"/>
        <w:rPr>
          <w:rStyle w:val="ac"/>
          <w:b/>
        </w:rPr>
      </w:pPr>
      <w:bookmarkStart w:id="115" w:name="_Toc520213134"/>
      <w:bookmarkStart w:id="116" w:name="_Toc97734664"/>
      <w:r w:rsidRPr="00F242DD">
        <w:lastRenderedPageBreak/>
        <w:t>Приложение Г</w:t>
      </w:r>
      <w:bookmarkEnd w:id="115"/>
      <w:r w:rsidR="00EB605F">
        <w:t>1</w:t>
      </w:r>
      <w:r w:rsidR="009773F3" w:rsidRPr="00F242DD">
        <w:rPr>
          <w:rStyle w:val="ac"/>
          <w:b/>
        </w:rPr>
        <w:t>. Шкал</w:t>
      </w:r>
      <w:r w:rsidR="00B92586">
        <w:rPr>
          <w:rStyle w:val="ac"/>
          <w:b/>
        </w:rPr>
        <w:t>ы оценки, вопросники и другие оценочные инструменты состояния пациента, приведенные в клинических рекомендациях</w:t>
      </w:r>
      <w:bookmarkEnd w:id="116"/>
      <w:r w:rsidR="00B92586">
        <w:rPr>
          <w:rStyle w:val="ac"/>
          <w:b/>
        </w:rPr>
        <w:t xml:space="preserve"> </w:t>
      </w:r>
    </w:p>
    <w:p w14:paraId="1957E013" w14:textId="70C9B1B1" w:rsidR="00B92586" w:rsidRPr="001E52F2" w:rsidRDefault="001E52F2" w:rsidP="002431B5">
      <w:pPr>
        <w:spacing w:before="0" w:after="0"/>
        <w:rPr>
          <w:b/>
          <w:u w:val="single"/>
        </w:rPr>
      </w:pPr>
      <w:r w:rsidRPr="001E52F2">
        <w:rPr>
          <w:b/>
          <w:u w:val="single"/>
        </w:rPr>
        <w:t xml:space="preserve">Приложение Г1.1. Шкала оценки общего состояния пациента </w:t>
      </w:r>
      <w:r w:rsidRPr="001E52F2">
        <w:rPr>
          <w:b/>
          <w:u w:val="single"/>
          <w:lang w:val="en-US"/>
        </w:rPr>
        <w:t>ECOG</w:t>
      </w:r>
    </w:p>
    <w:p w14:paraId="1618CC26" w14:textId="33E099C4" w:rsidR="001E52F2" w:rsidRDefault="00B92586" w:rsidP="002431B5">
      <w:pPr>
        <w:spacing w:before="0" w:after="0"/>
      </w:pPr>
      <w:r w:rsidRPr="00F242DD">
        <w:t xml:space="preserve">Клиническая оценка общего состояния пациента с ММ проводится по шкале, разработанной Восточной объединенной онкологической группой (Eastern Cooperative Oncology Group) </w:t>
      </w:r>
      <w:r w:rsidRPr="00F242DD">
        <w:fldChar w:fldCharType="begin" w:fldLock="1"/>
      </w:r>
      <w:r w:rsidR="00E430FD">
        <w:instrText>ADDIN CSL_CITATION {"citationItems":[{"id":"ITEM-1","itemData":{"DOI":"10.1097/00000421-198212000-00014","ISSN":"02773732","PMID":"7165009","abstract":"Standard criteria for toxicity and for response to treatment are important prerequisites to the conduct of cancer trials. The Eastern Cooperative Oncology Group criteria for toxicity and response are presented to facilitate future reference and to encourage further standardization among those conducting clinical trials.","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a75f02f1-b78b-458d-b3c4-9c8b402a67f0"]}],"mendeley":{"formattedCitation":"[235]","plainTextFormattedCitation":"[235]","previouslyFormattedCitation":"[235]"},"properties":{"noteIndex":0},"schema":"https://github.com/citation-style-language/schema/raw/master/csl-citation.json"}</w:instrText>
      </w:r>
      <w:r w:rsidRPr="00F242DD">
        <w:fldChar w:fldCharType="separate"/>
      </w:r>
      <w:r w:rsidR="00A30463" w:rsidRPr="00A30463">
        <w:rPr>
          <w:noProof/>
        </w:rPr>
        <w:t>[235]</w:t>
      </w:r>
      <w:r w:rsidRPr="00F242DD">
        <w:fldChar w:fldCharType="end"/>
      </w:r>
      <w:r w:rsidRPr="00F242DD">
        <w:t>:</w:t>
      </w:r>
    </w:p>
    <w:p w14:paraId="728B8712" w14:textId="77777777" w:rsidR="00B92586" w:rsidRPr="00B92586" w:rsidRDefault="00B92586" w:rsidP="002431B5">
      <w:pPr>
        <w:rPr>
          <w:lang w:val="en-US"/>
        </w:rPr>
      </w:pPr>
      <w:r w:rsidRPr="00F242DD">
        <w:t>Оригинальное</w:t>
      </w:r>
      <w:r w:rsidRPr="00F242DD">
        <w:rPr>
          <w:lang w:val="en-US"/>
        </w:rPr>
        <w:t xml:space="preserve"> </w:t>
      </w:r>
      <w:r w:rsidRPr="00F242DD">
        <w:t>название</w:t>
      </w:r>
      <w:r w:rsidRPr="00F242DD">
        <w:rPr>
          <w:lang w:val="en-US"/>
        </w:rPr>
        <w:t>: The ECOG Scale of Performance Status</w:t>
      </w:r>
    </w:p>
    <w:p w14:paraId="6F449669" w14:textId="69644E9B" w:rsidR="00B92586" w:rsidRPr="00F242DD" w:rsidRDefault="00B92586" w:rsidP="002431B5">
      <w:r w:rsidRPr="00F242DD">
        <w:t>Источник</w:t>
      </w:r>
      <w:r w:rsidRPr="00F242DD">
        <w:rPr>
          <w:lang w:val="en-US"/>
        </w:rPr>
        <w:t>: Oken M.M. et al. Toxicity and response criteria of the Eastern Cooperative Oncology Group // Am. J. Clin. Oncol</w:t>
      </w:r>
      <w:r w:rsidRPr="006310A4">
        <w:rPr>
          <w:lang w:val="en-US"/>
        </w:rPr>
        <w:t xml:space="preserve">. 1982. </w:t>
      </w:r>
      <w:r w:rsidRPr="00F242DD">
        <w:t xml:space="preserve">Vol. 5, № 6. P. 649–65 </w:t>
      </w:r>
      <w:r w:rsidRPr="00F242DD">
        <w:fldChar w:fldCharType="begin" w:fldLock="1"/>
      </w:r>
      <w:r w:rsidR="00E430FD">
        <w:instrText>ADDIN CSL_CITATION {"citationItems":[{"id":"ITEM-1","itemData":{"DOI":"10.1097/00000421-198212000-00014","ISSN":"02773732","PMID":"7165009","abstract":"Standard criteria for toxicity and for response to treatment are important prerequisites to the conduct of cancer trials. The Eastern Cooperative Oncology Group criteria for toxicity and response are presented to facilitate future reference and to encourage further standardization among those conducting clinical trials.","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a75f02f1-b78b-458d-b3c4-9c8b402a67f0"]}],"mendeley":{"formattedCitation":"[235]","plainTextFormattedCitation":"[235]","previouslyFormattedCitation":"[235]"},"properties":{"noteIndex":0},"schema":"https://github.com/citation-style-language/schema/raw/master/csl-citation.json"}</w:instrText>
      </w:r>
      <w:r w:rsidRPr="00F242DD">
        <w:fldChar w:fldCharType="separate"/>
      </w:r>
      <w:r w:rsidR="00A30463" w:rsidRPr="00A30463">
        <w:rPr>
          <w:noProof/>
        </w:rPr>
        <w:t>[235]</w:t>
      </w:r>
      <w:r w:rsidRPr="00F242DD">
        <w:fldChar w:fldCharType="end"/>
      </w:r>
    </w:p>
    <w:p w14:paraId="354B1D6D" w14:textId="77777777" w:rsidR="00B92586" w:rsidRDefault="00B92586" w:rsidP="002431B5">
      <w:r w:rsidRPr="00F242DD">
        <w:t>Тип: шкала оценки</w:t>
      </w:r>
    </w:p>
    <w:p w14:paraId="373747D4" w14:textId="77777777" w:rsidR="00B92586" w:rsidRDefault="00B92586" w:rsidP="002431B5">
      <w:r w:rsidRPr="00F242DD">
        <w:t xml:space="preserve">Назначение: клиническая оценка общего состояния пациента </w:t>
      </w:r>
    </w:p>
    <w:p w14:paraId="3BA05421" w14:textId="77777777" w:rsidR="00B92586" w:rsidRDefault="00B92586" w:rsidP="002431B5">
      <w:r w:rsidRPr="00F242DD">
        <w:t xml:space="preserve">Содержание и интерпретация: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19"/>
        <w:gridCol w:w="7426"/>
      </w:tblGrid>
      <w:tr w:rsidR="00B92586" w:rsidRPr="00F242DD" w14:paraId="0A83BD70" w14:textId="77777777" w:rsidTr="007D54E3">
        <w:trPr>
          <w:tblHeader/>
        </w:trPr>
        <w:tc>
          <w:tcPr>
            <w:tcW w:w="1950" w:type="dxa"/>
          </w:tcPr>
          <w:p w14:paraId="6EED9238" w14:textId="77777777" w:rsidR="00B92586" w:rsidRPr="00F242DD" w:rsidRDefault="00B92586" w:rsidP="002431B5">
            <w:pPr>
              <w:spacing w:after="0"/>
              <w:rPr>
                <w:rStyle w:val="ac"/>
                <w:b w:val="0"/>
              </w:rPr>
            </w:pPr>
            <w:r w:rsidRPr="007D54E3">
              <w:rPr>
                <w:rStyle w:val="ac"/>
              </w:rPr>
              <w:t>С</w:t>
            </w:r>
            <w:r w:rsidRPr="00F242DD">
              <w:rPr>
                <w:rStyle w:val="ac"/>
              </w:rPr>
              <w:t>татус (баллы)</w:t>
            </w:r>
          </w:p>
        </w:tc>
        <w:tc>
          <w:tcPr>
            <w:tcW w:w="7615" w:type="dxa"/>
          </w:tcPr>
          <w:p w14:paraId="2B0F718B" w14:textId="77777777" w:rsidR="00B92586" w:rsidRPr="00F242DD" w:rsidRDefault="00B92586" w:rsidP="002431B5">
            <w:pPr>
              <w:spacing w:after="0"/>
              <w:jc w:val="left"/>
              <w:rPr>
                <w:rStyle w:val="ac"/>
                <w:b w:val="0"/>
              </w:rPr>
            </w:pPr>
            <w:r w:rsidRPr="00A24A56">
              <w:rPr>
                <w:rStyle w:val="ac"/>
              </w:rPr>
              <w:t>О</w:t>
            </w:r>
            <w:r w:rsidRPr="00F242DD">
              <w:rPr>
                <w:rStyle w:val="ac"/>
              </w:rPr>
              <w:t>писание общего состояния пациента</w:t>
            </w:r>
          </w:p>
        </w:tc>
      </w:tr>
      <w:tr w:rsidR="00B92586" w:rsidRPr="00F242DD" w14:paraId="4155DA08" w14:textId="77777777" w:rsidTr="001E52F2">
        <w:tc>
          <w:tcPr>
            <w:tcW w:w="1950" w:type="dxa"/>
            <w:hideMark/>
          </w:tcPr>
          <w:p w14:paraId="7B07204A" w14:textId="77777777" w:rsidR="00B92586" w:rsidRPr="00F242DD" w:rsidRDefault="00B92586" w:rsidP="002431B5">
            <w:pPr>
              <w:spacing w:after="0"/>
              <w:rPr>
                <w:rStyle w:val="ac"/>
                <w:b w:val="0"/>
                <w:lang w:val="en-US"/>
              </w:rPr>
            </w:pPr>
            <w:r w:rsidRPr="00F242DD">
              <w:rPr>
                <w:rStyle w:val="ac"/>
                <w:b w:val="0"/>
                <w:lang w:val="en-US"/>
              </w:rPr>
              <w:t>0</w:t>
            </w:r>
          </w:p>
        </w:tc>
        <w:tc>
          <w:tcPr>
            <w:tcW w:w="7615" w:type="dxa"/>
            <w:hideMark/>
          </w:tcPr>
          <w:p w14:paraId="5B6EB656" w14:textId="77777777" w:rsidR="00B92586" w:rsidRPr="00F242DD" w:rsidRDefault="00B92586" w:rsidP="002431B5">
            <w:pPr>
              <w:spacing w:after="0"/>
              <w:jc w:val="left"/>
              <w:rPr>
                <w:rStyle w:val="ac"/>
                <w:b w:val="0"/>
              </w:rPr>
            </w:pPr>
            <w:r w:rsidRPr="00F242DD">
              <w:rPr>
                <w:rStyle w:val="ac"/>
                <w:b w:val="0"/>
              </w:rPr>
              <w:t>Пациент полностью активен, способен выполнять все, как и до заболевания</w:t>
            </w:r>
          </w:p>
        </w:tc>
      </w:tr>
      <w:tr w:rsidR="00B92586" w:rsidRPr="00F242DD" w14:paraId="1025882D" w14:textId="77777777" w:rsidTr="001E52F2">
        <w:tc>
          <w:tcPr>
            <w:tcW w:w="1950" w:type="dxa"/>
            <w:hideMark/>
          </w:tcPr>
          <w:p w14:paraId="159A481D" w14:textId="77777777" w:rsidR="00B92586" w:rsidRPr="00F242DD" w:rsidRDefault="00B92586" w:rsidP="002431B5">
            <w:pPr>
              <w:spacing w:after="0"/>
              <w:rPr>
                <w:rStyle w:val="ac"/>
                <w:b w:val="0"/>
              </w:rPr>
            </w:pPr>
            <w:r w:rsidRPr="00F242DD">
              <w:rPr>
                <w:rStyle w:val="ac"/>
                <w:b w:val="0"/>
              </w:rPr>
              <w:t>1</w:t>
            </w:r>
          </w:p>
        </w:tc>
        <w:tc>
          <w:tcPr>
            <w:tcW w:w="7615" w:type="dxa"/>
            <w:hideMark/>
          </w:tcPr>
          <w:p w14:paraId="5ACD46E4" w14:textId="77777777" w:rsidR="00B92586" w:rsidRPr="00F242DD" w:rsidRDefault="00B92586" w:rsidP="002431B5">
            <w:pPr>
              <w:spacing w:after="0"/>
              <w:jc w:val="left"/>
              <w:rPr>
                <w:rStyle w:val="ac"/>
                <w:b w:val="0"/>
              </w:rPr>
            </w:pPr>
            <w:r w:rsidRPr="00F242DD">
              <w:rPr>
                <w:rStyle w:val="ac"/>
                <w:b w:val="0"/>
              </w:rPr>
              <w:t>Пациент неспособен выполнять тяжелую, но может выполнять легкую или сидячую работу (например, легкую домашнюю или канцелярскую работу)</w:t>
            </w:r>
          </w:p>
        </w:tc>
      </w:tr>
      <w:tr w:rsidR="00B92586" w:rsidRPr="00F242DD" w14:paraId="21FCFB23" w14:textId="77777777" w:rsidTr="001E52F2">
        <w:tc>
          <w:tcPr>
            <w:tcW w:w="1950" w:type="dxa"/>
            <w:hideMark/>
          </w:tcPr>
          <w:p w14:paraId="0AE5D6AE" w14:textId="77777777" w:rsidR="00B92586" w:rsidRPr="00F242DD" w:rsidRDefault="00B92586" w:rsidP="002431B5">
            <w:pPr>
              <w:spacing w:after="0"/>
              <w:rPr>
                <w:rStyle w:val="ac"/>
                <w:b w:val="0"/>
              </w:rPr>
            </w:pPr>
            <w:r w:rsidRPr="00F242DD">
              <w:rPr>
                <w:rStyle w:val="ac"/>
                <w:b w:val="0"/>
              </w:rPr>
              <w:t>2</w:t>
            </w:r>
          </w:p>
        </w:tc>
        <w:tc>
          <w:tcPr>
            <w:tcW w:w="7615" w:type="dxa"/>
            <w:hideMark/>
          </w:tcPr>
          <w:p w14:paraId="2E698AC2" w14:textId="77777777" w:rsidR="00B92586" w:rsidRPr="00F242DD" w:rsidRDefault="00B92586" w:rsidP="002431B5">
            <w:pPr>
              <w:spacing w:after="0"/>
              <w:jc w:val="left"/>
              <w:rPr>
                <w:rStyle w:val="ac"/>
                <w:b w:val="0"/>
              </w:rPr>
            </w:pPr>
            <w:r w:rsidRPr="00F242DD">
              <w:rPr>
                <w:rStyle w:val="ac"/>
                <w:b w:val="0"/>
              </w:rPr>
              <w:t>Пациент лечится амбулаторно, способен к самообслуживанию, но не может выполнять работу. Более 50% времени проводит активно – в вертикальном положении.</w:t>
            </w:r>
          </w:p>
        </w:tc>
      </w:tr>
      <w:tr w:rsidR="00B92586" w:rsidRPr="00F242DD" w14:paraId="7FC09746" w14:textId="77777777" w:rsidTr="001E52F2">
        <w:tc>
          <w:tcPr>
            <w:tcW w:w="1950" w:type="dxa"/>
            <w:hideMark/>
          </w:tcPr>
          <w:p w14:paraId="013B2C36" w14:textId="77777777" w:rsidR="00B92586" w:rsidRPr="00F242DD" w:rsidRDefault="00B92586" w:rsidP="002431B5">
            <w:pPr>
              <w:spacing w:after="0"/>
              <w:rPr>
                <w:rStyle w:val="ac"/>
                <w:b w:val="0"/>
              </w:rPr>
            </w:pPr>
            <w:r w:rsidRPr="00F242DD">
              <w:rPr>
                <w:rStyle w:val="ac"/>
                <w:b w:val="0"/>
              </w:rPr>
              <w:t>3</w:t>
            </w:r>
          </w:p>
        </w:tc>
        <w:tc>
          <w:tcPr>
            <w:tcW w:w="7615" w:type="dxa"/>
            <w:hideMark/>
          </w:tcPr>
          <w:p w14:paraId="561BB376" w14:textId="77777777" w:rsidR="00B92586" w:rsidRPr="00F242DD" w:rsidRDefault="00B92586" w:rsidP="002431B5">
            <w:pPr>
              <w:spacing w:after="0"/>
              <w:jc w:val="left"/>
              <w:rPr>
                <w:rStyle w:val="ac"/>
                <w:b w:val="0"/>
              </w:rPr>
            </w:pPr>
            <w:r w:rsidRPr="00F242DD">
              <w:rPr>
                <w:rStyle w:val="ac"/>
                <w:b w:val="0"/>
              </w:rPr>
              <w:t>Пациент способен лишь к ограниченному самообслуживанию, проводит в кресле или постели более 50% времени бодрствования</w:t>
            </w:r>
          </w:p>
        </w:tc>
      </w:tr>
      <w:tr w:rsidR="00B92586" w:rsidRPr="00F242DD" w14:paraId="68955FE2" w14:textId="77777777" w:rsidTr="001E52F2">
        <w:tc>
          <w:tcPr>
            <w:tcW w:w="1950" w:type="dxa"/>
            <w:hideMark/>
          </w:tcPr>
          <w:p w14:paraId="1A7842D5" w14:textId="77777777" w:rsidR="00B92586" w:rsidRPr="00F242DD" w:rsidRDefault="00B92586" w:rsidP="002431B5">
            <w:pPr>
              <w:spacing w:after="0"/>
              <w:rPr>
                <w:rStyle w:val="ac"/>
                <w:b w:val="0"/>
              </w:rPr>
            </w:pPr>
            <w:r w:rsidRPr="00F242DD">
              <w:rPr>
                <w:rStyle w:val="ac"/>
                <w:b w:val="0"/>
              </w:rPr>
              <w:t>4</w:t>
            </w:r>
          </w:p>
        </w:tc>
        <w:tc>
          <w:tcPr>
            <w:tcW w:w="7615" w:type="dxa"/>
            <w:hideMark/>
          </w:tcPr>
          <w:p w14:paraId="12A89629" w14:textId="77777777" w:rsidR="00B92586" w:rsidRPr="00F242DD" w:rsidRDefault="00B92586" w:rsidP="002431B5">
            <w:pPr>
              <w:spacing w:after="0"/>
              <w:jc w:val="left"/>
              <w:rPr>
                <w:rStyle w:val="ac"/>
                <w:b w:val="0"/>
              </w:rPr>
            </w:pPr>
            <w:r w:rsidRPr="00F242DD">
              <w:rPr>
                <w:rStyle w:val="ac"/>
                <w:b w:val="0"/>
              </w:rPr>
              <w:t>Инвалид, совершенно не способен к самообслуживанию, прикован к креслу или постели</w:t>
            </w:r>
          </w:p>
        </w:tc>
      </w:tr>
      <w:tr w:rsidR="00B92586" w:rsidRPr="00F242DD" w14:paraId="53BAED35" w14:textId="77777777" w:rsidTr="001E52F2">
        <w:tc>
          <w:tcPr>
            <w:tcW w:w="1950" w:type="dxa"/>
          </w:tcPr>
          <w:p w14:paraId="458C5BC2" w14:textId="77777777" w:rsidR="00B92586" w:rsidRPr="00F242DD" w:rsidRDefault="00B92586" w:rsidP="002431B5">
            <w:pPr>
              <w:spacing w:after="0"/>
              <w:rPr>
                <w:rStyle w:val="ac"/>
                <w:b w:val="0"/>
              </w:rPr>
            </w:pPr>
            <w:r w:rsidRPr="00F242DD">
              <w:rPr>
                <w:rStyle w:val="ac"/>
                <w:b w:val="0"/>
              </w:rPr>
              <w:t>5</w:t>
            </w:r>
          </w:p>
        </w:tc>
        <w:tc>
          <w:tcPr>
            <w:tcW w:w="7615" w:type="dxa"/>
          </w:tcPr>
          <w:p w14:paraId="34A90894" w14:textId="77777777" w:rsidR="00B92586" w:rsidRPr="00F242DD" w:rsidRDefault="00B92586" w:rsidP="002431B5">
            <w:pPr>
              <w:spacing w:after="0"/>
              <w:jc w:val="left"/>
              <w:rPr>
                <w:rStyle w:val="ac"/>
                <w:b w:val="0"/>
              </w:rPr>
            </w:pPr>
            <w:r w:rsidRPr="00F242DD">
              <w:rPr>
                <w:rStyle w:val="ac"/>
                <w:b w:val="0"/>
              </w:rPr>
              <w:t>Пациент мертв</w:t>
            </w:r>
          </w:p>
        </w:tc>
      </w:tr>
    </w:tbl>
    <w:p w14:paraId="58F16B90" w14:textId="77777777" w:rsidR="00B86570" w:rsidRDefault="00B86570" w:rsidP="001E7EDF">
      <w:pPr>
        <w:tabs>
          <w:tab w:val="left" w:pos="5147"/>
        </w:tabs>
        <w:spacing w:before="0" w:after="0"/>
        <w:rPr>
          <w:szCs w:val="24"/>
        </w:rPr>
      </w:pPr>
    </w:p>
    <w:sectPr w:rsidR="00B86570" w:rsidSect="009A22CE">
      <w:footerReference w:type="default" r:id="rId12"/>
      <w:pgSz w:w="11906" w:h="16838"/>
      <w:pgMar w:top="1134" w:right="850" w:bottom="1134"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1B932" w14:textId="77777777" w:rsidR="002A355A" w:rsidRDefault="002A355A" w:rsidP="00383556">
      <w:pPr>
        <w:spacing w:before="0" w:after="0" w:line="240" w:lineRule="auto"/>
      </w:pPr>
      <w:r>
        <w:separator/>
      </w:r>
    </w:p>
  </w:endnote>
  <w:endnote w:type="continuationSeparator" w:id="0">
    <w:p w14:paraId="1D190CB7" w14:textId="77777777" w:rsidR="002A355A" w:rsidRDefault="002A355A" w:rsidP="00383556">
      <w:pPr>
        <w:spacing w:before="0" w:after="0" w:line="240" w:lineRule="auto"/>
      </w:pPr>
      <w:r>
        <w:continuationSeparator/>
      </w:r>
    </w:p>
  </w:endnote>
  <w:endnote w:type="continuationNotice" w:id="1">
    <w:p w14:paraId="37C2B93A" w14:textId="77777777" w:rsidR="002A355A" w:rsidRDefault="002A355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ＭＳ 明朝 (Основной т・">
    <w:altName w:val="MS Gothic"/>
    <w:panose1 w:val="00000000000000000000"/>
    <w:charset w:val="80"/>
    <w:family w:val="roman"/>
    <w:notTrueType/>
    <w:pitch w:val="default"/>
    <w:sig w:usb0="00000000" w:usb1="08070000" w:usb2="00000010" w:usb3="00000000" w:csb0="00020000" w:csb1="00000000"/>
  </w:font>
  <w:font w:name="GalsLightC">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1"/>
    <w:family w:val="roman"/>
    <w:notTrueType/>
    <w:pitch w:val="variable"/>
  </w:font>
  <w:font w:name="GaramondC-Light">
    <w:panose1 w:val="00000000000000000000"/>
    <w:charset w:val="CC"/>
    <w:family w:val="auto"/>
    <w:notTrueType/>
    <w:pitch w:val="default"/>
    <w:sig w:usb0="00000201" w:usb1="00000000" w:usb2="00000000" w:usb3="00000000" w:csb0="00000004" w:csb1="00000000"/>
  </w:font>
  <w:font w:name="ＭＳ 明朝 (Основной текст темы (ази">
    <w:charset w:val="00"/>
    <w:family w:val="auto"/>
    <w:pitch w:val="default"/>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E21CA" w14:textId="77777777" w:rsidR="00795E89" w:rsidRDefault="00795E89">
    <w:pPr>
      <w:pStyle w:val="aa"/>
      <w:jc w:val="center"/>
    </w:pPr>
    <w:r>
      <w:fldChar w:fldCharType="begin"/>
    </w:r>
    <w:r w:rsidRPr="00383556">
      <w:instrText>PAGE   \* MERGEFORMAT</w:instrText>
    </w:r>
    <w:r>
      <w:fldChar w:fldCharType="separate"/>
    </w:r>
    <w:r w:rsidR="006310A4">
      <w:rPr>
        <w:noProof/>
      </w:rPr>
      <w:t>217</w:t>
    </w:r>
    <w:r>
      <w:fldChar w:fldCharType="end"/>
    </w:r>
  </w:p>
  <w:p w14:paraId="4952EEAA" w14:textId="77777777" w:rsidR="00795E89" w:rsidRDefault="00795E8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6F37F" w14:textId="77777777" w:rsidR="002A355A" w:rsidRDefault="002A355A" w:rsidP="00383556">
      <w:pPr>
        <w:spacing w:before="0" w:after="0" w:line="240" w:lineRule="auto"/>
      </w:pPr>
      <w:r>
        <w:separator/>
      </w:r>
    </w:p>
  </w:footnote>
  <w:footnote w:type="continuationSeparator" w:id="0">
    <w:p w14:paraId="0BE15F8E" w14:textId="77777777" w:rsidR="002A355A" w:rsidRDefault="002A355A" w:rsidP="00383556">
      <w:pPr>
        <w:spacing w:before="0" w:after="0" w:line="240" w:lineRule="auto"/>
      </w:pPr>
      <w:r>
        <w:continuationSeparator/>
      </w:r>
    </w:p>
  </w:footnote>
  <w:footnote w:type="continuationNotice" w:id="1">
    <w:p w14:paraId="1944630C" w14:textId="77777777" w:rsidR="002A355A" w:rsidRDefault="002A355A">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15:restartNumberingAfterBreak="0">
    <w:nsid w:val="00000005"/>
    <w:multiLevelType w:val="multilevel"/>
    <w:tmpl w:val="A818306A"/>
    <w:name w:val="WW8Num5"/>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color w:val="000000"/>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0000019"/>
    <w:multiLevelType w:val="singleLevel"/>
    <w:tmpl w:val="00000019"/>
    <w:name w:val="WW8Num25"/>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20"/>
    <w:multiLevelType w:val="singleLevel"/>
    <w:tmpl w:val="00000020"/>
    <w:name w:val="WW8Num32"/>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26"/>
    <w:multiLevelType w:val="singleLevel"/>
    <w:tmpl w:val="00000026"/>
    <w:name w:val="WW8Num38"/>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30"/>
    <w:multiLevelType w:val="singleLevel"/>
    <w:tmpl w:val="00000030"/>
    <w:name w:val="WW8Num48"/>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31"/>
    <w:multiLevelType w:val="multilevel"/>
    <w:tmpl w:val="00000031"/>
    <w:name w:val="WW8Num49"/>
    <w:lvl w:ilvl="0">
      <w:start w:val="1"/>
      <w:numFmt w:val="bullet"/>
      <w:lvlText w:val=""/>
      <w:lvlJc w:val="left"/>
      <w:pPr>
        <w:tabs>
          <w:tab w:val="num" w:pos="348"/>
        </w:tabs>
        <w:ind w:left="1068" w:hanging="360"/>
      </w:pPr>
      <w:rPr>
        <w:rFonts w:ascii="Symbol" w:hAnsi="Symbol" w:cs="Symbol"/>
      </w:rPr>
    </w:lvl>
    <w:lvl w:ilvl="1">
      <w:start w:val="1"/>
      <w:numFmt w:val="bullet"/>
      <w:lvlText w:val="o"/>
      <w:lvlJc w:val="left"/>
      <w:pPr>
        <w:tabs>
          <w:tab w:val="num" w:pos="348"/>
        </w:tabs>
        <w:ind w:left="1788" w:hanging="360"/>
      </w:pPr>
      <w:rPr>
        <w:rFonts w:ascii="Courier New" w:hAnsi="Courier New" w:cs="Courier New"/>
      </w:rPr>
    </w:lvl>
    <w:lvl w:ilvl="2">
      <w:start w:val="1"/>
      <w:numFmt w:val="bullet"/>
      <w:lvlText w:val=""/>
      <w:lvlJc w:val="left"/>
      <w:pPr>
        <w:tabs>
          <w:tab w:val="num" w:pos="348"/>
        </w:tabs>
        <w:ind w:left="2508" w:hanging="360"/>
      </w:pPr>
      <w:rPr>
        <w:rFonts w:ascii="Wingdings" w:hAnsi="Wingdings" w:cs="Wingdings"/>
      </w:rPr>
    </w:lvl>
    <w:lvl w:ilvl="3">
      <w:start w:val="1"/>
      <w:numFmt w:val="bullet"/>
      <w:lvlText w:val=""/>
      <w:lvlJc w:val="left"/>
      <w:pPr>
        <w:tabs>
          <w:tab w:val="num" w:pos="348"/>
        </w:tabs>
        <w:ind w:left="3228" w:hanging="360"/>
      </w:pPr>
      <w:rPr>
        <w:rFonts w:ascii="Symbol" w:hAnsi="Symbol" w:cs="Symbol"/>
      </w:rPr>
    </w:lvl>
    <w:lvl w:ilvl="4">
      <w:start w:val="1"/>
      <w:numFmt w:val="bullet"/>
      <w:lvlText w:val="o"/>
      <w:lvlJc w:val="left"/>
      <w:pPr>
        <w:tabs>
          <w:tab w:val="num" w:pos="348"/>
        </w:tabs>
        <w:ind w:left="3948" w:hanging="360"/>
      </w:pPr>
      <w:rPr>
        <w:rFonts w:ascii="Courier New" w:hAnsi="Courier New" w:cs="Courier New"/>
      </w:rPr>
    </w:lvl>
    <w:lvl w:ilvl="5">
      <w:start w:val="1"/>
      <w:numFmt w:val="bullet"/>
      <w:lvlText w:val=""/>
      <w:lvlJc w:val="left"/>
      <w:pPr>
        <w:tabs>
          <w:tab w:val="num" w:pos="348"/>
        </w:tabs>
        <w:ind w:left="4668" w:hanging="360"/>
      </w:pPr>
      <w:rPr>
        <w:rFonts w:ascii="Wingdings" w:hAnsi="Wingdings" w:cs="Wingdings"/>
      </w:rPr>
    </w:lvl>
    <w:lvl w:ilvl="6">
      <w:start w:val="1"/>
      <w:numFmt w:val="bullet"/>
      <w:lvlText w:val=""/>
      <w:lvlJc w:val="left"/>
      <w:pPr>
        <w:tabs>
          <w:tab w:val="num" w:pos="348"/>
        </w:tabs>
        <w:ind w:left="5388" w:hanging="360"/>
      </w:pPr>
      <w:rPr>
        <w:rFonts w:ascii="Symbol" w:hAnsi="Symbol" w:cs="Symbol"/>
      </w:rPr>
    </w:lvl>
    <w:lvl w:ilvl="7">
      <w:start w:val="1"/>
      <w:numFmt w:val="bullet"/>
      <w:lvlText w:val="o"/>
      <w:lvlJc w:val="left"/>
      <w:pPr>
        <w:tabs>
          <w:tab w:val="num" w:pos="348"/>
        </w:tabs>
        <w:ind w:left="6108" w:hanging="360"/>
      </w:pPr>
      <w:rPr>
        <w:rFonts w:ascii="Courier New" w:hAnsi="Courier New" w:cs="Courier New"/>
      </w:rPr>
    </w:lvl>
    <w:lvl w:ilvl="8">
      <w:start w:val="1"/>
      <w:numFmt w:val="bullet"/>
      <w:lvlText w:val=""/>
      <w:lvlJc w:val="left"/>
      <w:pPr>
        <w:tabs>
          <w:tab w:val="num" w:pos="348"/>
        </w:tabs>
        <w:ind w:left="6828" w:hanging="360"/>
      </w:pPr>
      <w:rPr>
        <w:rFonts w:ascii="Wingdings" w:hAnsi="Wingdings" w:cs="Wingdings"/>
      </w:rPr>
    </w:lvl>
  </w:abstractNum>
  <w:abstractNum w:abstractNumId="7" w15:restartNumberingAfterBreak="0">
    <w:nsid w:val="00F72E58"/>
    <w:multiLevelType w:val="hybridMultilevel"/>
    <w:tmpl w:val="369A269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1287992"/>
    <w:multiLevelType w:val="hybridMultilevel"/>
    <w:tmpl w:val="9460D1A8"/>
    <w:lvl w:ilvl="0" w:tplc="93E8D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01AE27A5"/>
    <w:multiLevelType w:val="hybridMultilevel"/>
    <w:tmpl w:val="1D300D3A"/>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04044FFD"/>
    <w:multiLevelType w:val="hybridMultilevel"/>
    <w:tmpl w:val="D66455DA"/>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0455697B"/>
    <w:multiLevelType w:val="hybridMultilevel"/>
    <w:tmpl w:val="C52A8578"/>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04EE4D21"/>
    <w:multiLevelType w:val="hybridMultilevel"/>
    <w:tmpl w:val="7EF4DF9A"/>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05287AC5"/>
    <w:multiLevelType w:val="hybridMultilevel"/>
    <w:tmpl w:val="4EE28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5B77748"/>
    <w:multiLevelType w:val="hybridMultilevel"/>
    <w:tmpl w:val="C110395E"/>
    <w:lvl w:ilvl="0" w:tplc="70B68430">
      <w:start w:val="1"/>
      <w:numFmt w:val="bullet"/>
      <w:lvlText w:val=""/>
      <w:lvlJc w:val="left"/>
      <w:pPr>
        <w:ind w:left="720" w:hanging="360"/>
      </w:pPr>
      <w:rPr>
        <w:rFonts w:ascii="Symbol" w:hAnsi="Symbol" w:hint="default"/>
      </w:rPr>
    </w:lvl>
    <w:lvl w:ilvl="1" w:tplc="04B26438">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8963AF"/>
    <w:multiLevelType w:val="hybridMultilevel"/>
    <w:tmpl w:val="D6C28B1E"/>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069B225E"/>
    <w:multiLevelType w:val="hybridMultilevel"/>
    <w:tmpl w:val="1700E0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06E244BB"/>
    <w:multiLevelType w:val="hybridMultilevel"/>
    <w:tmpl w:val="1770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77372DE"/>
    <w:multiLevelType w:val="hybridMultilevel"/>
    <w:tmpl w:val="EE34D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87B02A2"/>
    <w:multiLevelType w:val="hybridMultilevel"/>
    <w:tmpl w:val="9460D1A8"/>
    <w:lvl w:ilvl="0" w:tplc="93E8D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08DB773E"/>
    <w:multiLevelType w:val="hybridMultilevel"/>
    <w:tmpl w:val="C5E2F7DA"/>
    <w:lvl w:ilvl="0" w:tplc="04190019">
      <w:start w:val="1"/>
      <w:numFmt w:val="bullet"/>
      <w:lvlText w:val="o"/>
      <w:lvlJc w:val="left"/>
      <w:pPr>
        <w:ind w:left="720" w:hanging="360"/>
      </w:pPr>
      <w:rPr>
        <w:rFonts w:ascii="Courier New" w:hAnsi="Courier New" w:cs="Courier New" w:hint="default"/>
      </w:rPr>
    </w:lvl>
    <w:lvl w:ilvl="1" w:tplc="1D604D54" w:tentative="1">
      <w:start w:val="1"/>
      <w:numFmt w:val="bullet"/>
      <w:lvlText w:val="o"/>
      <w:lvlJc w:val="left"/>
      <w:pPr>
        <w:ind w:left="1440" w:hanging="360"/>
      </w:pPr>
      <w:rPr>
        <w:rFonts w:ascii="Courier New" w:hAnsi="Courier New" w:cs="Courier New" w:hint="default"/>
      </w:rPr>
    </w:lvl>
    <w:lvl w:ilvl="2" w:tplc="1592C2F8" w:tentative="1">
      <w:start w:val="1"/>
      <w:numFmt w:val="bullet"/>
      <w:lvlText w:val=""/>
      <w:lvlJc w:val="left"/>
      <w:pPr>
        <w:ind w:left="2160" w:hanging="360"/>
      </w:pPr>
      <w:rPr>
        <w:rFonts w:ascii="Wingdings" w:hAnsi="Wingdings" w:hint="default"/>
      </w:rPr>
    </w:lvl>
    <w:lvl w:ilvl="3" w:tplc="4FD03078" w:tentative="1">
      <w:start w:val="1"/>
      <w:numFmt w:val="bullet"/>
      <w:lvlText w:val=""/>
      <w:lvlJc w:val="left"/>
      <w:pPr>
        <w:ind w:left="2880" w:hanging="360"/>
      </w:pPr>
      <w:rPr>
        <w:rFonts w:ascii="Symbol" w:hAnsi="Symbol" w:hint="default"/>
      </w:rPr>
    </w:lvl>
    <w:lvl w:ilvl="4" w:tplc="E5081906" w:tentative="1">
      <w:start w:val="1"/>
      <w:numFmt w:val="bullet"/>
      <w:lvlText w:val="o"/>
      <w:lvlJc w:val="left"/>
      <w:pPr>
        <w:ind w:left="3600" w:hanging="360"/>
      </w:pPr>
      <w:rPr>
        <w:rFonts w:ascii="Courier New" w:hAnsi="Courier New" w:cs="Courier New" w:hint="default"/>
      </w:rPr>
    </w:lvl>
    <w:lvl w:ilvl="5" w:tplc="76785896" w:tentative="1">
      <w:start w:val="1"/>
      <w:numFmt w:val="bullet"/>
      <w:lvlText w:val=""/>
      <w:lvlJc w:val="left"/>
      <w:pPr>
        <w:ind w:left="4320" w:hanging="360"/>
      </w:pPr>
      <w:rPr>
        <w:rFonts w:ascii="Wingdings" w:hAnsi="Wingdings" w:hint="default"/>
      </w:rPr>
    </w:lvl>
    <w:lvl w:ilvl="6" w:tplc="D3702B18" w:tentative="1">
      <w:start w:val="1"/>
      <w:numFmt w:val="bullet"/>
      <w:lvlText w:val=""/>
      <w:lvlJc w:val="left"/>
      <w:pPr>
        <w:ind w:left="5040" w:hanging="360"/>
      </w:pPr>
      <w:rPr>
        <w:rFonts w:ascii="Symbol" w:hAnsi="Symbol" w:hint="default"/>
      </w:rPr>
    </w:lvl>
    <w:lvl w:ilvl="7" w:tplc="BAF86C7E" w:tentative="1">
      <w:start w:val="1"/>
      <w:numFmt w:val="bullet"/>
      <w:lvlText w:val="o"/>
      <w:lvlJc w:val="left"/>
      <w:pPr>
        <w:ind w:left="5760" w:hanging="360"/>
      </w:pPr>
      <w:rPr>
        <w:rFonts w:ascii="Courier New" w:hAnsi="Courier New" w:cs="Courier New" w:hint="default"/>
      </w:rPr>
    </w:lvl>
    <w:lvl w:ilvl="8" w:tplc="ACB4F8E2" w:tentative="1">
      <w:start w:val="1"/>
      <w:numFmt w:val="bullet"/>
      <w:lvlText w:val=""/>
      <w:lvlJc w:val="left"/>
      <w:pPr>
        <w:ind w:left="6480" w:hanging="360"/>
      </w:pPr>
      <w:rPr>
        <w:rFonts w:ascii="Wingdings" w:hAnsi="Wingdings" w:hint="default"/>
      </w:rPr>
    </w:lvl>
  </w:abstractNum>
  <w:abstractNum w:abstractNumId="21" w15:restartNumberingAfterBreak="0">
    <w:nsid w:val="0A686F7B"/>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B2D5E05"/>
    <w:multiLevelType w:val="hybridMultilevel"/>
    <w:tmpl w:val="60C86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B8A5BED"/>
    <w:multiLevelType w:val="hybridMultilevel"/>
    <w:tmpl w:val="8A5A0384"/>
    <w:lvl w:ilvl="0" w:tplc="BFFE2E26">
      <w:start w:val="1"/>
      <w:numFmt w:val="bullet"/>
      <w:lvlText w:val="•"/>
      <w:lvlJc w:val="left"/>
      <w:pPr>
        <w:ind w:left="720" w:hanging="360"/>
      </w:pPr>
      <w:rPr>
        <w:rFonts w:ascii="Arial" w:hAnsi="Aria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CEF690B"/>
    <w:multiLevelType w:val="multilevel"/>
    <w:tmpl w:val="51268A1A"/>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0F544DC7"/>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FD105D2"/>
    <w:multiLevelType w:val="hybridMultilevel"/>
    <w:tmpl w:val="1578EB12"/>
    <w:lvl w:ilvl="0" w:tplc="ABD47114">
      <w:start w:val="1"/>
      <w:numFmt w:val="bullet"/>
      <w:lvlText w:val=""/>
      <w:lvlJc w:val="left"/>
      <w:pPr>
        <w:tabs>
          <w:tab w:val="num" w:pos="1021"/>
        </w:tabs>
        <w:ind w:left="102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05D60C4"/>
    <w:multiLevelType w:val="hybridMultilevel"/>
    <w:tmpl w:val="48C06D6C"/>
    <w:lvl w:ilvl="0" w:tplc="2AD23686">
      <w:start w:val="1"/>
      <w:numFmt w:val="bullet"/>
      <w:pStyle w:val="a"/>
      <w:lvlText w:val=""/>
      <w:lvlJc w:val="left"/>
      <w:pPr>
        <w:ind w:left="9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1113446B"/>
    <w:multiLevelType w:val="multilevel"/>
    <w:tmpl w:val="12BE655A"/>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9" w15:restartNumberingAfterBreak="0">
    <w:nsid w:val="11854BEA"/>
    <w:multiLevelType w:val="hybridMultilevel"/>
    <w:tmpl w:val="1EC49918"/>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133456E3"/>
    <w:multiLevelType w:val="hybridMultilevel"/>
    <w:tmpl w:val="10CCA596"/>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13794F9A"/>
    <w:multiLevelType w:val="hybridMultilevel"/>
    <w:tmpl w:val="296EBB5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40669BD"/>
    <w:multiLevelType w:val="hybridMultilevel"/>
    <w:tmpl w:val="14F0B0C8"/>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153242F3"/>
    <w:multiLevelType w:val="hybridMultilevel"/>
    <w:tmpl w:val="4F6AE4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5DA7A73"/>
    <w:multiLevelType w:val="hybridMultilevel"/>
    <w:tmpl w:val="D2C20304"/>
    <w:lvl w:ilvl="0" w:tplc="ABD47114">
      <w:start w:val="1"/>
      <w:numFmt w:val="bullet"/>
      <w:lvlText w:val=""/>
      <w:lvlJc w:val="left"/>
      <w:pPr>
        <w:tabs>
          <w:tab w:val="num" w:pos="1021"/>
        </w:tabs>
        <w:ind w:left="102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63F1B45"/>
    <w:multiLevelType w:val="hybridMultilevel"/>
    <w:tmpl w:val="6C78B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65F5DA8"/>
    <w:multiLevelType w:val="hybridMultilevel"/>
    <w:tmpl w:val="7B700B2C"/>
    <w:lvl w:ilvl="0" w:tplc="385EF938">
      <w:start w:val="200"/>
      <w:numFmt w:val="bullet"/>
      <w:lvlText w:val="-"/>
      <w:lvlJc w:val="left"/>
      <w:pPr>
        <w:ind w:left="1282" w:hanging="360"/>
      </w:pPr>
      <w:rPr>
        <w:rFonts w:ascii="Times New Roman" w:eastAsiaTheme="minorEastAsia" w:hAnsi="Times New Roman" w:cs="Times New Roman" w:hint="default"/>
        <w:b/>
      </w:rPr>
    </w:lvl>
    <w:lvl w:ilvl="1" w:tplc="04190003">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37" w15:restartNumberingAfterBreak="0">
    <w:nsid w:val="171C52BE"/>
    <w:multiLevelType w:val="hybridMultilevel"/>
    <w:tmpl w:val="E34ECE2C"/>
    <w:lvl w:ilvl="0" w:tplc="52FABE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178E4FB1"/>
    <w:multiLevelType w:val="hybridMultilevel"/>
    <w:tmpl w:val="F5509A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17B2382E"/>
    <w:multiLevelType w:val="hybridMultilevel"/>
    <w:tmpl w:val="F3BCF4E4"/>
    <w:lvl w:ilvl="0" w:tplc="5B32E066">
      <w:start w:val="1"/>
      <w:numFmt w:val="bullet"/>
      <w:lvlText w:val=""/>
      <w:lvlJc w:val="left"/>
      <w:pPr>
        <w:ind w:left="720" w:hanging="360"/>
      </w:pPr>
      <w:rPr>
        <w:rFonts w:ascii="Symbol" w:hAnsi="Symbol" w:hint="default"/>
      </w:rPr>
    </w:lvl>
    <w:lvl w:ilvl="1" w:tplc="2D36D64E">
      <w:start w:val="1"/>
      <w:numFmt w:val="bullet"/>
      <w:lvlText w:val="o"/>
      <w:lvlJc w:val="left"/>
      <w:pPr>
        <w:ind w:left="1440" w:hanging="360"/>
      </w:pPr>
      <w:rPr>
        <w:rFonts w:ascii="Courier New" w:hAnsi="Courier New" w:cs="Courier New" w:hint="default"/>
      </w:rPr>
    </w:lvl>
    <w:lvl w:ilvl="2" w:tplc="2A8C8AA0">
      <w:start w:val="1"/>
      <w:numFmt w:val="bullet"/>
      <w:lvlText w:val=""/>
      <w:lvlJc w:val="left"/>
      <w:pPr>
        <w:ind w:left="2160" w:hanging="360"/>
      </w:pPr>
      <w:rPr>
        <w:rFonts w:ascii="Wingdings" w:hAnsi="Wingdings" w:hint="default"/>
      </w:rPr>
    </w:lvl>
    <w:lvl w:ilvl="3" w:tplc="A07669B2">
      <w:start w:val="1"/>
      <w:numFmt w:val="bullet"/>
      <w:lvlText w:val=""/>
      <w:lvlJc w:val="left"/>
      <w:pPr>
        <w:ind w:left="2880" w:hanging="360"/>
      </w:pPr>
      <w:rPr>
        <w:rFonts w:ascii="Symbol" w:hAnsi="Symbol" w:hint="default"/>
      </w:rPr>
    </w:lvl>
    <w:lvl w:ilvl="4" w:tplc="6FB296FA">
      <w:start w:val="1"/>
      <w:numFmt w:val="bullet"/>
      <w:lvlText w:val="o"/>
      <w:lvlJc w:val="left"/>
      <w:pPr>
        <w:ind w:left="3600" w:hanging="360"/>
      </w:pPr>
      <w:rPr>
        <w:rFonts w:ascii="Courier New" w:hAnsi="Courier New" w:cs="Courier New" w:hint="default"/>
      </w:rPr>
    </w:lvl>
    <w:lvl w:ilvl="5" w:tplc="95320816">
      <w:start w:val="1"/>
      <w:numFmt w:val="bullet"/>
      <w:lvlText w:val=""/>
      <w:lvlJc w:val="left"/>
      <w:pPr>
        <w:ind w:left="4320" w:hanging="360"/>
      </w:pPr>
      <w:rPr>
        <w:rFonts w:ascii="Wingdings" w:hAnsi="Wingdings" w:hint="default"/>
      </w:rPr>
    </w:lvl>
    <w:lvl w:ilvl="6" w:tplc="8744C6BA">
      <w:start w:val="1"/>
      <w:numFmt w:val="bullet"/>
      <w:lvlText w:val=""/>
      <w:lvlJc w:val="left"/>
      <w:pPr>
        <w:ind w:left="5040" w:hanging="360"/>
      </w:pPr>
      <w:rPr>
        <w:rFonts w:ascii="Symbol" w:hAnsi="Symbol" w:hint="default"/>
      </w:rPr>
    </w:lvl>
    <w:lvl w:ilvl="7" w:tplc="609219F8">
      <w:start w:val="1"/>
      <w:numFmt w:val="bullet"/>
      <w:lvlText w:val="o"/>
      <w:lvlJc w:val="left"/>
      <w:pPr>
        <w:ind w:left="5760" w:hanging="360"/>
      </w:pPr>
      <w:rPr>
        <w:rFonts w:ascii="Courier New" w:hAnsi="Courier New" w:cs="Courier New" w:hint="default"/>
      </w:rPr>
    </w:lvl>
    <w:lvl w:ilvl="8" w:tplc="803E5718">
      <w:start w:val="1"/>
      <w:numFmt w:val="bullet"/>
      <w:lvlText w:val=""/>
      <w:lvlJc w:val="left"/>
      <w:pPr>
        <w:ind w:left="6480" w:hanging="360"/>
      </w:pPr>
      <w:rPr>
        <w:rFonts w:ascii="Wingdings" w:hAnsi="Wingdings" w:hint="default"/>
      </w:rPr>
    </w:lvl>
  </w:abstractNum>
  <w:abstractNum w:abstractNumId="40" w15:restartNumberingAfterBreak="0">
    <w:nsid w:val="17C34DD0"/>
    <w:multiLevelType w:val="hybridMultilevel"/>
    <w:tmpl w:val="BDDC183A"/>
    <w:lvl w:ilvl="0" w:tplc="14B253B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ABE24B2"/>
    <w:multiLevelType w:val="hybridMultilevel"/>
    <w:tmpl w:val="E1D431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C506D41"/>
    <w:multiLevelType w:val="hybridMultilevel"/>
    <w:tmpl w:val="9C6E91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CD71292"/>
    <w:multiLevelType w:val="multilevel"/>
    <w:tmpl w:val="2F24CB4C"/>
    <w:lvl w:ilvl="0">
      <w:start w:val="1"/>
      <w:numFmt w:val="bullet"/>
      <w:lvlText w:val=""/>
      <w:lvlJc w:val="left"/>
      <w:pPr>
        <w:ind w:left="1069" w:hanging="360"/>
      </w:pPr>
      <w:rPr>
        <w:rFonts w:ascii="Symbol" w:hAnsi="Symbol"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15:restartNumberingAfterBreak="0">
    <w:nsid w:val="1DB567F2"/>
    <w:multiLevelType w:val="hybridMultilevel"/>
    <w:tmpl w:val="809C6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E392537"/>
    <w:multiLevelType w:val="hybridMultilevel"/>
    <w:tmpl w:val="B3EC0E4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15:restartNumberingAfterBreak="0">
    <w:nsid w:val="1EED2CD2"/>
    <w:multiLevelType w:val="hybridMultilevel"/>
    <w:tmpl w:val="8236E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F3B5361"/>
    <w:multiLevelType w:val="hybridMultilevel"/>
    <w:tmpl w:val="10D63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F3E3951"/>
    <w:multiLevelType w:val="multilevel"/>
    <w:tmpl w:val="49E2D460"/>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9" w15:restartNumberingAfterBreak="0">
    <w:nsid w:val="1FA52690"/>
    <w:multiLevelType w:val="multilevel"/>
    <w:tmpl w:val="7E96B6BA"/>
    <w:lvl w:ilvl="0">
      <w:start w:val="1"/>
      <w:numFmt w:val="decimal"/>
      <w:lvlText w:val="%1."/>
      <w:lvlJc w:val="left"/>
      <w:pPr>
        <w:ind w:left="1429" w:hanging="360"/>
      </w:pPr>
    </w:lvl>
    <w:lvl w:ilvl="1">
      <w:start w:val="3"/>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0" w15:restartNumberingAfterBreak="0">
    <w:nsid w:val="217947AB"/>
    <w:multiLevelType w:val="hybridMultilevel"/>
    <w:tmpl w:val="4E9E51C4"/>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15:restartNumberingAfterBreak="0">
    <w:nsid w:val="22204C5C"/>
    <w:multiLevelType w:val="hybridMultilevel"/>
    <w:tmpl w:val="776CE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23F1592"/>
    <w:multiLevelType w:val="hybridMultilevel"/>
    <w:tmpl w:val="45F074A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22FA79B0"/>
    <w:multiLevelType w:val="hybridMultilevel"/>
    <w:tmpl w:val="6ECAAB92"/>
    <w:lvl w:ilvl="0" w:tplc="04190001">
      <w:start w:val="1"/>
      <w:numFmt w:val="bullet"/>
      <w:lvlText w:val=""/>
      <w:lvlJc w:val="left"/>
      <w:pPr>
        <w:ind w:left="1414" w:hanging="705"/>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4" w15:restartNumberingAfterBreak="0">
    <w:nsid w:val="24DF4A85"/>
    <w:multiLevelType w:val="hybridMultilevel"/>
    <w:tmpl w:val="241A6172"/>
    <w:lvl w:ilvl="0" w:tplc="EED2B48E">
      <w:start w:val="1"/>
      <w:numFmt w:val="bullet"/>
      <w:lvlText w:val=""/>
      <w:lvlJc w:val="left"/>
      <w:pPr>
        <w:ind w:left="1428" w:hanging="360"/>
      </w:pPr>
      <w:rPr>
        <w:rFonts w:ascii="Symbol" w:hAnsi="Symbol" w:hint="default"/>
      </w:rPr>
    </w:lvl>
    <w:lvl w:ilvl="1" w:tplc="5B5C74E4">
      <w:start w:val="1"/>
      <w:numFmt w:val="bullet"/>
      <w:lvlText w:val="o"/>
      <w:lvlJc w:val="left"/>
      <w:pPr>
        <w:ind w:left="2148" w:hanging="360"/>
      </w:pPr>
      <w:rPr>
        <w:rFonts w:ascii="Courier New" w:hAnsi="Courier New" w:cs="Courier New" w:hint="default"/>
      </w:rPr>
    </w:lvl>
    <w:lvl w:ilvl="2" w:tplc="F1029CF8">
      <w:start w:val="1"/>
      <w:numFmt w:val="bullet"/>
      <w:lvlText w:val=""/>
      <w:lvlJc w:val="left"/>
      <w:pPr>
        <w:ind w:left="2868" w:hanging="360"/>
      </w:pPr>
      <w:rPr>
        <w:rFonts w:ascii="Wingdings" w:hAnsi="Wingdings" w:hint="default"/>
      </w:rPr>
    </w:lvl>
    <w:lvl w:ilvl="3" w:tplc="80B078AE">
      <w:start w:val="1"/>
      <w:numFmt w:val="bullet"/>
      <w:lvlText w:val=""/>
      <w:lvlJc w:val="left"/>
      <w:pPr>
        <w:ind w:left="3588" w:hanging="360"/>
      </w:pPr>
      <w:rPr>
        <w:rFonts w:ascii="Symbol" w:hAnsi="Symbol" w:hint="default"/>
      </w:rPr>
    </w:lvl>
    <w:lvl w:ilvl="4" w:tplc="472A882C">
      <w:start w:val="1"/>
      <w:numFmt w:val="bullet"/>
      <w:lvlText w:val="o"/>
      <w:lvlJc w:val="left"/>
      <w:pPr>
        <w:ind w:left="4308" w:hanging="360"/>
      </w:pPr>
      <w:rPr>
        <w:rFonts w:ascii="Courier New" w:hAnsi="Courier New" w:cs="Courier New" w:hint="default"/>
      </w:rPr>
    </w:lvl>
    <w:lvl w:ilvl="5" w:tplc="A692D73C">
      <w:start w:val="1"/>
      <w:numFmt w:val="bullet"/>
      <w:lvlText w:val=""/>
      <w:lvlJc w:val="left"/>
      <w:pPr>
        <w:ind w:left="5028" w:hanging="360"/>
      </w:pPr>
      <w:rPr>
        <w:rFonts w:ascii="Wingdings" w:hAnsi="Wingdings" w:hint="default"/>
      </w:rPr>
    </w:lvl>
    <w:lvl w:ilvl="6" w:tplc="952406C0">
      <w:start w:val="1"/>
      <w:numFmt w:val="bullet"/>
      <w:lvlText w:val=""/>
      <w:lvlJc w:val="left"/>
      <w:pPr>
        <w:ind w:left="5748" w:hanging="360"/>
      </w:pPr>
      <w:rPr>
        <w:rFonts w:ascii="Symbol" w:hAnsi="Symbol" w:hint="default"/>
      </w:rPr>
    </w:lvl>
    <w:lvl w:ilvl="7" w:tplc="77767F38">
      <w:start w:val="1"/>
      <w:numFmt w:val="bullet"/>
      <w:lvlText w:val="o"/>
      <w:lvlJc w:val="left"/>
      <w:pPr>
        <w:ind w:left="6468" w:hanging="360"/>
      </w:pPr>
      <w:rPr>
        <w:rFonts w:ascii="Courier New" w:hAnsi="Courier New" w:cs="Courier New" w:hint="default"/>
      </w:rPr>
    </w:lvl>
    <w:lvl w:ilvl="8" w:tplc="0E96D622">
      <w:start w:val="1"/>
      <w:numFmt w:val="bullet"/>
      <w:lvlText w:val=""/>
      <w:lvlJc w:val="left"/>
      <w:pPr>
        <w:ind w:left="7188" w:hanging="360"/>
      </w:pPr>
      <w:rPr>
        <w:rFonts w:ascii="Wingdings" w:hAnsi="Wingdings" w:hint="default"/>
      </w:rPr>
    </w:lvl>
  </w:abstractNum>
  <w:abstractNum w:abstractNumId="55" w15:restartNumberingAfterBreak="0">
    <w:nsid w:val="254A407E"/>
    <w:multiLevelType w:val="hybridMultilevel"/>
    <w:tmpl w:val="9460D1A8"/>
    <w:lvl w:ilvl="0" w:tplc="93E8D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6" w15:restartNumberingAfterBreak="0">
    <w:nsid w:val="27274BBC"/>
    <w:multiLevelType w:val="hybridMultilevel"/>
    <w:tmpl w:val="AB6CD2E6"/>
    <w:lvl w:ilvl="0" w:tplc="1A5EEB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7A77852"/>
    <w:multiLevelType w:val="multilevel"/>
    <w:tmpl w:val="723CE80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8" w15:restartNumberingAfterBreak="0">
    <w:nsid w:val="2A1C3034"/>
    <w:multiLevelType w:val="hybridMultilevel"/>
    <w:tmpl w:val="C95C5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A1E68D0"/>
    <w:multiLevelType w:val="multilevel"/>
    <w:tmpl w:val="A24A93A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A203B18"/>
    <w:multiLevelType w:val="hybridMultilevel"/>
    <w:tmpl w:val="9918B3A0"/>
    <w:lvl w:ilvl="0" w:tplc="63BA4D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1" w15:restartNumberingAfterBreak="0">
    <w:nsid w:val="2C0C7B92"/>
    <w:multiLevelType w:val="hybridMultilevel"/>
    <w:tmpl w:val="EB56F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CA15120"/>
    <w:multiLevelType w:val="hybridMultilevel"/>
    <w:tmpl w:val="BC3AAA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15:restartNumberingAfterBreak="0">
    <w:nsid w:val="2F005901"/>
    <w:multiLevelType w:val="multilevel"/>
    <w:tmpl w:val="66E0365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4" w15:restartNumberingAfterBreak="0">
    <w:nsid w:val="33477A51"/>
    <w:multiLevelType w:val="hybridMultilevel"/>
    <w:tmpl w:val="D3363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46B37C6"/>
    <w:multiLevelType w:val="hybridMultilevel"/>
    <w:tmpl w:val="8B1AD648"/>
    <w:lvl w:ilvl="0" w:tplc="BFFE2E26">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34723C02"/>
    <w:multiLevelType w:val="multilevel"/>
    <w:tmpl w:val="BE542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4E90886"/>
    <w:multiLevelType w:val="hybridMultilevel"/>
    <w:tmpl w:val="1F741318"/>
    <w:lvl w:ilvl="0" w:tplc="DEF28D1C">
      <w:start w:val="1"/>
      <w:numFmt w:val="bullet"/>
      <w:lvlText w:val="•"/>
      <w:lvlJc w:val="left"/>
      <w:pPr>
        <w:ind w:left="720" w:hanging="360"/>
      </w:pPr>
      <w:rPr>
        <w:rFonts w:ascii="Arial" w:hAnsi="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5F2393F"/>
    <w:multiLevelType w:val="hybridMultilevel"/>
    <w:tmpl w:val="D8606938"/>
    <w:lvl w:ilvl="0" w:tplc="04190019">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60945F5"/>
    <w:multiLevelType w:val="hybridMultilevel"/>
    <w:tmpl w:val="0B72709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0" w15:restartNumberingAfterBreak="0">
    <w:nsid w:val="36A63745"/>
    <w:multiLevelType w:val="hybridMultilevel"/>
    <w:tmpl w:val="04E87AC4"/>
    <w:lvl w:ilvl="0" w:tplc="56D0CB34">
      <w:start w:val="4"/>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8F66456"/>
    <w:multiLevelType w:val="hybridMultilevel"/>
    <w:tmpl w:val="298AE7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9B63A74"/>
    <w:multiLevelType w:val="hybridMultilevel"/>
    <w:tmpl w:val="E13C37CE"/>
    <w:lvl w:ilvl="0" w:tplc="A378BA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3B765B24"/>
    <w:multiLevelType w:val="multilevel"/>
    <w:tmpl w:val="94CCFF60"/>
    <w:lvl w:ilvl="0">
      <w:start w:val="1"/>
      <w:numFmt w:val="bullet"/>
      <w:lvlText w:val=""/>
      <w:lvlJc w:val="left"/>
      <w:pPr>
        <w:tabs>
          <w:tab w:val="num" w:pos="0"/>
        </w:tabs>
        <w:ind w:left="720" w:hanging="360"/>
      </w:pPr>
      <w:rPr>
        <w:rFonts w:ascii="Symbol" w:hAnsi="Symbol"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bullet"/>
      <w:lvlText w:val=""/>
      <w:lvlJc w:val="left"/>
      <w:pPr>
        <w:tabs>
          <w:tab w:val="num" w:pos="0"/>
        </w:tabs>
        <w:ind w:left="2880" w:hanging="360"/>
      </w:pPr>
      <w:rPr>
        <w:rFonts w:ascii="Symbol" w:hAnsi="Symbol" w:hint="default"/>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4" w15:restartNumberingAfterBreak="0">
    <w:nsid w:val="3C5C4AAA"/>
    <w:multiLevelType w:val="hybridMultilevel"/>
    <w:tmpl w:val="BF06C0B0"/>
    <w:lvl w:ilvl="0" w:tplc="6AFCAB1E">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3D3B3E26"/>
    <w:multiLevelType w:val="hybridMultilevel"/>
    <w:tmpl w:val="9460D1A8"/>
    <w:lvl w:ilvl="0" w:tplc="93E8D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6" w15:restartNumberingAfterBreak="0">
    <w:nsid w:val="3D9116DC"/>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7" w15:restartNumberingAfterBreak="0">
    <w:nsid w:val="3DE112F8"/>
    <w:multiLevelType w:val="hybridMultilevel"/>
    <w:tmpl w:val="C004DFF0"/>
    <w:lvl w:ilvl="0" w:tplc="A7CA7F60">
      <w:start w:val="1"/>
      <w:numFmt w:val="bullet"/>
      <w:lvlText w:val=""/>
      <w:lvlJc w:val="left"/>
      <w:pPr>
        <w:ind w:left="720" w:hanging="360"/>
      </w:pPr>
      <w:rPr>
        <w:rFonts w:ascii="Symbol" w:hAnsi="Symbol" w:hint="default"/>
      </w:rPr>
    </w:lvl>
    <w:lvl w:ilvl="1" w:tplc="2870B0D8">
      <w:start w:val="1"/>
      <w:numFmt w:val="bullet"/>
      <w:lvlText w:val="o"/>
      <w:lvlJc w:val="left"/>
      <w:pPr>
        <w:ind w:left="1440" w:hanging="360"/>
      </w:pPr>
      <w:rPr>
        <w:rFonts w:ascii="Courier New" w:hAnsi="Courier New" w:cs="Courier New" w:hint="default"/>
      </w:rPr>
    </w:lvl>
    <w:lvl w:ilvl="2" w:tplc="D506DEB8">
      <w:start w:val="1"/>
      <w:numFmt w:val="bullet"/>
      <w:lvlText w:val=""/>
      <w:lvlJc w:val="left"/>
      <w:pPr>
        <w:ind w:left="2160" w:hanging="360"/>
      </w:pPr>
      <w:rPr>
        <w:rFonts w:ascii="Wingdings" w:hAnsi="Wingdings" w:hint="default"/>
      </w:rPr>
    </w:lvl>
    <w:lvl w:ilvl="3" w:tplc="CE8A0E88">
      <w:start w:val="1"/>
      <w:numFmt w:val="bullet"/>
      <w:lvlText w:val=""/>
      <w:lvlJc w:val="left"/>
      <w:pPr>
        <w:ind w:left="2880" w:hanging="360"/>
      </w:pPr>
      <w:rPr>
        <w:rFonts w:ascii="Symbol" w:hAnsi="Symbol" w:hint="default"/>
      </w:rPr>
    </w:lvl>
    <w:lvl w:ilvl="4" w:tplc="C5806F16">
      <w:start w:val="1"/>
      <w:numFmt w:val="bullet"/>
      <w:lvlText w:val="o"/>
      <w:lvlJc w:val="left"/>
      <w:pPr>
        <w:ind w:left="3600" w:hanging="360"/>
      </w:pPr>
      <w:rPr>
        <w:rFonts w:ascii="Courier New" w:hAnsi="Courier New" w:cs="Courier New" w:hint="default"/>
      </w:rPr>
    </w:lvl>
    <w:lvl w:ilvl="5" w:tplc="1FC4FB46">
      <w:start w:val="1"/>
      <w:numFmt w:val="bullet"/>
      <w:lvlText w:val=""/>
      <w:lvlJc w:val="left"/>
      <w:pPr>
        <w:ind w:left="4320" w:hanging="360"/>
      </w:pPr>
      <w:rPr>
        <w:rFonts w:ascii="Wingdings" w:hAnsi="Wingdings" w:hint="default"/>
      </w:rPr>
    </w:lvl>
    <w:lvl w:ilvl="6" w:tplc="39D4DDAE">
      <w:start w:val="1"/>
      <w:numFmt w:val="bullet"/>
      <w:lvlText w:val=""/>
      <w:lvlJc w:val="left"/>
      <w:pPr>
        <w:ind w:left="5040" w:hanging="360"/>
      </w:pPr>
      <w:rPr>
        <w:rFonts w:ascii="Symbol" w:hAnsi="Symbol" w:hint="default"/>
      </w:rPr>
    </w:lvl>
    <w:lvl w:ilvl="7" w:tplc="00E0E3EE">
      <w:start w:val="1"/>
      <w:numFmt w:val="bullet"/>
      <w:lvlText w:val="o"/>
      <w:lvlJc w:val="left"/>
      <w:pPr>
        <w:ind w:left="5760" w:hanging="360"/>
      </w:pPr>
      <w:rPr>
        <w:rFonts w:ascii="Courier New" w:hAnsi="Courier New" w:cs="Courier New" w:hint="default"/>
      </w:rPr>
    </w:lvl>
    <w:lvl w:ilvl="8" w:tplc="CF64A60A">
      <w:start w:val="1"/>
      <w:numFmt w:val="bullet"/>
      <w:lvlText w:val=""/>
      <w:lvlJc w:val="left"/>
      <w:pPr>
        <w:ind w:left="6480" w:hanging="360"/>
      </w:pPr>
      <w:rPr>
        <w:rFonts w:ascii="Wingdings" w:hAnsi="Wingdings" w:hint="default"/>
      </w:rPr>
    </w:lvl>
  </w:abstractNum>
  <w:abstractNum w:abstractNumId="78" w15:restartNumberingAfterBreak="0">
    <w:nsid w:val="3EAB6490"/>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9" w15:restartNumberingAfterBreak="0">
    <w:nsid w:val="3F01408C"/>
    <w:multiLevelType w:val="hybridMultilevel"/>
    <w:tmpl w:val="B0960CE0"/>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80" w15:restartNumberingAfterBreak="0">
    <w:nsid w:val="3F0677E4"/>
    <w:multiLevelType w:val="hybridMultilevel"/>
    <w:tmpl w:val="4ECEA044"/>
    <w:lvl w:ilvl="0" w:tplc="04190019">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1" w15:restartNumberingAfterBreak="0">
    <w:nsid w:val="3F4E4178"/>
    <w:multiLevelType w:val="hybridMultilevel"/>
    <w:tmpl w:val="DB0CD6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40C0366F"/>
    <w:multiLevelType w:val="multilevel"/>
    <w:tmpl w:val="2F24CB4C"/>
    <w:lvl w:ilvl="0">
      <w:start w:val="1"/>
      <w:numFmt w:val="bullet"/>
      <w:lvlText w:val=""/>
      <w:lvlJc w:val="left"/>
      <w:pPr>
        <w:ind w:left="1069" w:hanging="360"/>
      </w:pPr>
      <w:rPr>
        <w:rFonts w:ascii="Symbol" w:hAnsi="Symbol"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3" w15:restartNumberingAfterBreak="0">
    <w:nsid w:val="414007A2"/>
    <w:multiLevelType w:val="hybridMultilevel"/>
    <w:tmpl w:val="10387282"/>
    <w:lvl w:ilvl="0" w:tplc="04190001">
      <w:start w:val="1"/>
      <w:numFmt w:val="bullet"/>
      <w:lvlText w:val=""/>
      <w:lvlJc w:val="left"/>
      <w:pPr>
        <w:ind w:left="1110" w:hanging="360"/>
      </w:pPr>
      <w:rPr>
        <w:rFonts w:ascii="Symbol" w:hAnsi="Symbol" w:hint="default"/>
      </w:rPr>
    </w:lvl>
    <w:lvl w:ilvl="1" w:tplc="04190003">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84" w15:restartNumberingAfterBreak="0">
    <w:nsid w:val="42991DAF"/>
    <w:multiLevelType w:val="multilevel"/>
    <w:tmpl w:val="0ADC0DB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5" w15:restartNumberingAfterBreak="0">
    <w:nsid w:val="436671F2"/>
    <w:multiLevelType w:val="hybridMultilevel"/>
    <w:tmpl w:val="589CD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440C4110"/>
    <w:multiLevelType w:val="hybridMultilevel"/>
    <w:tmpl w:val="A87AC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44692D4B"/>
    <w:multiLevelType w:val="hybridMultilevel"/>
    <w:tmpl w:val="C77EB94C"/>
    <w:lvl w:ilvl="0" w:tplc="2DB03CFC">
      <w:start w:val="1"/>
      <w:numFmt w:val="decimal"/>
      <w:lvlText w:val="%1."/>
      <w:lvlJc w:val="left"/>
      <w:pPr>
        <w:ind w:left="720" w:hanging="360"/>
      </w:pPr>
    </w:lvl>
    <w:lvl w:ilvl="1" w:tplc="16EA80E6">
      <w:start w:val="1"/>
      <w:numFmt w:val="lowerLetter"/>
      <w:lvlText w:val="%2."/>
      <w:lvlJc w:val="left"/>
      <w:pPr>
        <w:ind w:left="1440" w:hanging="360"/>
      </w:pPr>
    </w:lvl>
    <w:lvl w:ilvl="2" w:tplc="946A3D32">
      <w:start w:val="1"/>
      <w:numFmt w:val="lowerRoman"/>
      <w:lvlText w:val="%3."/>
      <w:lvlJc w:val="right"/>
      <w:pPr>
        <w:ind w:left="2160" w:hanging="180"/>
      </w:pPr>
    </w:lvl>
    <w:lvl w:ilvl="3" w:tplc="2DB6278A">
      <w:start w:val="1"/>
      <w:numFmt w:val="decimal"/>
      <w:lvlText w:val="%4."/>
      <w:lvlJc w:val="left"/>
      <w:pPr>
        <w:ind w:left="2880" w:hanging="360"/>
      </w:pPr>
    </w:lvl>
    <w:lvl w:ilvl="4" w:tplc="3A5E778E">
      <w:start w:val="1"/>
      <w:numFmt w:val="lowerLetter"/>
      <w:lvlText w:val="%5."/>
      <w:lvlJc w:val="left"/>
      <w:pPr>
        <w:ind w:left="3600" w:hanging="360"/>
      </w:pPr>
    </w:lvl>
    <w:lvl w:ilvl="5" w:tplc="0172E04E">
      <w:start w:val="1"/>
      <w:numFmt w:val="lowerRoman"/>
      <w:lvlText w:val="%6."/>
      <w:lvlJc w:val="right"/>
      <w:pPr>
        <w:ind w:left="4320" w:hanging="180"/>
      </w:pPr>
    </w:lvl>
    <w:lvl w:ilvl="6" w:tplc="9618BEFE">
      <w:start w:val="1"/>
      <w:numFmt w:val="decimal"/>
      <w:lvlText w:val="%7."/>
      <w:lvlJc w:val="left"/>
      <w:pPr>
        <w:ind w:left="5040" w:hanging="360"/>
      </w:pPr>
    </w:lvl>
    <w:lvl w:ilvl="7" w:tplc="BCDCBE0E">
      <w:start w:val="1"/>
      <w:numFmt w:val="lowerLetter"/>
      <w:lvlText w:val="%8."/>
      <w:lvlJc w:val="left"/>
      <w:pPr>
        <w:ind w:left="5760" w:hanging="360"/>
      </w:pPr>
    </w:lvl>
    <w:lvl w:ilvl="8" w:tplc="BAF86D66">
      <w:start w:val="1"/>
      <w:numFmt w:val="lowerRoman"/>
      <w:lvlText w:val="%9."/>
      <w:lvlJc w:val="right"/>
      <w:pPr>
        <w:ind w:left="6480" w:hanging="180"/>
      </w:pPr>
    </w:lvl>
  </w:abstractNum>
  <w:abstractNum w:abstractNumId="88" w15:restartNumberingAfterBreak="0">
    <w:nsid w:val="46A60512"/>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9" w15:restartNumberingAfterBreak="0">
    <w:nsid w:val="47497BE7"/>
    <w:multiLevelType w:val="hybridMultilevel"/>
    <w:tmpl w:val="53EACD94"/>
    <w:lvl w:ilvl="0" w:tplc="04190001">
      <w:start w:val="1"/>
      <w:numFmt w:val="bullet"/>
      <w:lvlText w:val=""/>
      <w:lvlJc w:val="left"/>
      <w:pPr>
        <w:ind w:left="1414" w:hanging="705"/>
      </w:pPr>
      <w:rPr>
        <w:rFonts w:ascii="Symbol" w:hAnsi="Symbol" w:hint="default"/>
      </w:rPr>
    </w:lvl>
    <w:lvl w:ilvl="1" w:tplc="C37883F2">
      <w:numFmt w:val="bullet"/>
      <w:lvlText w:val="•"/>
      <w:lvlJc w:val="left"/>
      <w:pPr>
        <w:ind w:left="2134" w:hanging="705"/>
      </w:pPr>
      <w:rPr>
        <w:rFonts w:ascii="Times New Roman" w:eastAsia="Calibri"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0" w15:restartNumberingAfterBreak="0">
    <w:nsid w:val="47500D16"/>
    <w:multiLevelType w:val="hybridMultilevel"/>
    <w:tmpl w:val="D312DB6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480F1C15"/>
    <w:multiLevelType w:val="multilevel"/>
    <w:tmpl w:val="32B6D122"/>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2" w15:restartNumberingAfterBreak="0">
    <w:nsid w:val="48A1119A"/>
    <w:multiLevelType w:val="hybridMultilevel"/>
    <w:tmpl w:val="8F344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49533624"/>
    <w:multiLevelType w:val="hybridMultilevel"/>
    <w:tmpl w:val="1F346B6A"/>
    <w:lvl w:ilvl="0" w:tplc="531490C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9BC7B6C"/>
    <w:multiLevelType w:val="hybridMultilevel"/>
    <w:tmpl w:val="0D4206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AD91D7D"/>
    <w:multiLevelType w:val="hybridMultilevel"/>
    <w:tmpl w:val="3FA288D2"/>
    <w:lvl w:ilvl="0" w:tplc="93E8D1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6" w15:restartNumberingAfterBreak="0">
    <w:nsid w:val="4AEF0A1E"/>
    <w:multiLevelType w:val="hybridMultilevel"/>
    <w:tmpl w:val="86C25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4C150BCE"/>
    <w:multiLevelType w:val="hybridMultilevel"/>
    <w:tmpl w:val="B57CFDE0"/>
    <w:lvl w:ilvl="0" w:tplc="234C89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D4633B7"/>
    <w:multiLevelType w:val="hybridMultilevel"/>
    <w:tmpl w:val="4E94F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E501A34"/>
    <w:multiLevelType w:val="hybridMultilevel"/>
    <w:tmpl w:val="96DAD232"/>
    <w:lvl w:ilvl="0" w:tplc="0419000F">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00" w15:restartNumberingAfterBreak="0">
    <w:nsid w:val="4EA2559D"/>
    <w:multiLevelType w:val="hybridMultilevel"/>
    <w:tmpl w:val="68DAE0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1" w15:restartNumberingAfterBreak="0">
    <w:nsid w:val="4EBD642C"/>
    <w:multiLevelType w:val="hybridMultilevel"/>
    <w:tmpl w:val="784EAAB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2" w15:restartNumberingAfterBreak="0">
    <w:nsid w:val="4ED33599"/>
    <w:multiLevelType w:val="multilevel"/>
    <w:tmpl w:val="F5BE2E1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3" w15:restartNumberingAfterBreak="0">
    <w:nsid w:val="4EF30506"/>
    <w:multiLevelType w:val="multilevel"/>
    <w:tmpl w:val="E2FC6E58"/>
    <w:lvl w:ilvl="0">
      <w:start w:val="1"/>
      <w:numFmt w:val="bullet"/>
      <w:lvlText w:val=""/>
      <w:lvlJc w:val="left"/>
      <w:pPr>
        <w:ind w:left="720" w:hanging="360"/>
      </w:pPr>
      <w:rPr>
        <w:rFonts w:ascii="Symbol" w:hAnsi="Symbol" w:cs="Symbol" w:hint="default"/>
        <w:b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F011CF1"/>
    <w:multiLevelType w:val="hybridMultilevel"/>
    <w:tmpl w:val="A366148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5" w15:restartNumberingAfterBreak="0">
    <w:nsid w:val="4F413584"/>
    <w:multiLevelType w:val="hybridMultilevel"/>
    <w:tmpl w:val="9D82F3E8"/>
    <w:lvl w:ilvl="0" w:tplc="B65A457C">
      <w:start w:val="1"/>
      <w:numFmt w:val="bullet"/>
      <w:lvlText w:val=""/>
      <w:lvlJc w:val="left"/>
      <w:pPr>
        <w:ind w:left="1068" w:hanging="360"/>
      </w:pPr>
      <w:rPr>
        <w:rFonts w:ascii="Symbol" w:hAnsi="Symbol" w:hint="default"/>
      </w:rPr>
    </w:lvl>
    <w:lvl w:ilvl="1" w:tplc="0CF6ACBC">
      <w:start w:val="1"/>
      <w:numFmt w:val="decimal"/>
      <w:lvlText w:val="%2."/>
      <w:lvlJc w:val="left"/>
      <w:pPr>
        <w:ind w:left="1440" w:hanging="360"/>
      </w:pPr>
      <w:rPr>
        <w:rFonts w:hint="default"/>
      </w:rPr>
    </w:lvl>
    <w:lvl w:ilvl="2" w:tplc="58704C1C">
      <w:start w:val="1"/>
      <w:numFmt w:val="lowerRoman"/>
      <w:lvlText w:val="%3."/>
      <w:lvlJc w:val="right"/>
      <w:pPr>
        <w:ind w:left="2160" w:hanging="180"/>
      </w:pPr>
    </w:lvl>
    <w:lvl w:ilvl="3" w:tplc="547EBF6C">
      <w:start w:val="1"/>
      <w:numFmt w:val="decimal"/>
      <w:lvlText w:val="%4."/>
      <w:lvlJc w:val="left"/>
      <w:pPr>
        <w:ind w:left="2880" w:hanging="360"/>
      </w:pPr>
    </w:lvl>
    <w:lvl w:ilvl="4" w:tplc="21F628DC">
      <w:start w:val="1"/>
      <w:numFmt w:val="lowerLetter"/>
      <w:lvlText w:val="%5."/>
      <w:lvlJc w:val="left"/>
      <w:pPr>
        <w:ind w:left="3600" w:hanging="360"/>
      </w:pPr>
    </w:lvl>
    <w:lvl w:ilvl="5" w:tplc="082CFF88">
      <w:start w:val="1"/>
      <w:numFmt w:val="lowerRoman"/>
      <w:lvlText w:val="%6."/>
      <w:lvlJc w:val="right"/>
      <w:pPr>
        <w:ind w:left="4320" w:hanging="180"/>
      </w:pPr>
    </w:lvl>
    <w:lvl w:ilvl="6" w:tplc="AD2E6324">
      <w:start w:val="1"/>
      <w:numFmt w:val="decimal"/>
      <w:lvlText w:val="%7."/>
      <w:lvlJc w:val="left"/>
      <w:pPr>
        <w:ind w:left="5040" w:hanging="360"/>
      </w:pPr>
    </w:lvl>
    <w:lvl w:ilvl="7" w:tplc="E494B0C4">
      <w:start w:val="1"/>
      <w:numFmt w:val="lowerLetter"/>
      <w:lvlText w:val="%8."/>
      <w:lvlJc w:val="left"/>
      <w:pPr>
        <w:ind w:left="5760" w:hanging="360"/>
      </w:pPr>
    </w:lvl>
    <w:lvl w:ilvl="8" w:tplc="BAA87298">
      <w:start w:val="1"/>
      <w:numFmt w:val="lowerRoman"/>
      <w:lvlText w:val="%9."/>
      <w:lvlJc w:val="right"/>
      <w:pPr>
        <w:ind w:left="6480" w:hanging="180"/>
      </w:pPr>
    </w:lvl>
  </w:abstractNum>
  <w:abstractNum w:abstractNumId="106" w15:restartNumberingAfterBreak="0">
    <w:nsid w:val="502E4853"/>
    <w:multiLevelType w:val="hybridMultilevel"/>
    <w:tmpl w:val="985690D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7" w15:restartNumberingAfterBreak="0">
    <w:nsid w:val="51E0408F"/>
    <w:multiLevelType w:val="hybridMultilevel"/>
    <w:tmpl w:val="C5F624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53C60F6D"/>
    <w:multiLevelType w:val="hybridMultilevel"/>
    <w:tmpl w:val="9BF239FA"/>
    <w:lvl w:ilvl="0" w:tplc="8F0AE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9" w15:restartNumberingAfterBreak="0">
    <w:nsid w:val="55BB3E03"/>
    <w:multiLevelType w:val="hybridMultilevel"/>
    <w:tmpl w:val="610C9324"/>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0" w15:restartNumberingAfterBreak="0">
    <w:nsid w:val="55DF1E88"/>
    <w:multiLevelType w:val="multilevel"/>
    <w:tmpl w:val="815AD7CE"/>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1" w15:restartNumberingAfterBreak="0">
    <w:nsid w:val="561D52BA"/>
    <w:multiLevelType w:val="hybridMultilevel"/>
    <w:tmpl w:val="566013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2" w15:restartNumberingAfterBreak="0">
    <w:nsid w:val="578A005B"/>
    <w:multiLevelType w:val="multilevel"/>
    <w:tmpl w:val="B882CCB4"/>
    <w:lvl w:ilvl="0">
      <w:start w:val="1"/>
      <w:numFmt w:val="bullet"/>
      <w:lvlText w:val=""/>
      <w:lvlJc w:val="left"/>
      <w:pPr>
        <w:tabs>
          <w:tab w:val="num" w:pos="0"/>
        </w:tabs>
        <w:ind w:left="720" w:hanging="360"/>
      </w:pPr>
      <w:rPr>
        <w:rFonts w:ascii="Symbol" w:hAnsi="Symbol"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bullet"/>
      <w:lvlText w:val=""/>
      <w:lvlJc w:val="left"/>
      <w:pPr>
        <w:tabs>
          <w:tab w:val="num" w:pos="0"/>
        </w:tabs>
        <w:ind w:left="2880" w:hanging="360"/>
      </w:pPr>
      <w:rPr>
        <w:rFonts w:ascii="Symbol" w:hAnsi="Symbol" w:hint="default"/>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bullet"/>
      <w:lvlText w:val=""/>
      <w:lvlJc w:val="left"/>
      <w:pPr>
        <w:tabs>
          <w:tab w:val="num" w:pos="0"/>
        </w:tabs>
        <w:ind w:left="5040" w:hanging="360"/>
      </w:pPr>
      <w:rPr>
        <w:rFonts w:ascii="Symbol" w:hAnsi="Symbol" w:hint="default"/>
      </w:r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3" w15:restartNumberingAfterBreak="0">
    <w:nsid w:val="580C0829"/>
    <w:multiLevelType w:val="hybridMultilevel"/>
    <w:tmpl w:val="9E022DAC"/>
    <w:lvl w:ilvl="0" w:tplc="BFFE2E26">
      <w:start w:val="1"/>
      <w:numFmt w:val="bullet"/>
      <w:lvlText w:val="•"/>
      <w:lvlJc w:val="left"/>
      <w:pPr>
        <w:ind w:left="720" w:hanging="360"/>
      </w:pPr>
      <w:rPr>
        <w:rFonts w:ascii="Arial" w:hAnsi="Aria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581B54C9"/>
    <w:multiLevelType w:val="hybridMultilevel"/>
    <w:tmpl w:val="D34240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585C1AAF"/>
    <w:multiLevelType w:val="multilevel"/>
    <w:tmpl w:val="CD248544"/>
    <w:lvl w:ilvl="0">
      <w:start w:val="1"/>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86E3ECF"/>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7" w15:restartNumberingAfterBreak="0">
    <w:nsid w:val="58C53A29"/>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8" w15:restartNumberingAfterBreak="0">
    <w:nsid w:val="5AB35D50"/>
    <w:multiLevelType w:val="hybridMultilevel"/>
    <w:tmpl w:val="1E9A5CB6"/>
    <w:lvl w:ilvl="0" w:tplc="26B40C38">
      <w:start w:val="1"/>
      <w:numFmt w:val="bullet"/>
      <w:lvlText w:val=""/>
      <w:lvlJc w:val="left"/>
      <w:pPr>
        <w:ind w:left="1428" w:hanging="360"/>
      </w:pPr>
      <w:rPr>
        <w:rFonts w:ascii="Symbol" w:hAnsi="Symbol" w:hint="default"/>
      </w:rPr>
    </w:lvl>
    <w:lvl w:ilvl="1" w:tplc="3B2EC85C">
      <w:start w:val="1"/>
      <w:numFmt w:val="bullet"/>
      <w:lvlText w:val="o"/>
      <w:lvlJc w:val="left"/>
      <w:pPr>
        <w:ind w:left="2148" w:hanging="360"/>
      </w:pPr>
      <w:rPr>
        <w:rFonts w:ascii="Courier New" w:hAnsi="Courier New" w:cs="Courier New" w:hint="default"/>
      </w:rPr>
    </w:lvl>
    <w:lvl w:ilvl="2" w:tplc="2F9E085C">
      <w:start w:val="1"/>
      <w:numFmt w:val="bullet"/>
      <w:lvlText w:val=""/>
      <w:lvlJc w:val="left"/>
      <w:pPr>
        <w:ind w:left="2868" w:hanging="360"/>
      </w:pPr>
      <w:rPr>
        <w:rFonts w:ascii="Wingdings" w:hAnsi="Wingdings" w:hint="default"/>
      </w:rPr>
    </w:lvl>
    <w:lvl w:ilvl="3" w:tplc="340E811E">
      <w:start w:val="1"/>
      <w:numFmt w:val="bullet"/>
      <w:lvlText w:val=""/>
      <w:lvlJc w:val="left"/>
      <w:pPr>
        <w:ind w:left="3588" w:hanging="360"/>
      </w:pPr>
      <w:rPr>
        <w:rFonts w:ascii="Symbol" w:hAnsi="Symbol" w:hint="default"/>
      </w:rPr>
    </w:lvl>
    <w:lvl w:ilvl="4" w:tplc="FC366D08">
      <w:start w:val="1"/>
      <w:numFmt w:val="bullet"/>
      <w:lvlText w:val="o"/>
      <w:lvlJc w:val="left"/>
      <w:pPr>
        <w:ind w:left="4308" w:hanging="360"/>
      </w:pPr>
      <w:rPr>
        <w:rFonts w:ascii="Courier New" w:hAnsi="Courier New" w:cs="Courier New" w:hint="default"/>
      </w:rPr>
    </w:lvl>
    <w:lvl w:ilvl="5" w:tplc="29B8DC22">
      <w:start w:val="1"/>
      <w:numFmt w:val="bullet"/>
      <w:lvlText w:val=""/>
      <w:lvlJc w:val="left"/>
      <w:pPr>
        <w:ind w:left="5028" w:hanging="360"/>
      </w:pPr>
      <w:rPr>
        <w:rFonts w:ascii="Wingdings" w:hAnsi="Wingdings" w:hint="default"/>
      </w:rPr>
    </w:lvl>
    <w:lvl w:ilvl="6" w:tplc="8E0A9A3A">
      <w:start w:val="1"/>
      <w:numFmt w:val="bullet"/>
      <w:lvlText w:val=""/>
      <w:lvlJc w:val="left"/>
      <w:pPr>
        <w:ind w:left="5748" w:hanging="360"/>
      </w:pPr>
      <w:rPr>
        <w:rFonts w:ascii="Symbol" w:hAnsi="Symbol" w:hint="default"/>
      </w:rPr>
    </w:lvl>
    <w:lvl w:ilvl="7" w:tplc="2004B7FC">
      <w:start w:val="1"/>
      <w:numFmt w:val="bullet"/>
      <w:lvlText w:val="o"/>
      <w:lvlJc w:val="left"/>
      <w:pPr>
        <w:ind w:left="6468" w:hanging="360"/>
      </w:pPr>
      <w:rPr>
        <w:rFonts w:ascii="Courier New" w:hAnsi="Courier New" w:cs="Courier New" w:hint="default"/>
      </w:rPr>
    </w:lvl>
    <w:lvl w:ilvl="8" w:tplc="D71025DE">
      <w:start w:val="1"/>
      <w:numFmt w:val="bullet"/>
      <w:lvlText w:val=""/>
      <w:lvlJc w:val="left"/>
      <w:pPr>
        <w:ind w:left="7188" w:hanging="360"/>
      </w:pPr>
      <w:rPr>
        <w:rFonts w:ascii="Wingdings" w:hAnsi="Wingdings" w:hint="default"/>
      </w:rPr>
    </w:lvl>
  </w:abstractNum>
  <w:abstractNum w:abstractNumId="119" w15:restartNumberingAfterBreak="0">
    <w:nsid w:val="5B6C0F47"/>
    <w:multiLevelType w:val="hybridMultilevel"/>
    <w:tmpl w:val="84369B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0" w15:restartNumberingAfterBreak="0">
    <w:nsid w:val="5C754B14"/>
    <w:multiLevelType w:val="hybridMultilevel"/>
    <w:tmpl w:val="5C70A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EB57E18"/>
    <w:multiLevelType w:val="hybridMultilevel"/>
    <w:tmpl w:val="0114B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5F7D05DD"/>
    <w:multiLevelType w:val="hybridMultilevel"/>
    <w:tmpl w:val="2FD446B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3" w15:restartNumberingAfterBreak="0">
    <w:nsid w:val="602776A7"/>
    <w:multiLevelType w:val="hybridMultilevel"/>
    <w:tmpl w:val="4EA80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602B1DB1"/>
    <w:multiLevelType w:val="multilevel"/>
    <w:tmpl w:val="79CADAFC"/>
    <w:lvl w:ilvl="0">
      <w:start w:val="1"/>
      <w:numFmt w:val="bullet"/>
      <w:lvlText w:val=""/>
      <w:lvlJc w:val="left"/>
      <w:pPr>
        <w:ind w:left="1068" w:hanging="360"/>
      </w:pPr>
      <w:rPr>
        <w:rFonts w:ascii="Symbol" w:hAnsi="Symbol" w:cs="Symbol" w:hint="default"/>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5" w15:restartNumberingAfterBreak="0">
    <w:nsid w:val="61B94920"/>
    <w:multiLevelType w:val="hybridMultilevel"/>
    <w:tmpl w:val="38F46A1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636D164C"/>
    <w:multiLevelType w:val="multilevel"/>
    <w:tmpl w:val="3F92285A"/>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7" w15:restartNumberingAfterBreak="0">
    <w:nsid w:val="64747564"/>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8" w15:restartNumberingAfterBreak="0">
    <w:nsid w:val="64E91059"/>
    <w:multiLevelType w:val="hybridMultilevel"/>
    <w:tmpl w:val="9864A21C"/>
    <w:lvl w:ilvl="0" w:tplc="AFFE1112">
      <w:start w:val="1"/>
      <w:numFmt w:val="bullet"/>
      <w:lvlText w:val=""/>
      <w:lvlJc w:val="left"/>
      <w:pPr>
        <w:ind w:left="1428" w:hanging="360"/>
      </w:pPr>
      <w:rPr>
        <w:rFonts w:ascii="Symbol" w:hAnsi="Symbol" w:hint="default"/>
      </w:rPr>
    </w:lvl>
    <w:lvl w:ilvl="1" w:tplc="575CE84C">
      <w:start w:val="1"/>
      <w:numFmt w:val="bullet"/>
      <w:lvlText w:val="o"/>
      <w:lvlJc w:val="left"/>
      <w:pPr>
        <w:ind w:left="2148" w:hanging="360"/>
      </w:pPr>
      <w:rPr>
        <w:rFonts w:ascii="Courier New" w:hAnsi="Courier New" w:cs="Courier New" w:hint="default"/>
      </w:rPr>
    </w:lvl>
    <w:lvl w:ilvl="2" w:tplc="27F43E68">
      <w:start w:val="1"/>
      <w:numFmt w:val="bullet"/>
      <w:lvlText w:val=""/>
      <w:lvlJc w:val="left"/>
      <w:pPr>
        <w:ind w:left="2868" w:hanging="360"/>
      </w:pPr>
      <w:rPr>
        <w:rFonts w:ascii="Wingdings" w:hAnsi="Wingdings" w:hint="default"/>
      </w:rPr>
    </w:lvl>
    <w:lvl w:ilvl="3" w:tplc="6BEA662E">
      <w:start w:val="1"/>
      <w:numFmt w:val="bullet"/>
      <w:lvlText w:val=""/>
      <w:lvlJc w:val="left"/>
      <w:pPr>
        <w:ind w:left="3588" w:hanging="360"/>
      </w:pPr>
      <w:rPr>
        <w:rFonts w:ascii="Symbol" w:hAnsi="Symbol" w:hint="default"/>
      </w:rPr>
    </w:lvl>
    <w:lvl w:ilvl="4" w:tplc="64A80DBE">
      <w:start w:val="1"/>
      <w:numFmt w:val="bullet"/>
      <w:lvlText w:val="o"/>
      <w:lvlJc w:val="left"/>
      <w:pPr>
        <w:ind w:left="4308" w:hanging="360"/>
      </w:pPr>
      <w:rPr>
        <w:rFonts w:ascii="Courier New" w:hAnsi="Courier New" w:cs="Courier New" w:hint="default"/>
      </w:rPr>
    </w:lvl>
    <w:lvl w:ilvl="5" w:tplc="AE58F438">
      <w:start w:val="1"/>
      <w:numFmt w:val="bullet"/>
      <w:lvlText w:val=""/>
      <w:lvlJc w:val="left"/>
      <w:pPr>
        <w:ind w:left="5028" w:hanging="360"/>
      </w:pPr>
      <w:rPr>
        <w:rFonts w:ascii="Wingdings" w:hAnsi="Wingdings" w:hint="default"/>
      </w:rPr>
    </w:lvl>
    <w:lvl w:ilvl="6" w:tplc="B234EC7A">
      <w:start w:val="1"/>
      <w:numFmt w:val="bullet"/>
      <w:lvlText w:val=""/>
      <w:lvlJc w:val="left"/>
      <w:pPr>
        <w:ind w:left="5748" w:hanging="360"/>
      </w:pPr>
      <w:rPr>
        <w:rFonts w:ascii="Symbol" w:hAnsi="Symbol" w:hint="default"/>
      </w:rPr>
    </w:lvl>
    <w:lvl w:ilvl="7" w:tplc="82B25206">
      <w:start w:val="1"/>
      <w:numFmt w:val="bullet"/>
      <w:lvlText w:val="o"/>
      <w:lvlJc w:val="left"/>
      <w:pPr>
        <w:ind w:left="6468" w:hanging="360"/>
      </w:pPr>
      <w:rPr>
        <w:rFonts w:ascii="Courier New" w:hAnsi="Courier New" w:cs="Courier New" w:hint="default"/>
      </w:rPr>
    </w:lvl>
    <w:lvl w:ilvl="8" w:tplc="28082C5C">
      <w:start w:val="1"/>
      <w:numFmt w:val="bullet"/>
      <w:lvlText w:val=""/>
      <w:lvlJc w:val="left"/>
      <w:pPr>
        <w:ind w:left="7188" w:hanging="360"/>
      </w:pPr>
      <w:rPr>
        <w:rFonts w:ascii="Wingdings" w:hAnsi="Wingdings" w:hint="default"/>
      </w:rPr>
    </w:lvl>
  </w:abstractNum>
  <w:abstractNum w:abstractNumId="129" w15:restartNumberingAfterBreak="0">
    <w:nsid w:val="65177BDF"/>
    <w:multiLevelType w:val="hybridMultilevel"/>
    <w:tmpl w:val="F31C0280"/>
    <w:lvl w:ilvl="0" w:tplc="04190019">
      <w:start w:val="1"/>
      <w:numFmt w:val="bullet"/>
      <w:lvlText w:val="o"/>
      <w:lvlJc w:val="left"/>
      <w:pPr>
        <w:ind w:left="360" w:hanging="360"/>
      </w:pPr>
      <w:rPr>
        <w:rFonts w:ascii="Courier New" w:hAnsi="Courier New" w:cs="Courier New"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30" w15:restartNumberingAfterBreak="0">
    <w:nsid w:val="65582988"/>
    <w:multiLevelType w:val="hybridMultilevel"/>
    <w:tmpl w:val="DF66F51E"/>
    <w:lvl w:ilvl="0" w:tplc="74FC6A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1" w15:restartNumberingAfterBreak="0">
    <w:nsid w:val="65CF037B"/>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2" w15:restartNumberingAfterBreak="0">
    <w:nsid w:val="65F4084C"/>
    <w:multiLevelType w:val="hybridMultilevel"/>
    <w:tmpl w:val="C1709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671306B1"/>
    <w:multiLevelType w:val="hybridMultilevel"/>
    <w:tmpl w:val="E6B2E90C"/>
    <w:lvl w:ilvl="0" w:tplc="ABD47114">
      <w:start w:val="1"/>
      <w:numFmt w:val="bullet"/>
      <w:lvlText w:val=""/>
      <w:lvlJc w:val="left"/>
      <w:pPr>
        <w:tabs>
          <w:tab w:val="num" w:pos="1021"/>
        </w:tabs>
        <w:ind w:left="102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7F628E0"/>
    <w:multiLevelType w:val="hybridMultilevel"/>
    <w:tmpl w:val="91AAD19C"/>
    <w:lvl w:ilvl="0" w:tplc="04190019">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688468BB"/>
    <w:multiLevelType w:val="hybridMultilevel"/>
    <w:tmpl w:val="3F5AC3C2"/>
    <w:lvl w:ilvl="0" w:tplc="9F922CDA">
      <w:start w:val="1"/>
      <w:numFmt w:val="bullet"/>
      <w:lvlText w:val=""/>
      <w:lvlJc w:val="left"/>
      <w:pPr>
        <w:ind w:left="1428" w:hanging="360"/>
      </w:pPr>
      <w:rPr>
        <w:rFonts w:ascii="Symbol" w:hAnsi="Symbol" w:hint="default"/>
      </w:rPr>
    </w:lvl>
    <w:lvl w:ilvl="1" w:tplc="F2147832">
      <w:start w:val="1"/>
      <w:numFmt w:val="bullet"/>
      <w:lvlText w:val="o"/>
      <w:lvlJc w:val="left"/>
      <w:pPr>
        <w:ind w:left="2148" w:hanging="360"/>
      </w:pPr>
      <w:rPr>
        <w:rFonts w:ascii="Courier New" w:hAnsi="Courier New" w:cs="Courier New" w:hint="default"/>
      </w:rPr>
    </w:lvl>
    <w:lvl w:ilvl="2" w:tplc="83467EFA">
      <w:start w:val="1"/>
      <w:numFmt w:val="bullet"/>
      <w:lvlText w:val=""/>
      <w:lvlJc w:val="left"/>
      <w:pPr>
        <w:ind w:left="2868" w:hanging="360"/>
      </w:pPr>
      <w:rPr>
        <w:rFonts w:ascii="Wingdings" w:hAnsi="Wingdings" w:hint="default"/>
      </w:rPr>
    </w:lvl>
    <w:lvl w:ilvl="3" w:tplc="A89E58B0">
      <w:start w:val="1"/>
      <w:numFmt w:val="bullet"/>
      <w:lvlText w:val=""/>
      <w:lvlJc w:val="left"/>
      <w:pPr>
        <w:ind w:left="3588" w:hanging="360"/>
      </w:pPr>
      <w:rPr>
        <w:rFonts w:ascii="Symbol" w:hAnsi="Symbol" w:hint="default"/>
      </w:rPr>
    </w:lvl>
    <w:lvl w:ilvl="4" w:tplc="E58CD5B2">
      <w:start w:val="1"/>
      <w:numFmt w:val="bullet"/>
      <w:lvlText w:val="o"/>
      <w:lvlJc w:val="left"/>
      <w:pPr>
        <w:ind w:left="4308" w:hanging="360"/>
      </w:pPr>
      <w:rPr>
        <w:rFonts w:ascii="Courier New" w:hAnsi="Courier New" w:cs="Courier New" w:hint="default"/>
      </w:rPr>
    </w:lvl>
    <w:lvl w:ilvl="5" w:tplc="C14038A0">
      <w:start w:val="1"/>
      <w:numFmt w:val="bullet"/>
      <w:lvlText w:val=""/>
      <w:lvlJc w:val="left"/>
      <w:pPr>
        <w:ind w:left="5028" w:hanging="360"/>
      </w:pPr>
      <w:rPr>
        <w:rFonts w:ascii="Wingdings" w:hAnsi="Wingdings" w:hint="default"/>
      </w:rPr>
    </w:lvl>
    <w:lvl w:ilvl="6" w:tplc="E1A2B50A">
      <w:start w:val="1"/>
      <w:numFmt w:val="bullet"/>
      <w:lvlText w:val=""/>
      <w:lvlJc w:val="left"/>
      <w:pPr>
        <w:ind w:left="5748" w:hanging="360"/>
      </w:pPr>
      <w:rPr>
        <w:rFonts w:ascii="Symbol" w:hAnsi="Symbol" w:hint="default"/>
      </w:rPr>
    </w:lvl>
    <w:lvl w:ilvl="7" w:tplc="BDF62C10">
      <w:start w:val="1"/>
      <w:numFmt w:val="bullet"/>
      <w:lvlText w:val="o"/>
      <w:lvlJc w:val="left"/>
      <w:pPr>
        <w:ind w:left="6468" w:hanging="360"/>
      </w:pPr>
      <w:rPr>
        <w:rFonts w:ascii="Courier New" w:hAnsi="Courier New" w:cs="Courier New" w:hint="default"/>
      </w:rPr>
    </w:lvl>
    <w:lvl w:ilvl="8" w:tplc="A7804AAE">
      <w:start w:val="1"/>
      <w:numFmt w:val="bullet"/>
      <w:lvlText w:val=""/>
      <w:lvlJc w:val="left"/>
      <w:pPr>
        <w:ind w:left="7188" w:hanging="360"/>
      </w:pPr>
      <w:rPr>
        <w:rFonts w:ascii="Wingdings" w:hAnsi="Wingdings" w:hint="default"/>
      </w:rPr>
    </w:lvl>
  </w:abstractNum>
  <w:abstractNum w:abstractNumId="136" w15:restartNumberingAfterBreak="0">
    <w:nsid w:val="69467160"/>
    <w:multiLevelType w:val="hybridMultilevel"/>
    <w:tmpl w:val="9ACAC5AA"/>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7" w15:restartNumberingAfterBreak="0">
    <w:nsid w:val="698D0AC0"/>
    <w:multiLevelType w:val="hybridMultilevel"/>
    <w:tmpl w:val="11E85E7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38" w15:restartNumberingAfterBreak="0">
    <w:nsid w:val="69995AA4"/>
    <w:multiLevelType w:val="hybridMultilevel"/>
    <w:tmpl w:val="34E0D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6A080F88"/>
    <w:multiLevelType w:val="hybridMultilevel"/>
    <w:tmpl w:val="32426FF2"/>
    <w:lvl w:ilvl="0" w:tplc="04190001">
      <w:start w:val="1"/>
      <w:numFmt w:val="bullet"/>
      <w:lvlText w:val=""/>
      <w:lvlJc w:val="left"/>
      <w:pPr>
        <w:ind w:left="2123" w:hanging="705"/>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6A150589"/>
    <w:multiLevelType w:val="hybridMultilevel"/>
    <w:tmpl w:val="296EBB5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6AFF0605"/>
    <w:multiLevelType w:val="hybridMultilevel"/>
    <w:tmpl w:val="9F60A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6B1C6952"/>
    <w:multiLevelType w:val="hybridMultilevel"/>
    <w:tmpl w:val="61128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B8A6239"/>
    <w:multiLevelType w:val="hybridMultilevel"/>
    <w:tmpl w:val="C98A5186"/>
    <w:lvl w:ilvl="0" w:tplc="14B253BC">
      <w:start w:val="1"/>
      <w:numFmt w:val="decimal"/>
      <w:lvlText w:val="%1."/>
      <w:lvlJc w:val="left"/>
      <w:pPr>
        <w:ind w:left="720" w:hanging="360"/>
      </w:pPr>
    </w:lvl>
    <w:lvl w:ilvl="1" w:tplc="C9C070F0">
      <w:start w:val="1"/>
      <w:numFmt w:val="lowerLetter"/>
      <w:lvlText w:val="%2."/>
      <w:lvlJc w:val="left"/>
      <w:pPr>
        <w:ind w:left="1440" w:hanging="360"/>
      </w:pPr>
    </w:lvl>
    <w:lvl w:ilvl="2" w:tplc="426694A8">
      <w:start w:val="1"/>
      <w:numFmt w:val="lowerRoman"/>
      <w:lvlText w:val="%3."/>
      <w:lvlJc w:val="right"/>
      <w:pPr>
        <w:ind w:left="2160" w:hanging="180"/>
      </w:pPr>
    </w:lvl>
    <w:lvl w:ilvl="3" w:tplc="8056D128">
      <w:start w:val="1"/>
      <w:numFmt w:val="decimal"/>
      <w:lvlText w:val="%4."/>
      <w:lvlJc w:val="left"/>
      <w:pPr>
        <w:ind w:left="2880" w:hanging="360"/>
      </w:pPr>
    </w:lvl>
    <w:lvl w:ilvl="4" w:tplc="A37C7988">
      <w:start w:val="1"/>
      <w:numFmt w:val="lowerLetter"/>
      <w:lvlText w:val="%5."/>
      <w:lvlJc w:val="left"/>
      <w:pPr>
        <w:ind w:left="3600" w:hanging="360"/>
      </w:pPr>
    </w:lvl>
    <w:lvl w:ilvl="5" w:tplc="BF107EBA">
      <w:start w:val="1"/>
      <w:numFmt w:val="lowerRoman"/>
      <w:lvlText w:val="%6."/>
      <w:lvlJc w:val="right"/>
      <w:pPr>
        <w:ind w:left="4320" w:hanging="180"/>
      </w:pPr>
    </w:lvl>
    <w:lvl w:ilvl="6" w:tplc="2DE86E94">
      <w:start w:val="1"/>
      <w:numFmt w:val="decimal"/>
      <w:lvlText w:val="%7."/>
      <w:lvlJc w:val="left"/>
      <w:pPr>
        <w:ind w:left="5040" w:hanging="360"/>
      </w:pPr>
    </w:lvl>
    <w:lvl w:ilvl="7" w:tplc="B3F41C1E">
      <w:start w:val="1"/>
      <w:numFmt w:val="lowerLetter"/>
      <w:lvlText w:val="%8."/>
      <w:lvlJc w:val="left"/>
      <w:pPr>
        <w:ind w:left="5760" w:hanging="360"/>
      </w:pPr>
    </w:lvl>
    <w:lvl w:ilvl="8" w:tplc="EC54FF5C">
      <w:start w:val="1"/>
      <w:numFmt w:val="lowerRoman"/>
      <w:lvlText w:val="%9."/>
      <w:lvlJc w:val="right"/>
      <w:pPr>
        <w:ind w:left="6480" w:hanging="180"/>
      </w:pPr>
    </w:lvl>
  </w:abstractNum>
  <w:abstractNum w:abstractNumId="144" w15:restartNumberingAfterBreak="0">
    <w:nsid w:val="6C3E4540"/>
    <w:multiLevelType w:val="hybridMultilevel"/>
    <w:tmpl w:val="24C281A4"/>
    <w:lvl w:ilvl="0" w:tplc="93E8D1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5" w15:restartNumberingAfterBreak="0">
    <w:nsid w:val="6CF711F5"/>
    <w:multiLevelType w:val="hybridMultilevel"/>
    <w:tmpl w:val="3FB8D84A"/>
    <w:lvl w:ilvl="0" w:tplc="0E60B5AE">
      <w:start w:val="1"/>
      <w:numFmt w:val="bullet"/>
      <w:lvlText w:val=""/>
      <w:lvlJc w:val="left"/>
      <w:pPr>
        <w:ind w:left="1080" w:hanging="360"/>
      </w:pPr>
      <w:rPr>
        <w:rFonts w:ascii="Symbol" w:hAnsi="Symbol" w:hint="default"/>
      </w:rPr>
    </w:lvl>
    <w:lvl w:ilvl="1" w:tplc="7A7E9E72">
      <w:start w:val="1"/>
      <w:numFmt w:val="bullet"/>
      <w:lvlText w:val="o"/>
      <w:lvlJc w:val="left"/>
      <w:pPr>
        <w:ind w:left="1800" w:hanging="360"/>
      </w:pPr>
      <w:rPr>
        <w:rFonts w:ascii="Courier New" w:hAnsi="Courier New" w:cs="Courier New" w:hint="default"/>
      </w:rPr>
    </w:lvl>
    <w:lvl w:ilvl="2" w:tplc="FD5696C2">
      <w:start w:val="1"/>
      <w:numFmt w:val="bullet"/>
      <w:lvlText w:val=""/>
      <w:lvlJc w:val="left"/>
      <w:pPr>
        <w:ind w:left="2520" w:hanging="360"/>
      </w:pPr>
      <w:rPr>
        <w:rFonts w:ascii="Wingdings" w:hAnsi="Wingdings" w:hint="default"/>
      </w:rPr>
    </w:lvl>
    <w:lvl w:ilvl="3" w:tplc="2F44A216">
      <w:start w:val="1"/>
      <w:numFmt w:val="bullet"/>
      <w:lvlText w:val=""/>
      <w:lvlJc w:val="left"/>
      <w:pPr>
        <w:ind w:left="3240" w:hanging="360"/>
      </w:pPr>
      <w:rPr>
        <w:rFonts w:ascii="Symbol" w:hAnsi="Symbol" w:hint="default"/>
      </w:rPr>
    </w:lvl>
    <w:lvl w:ilvl="4" w:tplc="9ECA2EA2">
      <w:start w:val="1"/>
      <w:numFmt w:val="bullet"/>
      <w:lvlText w:val="o"/>
      <w:lvlJc w:val="left"/>
      <w:pPr>
        <w:ind w:left="3960" w:hanging="360"/>
      </w:pPr>
      <w:rPr>
        <w:rFonts w:ascii="Courier New" w:hAnsi="Courier New" w:cs="Courier New" w:hint="default"/>
      </w:rPr>
    </w:lvl>
    <w:lvl w:ilvl="5" w:tplc="4A60B510">
      <w:start w:val="1"/>
      <w:numFmt w:val="bullet"/>
      <w:lvlText w:val=""/>
      <w:lvlJc w:val="left"/>
      <w:pPr>
        <w:ind w:left="4680" w:hanging="360"/>
      </w:pPr>
      <w:rPr>
        <w:rFonts w:ascii="Wingdings" w:hAnsi="Wingdings" w:hint="default"/>
      </w:rPr>
    </w:lvl>
    <w:lvl w:ilvl="6" w:tplc="9826769A">
      <w:start w:val="1"/>
      <w:numFmt w:val="bullet"/>
      <w:lvlText w:val=""/>
      <w:lvlJc w:val="left"/>
      <w:pPr>
        <w:ind w:left="5400" w:hanging="360"/>
      </w:pPr>
      <w:rPr>
        <w:rFonts w:ascii="Symbol" w:hAnsi="Symbol" w:hint="default"/>
      </w:rPr>
    </w:lvl>
    <w:lvl w:ilvl="7" w:tplc="6E52C570">
      <w:start w:val="1"/>
      <w:numFmt w:val="bullet"/>
      <w:lvlText w:val="o"/>
      <w:lvlJc w:val="left"/>
      <w:pPr>
        <w:ind w:left="6120" w:hanging="360"/>
      </w:pPr>
      <w:rPr>
        <w:rFonts w:ascii="Courier New" w:hAnsi="Courier New" w:cs="Courier New" w:hint="default"/>
      </w:rPr>
    </w:lvl>
    <w:lvl w:ilvl="8" w:tplc="DC286868">
      <w:start w:val="1"/>
      <w:numFmt w:val="bullet"/>
      <w:lvlText w:val=""/>
      <w:lvlJc w:val="left"/>
      <w:pPr>
        <w:ind w:left="6840" w:hanging="360"/>
      </w:pPr>
      <w:rPr>
        <w:rFonts w:ascii="Wingdings" w:hAnsi="Wingdings" w:hint="default"/>
      </w:rPr>
    </w:lvl>
  </w:abstractNum>
  <w:abstractNum w:abstractNumId="146" w15:restartNumberingAfterBreak="0">
    <w:nsid w:val="6E2F5B77"/>
    <w:multiLevelType w:val="multilevel"/>
    <w:tmpl w:val="D530539E"/>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7" w15:restartNumberingAfterBreak="0">
    <w:nsid w:val="6E685C1F"/>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8" w15:restartNumberingAfterBreak="0">
    <w:nsid w:val="6F3D3CD7"/>
    <w:multiLevelType w:val="hybridMultilevel"/>
    <w:tmpl w:val="8FE23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706F1B80"/>
    <w:multiLevelType w:val="multilevel"/>
    <w:tmpl w:val="756A0006"/>
    <w:lvl w:ilvl="0">
      <w:start w:val="1"/>
      <w:numFmt w:val="decimal"/>
      <w:lvlText w:val="%1."/>
      <w:lvlJc w:val="left"/>
      <w:pPr>
        <w:ind w:left="2345" w:hanging="360"/>
      </w:pPr>
      <w:rPr>
        <w:rFonts w:hint="default"/>
        <w:b/>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425" w:hanging="144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150" w15:restartNumberingAfterBreak="0">
    <w:nsid w:val="71C5594A"/>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1" w15:restartNumberingAfterBreak="0">
    <w:nsid w:val="71CD2366"/>
    <w:multiLevelType w:val="hybridMultilevel"/>
    <w:tmpl w:val="649E734A"/>
    <w:lvl w:ilvl="0" w:tplc="385EF938">
      <w:start w:val="200"/>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2CA6EE6"/>
    <w:multiLevelType w:val="hybridMultilevel"/>
    <w:tmpl w:val="DEE69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73857C0E"/>
    <w:multiLevelType w:val="hybridMultilevel"/>
    <w:tmpl w:val="ED986C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4" w15:restartNumberingAfterBreak="0">
    <w:nsid w:val="73C47E5B"/>
    <w:multiLevelType w:val="hybridMultilevel"/>
    <w:tmpl w:val="E15AC3C6"/>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5" w15:restartNumberingAfterBreak="0">
    <w:nsid w:val="745A7484"/>
    <w:multiLevelType w:val="hybridMultilevel"/>
    <w:tmpl w:val="59B87F6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751621A5"/>
    <w:multiLevelType w:val="hybridMultilevel"/>
    <w:tmpl w:val="CE54F99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75CA08C5"/>
    <w:multiLevelType w:val="hybridMultilevel"/>
    <w:tmpl w:val="35BA7E84"/>
    <w:lvl w:ilvl="0" w:tplc="ABD47114">
      <w:start w:val="1"/>
      <w:numFmt w:val="bullet"/>
      <w:lvlText w:val=""/>
      <w:lvlJc w:val="left"/>
      <w:pPr>
        <w:tabs>
          <w:tab w:val="num" w:pos="1021"/>
        </w:tabs>
        <w:ind w:left="102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760F7789"/>
    <w:multiLevelType w:val="hybridMultilevel"/>
    <w:tmpl w:val="E8AA549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9" w15:restartNumberingAfterBreak="0">
    <w:nsid w:val="765F70D1"/>
    <w:multiLevelType w:val="hybridMultilevel"/>
    <w:tmpl w:val="B0288ABE"/>
    <w:lvl w:ilvl="0" w:tplc="A378BA54">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76AD17CF"/>
    <w:multiLevelType w:val="hybridMultilevel"/>
    <w:tmpl w:val="031A4B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1" w15:restartNumberingAfterBreak="0">
    <w:nsid w:val="76E9193A"/>
    <w:multiLevelType w:val="hybridMultilevel"/>
    <w:tmpl w:val="E392EA1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2" w15:restartNumberingAfterBreak="0">
    <w:nsid w:val="76ED45EA"/>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3" w15:restartNumberingAfterBreak="0">
    <w:nsid w:val="79295B81"/>
    <w:multiLevelType w:val="hybridMultilevel"/>
    <w:tmpl w:val="384AF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79591414"/>
    <w:multiLevelType w:val="multilevel"/>
    <w:tmpl w:val="E8DCD02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5" w15:restartNumberingAfterBreak="0">
    <w:nsid w:val="7B222A82"/>
    <w:multiLevelType w:val="hybridMultilevel"/>
    <w:tmpl w:val="E9DAEA2C"/>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6" w15:restartNumberingAfterBreak="0">
    <w:nsid w:val="7BAB11B1"/>
    <w:multiLevelType w:val="hybridMultilevel"/>
    <w:tmpl w:val="F0D6F0BA"/>
    <w:lvl w:ilvl="0" w:tplc="D76CC41E">
      <w:start w:val="1"/>
      <w:numFmt w:val="bullet"/>
      <w:lvlText w:val="•"/>
      <w:lvlJc w:val="left"/>
      <w:pPr>
        <w:tabs>
          <w:tab w:val="num" w:pos="720"/>
        </w:tabs>
        <w:ind w:left="720" w:hanging="360"/>
      </w:pPr>
      <w:rPr>
        <w:rFonts w:ascii="Arial" w:hAnsi="Arial" w:hint="default"/>
      </w:rPr>
    </w:lvl>
    <w:lvl w:ilvl="1" w:tplc="2F8ECD54" w:tentative="1">
      <w:start w:val="1"/>
      <w:numFmt w:val="bullet"/>
      <w:lvlText w:val="•"/>
      <w:lvlJc w:val="left"/>
      <w:pPr>
        <w:tabs>
          <w:tab w:val="num" w:pos="1440"/>
        </w:tabs>
        <w:ind w:left="1440" w:hanging="360"/>
      </w:pPr>
      <w:rPr>
        <w:rFonts w:ascii="Arial" w:hAnsi="Arial" w:hint="default"/>
      </w:rPr>
    </w:lvl>
    <w:lvl w:ilvl="2" w:tplc="CE8C5248" w:tentative="1">
      <w:start w:val="1"/>
      <w:numFmt w:val="bullet"/>
      <w:lvlText w:val="•"/>
      <w:lvlJc w:val="left"/>
      <w:pPr>
        <w:tabs>
          <w:tab w:val="num" w:pos="2160"/>
        </w:tabs>
        <w:ind w:left="2160" w:hanging="360"/>
      </w:pPr>
      <w:rPr>
        <w:rFonts w:ascii="Arial" w:hAnsi="Arial" w:hint="default"/>
      </w:rPr>
    </w:lvl>
    <w:lvl w:ilvl="3" w:tplc="225EDACA" w:tentative="1">
      <w:start w:val="1"/>
      <w:numFmt w:val="bullet"/>
      <w:lvlText w:val="•"/>
      <w:lvlJc w:val="left"/>
      <w:pPr>
        <w:tabs>
          <w:tab w:val="num" w:pos="2880"/>
        </w:tabs>
        <w:ind w:left="2880" w:hanging="360"/>
      </w:pPr>
      <w:rPr>
        <w:rFonts w:ascii="Arial" w:hAnsi="Arial" w:hint="default"/>
      </w:rPr>
    </w:lvl>
    <w:lvl w:ilvl="4" w:tplc="0626367E" w:tentative="1">
      <w:start w:val="1"/>
      <w:numFmt w:val="bullet"/>
      <w:lvlText w:val="•"/>
      <w:lvlJc w:val="left"/>
      <w:pPr>
        <w:tabs>
          <w:tab w:val="num" w:pos="3600"/>
        </w:tabs>
        <w:ind w:left="3600" w:hanging="360"/>
      </w:pPr>
      <w:rPr>
        <w:rFonts w:ascii="Arial" w:hAnsi="Arial" w:hint="default"/>
      </w:rPr>
    </w:lvl>
    <w:lvl w:ilvl="5" w:tplc="F3F24E2C" w:tentative="1">
      <w:start w:val="1"/>
      <w:numFmt w:val="bullet"/>
      <w:lvlText w:val="•"/>
      <w:lvlJc w:val="left"/>
      <w:pPr>
        <w:tabs>
          <w:tab w:val="num" w:pos="4320"/>
        </w:tabs>
        <w:ind w:left="4320" w:hanging="360"/>
      </w:pPr>
      <w:rPr>
        <w:rFonts w:ascii="Arial" w:hAnsi="Arial" w:hint="default"/>
      </w:rPr>
    </w:lvl>
    <w:lvl w:ilvl="6" w:tplc="66CAD2A8" w:tentative="1">
      <w:start w:val="1"/>
      <w:numFmt w:val="bullet"/>
      <w:lvlText w:val="•"/>
      <w:lvlJc w:val="left"/>
      <w:pPr>
        <w:tabs>
          <w:tab w:val="num" w:pos="5040"/>
        </w:tabs>
        <w:ind w:left="5040" w:hanging="360"/>
      </w:pPr>
      <w:rPr>
        <w:rFonts w:ascii="Arial" w:hAnsi="Arial" w:hint="default"/>
      </w:rPr>
    </w:lvl>
    <w:lvl w:ilvl="7" w:tplc="2D2688B4" w:tentative="1">
      <w:start w:val="1"/>
      <w:numFmt w:val="bullet"/>
      <w:lvlText w:val="•"/>
      <w:lvlJc w:val="left"/>
      <w:pPr>
        <w:tabs>
          <w:tab w:val="num" w:pos="5760"/>
        </w:tabs>
        <w:ind w:left="5760" w:hanging="360"/>
      </w:pPr>
      <w:rPr>
        <w:rFonts w:ascii="Arial" w:hAnsi="Arial" w:hint="default"/>
      </w:rPr>
    </w:lvl>
    <w:lvl w:ilvl="8" w:tplc="D7D0C13C" w:tentative="1">
      <w:start w:val="1"/>
      <w:numFmt w:val="bullet"/>
      <w:lvlText w:val="•"/>
      <w:lvlJc w:val="left"/>
      <w:pPr>
        <w:tabs>
          <w:tab w:val="num" w:pos="6480"/>
        </w:tabs>
        <w:ind w:left="6480" w:hanging="360"/>
      </w:pPr>
      <w:rPr>
        <w:rFonts w:ascii="Arial" w:hAnsi="Arial" w:hint="default"/>
      </w:rPr>
    </w:lvl>
  </w:abstractNum>
  <w:abstractNum w:abstractNumId="167" w15:restartNumberingAfterBreak="0">
    <w:nsid w:val="7D352FBE"/>
    <w:multiLevelType w:val="hybridMultilevel"/>
    <w:tmpl w:val="3E6E8E5A"/>
    <w:lvl w:ilvl="0" w:tplc="04190001">
      <w:start w:val="1"/>
      <w:numFmt w:val="bullet"/>
      <w:lvlText w:val=""/>
      <w:lvlJc w:val="left"/>
      <w:pPr>
        <w:ind w:left="705" w:hanging="705"/>
      </w:pPr>
      <w:rPr>
        <w:rFonts w:ascii="Symbol" w:hAnsi="Symbol" w:hint="default"/>
      </w:rPr>
    </w:lvl>
    <w:lvl w:ilvl="1" w:tplc="04190001">
      <w:start w:val="1"/>
      <w:numFmt w:val="bullet"/>
      <w:lvlText w:val=""/>
      <w:lvlJc w:val="left"/>
      <w:pPr>
        <w:ind w:left="1080" w:hanging="360"/>
      </w:pPr>
      <w:rPr>
        <w:rFonts w:ascii="Symbol" w:hAnsi="Symbol"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8" w15:restartNumberingAfterBreak="0">
    <w:nsid w:val="7DBA29FE"/>
    <w:multiLevelType w:val="hybridMultilevel"/>
    <w:tmpl w:val="CDDCE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7E500A27"/>
    <w:multiLevelType w:val="hybridMultilevel"/>
    <w:tmpl w:val="55262B30"/>
    <w:lvl w:ilvl="0" w:tplc="ABD47114">
      <w:start w:val="1"/>
      <w:numFmt w:val="bullet"/>
      <w:lvlText w:val=""/>
      <w:lvlJc w:val="left"/>
      <w:pPr>
        <w:tabs>
          <w:tab w:val="num" w:pos="1021"/>
        </w:tabs>
        <w:ind w:left="102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7F3D118A"/>
    <w:multiLevelType w:val="hybridMultilevel"/>
    <w:tmpl w:val="2D1AA742"/>
    <w:lvl w:ilvl="0" w:tplc="04190001">
      <w:start w:val="1"/>
      <w:numFmt w:val="bullet"/>
      <w:lvlText w:val=""/>
      <w:lvlJc w:val="left"/>
      <w:pPr>
        <w:ind w:left="2123" w:hanging="705"/>
      </w:pPr>
      <w:rPr>
        <w:rFonts w:ascii="Symbol" w:hAnsi="Symbol" w:hint="default"/>
      </w:rPr>
    </w:lvl>
    <w:lvl w:ilvl="1" w:tplc="BC0A5420">
      <w:numFmt w:val="bullet"/>
      <w:lvlText w:val="•"/>
      <w:lvlJc w:val="left"/>
      <w:pPr>
        <w:ind w:left="2494" w:hanging="705"/>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9"/>
  </w:num>
  <w:num w:numId="2">
    <w:abstractNumId w:val="167"/>
  </w:num>
  <w:num w:numId="3">
    <w:abstractNumId w:val="170"/>
  </w:num>
  <w:num w:numId="4">
    <w:abstractNumId w:val="53"/>
  </w:num>
  <w:num w:numId="5">
    <w:abstractNumId w:val="89"/>
  </w:num>
  <w:num w:numId="6">
    <w:abstractNumId w:val="158"/>
  </w:num>
  <w:num w:numId="7">
    <w:abstractNumId w:val="1"/>
  </w:num>
  <w:num w:numId="8">
    <w:abstractNumId w:val="6"/>
  </w:num>
  <w:num w:numId="9">
    <w:abstractNumId w:val="58"/>
  </w:num>
  <w:num w:numId="10">
    <w:abstractNumId w:val="13"/>
  </w:num>
  <w:num w:numId="11">
    <w:abstractNumId w:val="126"/>
  </w:num>
  <w:num w:numId="12">
    <w:abstractNumId w:val="110"/>
  </w:num>
  <w:num w:numId="13">
    <w:abstractNumId w:val="99"/>
  </w:num>
  <w:num w:numId="14">
    <w:abstractNumId w:val="14"/>
  </w:num>
  <w:num w:numId="15">
    <w:abstractNumId w:val="94"/>
  </w:num>
  <w:num w:numId="16">
    <w:abstractNumId w:val="42"/>
  </w:num>
  <w:num w:numId="17">
    <w:abstractNumId w:val="68"/>
  </w:num>
  <w:num w:numId="18">
    <w:abstractNumId w:val="30"/>
  </w:num>
  <w:num w:numId="19">
    <w:abstractNumId w:val="10"/>
  </w:num>
  <w:num w:numId="20">
    <w:abstractNumId w:val="129"/>
  </w:num>
  <w:num w:numId="21">
    <w:abstractNumId w:val="45"/>
  </w:num>
  <w:num w:numId="22">
    <w:abstractNumId w:val="109"/>
  </w:num>
  <w:num w:numId="23">
    <w:abstractNumId w:val="136"/>
  </w:num>
  <w:num w:numId="24">
    <w:abstractNumId w:val="104"/>
  </w:num>
  <w:num w:numId="25">
    <w:abstractNumId w:val="50"/>
  </w:num>
  <w:num w:numId="26">
    <w:abstractNumId w:val="32"/>
  </w:num>
  <w:num w:numId="27">
    <w:abstractNumId w:val="106"/>
  </w:num>
  <w:num w:numId="28">
    <w:abstractNumId w:val="101"/>
  </w:num>
  <w:num w:numId="29">
    <w:abstractNumId w:val="29"/>
  </w:num>
  <w:num w:numId="30">
    <w:abstractNumId w:val="15"/>
  </w:num>
  <w:num w:numId="31">
    <w:abstractNumId w:val="165"/>
  </w:num>
  <w:num w:numId="32">
    <w:abstractNumId w:val="78"/>
  </w:num>
  <w:num w:numId="33">
    <w:abstractNumId w:val="76"/>
  </w:num>
  <w:num w:numId="34">
    <w:abstractNumId w:val="150"/>
  </w:num>
  <w:num w:numId="35">
    <w:abstractNumId w:val="117"/>
  </w:num>
  <w:num w:numId="36">
    <w:abstractNumId w:val="147"/>
  </w:num>
  <w:num w:numId="37">
    <w:abstractNumId w:val="162"/>
  </w:num>
  <w:num w:numId="38">
    <w:abstractNumId w:val="116"/>
  </w:num>
  <w:num w:numId="39">
    <w:abstractNumId w:val="88"/>
  </w:num>
  <w:num w:numId="40">
    <w:abstractNumId w:val="127"/>
  </w:num>
  <w:num w:numId="41">
    <w:abstractNumId w:val="21"/>
  </w:num>
  <w:num w:numId="42">
    <w:abstractNumId w:val="25"/>
  </w:num>
  <w:num w:numId="43">
    <w:abstractNumId w:val="131"/>
  </w:num>
  <w:num w:numId="44">
    <w:abstractNumId w:val="80"/>
  </w:num>
  <w:num w:numId="45">
    <w:abstractNumId w:val="134"/>
  </w:num>
  <w:num w:numId="46">
    <w:abstractNumId w:val="20"/>
  </w:num>
  <w:num w:numId="47">
    <w:abstractNumId w:val="9"/>
  </w:num>
  <w:num w:numId="48">
    <w:abstractNumId w:val="11"/>
  </w:num>
  <w:num w:numId="49">
    <w:abstractNumId w:val="7"/>
  </w:num>
  <w:num w:numId="50">
    <w:abstractNumId w:val="12"/>
  </w:num>
  <w:num w:numId="51">
    <w:abstractNumId w:val="93"/>
  </w:num>
  <w:num w:numId="52">
    <w:abstractNumId w:val="49"/>
  </w:num>
  <w:num w:numId="53">
    <w:abstractNumId w:val="52"/>
  </w:num>
  <w:num w:numId="54">
    <w:abstractNumId w:val="81"/>
  </w:num>
  <w:num w:numId="55">
    <w:abstractNumId w:val="67"/>
  </w:num>
  <w:num w:numId="56">
    <w:abstractNumId w:val="89"/>
  </w:num>
  <w:num w:numId="57">
    <w:abstractNumId w:val="69"/>
  </w:num>
  <w:num w:numId="58">
    <w:abstractNumId w:val="75"/>
  </w:num>
  <w:num w:numId="59">
    <w:abstractNumId w:val="153"/>
  </w:num>
  <w:num w:numId="60">
    <w:abstractNumId w:val="77"/>
  </w:num>
  <w:num w:numId="61">
    <w:abstractNumId w:val="39"/>
  </w:num>
  <w:num w:numId="62">
    <w:abstractNumId w:val="105"/>
  </w:num>
  <w:num w:numId="63">
    <w:abstractNumId w:val="145"/>
  </w:num>
  <w:num w:numId="64">
    <w:abstractNumId w:val="135"/>
  </w:num>
  <w:num w:numId="65">
    <w:abstractNumId w:val="54"/>
  </w:num>
  <w:num w:numId="66">
    <w:abstractNumId w:val="118"/>
  </w:num>
  <w:num w:numId="67">
    <w:abstractNumId w:val="128"/>
  </w:num>
  <w:num w:numId="68">
    <w:abstractNumId w:val="143"/>
  </w:num>
  <w:num w:numId="69">
    <w:abstractNumId w:val="108"/>
  </w:num>
  <w:num w:numId="70">
    <w:abstractNumId w:val="27"/>
  </w:num>
  <w:num w:numId="71">
    <w:abstractNumId w:val="103"/>
  </w:num>
  <w:num w:numId="72">
    <w:abstractNumId w:val="124"/>
  </w:num>
  <w:num w:numId="73">
    <w:abstractNumId w:val="84"/>
  </w:num>
  <w:num w:numId="74">
    <w:abstractNumId w:val="48"/>
  </w:num>
  <w:num w:numId="75">
    <w:abstractNumId w:val="24"/>
  </w:num>
  <w:num w:numId="76">
    <w:abstractNumId w:val="91"/>
  </w:num>
  <w:num w:numId="77">
    <w:abstractNumId w:val="28"/>
  </w:num>
  <w:num w:numId="78">
    <w:abstractNumId w:val="102"/>
  </w:num>
  <w:num w:numId="79">
    <w:abstractNumId w:val="63"/>
  </w:num>
  <w:num w:numId="80">
    <w:abstractNumId w:val="115"/>
  </w:num>
  <w:num w:numId="81">
    <w:abstractNumId w:val="70"/>
  </w:num>
  <w:num w:numId="82">
    <w:abstractNumId w:val="26"/>
  </w:num>
  <w:num w:numId="83">
    <w:abstractNumId w:val="34"/>
  </w:num>
  <w:num w:numId="84">
    <w:abstractNumId w:val="157"/>
  </w:num>
  <w:num w:numId="85">
    <w:abstractNumId w:val="133"/>
  </w:num>
  <w:num w:numId="86">
    <w:abstractNumId w:val="169"/>
  </w:num>
  <w:num w:numId="87">
    <w:abstractNumId w:val="87"/>
  </w:num>
  <w:num w:numId="88">
    <w:abstractNumId w:val="140"/>
  </w:num>
  <w:num w:numId="89">
    <w:abstractNumId w:val="155"/>
  </w:num>
  <w:num w:numId="90">
    <w:abstractNumId w:val="31"/>
  </w:num>
  <w:num w:numId="91">
    <w:abstractNumId w:val="138"/>
  </w:num>
  <w:num w:numId="92">
    <w:abstractNumId w:val="33"/>
  </w:num>
  <w:num w:numId="93">
    <w:abstractNumId w:val="74"/>
  </w:num>
  <w:num w:numId="94">
    <w:abstractNumId w:val="56"/>
  </w:num>
  <w:num w:numId="95">
    <w:abstractNumId w:val="97"/>
  </w:num>
  <w:num w:numId="96">
    <w:abstractNumId w:val="86"/>
  </w:num>
  <w:num w:numId="97">
    <w:abstractNumId w:val="123"/>
  </w:num>
  <w:num w:numId="98">
    <w:abstractNumId w:val="114"/>
  </w:num>
  <w:num w:numId="99">
    <w:abstractNumId w:val="38"/>
  </w:num>
  <w:num w:numId="100">
    <w:abstractNumId w:val="79"/>
  </w:num>
  <w:num w:numId="101">
    <w:abstractNumId w:val="18"/>
  </w:num>
  <w:num w:numId="102">
    <w:abstractNumId w:val="96"/>
  </w:num>
  <w:num w:numId="103">
    <w:abstractNumId w:val="137"/>
  </w:num>
  <w:num w:numId="104">
    <w:abstractNumId w:val="107"/>
  </w:num>
  <w:num w:numId="105">
    <w:abstractNumId w:val="130"/>
  </w:num>
  <w:num w:numId="106">
    <w:abstractNumId w:val="37"/>
  </w:num>
  <w:num w:numId="107">
    <w:abstractNumId w:val="92"/>
  </w:num>
  <w:num w:numId="108">
    <w:abstractNumId w:val="82"/>
  </w:num>
  <w:num w:numId="109">
    <w:abstractNumId w:val="151"/>
  </w:num>
  <w:num w:numId="110">
    <w:abstractNumId w:val="85"/>
  </w:num>
  <w:num w:numId="111">
    <w:abstractNumId w:val="71"/>
  </w:num>
  <w:num w:numId="112">
    <w:abstractNumId w:val="41"/>
  </w:num>
  <w:num w:numId="113">
    <w:abstractNumId w:val="46"/>
  </w:num>
  <w:num w:numId="114">
    <w:abstractNumId w:val="120"/>
  </w:num>
  <w:num w:numId="115">
    <w:abstractNumId w:val="90"/>
  </w:num>
  <w:num w:numId="116">
    <w:abstractNumId w:val="51"/>
  </w:num>
  <w:num w:numId="117">
    <w:abstractNumId w:val="98"/>
  </w:num>
  <w:num w:numId="118">
    <w:abstractNumId w:val="168"/>
  </w:num>
  <w:num w:numId="119">
    <w:abstractNumId w:val="40"/>
  </w:num>
  <w:num w:numId="120">
    <w:abstractNumId w:val="57"/>
  </w:num>
  <w:num w:numId="121">
    <w:abstractNumId w:val="121"/>
  </w:num>
  <w:num w:numId="122">
    <w:abstractNumId w:val="60"/>
  </w:num>
  <w:num w:numId="123">
    <w:abstractNumId w:val="166"/>
  </w:num>
  <w:num w:numId="124">
    <w:abstractNumId w:val="159"/>
  </w:num>
  <w:num w:numId="125">
    <w:abstractNumId w:val="72"/>
  </w:num>
  <w:num w:numId="126">
    <w:abstractNumId w:val="132"/>
  </w:num>
  <w:num w:numId="127">
    <w:abstractNumId w:val="65"/>
  </w:num>
  <w:num w:numId="128">
    <w:abstractNumId w:val="23"/>
  </w:num>
  <w:num w:numId="12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13"/>
  </w:num>
  <w:num w:numId="134">
    <w:abstractNumId w:val="152"/>
  </w:num>
  <w:num w:numId="135">
    <w:abstractNumId w:val="23"/>
  </w:num>
  <w:num w:numId="13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3"/>
  </w:num>
  <w:num w:numId="144">
    <w:abstractNumId w:val="122"/>
  </w:num>
  <w:num w:numId="14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7"/>
  </w:num>
  <w:num w:numId="147">
    <w:abstractNumId w:val="163"/>
  </w:num>
  <w:num w:numId="148">
    <w:abstractNumId w:val="6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2"/>
  </w:num>
  <w:num w:numId="150">
    <w:abstractNumId w:val="100"/>
  </w:num>
  <w:num w:numId="151">
    <w:abstractNumId w:val="59"/>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42"/>
  </w:num>
  <w:num w:numId="153">
    <w:abstractNumId w:val="16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61"/>
  </w:num>
  <w:num w:numId="155">
    <w:abstractNumId w:val="17"/>
  </w:num>
  <w:num w:numId="156">
    <w:abstractNumId w:val="64"/>
  </w:num>
  <w:num w:numId="157">
    <w:abstractNumId w:val="44"/>
  </w:num>
  <w:num w:numId="158">
    <w:abstractNumId w:val="35"/>
  </w:num>
  <w:num w:numId="159">
    <w:abstractNumId w:val="141"/>
  </w:num>
  <w:num w:numId="16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19"/>
  </w:num>
  <w:num w:numId="162">
    <w:abstractNumId w:val="1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73"/>
  </w:num>
  <w:num w:numId="164">
    <w:abstractNumId w:val="112"/>
  </w:num>
  <w:num w:numId="165">
    <w:abstractNumId w:val="61"/>
  </w:num>
  <w:num w:numId="166">
    <w:abstractNumId w:val="154"/>
  </w:num>
  <w:num w:numId="167">
    <w:abstractNumId w:val="125"/>
  </w:num>
  <w:num w:numId="168">
    <w:abstractNumId w:val="156"/>
  </w:num>
  <w:num w:numId="169">
    <w:abstractNumId w:val="43"/>
  </w:num>
  <w:num w:numId="170">
    <w:abstractNumId w:val="36"/>
  </w:num>
  <w:num w:numId="171">
    <w:abstractNumId w:val="8"/>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1"/>
  <w:activeWritingStyle w:appName="MSWord" w:lang="de-DE" w:vendorID="64" w:dllVersion="0"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1"/>
  <w:proofState w:grammar="clean"/>
  <w:revisionView w:inkAnnotations="0"/>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C5E"/>
    <w:rsid w:val="00001A77"/>
    <w:rsid w:val="000034D5"/>
    <w:rsid w:val="000035A7"/>
    <w:rsid w:val="000039C3"/>
    <w:rsid w:val="00005BCD"/>
    <w:rsid w:val="00006CE0"/>
    <w:rsid w:val="00007579"/>
    <w:rsid w:val="00007646"/>
    <w:rsid w:val="000103FE"/>
    <w:rsid w:val="00010ACF"/>
    <w:rsid w:val="000127F2"/>
    <w:rsid w:val="0001340B"/>
    <w:rsid w:val="000143AC"/>
    <w:rsid w:val="00015570"/>
    <w:rsid w:val="0001562B"/>
    <w:rsid w:val="00015C5E"/>
    <w:rsid w:val="00020396"/>
    <w:rsid w:val="00021E5D"/>
    <w:rsid w:val="00023710"/>
    <w:rsid w:val="00023729"/>
    <w:rsid w:val="00023879"/>
    <w:rsid w:val="000241FC"/>
    <w:rsid w:val="00025396"/>
    <w:rsid w:val="00027024"/>
    <w:rsid w:val="000271DC"/>
    <w:rsid w:val="00031661"/>
    <w:rsid w:val="00031AAD"/>
    <w:rsid w:val="00031CDE"/>
    <w:rsid w:val="00031FED"/>
    <w:rsid w:val="00032CFB"/>
    <w:rsid w:val="00032E48"/>
    <w:rsid w:val="00033293"/>
    <w:rsid w:val="00034B24"/>
    <w:rsid w:val="00035ED4"/>
    <w:rsid w:val="000368F4"/>
    <w:rsid w:val="00036C84"/>
    <w:rsid w:val="00037CBC"/>
    <w:rsid w:val="00040BEB"/>
    <w:rsid w:val="000421CE"/>
    <w:rsid w:val="00042E9E"/>
    <w:rsid w:val="0004341B"/>
    <w:rsid w:val="00043630"/>
    <w:rsid w:val="0004377D"/>
    <w:rsid w:val="00043C62"/>
    <w:rsid w:val="000465E0"/>
    <w:rsid w:val="00052F2E"/>
    <w:rsid w:val="00053A53"/>
    <w:rsid w:val="00053CF3"/>
    <w:rsid w:val="000545A5"/>
    <w:rsid w:val="00054618"/>
    <w:rsid w:val="000546DA"/>
    <w:rsid w:val="00055067"/>
    <w:rsid w:val="000558B2"/>
    <w:rsid w:val="0005683E"/>
    <w:rsid w:val="00056991"/>
    <w:rsid w:val="00060BF1"/>
    <w:rsid w:val="00061136"/>
    <w:rsid w:val="0006213C"/>
    <w:rsid w:val="00070DFA"/>
    <w:rsid w:val="000713B4"/>
    <w:rsid w:val="00071ABE"/>
    <w:rsid w:val="00071C5A"/>
    <w:rsid w:val="00074389"/>
    <w:rsid w:val="00077239"/>
    <w:rsid w:val="00077BDE"/>
    <w:rsid w:val="000822E2"/>
    <w:rsid w:val="00083A71"/>
    <w:rsid w:val="000867D2"/>
    <w:rsid w:val="0009090A"/>
    <w:rsid w:val="00092917"/>
    <w:rsid w:val="00093389"/>
    <w:rsid w:val="000940E5"/>
    <w:rsid w:val="0009447B"/>
    <w:rsid w:val="00095250"/>
    <w:rsid w:val="0009525F"/>
    <w:rsid w:val="0009651E"/>
    <w:rsid w:val="00097607"/>
    <w:rsid w:val="000A0207"/>
    <w:rsid w:val="000A0A61"/>
    <w:rsid w:val="000A156C"/>
    <w:rsid w:val="000A3700"/>
    <w:rsid w:val="000A4332"/>
    <w:rsid w:val="000A69E3"/>
    <w:rsid w:val="000A6C1F"/>
    <w:rsid w:val="000B1F05"/>
    <w:rsid w:val="000B2ACE"/>
    <w:rsid w:val="000B4176"/>
    <w:rsid w:val="000B44DE"/>
    <w:rsid w:val="000B622E"/>
    <w:rsid w:val="000B7FA3"/>
    <w:rsid w:val="000C198D"/>
    <w:rsid w:val="000C2BA5"/>
    <w:rsid w:val="000C2F12"/>
    <w:rsid w:val="000C3359"/>
    <w:rsid w:val="000C3542"/>
    <w:rsid w:val="000C36E0"/>
    <w:rsid w:val="000C3E1D"/>
    <w:rsid w:val="000C56A0"/>
    <w:rsid w:val="000C68DB"/>
    <w:rsid w:val="000D0AFB"/>
    <w:rsid w:val="000D22CF"/>
    <w:rsid w:val="000D39BF"/>
    <w:rsid w:val="000D5C56"/>
    <w:rsid w:val="000D6F3F"/>
    <w:rsid w:val="000E19A9"/>
    <w:rsid w:val="000E2F93"/>
    <w:rsid w:val="000E5468"/>
    <w:rsid w:val="000F0E6B"/>
    <w:rsid w:val="000F1774"/>
    <w:rsid w:val="000F1BC7"/>
    <w:rsid w:val="000F250A"/>
    <w:rsid w:val="000F3637"/>
    <w:rsid w:val="000F5502"/>
    <w:rsid w:val="000F6E9C"/>
    <w:rsid w:val="0010021C"/>
    <w:rsid w:val="00100880"/>
    <w:rsid w:val="0010200D"/>
    <w:rsid w:val="00103994"/>
    <w:rsid w:val="00104B9A"/>
    <w:rsid w:val="00107772"/>
    <w:rsid w:val="00110202"/>
    <w:rsid w:val="001105A2"/>
    <w:rsid w:val="001114BA"/>
    <w:rsid w:val="00111809"/>
    <w:rsid w:val="0011507F"/>
    <w:rsid w:val="00116A1D"/>
    <w:rsid w:val="001217EE"/>
    <w:rsid w:val="001228EA"/>
    <w:rsid w:val="001255EF"/>
    <w:rsid w:val="00125D04"/>
    <w:rsid w:val="0012713C"/>
    <w:rsid w:val="00127F2C"/>
    <w:rsid w:val="0013058D"/>
    <w:rsid w:val="00130BC5"/>
    <w:rsid w:val="001317C7"/>
    <w:rsid w:val="00131E36"/>
    <w:rsid w:val="001338F8"/>
    <w:rsid w:val="00134BF7"/>
    <w:rsid w:val="0013631D"/>
    <w:rsid w:val="001404A9"/>
    <w:rsid w:val="001404D0"/>
    <w:rsid w:val="0014089B"/>
    <w:rsid w:val="00141689"/>
    <w:rsid w:val="00141FB9"/>
    <w:rsid w:val="00146DC8"/>
    <w:rsid w:val="001471FD"/>
    <w:rsid w:val="001476D3"/>
    <w:rsid w:val="00151BB2"/>
    <w:rsid w:val="001532EC"/>
    <w:rsid w:val="0015429F"/>
    <w:rsid w:val="00155D8D"/>
    <w:rsid w:val="00156B40"/>
    <w:rsid w:val="0016225A"/>
    <w:rsid w:val="00162CF5"/>
    <w:rsid w:val="001631F8"/>
    <w:rsid w:val="00165A1B"/>
    <w:rsid w:val="00171667"/>
    <w:rsid w:val="00171ECD"/>
    <w:rsid w:val="0017242E"/>
    <w:rsid w:val="00172C08"/>
    <w:rsid w:val="00173C4C"/>
    <w:rsid w:val="00177503"/>
    <w:rsid w:val="0018015E"/>
    <w:rsid w:val="00180C5E"/>
    <w:rsid w:val="00180D0F"/>
    <w:rsid w:val="001813F9"/>
    <w:rsid w:val="00181F3F"/>
    <w:rsid w:val="001837F9"/>
    <w:rsid w:val="00185CAE"/>
    <w:rsid w:val="0018717A"/>
    <w:rsid w:val="00191CF9"/>
    <w:rsid w:val="001923C1"/>
    <w:rsid w:val="00194E63"/>
    <w:rsid w:val="00195599"/>
    <w:rsid w:val="00195680"/>
    <w:rsid w:val="00196228"/>
    <w:rsid w:val="001965EA"/>
    <w:rsid w:val="00197001"/>
    <w:rsid w:val="001978D9"/>
    <w:rsid w:val="001A0F52"/>
    <w:rsid w:val="001A2D94"/>
    <w:rsid w:val="001A3668"/>
    <w:rsid w:val="001A37A4"/>
    <w:rsid w:val="001A3D35"/>
    <w:rsid w:val="001A50CB"/>
    <w:rsid w:val="001A66A7"/>
    <w:rsid w:val="001A6BBB"/>
    <w:rsid w:val="001A740A"/>
    <w:rsid w:val="001A7F20"/>
    <w:rsid w:val="001B0B07"/>
    <w:rsid w:val="001B1B85"/>
    <w:rsid w:val="001B3EEC"/>
    <w:rsid w:val="001B7406"/>
    <w:rsid w:val="001B7955"/>
    <w:rsid w:val="001C0EE0"/>
    <w:rsid w:val="001C2BAD"/>
    <w:rsid w:val="001C55E3"/>
    <w:rsid w:val="001C7270"/>
    <w:rsid w:val="001C7369"/>
    <w:rsid w:val="001C77FA"/>
    <w:rsid w:val="001D0668"/>
    <w:rsid w:val="001D1AA5"/>
    <w:rsid w:val="001D2667"/>
    <w:rsid w:val="001D3DC1"/>
    <w:rsid w:val="001D3FB0"/>
    <w:rsid w:val="001D4417"/>
    <w:rsid w:val="001D46E1"/>
    <w:rsid w:val="001D60EA"/>
    <w:rsid w:val="001D64DF"/>
    <w:rsid w:val="001D6D45"/>
    <w:rsid w:val="001E0CB0"/>
    <w:rsid w:val="001E1461"/>
    <w:rsid w:val="001E16F8"/>
    <w:rsid w:val="001E1807"/>
    <w:rsid w:val="001E2331"/>
    <w:rsid w:val="001E52F2"/>
    <w:rsid w:val="001E61D5"/>
    <w:rsid w:val="001E7EDF"/>
    <w:rsid w:val="001F07E9"/>
    <w:rsid w:val="001F2162"/>
    <w:rsid w:val="001F332B"/>
    <w:rsid w:val="001F3CDD"/>
    <w:rsid w:val="001F48BA"/>
    <w:rsid w:val="001F51BF"/>
    <w:rsid w:val="001F55D0"/>
    <w:rsid w:val="001F5801"/>
    <w:rsid w:val="001F641D"/>
    <w:rsid w:val="00200F20"/>
    <w:rsid w:val="00202DE5"/>
    <w:rsid w:val="00210C49"/>
    <w:rsid w:val="00211136"/>
    <w:rsid w:val="002120AA"/>
    <w:rsid w:val="00213F0A"/>
    <w:rsid w:val="00215D8C"/>
    <w:rsid w:val="00221203"/>
    <w:rsid w:val="00221B7B"/>
    <w:rsid w:val="00224A3D"/>
    <w:rsid w:val="00230186"/>
    <w:rsid w:val="00230978"/>
    <w:rsid w:val="002311AE"/>
    <w:rsid w:val="002327F3"/>
    <w:rsid w:val="0023513B"/>
    <w:rsid w:val="00235423"/>
    <w:rsid w:val="00241A70"/>
    <w:rsid w:val="00241DE1"/>
    <w:rsid w:val="002431B5"/>
    <w:rsid w:val="0024404E"/>
    <w:rsid w:val="00245239"/>
    <w:rsid w:val="00245B13"/>
    <w:rsid w:val="002469E3"/>
    <w:rsid w:val="002473A8"/>
    <w:rsid w:val="0025009A"/>
    <w:rsid w:val="0025194D"/>
    <w:rsid w:val="002535B4"/>
    <w:rsid w:val="002537B5"/>
    <w:rsid w:val="00253BC3"/>
    <w:rsid w:val="00253CC2"/>
    <w:rsid w:val="00257474"/>
    <w:rsid w:val="00257EC8"/>
    <w:rsid w:val="002603E3"/>
    <w:rsid w:val="00261256"/>
    <w:rsid w:val="0026196A"/>
    <w:rsid w:val="00262541"/>
    <w:rsid w:val="002635F5"/>
    <w:rsid w:val="0026380F"/>
    <w:rsid w:val="002668FC"/>
    <w:rsid w:val="00266EEA"/>
    <w:rsid w:val="00267DE2"/>
    <w:rsid w:val="00270347"/>
    <w:rsid w:val="0027522A"/>
    <w:rsid w:val="00277FD3"/>
    <w:rsid w:val="00281081"/>
    <w:rsid w:val="00285C70"/>
    <w:rsid w:val="00286688"/>
    <w:rsid w:val="00290472"/>
    <w:rsid w:val="002905FE"/>
    <w:rsid w:val="00291CC4"/>
    <w:rsid w:val="00292402"/>
    <w:rsid w:val="00296908"/>
    <w:rsid w:val="002A14A3"/>
    <w:rsid w:val="002A2CB7"/>
    <w:rsid w:val="002A355A"/>
    <w:rsid w:val="002A40D8"/>
    <w:rsid w:val="002A474A"/>
    <w:rsid w:val="002A5197"/>
    <w:rsid w:val="002A5B1B"/>
    <w:rsid w:val="002A7543"/>
    <w:rsid w:val="002B125B"/>
    <w:rsid w:val="002B3E87"/>
    <w:rsid w:val="002B557E"/>
    <w:rsid w:val="002B59AA"/>
    <w:rsid w:val="002B655C"/>
    <w:rsid w:val="002B762F"/>
    <w:rsid w:val="002C2FE5"/>
    <w:rsid w:val="002C3401"/>
    <w:rsid w:val="002C38D7"/>
    <w:rsid w:val="002C4947"/>
    <w:rsid w:val="002C63BF"/>
    <w:rsid w:val="002D1222"/>
    <w:rsid w:val="002D1491"/>
    <w:rsid w:val="002D414E"/>
    <w:rsid w:val="002D7F46"/>
    <w:rsid w:val="002E051F"/>
    <w:rsid w:val="002E2383"/>
    <w:rsid w:val="002E33AD"/>
    <w:rsid w:val="002E36A5"/>
    <w:rsid w:val="002E3E42"/>
    <w:rsid w:val="002E47DA"/>
    <w:rsid w:val="002E6956"/>
    <w:rsid w:val="002E7044"/>
    <w:rsid w:val="002E783F"/>
    <w:rsid w:val="002E7F7B"/>
    <w:rsid w:val="002F0646"/>
    <w:rsid w:val="002F2607"/>
    <w:rsid w:val="002F2D24"/>
    <w:rsid w:val="002F2D5C"/>
    <w:rsid w:val="002F6CE5"/>
    <w:rsid w:val="002F73F1"/>
    <w:rsid w:val="003003E8"/>
    <w:rsid w:val="0030209E"/>
    <w:rsid w:val="00302EBF"/>
    <w:rsid w:val="003032A0"/>
    <w:rsid w:val="00305AC6"/>
    <w:rsid w:val="003119DD"/>
    <w:rsid w:val="00312237"/>
    <w:rsid w:val="003144D3"/>
    <w:rsid w:val="003146BB"/>
    <w:rsid w:val="00315D6A"/>
    <w:rsid w:val="00317FEF"/>
    <w:rsid w:val="00320006"/>
    <w:rsid w:val="00321B75"/>
    <w:rsid w:val="00327F5C"/>
    <w:rsid w:val="00331D28"/>
    <w:rsid w:val="00332A6A"/>
    <w:rsid w:val="0033457D"/>
    <w:rsid w:val="003369B4"/>
    <w:rsid w:val="00340A8E"/>
    <w:rsid w:val="00341AAE"/>
    <w:rsid w:val="00341C10"/>
    <w:rsid w:val="003446C4"/>
    <w:rsid w:val="00344A76"/>
    <w:rsid w:val="00353224"/>
    <w:rsid w:val="0035490D"/>
    <w:rsid w:val="00354AD4"/>
    <w:rsid w:val="003569D8"/>
    <w:rsid w:val="00360887"/>
    <w:rsid w:val="00362B53"/>
    <w:rsid w:val="00362C51"/>
    <w:rsid w:val="0036326F"/>
    <w:rsid w:val="0036656B"/>
    <w:rsid w:val="003667F7"/>
    <w:rsid w:val="00366D20"/>
    <w:rsid w:val="003703A8"/>
    <w:rsid w:val="00371E91"/>
    <w:rsid w:val="003738E6"/>
    <w:rsid w:val="00375FCF"/>
    <w:rsid w:val="00376F9A"/>
    <w:rsid w:val="00377371"/>
    <w:rsid w:val="00380CDE"/>
    <w:rsid w:val="00382B70"/>
    <w:rsid w:val="00383556"/>
    <w:rsid w:val="00383B59"/>
    <w:rsid w:val="0038589B"/>
    <w:rsid w:val="003870A3"/>
    <w:rsid w:val="0038759D"/>
    <w:rsid w:val="003915A1"/>
    <w:rsid w:val="00393092"/>
    <w:rsid w:val="003957AE"/>
    <w:rsid w:val="00396D2C"/>
    <w:rsid w:val="003971FC"/>
    <w:rsid w:val="00397664"/>
    <w:rsid w:val="003976B1"/>
    <w:rsid w:val="003A08CA"/>
    <w:rsid w:val="003A0AC4"/>
    <w:rsid w:val="003A0D00"/>
    <w:rsid w:val="003A1E15"/>
    <w:rsid w:val="003A22C0"/>
    <w:rsid w:val="003A6BE5"/>
    <w:rsid w:val="003B0311"/>
    <w:rsid w:val="003B044F"/>
    <w:rsid w:val="003B17F2"/>
    <w:rsid w:val="003B2F2C"/>
    <w:rsid w:val="003B3601"/>
    <w:rsid w:val="003B3952"/>
    <w:rsid w:val="003B3BEF"/>
    <w:rsid w:val="003B7A8D"/>
    <w:rsid w:val="003C1A39"/>
    <w:rsid w:val="003C331E"/>
    <w:rsid w:val="003C363B"/>
    <w:rsid w:val="003C3A69"/>
    <w:rsid w:val="003C4738"/>
    <w:rsid w:val="003C4A19"/>
    <w:rsid w:val="003C62C6"/>
    <w:rsid w:val="003C65DB"/>
    <w:rsid w:val="003C7660"/>
    <w:rsid w:val="003C7967"/>
    <w:rsid w:val="003D0430"/>
    <w:rsid w:val="003D6BFB"/>
    <w:rsid w:val="003D769C"/>
    <w:rsid w:val="003D7E72"/>
    <w:rsid w:val="003E0025"/>
    <w:rsid w:val="003E3C97"/>
    <w:rsid w:val="003E5B71"/>
    <w:rsid w:val="003E6D52"/>
    <w:rsid w:val="003F0305"/>
    <w:rsid w:val="003F080A"/>
    <w:rsid w:val="003F3D12"/>
    <w:rsid w:val="003F4253"/>
    <w:rsid w:val="003F54BA"/>
    <w:rsid w:val="003F5F1F"/>
    <w:rsid w:val="003F644A"/>
    <w:rsid w:val="003F68DD"/>
    <w:rsid w:val="0040125D"/>
    <w:rsid w:val="0040268C"/>
    <w:rsid w:val="00402AB5"/>
    <w:rsid w:val="00403D5F"/>
    <w:rsid w:val="00405B73"/>
    <w:rsid w:val="00405C5F"/>
    <w:rsid w:val="00407D81"/>
    <w:rsid w:val="004101B2"/>
    <w:rsid w:val="00411E0C"/>
    <w:rsid w:val="004124AD"/>
    <w:rsid w:val="00412809"/>
    <w:rsid w:val="00413DF5"/>
    <w:rsid w:val="00416FB4"/>
    <w:rsid w:val="004173C8"/>
    <w:rsid w:val="0041774E"/>
    <w:rsid w:val="00420291"/>
    <w:rsid w:val="004204B1"/>
    <w:rsid w:val="00422853"/>
    <w:rsid w:val="00424F28"/>
    <w:rsid w:val="004250E9"/>
    <w:rsid w:val="00427EE3"/>
    <w:rsid w:val="00430246"/>
    <w:rsid w:val="00430313"/>
    <w:rsid w:val="00431160"/>
    <w:rsid w:val="004317D6"/>
    <w:rsid w:val="0043413E"/>
    <w:rsid w:val="00434DBC"/>
    <w:rsid w:val="0043696D"/>
    <w:rsid w:val="00436DF7"/>
    <w:rsid w:val="00436F47"/>
    <w:rsid w:val="004374CC"/>
    <w:rsid w:val="00440313"/>
    <w:rsid w:val="004419C5"/>
    <w:rsid w:val="004433CC"/>
    <w:rsid w:val="00443F79"/>
    <w:rsid w:val="00444694"/>
    <w:rsid w:val="0045054E"/>
    <w:rsid w:val="0045110A"/>
    <w:rsid w:val="00452478"/>
    <w:rsid w:val="004542B0"/>
    <w:rsid w:val="004555EE"/>
    <w:rsid w:val="00455673"/>
    <w:rsid w:val="00455BDD"/>
    <w:rsid w:val="004569A5"/>
    <w:rsid w:val="00457092"/>
    <w:rsid w:val="00457DBC"/>
    <w:rsid w:val="00462E93"/>
    <w:rsid w:val="00463342"/>
    <w:rsid w:val="00463EB0"/>
    <w:rsid w:val="00467237"/>
    <w:rsid w:val="00470D59"/>
    <w:rsid w:val="00471115"/>
    <w:rsid w:val="004713CC"/>
    <w:rsid w:val="0047173E"/>
    <w:rsid w:val="0047254E"/>
    <w:rsid w:val="00472BA6"/>
    <w:rsid w:val="00474905"/>
    <w:rsid w:val="00474959"/>
    <w:rsid w:val="00476626"/>
    <w:rsid w:val="00477226"/>
    <w:rsid w:val="004805A1"/>
    <w:rsid w:val="00481125"/>
    <w:rsid w:val="004839A7"/>
    <w:rsid w:val="00485185"/>
    <w:rsid w:val="0048569F"/>
    <w:rsid w:val="00485E4B"/>
    <w:rsid w:val="00486AB9"/>
    <w:rsid w:val="00487144"/>
    <w:rsid w:val="00490828"/>
    <w:rsid w:val="004912AC"/>
    <w:rsid w:val="0049168C"/>
    <w:rsid w:val="00492620"/>
    <w:rsid w:val="0049686D"/>
    <w:rsid w:val="00496C13"/>
    <w:rsid w:val="00496D81"/>
    <w:rsid w:val="0049759E"/>
    <w:rsid w:val="00497774"/>
    <w:rsid w:val="00497EAA"/>
    <w:rsid w:val="004A1BD3"/>
    <w:rsid w:val="004A2278"/>
    <w:rsid w:val="004A3CED"/>
    <w:rsid w:val="004A402B"/>
    <w:rsid w:val="004A458B"/>
    <w:rsid w:val="004A47DE"/>
    <w:rsid w:val="004A6EC9"/>
    <w:rsid w:val="004A7ED2"/>
    <w:rsid w:val="004B0830"/>
    <w:rsid w:val="004B315F"/>
    <w:rsid w:val="004B3AF6"/>
    <w:rsid w:val="004B6355"/>
    <w:rsid w:val="004B6D64"/>
    <w:rsid w:val="004C0027"/>
    <w:rsid w:val="004C0C25"/>
    <w:rsid w:val="004C2B66"/>
    <w:rsid w:val="004C7BE9"/>
    <w:rsid w:val="004D3BCB"/>
    <w:rsid w:val="004D7374"/>
    <w:rsid w:val="004D7759"/>
    <w:rsid w:val="004E08AC"/>
    <w:rsid w:val="004E0A27"/>
    <w:rsid w:val="004E145E"/>
    <w:rsid w:val="004E2C44"/>
    <w:rsid w:val="004E55AD"/>
    <w:rsid w:val="004E5672"/>
    <w:rsid w:val="004E5B30"/>
    <w:rsid w:val="004F07FA"/>
    <w:rsid w:val="004F0B51"/>
    <w:rsid w:val="004F3F23"/>
    <w:rsid w:val="004F4893"/>
    <w:rsid w:val="004F56A1"/>
    <w:rsid w:val="004F7213"/>
    <w:rsid w:val="004F7ADD"/>
    <w:rsid w:val="00500F37"/>
    <w:rsid w:val="005018DF"/>
    <w:rsid w:val="00501F1E"/>
    <w:rsid w:val="00502E9C"/>
    <w:rsid w:val="00503339"/>
    <w:rsid w:val="005040C9"/>
    <w:rsid w:val="005049BE"/>
    <w:rsid w:val="0050601C"/>
    <w:rsid w:val="00506677"/>
    <w:rsid w:val="00506713"/>
    <w:rsid w:val="0051115A"/>
    <w:rsid w:val="00512BD8"/>
    <w:rsid w:val="005134F6"/>
    <w:rsid w:val="00514CAC"/>
    <w:rsid w:val="005168DE"/>
    <w:rsid w:val="00517AB2"/>
    <w:rsid w:val="0052130A"/>
    <w:rsid w:val="00521D08"/>
    <w:rsid w:val="00522C8E"/>
    <w:rsid w:val="00522C92"/>
    <w:rsid w:val="00523502"/>
    <w:rsid w:val="00523DFE"/>
    <w:rsid w:val="005241D7"/>
    <w:rsid w:val="00524749"/>
    <w:rsid w:val="005248AD"/>
    <w:rsid w:val="00524AC8"/>
    <w:rsid w:val="00525609"/>
    <w:rsid w:val="005311C7"/>
    <w:rsid w:val="00533A63"/>
    <w:rsid w:val="0053428B"/>
    <w:rsid w:val="00534E54"/>
    <w:rsid w:val="005353F4"/>
    <w:rsid w:val="005360EC"/>
    <w:rsid w:val="00536161"/>
    <w:rsid w:val="005411F6"/>
    <w:rsid w:val="00542414"/>
    <w:rsid w:val="00543291"/>
    <w:rsid w:val="005451CE"/>
    <w:rsid w:val="00546445"/>
    <w:rsid w:val="00546EF2"/>
    <w:rsid w:val="0055372F"/>
    <w:rsid w:val="005569B7"/>
    <w:rsid w:val="0056051E"/>
    <w:rsid w:val="00562319"/>
    <w:rsid w:val="00562AB9"/>
    <w:rsid w:val="005648FE"/>
    <w:rsid w:val="00566ED8"/>
    <w:rsid w:val="00567410"/>
    <w:rsid w:val="00567C48"/>
    <w:rsid w:val="0057376B"/>
    <w:rsid w:val="005746B9"/>
    <w:rsid w:val="00574D67"/>
    <w:rsid w:val="00575248"/>
    <w:rsid w:val="005808F9"/>
    <w:rsid w:val="00580EA1"/>
    <w:rsid w:val="0058100B"/>
    <w:rsid w:val="00582778"/>
    <w:rsid w:val="00583342"/>
    <w:rsid w:val="00583CFF"/>
    <w:rsid w:val="00584B0A"/>
    <w:rsid w:val="0058682B"/>
    <w:rsid w:val="00586EA7"/>
    <w:rsid w:val="00592542"/>
    <w:rsid w:val="00593735"/>
    <w:rsid w:val="00594CCD"/>
    <w:rsid w:val="005961D4"/>
    <w:rsid w:val="00596E93"/>
    <w:rsid w:val="005A0507"/>
    <w:rsid w:val="005A572F"/>
    <w:rsid w:val="005A6202"/>
    <w:rsid w:val="005A739F"/>
    <w:rsid w:val="005A7F3F"/>
    <w:rsid w:val="005B1401"/>
    <w:rsid w:val="005B2303"/>
    <w:rsid w:val="005B2EF9"/>
    <w:rsid w:val="005B33A3"/>
    <w:rsid w:val="005B71A1"/>
    <w:rsid w:val="005B724E"/>
    <w:rsid w:val="005B7E6E"/>
    <w:rsid w:val="005C29F7"/>
    <w:rsid w:val="005C444A"/>
    <w:rsid w:val="005C44D0"/>
    <w:rsid w:val="005C4921"/>
    <w:rsid w:val="005C65B1"/>
    <w:rsid w:val="005D06F2"/>
    <w:rsid w:val="005D132C"/>
    <w:rsid w:val="005D58D2"/>
    <w:rsid w:val="005D7976"/>
    <w:rsid w:val="005E1A1B"/>
    <w:rsid w:val="005E274F"/>
    <w:rsid w:val="005E2A0F"/>
    <w:rsid w:val="005E3E79"/>
    <w:rsid w:val="005E71FA"/>
    <w:rsid w:val="005F1CB4"/>
    <w:rsid w:val="005F2918"/>
    <w:rsid w:val="005F2CC7"/>
    <w:rsid w:val="005F555B"/>
    <w:rsid w:val="005F5C12"/>
    <w:rsid w:val="005F78F0"/>
    <w:rsid w:val="00600D60"/>
    <w:rsid w:val="00602324"/>
    <w:rsid w:val="0060331B"/>
    <w:rsid w:val="006042EC"/>
    <w:rsid w:val="0060435D"/>
    <w:rsid w:val="006048E9"/>
    <w:rsid w:val="00605826"/>
    <w:rsid w:val="00610710"/>
    <w:rsid w:val="00610FE7"/>
    <w:rsid w:val="00616373"/>
    <w:rsid w:val="006166D3"/>
    <w:rsid w:val="00616C15"/>
    <w:rsid w:val="00616CC3"/>
    <w:rsid w:val="006208D0"/>
    <w:rsid w:val="006211DC"/>
    <w:rsid w:val="00622062"/>
    <w:rsid w:val="00624D3B"/>
    <w:rsid w:val="00626270"/>
    <w:rsid w:val="00626692"/>
    <w:rsid w:val="00630A41"/>
    <w:rsid w:val="006310A4"/>
    <w:rsid w:val="006312BA"/>
    <w:rsid w:val="006315F0"/>
    <w:rsid w:val="0063182A"/>
    <w:rsid w:val="00632333"/>
    <w:rsid w:val="00635B2B"/>
    <w:rsid w:val="00636E76"/>
    <w:rsid w:val="0063787B"/>
    <w:rsid w:val="00637D26"/>
    <w:rsid w:val="00641A32"/>
    <w:rsid w:val="0064383F"/>
    <w:rsid w:val="00643A32"/>
    <w:rsid w:val="006446B0"/>
    <w:rsid w:val="006464BD"/>
    <w:rsid w:val="00646850"/>
    <w:rsid w:val="00647AF2"/>
    <w:rsid w:val="006517D7"/>
    <w:rsid w:val="00653F13"/>
    <w:rsid w:val="00655135"/>
    <w:rsid w:val="0065778E"/>
    <w:rsid w:val="00667CCC"/>
    <w:rsid w:val="006701E9"/>
    <w:rsid w:val="006714D9"/>
    <w:rsid w:val="00673067"/>
    <w:rsid w:val="00673B39"/>
    <w:rsid w:val="00673D62"/>
    <w:rsid w:val="00675781"/>
    <w:rsid w:val="006804ED"/>
    <w:rsid w:val="00680CFC"/>
    <w:rsid w:val="00683A05"/>
    <w:rsid w:val="006844A0"/>
    <w:rsid w:val="006869AB"/>
    <w:rsid w:val="00686A22"/>
    <w:rsid w:val="0069059A"/>
    <w:rsid w:val="0069120F"/>
    <w:rsid w:val="00694502"/>
    <w:rsid w:val="00696726"/>
    <w:rsid w:val="00697269"/>
    <w:rsid w:val="0069767A"/>
    <w:rsid w:val="00697C98"/>
    <w:rsid w:val="006A0AFE"/>
    <w:rsid w:val="006A10AB"/>
    <w:rsid w:val="006A4652"/>
    <w:rsid w:val="006A4DA9"/>
    <w:rsid w:val="006A50CD"/>
    <w:rsid w:val="006A5EE3"/>
    <w:rsid w:val="006A749A"/>
    <w:rsid w:val="006A7D19"/>
    <w:rsid w:val="006B0B30"/>
    <w:rsid w:val="006B33AF"/>
    <w:rsid w:val="006B6985"/>
    <w:rsid w:val="006B6D8A"/>
    <w:rsid w:val="006B7C02"/>
    <w:rsid w:val="006C0012"/>
    <w:rsid w:val="006C221C"/>
    <w:rsid w:val="006C5992"/>
    <w:rsid w:val="006C7DDE"/>
    <w:rsid w:val="006C7FE6"/>
    <w:rsid w:val="006D0B51"/>
    <w:rsid w:val="006D0F6C"/>
    <w:rsid w:val="006D12E6"/>
    <w:rsid w:val="006D1871"/>
    <w:rsid w:val="006D1F76"/>
    <w:rsid w:val="006D3500"/>
    <w:rsid w:val="006D3846"/>
    <w:rsid w:val="006D4B1B"/>
    <w:rsid w:val="006D503D"/>
    <w:rsid w:val="006E0F59"/>
    <w:rsid w:val="006E198F"/>
    <w:rsid w:val="006E390F"/>
    <w:rsid w:val="006E416B"/>
    <w:rsid w:val="006E4C10"/>
    <w:rsid w:val="006E6357"/>
    <w:rsid w:val="006E7B15"/>
    <w:rsid w:val="006F0CFC"/>
    <w:rsid w:val="006F0E70"/>
    <w:rsid w:val="006F15AC"/>
    <w:rsid w:val="006F2433"/>
    <w:rsid w:val="006F294C"/>
    <w:rsid w:val="006F2E41"/>
    <w:rsid w:val="006F2E42"/>
    <w:rsid w:val="006F39A5"/>
    <w:rsid w:val="006F47AC"/>
    <w:rsid w:val="006F480F"/>
    <w:rsid w:val="006F5457"/>
    <w:rsid w:val="00703049"/>
    <w:rsid w:val="0070331C"/>
    <w:rsid w:val="00704B70"/>
    <w:rsid w:val="0070528E"/>
    <w:rsid w:val="00705691"/>
    <w:rsid w:val="007071BD"/>
    <w:rsid w:val="00710B40"/>
    <w:rsid w:val="007167FE"/>
    <w:rsid w:val="00717777"/>
    <w:rsid w:val="0072089C"/>
    <w:rsid w:val="0072112C"/>
    <w:rsid w:val="00722A82"/>
    <w:rsid w:val="0072722C"/>
    <w:rsid w:val="00727909"/>
    <w:rsid w:val="007279FD"/>
    <w:rsid w:val="00727CDE"/>
    <w:rsid w:val="00731BA1"/>
    <w:rsid w:val="00732733"/>
    <w:rsid w:val="00732DEA"/>
    <w:rsid w:val="00732DFB"/>
    <w:rsid w:val="007376DA"/>
    <w:rsid w:val="007377CC"/>
    <w:rsid w:val="00741B6B"/>
    <w:rsid w:val="00743CB3"/>
    <w:rsid w:val="00744144"/>
    <w:rsid w:val="00745D38"/>
    <w:rsid w:val="00746015"/>
    <w:rsid w:val="0075099C"/>
    <w:rsid w:val="007509E9"/>
    <w:rsid w:val="00751AB7"/>
    <w:rsid w:val="007525B5"/>
    <w:rsid w:val="007525F3"/>
    <w:rsid w:val="00752DCD"/>
    <w:rsid w:val="00754070"/>
    <w:rsid w:val="00756E45"/>
    <w:rsid w:val="00761899"/>
    <w:rsid w:val="0076197D"/>
    <w:rsid w:val="0076263A"/>
    <w:rsid w:val="00764881"/>
    <w:rsid w:val="00764C72"/>
    <w:rsid w:val="00765C00"/>
    <w:rsid w:val="00766A45"/>
    <w:rsid w:val="00766ADD"/>
    <w:rsid w:val="00771514"/>
    <w:rsid w:val="0077245A"/>
    <w:rsid w:val="00772F97"/>
    <w:rsid w:val="00774C6C"/>
    <w:rsid w:val="0077566B"/>
    <w:rsid w:val="007809BE"/>
    <w:rsid w:val="00781B23"/>
    <w:rsid w:val="007826BB"/>
    <w:rsid w:val="007827EE"/>
    <w:rsid w:val="0078283C"/>
    <w:rsid w:val="007839D3"/>
    <w:rsid w:val="00783FB2"/>
    <w:rsid w:val="00784827"/>
    <w:rsid w:val="00785610"/>
    <w:rsid w:val="00785A80"/>
    <w:rsid w:val="00786F4D"/>
    <w:rsid w:val="007873A0"/>
    <w:rsid w:val="00790844"/>
    <w:rsid w:val="00791645"/>
    <w:rsid w:val="007921DE"/>
    <w:rsid w:val="00795E89"/>
    <w:rsid w:val="00796C2F"/>
    <w:rsid w:val="007A3969"/>
    <w:rsid w:val="007A3F11"/>
    <w:rsid w:val="007A4B9E"/>
    <w:rsid w:val="007A5794"/>
    <w:rsid w:val="007A6B46"/>
    <w:rsid w:val="007B028D"/>
    <w:rsid w:val="007B0ADC"/>
    <w:rsid w:val="007B175D"/>
    <w:rsid w:val="007B1C2E"/>
    <w:rsid w:val="007B27AA"/>
    <w:rsid w:val="007B3900"/>
    <w:rsid w:val="007B3991"/>
    <w:rsid w:val="007B4710"/>
    <w:rsid w:val="007B505F"/>
    <w:rsid w:val="007B54A0"/>
    <w:rsid w:val="007B5F95"/>
    <w:rsid w:val="007B7D4C"/>
    <w:rsid w:val="007D4DCB"/>
    <w:rsid w:val="007D54E3"/>
    <w:rsid w:val="007D5C85"/>
    <w:rsid w:val="007D7D85"/>
    <w:rsid w:val="007E2031"/>
    <w:rsid w:val="007E4984"/>
    <w:rsid w:val="007E7259"/>
    <w:rsid w:val="007F06AA"/>
    <w:rsid w:val="007F3AE5"/>
    <w:rsid w:val="007F5253"/>
    <w:rsid w:val="007F557E"/>
    <w:rsid w:val="008014A4"/>
    <w:rsid w:val="00801A08"/>
    <w:rsid w:val="00801E9C"/>
    <w:rsid w:val="00802457"/>
    <w:rsid w:val="008030C8"/>
    <w:rsid w:val="008033EF"/>
    <w:rsid w:val="008045CA"/>
    <w:rsid w:val="00804BBA"/>
    <w:rsid w:val="00804C38"/>
    <w:rsid w:val="00805A83"/>
    <w:rsid w:val="00805C9F"/>
    <w:rsid w:val="00807232"/>
    <w:rsid w:val="00811E73"/>
    <w:rsid w:val="00812732"/>
    <w:rsid w:val="0081352B"/>
    <w:rsid w:val="00815B1A"/>
    <w:rsid w:val="00815D8E"/>
    <w:rsid w:val="0081738F"/>
    <w:rsid w:val="00820D73"/>
    <w:rsid w:val="00821AC0"/>
    <w:rsid w:val="008220F2"/>
    <w:rsid w:val="00822E13"/>
    <w:rsid w:val="00823EAA"/>
    <w:rsid w:val="0082478D"/>
    <w:rsid w:val="00825336"/>
    <w:rsid w:val="0082557F"/>
    <w:rsid w:val="00827957"/>
    <w:rsid w:val="00827D7D"/>
    <w:rsid w:val="008300BE"/>
    <w:rsid w:val="008302A9"/>
    <w:rsid w:val="00832833"/>
    <w:rsid w:val="00833D44"/>
    <w:rsid w:val="008341F4"/>
    <w:rsid w:val="00835F48"/>
    <w:rsid w:val="00836298"/>
    <w:rsid w:val="008372B8"/>
    <w:rsid w:val="008377DB"/>
    <w:rsid w:val="00837B52"/>
    <w:rsid w:val="008400C5"/>
    <w:rsid w:val="008412D3"/>
    <w:rsid w:val="0084190C"/>
    <w:rsid w:val="008434FF"/>
    <w:rsid w:val="00843BFA"/>
    <w:rsid w:val="00843ECB"/>
    <w:rsid w:val="008446C4"/>
    <w:rsid w:val="00844A2E"/>
    <w:rsid w:val="00844D70"/>
    <w:rsid w:val="00846DD8"/>
    <w:rsid w:val="0085349A"/>
    <w:rsid w:val="0085436B"/>
    <w:rsid w:val="008548B7"/>
    <w:rsid w:val="0085596B"/>
    <w:rsid w:val="00856287"/>
    <w:rsid w:val="00856A79"/>
    <w:rsid w:val="00857B1A"/>
    <w:rsid w:val="008605BE"/>
    <w:rsid w:val="00863075"/>
    <w:rsid w:val="00864416"/>
    <w:rsid w:val="00864659"/>
    <w:rsid w:val="0086466D"/>
    <w:rsid w:val="00864E3C"/>
    <w:rsid w:val="008654BE"/>
    <w:rsid w:val="0086621D"/>
    <w:rsid w:val="008668BA"/>
    <w:rsid w:val="0087344B"/>
    <w:rsid w:val="008761C0"/>
    <w:rsid w:val="0087718F"/>
    <w:rsid w:val="00877EFE"/>
    <w:rsid w:val="00880096"/>
    <w:rsid w:val="008803A3"/>
    <w:rsid w:val="00880A3B"/>
    <w:rsid w:val="00881200"/>
    <w:rsid w:val="008816EE"/>
    <w:rsid w:val="00884A75"/>
    <w:rsid w:val="0088651D"/>
    <w:rsid w:val="00886892"/>
    <w:rsid w:val="00890289"/>
    <w:rsid w:val="00890662"/>
    <w:rsid w:val="00891F1E"/>
    <w:rsid w:val="008928E0"/>
    <w:rsid w:val="00893452"/>
    <w:rsid w:val="0089441A"/>
    <w:rsid w:val="00895437"/>
    <w:rsid w:val="008A1F5C"/>
    <w:rsid w:val="008A2329"/>
    <w:rsid w:val="008B2F5B"/>
    <w:rsid w:val="008B30C2"/>
    <w:rsid w:val="008B32D3"/>
    <w:rsid w:val="008B4537"/>
    <w:rsid w:val="008B4A92"/>
    <w:rsid w:val="008B5745"/>
    <w:rsid w:val="008B576F"/>
    <w:rsid w:val="008B700F"/>
    <w:rsid w:val="008B7771"/>
    <w:rsid w:val="008C5285"/>
    <w:rsid w:val="008D01E0"/>
    <w:rsid w:val="008D36F2"/>
    <w:rsid w:val="008D3B78"/>
    <w:rsid w:val="008D3E07"/>
    <w:rsid w:val="008D5350"/>
    <w:rsid w:val="008D5521"/>
    <w:rsid w:val="008D6BCF"/>
    <w:rsid w:val="008D7541"/>
    <w:rsid w:val="008D7E7C"/>
    <w:rsid w:val="008E3216"/>
    <w:rsid w:val="008E45F0"/>
    <w:rsid w:val="008F07DF"/>
    <w:rsid w:val="008F161A"/>
    <w:rsid w:val="008F21F8"/>
    <w:rsid w:val="008F2DDB"/>
    <w:rsid w:val="008F3621"/>
    <w:rsid w:val="008F69F6"/>
    <w:rsid w:val="00901B20"/>
    <w:rsid w:val="00903B1C"/>
    <w:rsid w:val="00903F68"/>
    <w:rsid w:val="009065A2"/>
    <w:rsid w:val="009070B7"/>
    <w:rsid w:val="00907839"/>
    <w:rsid w:val="00910B7D"/>
    <w:rsid w:val="00912FAC"/>
    <w:rsid w:val="00914BF0"/>
    <w:rsid w:val="00926478"/>
    <w:rsid w:val="00926C05"/>
    <w:rsid w:val="00930C37"/>
    <w:rsid w:val="00931752"/>
    <w:rsid w:val="00932AAB"/>
    <w:rsid w:val="00935AC4"/>
    <w:rsid w:val="00935F98"/>
    <w:rsid w:val="009363D0"/>
    <w:rsid w:val="0093772A"/>
    <w:rsid w:val="00937770"/>
    <w:rsid w:val="009377C7"/>
    <w:rsid w:val="009378CA"/>
    <w:rsid w:val="009411BD"/>
    <w:rsid w:val="00941B7E"/>
    <w:rsid w:val="009421BC"/>
    <w:rsid w:val="00942902"/>
    <w:rsid w:val="0094380E"/>
    <w:rsid w:val="00944377"/>
    <w:rsid w:val="0094530A"/>
    <w:rsid w:val="00946AD8"/>
    <w:rsid w:val="009474A4"/>
    <w:rsid w:val="00954975"/>
    <w:rsid w:val="009553E7"/>
    <w:rsid w:val="00956350"/>
    <w:rsid w:val="00956A9E"/>
    <w:rsid w:val="00956D4B"/>
    <w:rsid w:val="00957CAB"/>
    <w:rsid w:val="00960C8C"/>
    <w:rsid w:val="00961895"/>
    <w:rsid w:val="009626EE"/>
    <w:rsid w:val="00963DE5"/>
    <w:rsid w:val="00965132"/>
    <w:rsid w:val="009652BF"/>
    <w:rsid w:val="0096645F"/>
    <w:rsid w:val="0096709F"/>
    <w:rsid w:val="00970CB0"/>
    <w:rsid w:val="00971877"/>
    <w:rsid w:val="00971A8A"/>
    <w:rsid w:val="009744C4"/>
    <w:rsid w:val="00974BA6"/>
    <w:rsid w:val="00975945"/>
    <w:rsid w:val="009773F3"/>
    <w:rsid w:val="00980516"/>
    <w:rsid w:val="009808A2"/>
    <w:rsid w:val="00982422"/>
    <w:rsid w:val="00984188"/>
    <w:rsid w:val="00986267"/>
    <w:rsid w:val="009868F5"/>
    <w:rsid w:val="0098790B"/>
    <w:rsid w:val="00987A29"/>
    <w:rsid w:val="00987F6F"/>
    <w:rsid w:val="009918E5"/>
    <w:rsid w:val="00991E6D"/>
    <w:rsid w:val="00993359"/>
    <w:rsid w:val="00993B1B"/>
    <w:rsid w:val="0099465E"/>
    <w:rsid w:val="0099679A"/>
    <w:rsid w:val="00997E7E"/>
    <w:rsid w:val="009A1032"/>
    <w:rsid w:val="009A138D"/>
    <w:rsid w:val="009A22CE"/>
    <w:rsid w:val="009A39C9"/>
    <w:rsid w:val="009A45EF"/>
    <w:rsid w:val="009A4BCB"/>
    <w:rsid w:val="009A5168"/>
    <w:rsid w:val="009A5697"/>
    <w:rsid w:val="009A649F"/>
    <w:rsid w:val="009A6A00"/>
    <w:rsid w:val="009B429B"/>
    <w:rsid w:val="009B4CBC"/>
    <w:rsid w:val="009B5A8D"/>
    <w:rsid w:val="009B6504"/>
    <w:rsid w:val="009B7849"/>
    <w:rsid w:val="009C0CFA"/>
    <w:rsid w:val="009C3B17"/>
    <w:rsid w:val="009D0748"/>
    <w:rsid w:val="009D1854"/>
    <w:rsid w:val="009D3148"/>
    <w:rsid w:val="009D3B20"/>
    <w:rsid w:val="009D3FBB"/>
    <w:rsid w:val="009D5CFE"/>
    <w:rsid w:val="009D6F1C"/>
    <w:rsid w:val="009E07F7"/>
    <w:rsid w:val="009E099B"/>
    <w:rsid w:val="009E0A45"/>
    <w:rsid w:val="009E316D"/>
    <w:rsid w:val="009F1549"/>
    <w:rsid w:val="009F2F58"/>
    <w:rsid w:val="009F302A"/>
    <w:rsid w:val="009F32BC"/>
    <w:rsid w:val="009F6C80"/>
    <w:rsid w:val="00A007CA"/>
    <w:rsid w:val="00A02254"/>
    <w:rsid w:val="00A0250D"/>
    <w:rsid w:val="00A045D5"/>
    <w:rsid w:val="00A0579D"/>
    <w:rsid w:val="00A057F1"/>
    <w:rsid w:val="00A05B4C"/>
    <w:rsid w:val="00A05D88"/>
    <w:rsid w:val="00A10044"/>
    <w:rsid w:val="00A12D33"/>
    <w:rsid w:val="00A14090"/>
    <w:rsid w:val="00A21A17"/>
    <w:rsid w:val="00A2402B"/>
    <w:rsid w:val="00A24A56"/>
    <w:rsid w:val="00A25036"/>
    <w:rsid w:val="00A25379"/>
    <w:rsid w:val="00A257D2"/>
    <w:rsid w:val="00A26662"/>
    <w:rsid w:val="00A26EAB"/>
    <w:rsid w:val="00A30463"/>
    <w:rsid w:val="00A31550"/>
    <w:rsid w:val="00A31DDA"/>
    <w:rsid w:val="00A31FF7"/>
    <w:rsid w:val="00A3558A"/>
    <w:rsid w:val="00A368EA"/>
    <w:rsid w:val="00A425E4"/>
    <w:rsid w:val="00A42AF4"/>
    <w:rsid w:val="00A442D7"/>
    <w:rsid w:val="00A473F6"/>
    <w:rsid w:val="00A47DEE"/>
    <w:rsid w:val="00A50754"/>
    <w:rsid w:val="00A52B4E"/>
    <w:rsid w:val="00A53C43"/>
    <w:rsid w:val="00A5418C"/>
    <w:rsid w:val="00A54ED4"/>
    <w:rsid w:val="00A56060"/>
    <w:rsid w:val="00A56CC2"/>
    <w:rsid w:val="00A5753F"/>
    <w:rsid w:val="00A6057B"/>
    <w:rsid w:val="00A619A4"/>
    <w:rsid w:val="00A619B9"/>
    <w:rsid w:val="00A625FE"/>
    <w:rsid w:val="00A62AD3"/>
    <w:rsid w:val="00A64E86"/>
    <w:rsid w:val="00A6706E"/>
    <w:rsid w:val="00A6782B"/>
    <w:rsid w:val="00A679A5"/>
    <w:rsid w:val="00A70D87"/>
    <w:rsid w:val="00A72D4F"/>
    <w:rsid w:val="00A73F31"/>
    <w:rsid w:val="00A74DD4"/>
    <w:rsid w:val="00A75A01"/>
    <w:rsid w:val="00A75C14"/>
    <w:rsid w:val="00A76839"/>
    <w:rsid w:val="00A8027C"/>
    <w:rsid w:val="00A80BA6"/>
    <w:rsid w:val="00A82A45"/>
    <w:rsid w:val="00A851FE"/>
    <w:rsid w:val="00A852AC"/>
    <w:rsid w:val="00A863E9"/>
    <w:rsid w:val="00A90DB7"/>
    <w:rsid w:val="00A91EED"/>
    <w:rsid w:val="00A936BF"/>
    <w:rsid w:val="00A943DF"/>
    <w:rsid w:val="00A94684"/>
    <w:rsid w:val="00A94BEE"/>
    <w:rsid w:val="00A963F7"/>
    <w:rsid w:val="00A965D9"/>
    <w:rsid w:val="00A96FB6"/>
    <w:rsid w:val="00AA2D71"/>
    <w:rsid w:val="00AA4652"/>
    <w:rsid w:val="00AA472A"/>
    <w:rsid w:val="00AA605E"/>
    <w:rsid w:val="00AB1141"/>
    <w:rsid w:val="00AB1182"/>
    <w:rsid w:val="00AB1657"/>
    <w:rsid w:val="00AB2709"/>
    <w:rsid w:val="00AB3E79"/>
    <w:rsid w:val="00AB406E"/>
    <w:rsid w:val="00AB42FB"/>
    <w:rsid w:val="00AB72AF"/>
    <w:rsid w:val="00AC2254"/>
    <w:rsid w:val="00AC286C"/>
    <w:rsid w:val="00AC2C6D"/>
    <w:rsid w:val="00AC3713"/>
    <w:rsid w:val="00AC398A"/>
    <w:rsid w:val="00AC66F5"/>
    <w:rsid w:val="00AD2477"/>
    <w:rsid w:val="00AD2A68"/>
    <w:rsid w:val="00AE0706"/>
    <w:rsid w:val="00AE2DA2"/>
    <w:rsid w:val="00AE2EE4"/>
    <w:rsid w:val="00AE4430"/>
    <w:rsid w:val="00AE4F4E"/>
    <w:rsid w:val="00AE58F2"/>
    <w:rsid w:val="00AE5CC8"/>
    <w:rsid w:val="00AE6C36"/>
    <w:rsid w:val="00AE6ED4"/>
    <w:rsid w:val="00AE75E7"/>
    <w:rsid w:val="00AF2D69"/>
    <w:rsid w:val="00AF4F36"/>
    <w:rsid w:val="00AF6502"/>
    <w:rsid w:val="00AF6817"/>
    <w:rsid w:val="00B01CA0"/>
    <w:rsid w:val="00B01DC1"/>
    <w:rsid w:val="00B044D5"/>
    <w:rsid w:val="00B0661D"/>
    <w:rsid w:val="00B10759"/>
    <w:rsid w:val="00B11416"/>
    <w:rsid w:val="00B1183B"/>
    <w:rsid w:val="00B11FF3"/>
    <w:rsid w:val="00B12610"/>
    <w:rsid w:val="00B126E1"/>
    <w:rsid w:val="00B13C92"/>
    <w:rsid w:val="00B1461F"/>
    <w:rsid w:val="00B14721"/>
    <w:rsid w:val="00B15365"/>
    <w:rsid w:val="00B15A35"/>
    <w:rsid w:val="00B177CC"/>
    <w:rsid w:val="00B202CC"/>
    <w:rsid w:val="00B21759"/>
    <w:rsid w:val="00B21BB4"/>
    <w:rsid w:val="00B21C06"/>
    <w:rsid w:val="00B2208F"/>
    <w:rsid w:val="00B227A1"/>
    <w:rsid w:val="00B228C7"/>
    <w:rsid w:val="00B241C1"/>
    <w:rsid w:val="00B242A1"/>
    <w:rsid w:val="00B255C9"/>
    <w:rsid w:val="00B26340"/>
    <w:rsid w:val="00B2686F"/>
    <w:rsid w:val="00B269AE"/>
    <w:rsid w:val="00B26D01"/>
    <w:rsid w:val="00B272C7"/>
    <w:rsid w:val="00B300F9"/>
    <w:rsid w:val="00B33A5C"/>
    <w:rsid w:val="00B3412C"/>
    <w:rsid w:val="00B35B54"/>
    <w:rsid w:val="00B35C21"/>
    <w:rsid w:val="00B37339"/>
    <w:rsid w:val="00B37E1F"/>
    <w:rsid w:val="00B424E0"/>
    <w:rsid w:val="00B459C5"/>
    <w:rsid w:val="00B45F56"/>
    <w:rsid w:val="00B46790"/>
    <w:rsid w:val="00B472C9"/>
    <w:rsid w:val="00B551B1"/>
    <w:rsid w:val="00B57384"/>
    <w:rsid w:val="00B60AA1"/>
    <w:rsid w:val="00B657E4"/>
    <w:rsid w:val="00B658AE"/>
    <w:rsid w:val="00B65FE4"/>
    <w:rsid w:val="00B66CBC"/>
    <w:rsid w:val="00B67E5D"/>
    <w:rsid w:val="00B7281D"/>
    <w:rsid w:val="00B72B92"/>
    <w:rsid w:val="00B75573"/>
    <w:rsid w:val="00B76923"/>
    <w:rsid w:val="00B76B3D"/>
    <w:rsid w:val="00B76E9B"/>
    <w:rsid w:val="00B80EBF"/>
    <w:rsid w:val="00B80EE5"/>
    <w:rsid w:val="00B83110"/>
    <w:rsid w:val="00B831E7"/>
    <w:rsid w:val="00B83E40"/>
    <w:rsid w:val="00B864A3"/>
    <w:rsid w:val="00B86570"/>
    <w:rsid w:val="00B871EF"/>
    <w:rsid w:val="00B87AAC"/>
    <w:rsid w:val="00B92586"/>
    <w:rsid w:val="00B93675"/>
    <w:rsid w:val="00B940F3"/>
    <w:rsid w:val="00B94903"/>
    <w:rsid w:val="00B97428"/>
    <w:rsid w:val="00B97938"/>
    <w:rsid w:val="00BA44DC"/>
    <w:rsid w:val="00BA6BA6"/>
    <w:rsid w:val="00BA7503"/>
    <w:rsid w:val="00BA760E"/>
    <w:rsid w:val="00BB0985"/>
    <w:rsid w:val="00BB0E33"/>
    <w:rsid w:val="00BB20D6"/>
    <w:rsid w:val="00BB211A"/>
    <w:rsid w:val="00BB564D"/>
    <w:rsid w:val="00BB635F"/>
    <w:rsid w:val="00BC2FB9"/>
    <w:rsid w:val="00BC387C"/>
    <w:rsid w:val="00BC4092"/>
    <w:rsid w:val="00BC50A4"/>
    <w:rsid w:val="00BC516D"/>
    <w:rsid w:val="00BD15B7"/>
    <w:rsid w:val="00BD59A8"/>
    <w:rsid w:val="00BD6788"/>
    <w:rsid w:val="00BD6C13"/>
    <w:rsid w:val="00BE169C"/>
    <w:rsid w:val="00BE2B1A"/>
    <w:rsid w:val="00BE2CE8"/>
    <w:rsid w:val="00BE406F"/>
    <w:rsid w:val="00BE4440"/>
    <w:rsid w:val="00BE5AF8"/>
    <w:rsid w:val="00BE70BE"/>
    <w:rsid w:val="00BE78AB"/>
    <w:rsid w:val="00BF079B"/>
    <w:rsid w:val="00BF339C"/>
    <w:rsid w:val="00BF3C4A"/>
    <w:rsid w:val="00BF4E7F"/>
    <w:rsid w:val="00BF55DF"/>
    <w:rsid w:val="00BF576C"/>
    <w:rsid w:val="00BF629F"/>
    <w:rsid w:val="00BF6D9D"/>
    <w:rsid w:val="00BF7A48"/>
    <w:rsid w:val="00C0307D"/>
    <w:rsid w:val="00C0379A"/>
    <w:rsid w:val="00C04CB9"/>
    <w:rsid w:val="00C052C2"/>
    <w:rsid w:val="00C07022"/>
    <w:rsid w:val="00C10AFF"/>
    <w:rsid w:val="00C15DA7"/>
    <w:rsid w:val="00C15E57"/>
    <w:rsid w:val="00C21ADD"/>
    <w:rsid w:val="00C2648F"/>
    <w:rsid w:val="00C2712D"/>
    <w:rsid w:val="00C30817"/>
    <w:rsid w:val="00C31067"/>
    <w:rsid w:val="00C33EF7"/>
    <w:rsid w:val="00C36EB8"/>
    <w:rsid w:val="00C37E76"/>
    <w:rsid w:val="00C40A5A"/>
    <w:rsid w:val="00C42C95"/>
    <w:rsid w:val="00C43878"/>
    <w:rsid w:val="00C43A2F"/>
    <w:rsid w:val="00C44D05"/>
    <w:rsid w:val="00C46253"/>
    <w:rsid w:val="00C512DE"/>
    <w:rsid w:val="00C528FA"/>
    <w:rsid w:val="00C531AE"/>
    <w:rsid w:val="00C5711D"/>
    <w:rsid w:val="00C57432"/>
    <w:rsid w:val="00C60063"/>
    <w:rsid w:val="00C64C8B"/>
    <w:rsid w:val="00C67893"/>
    <w:rsid w:val="00C70771"/>
    <w:rsid w:val="00C719FC"/>
    <w:rsid w:val="00C7280B"/>
    <w:rsid w:val="00C736DB"/>
    <w:rsid w:val="00C740F1"/>
    <w:rsid w:val="00C77FEF"/>
    <w:rsid w:val="00C80FBF"/>
    <w:rsid w:val="00C812D6"/>
    <w:rsid w:val="00C828C5"/>
    <w:rsid w:val="00C82BD2"/>
    <w:rsid w:val="00C840EE"/>
    <w:rsid w:val="00C8444F"/>
    <w:rsid w:val="00C86568"/>
    <w:rsid w:val="00C90E6C"/>
    <w:rsid w:val="00C91E36"/>
    <w:rsid w:val="00C94178"/>
    <w:rsid w:val="00C9448D"/>
    <w:rsid w:val="00C94C51"/>
    <w:rsid w:val="00C96019"/>
    <w:rsid w:val="00CA00F9"/>
    <w:rsid w:val="00CA30D6"/>
    <w:rsid w:val="00CA492B"/>
    <w:rsid w:val="00CA66B5"/>
    <w:rsid w:val="00CA7FF5"/>
    <w:rsid w:val="00CB0539"/>
    <w:rsid w:val="00CB1D3A"/>
    <w:rsid w:val="00CB352F"/>
    <w:rsid w:val="00CB40A9"/>
    <w:rsid w:val="00CC0180"/>
    <w:rsid w:val="00CC4165"/>
    <w:rsid w:val="00CC5E41"/>
    <w:rsid w:val="00CD313D"/>
    <w:rsid w:val="00CD48C7"/>
    <w:rsid w:val="00CD49B5"/>
    <w:rsid w:val="00CD6C97"/>
    <w:rsid w:val="00CD79F9"/>
    <w:rsid w:val="00CE04B9"/>
    <w:rsid w:val="00CE115C"/>
    <w:rsid w:val="00CE1E0E"/>
    <w:rsid w:val="00CE237B"/>
    <w:rsid w:val="00CE5173"/>
    <w:rsid w:val="00CE6C1C"/>
    <w:rsid w:val="00CE6CCF"/>
    <w:rsid w:val="00CF2E03"/>
    <w:rsid w:val="00CF2F11"/>
    <w:rsid w:val="00CF3917"/>
    <w:rsid w:val="00CF5B5D"/>
    <w:rsid w:val="00CF7A54"/>
    <w:rsid w:val="00CF7D7E"/>
    <w:rsid w:val="00CF7E67"/>
    <w:rsid w:val="00D020FA"/>
    <w:rsid w:val="00D02588"/>
    <w:rsid w:val="00D02CBC"/>
    <w:rsid w:val="00D067B4"/>
    <w:rsid w:val="00D074C4"/>
    <w:rsid w:val="00D07D1C"/>
    <w:rsid w:val="00D11718"/>
    <w:rsid w:val="00D11E8B"/>
    <w:rsid w:val="00D12D89"/>
    <w:rsid w:val="00D13A56"/>
    <w:rsid w:val="00D14A54"/>
    <w:rsid w:val="00D14F0F"/>
    <w:rsid w:val="00D153DB"/>
    <w:rsid w:val="00D15602"/>
    <w:rsid w:val="00D16550"/>
    <w:rsid w:val="00D17887"/>
    <w:rsid w:val="00D2027D"/>
    <w:rsid w:val="00D203F7"/>
    <w:rsid w:val="00D20B9A"/>
    <w:rsid w:val="00D20FB3"/>
    <w:rsid w:val="00D22D1F"/>
    <w:rsid w:val="00D24853"/>
    <w:rsid w:val="00D24E9F"/>
    <w:rsid w:val="00D25353"/>
    <w:rsid w:val="00D25605"/>
    <w:rsid w:val="00D25832"/>
    <w:rsid w:val="00D269F9"/>
    <w:rsid w:val="00D26A57"/>
    <w:rsid w:val="00D30947"/>
    <w:rsid w:val="00D3107A"/>
    <w:rsid w:val="00D32008"/>
    <w:rsid w:val="00D3214A"/>
    <w:rsid w:val="00D32276"/>
    <w:rsid w:val="00D32E0C"/>
    <w:rsid w:val="00D3350C"/>
    <w:rsid w:val="00D348BD"/>
    <w:rsid w:val="00D363F2"/>
    <w:rsid w:val="00D37606"/>
    <w:rsid w:val="00D40466"/>
    <w:rsid w:val="00D412E2"/>
    <w:rsid w:val="00D41B78"/>
    <w:rsid w:val="00D426A3"/>
    <w:rsid w:val="00D477E2"/>
    <w:rsid w:val="00D47D9A"/>
    <w:rsid w:val="00D50877"/>
    <w:rsid w:val="00D513C3"/>
    <w:rsid w:val="00D524E0"/>
    <w:rsid w:val="00D52EC3"/>
    <w:rsid w:val="00D53E71"/>
    <w:rsid w:val="00D53F50"/>
    <w:rsid w:val="00D5457E"/>
    <w:rsid w:val="00D563D9"/>
    <w:rsid w:val="00D62DF3"/>
    <w:rsid w:val="00D635A4"/>
    <w:rsid w:val="00D63793"/>
    <w:rsid w:val="00D63E74"/>
    <w:rsid w:val="00D64615"/>
    <w:rsid w:val="00D662AD"/>
    <w:rsid w:val="00D66BC1"/>
    <w:rsid w:val="00D7130F"/>
    <w:rsid w:val="00D71BAA"/>
    <w:rsid w:val="00D71FBE"/>
    <w:rsid w:val="00D72838"/>
    <w:rsid w:val="00D73B3F"/>
    <w:rsid w:val="00D8030D"/>
    <w:rsid w:val="00D804D4"/>
    <w:rsid w:val="00D849D3"/>
    <w:rsid w:val="00D86564"/>
    <w:rsid w:val="00D903CB"/>
    <w:rsid w:val="00D9041C"/>
    <w:rsid w:val="00D90B88"/>
    <w:rsid w:val="00D91257"/>
    <w:rsid w:val="00D91696"/>
    <w:rsid w:val="00D9173A"/>
    <w:rsid w:val="00D9248B"/>
    <w:rsid w:val="00D939A2"/>
    <w:rsid w:val="00D93BB8"/>
    <w:rsid w:val="00D942A1"/>
    <w:rsid w:val="00D95A58"/>
    <w:rsid w:val="00D95F2A"/>
    <w:rsid w:val="00D96427"/>
    <w:rsid w:val="00D96AA2"/>
    <w:rsid w:val="00DA01B3"/>
    <w:rsid w:val="00DA2CC9"/>
    <w:rsid w:val="00DA41B0"/>
    <w:rsid w:val="00DA4CC9"/>
    <w:rsid w:val="00DA68C1"/>
    <w:rsid w:val="00DA70E3"/>
    <w:rsid w:val="00DA7861"/>
    <w:rsid w:val="00DA7AEE"/>
    <w:rsid w:val="00DB0322"/>
    <w:rsid w:val="00DB0580"/>
    <w:rsid w:val="00DB2D62"/>
    <w:rsid w:val="00DB2FCE"/>
    <w:rsid w:val="00DB3E30"/>
    <w:rsid w:val="00DB5891"/>
    <w:rsid w:val="00DB62D2"/>
    <w:rsid w:val="00DB7A27"/>
    <w:rsid w:val="00DC46A3"/>
    <w:rsid w:val="00DC4B06"/>
    <w:rsid w:val="00DC4C25"/>
    <w:rsid w:val="00DC556E"/>
    <w:rsid w:val="00DC74A8"/>
    <w:rsid w:val="00DD36E7"/>
    <w:rsid w:val="00DD4A18"/>
    <w:rsid w:val="00DD6552"/>
    <w:rsid w:val="00DD67C7"/>
    <w:rsid w:val="00DD7DDA"/>
    <w:rsid w:val="00DE0BC0"/>
    <w:rsid w:val="00DE0D23"/>
    <w:rsid w:val="00DE402D"/>
    <w:rsid w:val="00DF1752"/>
    <w:rsid w:val="00DF42EA"/>
    <w:rsid w:val="00DF4AEA"/>
    <w:rsid w:val="00DF5D7D"/>
    <w:rsid w:val="00DF6F2F"/>
    <w:rsid w:val="00E023C8"/>
    <w:rsid w:val="00E0253D"/>
    <w:rsid w:val="00E03159"/>
    <w:rsid w:val="00E05D8E"/>
    <w:rsid w:val="00E0610F"/>
    <w:rsid w:val="00E06761"/>
    <w:rsid w:val="00E06A0A"/>
    <w:rsid w:val="00E10156"/>
    <w:rsid w:val="00E10DA9"/>
    <w:rsid w:val="00E13306"/>
    <w:rsid w:val="00E133FF"/>
    <w:rsid w:val="00E1357D"/>
    <w:rsid w:val="00E137CF"/>
    <w:rsid w:val="00E13B9F"/>
    <w:rsid w:val="00E1496C"/>
    <w:rsid w:val="00E17286"/>
    <w:rsid w:val="00E2214C"/>
    <w:rsid w:val="00E23434"/>
    <w:rsid w:val="00E23C59"/>
    <w:rsid w:val="00E23DCE"/>
    <w:rsid w:val="00E259B8"/>
    <w:rsid w:val="00E25B92"/>
    <w:rsid w:val="00E25EB4"/>
    <w:rsid w:val="00E278C4"/>
    <w:rsid w:val="00E27D31"/>
    <w:rsid w:val="00E3158E"/>
    <w:rsid w:val="00E34F40"/>
    <w:rsid w:val="00E35290"/>
    <w:rsid w:val="00E36015"/>
    <w:rsid w:val="00E36DFA"/>
    <w:rsid w:val="00E419A1"/>
    <w:rsid w:val="00E41ED7"/>
    <w:rsid w:val="00E42DB5"/>
    <w:rsid w:val="00E430FD"/>
    <w:rsid w:val="00E47E7A"/>
    <w:rsid w:val="00E47ED5"/>
    <w:rsid w:val="00E500C8"/>
    <w:rsid w:val="00E50AB4"/>
    <w:rsid w:val="00E51C30"/>
    <w:rsid w:val="00E51C95"/>
    <w:rsid w:val="00E54555"/>
    <w:rsid w:val="00E5500D"/>
    <w:rsid w:val="00E56A54"/>
    <w:rsid w:val="00E56E56"/>
    <w:rsid w:val="00E5718A"/>
    <w:rsid w:val="00E57976"/>
    <w:rsid w:val="00E601DC"/>
    <w:rsid w:val="00E609F3"/>
    <w:rsid w:val="00E62084"/>
    <w:rsid w:val="00E639B1"/>
    <w:rsid w:val="00E66551"/>
    <w:rsid w:val="00E66AB6"/>
    <w:rsid w:val="00E717D4"/>
    <w:rsid w:val="00E71814"/>
    <w:rsid w:val="00E71DA0"/>
    <w:rsid w:val="00E72A81"/>
    <w:rsid w:val="00E74207"/>
    <w:rsid w:val="00E743CD"/>
    <w:rsid w:val="00E768D1"/>
    <w:rsid w:val="00E778E9"/>
    <w:rsid w:val="00E77906"/>
    <w:rsid w:val="00E80729"/>
    <w:rsid w:val="00E80F67"/>
    <w:rsid w:val="00E82E25"/>
    <w:rsid w:val="00E85278"/>
    <w:rsid w:val="00E86459"/>
    <w:rsid w:val="00E873A5"/>
    <w:rsid w:val="00E901A8"/>
    <w:rsid w:val="00E92686"/>
    <w:rsid w:val="00E92FAD"/>
    <w:rsid w:val="00E93D36"/>
    <w:rsid w:val="00E94D41"/>
    <w:rsid w:val="00E9512F"/>
    <w:rsid w:val="00E97986"/>
    <w:rsid w:val="00E97E7E"/>
    <w:rsid w:val="00EA288F"/>
    <w:rsid w:val="00EA2BC1"/>
    <w:rsid w:val="00EA4FDF"/>
    <w:rsid w:val="00EA518C"/>
    <w:rsid w:val="00EA60BC"/>
    <w:rsid w:val="00EA6A32"/>
    <w:rsid w:val="00EA7111"/>
    <w:rsid w:val="00EA795A"/>
    <w:rsid w:val="00EA7E44"/>
    <w:rsid w:val="00EB0A9E"/>
    <w:rsid w:val="00EB0D1B"/>
    <w:rsid w:val="00EB605F"/>
    <w:rsid w:val="00EB60AB"/>
    <w:rsid w:val="00EB74F1"/>
    <w:rsid w:val="00EC0B58"/>
    <w:rsid w:val="00EC199A"/>
    <w:rsid w:val="00EC44BD"/>
    <w:rsid w:val="00EC5BD0"/>
    <w:rsid w:val="00EC5D1A"/>
    <w:rsid w:val="00ED0BF5"/>
    <w:rsid w:val="00ED4242"/>
    <w:rsid w:val="00ED52B7"/>
    <w:rsid w:val="00ED6EB1"/>
    <w:rsid w:val="00EE0660"/>
    <w:rsid w:val="00EE1C7E"/>
    <w:rsid w:val="00EE206B"/>
    <w:rsid w:val="00EE2530"/>
    <w:rsid w:val="00EE3990"/>
    <w:rsid w:val="00EE3E28"/>
    <w:rsid w:val="00EE48C6"/>
    <w:rsid w:val="00EE6579"/>
    <w:rsid w:val="00EF028E"/>
    <w:rsid w:val="00EF3BA5"/>
    <w:rsid w:val="00EF4737"/>
    <w:rsid w:val="00EF54E3"/>
    <w:rsid w:val="00EF5594"/>
    <w:rsid w:val="00EF56F9"/>
    <w:rsid w:val="00F024AA"/>
    <w:rsid w:val="00F02F1B"/>
    <w:rsid w:val="00F04AA5"/>
    <w:rsid w:val="00F05094"/>
    <w:rsid w:val="00F05D88"/>
    <w:rsid w:val="00F071AD"/>
    <w:rsid w:val="00F101D8"/>
    <w:rsid w:val="00F10653"/>
    <w:rsid w:val="00F13491"/>
    <w:rsid w:val="00F168F7"/>
    <w:rsid w:val="00F20457"/>
    <w:rsid w:val="00F21F61"/>
    <w:rsid w:val="00F2291F"/>
    <w:rsid w:val="00F22A90"/>
    <w:rsid w:val="00F22DE2"/>
    <w:rsid w:val="00F2308C"/>
    <w:rsid w:val="00F239FE"/>
    <w:rsid w:val="00F242DD"/>
    <w:rsid w:val="00F26571"/>
    <w:rsid w:val="00F27788"/>
    <w:rsid w:val="00F278C2"/>
    <w:rsid w:val="00F32920"/>
    <w:rsid w:val="00F352FE"/>
    <w:rsid w:val="00F362B1"/>
    <w:rsid w:val="00F4650F"/>
    <w:rsid w:val="00F46A82"/>
    <w:rsid w:val="00F47AF7"/>
    <w:rsid w:val="00F47D91"/>
    <w:rsid w:val="00F5033E"/>
    <w:rsid w:val="00F51895"/>
    <w:rsid w:val="00F53546"/>
    <w:rsid w:val="00F5372A"/>
    <w:rsid w:val="00F53B0A"/>
    <w:rsid w:val="00F554AA"/>
    <w:rsid w:val="00F558CF"/>
    <w:rsid w:val="00F56B62"/>
    <w:rsid w:val="00F6392B"/>
    <w:rsid w:val="00F63E06"/>
    <w:rsid w:val="00F64A7E"/>
    <w:rsid w:val="00F64CC1"/>
    <w:rsid w:val="00F670B6"/>
    <w:rsid w:val="00F713C3"/>
    <w:rsid w:val="00F719E7"/>
    <w:rsid w:val="00F7333E"/>
    <w:rsid w:val="00F74B6B"/>
    <w:rsid w:val="00F74EB5"/>
    <w:rsid w:val="00F75CE3"/>
    <w:rsid w:val="00F76056"/>
    <w:rsid w:val="00F76D31"/>
    <w:rsid w:val="00F77EB6"/>
    <w:rsid w:val="00F80320"/>
    <w:rsid w:val="00F80ECB"/>
    <w:rsid w:val="00F832D0"/>
    <w:rsid w:val="00F87EE7"/>
    <w:rsid w:val="00F9108C"/>
    <w:rsid w:val="00F91653"/>
    <w:rsid w:val="00F92D50"/>
    <w:rsid w:val="00F93ED8"/>
    <w:rsid w:val="00F958BC"/>
    <w:rsid w:val="00F960E7"/>
    <w:rsid w:val="00F96B92"/>
    <w:rsid w:val="00F96C93"/>
    <w:rsid w:val="00FA247E"/>
    <w:rsid w:val="00FA25F5"/>
    <w:rsid w:val="00FA41FD"/>
    <w:rsid w:val="00FA5B74"/>
    <w:rsid w:val="00FA65DC"/>
    <w:rsid w:val="00FA6648"/>
    <w:rsid w:val="00FA69B2"/>
    <w:rsid w:val="00FB03BB"/>
    <w:rsid w:val="00FB04F3"/>
    <w:rsid w:val="00FB060A"/>
    <w:rsid w:val="00FB0C57"/>
    <w:rsid w:val="00FB327B"/>
    <w:rsid w:val="00FC0376"/>
    <w:rsid w:val="00FC10C3"/>
    <w:rsid w:val="00FC1543"/>
    <w:rsid w:val="00FC3E67"/>
    <w:rsid w:val="00FC536F"/>
    <w:rsid w:val="00FC7F2E"/>
    <w:rsid w:val="00FD0434"/>
    <w:rsid w:val="00FD15FE"/>
    <w:rsid w:val="00FD1D8B"/>
    <w:rsid w:val="00FD2995"/>
    <w:rsid w:val="00FD2FEC"/>
    <w:rsid w:val="00FD42BA"/>
    <w:rsid w:val="00FE0634"/>
    <w:rsid w:val="00FE1506"/>
    <w:rsid w:val="00FE2948"/>
    <w:rsid w:val="00FE3314"/>
    <w:rsid w:val="00FE5516"/>
    <w:rsid w:val="00FE7EF6"/>
    <w:rsid w:val="00FF0C02"/>
    <w:rsid w:val="00FF0F31"/>
    <w:rsid w:val="00FF1FD9"/>
    <w:rsid w:val="00FF2D2F"/>
    <w:rsid w:val="00FF68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C63E8"/>
  <w15:docId w15:val="{B6537274-1246-4286-B71B-1C3B84F9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F294C"/>
    <w:pPr>
      <w:spacing w:before="120" w:after="120" w:line="360" w:lineRule="auto"/>
      <w:jc w:val="both"/>
    </w:pPr>
    <w:rPr>
      <w:rFonts w:ascii="Times New Roman" w:hAnsi="Times New Roman"/>
      <w:sz w:val="24"/>
      <w:szCs w:val="22"/>
      <w:lang w:eastAsia="en-US"/>
    </w:rPr>
  </w:style>
  <w:style w:type="paragraph" w:styleId="1">
    <w:name w:val="heading 1"/>
    <w:basedOn w:val="a0"/>
    <w:next w:val="a0"/>
    <w:link w:val="10"/>
    <w:uiPriority w:val="9"/>
    <w:qFormat/>
    <w:rsid w:val="008654BE"/>
    <w:pPr>
      <w:keepNext/>
      <w:keepLines/>
      <w:pageBreakBefore/>
      <w:spacing w:before="240"/>
      <w:jc w:val="center"/>
      <w:outlineLvl w:val="0"/>
    </w:pPr>
    <w:rPr>
      <w:rFonts w:eastAsia="Times New Roman"/>
      <w:b/>
      <w:sz w:val="28"/>
      <w:szCs w:val="32"/>
    </w:rPr>
  </w:style>
  <w:style w:type="paragraph" w:styleId="2">
    <w:name w:val="heading 2"/>
    <w:basedOn w:val="a0"/>
    <w:next w:val="a0"/>
    <w:link w:val="20"/>
    <w:uiPriority w:val="9"/>
    <w:unhideWhenUsed/>
    <w:qFormat/>
    <w:rsid w:val="00173C4C"/>
    <w:pPr>
      <w:keepNext/>
      <w:keepLines/>
      <w:spacing w:before="40"/>
      <w:outlineLvl w:val="1"/>
    </w:pPr>
    <w:rPr>
      <w:rFonts w:eastAsia="Times New Roman"/>
      <w:b/>
      <w:szCs w:val="26"/>
      <w:u w:val="single"/>
    </w:rPr>
  </w:style>
  <w:style w:type="paragraph" w:styleId="3">
    <w:name w:val="heading 3"/>
    <w:basedOn w:val="a0"/>
    <w:next w:val="a0"/>
    <w:link w:val="30"/>
    <w:unhideWhenUsed/>
    <w:qFormat/>
    <w:rsid w:val="00D563D9"/>
    <w:pPr>
      <w:keepNext/>
      <w:keepLines/>
      <w:spacing w:before="200" w:after="0"/>
      <w:outlineLvl w:val="2"/>
    </w:pPr>
    <w:rPr>
      <w:rFonts w:asciiTheme="majorHAnsi" w:eastAsiaTheme="majorEastAsia" w:hAnsiTheme="majorHAnsi" w:cstheme="majorBidi"/>
      <w:b/>
      <w:bCs/>
      <w:color w:val="5B9BD5"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5E3E79"/>
    <w:rPr>
      <w:rFonts w:ascii="Times New Roman" w:eastAsia="Times New Roman" w:hAnsi="Times New Roman"/>
      <w:b/>
      <w:sz w:val="28"/>
      <w:szCs w:val="32"/>
      <w:lang w:eastAsia="en-US"/>
    </w:rPr>
  </w:style>
  <w:style w:type="character" w:customStyle="1" w:styleId="20">
    <w:name w:val="Заголовок 2 Знак"/>
    <w:link w:val="2"/>
    <w:uiPriority w:val="9"/>
    <w:rsid w:val="00173C4C"/>
    <w:rPr>
      <w:rFonts w:ascii="Times New Roman" w:eastAsia="Times New Roman" w:hAnsi="Times New Roman" w:cs="Times New Roman"/>
      <w:b/>
      <w:sz w:val="24"/>
      <w:szCs w:val="26"/>
      <w:u w:val="single"/>
    </w:rPr>
  </w:style>
  <w:style w:type="character" w:customStyle="1" w:styleId="30">
    <w:name w:val="Заголовок 3 Знак"/>
    <w:basedOn w:val="a1"/>
    <w:link w:val="3"/>
    <w:rsid w:val="00D563D9"/>
    <w:rPr>
      <w:rFonts w:asciiTheme="majorHAnsi" w:eastAsiaTheme="majorEastAsia" w:hAnsiTheme="majorHAnsi" w:cstheme="majorBidi"/>
      <w:b/>
      <w:bCs/>
      <w:color w:val="5B9BD5" w:themeColor="accent1"/>
      <w:sz w:val="24"/>
      <w:szCs w:val="22"/>
      <w:lang w:eastAsia="en-US"/>
    </w:rPr>
  </w:style>
  <w:style w:type="paragraph" w:styleId="a4">
    <w:name w:val="Normal (Web)"/>
    <w:basedOn w:val="a0"/>
    <w:uiPriority w:val="99"/>
    <w:unhideWhenUsed/>
    <w:qFormat/>
    <w:rsid w:val="00B11FF3"/>
    <w:pPr>
      <w:spacing w:beforeAutospacing="1" w:afterAutospacing="1" w:line="288" w:lineRule="auto"/>
      <w:jc w:val="left"/>
    </w:pPr>
    <w:rPr>
      <w:rFonts w:eastAsia="Times New Roman"/>
      <w:szCs w:val="24"/>
      <w:lang w:eastAsia="ru-RU"/>
    </w:rPr>
  </w:style>
  <w:style w:type="character" w:styleId="a5">
    <w:name w:val="Emphasis"/>
    <w:uiPriority w:val="20"/>
    <w:qFormat/>
    <w:rsid w:val="00B11FF3"/>
    <w:rPr>
      <w:i/>
      <w:iCs/>
    </w:rPr>
  </w:style>
  <w:style w:type="paragraph" w:styleId="a6">
    <w:name w:val="List Paragraph"/>
    <w:basedOn w:val="a0"/>
    <w:link w:val="a7"/>
    <w:uiPriority w:val="34"/>
    <w:qFormat/>
    <w:rsid w:val="00AE2EE4"/>
    <w:pPr>
      <w:ind w:left="720"/>
      <w:contextualSpacing/>
    </w:pPr>
  </w:style>
  <w:style w:type="character" w:customStyle="1" w:styleId="a7">
    <w:name w:val="Абзац списка Знак"/>
    <w:link w:val="a6"/>
    <w:uiPriority w:val="34"/>
    <w:rsid w:val="00844D70"/>
    <w:rPr>
      <w:rFonts w:ascii="Times New Roman" w:hAnsi="Times New Roman"/>
      <w:sz w:val="24"/>
    </w:rPr>
  </w:style>
  <w:style w:type="paragraph" w:styleId="a8">
    <w:name w:val="header"/>
    <w:basedOn w:val="a0"/>
    <w:link w:val="a9"/>
    <w:uiPriority w:val="99"/>
    <w:unhideWhenUsed/>
    <w:rsid w:val="00383556"/>
    <w:pPr>
      <w:tabs>
        <w:tab w:val="center" w:pos="4677"/>
        <w:tab w:val="right" w:pos="9355"/>
      </w:tabs>
      <w:spacing w:line="240" w:lineRule="auto"/>
    </w:pPr>
  </w:style>
  <w:style w:type="character" w:customStyle="1" w:styleId="a9">
    <w:name w:val="Верхний колонтитул Знак"/>
    <w:link w:val="a8"/>
    <w:uiPriority w:val="99"/>
    <w:rsid w:val="00383556"/>
    <w:rPr>
      <w:rFonts w:ascii="Times New Roman" w:hAnsi="Times New Roman"/>
      <w:sz w:val="24"/>
    </w:rPr>
  </w:style>
  <w:style w:type="paragraph" w:styleId="aa">
    <w:name w:val="footer"/>
    <w:basedOn w:val="a0"/>
    <w:link w:val="ab"/>
    <w:uiPriority w:val="99"/>
    <w:unhideWhenUsed/>
    <w:rsid w:val="00383556"/>
    <w:pPr>
      <w:tabs>
        <w:tab w:val="center" w:pos="4677"/>
        <w:tab w:val="right" w:pos="9355"/>
      </w:tabs>
      <w:spacing w:line="240" w:lineRule="auto"/>
    </w:pPr>
  </w:style>
  <w:style w:type="character" w:customStyle="1" w:styleId="ab">
    <w:name w:val="Нижний колонтитул Знак"/>
    <w:link w:val="aa"/>
    <w:uiPriority w:val="99"/>
    <w:rsid w:val="00383556"/>
    <w:rPr>
      <w:rFonts w:ascii="Times New Roman" w:hAnsi="Times New Roman"/>
      <w:sz w:val="24"/>
    </w:rPr>
  </w:style>
  <w:style w:type="character" w:styleId="ac">
    <w:name w:val="Strong"/>
    <w:uiPriority w:val="22"/>
    <w:qFormat/>
    <w:rsid w:val="00C512DE"/>
    <w:rPr>
      <w:b/>
      <w:bCs/>
    </w:rPr>
  </w:style>
  <w:style w:type="table" w:customStyle="1" w:styleId="-131">
    <w:name w:val="Список-таблица 1 светлая — акцент 31"/>
    <w:basedOn w:val="a2"/>
    <w:uiPriority w:val="46"/>
    <w:rsid w:val="00562AB9"/>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ableParagraph">
    <w:name w:val="Table Paragraph"/>
    <w:basedOn w:val="a0"/>
    <w:rsid w:val="008F3621"/>
    <w:pPr>
      <w:widowControl w:val="0"/>
      <w:spacing w:before="0" w:after="0" w:line="240" w:lineRule="auto"/>
      <w:ind w:left="103"/>
      <w:jc w:val="left"/>
    </w:pPr>
    <w:rPr>
      <w:rFonts w:ascii="Calibri" w:eastAsia="Times New Roman" w:hAnsi="Calibri" w:cs="Calibri"/>
      <w:sz w:val="22"/>
      <w:lang w:val="en-US"/>
    </w:rPr>
  </w:style>
  <w:style w:type="character" w:customStyle="1" w:styleId="pop-slug-vol">
    <w:name w:val="pop-slug-vol"/>
    <w:uiPriority w:val="99"/>
    <w:qFormat/>
    <w:rsid w:val="008F3621"/>
    <w:rPr>
      <w:rFonts w:cs="Times New Roman"/>
    </w:rPr>
  </w:style>
  <w:style w:type="paragraph" w:customStyle="1" w:styleId="ad">
    <w:name w:val="Содержимое врезки"/>
    <w:basedOn w:val="a0"/>
    <w:uiPriority w:val="99"/>
    <w:qFormat/>
    <w:rsid w:val="008F3621"/>
    <w:pPr>
      <w:spacing w:before="0" w:after="0"/>
      <w:jc w:val="left"/>
    </w:pPr>
  </w:style>
  <w:style w:type="table" w:styleId="ae">
    <w:name w:val="Table Grid"/>
    <w:basedOn w:val="a2"/>
    <w:uiPriority w:val="59"/>
    <w:rsid w:val="008F3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Текст примечания Знак"/>
    <w:uiPriority w:val="99"/>
    <w:qFormat/>
    <w:rsid w:val="008F3621"/>
    <w:rPr>
      <w:rFonts w:ascii="Times New Roman" w:hAnsi="Times New Roman"/>
      <w:sz w:val="20"/>
      <w:szCs w:val="20"/>
    </w:rPr>
  </w:style>
  <w:style w:type="paragraph" w:styleId="af0">
    <w:name w:val="No Spacing"/>
    <w:uiPriority w:val="1"/>
    <w:qFormat/>
    <w:rsid w:val="008F3621"/>
    <w:pPr>
      <w:jc w:val="both"/>
    </w:pPr>
    <w:rPr>
      <w:rFonts w:ascii="Times New Roman" w:hAnsi="Times New Roman"/>
      <w:sz w:val="24"/>
      <w:szCs w:val="22"/>
      <w:lang w:eastAsia="en-US"/>
    </w:rPr>
  </w:style>
  <w:style w:type="paragraph" w:styleId="af1">
    <w:name w:val="TOC Heading"/>
    <w:basedOn w:val="1"/>
    <w:next w:val="a0"/>
    <w:uiPriority w:val="39"/>
    <w:unhideWhenUsed/>
    <w:qFormat/>
    <w:rsid w:val="008F3621"/>
    <w:pPr>
      <w:pageBreakBefore w:val="0"/>
      <w:spacing w:after="0" w:line="259" w:lineRule="auto"/>
      <w:jc w:val="left"/>
      <w:outlineLvl w:val="9"/>
    </w:pPr>
    <w:rPr>
      <w:rFonts w:ascii="Calibri Light" w:hAnsi="Calibri Light"/>
      <w:b w:val="0"/>
      <w:color w:val="2F5496"/>
      <w:sz w:val="32"/>
      <w:lang w:eastAsia="ru-RU"/>
    </w:rPr>
  </w:style>
  <w:style w:type="paragraph" w:styleId="11">
    <w:name w:val="toc 1"/>
    <w:basedOn w:val="a0"/>
    <w:next w:val="a0"/>
    <w:autoRedefine/>
    <w:uiPriority w:val="39"/>
    <w:unhideWhenUsed/>
    <w:rsid w:val="008654BE"/>
    <w:pPr>
      <w:tabs>
        <w:tab w:val="right" w:leader="dot" w:pos="9345"/>
      </w:tabs>
      <w:spacing w:after="100"/>
      <w:jc w:val="left"/>
    </w:pPr>
    <w:rPr>
      <w:bCs/>
      <w:noProof/>
    </w:rPr>
  </w:style>
  <w:style w:type="paragraph" w:styleId="21">
    <w:name w:val="toc 2"/>
    <w:basedOn w:val="a0"/>
    <w:next w:val="a0"/>
    <w:autoRedefine/>
    <w:uiPriority w:val="39"/>
    <w:unhideWhenUsed/>
    <w:rsid w:val="008654BE"/>
    <w:pPr>
      <w:tabs>
        <w:tab w:val="right" w:leader="dot" w:pos="9345"/>
      </w:tabs>
      <w:spacing w:before="0" w:after="0"/>
      <w:ind w:left="240"/>
      <w:jc w:val="left"/>
    </w:pPr>
    <w:rPr>
      <w:noProof/>
    </w:rPr>
  </w:style>
  <w:style w:type="character" w:styleId="af2">
    <w:name w:val="Hyperlink"/>
    <w:uiPriority w:val="99"/>
    <w:unhideWhenUsed/>
    <w:rsid w:val="008F3621"/>
    <w:rPr>
      <w:color w:val="0563C1"/>
      <w:u w:val="single"/>
    </w:rPr>
  </w:style>
  <w:style w:type="character" w:styleId="af3">
    <w:name w:val="annotation reference"/>
    <w:uiPriority w:val="99"/>
    <w:semiHidden/>
    <w:unhideWhenUsed/>
    <w:rsid w:val="003C363B"/>
    <w:rPr>
      <w:sz w:val="16"/>
      <w:szCs w:val="16"/>
    </w:rPr>
  </w:style>
  <w:style w:type="paragraph" w:styleId="af4">
    <w:name w:val="annotation text"/>
    <w:basedOn w:val="a0"/>
    <w:link w:val="12"/>
    <w:uiPriority w:val="99"/>
    <w:unhideWhenUsed/>
    <w:qFormat/>
    <w:rsid w:val="003C363B"/>
    <w:pPr>
      <w:spacing w:line="240" w:lineRule="auto"/>
    </w:pPr>
    <w:rPr>
      <w:sz w:val="20"/>
      <w:szCs w:val="20"/>
    </w:rPr>
  </w:style>
  <w:style w:type="character" w:customStyle="1" w:styleId="12">
    <w:name w:val="Текст примечания Знак1"/>
    <w:link w:val="af4"/>
    <w:uiPriority w:val="99"/>
    <w:rsid w:val="003C363B"/>
    <w:rPr>
      <w:rFonts w:ascii="Times New Roman" w:hAnsi="Times New Roman"/>
      <w:sz w:val="20"/>
      <w:szCs w:val="20"/>
    </w:rPr>
  </w:style>
  <w:style w:type="paragraph" w:styleId="af5">
    <w:name w:val="Balloon Text"/>
    <w:basedOn w:val="a0"/>
    <w:link w:val="af6"/>
    <w:uiPriority w:val="99"/>
    <w:semiHidden/>
    <w:unhideWhenUsed/>
    <w:rsid w:val="003C363B"/>
    <w:pPr>
      <w:spacing w:before="0" w:after="0" w:line="240" w:lineRule="auto"/>
    </w:pPr>
    <w:rPr>
      <w:rFonts w:ascii="Segoe UI" w:hAnsi="Segoe UI" w:cs="Segoe UI"/>
      <w:sz w:val="18"/>
      <w:szCs w:val="18"/>
    </w:rPr>
  </w:style>
  <w:style w:type="character" w:customStyle="1" w:styleId="af6">
    <w:name w:val="Текст выноски Знак"/>
    <w:link w:val="af5"/>
    <w:uiPriority w:val="99"/>
    <w:semiHidden/>
    <w:rsid w:val="003C363B"/>
    <w:rPr>
      <w:rFonts w:ascii="Segoe UI" w:hAnsi="Segoe UI" w:cs="Segoe UI"/>
      <w:sz w:val="18"/>
      <w:szCs w:val="18"/>
    </w:rPr>
  </w:style>
  <w:style w:type="paragraph" w:customStyle="1" w:styleId="13">
    <w:name w:val="Оглавление 1 Знак"/>
    <w:basedOn w:val="a0"/>
    <w:qFormat/>
    <w:rsid w:val="00130BC5"/>
    <w:pPr>
      <w:widowControl w:val="0"/>
      <w:spacing w:before="0" w:after="0"/>
      <w:ind w:left="709" w:hanging="283"/>
    </w:pPr>
    <w:rPr>
      <w:rFonts w:eastAsia="Times New Roman"/>
      <w:szCs w:val="24"/>
      <w:lang w:eastAsia="ru-RU"/>
    </w:rPr>
  </w:style>
  <w:style w:type="paragraph" w:styleId="af7">
    <w:name w:val="Body Text"/>
    <w:basedOn w:val="a0"/>
    <w:link w:val="af8"/>
    <w:rsid w:val="00DD67C7"/>
    <w:pPr>
      <w:spacing w:before="0" w:line="240" w:lineRule="auto"/>
      <w:ind w:firstLine="567"/>
    </w:pPr>
    <w:rPr>
      <w:rFonts w:eastAsia="Times New Roman"/>
      <w:szCs w:val="24"/>
    </w:rPr>
  </w:style>
  <w:style w:type="character" w:customStyle="1" w:styleId="af8">
    <w:name w:val="Основной текст Знак"/>
    <w:link w:val="af7"/>
    <w:rsid w:val="00DD67C7"/>
    <w:rPr>
      <w:rFonts w:ascii="Times New Roman" w:eastAsia="Times New Roman" w:hAnsi="Times New Roman" w:cs="Times New Roman"/>
      <w:sz w:val="24"/>
      <w:szCs w:val="24"/>
    </w:rPr>
  </w:style>
  <w:style w:type="paragraph" w:customStyle="1" w:styleId="31">
    <w:name w:val="Абзац списка3"/>
    <w:basedOn w:val="a0"/>
    <w:rsid w:val="008654BE"/>
    <w:pPr>
      <w:spacing w:before="0" w:after="0" w:line="240" w:lineRule="auto"/>
      <w:ind w:left="720" w:firstLine="567"/>
    </w:pPr>
    <w:rPr>
      <w:szCs w:val="24"/>
      <w:lang w:eastAsia="ru-RU"/>
    </w:rPr>
  </w:style>
  <w:style w:type="table" w:customStyle="1" w:styleId="-132">
    <w:name w:val="Список-таблица 1 светлая — акцент 32"/>
    <w:basedOn w:val="a2"/>
    <w:uiPriority w:val="46"/>
    <w:rsid w:val="006A749A"/>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f9">
    <w:name w:val="annotation subject"/>
    <w:basedOn w:val="af4"/>
    <w:next w:val="af4"/>
    <w:link w:val="afa"/>
    <w:uiPriority w:val="99"/>
    <w:semiHidden/>
    <w:unhideWhenUsed/>
    <w:rsid w:val="003C65DB"/>
    <w:rPr>
      <w:b/>
      <w:bCs/>
    </w:rPr>
  </w:style>
  <w:style w:type="character" w:customStyle="1" w:styleId="afa">
    <w:name w:val="Тема примечания Знак"/>
    <w:link w:val="af9"/>
    <w:uiPriority w:val="99"/>
    <w:semiHidden/>
    <w:rsid w:val="003C65DB"/>
    <w:rPr>
      <w:rFonts w:ascii="Times New Roman" w:hAnsi="Times New Roman"/>
      <w:b/>
      <w:bCs/>
      <w:sz w:val="20"/>
      <w:szCs w:val="20"/>
    </w:rPr>
  </w:style>
  <w:style w:type="character" w:customStyle="1" w:styleId="hl">
    <w:name w:val="hl"/>
    <w:basedOn w:val="a1"/>
    <w:rsid w:val="003C65DB"/>
  </w:style>
  <w:style w:type="paragraph" w:styleId="afb">
    <w:name w:val="Title"/>
    <w:aliases w:val="Заголовок мой"/>
    <w:basedOn w:val="a0"/>
    <w:next w:val="a0"/>
    <w:link w:val="afc"/>
    <w:qFormat/>
    <w:rsid w:val="00036C84"/>
    <w:pPr>
      <w:spacing w:before="0" w:after="0"/>
      <w:contextualSpacing/>
      <w:jc w:val="center"/>
    </w:pPr>
    <w:rPr>
      <w:rFonts w:eastAsia="Times New Roman"/>
      <w:spacing w:val="-10"/>
      <w:kern w:val="28"/>
      <w:sz w:val="28"/>
      <w:szCs w:val="56"/>
      <w:u w:val="single"/>
    </w:rPr>
  </w:style>
  <w:style w:type="character" w:customStyle="1" w:styleId="afc">
    <w:name w:val="Название Знак"/>
    <w:aliases w:val="Заголовок мой Знак"/>
    <w:link w:val="afb"/>
    <w:rsid w:val="00036C84"/>
    <w:rPr>
      <w:rFonts w:ascii="Times New Roman" w:eastAsia="Times New Roman" w:hAnsi="Times New Roman" w:cs="Times New Roman"/>
      <w:spacing w:val="-10"/>
      <w:kern w:val="28"/>
      <w:sz w:val="28"/>
      <w:szCs w:val="56"/>
      <w:u w:val="single"/>
    </w:rPr>
  </w:style>
  <w:style w:type="table" w:customStyle="1" w:styleId="14">
    <w:name w:val="Сетка таблицы1"/>
    <w:basedOn w:val="a2"/>
    <w:next w:val="ae"/>
    <w:uiPriority w:val="59"/>
    <w:rsid w:val="00C0307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A0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A045D5"/>
    <w:rPr>
      <w:rFonts w:ascii="Courier New" w:eastAsia="Times New Roman" w:hAnsi="Courier New" w:cs="Courier New"/>
      <w:sz w:val="20"/>
      <w:szCs w:val="20"/>
      <w:lang w:eastAsia="ru-RU"/>
    </w:rPr>
  </w:style>
  <w:style w:type="character" w:customStyle="1" w:styleId="mixed-citation">
    <w:name w:val="mixed-citation"/>
    <w:basedOn w:val="a1"/>
    <w:rsid w:val="00A045D5"/>
  </w:style>
  <w:style w:type="character" w:customStyle="1" w:styleId="ref-title">
    <w:name w:val="ref-title"/>
    <w:basedOn w:val="a1"/>
    <w:rsid w:val="00A045D5"/>
  </w:style>
  <w:style w:type="character" w:customStyle="1" w:styleId="ref-journal">
    <w:name w:val="ref-journal"/>
    <w:basedOn w:val="a1"/>
    <w:rsid w:val="00A045D5"/>
  </w:style>
  <w:style w:type="character" w:customStyle="1" w:styleId="ref-vol">
    <w:name w:val="ref-vol"/>
    <w:basedOn w:val="a1"/>
    <w:rsid w:val="00A045D5"/>
  </w:style>
  <w:style w:type="character" w:customStyle="1" w:styleId="ref-iss">
    <w:name w:val="ref-iss"/>
    <w:basedOn w:val="a1"/>
    <w:rsid w:val="00A045D5"/>
  </w:style>
  <w:style w:type="character" w:customStyle="1" w:styleId="nowrap">
    <w:name w:val="nowrap"/>
    <w:basedOn w:val="a1"/>
    <w:rsid w:val="00A045D5"/>
  </w:style>
  <w:style w:type="character" w:styleId="afd">
    <w:name w:val="Placeholder Text"/>
    <w:uiPriority w:val="99"/>
    <w:semiHidden/>
    <w:rsid w:val="00804C38"/>
    <w:rPr>
      <w:color w:val="808080"/>
    </w:rPr>
  </w:style>
  <w:style w:type="paragraph" w:customStyle="1" w:styleId="afe">
    <w:name w:val="Памятки"/>
    <w:basedOn w:val="a0"/>
    <w:link w:val="aff"/>
    <w:uiPriority w:val="99"/>
    <w:rsid w:val="000B4176"/>
    <w:pPr>
      <w:spacing w:before="0" w:after="0"/>
      <w:ind w:firstLine="709"/>
    </w:pPr>
    <w:rPr>
      <w:rFonts w:eastAsia="Times New Roman"/>
      <w:i/>
      <w:color w:val="FF0000"/>
      <w:sz w:val="18"/>
      <w:szCs w:val="24"/>
    </w:rPr>
  </w:style>
  <w:style w:type="character" w:customStyle="1" w:styleId="aff">
    <w:name w:val="Памятки Знак"/>
    <w:link w:val="afe"/>
    <w:uiPriority w:val="99"/>
    <w:locked/>
    <w:rsid w:val="000B4176"/>
    <w:rPr>
      <w:rFonts w:ascii="Times New Roman" w:eastAsia="Times New Roman" w:hAnsi="Times New Roman" w:cs="Times New Roman"/>
      <w:i/>
      <w:color w:val="FF0000"/>
      <w:sz w:val="18"/>
      <w:szCs w:val="24"/>
    </w:rPr>
  </w:style>
  <w:style w:type="paragraph" w:customStyle="1" w:styleId="Default">
    <w:name w:val="Default"/>
    <w:rsid w:val="00E92FAD"/>
    <w:pPr>
      <w:autoSpaceDE w:val="0"/>
      <w:autoSpaceDN w:val="0"/>
      <w:adjustRightInd w:val="0"/>
    </w:pPr>
    <w:rPr>
      <w:rFonts w:ascii="Times New Roman" w:hAnsi="Times New Roman"/>
      <w:color w:val="000000"/>
      <w:sz w:val="24"/>
      <w:szCs w:val="24"/>
      <w:lang w:eastAsia="en-US"/>
    </w:rPr>
  </w:style>
  <w:style w:type="character" w:customStyle="1" w:styleId="aff0">
    <w:name w:val="Обычный (веб) Знак"/>
    <w:uiPriority w:val="99"/>
    <w:rsid w:val="00305AC6"/>
    <w:rPr>
      <w:rFonts w:ascii="Times New Roman" w:eastAsia="Times New Roman" w:hAnsi="Times New Roman"/>
      <w:sz w:val="24"/>
      <w:szCs w:val="24"/>
    </w:rPr>
  </w:style>
  <w:style w:type="paragraph" w:styleId="aff1">
    <w:name w:val="Revision"/>
    <w:hidden/>
    <w:uiPriority w:val="99"/>
    <w:semiHidden/>
    <w:rsid w:val="00305AC6"/>
    <w:rPr>
      <w:rFonts w:ascii="Times New Roman" w:hAnsi="Times New Roman"/>
      <w:sz w:val="24"/>
      <w:szCs w:val="22"/>
      <w:lang w:eastAsia="en-US"/>
    </w:rPr>
  </w:style>
  <w:style w:type="paragraph" w:customStyle="1" w:styleId="aff2">
    <w:basedOn w:val="a0"/>
    <w:next w:val="a4"/>
    <w:uiPriority w:val="99"/>
    <w:unhideWhenUsed/>
    <w:qFormat/>
    <w:rsid w:val="008654BE"/>
    <w:pPr>
      <w:spacing w:beforeAutospacing="1" w:afterAutospacing="1" w:line="288" w:lineRule="auto"/>
      <w:jc w:val="left"/>
    </w:pPr>
    <w:rPr>
      <w:rFonts w:eastAsia="Times New Roman"/>
      <w:szCs w:val="24"/>
      <w:lang w:eastAsia="ru-RU"/>
    </w:rPr>
  </w:style>
  <w:style w:type="character" w:customStyle="1" w:styleId="15">
    <w:name w:val="Абзац списка Знак1"/>
    <w:basedOn w:val="a1"/>
    <w:uiPriority w:val="34"/>
    <w:rsid w:val="00476626"/>
    <w:rPr>
      <w:rFonts w:ascii="Times New Roman" w:hAnsi="Times New Roman"/>
      <w:sz w:val="24"/>
    </w:rPr>
  </w:style>
  <w:style w:type="paragraph" w:customStyle="1" w:styleId="Normal1">
    <w:name w:val="Normal 1"/>
    <w:uiPriority w:val="99"/>
    <w:rsid w:val="00EF54E3"/>
    <w:pPr>
      <w:shd w:val="clear" w:color="auto" w:fill="FFFFFF"/>
      <w:tabs>
        <w:tab w:val="left" w:pos="394"/>
      </w:tabs>
      <w:spacing w:before="5"/>
      <w:ind w:left="10" w:hanging="10"/>
    </w:pPr>
    <w:rPr>
      <w:rFonts w:ascii="Times New Roman" w:eastAsia="Arial Unicode MS" w:hAnsi="Times New Roman" w:cs="Arial Unicode MS"/>
      <w:color w:val="000000"/>
      <w:spacing w:val="4"/>
      <w:sz w:val="24"/>
      <w:szCs w:val="24"/>
      <w:u w:color="000000"/>
    </w:rPr>
  </w:style>
  <w:style w:type="paragraph" w:customStyle="1" w:styleId="Literature">
    <w:name w:val="Literature"/>
    <w:uiPriority w:val="99"/>
    <w:rsid w:val="00EF54E3"/>
    <w:pPr>
      <w:shd w:val="clear" w:color="auto" w:fill="FFFFFF"/>
      <w:tabs>
        <w:tab w:val="left" w:pos="1068"/>
      </w:tabs>
      <w:spacing w:before="5"/>
      <w:ind w:left="720" w:hanging="360"/>
    </w:pPr>
    <w:rPr>
      <w:rFonts w:ascii="Times New Roman" w:eastAsia="Arial Unicode MS" w:hAnsi="Times New Roman" w:cs="Arial Unicode MS"/>
      <w:color w:val="000000"/>
      <w:spacing w:val="-1"/>
      <w:sz w:val="24"/>
      <w:szCs w:val="24"/>
      <w:u w:color="000000"/>
    </w:rPr>
  </w:style>
  <w:style w:type="paragraph" w:customStyle="1" w:styleId="Numlist">
    <w:name w:val="Num_list"/>
    <w:basedOn w:val="a0"/>
    <w:uiPriority w:val="99"/>
    <w:qFormat/>
    <w:rsid w:val="00EF54E3"/>
    <w:pPr>
      <w:overflowPunct w:val="0"/>
      <w:autoSpaceDE w:val="0"/>
      <w:autoSpaceDN w:val="0"/>
      <w:adjustRightInd w:val="0"/>
      <w:spacing w:before="0" w:after="0" w:line="240" w:lineRule="auto"/>
      <w:ind w:firstLine="708"/>
      <w:jc w:val="left"/>
      <w:textAlignment w:val="baseline"/>
    </w:pPr>
    <w:rPr>
      <w:rFonts w:eastAsia="Times New Roman"/>
      <w:szCs w:val="24"/>
      <w:lang w:eastAsia="ru-RU"/>
    </w:rPr>
  </w:style>
  <w:style w:type="paragraph" w:customStyle="1" w:styleId="msonormalmrcssattr">
    <w:name w:val="msonormal_mr_css_attr"/>
    <w:basedOn w:val="a0"/>
    <w:rsid w:val="003E0025"/>
    <w:pPr>
      <w:spacing w:before="100" w:beforeAutospacing="1" w:after="100" w:afterAutospacing="1" w:line="240" w:lineRule="auto"/>
      <w:jc w:val="left"/>
    </w:pPr>
    <w:rPr>
      <w:rFonts w:eastAsia="Times New Roman"/>
      <w:szCs w:val="24"/>
      <w:lang w:eastAsia="ru-RU"/>
    </w:rPr>
  </w:style>
  <w:style w:type="paragraph" w:customStyle="1" w:styleId="Number1">
    <w:name w:val="Number1"/>
    <w:basedOn w:val="a0"/>
    <w:uiPriority w:val="99"/>
    <w:rsid w:val="003E0025"/>
    <w:pPr>
      <w:shd w:val="clear" w:color="auto" w:fill="FFFFFF"/>
      <w:tabs>
        <w:tab w:val="left" w:pos="394"/>
      </w:tabs>
      <w:overflowPunct w:val="0"/>
      <w:autoSpaceDE w:val="0"/>
      <w:autoSpaceDN w:val="0"/>
      <w:adjustRightInd w:val="0"/>
      <w:spacing w:before="5" w:after="0" w:line="240" w:lineRule="auto"/>
      <w:ind w:left="284" w:hanging="284"/>
      <w:jc w:val="left"/>
      <w:textAlignment w:val="baseline"/>
    </w:pPr>
    <w:rPr>
      <w:rFonts w:eastAsia="ＭＳ 明朝 (Основной т・"/>
      <w:color w:val="000000"/>
      <w:spacing w:val="-1"/>
      <w:szCs w:val="20"/>
      <w:lang w:eastAsia="ru-RU"/>
    </w:rPr>
  </w:style>
  <w:style w:type="paragraph" w:customStyle="1" w:styleId="table-name">
    <w:name w:val="table-name"/>
    <w:basedOn w:val="a0"/>
    <w:rsid w:val="003E0025"/>
    <w:pPr>
      <w:shd w:val="clear" w:color="auto" w:fill="FFFFFF"/>
      <w:tabs>
        <w:tab w:val="left" w:pos="394"/>
      </w:tabs>
      <w:overflowPunct w:val="0"/>
      <w:autoSpaceDE w:val="0"/>
      <w:autoSpaceDN w:val="0"/>
      <w:adjustRightInd w:val="0"/>
      <w:spacing w:before="60" w:after="0" w:line="240" w:lineRule="auto"/>
      <w:ind w:left="10" w:firstLine="284"/>
      <w:jc w:val="left"/>
      <w:textAlignment w:val="baseline"/>
    </w:pPr>
    <w:rPr>
      <w:rFonts w:eastAsia="ＭＳ 明朝 (Основной т・"/>
      <w:color w:val="000000"/>
      <w:spacing w:val="-5"/>
      <w:szCs w:val="20"/>
      <w:lang w:val="en-US" w:eastAsia="ru-RU"/>
    </w:rPr>
  </w:style>
  <w:style w:type="paragraph" w:customStyle="1" w:styleId="table-head-left">
    <w:name w:val="table-head-left"/>
    <w:basedOn w:val="a0"/>
    <w:rsid w:val="003E0025"/>
    <w:pPr>
      <w:shd w:val="clear" w:color="auto" w:fill="FFFFFF"/>
      <w:tabs>
        <w:tab w:val="left" w:pos="394"/>
      </w:tabs>
      <w:overflowPunct w:val="0"/>
      <w:autoSpaceDE w:val="0"/>
      <w:autoSpaceDN w:val="0"/>
      <w:adjustRightInd w:val="0"/>
      <w:spacing w:before="40" w:after="40" w:line="240" w:lineRule="auto"/>
      <w:ind w:left="57" w:hanging="57"/>
      <w:textAlignment w:val="baseline"/>
    </w:pPr>
    <w:rPr>
      <w:rFonts w:eastAsia="ＭＳ 明朝 (Основной т・"/>
      <w:color w:val="000000"/>
      <w:spacing w:val="-5"/>
      <w:sz w:val="17"/>
      <w:szCs w:val="20"/>
      <w:lang w:eastAsia="ru-RU"/>
    </w:rPr>
  </w:style>
  <w:style w:type="paragraph" w:customStyle="1" w:styleId="table-text-0">
    <w:name w:val="table-text-0"/>
    <w:basedOn w:val="a0"/>
    <w:rsid w:val="003E0025"/>
    <w:pPr>
      <w:shd w:val="clear" w:color="auto" w:fill="FFFFFF"/>
      <w:tabs>
        <w:tab w:val="left" w:pos="394"/>
      </w:tabs>
      <w:overflowPunct w:val="0"/>
      <w:autoSpaceDE w:val="0"/>
      <w:autoSpaceDN w:val="0"/>
      <w:adjustRightInd w:val="0"/>
      <w:spacing w:before="40" w:after="40" w:line="240" w:lineRule="auto"/>
      <w:ind w:left="10" w:hanging="10"/>
      <w:jc w:val="left"/>
      <w:textAlignment w:val="baseline"/>
    </w:pPr>
    <w:rPr>
      <w:rFonts w:eastAsia="ＭＳ 明朝 (Основной т・"/>
      <w:color w:val="000000"/>
      <w:spacing w:val="-5"/>
      <w:sz w:val="17"/>
      <w:szCs w:val="20"/>
      <w:lang w:eastAsia="ru-RU"/>
    </w:rPr>
  </w:style>
  <w:style w:type="paragraph" w:customStyle="1" w:styleId="Autor">
    <w:name w:val="Autor"/>
    <w:basedOn w:val="a0"/>
    <w:qFormat/>
    <w:rsid w:val="003E0025"/>
    <w:pPr>
      <w:widowControl w:val="0"/>
      <w:shd w:val="clear" w:color="auto" w:fill="FFFFFF"/>
      <w:overflowPunct w:val="0"/>
      <w:autoSpaceDE w:val="0"/>
      <w:autoSpaceDN w:val="0"/>
      <w:adjustRightInd w:val="0"/>
      <w:spacing w:after="0" w:line="240" w:lineRule="atLeast"/>
      <w:jc w:val="left"/>
      <w:textAlignment w:val="baseline"/>
    </w:pPr>
    <w:rPr>
      <w:i/>
      <w:iCs/>
      <w:sz w:val="22"/>
      <w:lang w:val="en-US" w:eastAsia="ru-RU"/>
    </w:rPr>
  </w:style>
  <w:style w:type="paragraph" w:customStyle="1" w:styleId="aff3">
    <w:name w:val="Литература"/>
    <w:basedOn w:val="a0"/>
    <w:qFormat/>
    <w:rsid w:val="003E0025"/>
    <w:pPr>
      <w:suppressAutoHyphens/>
      <w:spacing w:before="0" w:line="240" w:lineRule="auto"/>
      <w:jc w:val="left"/>
    </w:pPr>
    <w:rPr>
      <w:i/>
      <w:kern w:val="1"/>
      <w:szCs w:val="24"/>
      <w:lang w:val="en-US"/>
    </w:rPr>
  </w:style>
  <w:style w:type="character" w:customStyle="1" w:styleId="cit">
    <w:name w:val="cit"/>
    <w:basedOn w:val="a1"/>
    <w:rsid w:val="003E0025"/>
  </w:style>
  <w:style w:type="character" w:customStyle="1" w:styleId="al-author-delim">
    <w:name w:val="al-author-delim"/>
    <w:basedOn w:val="a1"/>
    <w:rsid w:val="003E0025"/>
  </w:style>
  <w:style w:type="character" w:customStyle="1" w:styleId="apple-converted-space">
    <w:name w:val="apple-converted-space"/>
    <w:uiPriority w:val="99"/>
    <w:rsid w:val="00266EEA"/>
  </w:style>
  <w:style w:type="paragraph" w:customStyle="1" w:styleId="a">
    <w:name w:val="рек"/>
    <w:basedOn w:val="a6"/>
    <w:link w:val="aff4"/>
    <w:qFormat/>
    <w:rsid w:val="00266EEA"/>
    <w:pPr>
      <w:numPr>
        <w:numId w:val="70"/>
      </w:numPr>
      <w:tabs>
        <w:tab w:val="left" w:pos="1134"/>
      </w:tabs>
      <w:spacing w:before="240" w:after="0"/>
      <w:ind w:left="709" w:hanging="425"/>
      <w:contextualSpacing w:val="0"/>
    </w:pPr>
    <w:rPr>
      <w:rFonts w:eastAsiaTheme="minorHAnsi"/>
      <w:szCs w:val="24"/>
    </w:rPr>
  </w:style>
  <w:style w:type="character" w:customStyle="1" w:styleId="aff4">
    <w:name w:val="рек Знак"/>
    <w:basedOn w:val="a7"/>
    <w:link w:val="a"/>
    <w:rsid w:val="00266EEA"/>
    <w:rPr>
      <w:rFonts w:ascii="Times New Roman" w:eastAsiaTheme="minorHAnsi" w:hAnsi="Times New Roman"/>
      <w:sz w:val="24"/>
      <w:szCs w:val="24"/>
      <w:lang w:eastAsia="en-US"/>
    </w:rPr>
  </w:style>
  <w:style w:type="character" w:customStyle="1" w:styleId="-">
    <w:name w:val="Интернет-ссылка"/>
    <w:uiPriority w:val="99"/>
    <w:unhideWhenUsed/>
    <w:rsid w:val="00D563D9"/>
    <w:rPr>
      <w:color w:val="0000FF"/>
      <w:u w:val="single"/>
    </w:rPr>
  </w:style>
  <w:style w:type="paragraph" w:customStyle="1" w:styleId="msolistparagraphmrcssattr">
    <w:name w:val="msolistparagraph_mr_css_attr"/>
    <w:basedOn w:val="a0"/>
    <w:qFormat/>
    <w:rsid w:val="00D563D9"/>
    <w:pPr>
      <w:overflowPunct w:val="0"/>
      <w:spacing w:before="280" w:after="280" w:line="240" w:lineRule="auto"/>
      <w:jc w:val="left"/>
    </w:pPr>
    <w:rPr>
      <w:rFonts w:eastAsia="Times New Roman"/>
      <w:szCs w:val="24"/>
      <w:lang w:eastAsia="ru-RU"/>
    </w:rPr>
  </w:style>
  <w:style w:type="table" w:customStyle="1" w:styleId="16">
    <w:name w:val="Сетка таблицы светлая1"/>
    <w:basedOn w:val="a2"/>
    <w:uiPriority w:val="40"/>
    <w:rsid w:val="00D563D9"/>
    <w:rPr>
      <w:rFonts w:asciiTheme="minorHAnsi" w:eastAsiaTheme="minorHAnsi" w:hAnsiTheme="minorHAnsi" w:cstheme="minorBidi"/>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customStyle="1" w:styleId="pagelast">
    <w:name w:val="pagelast"/>
    <w:uiPriority w:val="99"/>
    <w:rsid w:val="004569A5"/>
    <w:rPr>
      <w:rFonts w:cs="Times New Roman"/>
    </w:rPr>
  </w:style>
  <w:style w:type="paragraph" w:customStyle="1" w:styleId="FitzBullet">
    <w:name w:val="FitzBullet"/>
    <w:basedOn w:val="a0"/>
    <w:rsid w:val="004569A5"/>
    <w:pPr>
      <w:shd w:val="clear" w:color="auto" w:fill="FFFFFF"/>
      <w:tabs>
        <w:tab w:val="left" w:pos="144"/>
      </w:tabs>
      <w:autoSpaceDE w:val="0"/>
      <w:autoSpaceDN w:val="0"/>
      <w:adjustRightInd w:val="0"/>
      <w:spacing w:before="60" w:after="60" w:line="240" w:lineRule="auto"/>
      <w:ind w:left="283" w:hanging="283"/>
      <w:jc w:val="left"/>
    </w:pPr>
    <w:rPr>
      <w:rFonts w:eastAsia="Times New Roman"/>
      <w:color w:val="000000"/>
      <w:sz w:val="22"/>
      <w:lang w:val="en-GB" w:eastAsia="ru-RU"/>
    </w:rPr>
  </w:style>
  <w:style w:type="paragraph" w:customStyle="1" w:styleId="Table-head-italic">
    <w:name w:val="Table-head-italic"/>
    <w:basedOn w:val="a0"/>
    <w:rsid w:val="004569A5"/>
    <w:pPr>
      <w:widowControl w:val="0"/>
      <w:shd w:val="clear" w:color="auto" w:fill="FFFFFF"/>
      <w:autoSpaceDE w:val="0"/>
      <w:autoSpaceDN w:val="0"/>
      <w:adjustRightInd w:val="0"/>
      <w:spacing w:before="0" w:after="0" w:line="240" w:lineRule="auto"/>
      <w:jc w:val="left"/>
    </w:pPr>
    <w:rPr>
      <w:rFonts w:eastAsia="Times New Roman"/>
      <w:i/>
      <w:iCs/>
      <w:sz w:val="18"/>
      <w:szCs w:val="18"/>
      <w:lang w:val="en-US" w:eastAsia="ru-RU"/>
    </w:rPr>
  </w:style>
  <w:style w:type="paragraph" w:customStyle="1" w:styleId="FitzFootnote">
    <w:name w:val="FitzFootnote"/>
    <w:basedOn w:val="a0"/>
    <w:rsid w:val="004569A5"/>
    <w:pPr>
      <w:shd w:val="clear" w:color="auto" w:fill="FFFFFF"/>
      <w:autoSpaceDE w:val="0"/>
      <w:autoSpaceDN w:val="0"/>
      <w:adjustRightInd w:val="0"/>
      <w:spacing w:before="60" w:after="60" w:line="240" w:lineRule="auto"/>
      <w:jc w:val="left"/>
    </w:pPr>
    <w:rPr>
      <w:rFonts w:eastAsia="Times New Roman"/>
      <w:color w:val="000000"/>
      <w:sz w:val="18"/>
      <w:szCs w:val="18"/>
      <w:lang w:val="en-US" w:eastAsia="ru-RU"/>
    </w:rPr>
  </w:style>
  <w:style w:type="paragraph" w:customStyle="1" w:styleId="table-text-1">
    <w:name w:val="table-text-1"/>
    <w:basedOn w:val="a0"/>
    <w:rsid w:val="004569A5"/>
    <w:pPr>
      <w:overflowPunct w:val="0"/>
      <w:autoSpaceDE w:val="0"/>
      <w:autoSpaceDN w:val="0"/>
      <w:adjustRightInd w:val="0"/>
      <w:spacing w:before="40" w:after="40" w:line="240" w:lineRule="auto"/>
      <w:ind w:left="340" w:hanging="170"/>
      <w:jc w:val="left"/>
      <w:textAlignment w:val="baseline"/>
    </w:pPr>
    <w:rPr>
      <w:rFonts w:eastAsia="Times New Roman"/>
      <w:color w:val="000000"/>
      <w:sz w:val="17"/>
      <w:szCs w:val="20"/>
      <w:lang w:eastAsia="ru-RU"/>
    </w:rPr>
  </w:style>
  <w:style w:type="paragraph" w:customStyle="1" w:styleId="formula">
    <w:name w:val="formula"/>
    <w:basedOn w:val="a0"/>
    <w:rsid w:val="004569A5"/>
    <w:pPr>
      <w:shd w:val="clear" w:color="auto" w:fill="FFFFFF"/>
      <w:tabs>
        <w:tab w:val="left" w:pos="394"/>
      </w:tabs>
      <w:overflowPunct w:val="0"/>
      <w:autoSpaceDE w:val="0"/>
      <w:autoSpaceDN w:val="0"/>
      <w:adjustRightInd w:val="0"/>
      <w:spacing w:before="60" w:after="60" w:line="240" w:lineRule="auto"/>
      <w:ind w:firstLine="227"/>
      <w:jc w:val="left"/>
      <w:textAlignment w:val="baseline"/>
    </w:pPr>
    <w:rPr>
      <w:rFonts w:eastAsia="Times New Roman"/>
      <w:sz w:val="20"/>
      <w:szCs w:val="20"/>
      <w:lang w:eastAsia="ru-RU"/>
    </w:rPr>
  </w:style>
  <w:style w:type="table" w:customStyle="1" w:styleId="22">
    <w:name w:val="Сетка таблицы2"/>
    <w:basedOn w:val="a2"/>
    <w:next w:val="ae"/>
    <w:uiPriority w:val="59"/>
    <w:rsid w:val="00B424E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next w:val="ae"/>
    <w:uiPriority w:val="59"/>
    <w:rsid w:val="00C44D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FollowedHyperlink"/>
    <w:basedOn w:val="a1"/>
    <w:uiPriority w:val="99"/>
    <w:semiHidden/>
    <w:unhideWhenUsed/>
    <w:rsid w:val="00843E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89592">
      <w:bodyDiv w:val="1"/>
      <w:marLeft w:val="0"/>
      <w:marRight w:val="0"/>
      <w:marTop w:val="0"/>
      <w:marBottom w:val="0"/>
      <w:divBdr>
        <w:top w:val="none" w:sz="0" w:space="0" w:color="auto"/>
        <w:left w:val="none" w:sz="0" w:space="0" w:color="auto"/>
        <w:bottom w:val="none" w:sz="0" w:space="0" w:color="auto"/>
        <w:right w:val="none" w:sz="0" w:space="0" w:color="auto"/>
      </w:divBdr>
    </w:div>
    <w:div w:id="117720705">
      <w:bodyDiv w:val="1"/>
      <w:marLeft w:val="0"/>
      <w:marRight w:val="0"/>
      <w:marTop w:val="0"/>
      <w:marBottom w:val="0"/>
      <w:divBdr>
        <w:top w:val="none" w:sz="0" w:space="0" w:color="auto"/>
        <w:left w:val="none" w:sz="0" w:space="0" w:color="auto"/>
        <w:bottom w:val="none" w:sz="0" w:space="0" w:color="auto"/>
        <w:right w:val="none" w:sz="0" w:space="0" w:color="auto"/>
      </w:divBdr>
    </w:div>
    <w:div w:id="132718370">
      <w:bodyDiv w:val="1"/>
      <w:marLeft w:val="0"/>
      <w:marRight w:val="0"/>
      <w:marTop w:val="0"/>
      <w:marBottom w:val="0"/>
      <w:divBdr>
        <w:top w:val="none" w:sz="0" w:space="0" w:color="auto"/>
        <w:left w:val="none" w:sz="0" w:space="0" w:color="auto"/>
        <w:bottom w:val="none" w:sz="0" w:space="0" w:color="auto"/>
        <w:right w:val="none" w:sz="0" w:space="0" w:color="auto"/>
      </w:divBdr>
    </w:div>
    <w:div w:id="195849032">
      <w:bodyDiv w:val="1"/>
      <w:marLeft w:val="0"/>
      <w:marRight w:val="0"/>
      <w:marTop w:val="0"/>
      <w:marBottom w:val="0"/>
      <w:divBdr>
        <w:top w:val="none" w:sz="0" w:space="0" w:color="auto"/>
        <w:left w:val="none" w:sz="0" w:space="0" w:color="auto"/>
        <w:bottom w:val="none" w:sz="0" w:space="0" w:color="auto"/>
        <w:right w:val="none" w:sz="0" w:space="0" w:color="auto"/>
      </w:divBdr>
    </w:div>
    <w:div w:id="647242820">
      <w:bodyDiv w:val="1"/>
      <w:marLeft w:val="0"/>
      <w:marRight w:val="0"/>
      <w:marTop w:val="0"/>
      <w:marBottom w:val="0"/>
      <w:divBdr>
        <w:top w:val="none" w:sz="0" w:space="0" w:color="auto"/>
        <w:left w:val="none" w:sz="0" w:space="0" w:color="auto"/>
        <w:bottom w:val="none" w:sz="0" w:space="0" w:color="auto"/>
        <w:right w:val="none" w:sz="0" w:space="0" w:color="auto"/>
      </w:divBdr>
      <w:divsChild>
        <w:div w:id="843472833">
          <w:marLeft w:val="0"/>
          <w:marRight w:val="0"/>
          <w:marTop w:val="166"/>
          <w:marBottom w:val="166"/>
          <w:divBdr>
            <w:top w:val="none" w:sz="0" w:space="0" w:color="auto"/>
            <w:left w:val="none" w:sz="0" w:space="0" w:color="auto"/>
            <w:bottom w:val="none" w:sz="0" w:space="0" w:color="auto"/>
            <w:right w:val="none" w:sz="0" w:space="0" w:color="auto"/>
          </w:divBdr>
        </w:div>
        <w:div w:id="1387072270">
          <w:marLeft w:val="0"/>
          <w:marRight w:val="0"/>
          <w:marTop w:val="166"/>
          <w:marBottom w:val="166"/>
          <w:divBdr>
            <w:top w:val="none" w:sz="0" w:space="0" w:color="auto"/>
            <w:left w:val="none" w:sz="0" w:space="0" w:color="auto"/>
            <w:bottom w:val="none" w:sz="0" w:space="0" w:color="auto"/>
            <w:right w:val="none" w:sz="0" w:space="0" w:color="auto"/>
          </w:divBdr>
        </w:div>
        <w:div w:id="2051420866">
          <w:marLeft w:val="0"/>
          <w:marRight w:val="0"/>
          <w:marTop w:val="166"/>
          <w:marBottom w:val="166"/>
          <w:divBdr>
            <w:top w:val="none" w:sz="0" w:space="0" w:color="auto"/>
            <w:left w:val="none" w:sz="0" w:space="0" w:color="auto"/>
            <w:bottom w:val="none" w:sz="0" w:space="0" w:color="auto"/>
            <w:right w:val="none" w:sz="0" w:space="0" w:color="auto"/>
          </w:divBdr>
        </w:div>
      </w:divsChild>
    </w:div>
    <w:div w:id="683291780">
      <w:bodyDiv w:val="1"/>
      <w:marLeft w:val="0"/>
      <w:marRight w:val="0"/>
      <w:marTop w:val="0"/>
      <w:marBottom w:val="0"/>
      <w:divBdr>
        <w:top w:val="none" w:sz="0" w:space="0" w:color="auto"/>
        <w:left w:val="none" w:sz="0" w:space="0" w:color="auto"/>
        <w:bottom w:val="none" w:sz="0" w:space="0" w:color="auto"/>
        <w:right w:val="none" w:sz="0" w:space="0" w:color="auto"/>
      </w:divBdr>
    </w:div>
    <w:div w:id="897282567">
      <w:bodyDiv w:val="1"/>
      <w:marLeft w:val="0"/>
      <w:marRight w:val="0"/>
      <w:marTop w:val="0"/>
      <w:marBottom w:val="0"/>
      <w:divBdr>
        <w:top w:val="none" w:sz="0" w:space="0" w:color="auto"/>
        <w:left w:val="none" w:sz="0" w:space="0" w:color="auto"/>
        <w:bottom w:val="none" w:sz="0" w:space="0" w:color="auto"/>
        <w:right w:val="none" w:sz="0" w:space="0" w:color="auto"/>
      </w:divBdr>
    </w:div>
    <w:div w:id="934747476">
      <w:bodyDiv w:val="1"/>
      <w:marLeft w:val="0"/>
      <w:marRight w:val="0"/>
      <w:marTop w:val="0"/>
      <w:marBottom w:val="0"/>
      <w:divBdr>
        <w:top w:val="none" w:sz="0" w:space="0" w:color="auto"/>
        <w:left w:val="none" w:sz="0" w:space="0" w:color="auto"/>
        <w:bottom w:val="none" w:sz="0" w:space="0" w:color="auto"/>
        <w:right w:val="none" w:sz="0" w:space="0" w:color="auto"/>
      </w:divBdr>
    </w:div>
    <w:div w:id="1206482490">
      <w:bodyDiv w:val="1"/>
      <w:marLeft w:val="0"/>
      <w:marRight w:val="0"/>
      <w:marTop w:val="0"/>
      <w:marBottom w:val="0"/>
      <w:divBdr>
        <w:top w:val="none" w:sz="0" w:space="0" w:color="auto"/>
        <w:left w:val="none" w:sz="0" w:space="0" w:color="auto"/>
        <w:bottom w:val="none" w:sz="0" w:space="0" w:color="auto"/>
        <w:right w:val="none" w:sz="0" w:space="0" w:color="auto"/>
      </w:divBdr>
    </w:div>
    <w:div w:id="1218856603">
      <w:bodyDiv w:val="1"/>
      <w:marLeft w:val="0"/>
      <w:marRight w:val="0"/>
      <w:marTop w:val="0"/>
      <w:marBottom w:val="0"/>
      <w:divBdr>
        <w:top w:val="none" w:sz="0" w:space="0" w:color="auto"/>
        <w:left w:val="none" w:sz="0" w:space="0" w:color="auto"/>
        <w:bottom w:val="none" w:sz="0" w:space="0" w:color="auto"/>
        <w:right w:val="none" w:sz="0" w:space="0" w:color="auto"/>
      </w:divBdr>
    </w:div>
    <w:div w:id="1284773624">
      <w:bodyDiv w:val="1"/>
      <w:marLeft w:val="0"/>
      <w:marRight w:val="0"/>
      <w:marTop w:val="0"/>
      <w:marBottom w:val="0"/>
      <w:divBdr>
        <w:top w:val="none" w:sz="0" w:space="0" w:color="auto"/>
        <w:left w:val="none" w:sz="0" w:space="0" w:color="auto"/>
        <w:bottom w:val="none" w:sz="0" w:space="0" w:color="auto"/>
        <w:right w:val="none" w:sz="0" w:space="0" w:color="auto"/>
      </w:divBdr>
    </w:div>
    <w:div w:id="1307006733">
      <w:bodyDiv w:val="1"/>
      <w:marLeft w:val="0"/>
      <w:marRight w:val="0"/>
      <w:marTop w:val="0"/>
      <w:marBottom w:val="0"/>
      <w:divBdr>
        <w:top w:val="none" w:sz="0" w:space="0" w:color="auto"/>
        <w:left w:val="none" w:sz="0" w:space="0" w:color="auto"/>
        <w:bottom w:val="none" w:sz="0" w:space="0" w:color="auto"/>
        <w:right w:val="none" w:sz="0" w:space="0" w:color="auto"/>
      </w:divBdr>
    </w:div>
    <w:div w:id="1308779241">
      <w:bodyDiv w:val="1"/>
      <w:marLeft w:val="0"/>
      <w:marRight w:val="0"/>
      <w:marTop w:val="0"/>
      <w:marBottom w:val="0"/>
      <w:divBdr>
        <w:top w:val="none" w:sz="0" w:space="0" w:color="auto"/>
        <w:left w:val="none" w:sz="0" w:space="0" w:color="auto"/>
        <w:bottom w:val="none" w:sz="0" w:space="0" w:color="auto"/>
        <w:right w:val="none" w:sz="0" w:space="0" w:color="auto"/>
      </w:divBdr>
    </w:div>
    <w:div w:id="1362245745">
      <w:bodyDiv w:val="1"/>
      <w:marLeft w:val="0"/>
      <w:marRight w:val="0"/>
      <w:marTop w:val="0"/>
      <w:marBottom w:val="0"/>
      <w:divBdr>
        <w:top w:val="none" w:sz="0" w:space="0" w:color="auto"/>
        <w:left w:val="none" w:sz="0" w:space="0" w:color="auto"/>
        <w:bottom w:val="none" w:sz="0" w:space="0" w:color="auto"/>
        <w:right w:val="none" w:sz="0" w:space="0" w:color="auto"/>
      </w:divBdr>
    </w:div>
    <w:div w:id="1378623634">
      <w:bodyDiv w:val="1"/>
      <w:marLeft w:val="0"/>
      <w:marRight w:val="0"/>
      <w:marTop w:val="0"/>
      <w:marBottom w:val="0"/>
      <w:divBdr>
        <w:top w:val="none" w:sz="0" w:space="0" w:color="auto"/>
        <w:left w:val="none" w:sz="0" w:space="0" w:color="auto"/>
        <w:bottom w:val="none" w:sz="0" w:space="0" w:color="auto"/>
        <w:right w:val="none" w:sz="0" w:space="0" w:color="auto"/>
      </w:divBdr>
      <w:divsChild>
        <w:div w:id="1776631731">
          <w:marLeft w:val="0"/>
          <w:marRight w:val="0"/>
          <w:marTop w:val="0"/>
          <w:marBottom w:val="0"/>
          <w:divBdr>
            <w:top w:val="none" w:sz="0" w:space="0" w:color="auto"/>
            <w:left w:val="none" w:sz="0" w:space="0" w:color="auto"/>
            <w:bottom w:val="none" w:sz="0" w:space="0" w:color="auto"/>
            <w:right w:val="none" w:sz="0" w:space="0" w:color="auto"/>
          </w:divBdr>
          <w:divsChild>
            <w:div w:id="1088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40847">
      <w:bodyDiv w:val="1"/>
      <w:marLeft w:val="0"/>
      <w:marRight w:val="0"/>
      <w:marTop w:val="0"/>
      <w:marBottom w:val="0"/>
      <w:divBdr>
        <w:top w:val="none" w:sz="0" w:space="0" w:color="auto"/>
        <w:left w:val="none" w:sz="0" w:space="0" w:color="auto"/>
        <w:bottom w:val="none" w:sz="0" w:space="0" w:color="auto"/>
        <w:right w:val="none" w:sz="0" w:space="0" w:color="auto"/>
      </w:divBdr>
    </w:div>
    <w:div w:id="1469665069">
      <w:bodyDiv w:val="1"/>
      <w:marLeft w:val="0"/>
      <w:marRight w:val="0"/>
      <w:marTop w:val="0"/>
      <w:marBottom w:val="0"/>
      <w:divBdr>
        <w:top w:val="none" w:sz="0" w:space="0" w:color="auto"/>
        <w:left w:val="none" w:sz="0" w:space="0" w:color="auto"/>
        <w:bottom w:val="none" w:sz="0" w:space="0" w:color="auto"/>
        <w:right w:val="none" w:sz="0" w:space="0" w:color="auto"/>
      </w:divBdr>
    </w:div>
    <w:div w:id="1486823937">
      <w:bodyDiv w:val="1"/>
      <w:marLeft w:val="0"/>
      <w:marRight w:val="0"/>
      <w:marTop w:val="0"/>
      <w:marBottom w:val="0"/>
      <w:divBdr>
        <w:top w:val="none" w:sz="0" w:space="0" w:color="auto"/>
        <w:left w:val="none" w:sz="0" w:space="0" w:color="auto"/>
        <w:bottom w:val="none" w:sz="0" w:space="0" w:color="auto"/>
        <w:right w:val="none" w:sz="0" w:space="0" w:color="auto"/>
      </w:divBdr>
    </w:div>
    <w:div w:id="1495796382">
      <w:bodyDiv w:val="1"/>
      <w:marLeft w:val="0"/>
      <w:marRight w:val="0"/>
      <w:marTop w:val="0"/>
      <w:marBottom w:val="0"/>
      <w:divBdr>
        <w:top w:val="none" w:sz="0" w:space="0" w:color="auto"/>
        <w:left w:val="none" w:sz="0" w:space="0" w:color="auto"/>
        <w:bottom w:val="none" w:sz="0" w:space="0" w:color="auto"/>
        <w:right w:val="none" w:sz="0" w:space="0" w:color="auto"/>
      </w:divBdr>
    </w:div>
    <w:div w:id="1525510538">
      <w:bodyDiv w:val="1"/>
      <w:marLeft w:val="0"/>
      <w:marRight w:val="0"/>
      <w:marTop w:val="0"/>
      <w:marBottom w:val="0"/>
      <w:divBdr>
        <w:top w:val="none" w:sz="0" w:space="0" w:color="auto"/>
        <w:left w:val="none" w:sz="0" w:space="0" w:color="auto"/>
        <w:bottom w:val="none" w:sz="0" w:space="0" w:color="auto"/>
        <w:right w:val="none" w:sz="0" w:space="0" w:color="auto"/>
      </w:divBdr>
      <w:divsChild>
        <w:div w:id="429936468">
          <w:marLeft w:val="0"/>
          <w:marRight w:val="0"/>
          <w:marTop w:val="0"/>
          <w:marBottom w:val="150"/>
          <w:divBdr>
            <w:top w:val="none" w:sz="0" w:space="0" w:color="auto"/>
            <w:left w:val="none" w:sz="0" w:space="0" w:color="auto"/>
            <w:bottom w:val="none" w:sz="0" w:space="0" w:color="auto"/>
            <w:right w:val="none" w:sz="0" w:space="0" w:color="auto"/>
          </w:divBdr>
        </w:div>
        <w:div w:id="464278109">
          <w:marLeft w:val="0"/>
          <w:marRight w:val="0"/>
          <w:marTop w:val="0"/>
          <w:marBottom w:val="285"/>
          <w:divBdr>
            <w:top w:val="none" w:sz="0" w:space="0" w:color="auto"/>
            <w:left w:val="none" w:sz="0" w:space="0" w:color="auto"/>
            <w:bottom w:val="none" w:sz="0" w:space="0" w:color="auto"/>
            <w:right w:val="none" w:sz="0" w:space="0" w:color="auto"/>
          </w:divBdr>
          <w:divsChild>
            <w:div w:id="18626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22237">
      <w:bodyDiv w:val="1"/>
      <w:marLeft w:val="0"/>
      <w:marRight w:val="0"/>
      <w:marTop w:val="0"/>
      <w:marBottom w:val="0"/>
      <w:divBdr>
        <w:top w:val="none" w:sz="0" w:space="0" w:color="auto"/>
        <w:left w:val="none" w:sz="0" w:space="0" w:color="auto"/>
        <w:bottom w:val="none" w:sz="0" w:space="0" w:color="auto"/>
        <w:right w:val="none" w:sz="0" w:space="0" w:color="auto"/>
      </w:divBdr>
    </w:div>
    <w:div w:id="1604726047">
      <w:bodyDiv w:val="1"/>
      <w:marLeft w:val="0"/>
      <w:marRight w:val="0"/>
      <w:marTop w:val="0"/>
      <w:marBottom w:val="0"/>
      <w:divBdr>
        <w:top w:val="none" w:sz="0" w:space="0" w:color="auto"/>
        <w:left w:val="none" w:sz="0" w:space="0" w:color="auto"/>
        <w:bottom w:val="none" w:sz="0" w:space="0" w:color="auto"/>
        <w:right w:val="none" w:sz="0" w:space="0" w:color="auto"/>
      </w:divBdr>
      <w:divsChild>
        <w:div w:id="792940773">
          <w:marLeft w:val="0"/>
          <w:marRight w:val="0"/>
          <w:marTop w:val="300"/>
          <w:marBottom w:val="0"/>
          <w:divBdr>
            <w:top w:val="none" w:sz="0" w:space="0" w:color="auto"/>
            <w:left w:val="none" w:sz="0" w:space="0" w:color="auto"/>
            <w:bottom w:val="none" w:sz="0" w:space="0" w:color="auto"/>
            <w:right w:val="none" w:sz="0" w:space="0" w:color="auto"/>
          </w:divBdr>
        </w:div>
        <w:div w:id="1934195880">
          <w:marLeft w:val="471"/>
          <w:marRight w:val="0"/>
          <w:marTop w:val="300"/>
          <w:marBottom w:val="0"/>
          <w:divBdr>
            <w:top w:val="none" w:sz="0" w:space="0" w:color="auto"/>
            <w:left w:val="none" w:sz="0" w:space="0" w:color="auto"/>
            <w:bottom w:val="none" w:sz="0" w:space="0" w:color="auto"/>
            <w:right w:val="none" w:sz="0" w:space="0" w:color="auto"/>
          </w:divBdr>
        </w:div>
      </w:divsChild>
    </w:div>
    <w:div w:id="1640645208">
      <w:bodyDiv w:val="1"/>
      <w:marLeft w:val="0"/>
      <w:marRight w:val="0"/>
      <w:marTop w:val="0"/>
      <w:marBottom w:val="0"/>
      <w:divBdr>
        <w:top w:val="none" w:sz="0" w:space="0" w:color="auto"/>
        <w:left w:val="none" w:sz="0" w:space="0" w:color="auto"/>
        <w:bottom w:val="none" w:sz="0" w:space="0" w:color="auto"/>
        <w:right w:val="none" w:sz="0" w:space="0" w:color="auto"/>
      </w:divBdr>
    </w:div>
    <w:div w:id="1657759164">
      <w:bodyDiv w:val="1"/>
      <w:marLeft w:val="0"/>
      <w:marRight w:val="0"/>
      <w:marTop w:val="0"/>
      <w:marBottom w:val="0"/>
      <w:divBdr>
        <w:top w:val="none" w:sz="0" w:space="0" w:color="auto"/>
        <w:left w:val="none" w:sz="0" w:space="0" w:color="auto"/>
        <w:bottom w:val="none" w:sz="0" w:space="0" w:color="auto"/>
        <w:right w:val="none" w:sz="0" w:space="0" w:color="auto"/>
      </w:divBdr>
    </w:div>
    <w:div w:id="1807815232">
      <w:bodyDiv w:val="1"/>
      <w:marLeft w:val="0"/>
      <w:marRight w:val="0"/>
      <w:marTop w:val="0"/>
      <w:marBottom w:val="0"/>
      <w:divBdr>
        <w:top w:val="none" w:sz="0" w:space="0" w:color="auto"/>
        <w:left w:val="none" w:sz="0" w:space="0" w:color="auto"/>
        <w:bottom w:val="none" w:sz="0" w:space="0" w:color="auto"/>
        <w:right w:val="none" w:sz="0" w:space="0" w:color="auto"/>
      </w:divBdr>
    </w:div>
    <w:div w:id="1911307303">
      <w:bodyDiv w:val="1"/>
      <w:marLeft w:val="0"/>
      <w:marRight w:val="0"/>
      <w:marTop w:val="0"/>
      <w:marBottom w:val="0"/>
      <w:divBdr>
        <w:top w:val="none" w:sz="0" w:space="0" w:color="auto"/>
        <w:left w:val="none" w:sz="0" w:space="0" w:color="auto"/>
        <w:bottom w:val="none" w:sz="0" w:space="0" w:color="auto"/>
        <w:right w:val="none" w:sz="0" w:space="0" w:color="auto"/>
      </w:divBdr>
    </w:div>
    <w:div w:id="1968319497">
      <w:bodyDiv w:val="1"/>
      <w:marLeft w:val="0"/>
      <w:marRight w:val="0"/>
      <w:marTop w:val="0"/>
      <w:marBottom w:val="0"/>
      <w:divBdr>
        <w:top w:val="none" w:sz="0" w:space="0" w:color="auto"/>
        <w:left w:val="none" w:sz="0" w:space="0" w:color="auto"/>
        <w:bottom w:val="none" w:sz="0" w:space="0" w:color="auto"/>
        <w:right w:val="none" w:sz="0" w:space="0" w:color="auto"/>
      </w:divBdr>
    </w:div>
    <w:div w:id="2017951719">
      <w:bodyDiv w:val="1"/>
      <w:marLeft w:val="0"/>
      <w:marRight w:val="0"/>
      <w:marTop w:val="0"/>
      <w:marBottom w:val="0"/>
      <w:divBdr>
        <w:top w:val="none" w:sz="0" w:space="0" w:color="auto"/>
        <w:left w:val="none" w:sz="0" w:space="0" w:color="auto"/>
        <w:bottom w:val="none" w:sz="0" w:space="0" w:color="auto"/>
        <w:right w:val="none" w:sz="0" w:space="0" w:color="auto"/>
      </w:divBdr>
    </w:div>
    <w:div w:id="214407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ncbi.nlm.nih.gov/pubmed/?term=Attal%20M%5BAuthor%5D&amp;cauthor=true&amp;cauthor_uid=864949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920055E0-3038-4E54-8E6A-102B619C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248419</Words>
  <Characters>1415990</Characters>
  <Application>Microsoft Office Word</Application>
  <DocSecurity>0</DocSecurity>
  <Lines>11799</Lines>
  <Paragraphs>3322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1661087</CharactersWithSpaces>
  <SharedDoc>false</SharedDoc>
  <HLinks>
    <vt:vector size="390" baseType="variant">
      <vt:variant>
        <vt:i4>6684697</vt:i4>
      </vt:variant>
      <vt:variant>
        <vt:i4>584</vt:i4>
      </vt:variant>
      <vt:variant>
        <vt:i4>0</vt:i4>
      </vt:variant>
      <vt:variant>
        <vt:i4>5</vt:i4>
      </vt:variant>
      <vt:variant>
        <vt:lpwstr>https://www.ncbi.nlm.nih.gov/pubmed/?term=Tormey%20DC%5BAuthor%5D&amp;cauthor=true&amp;cauthor_uid=7165009</vt:lpwstr>
      </vt:variant>
      <vt:variant>
        <vt:lpwstr/>
      </vt:variant>
      <vt:variant>
        <vt:i4>7602196</vt:i4>
      </vt:variant>
      <vt:variant>
        <vt:i4>581</vt:i4>
      </vt:variant>
      <vt:variant>
        <vt:i4>0</vt:i4>
      </vt:variant>
      <vt:variant>
        <vt:i4>5</vt:i4>
      </vt:variant>
      <vt:variant>
        <vt:lpwstr>https://www.ncbi.nlm.nih.gov/pubmed/?term=Creech%20RH%5BAuthor%5D&amp;cauthor=true&amp;cauthor_uid=7165009</vt:lpwstr>
      </vt:variant>
      <vt:variant>
        <vt:lpwstr/>
      </vt:variant>
      <vt:variant>
        <vt:i4>8323149</vt:i4>
      </vt:variant>
      <vt:variant>
        <vt:i4>578</vt:i4>
      </vt:variant>
      <vt:variant>
        <vt:i4>0</vt:i4>
      </vt:variant>
      <vt:variant>
        <vt:i4>5</vt:i4>
      </vt:variant>
      <vt:variant>
        <vt:lpwstr>https://www.ncbi.nlm.nih.gov/pubmed/?term=Gregory%20WM%5BAuthor%5D&amp;cauthor=true&amp;cauthor_uid=27935580</vt:lpwstr>
      </vt:variant>
      <vt:variant>
        <vt:lpwstr/>
      </vt:variant>
      <vt:variant>
        <vt:i4>7536665</vt:i4>
      </vt:variant>
      <vt:variant>
        <vt:i4>575</vt:i4>
      </vt:variant>
      <vt:variant>
        <vt:i4>0</vt:i4>
      </vt:variant>
      <vt:variant>
        <vt:i4>5</vt:i4>
      </vt:variant>
      <vt:variant>
        <vt:lpwstr>https://www.ncbi.nlm.nih.gov/pubmed/?term=Cairns%20DA%5BAuthor%5D&amp;cauthor=true&amp;cauthor_uid=27935580</vt:lpwstr>
      </vt:variant>
      <vt:variant>
        <vt:lpwstr/>
      </vt:variant>
      <vt:variant>
        <vt:i4>983137</vt:i4>
      </vt:variant>
      <vt:variant>
        <vt:i4>572</vt:i4>
      </vt:variant>
      <vt:variant>
        <vt:i4>0</vt:i4>
      </vt:variant>
      <vt:variant>
        <vt:i4>5</vt:i4>
      </vt:variant>
      <vt:variant>
        <vt:lpwstr>https://www.ncbi.nlm.nih.gov/pubmed/?term=Anderson%20KC%5BAuthor%5D&amp;cauthor=true&amp;cauthor_uid=27511158</vt:lpwstr>
      </vt:variant>
      <vt:variant>
        <vt:lpwstr/>
      </vt:variant>
      <vt:variant>
        <vt:i4>4325415</vt:i4>
      </vt:variant>
      <vt:variant>
        <vt:i4>569</vt:i4>
      </vt:variant>
      <vt:variant>
        <vt:i4>0</vt:i4>
      </vt:variant>
      <vt:variant>
        <vt:i4>5</vt:i4>
      </vt:variant>
      <vt:variant>
        <vt:lpwstr>https://www.ncbi.nlm.nih.gov/pubmed/?term=Paiva%20B%5BAuthor%5D&amp;cauthor=true&amp;cauthor_uid=27511158</vt:lpwstr>
      </vt:variant>
      <vt:variant>
        <vt:lpwstr/>
      </vt:variant>
      <vt:variant>
        <vt:i4>5177380</vt:i4>
      </vt:variant>
      <vt:variant>
        <vt:i4>566</vt:i4>
      </vt:variant>
      <vt:variant>
        <vt:i4>0</vt:i4>
      </vt:variant>
      <vt:variant>
        <vt:i4>5</vt:i4>
      </vt:variant>
      <vt:variant>
        <vt:lpwstr>https://www.ncbi.nlm.nih.gov/pubmed/?term=Durie%20B%5BAuthor%5D&amp;cauthor=true&amp;cauthor_uid=21292775</vt:lpwstr>
      </vt:variant>
      <vt:variant>
        <vt:lpwstr/>
      </vt:variant>
      <vt:variant>
        <vt:i4>7536643</vt:i4>
      </vt:variant>
      <vt:variant>
        <vt:i4>563</vt:i4>
      </vt:variant>
      <vt:variant>
        <vt:i4>0</vt:i4>
      </vt:variant>
      <vt:variant>
        <vt:i4>5</vt:i4>
      </vt:variant>
      <vt:variant>
        <vt:lpwstr>https://www.ncbi.nlm.nih.gov/pubmed/?term=Harousseau%20JL%5BAuthor%5D&amp;cauthor=true&amp;cauthor_uid=21292775</vt:lpwstr>
      </vt:variant>
      <vt:variant>
        <vt:lpwstr/>
      </vt:variant>
      <vt:variant>
        <vt:i4>6553604</vt:i4>
      </vt:variant>
      <vt:variant>
        <vt:i4>560</vt:i4>
      </vt:variant>
      <vt:variant>
        <vt:i4>0</vt:i4>
      </vt:variant>
      <vt:variant>
        <vt:i4>5</vt:i4>
      </vt:variant>
      <vt:variant>
        <vt:lpwstr>https://www.ncbi.nlm.nih.gov/pubmed/?term=Miguel%20JS%5BAuthor%5D&amp;cauthor=true&amp;cauthor_uid=16855634</vt:lpwstr>
      </vt:variant>
      <vt:variant>
        <vt:lpwstr/>
      </vt:variant>
      <vt:variant>
        <vt:i4>7929865</vt:i4>
      </vt:variant>
      <vt:variant>
        <vt:i4>557</vt:i4>
      </vt:variant>
      <vt:variant>
        <vt:i4>0</vt:i4>
      </vt:variant>
      <vt:variant>
        <vt:i4>5</vt:i4>
      </vt:variant>
      <vt:variant>
        <vt:lpwstr>https://www.ncbi.nlm.nih.gov/pubmed/?term=Harousseau%20JL%5BAuthor%5D&amp;cauthor=true&amp;cauthor_uid=16855634</vt:lpwstr>
      </vt:variant>
      <vt:variant>
        <vt:lpwstr/>
      </vt:variant>
      <vt:variant>
        <vt:i4>3866637</vt:i4>
      </vt:variant>
      <vt:variant>
        <vt:i4>554</vt:i4>
      </vt:variant>
      <vt:variant>
        <vt:i4>0</vt:i4>
      </vt:variant>
      <vt:variant>
        <vt:i4>5</vt:i4>
      </vt:variant>
      <vt:variant>
        <vt:lpwstr>https://www.ncbi.nlm.nih.gov/pubmed/?term=Paul%20M%5BAuthor%5D&amp;cauthor=true&amp;cauthor_uid=19330654</vt:lpwstr>
      </vt:variant>
      <vt:variant>
        <vt:lpwstr/>
      </vt:variant>
      <vt:variant>
        <vt:i4>3801179</vt:i4>
      </vt:variant>
      <vt:variant>
        <vt:i4>551</vt:i4>
      </vt:variant>
      <vt:variant>
        <vt:i4>0</vt:i4>
      </vt:variant>
      <vt:variant>
        <vt:i4>5</vt:i4>
      </vt:variant>
      <vt:variant>
        <vt:lpwstr>https://www.ncbi.nlm.nih.gov/pubmed/?term=Gafter-Gvili%20A%5BAuthor%5D&amp;cauthor=true&amp;cauthor_uid=19330654</vt:lpwstr>
      </vt:variant>
      <vt:variant>
        <vt:lpwstr/>
      </vt:variant>
      <vt:variant>
        <vt:i4>5505067</vt:i4>
      </vt:variant>
      <vt:variant>
        <vt:i4>548</vt:i4>
      </vt:variant>
      <vt:variant>
        <vt:i4>0</vt:i4>
      </vt:variant>
      <vt:variant>
        <vt:i4>5</vt:i4>
      </vt:variant>
      <vt:variant>
        <vt:lpwstr>https://www.ncbi.nlm.nih.gov/pubmed/?term=Ghaly%20M%5BAuthor%5D&amp;cauthor=true&amp;cauthor_uid=31334121</vt:lpwstr>
      </vt:variant>
      <vt:variant>
        <vt:lpwstr/>
      </vt:variant>
      <vt:variant>
        <vt:i4>6094901</vt:i4>
      </vt:variant>
      <vt:variant>
        <vt:i4>545</vt:i4>
      </vt:variant>
      <vt:variant>
        <vt:i4>0</vt:i4>
      </vt:variant>
      <vt:variant>
        <vt:i4>5</vt:i4>
      </vt:variant>
      <vt:variant>
        <vt:lpwstr>https://www.ncbi.nlm.nih.gov/pubmed/?term=Meshrekey%20R%5BAuthor%5D&amp;cauthor=true&amp;cauthor_uid=31334121</vt:lpwstr>
      </vt:variant>
      <vt:variant>
        <vt:lpwstr/>
      </vt:variant>
      <vt:variant>
        <vt:i4>5963821</vt:i4>
      </vt:variant>
      <vt:variant>
        <vt:i4>542</vt:i4>
      </vt:variant>
      <vt:variant>
        <vt:i4>0</vt:i4>
      </vt:variant>
      <vt:variant>
        <vt:i4>5</vt:i4>
      </vt:variant>
      <vt:variant>
        <vt:lpwstr>https://www.ncbi.nlm.nih.gov/pubmed/?term=Gilbo%20P%5BAuthor%5D&amp;cauthor=true&amp;cauthor_uid=31334121</vt:lpwstr>
      </vt:variant>
      <vt:variant>
        <vt:lpwstr/>
      </vt:variant>
      <vt:variant>
        <vt:i4>1114215</vt:i4>
      </vt:variant>
      <vt:variant>
        <vt:i4>539</vt:i4>
      </vt:variant>
      <vt:variant>
        <vt:i4>0</vt:i4>
      </vt:variant>
      <vt:variant>
        <vt:i4>5</vt:i4>
      </vt:variant>
      <vt:variant>
        <vt:lpwstr>https://www.ncbi.nlm.nih.gov/pubmed/?term=Goda%20JS%5BAuthor%5D&amp;cauthor=true&amp;cauthor_uid=29976492</vt:lpwstr>
      </vt:variant>
      <vt:variant>
        <vt:lpwstr/>
      </vt:variant>
      <vt:variant>
        <vt:i4>983158</vt:i4>
      </vt:variant>
      <vt:variant>
        <vt:i4>536</vt:i4>
      </vt:variant>
      <vt:variant>
        <vt:i4>0</vt:i4>
      </vt:variant>
      <vt:variant>
        <vt:i4>5</vt:i4>
      </vt:variant>
      <vt:variant>
        <vt:lpwstr>https://www.ncbi.nlm.nih.gov/pubmed/?term=Campbell%20BA%5BAuthor%5D&amp;cauthor=true&amp;cauthor_uid=29976492</vt:lpwstr>
      </vt:variant>
      <vt:variant>
        <vt:lpwstr/>
      </vt:variant>
      <vt:variant>
        <vt:i4>2752543</vt:i4>
      </vt:variant>
      <vt:variant>
        <vt:i4>533</vt:i4>
      </vt:variant>
      <vt:variant>
        <vt:i4>0</vt:i4>
      </vt:variant>
      <vt:variant>
        <vt:i4>5</vt:i4>
      </vt:variant>
      <vt:variant>
        <vt:lpwstr>https://www.ncbi.nlm.nih.gov/pubmed/?term=Wang%20Y%5BAuthor%5D&amp;cauthor=true&amp;cauthor_uid=29805768</vt:lpwstr>
      </vt:variant>
      <vt:variant>
        <vt:lpwstr/>
      </vt:variant>
      <vt:variant>
        <vt:i4>3211344</vt:i4>
      </vt:variant>
      <vt:variant>
        <vt:i4>530</vt:i4>
      </vt:variant>
      <vt:variant>
        <vt:i4>0</vt:i4>
      </vt:variant>
      <vt:variant>
        <vt:i4>5</vt:i4>
      </vt:variant>
      <vt:variant>
        <vt:lpwstr>https://www.ncbi.nlm.nih.gov/pubmed/?term=Bishnoi%20R%5BAuthor%5D&amp;cauthor=true&amp;cauthor_uid=29805768</vt:lpwstr>
      </vt:variant>
      <vt:variant>
        <vt:lpwstr/>
      </vt:variant>
      <vt:variant>
        <vt:i4>7798805</vt:i4>
      </vt:variant>
      <vt:variant>
        <vt:i4>527</vt:i4>
      </vt:variant>
      <vt:variant>
        <vt:i4>0</vt:i4>
      </vt:variant>
      <vt:variant>
        <vt:i4>5</vt:i4>
      </vt:variant>
      <vt:variant>
        <vt:lpwstr>https://www.ncbi.nlm.nih.gov/pubmed/?term=Usmani%20SZ%5BAuthor%5D&amp;cauthor=true&amp;cauthor_uid=26778538</vt:lpwstr>
      </vt:variant>
      <vt:variant>
        <vt:lpwstr/>
      </vt:variant>
      <vt:variant>
        <vt:i4>196649</vt:i4>
      </vt:variant>
      <vt:variant>
        <vt:i4>524</vt:i4>
      </vt:variant>
      <vt:variant>
        <vt:i4>0</vt:i4>
      </vt:variant>
      <vt:variant>
        <vt:i4>5</vt:i4>
      </vt:variant>
      <vt:variant>
        <vt:lpwstr>https://www.ncbi.nlm.nih.gov/pubmed/?term=Weiss%20BM%5BAuthor%5D&amp;cauthor=true&amp;cauthor_uid=26778538</vt:lpwstr>
      </vt:variant>
      <vt:variant>
        <vt:lpwstr/>
      </vt:variant>
      <vt:variant>
        <vt:i4>5701744</vt:i4>
      </vt:variant>
      <vt:variant>
        <vt:i4>521</vt:i4>
      </vt:variant>
      <vt:variant>
        <vt:i4>0</vt:i4>
      </vt:variant>
      <vt:variant>
        <vt:i4>5</vt:i4>
      </vt:variant>
      <vt:variant>
        <vt:lpwstr>https://www.ncbi.nlm.nih.gov/pubmed/?term=Moreau%20P%5BAuthor%5D&amp;cauthor=true&amp;cauthor_uid=24007748</vt:lpwstr>
      </vt:variant>
      <vt:variant>
        <vt:lpwstr/>
      </vt:variant>
      <vt:variant>
        <vt:i4>4784245</vt:i4>
      </vt:variant>
      <vt:variant>
        <vt:i4>518</vt:i4>
      </vt:variant>
      <vt:variant>
        <vt:i4>0</vt:i4>
      </vt:variant>
      <vt:variant>
        <vt:i4>5</vt:i4>
      </vt:variant>
      <vt:variant>
        <vt:lpwstr>https://www.ncbi.nlm.nih.gov/pubmed/?term=Weisel%20K%5BAuthor%5D&amp;cauthor=true&amp;cauthor_uid=24007748</vt:lpwstr>
      </vt:variant>
      <vt:variant>
        <vt:lpwstr/>
      </vt:variant>
      <vt:variant>
        <vt:i4>1835067</vt:i4>
      </vt:variant>
      <vt:variant>
        <vt:i4>248</vt:i4>
      </vt:variant>
      <vt:variant>
        <vt:i4>0</vt:i4>
      </vt:variant>
      <vt:variant>
        <vt:i4>5</vt:i4>
      </vt:variant>
      <vt:variant>
        <vt:lpwstr/>
      </vt:variant>
      <vt:variant>
        <vt:lpwstr>_Toc24362188</vt:lpwstr>
      </vt:variant>
      <vt:variant>
        <vt:i4>1245243</vt:i4>
      </vt:variant>
      <vt:variant>
        <vt:i4>242</vt:i4>
      </vt:variant>
      <vt:variant>
        <vt:i4>0</vt:i4>
      </vt:variant>
      <vt:variant>
        <vt:i4>5</vt:i4>
      </vt:variant>
      <vt:variant>
        <vt:lpwstr/>
      </vt:variant>
      <vt:variant>
        <vt:lpwstr>_Toc24362187</vt:lpwstr>
      </vt:variant>
      <vt:variant>
        <vt:i4>1179707</vt:i4>
      </vt:variant>
      <vt:variant>
        <vt:i4>236</vt:i4>
      </vt:variant>
      <vt:variant>
        <vt:i4>0</vt:i4>
      </vt:variant>
      <vt:variant>
        <vt:i4>5</vt:i4>
      </vt:variant>
      <vt:variant>
        <vt:lpwstr/>
      </vt:variant>
      <vt:variant>
        <vt:lpwstr>_Toc24362186</vt:lpwstr>
      </vt:variant>
      <vt:variant>
        <vt:i4>1114171</vt:i4>
      </vt:variant>
      <vt:variant>
        <vt:i4>230</vt:i4>
      </vt:variant>
      <vt:variant>
        <vt:i4>0</vt:i4>
      </vt:variant>
      <vt:variant>
        <vt:i4>5</vt:i4>
      </vt:variant>
      <vt:variant>
        <vt:lpwstr/>
      </vt:variant>
      <vt:variant>
        <vt:lpwstr>_Toc24362185</vt:lpwstr>
      </vt:variant>
      <vt:variant>
        <vt:i4>1048635</vt:i4>
      </vt:variant>
      <vt:variant>
        <vt:i4>224</vt:i4>
      </vt:variant>
      <vt:variant>
        <vt:i4>0</vt:i4>
      </vt:variant>
      <vt:variant>
        <vt:i4>5</vt:i4>
      </vt:variant>
      <vt:variant>
        <vt:lpwstr/>
      </vt:variant>
      <vt:variant>
        <vt:lpwstr>_Toc24362184</vt:lpwstr>
      </vt:variant>
      <vt:variant>
        <vt:i4>1507387</vt:i4>
      </vt:variant>
      <vt:variant>
        <vt:i4>218</vt:i4>
      </vt:variant>
      <vt:variant>
        <vt:i4>0</vt:i4>
      </vt:variant>
      <vt:variant>
        <vt:i4>5</vt:i4>
      </vt:variant>
      <vt:variant>
        <vt:lpwstr/>
      </vt:variant>
      <vt:variant>
        <vt:lpwstr>_Toc24362183</vt:lpwstr>
      </vt:variant>
      <vt:variant>
        <vt:i4>1441851</vt:i4>
      </vt:variant>
      <vt:variant>
        <vt:i4>212</vt:i4>
      </vt:variant>
      <vt:variant>
        <vt:i4>0</vt:i4>
      </vt:variant>
      <vt:variant>
        <vt:i4>5</vt:i4>
      </vt:variant>
      <vt:variant>
        <vt:lpwstr/>
      </vt:variant>
      <vt:variant>
        <vt:lpwstr>_Toc24362182</vt:lpwstr>
      </vt:variant>
      <vt:variant>
        <vt:i4>1376315</vt:i4>
      </vt:variant>
      <vt:variant>
        <vt:i4>206</vt:i4>
      </vt:variant>
      <vt:variant>
        <vt:i4>0</vt:i4>
      </vt:variant>
      <vt:variant>
        <vt:i4>5</vt:i4>
      </vt:variant>
      <vt:variant>
        <vt:lpwstr/>
      </vt:variant>
      <vt:variant>
        <vt:lpwstr>_Toc24362181</vt:lpwstr>
      </vt:variant>
      <vt:variant>
        <vt:i4>1310779</vt:i4>
      </vt:variant>
      <vt:variant>
        <vt:i4>200</vt:i4>
      </vt:variant>
      <vt:variant>
        <vt:i4>0</vt:i4>
      </vt:variant>
      <vt:variant>
        <vt:i4>5</vt:i4>
      </vt:variant>
      <vt:variant>
        <vt:lpwstr/>
      </vt:variant>
      <vt:variant>
        <vt:lpwstr>_Toc24362180</vt:lpwstr>
      </vt:variant>
      <vt:variant>
        <vt:i4>1900596</vt:i4>
      </vt:variant>
      <vt:variant>
        <vt:i4>194</vt:i4>
      </vt:variant>
      <vt:variant>
        <vt:i4>0</vt:i4>
      </vt:variant>
      <vt:variant>
        <vt:i4>5</vt:i4>
      </vt:variant>
      <vt:variant>
        <vt:lpwstr/>
      </vt:variant>
      <vt:variant>
        <vt:lpwstr>_Toc24362179</vt:lpwstr>
      </vt:variant>
      <vt:variant>
        <vt:i4>1835060</vt:i4>
      </vt:variant>
      <vt:variant>
        <vt:i4>188</vt:i4>
      </vt:variant>
      <vt:variant>
        <vt:i4>0</vt:i4>
      </vt:variant>
      <vt:variant>
        <vt:i4>5</vt:i4>
      </vt:variant>
      <vt:variant>
        <vt:lpwstr/>
      </vt:variant>
      <vt:variant>
        <vt:lpwstr>_Toc24362178</vt:lpwstr>
      </vt:variant>
      <vt:variant>
        <vt:i4>1245236</vt:i4>
      </vt:variant>
      <vt:variant>
        <vt:i4>182</vt:i4>
      </vt:variant>
      <vt:variant>
        <vt:i4>0</vt:i4>
      </vt:variant>
      <vt:variant>
        <vt:i4>5</vt:i4>
      </vt:variant>
      <vt:variant>
        <vt:lpwstr/>
      </vt:variant>
      <vt:variant>
        <vt:lpwstr>_Toc24362177</vt:lpwstr>
      </vt:variant>
      <vt:variant>
        <vt:i4>1179700</vt:i4>
      </vt:variant>
      <vt:variant>
        <vt:i4>176</vt:i4>
      </vt:variant>
      <vt:variant>
        <vt:i4>0</vt:i4>
      </vt:variant>
      <vt:variant>
        <vt:i4>5</vt:i4>
      </vt:variant>
      <vt:variant>
        <vt:lpwstr/>
      </vt:variant>
      <vt:variant>
        <vt:lpwstr>_Toc24362176</vt:lpwstr>
      </vt:variant>
      <vt:variant>
        <vt:i4>1114164</vt:i4>
      </vt:variant>
      <vt:variant>
        <vt:i4>170</vt:i4>
      </vt:variant>
      <vt:variant>
        <vt:i4>0</vt:i4>
      </vt:variant>
      <vt:variant>
        <vt:i4>5</vt:i4>
      </vt:variant>
      <vt:variant>
        <vt:lpwstr/>
      </vt:variant>
      <vt:variant>
        <vt:lpwstr>_Toc24362175</vt:lpwstr>
      </vt:variant>
      <vt:variant>
        <vt:i4>1048628</vt:i4>
      </vt:variant>
      <vt:variant>
        <vt:i4>164</vt:i4>
      </vt:variant>
      <vt:variant>
        <vt:i4>0</vt:i4>
      </vt:variant>
      <vt:variant>
        <vt:i4>5</vt:i4>
      </vt:variant>
      <vt:variant>
        <vt:lpwstr/>
      </vt:variant>
      <vt:variant>
        <vt:lpwstr>_Toc24362174</vt:lpwstr>
      </vt:variant>
      <vt:variant>
        <vt:i4>1507380</vt:i4>
      </vt:variant>
      <vt:variant>
        <vt:i4>158</vt:i4>
      </vt:variant>
      <vt:variant>
        <vt:i4>0</vt:i4>
      </vt:variant>
      <vt:variant>
        <vt:i4>5</vt:i4>
      </vt:variant>
      <vt:variant>
        <vt:lpwstr/>
      </vt:variant>
      <vt:variant>
        <vt:lpwstr>_Toc24362173</vt:lpwstr>
      </vt:variant>
      <vt:variant>
        <vt:i4>1441844</vt:i4>
      </vt:variant>
      <vt:variant>
        <vt:i4>152</vt:i4>
      </vt:variant>
      <vt:variant>
        <vt:i4>0</vt:i4>
      </vt:variant>
      <vt:variant>
        <vt:i4>5</vt:i4>
      </vt:variant>
      <vt:variant>
        <vt:lpwstr/>
      </vt:variant>
      <vt:variant>
        <vt:lpwstr>_Toc24362172</vt:lpwstr>
      </vt:variant>
      <vt:variant>
        <vt:i4>1376308</vt:i4>
      </vt:variant>
      <vt:variant>
        <vt:i4>146</vt:i4>
      </vt:variant>
      <vt:variant>
        <vt:i4>0</vt:i4>
      </vt:variant>
      <vt:variant>
        <vt:i4>5</vt:i4>
      </vt:variant>
      <vt:variant>
        <vt:lpwstr/>
      </vt:variant>
      <vt:variant>
        <vt:lpwstr>_Toc24362171</vt:lpwstr>
      </vt:variant>
      <vt:variant>
        <vt:i4>1310772</vt:i4>
      </vt:variant>
      <vt:variant>
        <vt:i4>140</vt:i4>
      </vt:variant>
      <vt:variant>
        <vt:i4>0</vt:i4>
      </vt:variant>
      <vt:variant>
        <vt:i4>5</vt:i4>
      </vt:variant>
      <vt:variant>
        <vt:lpwstr/>
      </vt:variant>
      <vt:variant>
        <vt:lpwstr>_Toc24362170</vt:lpwstr>
      </vt:variant>
      <vt:variant>
        <vt:i4>1900597</vt:i4>
      </vt:variant>
      <vt:variant>
        <vt:i4>134</vt:i4>
      </vt:variant>
      <vt:variant>
        <vt:i4>0</vt:i4>
      </vt:variant>
      <vt:variant>
        <vt:i4>5</vt:i4>
      </vt:variant>
      <vt:variant>
        <vt:lpwstr/>
      </vt:variant>
      <vt:variant>
        <vt:lpwstr>_Toc24362169</vt:lpwstr>
      </vt:variant>
      <vt:variant>
        <vt:i4>1835061</vt:i4>
      </vt:variant>
      <vt:variant>
        <vt:i4>128</vt:i4>
      </vt:variant>
      <vt:variant>
        <vt:i4>0</vt:i4>
      </vt:variant>
      <vt:variant>
        <vt:i4>5</vt:i4>
      </vt:variant>
      <vt:variant>
        <vt:lpwstr/>
      </vt:variant>
      <vt:variant>
        <vt:lpwstr>_Toc24362168</vt:lpwstr>
      </vt:variant>
      <vt:variant>
        <vt:i4>1245237</vt:i4>
      </vt:variant>
      <vt:variant>
        <vt:i4>122</vt:i4>
      </vt:variant>
      <vt:variant>
        <vt:i4>0</vt:i4>
      </vt:variant>
      <vt:variant>
        <vt:i4>5</vt:i4>
      </vt:variant>
      <vt:variant>
        <vt:lpwstr/>
      </vt:variant>
      <vt:variant>
        <vt:lpwstr>_Toc24362167</vt:lpwstr>
      </vt:variant>
      <vt:variant>
        <vt:i4>1179701</vt:i4>
      </vt:variant>
      <vt:variant>
        <vt:i4>116</vt:i4>
      </vt:variant>
      <vt:variant>
        <vt:i4>0</vt:i4>
      </vt:variant>
      <vt:variant>
        <vt:i4>5</vt:i4>
      </vt:variant>
      <vt:variant>
        <vt:lpwstr/>
      </vt:variant>
      <vt:variant>
        <vt:lpwstr>_Toc24362166</vt:lpwstr>
      </vt:variant>
      <vt:variant>
        <vt:i4>1114165</vt:i4>
      </vt:variant>
      <vt:variant>
        <vt:i4>110</vt:i4>
      </vt:variant>
      <vt:variant>
        <vt:i4>0</vt:i4>
      </vt:variant>
      <vt:variant>
        <vt:i4>5</vt:i4>
      </vt:variant>
      <vt:variant>
        <vt:lpwstr/>
      </vt:variant>
      <vt:variant>
        <vt:lpwstr>_Toc24362165</vt:lpwstr>
      </vt:variant>
      <vt:variant>
        <vt:i4>1048629</vt:i4>
      </vt:variant>
      <vt:variant>
        <vt:i4>104</vt:i4>
      </vt:variant>
      <vt:variant>
        <vt:i4>0</vt:i4>
      </vt:variant>
      <vt:variant>
        <vt:i4>5</vt:i4>
      </vt:variant>
      <vt:variant>
        <vt:lpwstr/>
      </vt:variant>
      <vt:variant>
        <vt:lpwstr>_Toc24362164</vt:lpwstr>
      </vt:variant>
      <vt:variant>
        <vt:i4>1507381</vt:i4>
      </vt:variant>
      <vt:variant>
        <vt:i4>98</vt:i4>
      </vt:variant>
      <vt:variant>
        <vt:i4>0</vt:i4>
      </vt:variant>
      <vt:variant>
        <vt:i4>5</vt:i4>
      </vt:variant>
      <vt:variant>
        <vt:lpwstr/>
      </vt:variant>
      <vt:variant>
        <vt:lpwstr>_Toc24362163</vt:lpwstr>
      </vt:variant>
      <vt:variant>
        <vt:i4>1441845</vt:i4>
      </vt:variant>
      <vt:variant>
        <vt:i4>92</vt:i4>
      </vt:variant>
      <vt:variant>
        <vt:i4>0</vt:i4>
      </vt:variant>
      <vt:variant>
        <vt:i4>5</vt:i4>
      </vt:variant>
      <vt:variant>
        <vt:lpwstr/>
      </vt:variant>
      <vt:variant>
        <vt:lpwstr>_Toc24362162</vt:lpwstr>
      </vt:variant>
      <vt:variant>
        <vt:i4>1376309</vt:i4>
      </vt:variant>
      <vt:variant>
        <vt:i4>86</vt:i4>
      </vt:variant>
      <vt:variant>
        <vt:i4>0</vt:i4>
      </vt:variant>
      <vt:variant>
        <vt:i4>5</vt:i4>
      </vt:variant>
      <vt:variant>
        <vt:lpwstr/>
      </vt:variant>
      <vt:variant>
        <vt:lpwstr>_Toc24362161</vt:lpwstr>
      </vt:variant>
      <vt:variant>
        <vt:i4>1310773</vt:i4>
      </vt:variant>
      <vt:variant>
        <vt:i4>80</vt:i4>
      </vt:variant>
      <vt:variant>
        <vt:i4>0</vt:i4>
      </vt:variant>
      <vt:variant>
        <vt:i4>5</vt:i4>
      </vt:variant>
      <vt:variant>
        <vt:lpwstr/>
      </vt:variant>
      <vt:variant>
        <vt:lpwstr>_Toc24362160</vt:lpwstr>
      </vt:variant>
      <vt:variant>
        <vt:i4>1900598</vt:i4>
      </vt:variant>
      <vt:variant>
        <vt:i4>74</vt:i4>
      </vt:variant>
      <vt:variant>
        <vt:i4>0</vt:i4>
      </vt:variant>
      <vt:variant>
        <vt:i4>5</vt:i4>
      </vt:variant>
      <vt:variant>
        <vt:lpwstr/>
      </vt:variant>
      <vt:variant>
        <vt:lpwstr>_Toc24362159</vt:lpwstr>
      </vt:variant>
      <vt:variant>
        <vt:i4>1835062</vt:i4>
      </vt:variant>
      <vt:variant>
        <vt:i4>68</vt:i4>
      </vt:variant>
      <vt:variant>
        <vt:i4>0</vt:i4>
      </vt:variant>
      <vt:variant>
        <vt:i4>5</vt:i4>
      </vt:variant>
      <vt:variant>
        <vt:lpwstr/>
      </vt:variant>
      <vt:variant>
        <vt:lpwstr>_Toc24362158</vt:lpwstr>
      </vt:variant>
      <vt:variant>
        <vt:i4>1245238</vt:i4>
      </vt:variant>
      <vt:variant>
        <vt:i4>62</vt:i4>
      </vt:variant>
      <vt:variant>
        <vt:i4>0</vt:i4>
      </vt:variant>
      <vt:variant>
        <vt:i4>5</vt:i4>
      </vt:variant>
      <vt:variant>
        <vt:lpwstr/>
      </vt:variant>
      <vt:variant>
        <vt:lpwstr>_Toc24362157</vt:lpwstr>
      </vt:variant>
      <vt:variant>
        <vt:i4>1179702</vt:i4>
      </vt:variant>
      <vt:variant>
        <vt:i4>56</vt:i4>
      </vt:variant>
      <vt:variant>
        <vt:i4>0</vt:i4>
      </vt:variant>
      <vt:variant>
        <vt:i4>5</vt:i4>
      </vt:variant>
      <vt:variant>
        <vt:lpwstr/>
      </vt:variant>
      <vt:variant>
        <vt:lpwstr>_Toc24362156</vt:lpwstr>
      </vt:variant>
      <vt:variant>
        <vt:i4>1114166</vt:i4>
      </vt:variant>
      <vt:variant>
        <vt:i4>50</vt:i4>
      </vt:variant>
      <vt:variant>
        <vt:i4>0</vt:i4>
      </vt:variant>
      <vt:variant>
        <vt:i4>5</vt:i4>
      </vt:variant>
      <vt:variant>
        <vt:lpwstr/>
      </vt:variant>
      <vt:variant>
        <vt:lpwstr>_Toc24362155</vt:lpwstr>
      </vt:variant>
      <vt:variant>
        <vt:i4>1048630</vt:i4>
      </vt:variant>
      <vt:variant>
        <vt:i4>44</vt:i4>
      </vt:variant>
      <vt:variant>
        <vt:i4>0</vt:i4>
      </vt:variant>
      <vt:variant>
        <vt:i4>5</vt:i4>
      </vt:variant>
      <vt:variant>
        <vt:lpwstr/>
      </vt:variant>
      <vt:variant>
        <vt:lpwstr>_Toc24362154</vt:lpwstr>
      </vt:variant>
      <vt:variant>
        <vt:i4>1507382</vt:i4>
      </vt:variant>
      <vt:variant>
        <vt:i4>38</vt:i4>
      </vt:variant>
      <vt:variant>
        <vt:i4>0</vt:i4>
      </vt:variant>
      <vt:variant>
        <vt:i4>5</vt:i4>
      </vt:variant>
      <vt:variant>
        <vt:lpwstr/>
      </vt:variant>
      <vt:variant>
        <vt:lpwstr>_Toc24362153</vt:lpwstr>
      </vt:variant>
      <vt:variant>
        <vt:i4>1441846</vt:i4>
      </vt:variant>
      <vt:variant>
        <vt:i4>32</vt:i4>
      </vt:variant>
      <vt:variant>
        <vt:i4>0</vt:i4>
      </vt:variant>
      <vt:variant>
        <vt:i4>5</vt:i4>
      </vt:variant>
      <vt:variant>
        <vt:lpwstr/>
      </vt:variant>
      <vt:variant>
        <vt:lpwstr>_Toc24362152</vt:lpwstr>
      </vt:variant>
      <vt:variant>
        <vt:i4>1376310</vt:i4>
      </vt:variant>
      <vt:variant>
        <vt:i4>26</vt:i4>
      </vt:variant>
      <vt:variant>
        <vt:i4>0</vt:i4>
      </vt:variant>
      <vt:variant>
        <vt:i4>5</vt:i4>
      </vt:variant>
      <vt:variant>
        <vt:lpwstr/>
      </vt:variant>
      <vt:variant>
        <vt:lpwstr>_Toc24362151</vt:lpwstr>
      </vt:variant>
      <vt:variant>
        <vt:i4>1310774</vt:i4>
      </vt:variant>
      <vt:variant>
        <vt:i4>20</vt:i4>
      </vt:variant>
      <vt:variant>
        <vt:i4>0</vt:i4>
      </vt:variant>
      <vt:variant>
        <vt:i4>5</vt:i4>
      </vt:variant>
      <vt:variant>
        <vt:lpwstr/>
      </vt:variant>
      <vt:variant>
        <vt:lpwstr>_Toc24362150</vt:lpwstr>
      </vt:variant>
      <vt:variant>
        <vt:i4>1900599</vt:i4>
      </vt:variant>
      <vt:variant>
        <vt:i4>14</vt:i4>
      </vt:variant>
      <vt:variant>
        <vt:i4>0</vt:i4>
      </vt:variant>
      <vt:variant>
        <vt:i4>5</vt:i4>
      </vt:variant>
      <vt:variant>
        <vt:lpwstr/>
      </vt:variant>
      <vt:variant>
        <vt:lpwstr>_Toc24362149</vt:lpwstr>
      </vt:variant>
      <vt:variant>
        <vt:i4>1835063</vt:i4>
      </vt:variant>
      <vt:variant>
        <vt:i4>8</vt:i4>
      </vt:variant>
      <vt:variant>
        <vt:i4>0</vt:i4>
      </vt:variant>
      <vt:variant>
        <vt:i4>5</vt:i4>
      </vt:variant>
      <vt:variant>
        <vt:lpwstr/>
      </vt:variant>
      <vt:variant>
        <vt:lpwstr>_Toc24362148</vt:lpwstr>
      </vt:variant>
      <vt:variant>
        <vt:i4>1245239</vt:i4>
      </vt:variant>
      <vt:variant>
        <vt:i4>2</vt:i4>
      </vt:variant>
      <vt:variant>
        <vt:i4>0</vt:i4>
      </vt:variant>
      <vt:variant>
        <vt:i4>5</vt:i4>
      </vt:variant>
      <vt:variant>
        <vt:lpwstr/>
      </vt:variant>
      <vt:variant>
        <vt:lpwstr>_Toc24362147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Аль-Ради Любовь Саттаровна</cp:lastModifiedBy>
  <cp:revision>5</cp:revision>
  <cp:lastPrinted>2022-03-09T13:08:00Z</cp:lastPrinted>
  <dcterms:created xsi:type="dcterms:W3CDTF">2022-03-09T13:13:00Z</dcterms:created>
  <dcterms:modified xsi:type="dcterms:W3CDTF">2022-03-11T07:58:00Z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http://csl.mendeley.com/styles/265073341/hematology-and-transfusiology-ver2</vt:lpwstr>
  </property>
  <property fmtid="{D5CDD505-2E9C-101B-9397-08002B2CF9AE}" pid="11" name="Mendeley Recent Style Name 4_1">
    <vt:lpwstr>Hematology and Transfusiology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http://www.zotero.org/styles/gost-r-7-0-5-2008-numeric</vt:lpwstr>
  </property>
  <property fmtid="{D5CDD505-2E9C-101B-9397-08002B2CF9AE}" pid="19" name="Mendeley Recent Style Name 8_1">
    <vt:lpwstr>Russian GOST R 7.0.5-2008 (numeric)</vt:lpwstr>
  </property>
  <property fmtid="{D5CDD505-2E9C-101B-9397-08002B2CF9AE}" pid="20" name="Mendeley Recent Style Id 9_1">
    <vt:lpwstr>https://csl.mendeley.com/styles/507103441/RussianPediatricOncology3</vt:lpwstr>
  </property>
  <property fmtid="{D5CDD505-2E9C-101B-9397-08002B2CF9AE}" pid="21" name="Mendeley Recent Style Name 9_1">
    <vt:lpwstr>Russian Pediatric Oncology Journal</vt:lpwstr>
  </property>
  <property fmtid="{D5CDD505-2E9C-101B-9397-08002B2CF9AE}" pid="22" name="Mendeley Document_1">
    <vt:lpwstr>True</vt:lpwstr>
  </property>
  <property fmtid="{D5CDD505-2E9C-101B-9397-08002B2CF9AE}" pid="23" name="Mendeley Unique User Id_1">
    <vt:lpwstr>557ca738-a0c4-3a69-aff2-aa601aaa397d</vt:lpwstr>
  </property>
  <property fmtid="{D5CDD505-2E9C-101B-9397-08002B2CF9AE}" pid="24" name="Mendeley Citation Style_1">
    <vt:lpwstr>http://www.zotero.org/styles/gost-r-7-0-5-2008-numeric</vt:lpwstr>
  </property>
</Properties>
</file>